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16DC31">
      <w:pPr>
        <w:adjustRightInd w:val="0"/>
        <w:snapToGrid w:val="0"/>
      </w:pPr>
    </w:p>
    <w:p w14:paraId="368690F2">
      <w:pPr>
        <w:adjustRightInd w:val="0"/>
        <w:snapToGrid w:val="0"/>
      </w:pPr>
    </w:p>
    <w:p w14:paraId="13F67A35">
      <w:pPr>
        <w:tabs>
          <w:tab w:val="left" w:pos="4876"/>
        </w:tabs>
        <w:adjustRightInd w:val="0"/>
        <w:snapToGrid w:val="0"/>
        <w:spacing w:line="360" w:lineRule="auto"/>
        <w:jc w:val="left"/>
        <w:rPr>
          <w:rFonts w:eastAsia="黑体"/>
          <w:b/>
          <w:sz w:val="40"/>
          <w:szCs w:val="52"/>
        </w:rPr>
      </w:pPr>
      <w:bookmarkStart w:id="0" w:name="OLE_LINK1"/>
      <w:r>
        <w:rPr>
          <w:rFonts w:eastAsia="黑体"/>
          <w:b/>
          <w:sz w:val="40"/>
          <w:szCs w:val="52"/>
        </w:rPr>
        <w:tab/>
      </w:r>
    </w:p>
    <w:p w14:paraId="7E273F5E">
      <w:pPr>
        <w:keepNext w:val="0"/>
        <w:keepLines w:val="0"/>
        <w:pageBreakBefore w:val="0"/>
        <w:widowControl w:val="0"/>
        <w:kinsoku/>
        <w:wordWrap/>
        <w:overflowPunct/>
        <w:topLinePunct w:val="0"/>
        <w:autoSpaceDE/>
        <w:autoSpaceDN/>
        <w:bidi w:val="0"/>
        <w:adjustRightInd w:val="0"/>
        <w:snapToGrid w:val="0"/>
        <w:spacing w:line="760" w:lineRule="exact"/>
        <w:jc w:val="center"/>
        <w:textAlignment w:val="auto"/>
        <w:rPr>
          <w:rFonts w:hint="eastAsia" w:ascii="楷体_GB2312" w:hAnsi="Arial" w:eastAsia="楷体_GB2312" w:cs="Arial"/>
          <w:b/>
          <w:color w:val="auto"/>
          <w:spacing w:val="-30"/>
          <w:kern w:val="0"/>
          <w:sz w:val="52"/>
          <w:szCs w:val="52"/>
          <w:highlight w:val="none"/>
          <w:lang w:val="en-US" w:eastAsia="zh-CN"/>
        </w:rPr>
      </w:pPr>
      <w:r>
        <w:rPr>
          <w:rFonts w:hint="eastAsia" w:ascii="楷体_GB2312" w:hAnsi="Arial" w:eastAsia="楷体_GB2312" w:cs="Arial"/>
          <w:b/>
          <w:color w:val="auto"/>
          <w:spacing w:val="-30"/>
          <w:kern w:val="0"/>
          <w:sz w:val="52"/>
          <w:szCs w:val="52"/>
          <w:highlight w:val="none"/>
          <w:lang w:val="en-US" w:eastAsia="zh-CN"/>
        </w:rPr>
        <w:t>丰都县海螺沟水库工程</w:t>
      </w:r>
    </w:p>
    <w:p w14:paraId="18634124">
      <w:pPr>
        <w:adjustRightInd w:val="0"/>
        <w:snapToGrid w:val="0"/>
        <w:spacing w:line="360" w:lineRule="auto"/>
        <w:jc w:val="center"/>
        <w:rPr>
          <w:rFonts w:hint="eastAsia" w:eastAsia="黑体"/>
          <w:b/>
          <w:sz w:val="84"/>
          <w:szCs w:val="84"/>
        </w:rPr>
      </w:pPr>
    </w:p>
    <w:p w14:paraId="1F4A53FE">
      <w:pPr>
        <w:adjustRightInd w:val="0"/>
        <w:snapToGrid w:val="0"/>
        <w:jc w:val="center"/>
        <w:rPr>
          <w:rFonts w:hint="eastAsia" w:ascii="楷体_GB2312" w:hAnsi="Arial" w:eastAsia="楷体_GB2312" w:cs="Arial"/>
          <w:b/>
          <w:bCs/>
          <w:color w:val="auto"/>
          <w:spacing w:val="-30"/>
          <w:kern w:val="0"/>
          <w:sz w:val="96"/>
          <w:szCs w:val="120"/>
          <w:highlight w:val="none"/>
        </w:rPr>
      </w:pPr>
      <w:r>
        <w:rPr>
          <w:rFonts w:hint="eastAsia" w:ascii="楷体_GB2312" w:hAnsi="Arial" w:eastAsia="楷体_GB2312" w:cs="Arial"/>
          <w:b/>
          <w:bCs/>
          <w:color w:val="auto"/>
          <w:spacing w:val="-30"/>
          <w:kern w:val="0"/>
          <w:sz w:val="96"/>
          <w:szCs w:val="120"/>
          <w:highlight w:val="none"/>
        </w:rPr>
        <w:t>环境影响报告书</w:t>
      </w:r>
    </w:p>
    <w:bookmarkEnd w:id="0"/>
    <w:p w14:paraId="3AD7E330">
      <w:pPr>
        <w:adjustRightInd w:val="0"/>
        <w:snapToGrid w:val="0"/>
        <w:jc w:val="center"/>
        <w:rPr>
          <w:rFonts w:hint="eastAsia" w:ascii="楷体_GB2312" w:hAnsi="Arial" w:eastAsia="楷体_GB2312" w:cs="Arial"/>
          <w:b/>
          <w:color w:val="auto"/>
          <w:spacing w:val="-20"/>
          <w:kern w:val="0"/>
          <w:sz w:val="44"/>
          <w:szCs w:val="44"/>
          <w:highlight w:val="none"/>
          <w:lang w:eastAsia="zh-CN"/>
        </w:rPr>
      </w:pPr>
      <w:r>
        <w:rPr>
          <w:rFonts w:hint="eastAsia" w:ascii="楷体_GB2312" w:hAnsi="Arial" w:eastAsia="楷体_GB2312" w:cs="Arial"/>
          <w:b/>
          <w:color w:val="auto"/>
          <w:spacing w:val="-20"/>
          <w:kern w:val="0"/>
          <w:sz w:val="44"/>
          <w:szCs w:val="44"/>
          <w:highlight w:val="none"/>
          <w:lang w:eastAsia="zh-CN"/>
        </w:rPr>
        <w:t>（征求意见稿）</w:t>
      </w:r>
    </w:p>
    <w:p w14:paraId="6FA29190">
      <w:pPr>
        <w:adjustRightInd w:val="0"/>
        <w:snapToGrid w:val="0"/>
        <w:rPr>
          <w:rFonts w:eastAsia="黑体"/>
          <w:sz w:val="44"/>
          <w:szCs w:val="44"/>
        </w:rPr>
      </w:pPr>
    </w:p>
    <w:p w14:paraId="195B3C39">
      <w:pPr>
        <w:adjustRightInd w:val="0"/>
        <w:snapToGrid w:val="0"/>
        <w:rPr>
          <w:rFonts w:eastAsia="黑体"/>
          <w:sz w:val="44"/>
          <w:szCs w:val="44"/>
        </w:rPr>
      </w:pPr>
    </w:p>
    <w:p w14:paraId="5FDD2B20">
      <w:pPr>
        <w:adjustRightInd w:val="0"/>
        <w:snapToGrid w:val="0"/>
        <w:rPr>
          <w:rFonts w:eastAsia="黑体"/>
          <w:sz w:val="44"/>
          <w:szCs w:val="44"/>
        </w:rPr>
      </w:pPr>
    </w:p>
    <w:p w14:paraId="54AB5A38">
      <w:pPr>
        <w:adjustRightInd w:val="0"/>
        <w:snapToGrid w:val="0"/>
        <w:rPr>
          <w:rFonts w:eastAsia="黑体"/>
        </w:rPr>
      </w:pPr>
    </w:p>
    <w:p w14:paraId="33232180">
      <w:pPr>
        <w:tabs>
          <w:tab w:val="left" w:pos="6307"/>
        </w:tabs>
        <w:adjustRightInd w:val="0"/>
        <w:snapToGrid w:val="0"/>
        <w:rPr>
          <w:rFonts w:eastAsia="黑体"/>
        </w:rPr>
      </w:pPr>
      <w:r>
        <w:rPr>
          <w:rFonts w:eastAsia="黑体"/>
        </w:rPr>
        <w:tab/>
      </w:r>
    </w:p>
    <w:p w14:paraId="44755C95">
      <w:pPr>
        <w:adjustRightInd w:val="0"/>
        <w:snapToGrid w:val="0"/>
        <w:spacing w:line="360" w:lineRule="auto"/>
        <w:jc w:val="both"/>
        <w:rPr>
          <w:rFonts w:eastAsia="黑体"/>
          <w:b/>
          <w:sz w:val="32"/>
          <w:szCs w:val="32"/>
        </w:rPr>
      </w:pPr>
    </w:p>
    <w:p w14:paraId="65E45333">
      <w:pPr>
        <w:adjustRightInd w:val="0"/>
        <w:snapToGrid w:val="0"/>
        <w:spacing w:line="360" w:lineRule="auto"/>
        <w:ind w:left="420" w:firstLine="420"/>
        <w:rPr>
          <w:rFonts w:eastAsia="黑体"/>
          <w:b/>
          <w:sz w:val="32"/>
          <w:szCs w:val="32"/>
        </w:rPr>
      </w:pPr>
    </w:p>
    <w:p w14:paraId="12788C46">
      <w:pPr>
        <w:adjustRightInd w:val="0"/>
        <w:snapToGrid w:val="0"/>
        <w:jc w:val="center"/>
        <w:rPr>
          <w:rFonts w:hint="eastAsia" w:ascii="楷体_GB2312" w:hAnsi="Arial" w:eastAsia="楷体_GB2312" w:cs="Arial"/>
          <w:b/>
          <w:color w:val="auto"/>
          <w:spacing w:val="-20"/>
          <w:kern w:val="0"/>
          <w:sz w:val="44"/>
          <w:szCs w:val="44"/>
          <w:highlight w:val="none"/>
          <w:lang w:eastAsia="zh-CN"/>
        </w:rPr>
      </w:pPr>
    </w:p>
    <w:p w14:paraId="3302F8CD">
      <w:pPr>
        <w:adjustRightInd w:val="0"/>
        <w:snapToGrid w:val="0"/>
        <w:jc w:val="center"/>
        <w:rPr>
          <w:rFonts w:hint="eastAsia" w:ascii="楷体_GB2312" w:hAnsi="Arial" w:eastAsia="楷体_GB2312" w:cs="Arial"/>
          <w:b/>
          <w:color w:val="auto"/>
          <w:spacing w:val="-20"/>
          <w:kern w:val="0"/>
          <w:sz w:val="44"/>
          <w:szCs w:val="44"/>
          <w:highlight w:val="none"/>
          <w:lang w:eastAsia="zh-CN"/>
        </w:rPr>
      </w:pPr>
    </w:p>
    <w:p w14:paraId="1D71FE94">
      <w:pPr>
        <w:adjustRightInd w:val="0"/>
        <w:snapToGrid w:val="0"/>
        <w:jc w:val="center"/>
        <w:rPr>
          <w:rFonts w:hint="eastAsia" w:ascii="楷体_GB2312" w:hAnsi="Arial" w:eastAsia="楷体_GB2312" w:cs="Arial"/>
          <w:b/>
          <w:color w:val="auto"/>
          <w:spacing w:val="-20"/>
          <w:kern w:val="0"/>
          <w:sz w:val="44"/>
          <w:szCs w:val="44"/>
          <w:highlight w:val="none"/>
          <w:lang w:eastAsia="zh-CN"/>
        </w:rPr>
      </w:pPr>
    </w:p>
    <w:p w14:paraId="5DEE823B">
      <w:pPr>
        <w:adjustRightInd w:val="0"/>
        <w:snapToGrid w:val="0"/>
        <w:jc w:val="center"/>
        <w:rPr>
          <w:rFonts w:hint="eastAsia" w:ascii="楷体_GB2312" w:hAnsi="Arial" w:eastAsia="楷体_GB2312" w:cs="Arial"/>
          <w:b/>
          <w:color w:val="auto"/>
          <w:spacing w:val="-20"/>
          <w:kern w:val="0"/>
          <w:sz w:val="44"/>
          <w:szCs w:val="44"/>
          <w:highlight w:val="none"/>
          <w:lang w:eastAsia="zh-CN"/>
        </w:rPr>
      </w:pPr>
    </w:p>
    <w:p w14:paraId="15835A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楷体_GB2312" w:hAnsi="Arial" w:eastAsia="楷体_GB2312" w:cs="Arial"/>
          <w:b/>
          <w:color w:val="auto"/>
          <w:spacing w:val="-20"/>
          <w:kern w:val="0"/>
          <w:sz w:val="44"/>
          <w:szCs w:val="44"/>
          <w:highlight w:val="none"/>
          <w:lang w:eastAsia="zh-CN"/>
        </w:rPr>
      </w:pPr>
      <w:r>
        <w:rPr>
          <w:rFonts w:hint="eastAsia" w:ascii="楷体_GB2312" w:hAnsi="Arial" w:eastAsia="楷体_GB2312" w:cs="Arial"/>
          <w:b/>
          <w:color w:val="auto"/>
          <w:spacing w:val="-20"/>
          <w:kern w:val="0"/>
          <w:sz w:val="44"/>
          <w:szCs w:val="44"/>
          <w:highlight w:val="none"/>
          <w:lang w:eastAsia="zh-CN"/>
        </w:rPr>
        <w:t>编制单位：重庆瀚智环保工程有限公司</w:t>
      </w:r>
    </w:p>
    <w:p w14:paraId="3C3F35E7">
      <w:pPr>
        <w:keepNext w:val="0"/>
        <w:keepLines w:val="0"/>
        <w:pageBreakBefore w:val="0"/>
        <w:widowControl w:val="0"/>
        <w:kinsoku/>
        <w:wordWrap/>
        <w:overflowPunct/>
        <w:topLinePunct w:val="0"/>
        <w:autoSpaceDE/>
        <w:autoSpaceDN/>
        <w:bidi w:val="0"/>
        <w:adjustRightInd w:val="0"/>
        <w:snapToGrid w:val="0"/>
        <w:ind w:firstLine="1004" w:firstLineChars="250"/>
        <w:jc w:val="both"/>
        <w:textAlignment w:val="auto"/>
        <w:rPr>
          <w:rFonts w:hint="eastAsia" w:ascii="楷体_GB2312" w:hAnsi="Arial" w:eastAsia="楷体_GB2312" w:cs="Arial"/>
          <w:b/>
          <w:color w:val="auto"/>
          <w:spacing w:val="-20"/>
          <w:kern w:val="0"/>
          <w:sz w:val="44"/>
          <w:szCs w:val="44"/>
          <w:highlight w:val="none"/>
          <w:lang w:eastAsia="zh-CN"/>
        </w:rPr>
      </w:pPr>
      <w:r>
        <w:rPr>
          <w:rFonts w:hint="eastAsia" w:ascii="楷体_GB2312" w:hAnsi="Arial" w:eastAsia="楷体_GB2312" w:cs="Arial"/>
          <w:b/>
          <w:color w:val="auto"/>
          <w:spacing w:val="-20"/>
          <w:kern w:val="0"/>
          <w:sz w:val="44"/>
          <w:szCs w:val="44"/>
          <w:highlight w:val="none"/>
          <w:lang w:eastAsia="zh-CN"/>
        </w:rPr>
        <w:t>建设单位：丰都县水利工程服务中心</w:t>
      </w:r>
    </w:p>
    <w:p w14:paraId="4C783FA6">
      <w:pPr>
        <w:adjustRightInd w:val="0"/>
        <w:snapToGrid w:val="0"/>
        <w:jc w:val="center"/>
        <w:rPr>
          <w:rFonts w:hint="eastAsia" w:ascii="楷体_GB2312" w:hAnsi="Arial" w:eastAsia="楷体_GB2312" w:cs="Arial"/>
          <w:b/>
          <w:color w:val="auto"/>
          <w:spacing w:val="-20"/>
          <w:kern w:val="0"/>
          <w:sz w:val="44"/>
          <w:szCs w:val="44"/>
          <w:highlight w:val="none"/>
        </w:rPr>
        <w:sectPr>
          <w:headerReference r:id="rId4" w:type="first"/>
          <w:headerReference r:id="rId3" w:type="default"/>
          <w:footerReference r:id="rId5" w:type="default"/>
          <w:pgSz w:w="12240" w:h="15840"/>
          <w:pgMar w:top="1440" w:right="1701" w:bottom="1440" w:left="1701" w:header="720" w:footer="720" w:gutter="0"/>
          <w:pgBorders>
            <w:top w:val="none" w:sz="0" w:space="0"/>
            <w:left w:val="none" w:sz="0" w:space="0"/>
            <w:bottom w:val="none" w:sz="0" w:space="0"/>
            <w:right w:val="none" w:sz="0" w:space="0"/>
          </w:pgBorders>
          <w:pgNumType w:fmt="upperRoman" w:start="1"/>
          <w:cols w:space="720" w:num="1"/>
          <w:titlePg/>
        </w:sectPr>
      </w:pPr>
      <w:r>
        <w:rPr>
          <w:rFonts w:hint="default" w:ascii="Arial" w:hAnsi="Arial" w:eastAsia="楷体_GB2312" w:cs="Arial"/>
          <w:b/>
          <w:color w:val="auto"/>
          <w:spacing w:val="-20"/>
          <w:kern w:val="0"/>
          <w:sz w:val="44"/>
          <w:szCs w:val="44"/>
          <w:highlight w:val="none"/>
        </w:rPr>
        <w:t>202</w:t>
      </w:r>
      <w:r>
        <w:rPr>
          <w:rFonts w:hint="eastAsia" w:ascii="Arial" w:hAnsi="Arial" w:eastAsia="楷体_GB2312" w:cs="Arial"/>
          <w:b/>
          <w:color w:val="auto"/>
          <w:spacing w:val="-20"/>
          <w:kern w:val="0"/>
          <w:sz w:val="44"/>
          <w:szCs w:val="44"/>
          <w:highlight w:val="none"/>
          <w:lang w:val="en-US" w:eastAsia="zh-CN"/>
        </w:rPr>
        <w:t>5</w:t>
      </w:r>
      <w:r>
        <w:rPr>
          <w:rFonts w:hint="default" w:ascii="Arial" w:hAnsi="Arial" w:eastAsia="楷体_GB2312" w:cs="Arial"/>
          <w:b/>
          <w:color w:val="auto"/>
          <w:spacing w:val="-20"/>
          <w:kern w:val="0"/>
          <w:sz w:val="44"/>
          <w:szCs w:val="44"/>
          <w:highlight w:val="none"/>
        </w:rPr>
        <w:t>年</w:t>
      </w:r>
      <w:r>
        <w:rPr>
          <w:rFonts w:hint="eastAsia" w:ascii="Arial" w:hAnsi="Arial" w:eastAsia="楷体_GB2312" w:cs="Arial"/>
          <w:b/>
          <w:color w:val="auto"/>
          <w:spacing w:val="-20"/>
          <w:kern w:val="0"/>
          <w:sz w:val="44"/>
          <w:szCs w:val="44"/>
          <w:highlight w:val="none"/>
          <w:lang w:val="en-US" w:eastAsia="zh-CN"/>
        </w:rPr>
        <w:t>1</w:t>
      </w:r>
      <w:r>
        <w:rPr>
          <w:rFonts w:hint="default" w:ascii="Arial" w:hAnsi="Arial" w:eastAsia="楷体_GB2312" w:cs="Arial"/>
          <w:b/>
          <w:color w:val="auto"/>
          <w:spacing w:val="-20"/>
          <w:kern w:val="0"/>
          <w:sz w:val="44"/>
          <w:szCs w:val="44"/>
          <w:highlight w:val="none"/>
        </w:rPr>
        <w:t>月</w:t>
      </w:r>
    </w:p>
    <w:p w14:paraId="0FF6AE31">
      <w:pPr>
        <w:adjustRightInd w:val="0"/>
        <w:snapToGrid w:val="0"/>
        <w:spacing w:line="360" w:lineRule="auto"/>
        <w:jc w:val="center"/>
        <w:rPr>
          <w:snapToGrid w:val="0"/>
          <w:sz w:val="38"/>
          <w:szCs w:val="38"/>
        </w:rPr>
        <w:sectPr>
          <w:footerReference r:id="rId7" w:type="first"/>
          <w:footerReference r:id="rId6" w:type="default"/>
          <w:type w:val="continuous"/>
          <w:pgSz w:w="12240" w:h="15840"/>
          <w:pgMar w:top="1440" w:right="1701" w:bottom="1440" w:left="1701" w:header="720" w:footer="720" w:gutter="0"/>
          <w:pgBorders>
            <w:top w:val="none" w:sz="0" w:space="0"/>
            <w:left w:val="none" w:sz="0" w:space="0"/>
            <w:bottom w:val="none" w:sz="0" w:space="0"/>
            <w:right w:val="none" w:sz="0" w:space="0"/>
          </w:pgBorders>
          <w:pgNumType w:fmt="upperRoman" w:start="1"/>
          <w:cols w:space="720" w:num="1"/>
          <w:titlePg/>
        </w:sectPr>
      </w:pPr>
    </w:p>
    <w:p w14:paraId="225A9ED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b/>
          <w:bCs/>
          <w:sz w:val="26"/>
          <w:szCs w:val="26"/>
        </w:rPr>
      </w:pPr>
      <w:r>
        <w:rPr>
          <w:rFonts w:hint="eastAsia"/>
          <w:b/>
          <w:bCs/>
          <w:sz w:val="26"/>
          <w:szCs w:val="26"/>
        </w:rPr>
        <w:t>目</w:t>
      </w:r>
      <w:r>
        <w:rPr>
          <w:b/>
          <w:bCs/>
          <w:sz w:val="26"/>
          <w:szCs w:val="26"/>
        </w:rPr>
        <w:t xml:space="preserve"> </w:t>
      </w:r>
      <w:r>
        <w:rPr>
          <w:rFonts w:hint="eastAsia"/>
          <w:b/>
          <w:bCs/>
          <w:sz w:val="26"/>
          <w:szCs w:val="26"/>
        </w:rPr>
        <w:t>录</w:t>
      </w:r>
    </w:p>
    <w:p w14:paraId="29DDA509">
      <w:pPr>
        <w:pStyle w:val="64"/>
        <w:keepNext w:val="0"/>
        <w:keepLines w:val="0"/>
        <w:pageBreakBefore w:val="0"/>
        <w:widowControl w:val="0"/>
        <w:tabs>
          <w:tab w:val="right" w:leader="dot" w:pos="8494"/>
        </w:tabs>
        <w:kinsoku/>
        <w:wordWrap/>
        <w:overflowPunct/>
        <w:topLinePunct w:val="0"/>
        <w:autoSpaceDE/>
        <w:autoSpaceDN/>
        <w:bidi w:val="0"/>
        <w:adjustRightInd w:val="0"/>
        <w:snapToGrid w:val="0"/>
        <w:spacing w:line="440" w:lineRule="exact"/>
        <w:ind w:left="0" w:leftChars="0"/>
        <w:textAlignment w:val="auto"/>
        <w:rPr>
          <w:sz w:val="24"/>
          <w:szCs w:val="24"/>
        </w:rPr>
      </w:pPr>
    </w:p>
    <w:p w14:paraId="3F935139">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b w:val="0"/>
          <w:sz w:val="26"/>
          <w:szCs w:val="26"/>
        </w:rPr>
        <w:fldChar w:fldCharType="begin"/>
      </w:r>
      <w:r>
        <w:rPr>
          <w:rFonts w:hint="default" w:ascii="Arial" w:hAnsi="Arial" w:eastAsia="宋体" w:cs="Arial"/>
          <w:b w:val="0"/>
          <w:sz w:val="26"/>
          <w:szCs w:val="26"/>
        </w:rPr>
        <w:instrText xml:space="preserve"> TOC \o "1-2" \h \z \u </w:instrText>
      </w:r>
      <w:r>
        <w:rPr>
          <w:rFonts w:hint="default" w:ascii="Arial" w:hAnsi="Arial" w:eastAsia="宋体" w:cs="Arial"/>
          <w:b w:val="0"/>
          <w:sz w:val="26"/>
          <w:szCs w:val="26"/>
        </w:rPr>
        <w:fldChar w:fldCharType="separate"/>
      </w: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_Toc30645 </w:instrText>
      </w:r>
      <w:r>
        <w:rPr>
          <w:rFonts w:hint="default" w:ascii="Arial" w:hAnsi="Arial" w:eastAsia="宋体" w:cs="Arial"/>
          <w:sz w:val="26"/>
          <w:szCs w:val="26"/>
        </w:rPr>
        <w:fldChar w:fldCharType="separate"/>
      </w:r>
      <w:r>
        <w:rPr>
          <w:rFonts w:hint="default" w:ascii="Arial" w:hAnsi="Arial" w:eastAsia="宋体" w:cs="Arial"/>
          <w:kern w:val="0"/>
          <w:sz w:val="26"/>
          <w:szCs w:val="26"/>
          <w:highlight w:val="none"/>
        </w:rPr>
        <w:t>概述</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_Toc30645 \h </w:instrText>
      </w:r>
      <w:r>
        <w:rPr>
          <w:rFonts w:hint="default" w:ascii="Arial" w:hAnsi="Arial" w:eastAsia="宋体" w:cs="Arial"/>
          <w:sz w:val="26"/>
          <w:szCs w:val="26"/>
        </w:rPr>
        <w:fldChar w:fldCharType="separate"/>
      </w:r>
      <w:r>
        <w:rPr>
          <w:rFonts w:hint="default" w:ascii="Arial" w:hAnsi="Arial" w:eastAsia="宋体" w:cs="Arial"/>
          <w:sz w:val="26"/>
          <w:szCs w:val="26"/>
        </w:rPr>
        <w:t>1</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3C8CC7D2">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_Toc16444 </w:instrText>
      </w:r>
      <w:r>
        <w:rPr>
          <w:rFonts w:hint="default" w:ascii="Arial" w:hAnsi="Arial" w:eastAsia="宋体" w:cs="Arial"/>
          <w:sz w:val="26"/>
          <w:szCs w:val="26"/>
        </w:rPr>
        <w:fldChar w:fldCharType="separate"/>
      </w:r>
      <w:r>
        <w:rPr>
          <w:rFonts w:hint="default" w:ascii="Arial" w:hAnsi="Arial" w:eastAsia="宋体" w:cs="Arial"/>
          <w:kern w:val="0"/>
          <w:sz w:val="26"/>
          <w:szCs w:val="26"/>
          <w:highlight w:val="none"/>
          <w:lang w:val="en-US" w:eastAsia="zh-CN" w:bidi="ar-SA"/>
        </w:rPr>
        <w:t>1 总则</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_Toc16444 \h </w:instrText>
      </w:r>
      <w:r>
        <w:rPr>
          <w:rFonts w:hint="default" w:ascii="Arial" w:hAnsi="Arial" w:eastAsia="宋体" w:cs="Arial"/>
          <w:sz w:val="26"/>
          <w:szCs w:val="26"/>
        </w:rPr>
        <w:fldChar w:fldCharType="separate"/>
      </w:r>
      <w:r>
        <w:rPr>
          <w:rFonts w:hint="default" w:ascii="Arial" w:hAnsi="Arial" w:eastAsia="宋体" w:cs="Arial"/>
          <w:sz w:val="26"/>
          <w:szCs w:val="26"/>
        </w:rPr>
        <w:t>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20B3B0A8">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_Toc8435 </w:instrText>
      </w:r>
      <w:r>
        <w:rPr>
          <w:rFonts w:hint="default" w:ascii="Arial" w:hAnsi="Arial" w:eastAsia="宋体" w:cs="Arial"/>
          <w:sz w:val="26"/>
          <w:szCs w:val="26"/>
        </w:rPr>
        <w:fldChar w:fldCharType="separate"/>
      </w:r>
      <w:r>
        <w:rPr>
          <w:rFonts w:hint="default" w:ascii="Arial" w:hAnsi="Arial" w:eastAsia="宋体" w:cs="Arial"/>
          <w:kern w:val="0"/>
          <w:sz w:val="26"/>
          <w:szCs w:val="26"/>
          <w:highlight w:val="none"/>
          <w:lang w:val="en-US" w:eastAsia="zh-CN"/>
        </w:rPr>
        <w:t>1.1 编制依据</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_Toc8435 \h </w:instrText>
      </w:r>
      <w:r>
        <w:rPr>
          <w:rFonts w:hint="default" w:ascii="Arial" w:hAnsi="Arial" w:eastAsia="宋体" w:cs="Arial"/>
          <w:sz w:val="26"/>
          <w:szCs w:val="26"/>
        </w:rPr>
        <w:fldChar w:fldCharType="separate"/>
      </w:r>
      <w:r>
        <w:rPr>
          <w:rFonts w:hint="default" w:ascii="Arial" w:hAnsi="Arial" w:eastAsia="宋体" w:cs="Arial"/>
          <w:sz w:val="26"/>
          <w:szCs w:val="26"/>
        </w:rPr>
        <w:t>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99C2CF7">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_Toc5979 </w:instrText>
      </w:r>
      <w:r>
        <w:rPr>
          <w:rFonts w:hint="default" w:ascii="Arial" w:hAnsi="Arial" w:eastAsia="宋体" w:cs="Arial"/>
          <w:sz w:val="26"/>
          <w:szCs w:val="26"/>
        </w:rPr>
        <w:fldChar w:fldCharType="separate"/>
      </w:r>
      <w:r>
        <w:rPr>
          <w:rFonts w:hint="default" w:ascii="Arial" w:hAnsi="Arial" w:eastAsia="宋体" w:cs="Arial"/>
          <w:kern w:val="0"/>
          <w:sz w:val="26"/>
          <w:szCs w:val="26"/>
          <w:highlight w:val="none"/>
          <w:lang w:val="en-US" w:eastAsia="zh-CN"/>
        </w:rPr>
        <w:t>1.2 评价目的及原则</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_Toc5979 \h </w:instrText>
      </w:r>
      <w:r>
        <w:rPr>
          <w:rFonts w:hint="default" w:ascii="Arial" w:hAnsi="Arial" w:eastAsia="宋体" w:cs="Arial"/>
          <w:sz w:val="26"/>
          <w:szCs w:val="26"/>
        </w:rPr>
        <w:fldChar w:fldCharType="separate"/>
      </w:r>
      <w:r>
        <w:rPr>
          <w:rFonts w:hint="default" w:ascii="Arial" w:hAnsi="Arial" w:eastAsia="宋体" w:cs="Arial"/>
          <w:sz w:val="26"/>
          <w:szCs w:val="26"/>
        </w:rPr>
        <w:t>12</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B39AB3A">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_Toc21544 </w:instrText>
      </w:r>
      <w:r>
        <w:rPr>
          <w:rFonts w:hint="default" w:ascii="Arial" w:hAnsi="Arial" w:eastAsia="宋体" w:cs="Arial"/>
          <w:sz w:val="26"/>
          <w:szCs w:val="26"/>
        </w:rPr>
        <w:fldChar w:fldCharType="separate"/>
      </w:r>
      <w:r>
        <w:rPr>
          <w:rFonts w:hint="default" w:ascii="Arial" w:hAnsi="Arial" w:eastAsia="宋体" w:cs="Arial"/>
          <w:kern w:val="0"/>
          <w:sz w:val="26"/>
          <w:szCs w:val="26"/>
          <w:highlight w:val="none"/>
          <w:lang w:val="en-US" w:eastAsia="zh-CN"/>
        </w:rPr>
        <w:t>1.3评价思路</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_Toc21544 \h </w:instrText>
      </w:r>
      <w:r>
        <w:rPr>
          <w:rFonts w:hint="default" w:ascii="Arial" w:hAnsi="Arial" w:eastAsia="宋体" w:cs="Arial"/>
          <w:sz w:val="26"/>
          <w:szCs w:val="26"/>
        </w:rPr>
        <w:fldChar w:fldCharType="separate"/>
      </w:r>
      <w:r>
        <w:rPr>
          <w:rFonts w:hint="default" w:ascii="Arial" w:hAnsi="Arial" w:eastAsia="宋体" w:cs="Arial"/>
          <w:sz w:val="26"/>
          <w:szCs w:val="26"/>
        </w:rPr>
        <w:t>13</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217371F8">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_Toc16550 </w:instrText>
      </w:r>
      <w:r>
        <w:rPr>
          <w:rFonts w:hint="default" w:ascii="Arial" w:hAnsi="Arial" w:eastAsia="宋体" w:cs="Arial"/>
          <w:sz w:val="26"/>
          <w:szCs w:val="26"/>
        </w:rPr>
        <w:fldChar w:fldCharType="separate"/>
      </w:r>
      <w:r>
        <w:rPr>
          <w:rFonts w:hint="default" w:ascii="Arial" w:hAnsi="Arial" w:eastAsia="宋体" w:cs="Arial"/>
          <w:kern w:val="0"/>
          <w:sz w:val="26"/>
          <w:szCs w:val="26"/>
          <w:highlight w:val="none"/>
          <w:lang w:val="en-US" w:eastAsia="zh-CN"/>
        </w:rPr>
        <w:t>1.4评价内容及重点</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_Toc16550 \h </w:instrText>
      </w:r>
      <w:r>
        <w:rPr>
          <w:rFonts w:hint="default" w:ascii="Arial" w:hAnsi="Arial" w:eastAsia="宋体" w:cs="Arial"/>
          <w:sz w:val="26"/>
          <w:szCs w:val="26"/>
        </w:rPr>
        <w:fldChar w:fldCharType="separate"/>
      </w:r>
      <w:r>
        <w:rPr>
          <w:rFonts w:hint="default" w:ascii="Arial" w:hAnsi="Arial" w:eastAsia="宋体" w:cs="Arial"/>
          <w:sz w:val="26"/>
          <w:szCs w:val="26"/>
        </w:rPr>
        <w:t>14</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0F4F9395">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_Toc18862 </w:instrText>
      </w:r>
      <w:r>
        <w:rPr>
          <w:rFonts w:hint="default" w:ascii="Arial" w:hAnsi="Arial" w:eastAsia="宋体" w:cs="Arial"/>
          <w:sz w:val="26"/>
          <w:szCs w:val="26"/>
        </w:rPr>
        <w:fldChar w:fldCharType="separate"/>
      </w:r>
      <w:r>
        <w:rPr>
          <w:rFonts w:hint="default" w:ascii="Arial" w:hAnsi="Arial" w:eastAsia="宋体" w:cs="Arial"/>
          <w:kern w:val="0"/>
          <w:sz w:val="26"/>
          <w:szCs w:val="26"/>
          <w:highlight w:val="none"/>
          <w:lang w:val="en-US" w:eastAsia="zh-CN"/>
        </w:rPr>
        <w:t>1.5环境影响识别和评价因子选择</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_Toc18862 \h </w:instrText>
      </w:r>
      <w:r>
        <w:rPr>
          <w:rFonts w:hint="default" w:ascii="Arial" w:hAnsi="Arial" w:eastAsia="宋体" w:cs="Arial"/>
          <w:sz w:val="26"/>
          <w:szCs w:val="26"/>
        </w:rPr>
        <w:fldChar w:fldCharType="separate"/>
      </w:r>
      <w:r>
        <w:rPr>
          <w:rFonts w:hint="default" w:ascii="Arial" w:hAnsi="Arial" w:eastAsia="宋体" w:cs="Arial"/>
          <w:sz w:val="26"/>
          <w:szCs w:val="26"/>
        </w:rPr>
        <w:t>15</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6AFD413B">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_Toc21981 </w:instrText>
      </w:r>
      <w:r>
        <w:rPr>
          <w:rFonts w:hint="default" w:ascii="Arial" w:hAnsi="Arial" w:eastAsia="宋体" w:cs="Arial"/>
          <w:sz w:val="26"/>
          <w:szCs w:val="26"/>
        </w:rPr>
        <w:fldChar w:fldCharType="separate"/>
      </w:r>
      <w:r>
        <w:rPr>
          <w:rFonts w:hint="default" w:ascii="Arial" w:hAnsi="Arial" w:eastAsia="宋体" w:cs="Arial"/>
          <w:kern w:val="0"/>
          <w:sz w:val="26"/>
          <w:szCs w:val="26"/>
          <w:highlight w:val="none"/>
          <w:lang w:val="en-US" w:eastAsia="zh-CN"/>
        </w:rPr>
        <w:t>1.6评价标准</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_Toc21981 \h </w:instrText>
      </w:r>
      <w:r>
        <w:rPr>
          <w:rFonts w:hint="default" w:ascii="Arial" w:hAnsi="Arial" w:eastAsia="宋体" w:cs="Arial"/>
          <w:sz w:val="26"/>
          <w:szCs w:val="26"/>
        </w:rPr>
        <w:fldChar w:fldCharType="separate"/>
      </w:r>
      <w:r>
        <w:rPr>
          <w:rFonts w:hint="default" w:ascii="Arial" w:hAnsi="Arial" w:eastAsia="宋体" w:cs="Arial"/>
          <w:sz w:val="26"/>
          <w:szCs w:val="26"/>
        </w:rPr>
        <w:t>18</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2A855588">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_Toc28390 </w:instrText>
      </w:r>
      <w:r>
        <w:rPr>
          <w:rFonts w:hint="default" w:ascii="Arial" w:hAnsi="Arial" w:eastAsia="宋体" w:cs="Arial"/>
          <w:sz w:val="26"/>
          <w:szCs w:val="26"/>
        </w:rPr>
        <w:fldChar w:fldCharType="separate"/>
      </w:r>
      <w:r>
        <w:rPr>
          <w:rFonts w:hint="default" w:ascii="Arial" w:hAnsi="Arial" w:eastAsia="宋体" w:cs="Arial"/>
          <w:kern w:val="0"/>
          <w:sz w:val="26"/>
          <w:szCs w:val="26"/>
          <w:highlight w:val="none"/>
          <w:lang w:val="en-US" w:eastAsia="zh-CN"/>
        </w:rPr>
        <w:t>1.7评价工作等级、范围</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_Toc28390 \h </w:instrText>
      </w:r>
      <w:r>
        <w:rPr>
          <w:rFonts w:hint="default" w:ascii="Arial" w:hAnsi="Arial" w:eastAsia="宋体" w:cs="Arial"/>
          <w:sz w:val="26"/>
          <w:szCs w:val="26"/>
        </w:rPr>
        <w:fldChar w:fldCharType="separate"/>
      </w:r>
      <w:r>
        <w:rPr>
          <w:rFonts w:hint="default" w:ascii="Arial" w:hAnsi="Arial" w:eastAsia="宋体" w:cs="Arial"/>
          <w:sz w:val="26"/>
          <w:szCs w:val="26"/>
        </w:rPr>
        <w:t>23</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A4BD184">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_Toc17468 </w:instrText>
      </w:r>
      <w:r>
        <w:rPr>
          <w:rFonts w:hint="default" w:ascii="Arial" w:hAnsi="Arial" w:eastAsia="宋体" w:cs="Arial"/>
          <w:sz w:val="26"/>
          <w:szCs w:val="26"/>
        </w:rPr>
        <w:fldChar w:fldCharType="separate"/>
      </w:r>
      <w:r>
        <w:rPr>
          <w:rFonts w:hint="default" w:ascii="Arial" w:hAnsi="Arial" w:eastAsia="宋体" w:cs="Arial"/>
          <w:kern w:val="0"/>
          <w:sz w:val="26"/>
          <w:szCs w:val="26"/>
          <w:highlight w:val="none"/>
          <w:lang w:val="en-US" w:eastAsia="zh-CN"/>
        </w:rPr>
        <w:t>1.8环境保护目标</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_Toc17468 \h </w:instrText>
      </w:r>
      <w:r>
        <w:rPr>
          <w:rFonts w:hint="default" w:ascii="Arial" w:hAnsi="Arial" w:eastAsia="宋体" w:cs="Arial"/>
          <w:sz w:val="26"/>
          <w:szCs w:val="26"/>
        </w:rPr>
        <w:fldChar w:fldCharType="separate"/>
      </w:r>
      <w:r>
        <w:rPr>
          <w:rFonts w:hint="default" w:ascii="Arial" w:hAnsi="Arial" w:eastAsia="宋体" w:cs="Arial"/>
          <w:sz w:val="26"/>
          <w:szCs w:val="26"/>
        </w:rPr>
        <w:t>25</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27FD0E5A">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_Toc16285 </w:instrText>
      </w:r>
      <w:r>
        <w:rPr>
          <w:rFonts w:hint="default" w:ascii="Arial" w:hAnsi="Arial" w:eastAsia="宋体" w:cs="Arial"/>
          <w:sz w:val="26"/>
          <w:szCs w:val="26"/>
        </w:rPr>
        <w:fldChar w:fldCharType="separate"/>
      </w:r>
      <w:r>
        <w:rPr>
          <w:rFonts w:hint="default" w:ascii="Arial" w:hAnsi="Arial" w:eastAsia="宋体" w:cs="Arial"/>
          <w:sz w:val="26"/>
          <w:szCs w:val="26"/>
        </w:rPr>
        <w:t>1.</w:t>
      </w:r>
      <w:r>
        <w:rPr>
          <w:rFonts w:hint="default" w:ascii="Arial" w:hAnsi="Arial" w:eastAsia="宋体" w:cs="Arial"/>
          <w:sz w:val="26"/>
          <w:szCs w:val="26"/>
          <w:lang w:val="en-US" w:eastAsia="zh-CN"/>
        </w:rPr>
        <w:t>9</w:t>
      </w:r>
      <w:r>
        <w:rPr>
          <w:rFonts w:hint="default" w:ascii="Arial" w:hAnsi="Arial" w:eastAsia="宋体" w:cs="Arial"/>
          <w:sz w:val="26"/>
          <w:szCs w:val="26"/>
        </w:rPr>
        <w:t>产业政策和规划符合性分析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_Toc16285 \h </w:instrText>
      </w:r>
      <w:r>
        <w:rPr>
          <w:rFonts w:hint="default" w:ascii="Arial" w:hAnsi="Arial" w:eastAsia="宋体" w:cs="Arial"/>
          <w:sz w:val="26"/>
          <w:szCs w:val="26"/>
        </w:rPr>
        <w:fldChar w:fldCharType="separate"/>
      </w:r>
      <w:r>
        <w:rPr>
          <w:rFonts w:hint="default" w:ascii="Arial" w:hAnsi="Arial" w:eastAsia="宋体" w:cs="Arial"/>
          <w:sz w:val="26"/>
          <w:szCs w:val="26"/>
        </w:rPr>
        <w:t>43</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0A72BE14">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_Toc1348 </w:instrText>
      </w:r>
      <w:r>
        <w:rPr>
          <w:rFonts w:hint="default" w:ascii="Arial" w:hAnsi="Arial" w:eastAsia="宋体" w:cs="Arial"/>
          <w:sz w:val="26"/>
          <w:szCs w:val="26"/>
        </w:rPr>
        <w:fldChar w:fldCharType="separate"/>
      </w:r>
      <w:r>
        <w:rPr>
          <w:rFonts w:hint="default" w:ascii="Arial" w:hAnsi="Arial" w:eastAsia="宋体" w:cs="Arial"/>
          <w:sz w:val="26"/>
          <w:szCs w:val="26"/>
        </w:rPr>
        <w:t>1.</w:t>
      </w:r>
      <w:r>
        <w:rPr>
          <w:rFonts w:hint="default" w:ascii="Arial" w:hAnsi="Arial" w:eastAsia="宋体" w:cs="Arial"/>
          <w:sz w:val="26"/>
          <w:szCs w:val="26"/>
          <w:lang w:val="en-US" w:eastAsia="zh-CN"/>
        </w:rPr>
        <w:t>10</w:t>
      </w:r>
      <w:r>
        <w:rPr>
          <w:rFonts w:hint="default" w:ascii="Arial" w:hAnsi="Arial" w:eastAsia="宋体" w:cs="Arial"/>
          <w:sz w:val="26"/>
          <w:szCs w:val="26"/>
          <w:lang w:eastAsia="zh-CN"/>
        </w:rPr>
        <w:t>项目选址选线合理性分析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_Toc1348 \h </w:instrText>
      </w:r>
      <w:r>
        <w:rPr>
          <w:rFonts w:hint="default" w:ascii="Arial" w:hAnsi="Arial" w:eastAsia="宋体" w:cs="Arial"/>
          <w:sz w:val="26"/>
          <w:szCs w:val="26"/>
        </w:rPr>
        <w:fldChar w:fldCharType="separate"/>
      </w:r>
      <w:r>
        <w:rPr>
          <w:rFonts w:hint="default" w:ascii="Arial" w:hAnsi="Arial" w:eastAsia="宋体" w:cs="Arial"/>
          <w:sz w:val="26"/>
          <w:szCs w:val="26"/>
        </w:rPr>
        <w:t>68</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6C295916">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_Toc20252 </w:instrText>
      </w:r>
      <w:r>
        <w:rPr>
          <w:rFonts w:hint="default" w:ascii="Arial" w:hAnsi="Arial" w:eastAsia="宋体" w:cs="Arial"/>
          <w:sz w:val="26"/>
          <w:szCs w:val="26"/>
        </w:rPr>
        <w:fldChar w:fldCharType="separate"/>
      </w:r>
      <w:r>
        <w:rPr>
          <w:rFonts w:hint="default" w:ascii="Arial" w:hAnsi="Arial" w:eastAsia="宋体" w:cs="Arial"/>
          <w:sz w:val="26"/>
          <w:szCs w:val="26"/>
        </w:rPr>
        <w:t>2 工程概况</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_Toc20252 \h </w:instrText>
      </w:r>
      <w:r>
        <w:rPr>
          <w:rFonts w:hint="default" w:ascii="Arial" w:hAnsi="Arial" w:eastAsia="宋体" w:cs="Arial"/>
          <w:sz w:val="26"/>
          <w:szCs w:val="26"/>
        </w:rPr>
        <w:fldChar w:fldCharType="separate"/>
      </w:r>
      <w:r>
        <w:rPr>
          <w:rFonts w:hint="default" w:ascii="Arial" w:hAnsi="Arial" w:eastAsia="宋体" w:cs="Arial"/>
          <w:sz w:val="26"/>
          <w:szCs w:val="26"/>
        </w:rPr>
        <w:t>76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52C1483D">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_Toc6805 </w:instrText>
      </w:r>
      <w:r>
        <w:rPr>
          <w:rFonts w:hint="default" w:ascii="Arial" w:hAnsi="Arial" w:eastAsia="宋体" w:cs="Arial"/>
          <w:sz w:val="26"/>
          <w:szCs w:val="26"/>
        </w:rPr>
        <w:fldChar w:fldCharType="separate"/>
      </w:r>
      <w:r>
        <w:rPr>
          <w:rFonts w:hint="default" w:ascii="Arial" w:hAnsi="Arial" w:eastAsia="宋体" w:cs="Arial"/>
          <w:sz w:val="26"/>
          <w:szCs w:val="26"/>
        </w:rPr>
        <w:t>2.1</w:t>
      </w:r>
      <w:r>
        <w:rPr>
          <w:rFonts w:hint="default" w:ascii="Arial" w:hAnsi="Arial" w:eastAsia="宋体" w:cs="Arial"/>
          <w:sz w:val="26"/>
          <w:szCs w:val="26"/>
          <w:lang w:eastAsia="zh-CN"/>
        </w:rPr>
        <w:t>地理位置</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_Toc6805 \h </w:instrText>
      </w:r>
      <w:r>
        <w:rPr>
          <w:rFonts w:hint="default" w:ascii="Arial" w:hAnsi="Arial" w:eastAsia="宋体" w:cs="Arial"/>
          <w:sz w:val="26"/>
          <w:szCs w:val="26"/>
        </w:rPr>
        <w:fldChar w:fldCharType="separate"/>
      </w:r>
      <w:r>
        <w:rPr>
          <w:rFonts w:hint="default" w:ascii="Arial" w:hAnsi="Arial" w:eastAsia="宋体" w:cs="Arial"/>
          <w:sz w:val="26"/>
          <w:szCs w:val="26"/>
        </w:rPr>
        <w:t>76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0A86AF19">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_Toc4311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2.2既有公路现状</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_Toc4311 \h </w:instrText>
      </w:r>
      <w:r>
        <w:rPr>
          <w:rFonts w:hint="default" w:ascii="Arial" w:hAnsi="Arial" w:eastAsia="宋体" w:cs="Arial"/>
          <w:sz w:val="26"/>
          <w:szCs w:val="26"/>
        </w:rPr>
        <w:fldChar w:fldCharType="separate"/>
      </w:r>
      <w:r>
        <w:rPr>
          <w:rFonts w:hint="default" w:ascii="Arial" w:hAnsi="Arial" w:eastAsia="宋体" w:cs="Arial"/>
          <w:sz w:val="26"/>
          <w:szCs w:val="26"/>
        </w:rPr>
        <w:t>76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3799923C">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_Toc26876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2.3项目基本概况</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_Toc26876 \h </w:instrText>
      </w:r>
      <w:r>
        <w:rPr>
          <w:rFonts w:hint="default" w:ascii="Arial" w:hAnsi="Arial" w:eastAsia="宋体" w:cs="Arial"/>
          <w:sz w:val="26"/>
          <w:szCs w:val="26"/>
        </w:rPr>
        <w:fldChar w:fldCharType="separate"/>
      </w:r>
      <w:r>
        <w:rPr>
          <w:rFonts w:hint="default" w:ascii="Arial" w:hAnsi="Arial" w:eastAsia="宋体" w:cs="Arial"/>
          <w:sz w:val="26"/>
          <w:szCs w:val="26"/>
        </w:rPr>
        <w:t>77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53273B2F">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_Toc8445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2.4项目组成及建设规模</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_Toc8445 \h </w:instrText>
      </w:r>
      <w:r>
        <w:rPr>
          <w:rFonts w:hint="default" w:ascii="Arial" w:hAnsi="Arial" w:eastAsia="宋体" w:cs="Arial"/>
          <w:sz w:val="26"/>
          <w:szCs w:val="26"/>
        </w:rPr>
        <w:fldChar w:fldCharType="separate"/>
      </w:r>
      <w:r>
        <w:rPr>
          <w:rFonts w:hint="default" w:ascii="Arial" w:hAnsi="Arial" w:eastAsia="宋体" w:cs="Arial"/>
          <w:sz w:val="26"/>
          <w:szCs w:val="26"/>
        </w:rPr>
        <w:t>77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6A0C39F1">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_Toc9242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2.5交通量预测</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_Toc9242 \h </w:instrText>
      </w:r>
      <w:r>
        <w:rPr>
          <w:rFonts w:hint="default" w:ascii="Arial" w:hAnsi="Arial" w:eastAsia="宋体" w:cs="Arial"/>
          <w:sz w:val="26"/>
          <w:szCs w:val="26"/>
        </w:rPr>
        <w:fldChar w:fldCharType="separate"/>
      </w:r>
      <w:r>
        <w:rPr>
          <w:rFonts w:hint="default" w:ascii="Arial" w:hAnsi="Arial" w:eastAsia="宋体" w:cs="Arial"/>
          <w:sz w:val="26"/>
          <w:szCs w:val="26"/>
        </w:rPr>
        <w:t>81</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0E3B8E8">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_Toc5141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2.6项目建设方案</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_Toc5141 \h </w:instrText>
      </w:r>
      <w:r>
        <w:rPr>
          <w:rFonts w:hint="default" w:ascii="Arial" w:hAnsi="Arial" w:eastAsia="宋体" w:cs="Arial"/>
          <w:sz w:val="26"/>
          <w:szCs w:val="26"/>
        </w:rPr>
        <w:fldChar w:fldCharType="separate"/>
      </w:r>
      <w:r>
        <w:rPr>
          <w:rFonts w:hint="default" w:ascii="Arial" w:hAnsi="Arial" w:eastAsia="宋体" w:cs="Arial"/>
          <w:sz w:val="26"/>
          <w:szCs w:val="26"/>
        </w:rPr>
        <w:t>82</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2B3B902">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_Toc4184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2.7临时工程</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_Toc4184 \h </w:instrText>
      </w:r>
      <w:r>
        <w:rPr>
          <w:rFonts w:hint="default" w:ascii="Arial" w:hAnsi="Arial" w:eastAsia="宋体" w:cs="Arial"/>
          <w:sz w:val="26"/>
          <w:szCs w:val="26"/>
        </w:rPr>
        <w:fldChar w:fldCharType="separate"/>
      </w:r>
      <w:r>
        <w:rPr>
          <w:rFonts w:hint="default" w:ascii="Arial" w:hAnsi="Arial" w:eastAsia="宋体" w:cs="Arial"/>
          <w:sz w:val="26"/>
          <w:szCs w:val="26"/>
        </w:rPr>
        <w:t>98</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26BE8D5D">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_Toc21132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2.8土石方平衡及占地</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_Toc21132 \h </w:instrText>
      </w:r>
      <w:r>
        <w:rPr>
          <w:rFonts w:hint="default" w:ascii="Arial" w:hAnsi="Arial" w:eastAsia="宋体" w:cs="Arial"/>
          <w:sz w:val="26"/>
          <w:szCs w:val="26"/>
        </w:rPr>
        <w:fldChar w:fldCharType="separate"/>
      </w:r>
      <w:r>
        <w:rPr>
          <w:rFonts w:hint="default" w:ascii="Arial" w:hAnsi="Arial" w:eastAsia="宋体" w:cs="Arial"/>
          <w:sz w:val="26"/>
          <w:szCs w:val="26"/>
        </w:rPr>
        <w:t>100</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5E52C9CE">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_Toc13909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2.9施工组织</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_Toc13909 \h </w:instrText>
      </w:r>
      <w:r>
        <w:rPr>
          <w:rFonts w:hint="default" w:ascii="Arial" w:hAnsi="Arial" w:eastAsia="宋体" w:cs="Arial"/>
          <w:sz w:val="26"/>
          <w:szCs w:val="26"/>
        </w:rPr>
        <w:fldChar w:fldCharType="separate"/>
      </w:r>
      <w:r>
        <w:rPr>
          <w:rFonts w:hint="default" w:ascii="Arial" w:hAnsi="Arial" w:eastAsia="宋体" w:cs="Arial"/>
          <w:sz w:val="26"/>
          <w:szCs w:val="26"/>
        </w:rPr>
        <w:t>103</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52BB2C25">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_Toc22979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2.10工程投资及资金筹措</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_Toc22979 \h </w:instrText>
      </w:r>
      <w:r>
        <w:rPr>
          <w:rFonts w:hint="default" w:ascii="Arial" w:hAnsi="Arial" w:eastAsia="宋体" w:cs="Arial"/>
          <w:sz w:val="26"/>
          <w:szCs w:val="26"/>
        </w:rPr>
        <w:fldChar w:fldCharType="separate"/>
      </w:r>
      <w:r>
        <w:rPr>
          <w:rFonts w:hint="default" w:ascii="Arial" w:hAnsi="Arial" w:eastAsia="宋体" w:cs="Arial"/>
          <w:sz w:val="26"/>
          <w:szCs w:val="26"/>
        </w:rPr>
        <w:t>104</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413DCF21">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_Toc3895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2.11主要技术指标</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_Toc3895 \h </w:instrText>
      </w:r>
      <w:r>
        <w:rPr>
          <w:rFonts w:hint="default" w:ascii="Arial" w:hAnsi="Arial" w:eastAsia="宋体" w:cs="Arial"/>
          <w:sz w:val="26"/>
          <w:szCs w:val="26"/>
        </w:rPr>
        <w:fldChar w:fldCharType="separate"/>
      </w:r>
      <w:r>
        <w:rPr>
          <w:rFonts w:hint="default" w:ascii="Arial" w:hAnsi="Arial" w:eastAsia="宋体" w:cs="Arial"/>
          <w:sz w:val="26"/>
          <w:szCs w:val="26"/>
        </w:rPr>
        <w:t>104</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36B6BA5F">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_Toc13059 </w:instrText>
      </w:r>
      <w:r>
        <w:rPr>
          <w:rFonts w:hint="default" w:ascii="Arial" w:hAnsi="Arial" w:eastAsia="宋体" w:cs="Arial"/>
          <w:sz w:val="26"/>
          <w:szCs w:val="26"/>
        </w:rPr>
        <w:fldChar w:fldCharType="separate"/>
      </w:r>
      <w:r>
        <w:rPr>
          <w:rFonts w:hint="default" w:ascii="Arial" w:hAnsi="Arial" w:eastAsia="宋体" w:cs="Arial"/>
          <w:sz w:val="26"/>
          <w:szCs w:val="26"/>
          <w:highlight w:val="none"/>
        </w:rPr>
        <w:t>3 工程分析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_Toc13059 \h </w:instrText>
      </w:r>
      <w:r>
        <w:rPr>
          <w:rFonts w:hint="default" w:ascii="Arial" w:hAnsi="Arial" w:eastAsia="宋体" w:cs="Arial"/>
          <w:sz w:val="26"/>
          <w:szCs w:val="26"/>
        </w:rPr>
        <w:fldChar w:fldCharType="separate"/>
      </w:r>
      <w:r>
        <w:rPr>
          <w:rFonts w:hint="default" w:ascii="Arial" w:hAnsi="Arial" w:eastAsia="宋体" w:cs="Arial"/>
          <w:sz w:val="26"/>
          <w:szCs w:val="26"/>
        </w:rPr>
        <w:t>107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66498DDC">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_Toc2262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3.1施工工艺</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_Toc2262 \h </w:instrText>
      </w:r>
      <w:r>
        <w:rPr>
          <w:rFonts w:hint="default" w:ascii="Arial" w:hAnsi="Arial" w:eastAsia="宋体" w:cs="Arial"/>
          <w:sz w:val="26"/>
          <w:szCs w:val="26"/>
        </w:rPr>
        <w:fldChar w:fldCharType="separate"/>
      </w:r>
      <w:r>
        <w:rPr>
          <w:rFonts w:hint="default" w:ascii="Arial" w:hAnsi="Arial" w:eastAsia="宋体" w:cs="Arial"/>
          <w:sz w:val="26"/>
          <w:szCs w:val="26"/>
        </w:rPr>
        <w:t>107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29274AD9">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_Toc23202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3.2施工期环境影响分析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_Toc23202 \h </w:instrText>
      </w:r>
      <w:r>
        <w:rPr>
          <w:rFonts w:hint="default" w:ascii="Arial" w:hAnsi="Arial" w:eastAsia="宋体" w:cs="Arial"/>
          <w:sz w:val="26"/>
          <w:szCs w:val="26"/>
        </w:rPr>
        <w:fldChar w:fldCharType="separate"/>
      </w:r>
      <w:r>
        <w:rPr>
          <w:rFonts w:hint="default" w:ascii="Arial" w:hAnsi="Arial" w:eastAsia="宋体" w:cs="Arial"/>
          <w:sz w:val="26"/>
          <w:szCs w:val="26"/>
        </w:rPr>
        <w:t>112</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48377556">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sectPr>
          <w:headerReference r:id="rId9" w:type="first"/>
          <w:footerReference r:id="rId11" w:type="first"/>
          <w:headerReference r:id="rId8" w:type="default"/>
          <w:footerReference r:id="rId10" w:type="default"/>
          <w:pgSz w:w="12240" w:h="15840"/>
          <w:pgMar w:top="1440" w:right="1701" w:bottom="1440" w:left="1701" w:header="794" w:footer="794" w:gutter="0"/>
          <w:pgBorders>
            <w:top w:val="none" w:sz="0" w:space="0"/>
            <w:left w:val="none" w:sz="0" w:space="0"/>
            <w:bottom w:val="none" w:sz="0" w:space="0"/>
            <w:right w:val="none" w:sz="0" w:space="0"/>
          </w:pgBorders>
          <w:pgNumType w:fmt="upperRoman" w:start="1"/>
          <w:cols w:space="720" w:num="1"/>
          <w:titlePg/>
        </w:sectPr>
      </w:pPr>
    </w:p>
    <w:p w14:paraId="718C6799">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_Toc26272 </w:instrText>
      </w:r>
      <w:r>
        <w:rPr>
          <w:rFonts w:hint="default" w:ascii="Arial" w:hAnsi="Arial" w:eastAsia="宋体" w:cs="Arial"/>
          <w:sz w:val="26"/>
          <w:szCs w:val="26"/>
        </w:rPr>
        <w:fldChar w:fldCharType="separate"/>
      </w:r>
      <w:r>
        <w:rPr>
          <w:rFonts w:hint="default" w:ascii="Arial" w:hAnsi="Arial" w:eastAsia="宋体" w:cs="Arial"/>
          <w:sz w:val="26"/>
          <w:szCs w:val="26"/>
        </w:rPr>
        <w:t>3.3 营运期</w:t>
      </w:r>
      <w:r>
        <w:rPr>
          <w:rFonts w:hint="default" w:ascii="Arial" w:hAnsi="Arial" w:eastAsia="宋体" w:cs="Arial"/>
          <w:sz w:val="26"/>
          <w:szCs w:val="26"/>
          <w:lang w:eastAsia="zh-CN"/>
        </w:rPr>
        <w:t>环境影响</w:t>
      </w:r>
      <w:r>
        <w:rPr>
          <w:rFonts w:hint="default" w:ascii="Arial" w:hAnsi="Arial" w:eastAsia="宋体" w:cs="Arial"/>
          <w:sz w:val="26"/>
          <w:szCs w:val="26"/>
        </w:rPr>
        <w:t>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_Toc26272 \h </w:instrText>
      </w:r>
      <w:r>
        <w:rPr>
          <w:rFonts w:hint="default" w:ascii="Arial" w:hAnsi="Arial" w:eastAsia="宋体" w:cs="Arial"/>
          <w:sz w:val="26"/>
          <w:szCs w:val="26"/>
        </w:rPr>
        <w:fldChar w:fldCharType="separate"/>
      </w:r>
      <w:r>
        <w:rPr>
          <w:rFonts w:hint="default" w:ascii="Arial" w:hAnsi="Arial" w:eastAsia="宋体" w:cs="Arial"/>
          <w:sz w:val="26"/>
          <w:szCs w:val="26"/>
        </w:rPr>
        <w:t>118</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2D71A5C6">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_Toc3317 </w:instrText>
      </w:r>
      <w:r>
        <w:rPr>
          <w:rFonts w:hint="default" w:ascii="Arial" w:hAnsi="Arial" w:eastAsia="宋体" w:cs="Arial"/>
          <w:sz w:val="26"/>
          <w:szCs w:val="26"/>
        </w:rPr>
        <w:fldChar w:fldCharType="separate"/>
      </w:r>
      <w:r>
        <w:rPr>
          <w:rFonts w:hint="default" w:ascii="Arial" w:hAnsi="Arial" w:eastAsia="宋体" w:cs="Arial"/>
          <w:sz w:val="26"/>
          <w:szCs w:val="26"/>
          <w:highlight w:val="none"/>
        </w:rPr>
        <w:t>4 区域环境概况</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_Toc3317 \h </w:instrText>
      </w:r>
      <w:r>
        <w:rPr>
          <w:rFonts w:hint="default" w:ascii="Arial" w:hAnsi="Arial" w:eastAsia="宋体" w:cs="Arial"/>
          <w:sz w:val="26"/>
          <w:szCs w:val="26"/>
        </w:rPr>
        <w:fldChar w:fldCharType="separate"/>
      </w:r>
      <w:r>
        <w:rPr>
          <w:rFonts w:hint="default" w:ascii="Arial" w:hAnsi="Arial" w:eastAsia="宋体" w:cs="Arial"/>
          <w:sz w:val="26"/>
          <w:szCs w:val="26"/>
        </w:rPr>
        <w:t>126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6EE591C0">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_Toc4030 </w:instrText>
      </w:r>
      <w:r>
        <w:rPr>
          <w:rFonts w:hint="default" w:ascii="Arial" w:hAnsi="Arial" w:eastAsia="宋体" w:cs="Arial"/>
          <w:sz w:val="26"/>
          <w:szCs w:val="26"/>
        </w:rPr>
        <w:fldChar w:fldCharType="separate"/>
      </w:r>
      <w:r>
        <w:rPr>
          <w:rFonts w:hint="default" w:ascii="Arial" w:hAnsi="Arial" w:eastAsia="宋体" w:cs="Arial"/>
          <w:sz w:val="26"/>
          <w:szCs w:val="26"/>
        </w:rPr>
        <w:t>4.1自然环境概况</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_Toc4030 \h </w:instrText>
      </w:r>
      <w:r>
        <w:rPr>
          <w:rFonts w:hint="default" w:ascii="Arial" w:hAnsi="Arial" w:eastAsia="宋体" w:cs="Arial"/>
          <w:sz w:val="26"/>
          <w:szCs w:val="26"/>
        </w:rPr>
        <w:fldChar w:fldCharType="separate"/>
      </w:r>
      <w:r>
        <w:rPr>
          <w:rFonts w:hint="default" w:ascii="Arial" w:hAnsi="Arial" w:eastAsia="宋体" w:cs="Arial"/>
          <w:sz w:val="26"/>
          <w:szCs w:val="26"/>
        </w:rPr>
        <w:t>126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05B1891">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_Toc26620 </w:instrText>
      </w:r>
      <w:r>
        <w:rPr>
          <w:rFonts w:hint="default" w:ascii="Arial" w:hAnsi="Arial" w:eastAsia="宋体" w:cs="Arial"/>
          <w:sz w:val="26"/>
          <w:szCs w:val="26"/>
        </w:rPr>
        <w:fldChar w:fldCharType="separate"/>
      </w:r>
      <w:r>
        <w:rPr>
          <w:rFonts w:hint="default" w:ascii="Arial" w:hAnsi="Arial" w:eastAsia="宋体" w:cs="Arial"/>
          <w:sz w:val="26"/>
          <w:szCs w:val="26"/>
          <w:highlight w:val="none"/>
        </w:rPr>
        <w:t>4.2</w:t>
      </w:r>
      <w:r>
        <w:rPr>
          <w:rFonts w:hint="default" w:ascii="Arial" w:hAnsi="Arial" w:eastAsia="宋体" w:cs="Arial"/>
          <w:sz w:val="26"/>
          <w:szCs w:val="26"/>
          <w:highlight w:val="none"/>
          <w:lang w:eastAsia="zh-CN"/>
        </w:rPr>
        <w:t>生态敏感区</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_Toc26620 \h </w:instrText>
      </w:r>
      <w:r>
        <w:rPr>
          <w:rFonts w:hint="default" w:ascii="Arial" w:hAnsi="Arial" w:eastAsia="宋体" w:cs="Arial"/>
          <w:sz w:val="26"/>
          <w:szCs w:val="26"/>
        </w:rPr>
        <w:fldChar w:fldCharType="separate"/>
      </w:r>
      <w:r>
        <w:rPr>
          <w:rFonts w:hint="default" w:ascii="Arial" w:hAnsi="Arial" w:eastAsia="宋体" w:cs="Arial"/>
          <w:sz w:val="26"/>
          <w:szCs w:val="26"/>
        </w:rPr>
        <w:t>133</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93254F5">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_Toc14247 </w:instrText>
      </w:r>
      <w:r>
        <w:rPr>
          <w:rFonts w:hint="default" w:ascii="Arial" w:hAnsi="Arial" w:eastAsia="宋体" w:cs="Arial"/>
          <w:sz w:val="26"/>
          <w:szCs w:val="26"/>
        </w:rPr>
        <w:fldChar w:fldCharType="separate"/>
      </w:r>
      <w:r>
        <w:rPr>
          <w:rFonts w:hint="default" w:ascii="Arial" w:hAnsi="Arial" w:eastAsia="宋体" w:cs="Arial"/>
          <w:sz w:val="26"/>
          <w:szCs w:val="26"/>
          <w:highlight w:val="none"/>
          <w:lang w:val="en-US" w:eastAsia="zh-CN"/>
        </w:rPr>
        <w:t>4.3</w:t>
      </w:r>
      <w:r>
        <w:rPr>
          <w:rFonts w:hint="default" w:ascii="Arial" w:hAnsi="Arial" w:eastAsia="宋体" w:cs="Arial"/>
          <w:sz w:val="26"/>
          <w:szCs w:val="26"/>
          <w:highlight w:val="none"/>
        </w:rPr>
        <w:t>生态现状调查与评价</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_Toc14247 \h </w:instrText>
      </w:r>
      <w:r>
        <w:rPr>
          <w:rFonts w:hint="default" w:ascii="Arial" w:hAnsi="Arial" w:eastAsia="宋体" w:cs="Arial"/>
          <w:sz w:val="26"/>
          <w:szCs w:val="26"/>
        </w:rPr>
        <w:fldChar w:fldCharType="separate"/>
      </w:r>
      <w:r>
        <w:rPr>
          <w:rFonts w:hint="default" w:ascii="Arial" w:hAnsi="Arial" w:eastAsia="宋体" w:cs="Arial"/>
          <w:sz w:val="26"/>
          <w:szCs w:val="26"/>
        </w:rPr>
        <w:t>134</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5A087E78">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_Toc30748 </w:instrText>
      </w:r>
      <w:r>
        <w:rPr>
          <w:rFonts w:hint="default" w:ascii="Arial" w:hAnsi="Arial" w:eastAsia="宋体" w:cs="Arial"/>
          <w:sz w:val="26"/>
          <w:szCs w:val="26"/>
        </w:rPr>
        <w:fldChar w:fldCharType="separate"/>
      </w:r>
      <w:r>
        <w:rPr>
          <w:rFonts w:hint="default" w:ascii="Arial" w:hAnsi="Arial" w:eastAsia="宋体" w:cs="Arial"/>
          <w:sz w:val="26"/>
          <w:szCs w:val="26"/>
        </w:rPr>
        <w:t>4.</w:t>
      </w:r>
      <w:r>
        <w:rPr>
          <w:rFonts w:hint="default" w:ascii="Arial" w:hAnsi="Arial" w:eastAsia="宋体" w:cs="Arial"/>
          <w:sz w:val="26"/>
          <w:szCs w:val="26"/>
          <w:lang w:val="en-US" w:eastAsia="zh-CN"/>
        </w:rPr>
        <w:t>4</w:t>
      </w:r>
      <w:r>
        <w:rPr>
          <w:rFonts w:hint="default" w:ascii="Arial" w:hAnsi="Arial" w:eastAsia="宋体" w:cs="Arial"/>
          <w:sz w:val="26"/>
          <w:szCs w:val="26"/>
        </w:rPr>
        <w:t>环境质量现状调查与评价</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_Toc30748 \h </w:instrText>
      </w:r>
      <w:r>
        <w:rPr>
          <w:rFonts w:hint="default" w:ascii="Arial" w:hAnsi="Arial" w:eastAsia="宋体" w:cs="Arial"/>
          <w:sz w:val="26"/>
          <w:szCs w:val="26"/>
        </w:rPr>
        <w:fldChar w:fldCharType="separate"/>
      </w:r>
      <w:r>
        <w:rPr>
          <w:rFonts w:hint="default" w:ascii="Arial" w:hAnsi="Arial" w:eastAsia="宋体" w:cs="Arial"/>
          <w:sz w:val="26"/>
          <w:szCs w:val="26"/>
        </w:rPr>
        <w:t>171</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07AB419E">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_Toc18066 </w:instrText>
      </w:r>
      <w:r>
        <w:rPr>
          <w:rFonts w:hint="default" w:ascii="Arial" w:hAnsi="Arial" w:eastAsia="宋体" w:cs="Arial"/>
          <w:sz w:val="26"/>
          <w:szCs w:val="26"/>
        </w:rPr>
        <w:fldChar w:fldCharType="separate"/>
      </w:r>
      <w:r>
        <w:rPr>
          <w:rFonts w:hint="default" w:ascii="Arial" w:hAnsi="Arial" w:eastAsia="宋体" w:cs="Arial"/>
          <w:sz w:val="26"/>
          <w:szCs w:val="26"/>
        </w:rPr>
        <w:t>5 施工期环境影响分析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_Toc18066 \h </w:instrText>
      </w:r>
      <w:r>
        <w:rPr>
          <w:rFonts w:hint="default" w:ascii="Arial" w:hAnsi="Arial" w:eastAsia="宋体" w:cs="Arial"/>
          <w:sz w:val="26"/>
          <w:szCs w:val="26"/>
        </w:rPr>
        <w:fldChar w:fldCharType="separate"/>
      </w:r>
      <w:r>
        <w:rPr>
          <w:rFonts w:hint="default" w:ascii="Arial" w:hAnsi="Arial" w:eastAsia="宋体" w:cs="Arial"/>
          <w:sz w:val="26"/>
          <w:szCs w:val="26"/>
        </w:rPr>
        <w:t>179</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4E0BE56">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_Toc30742 </w:instrText>
      </w:r>
      <w:r>
        <w:rPr>
          <w:rFonts w:hint="default" w:ascii="Arial" w:hAnsi="Arial" w:eastAsia="宋体" w:cs="Arial"/>
          <w:sz w:val="26"/>
          <w:szCs w:val="26"/>
        </w:rPr>
        <w:fldChar w:fldCharType="separate"/>
      </w:r>
      <w:r>
        <w:rPr>
          <w:rFonts w:hint="default" w:ascii="Arial" w:hAnsi="Arial" w:eastAsia="宋体" w:cs="Arial"/>
          <w:sz w:val="26"/>
          <w:szCs w:val="26"/>
        </w:rPr>
        <w:t>5.1施工期噪声及振动影响分析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_Toc30742 \h </w:instrText>
      </w:r>
      <w:r>
        <w:rPr>
          <w:rFonts w:hint="default" w:ascii="Arial" w:hAnsi="Arial" w:eastAsia="宋体" w:cs="Arial"/>
          <w:sz w:val="26"/>
          <w:szCs w:val="26"/>
        </w:rPr>
        <w:fldChar w:fldCharType="separate"/>
      </w:r>
      <w:r>
        <w:rPr>
          <w:rFonts w:hint="default" w:ascii="Arial" w:hAnsi="Arial" w:eastAsia="宋体" w:cs="Arial"/>
          <w:sz w:val="26"/>
          <w:szCs w:val="26"/>
        </w:rPr>
        <w:t>179</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0D33FF9B">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_Toc20805 </w:instrText>
      </w:r>
      <w:r>
        <w:rPr>
          <w:rFonts w:hint="default" w:ascii="Arial" w:hAnsi="Arial" w:eastAsia="宋体" w:cs="Arial"/>
          <w:sz w:val="26"/>
          <w:szCs w:val="26"/>
        </w:rPr>
        <w:fldChar w:fldCharType="separate"/>
      </w:r>
      <w:r>
        <w:rPr>
          <w:rFonts w:hint="default" w:ascii="Arial" w:hAnsi="Arial" w:eastAsia="宋体" w:cs="Arial"/>
          <w:sz w:val="26"/>
          <w:szCs w:val="26"/>
        </w:rPr>
        <w:t>5.2 施工期地表水环境影响分析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_Toc20805 \h </w:instrText>
      </w:r>
      <w:r>
        <w:rPr>
          <w:rFonts w:hint="default" w:ascii="Arial" w:hAnsi="Arial" w:eastAsia="宋体" w:cs="Arial"/>
          <w:sz w:val="26"/>
          <w:szCs w:val="26"/>
        </w:rPr>
        <w:fldChar w:fldCharType="separate"/>
      </w:r>
      <w:r>
        <w:rPr>
          <w:rFonts w:hint="default" w:ascii="Arial" w:hAnsi="Arial" w:eastAsia="宋体" w:cs="Arial"/>
          <w:sz w:val="26"/>
          <w:szCs w:val="26"/>
        </w:rPr>
        <w:t>181</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350A38F">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_Toc28465 </w:instrText>
      </w:r>
      <w:r>
        <w:rPr>
          <w:rFonts w:hint="default" w:ascii="Arial" w:hAnsi="Arial" w:eastAsia="宋体" w:cs="Arial"/>
          <w:sz w:val="26"/>
          <w:szCs w:val="26"/>
        </w:rPr>
        <w:fldChar w:fldCharType="separate"/>
      </w:r>
      <w:r>
        <w:rPr>
          <w:rFonts w:hint="default" w:ascii="Arial" w:hAnsi="Arial" w:eastAsia="宋体" w:cs="Arial"/>
          <w:sz w:val="26"/>
          <w:szCs w:val="26"/>
        </w:rPr>
        <w:t>5.</w:t>
      </w:r>
      <w:r>
        <w:rPr>
          <w:rFonts w:hint="default" w:ascii="Arial" w:hAnsi="Arial" w:eastAsia="宋体" w:cs="Arial"/>
          <w:sz w:val="26"/>
          <w:szCs w:val="26"/>
          <w:lang w:val="en-US" w:eastAsia="zh-CN"/>
        </w:rPr>
        <w:t>3</w:t>
      </w:r>
      <w:r>
        <w:rPr>
          <w:rFonts w:hint="default" w:ascii="Arial" w:hAnsi="Arial" w:eastAsia="宋体" w:cs="Arial"/>
          <w:sz w:val="26"/>
          <w:szCs w:val="26"/>
        </w:rPr>
        <w:t>施工期环境</w:t>
      </w:r>
      <w:r>
        <w:rPr>
          <w:rFonts w:hint="default" w:ascii="Arial" w:hAnsi="Arial" w:eastAsia="宋体" w:cs="Arial"/>
          <w:sz w:val="26"/>
          <w:szCs w:val="26"/>
          <w:lang w:val="en-US" w:eastAsia="zh-CN"/>
        </w:rPr>
        <w:t>空气</w:t>
      </w:r>
      <w:r>
        <w:rPr>
          <w:rFonts w:hint="default" w:ascii="Arial" w:hAnsi="Arial" w:eastAsia="宋体" w:cs="Arial"/>
          <w:sz w:val="26"/>
          <w:szCs w:val="26"/>
        </w:rPr>
        <w:t>影响分析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_Toc28465 \h </w:instrText>
      </w:r>
      <w:r>
        <w:rPr>
          <w:rFonts w:hint="default" w:ascii="Arial" w:hAnsi="Arial" w:eastAsia="宋体" w:cs="Arial"/>
          <w:sz w:val="26"/>
          <w:szCs w:val="26"/>
        </w:rPr>
        <w:fldChar w:fldCharType="separate"/>
      </w:r>
      <w:r>
        <w:rPr>
          <w:rFonts w:hint="default" w:ascii="Arial" w:hAnsi="Arial" w:eastAsia="宋体" w:cs="Arial"/>
          <w:sz w:val="26"/>
          <w:szCs w:val="26"/>
        </w:rPr>
        <w:t>183</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45724D3D">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_Toc242 </w:instrText>
      </w:r>
      <w:r>
        <w:rPr>
          <w:rFonts w:hint="default" w:ascii="Arial" w:hAnsi="Arial" w:eastAsia="宋体" w:cs="Arial"/>
          <w:sz w:val="26"/>
          <w:szCs w:val="26"/>
        </w:rPr>
        <w:fldChar w:fldCharType="separate"/>
      </w:r>
      <w:r>
        <w:rPr>
          <w:rFonts w:hint="default" w:ascii="Arial" w:hAnsi="Arial" w:eastAsia="宋体" w:cs="Arial"/>
          <w:sz w:val="26"/>
          <w:szCs w:val="26"/>
        </w:rPr>
        <w:t>5.</w:t>
      </w:r>
      <w:r>
        <w:rPr>
          <w:rFonts w:hint="default" w:ascii="Arial" w:hAnsi="Arial" w:eastAsia="宋体" w:cs="Arial"/>
          <w:sz w:val="26"/>
          <w:szCs w:val="26"/>
          <w:lang w:val="en-US" w:eastAsia="zh-CN"/>
        </w:rPr>
        <w:t>4</w:t>
      </w:r>
      <w:r>
        <w:rPr>
          <w:rFonts w:hint="default" w:ascii="Arial" w:hAnsi="Arial" w:eastAsia="宋体" w:cs="Arial"/>
          <w:sz w:val="26"/>
          <w:szCs w:val="26"/>
        </w:rPr>
        <w:t>施工期固体废物影响分析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_Toc242 \h </w:instrText>
      </w:r>
      <w:r>
        <w:rPr>
          <w:rFonts w:hint="default" w:ascii="Arial" w:hAnsi="Arial" w:eastAsia="宋体" w:cs="Arial"/>
          <w:sz w:val="26"/>
          <w:szCs w:val="26"/>
        </w:rPr>
        <w:fldChar w:fldCharType="separate"/>
      </w:r>
      <w:r>
        <w:rPr>
          <w:rFonts w:hint="default" w:ascii="Arial" w:hAnsi="Arial" w:eastAsia="宋体" w:cs="Arial"/>
          <w:sz w:val="26"/>
          <w:szCs w:val="26"/>
        </w:rPr>
        <w:t>186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4FCF0871">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_Toc4433 </w:instrText>
      </w:r>
      <w:r>
        <w:rPr>
          <w:rFonts w:hint="default" w:ascii="Arial" w:hAnsi="Arial" w:eastAsia="宋体" w:cs="Arial"/>
          <w:sz w:val="26"/>
          <w:szCs w:val="26"/>
        </w:rPr>
        <w:fldChar w:fldCharType="separate"/>
      </w:r>
      <w:r>
        <w:rPr>
          <w:rFonts w:hint="default" w:ascii="Arial" w:hAnsi="Arial" w:eastAsia="宋体" w:cs="Arial"/>
          <w:sz w:val="26"/>
          <w:szCs w:val="26"/>
        </w:rPr>
        <w:t>5.</w:t>
      </w:r>
      <w:r>
        <w:rPr>
          <w:rFonts w:hint="default" w:ascii="Arial" w:hAnsi="Arial" w:eastAsia="宋体" w:cs="Arial"/>
          <w:sz w:val="26"/>
          <w:szCs w:val="26"/>
          <w:lang w:val="en-US" w:eastAsia="zh-CN"/>
        </w:rPr>
        <w:t>5</w:t>
      </w:r>
      <w:r>
        <w:rPr>
          <w:rFonts w:hint="default" w:ascii="Arial" w:hAnsi="Arial" w:eastAsia="宋体" w:cs="Arial"/>
          <w:sz w:val="26"/>
          <w:szCs w:val="26"/>
        </w:rPr>
        <w:t>施工期</w:t>
      </w:r>
      <w:r>
        <w:rPr>
          <w:rFonts w:hint="default" w:ascii="Arial" w:hAnsi="Arial" w:eastAsia="宋体" w:cs="Arial"/>
          <w:sz w:val="26"/>
          <w:szCs w:val="26"/>
          <w:lang w:eastAsia="zh-CN"/>
        </w:rPr>
        <w:t>生态环境</w:t>
      </w:r>
      <w:r>
        <w:rPr>
          <w:rFonts w:hint="default" w:ascii="Arial" w:hAnsi="Arial" w:eastAsia="宋体" w:cs="Arial"/>
          <w:sz w:val="26"/>
          <w:szCs w:val="26"/>
        </w:rPr>
        <w:t>影响分析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_Toc4433 \h </w:instrText>
      </w:r>
      <w:r>
        <w:rPr>
          <w:rFonts w:hint="default" w:ascii="Arial" w:hAnsi="Arial" w:eastAsia="宋体" w:cs="Arial"/>
          <w:sz w:val="26"/>
          <w:szCs w:val="26"/>
        </w:rPr>
        <w:fldChar w:fldCharType="separate"/>
      </w:r>
      <w:r>
        <w:rPr>
          <w:rFonts w:hint="default" w:ascii="Arial" w:hAnsi="Arial" w:eastAsia="宋体" w:cs="Arial"/>
          <w:sz w:val="26"/>
          <w:szCs w:val="26"/>
        </w:rPr>
        <w:t>187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10206BA">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_Toc14012 </w:instrText>
      </w:r>
      <w:r>
        <w:rPr>
          <w:rFonts w:hint="default" w:ascii="Arial" w:hAnsi="Arial" w:eastAsia="宋体" w:cs="Arial"/>
          <w:sz w:val="26"/>
          <w:szCs w:val="26"/>
        </w:rPr>
        <w:fldChar w:fldCharType="separate"/>
      </w:r>
      <w:r>
        <w:rPr>
          <w:rFonts w:hint="default" w:ascii="Arial" w:hAnsi="Arial" w:eastAsia="宋体" w:cs="Arial"/>
          <w:sz w:val="26"/>
          <w:szCs w:val="26"/>
        </w:rPr>
        <w:t>5.</w:t>
      </w:r>
      <w:r>
        <w:rPr>
          <w:rFonts w:hint="default" w:ascii="Arial" w:hAnsi="Arial" w:eastAsia="宋体" w:cs="Arial"/>
          <w:sz w:val="26"/>
          <w:szCs w:val="26"/>
          <w:lang w:val="en-US" w:eastAsia="zh-CN"/>
        </w:rPr>
        <w:t>6</w:t>
      </w:r>
      <w:r>
        <w:rPr>
          <w:rFonts w:hint="default" w:ascii="Arial" w:hAnsi="Arial" w:eastAsia="宋体" w:cs="Arial"/>
          <w:sz w:val="26"/>
          <w:szCs w:val="26"/>
          <w:lang w:eastAsia="zh-CN"/>
        </w:rPr>
        <w:t>道路交通影响分析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_Toc14012 \h </w:instrText>
      </w:r>
      <w:r>
        <w:rPr>
          <w:rFonts w:hint="default" w:ascii="Arial" w:hAnsi="Arial" w:eastAsia="宋体" w:cs="Arial"/>
          <w:sz w:val="26"/>
          <w:szCs w:val="26"/>
        </w:rPr>
        <w:fldChar w:fldCharType="separate"/>
      </w:r>
      <w:r>
        <w:rPr>
          <w:rFonts w:hint="default" w:ascii="Arial" w:hAnsi="Arial" w:eastAsia="宋体" w:cs="Arial"/>
          <w:sz w:val="26"/>
          <w:szCs w:val="26"/>
        </w:rPr>
        <w:t>195</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31DD70FE">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_Toc3224 </w:instrText>
      </w:r>
      <w:r>
        <w:rPr>
          <w:rFonts w:hint="default" w:ascii="Arial" w:hAnsi="Arial" w:eastAsia="宋体" w:cs="Arial"/>
          <w:sz w:val="26"/>
          <w:szCs w:val="26"/>
        </w:rPr>
        <w:fldChar w:fldCharType="separate"/>
      </w:r>
      <w:r>
        <w:rPr>
          <w:rFonts w:hint="default" w:ascii="Arial" w:hAnsi="Arial" w:eastAsia="宋体" w:cs="Arial"/>
          <w:sz w:val="26"/>
          <w:szCs w:val="26"/>
        </w:rPr>
        <w:t>6 营运期环境影响分析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_Toc3224 \h </w:instrText>
      </w:r>
      <w:r>
        <w:rPr>
          <w:rFonts w:hint="default" w:ascii="Arial" w:hAnsi="Arial" w:eastAsia="宋体" w:cs="Arial"/>
          <w:sz w:val="26"/>
          <w:szCs w:val="26"/>
        </w:rPr>
        <w:fldChar w:fldCharType="separate"/>
      </w:r>
      <w:r>
        <w:rPr>
          <w:rFonts w:hint="default" w:ascii="Arial" w:hAnsi="Arial" w:eastAsia="宋体" w:cs="Arial"/>
          <w:sz w:val="26"/>
          <w:szCs w:val="26"/>
        </w:rPr>
        <w:t>197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1FC0421">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_Toc7071 </w:instrText>
      </w:r>
      <w:r>
        <w:rPr>
          <w:rFonts w:hint="default" w:ascii="Arial" w:hAnsi="Arial" w:eastAsia="宋体" w:cs="Arial"/>
          <w:sz w:val="26"/>
          <w:szCs w:val="26"/>
        </w:rPr>
        <w:fldChar w:fldCharType="separate"/>
      </w:r>
      <w:r>
        <w:rPr>
          <w:rFonts w:hint="default" w:ascii="Arial" w:hAnsi="Arial" w:eastAsia="宋体" w:cs="Arial"/>
          <w:sz w:val="26"/>
          <w:szCs w:val="26"/>
        </w:rPr>
        <w:t>6.1 声环境影响评价</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_Toc7071 \h </w:instrText>
      </w:r>
      <w:r>
        <w:rPr>
          <w:rFonts w:hint="default" w:ascii="Arial" w:hAnsi="Arial" w:eastAsia="宋体" w:cs="Arial"/>
          <w:sz w:val="26"/>
          <w:szCs w:val="26"/>
        </w:rPr>
        <w:fldChar w:fldCharType="separate"/>
      </w:r>
      <w:r>
        <w:rPr>
          <w:rFonts w:hint="default" w:ascii="Arial" w:hAnsi="Arial" w:eastAsia="宋体" w:cs="Arial"/>
          <w:sz w:val="26"/>
          <w:szCs w:val="26"/>
        </w:rPr>
        <w:t>197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5B33B77F">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_Toc634 </w:instrText>
      </w:r>
      <w:r>
        <w:rPr>
          <w:rFonts w:hint="default" w:ascii="Arial" w:hAnsi="Arial" w:eastAsia="宋体" w:cs="Arial"/>
          <w:sz w:val="26"/>
          <w:szCs w:val="26"/>
        </w:rPr>
        <w:fldChar w:fldCharType="separate"/>
      </w:r>
      <w:r>
        <w:rPr>
          <w:rFonts w:hint="default" w:ascii="Arial" w:hAnsi="Arial" w:eastAsia="宋体" w:cs="Arial"/>
          <w:sz w:val="26"/>
          <w:szCs w:val="26"/>
        </w:rPr>
        <w:t>6.2 大气环境影响评价</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_Toc634 \h </w:instrText>
      </w:r>
      <w:r>
        <w:rPr>
          <w:rFonts w:hint="default" w:ascii="Arial" w:hAnsi="Arial" w:eastAsia="宋体" w:cs="Arial"/>
          <w:sz w:val="26"/>
          <w:szCs w:val="26"/>
        </w:rPr>
        <w:fldChar w:fldCharType="separate"/>
      </w:r>
      <w:r>
        <w:rPr>
          <w:rFonts w:hint="default" w:ascii="Arial" w:hAnsi="Arial" w:eastAsia="宋体" w:cs="Arial"/>
          <w:sz w:val="26"/>
          <w:szCs w:val="26"/>
        </w:rPr>
        <w:t>224</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06CAC781">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_Toc21612 </w:instrText>
      </w:r>
      <w:r>
        <w:rPr>
          <w:rFonts w:hint="default" w:ascii="Arial" w:hAnsi="Arial" w:eastAsia="宋体" w:cs="Arial"/>
          <w:sz w:val="26"/>
          <w:szCs w:val="26"/>
        </w:rPr>
        <w:fldChar w:fldCharType="separate"/>
      </w:r>
      <w:r>
        <w:rPr>
          <w:rFonts w:hint="default" w:ascii="Arial" w:hAnsi="Arial" w:eastAsia="宋体" w:cs="Arial"/>
          <w:sz w:val="26"/>
          <w:szCs w:val="26"/>
        </w:rPr>
        <w:t>6.3 地表水环境影响评价</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_Toc21612 \h </w:instrText>
      </w:r>
      <w:r>
        <w:rPr>
          <w:rFonts w:hint="default" w:ascii="Arial" w:hAnsi="Arial" w:eastAsia="宋体" w:cs="Arial"/>
          <w:sz w:val="26"/>
          <w:szCs w:val="26"/>
        </w:rPr>
        <w:fldChar w:fldCharType="separate"/>
      </w:r>
      <w:r>
        <w:rPr>
          <w:rFonts w:hint="default" w:ascii="Arial" w:hAnsi="Arial" w:eastAsia="宋体" w:cs="Arial"/>
          <w:sz w:val="26"/>
          <w:szCs w:val="26"/>
        </w:rPr>
        <w:t>226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25529E1">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_Toc18791 </w:instrText>
      </w:r>
      <w:r>
        <w:rPr>
          <w:rFonts w:hint="default" w:ascii="Arial" w:hAnsi="Arial" w:eastAsia="宋体" w:cs="Arial"/>
          <w:sz w:val="26"/>
          <w:szCs w:val="26"/>
        </w:rPr>
        <w:fldChar w:fldCharType="separate"/>
      </w:r>
      <w:r>
        <w:rPr>
          <w:rFonts w:hint="default" w:ascii="Arial" w:hAnsi="Arial" w:eastAsia="宋体" w:cs="Arial"/>
          <w:sz w:val="26"/>
          <w:szCs w:val="26"/>
        </w:rPr>
        <w:t>6.4地下水环境影响评价</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_Toc18791 \h </w:instrText>
      </w:r>
      <w:r>
        <w:rPr>
          <w:rFonts w:hint="default" w:ascii="Arial" w:hAnsi="Arial" w:eastAsia="宋体" w:cs="Arial"/>
          <w:sz w:val="26"/>
          <w:szCs w:val="26"/>
        </w:rPr>
        <w:fldChar w:fldCharType="separate"/>
      </w:r>
      <w:r>
        <w:rPr>
          <w:rFonts w:hint="default" w:ascii="Arial" w:hAnsi="Arial" w:eastAsia="宋体" w:cs="Arial"/>
          <w:sz w:val="26"/>
          <w:szCs w:val="26"/>
        </w:rPr>
        <w:t>229</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20D63280">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_Toc26484 </w:instrText>
      </w:r>
      <w:r>
        <w:rPr>
          <w:rFonts w:hint="default" w:ascii="Arial" w:hAnsi="Arial" w:eastAsia="宋体" w:cs="Arial"/>
          <w:sz w:val="26"/>
          <w:szCs w:val="26"/>
        </w:rPr>
        <w:fldChar w:fldCharType="separate"/>
      </w:r>
      <w:r>
        <w:rPr>
          <w:rFonts w:hint="default" w:ascii="Arial" w:hAnsi="Arial" w:eastAsia="宋体" w:cs="Arial"/>
          <w:sz w:val="26"/>
          <w:szCs w:val="26"/>
        </w:rPr>
        <w:t>6.</w:t>
      </w:r>
      <w:r>
        <w:rPr>
          <w:rFonts w:hint="default" w:ascii="Arial" w:hAnsi="Arial" w:eastAsia="宋体" w:cs="Arial"/>
          <w:sz w:val="26"/>
          <w:szCs w:val="26"/>
          <w:lang w:val="en-US" w:eastAsia="zh-CN"/>
        </w:rPr>
        <w:t>5</w:t>
      </w:r>
      <w:r>
        <w:rPr>
          <w:rFonts w:hint="default" w:ascii="Arial" w:hAnsi="Arial" w:eastAsia="宋体" w:cs="Arial"/>
          <w:sz w:val="26"/>
          <w:szCs w:val="26"/>
          <w:lang w:eastAsia="zh-CN"/>
        </w:rPr>
        <w:t>固体废弃物</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_Toc26484 \h </w:instrText>
      </w:r>
      <w:r>
        <w:rPr>
          <w:rFonts w:hint="default" w:ascii="Arial" w:hAnsi="Arial" w:eastAsia="宋体" w:cs="Arial"/>
          <w:sz w:val="26"/>
          <w:szCs w:val="26"/>
        </w:rPr>
        <w:fldChar w:fldCharType="separate"/>
      </w:r>
      <w:r>
        <w:rPr>
          <w:rFonts w:hint="default" w:ascii="Arial" w:hAnsi="Arial" w:eastAsia="宋体" w:cs="Arial"/>
          <w:sz w:val="26"/>
          <w:szCs w:val="26"/>
        </w:rPr>
        <w:t>229</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6FEABFC3">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_Toc7682 </w:instrText>
      </w:r>
      <w:r>
        <w:rPr>
          <w:rFonts w:hint="default" w:ascii="Arial" w:hAnsi="Arial" w:eastAsia="宋体" w:cs="Arial"/>
          <w:sz w:val="26"/>
          <w:szCs w:val="26"/>
        </w:rPr>
        <w:fldChar w:fldCharType="separate"/>
      </w:r>
      <w:r>
        <w:rPr>
          <w:rFonts w:hint="default" w:ascii="Arial" w:hAnsi="Arial" w:eastAsia="宋体" w:cs="Arial"/>
          <w:sz w:val="26"/>
          <w:szCs w:val="26"/>
        </w:rPr>
        <w:t>6.</w:t>
      </w:r>
      <w:r>
        <w:rPr>
          <w:rFonts w:hint="default" w:ascii="Arial" w:hAnsi="Arial" w:eastAsia="宋体" w:cs="Arial"/>
          <w:sz w:val="26"/>
          <w:szCs w:val="26"/>
          <w:lang w:val="en-US" w:eastAsia="zh-CN"/>
        </w:rPr>
        <w:t>6</w:t>
      </w:r>
      <w:r>
        <w:rPr>
          <w:rFonts w:hint="default" w:ascii="Arial" w:hAnsi="Arial" w:eastAsia="宋体" w:cs="Arial"/>
          <w:sz w:val="26"/>
          <w:szCs w:val="26"/>
        </w:rPr>
        <w:t>生态环境影响评价</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_Toc7682 \h </w:instrText>
      </w:r>
      <w:r>
        <w:rPr>
          <w:rFonts w:hint="default" w:ascii="Arial" w:hAnsi="Arial" w:eastAsia="宋体" w:cs="Arial"/>
          <w:sz w:val="26"/>
          <w:szCs w:val="26"/>
        </w:rPr>
        <w:fldChar w:fldCharType="separate"/>
      </w:r>
      <w:r>
        <w:rPr>
          <w:rFonts w:hint="default" w:ascii="Arial" w:hAnsi="Arial" w:eastAsia="宋体" w:cs="Arial"/>
          <w:sz w:val="26"/>
          <w:szCs w:val="26"/>
        </w:rPr>
        <w:t>229</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916CF51">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_Toc28969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7</w:t>
      </w:r>
      <w:r>
        <w:rPr>
          <w:rFonts w:hint="default" w:ascii="Arial" w:hAnsi="Arial" w:eastAsia="宋体" w:cs="Arial"/>
          <w:sz w:val="26"/>
          <w:szCs w:val="26"/>
        </w:rPr>
        <w:t xml:space="preserve"> 环境风险影响分析与评价</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_Toc28969 \h </w:instrText>
      </w:r>
      <w:r>
        <w:rPr>
          <w:rFonts w:hint="default" w:ascii="Arial" w:hAnsi="Arial" w:eastAsia="宋体" w:cs="Arial"/>
          <w:sz w:val="26"/>
          <w:szCs w:val="26"/>
        </w:rPr>
        <w:fldChar w:fldCharType="separate"/>
      </w:r>
      <w:r>
        <w:rPr>
          <w:rFonts w:hint="default" w:ascii="Arial" w:hAnsi="Arial" w:eastAsia="宋体" w:cs="Arial"/>
          <w:sz w:val="26"/>
          <w:szCs w:val="26"/>
        </w:rPr>
        <w:t>235</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C51E3F1">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_Toc22645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7</w:t>
      </w:r>
      <w:r>
        <w:rPr>
          <w:rFonts w:hint="default" w:ascii="Arial" w:hAnsi="Arial" w:eastAsia="宋体" w:cs="Arial"/>
          <w:sz w:val="26"/>
          <w:szCs w:val="26"/>
        </w:rPr>
        <w:t>.1</w:t>
      </w:r>
      <w:r>
        <w:rPr>
          <w:rFonts w:hint="default" w:ascii="Arial" w:hAnsi="Arial" w:eastAsia="宋体" w:cs="Arial"/>
          <w:sz w:val="26"/>
          <w:szCs w:val="26"/>
          <w:lang w:eastAsia="zh-CN"/>
        </w:rPr>
        <w:t>施工期环境风险分析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_Toc22645 \h </w:instrText>
      </w:r>
      <w:r>
        <w:rPr>
          <w:rFonts w:hint="default" w:ascii="Arial" w:hAnsi="Arial" w:eastAsia="宋体" w:cs="Arial"/>
          <w:sz w:val="26"/>
          <w:szCs w:val="26"/>
        </w:rPr>
        <w:fldChar w:fldCharType="separate"/>
      </w:r>
      <w:r>
        <w:rPr>
          <w:rFonts w:hint="default" w:ascii="Arial" w:hAnsi="Arial" w:eastAsia="宋体" w:cs="Arial"/>
          <w:sz w:val="26"/>
          <w:szCs w:val="26"/>
        </w:rPr>
        <w:t>235</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4E042A47">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_Toc28861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7</w:t>
      </w:r>
      <w:r>
        <w:rPr>
          <w:rFonts w:hint="default" w:ascii="Arial" w:hAnsi="Arial" w:eastAsia="宋体" w:cs="Arial"/>
          <w:sz w:val="26"/>
          <w:szCs w:val="26"/>
        </w:rPr>
        <w:t>.</w:t>
      </w:r>
      <w:r>
        <w:rPr>
          <w:rFonts w:hint="default" w:ascii="Arial" w:hAnsi="Arial" w:eastAsia="宋体" w:cs="Arial"/>
          <w:sz w:val="26"/>
          <w:szCs w:val="26"/>
          <w:lang w:val="en-US" w:eastAsia="zh-CN"/>
        </w:rPr>
        <w:t>2</w:t>
      </w:r>
      <w:r>
        <w:rPr>
          <w:rFonts w:hint="default" w:ascii="Arial" w:hAnsi="Arial" w:eastAsia="宋体" w:cs="Arial"/>
          <w:sz w:val="26"/>
          <w:szCs w:val="26"/>
          <w:lang w:eastAsia="zh-CN"/>
        </w:rPr>
        <w:t>运营期环境风险分析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_Toc28861 \h </w:instrText>
      </w:r>
      <w:r>
        <w:rPr>
          <w:rFonts w:hint="default" w:ascii="Arial" w:hAnsi="Arial" w:eastAsia="宋体" w:cs="Arial"/>
          <w:sz w:val="26"/>
          <w:szCs w:val="26"/>
        </w:rPr>
        <w:fldChar w:fldCharType="separate"/>
      </w:r>
      <w:r>
        <w:rPr>
          <w:rFonts w:hint="default" w:ascii="Arial" w:hAnsi="Arial" w:eastAsia="宋体" w:cs="Arial"/>
          <w:sz w:val="26"/>
          <w:szCs w:val="26"/>
        </w:rPr>
        <w:t>236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2926C7F3">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_Toc11280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7.3</w:t>
      </w:r>
      <w:r>
        <w:rPr>
          <w:rFonts w:hint="default" w:ascii="Arial" w:hAnsi="Arial" w:eastAsia="宋体" w:cs="Arial"/>
          <w:sz w:val="26"/>
          <w:szCs w:val="26"/>
        </w:rPr>
        <w:t>小结</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_Toc11280 \h </w:instrText>
      </w:r>
      <w:r>
        <w:rPr>
          <w:rFonts w:hint="default" w:ascii="Arial" w:hAnsi="Arial" w:eastAsia="宋体" w:cs="Arial"/>
          <w:sz w:val="26"/>
          <w:szCs w:val="26"/>
        </w:rPr>
        <w:fldChar w:fldCharType="separate"/>
      </w:r>
      <w:r>
        <w:rPr>
          <w:rFonts w:hint="default" w:ascii="Arial" w:hAnsi="Arial" w:eastAsia="宋体" w:cs="Arial"/>
          <w:sz w:val="26"/>
          <w:szCs w:val="26"/>
        </w:rPr>
        <w:t>242</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5469D752">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_Toc24961 </w:instrText>
      </w:r>
      <w:r>
        <w:rPr>
          <w:rFonts w:hint="default" w:ascii="Arial" w:hAnsi="Arial" w:eastAsia="宋体" w:cs="Arial"/>
          <w:sz w:val="26"/>
          <w:szCs w:val="26"/>
        </w:rPr>
        <w:fldChar w:fldCharType="separate"/>
      </w:r>
      <w:r>
        <w:rPr>
          <w:rFonts w:hint="default" w:ascii="Arial" w:hAnsi="Arial" w:eastAsia="宋体" w:cs="Arial"/>
          <w:bCs/>
          <w:sz w:val="26"/>
          <w:szCs w:val="26"/>
          <w:lang w:val="en-US" w:eastAsia="zh-CN"/>
        </w:rPr>
        <w:t>8</w:t>
      </w:r>
      <w:r>
        <w:rPr>
          <w:rFonts w:hint="default" w:ascii="Arial" w:hAnsi="Arial" w:eastAsia="宋体" w:cs="Arial"/>
          <w:bCs/>
          <w:sz w:val="26"/>
          <w:szCs w:val="26"/>
        </w:rPr>
        <w:t xml:space="preserve"> 环境保护措施及技术可行性论证</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_Toc24961 \h </w:instrText>
      </w:r>
      <w:r>
        <w:rPr>
          <w:rFonts w:hint="default" w:ascii="Arial" w:hAnsi="Arial" w:eastAsia="宋体" w:cs="Arial"/>
          <w:sz w:val="26"/>
          <w:szCs w:val="26"/>
        </w:rPr>
        <w:fldChar w:fldCharType="separate"/>
      </w:r>
      <w:r>
        <w:rPr>
          <w:rFonts w:hint="default" w:ascii="Arial" w:hAnsi="Arial" w:eastAsia="宋体" w:cs="Arial"/>
          <w:sz w:val="26"/>
          <w:szCs w:val="26"/>
        </w:rPr>
        <w:t>243</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4CA45298">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_Toc28444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8.1施工期的环境保护及污染防治措施</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_Toc28444 \h </w:instrText>
      </w:r>
      <w:r>
        <w:rPr>
          <w:rFonts w:hint="default" w:ascii="Arial" w:hAnsi="Arial" w:eastAsia="宋体" w:cs="Arial"/>
          <w:sz w:val="26"/>
          <w:szCs w:val="26"/>
        </w:rPr>
        <w:fldChar w:fldCharType="separate"/>
      </w:r>
      <w:r>
        <w:rPr>
          <w:rFonts w:hint="default" w:ascii="Arial" w:hAnsi="Arial" w:eastAsia="宋体" w:cs="Arial"/>
          <w:sz w:val="26"/>
          <w:szCs w:val="26"/>
        </w:rPr>
        <w:t>243</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417332D8">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_Toc20465 </w:instrText>
      </w:r>
      <w:r>
        <w:rPr>
          <w:rFonts w:hint="default" w:ascii="Arial" w:hAnsi="Arial" w:eastAsia="宋体" w:cs="Arial"/>
          <w:sz w:val="26"/>
          <w:szCs w:val="26"/>
        </w:rPr>
        <w:fldChar w:fldCharType="separate"/>
      </w:r>
      <w:r>
        <w:rPr>
          <w:rFonts w:hint="default" w:ascii="Arial" w:hAnsi="Arial" w:eastAsia="宋体" w:cs="Arial"/>
          <w:sz w:val="26"/>
          <w:szCs w:val="26"/>
          <w:lang w:val="en-US" w:eastAsia="zh-CN"/>
        </w:rPr>
        <w:t>8.2</w:t>
      </w:r>
      <w:r>
        <w:rPr>
          <w:rFonts w:hint="default" w:ascii="Arial" w:hAnsi="Arial" w:eastAsia="宋体" w:cs="Arial"/>
          <w:sz w:val="26"/>
          <w:szCs w:val="26"/>
        </w:rPr>
        <w:t>营运期的环境保护及污染防治措施</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_Toc20465 \h </w:instrText>
      </w:r>
      <w:r>
        <w:rPr>
          <w:rFonts w:hint="default" w:ascii="Arial" w:hAnsi="Arial" w:eastAsia="宋体" w:cs="Arial"/>
          <w:sz w:val="26"/>
          <w:szCs w:val="26"/>
        </w:rPr>
        <w:fldChar w:fldCharType="separate"/>
      </w:r>
      <w:r>
        <w:rPr>
          <w:rFonts w:hint="default" w:ascii="Arial" w:hAnsi="Arial" w:eastAsia="宋体" w:cs="Arial"/>
          <w:sz w:val="26"/>
          <w:szCs w:val="26"/>
        </w:rPr>
        <w:t>252</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8A8748E">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_Toc5682 </w:instrText>
      </w:r>
      <w:r>
        <w:rPr>
          <w:rFonts w:hint="default" w:ascii="Arial" w:hAnsi="Arial" w:eastAsia="宋体" w:cs="Arial"/>
          <w:sz w:val="26"/>
          <w:szCs w:val="26"/>
        </w:rPr>
        <w:fldChar w:fldCharType="separate"/>
      </w:r>
      <w:r>
        <w:rPr>
          <w:rFonts w:hint="default" w:ascii="Arial" w:hAnsi="Arial" w:eastAsia="宋体" w:cs="Arial"/>
          <w:bCs/>
          <w:kern w:val="2"/>
          <w:sz w:val="26"/>
          <w:szCs w:val="26"/>
          <w:highlight w:val="none"/>
          <w:lang w:val="en-US" w:eastAsia="zh-CN" w:bidi="ar-SA"/>
        </w:rPr>
        <w:t>8.2.5</w:t>
      </w:r>
      <w:r>
        <w:rPr>
          <w:rFonts w:hint="default" w:ascii="Arial" w:hAnsi="Arial" w:eastAsia="宋体" w:cs="Arial"/>
          <w:bCs/>
          <w:kern w:val="44"/>
          <w:sz w:val="26"/>
          <w:szCs w:val="26"/>
          <w:highlight w:val="none"/>
        </w:rPr>
        <w:t xml:space="preserve"> 固体废物污染处置措施</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_Toc5682 \h </w:instrText>
      </w:r>
      <w:r>
        <w:rPr>
          <w:rFonts w:hint="default" w:ascii="Arial" w:hAnsi="Arial" w:eastAsia="宋体" w:cs="Arial"/>
          <w:sz w:val="26"/>
          <w:szCs w:val="26"/>
        </w:rPr>
        <w:fldChar w:fldCharType="separate"/>
      </w:r>
      <w:r>
        <w:rPr>
          <w:rFonts w:hint="default" w:ascii="Arial" w:hAnsi="Arial" w:eastAsia="宋体" w:cs="Arial"/>
          <w:sz w:val="26"/>
          <w:szCs w:val="26"/>
        </w:rPr>
        <w:t>256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F76FC4E">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_Toc14371 </w:instrText>
      </w:r>
      <w:r>
        <w:rPr>
          <w:rFonts w:hint="default" w:ascii="Arial" w:hAnsi="Arial" w:eastAsia="宋体" w:cs="Arial"/>
          <w:sz w:val="26"/>
          <w:szCs w:val="26"/>
        </w:rPr>
        <w:fldChar w:fldCharType="separate"/>
      </w:r>
      <w:r>
        <w:rPr>
          <w:rFonts w:hint="default" w:ascii="Arial" w:hAnsi="Arial" w:eastAsia="宋体" w:cs="Arial"/>
          <w:bCs/>
          <w:kern w:val="2"/>
          <w:sz w:val="26"/>
          <w:szCs w:val="26"/>
          <w:highlight w:val="none"/>
          <w:lang w:val="en-US" w:eastAsia="zh-CN" w:bidi="ar-SA"/>
        </w:rPr>
        <w:t>8.2.6环境风险防范措施</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_Toc14371 \h </w:instrText>
      </w:r>
      <w:r>
        <w:rPr>
          <w:rFonts w:hint="default" w:ascii="Arial" w:hAnsi="Arial" w:eastAsia="宋体" w:cs="Arial"/>
          <w:sz w:val="26"/>
          <w:szCs w:val="26"/>
        </w:rPr>
        <w:fldChar w:fldCharType="separate"/>
      </w:r>
      <w:r>
        <w:rPr>
          <w:rFonts w:hint="default" w:ascii="Arial" w:hAnsi="Arial" w:eastAsia="宋体" w:cs="Arial"/>
          <w:sz w:val="26"/>
          <w:szCs w:val="26"/>
        </w:rPr>
        <w:t>256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62CAD649">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_Toc10086 </w:instrText>
      </w:r>
      <w:r>
        <w:rPr>
          <w:rFonts w:hint="default" w:ascii="Arial" w:hAnsi="Arial" w:eastAsia="宋体" w:cs="Arial"/>
          <w:sz w:val="26"/>
          <w:szCs w:val="26"/>
        </w:rPr>
        <w:fldChar w:fldCharType="separate"/>
      </w:r>
      <w:r>
        <w:rPr>
          <w:rFonts w:hint="default" w:ascii="Arial" w:hAnsi="Arial" w:eastAsia="宋体" w:cs="Arial"/>
          <w:sz w:val="26"/>
          <w:szCs w:val="26"/>
          <w:highlight w:val="none"/>
          <w:lang w:val="en-US" w:eastAsia="zh-CN"/>
        </w:rPr>
        <w:t>8.3</w:t>
      </w:r>
      <w:r>
        <w:rPr>
          <w:rFonts w:hint="default" w:ascii="Arial" w:hAnsi="Arial" w:eastAsia="宋体" w:cs="Arial"/>
          <w:sz w:val="26"/>
          <w:szCs w:val="26"/>
          <w:highlight w:val="none"/>
        </w:rPr>
        <w:t>环保投资</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_Toc10086 \h </w:instrText>
      </w:r>
      <w:r>
        <w:rPr>
          <w:rFonts w:hint="default" w:ascii="Arial" w:hAnsi="Arial" w:eastAsia="宋体" w:cs="Arial"/>
          <w:sz w:val="26"/>
          <w:szCs w:val="26"/>
        </w:rPr>
        <w:fldChar w:fldCharType="separate"/>
      </w:r>
      <w:r>
        <w:rPr>
          <w:rFonts w:hint="default" w:ascii="Arial" w:hAnsi="Arial" w:eastAsia="宋体" w:cs="Arial"/>
          <w:sz w:val="26"/>
          <w:szCs w:val="26"/>
        </w:rPr>
        <w:t>257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998EB0E">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_Toc200 </w:instrText>
      </w:r>
      <w:r>
        <w:rPr>
          <w:rFonts w:hint="default" w:ascii="Arial" w:hAnsi="Arial" w:eastAsia="宋体" w:cs="Arial"/>
          <w:sz w:val="26"/>
          <w:szCs w:val="26"/>
        </w:rPr>
        <w:fldChar w:fldCharType="separate"/>
      </w:r>
      <w:r>
        <w:rPr>
          <w:rFonts w:hint="default" w:ascii="Arial" w:hAnsi="Arial" w:eastAsia="宋体" w:cs="Arial"/>
          <w:bCs/>
          <w:sz w:val="26"/>
          <w:szCs w:val="26"/>
          <w:lang w:val="en-US" w:eastAsia="zh-CN"/>
        </w:rPr>
        <w:t>9</w:t>
      </w:r>
      <w:r>
        <w:rPr>
          <w:rFonts w:hint="default" w:ascii="Arial" w:hAnsi="Arial" w:eastAsia="宋体" w:cs="Arial"/>
          <w:bCs/>
          <w:sz w:val="26"/>
          <w:szCs w:val="26"/>
          <w:highlight w:val="none"/>
        </w:rPr>
        <w:t xml:space="preserve"> 环境影响经济损益分析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_Toc200 \h </w:instrText>
      </w:r>
      <w:r>
        <w:rPr>
          <w:rFonts w:hint="default" w:ascii="Arial" w:hAnsi="Arial" w:eastAsia="宋体" w:cs="Arial"/>
          <w:sz w:val="26"/>
          <w:szCs w:val="26"/>
        </w:rPr>
        <w:fldChar w:fldCharType="separate"/>
      </w:r>
      <w:r>
        <w:rPr>
          <w:rFonts w:hint="default" w:ascii="Arial" w:hAnsi="Arial" w:eastAsia="宋体" w:cs="Arial"/>
          <w:sz w:val="26"/>
          <w:szCs w:val="26"/>
        </w:rPr>
        <w:t>260</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647C8A38">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_Toc19408 </w:instrText>
      </w:r>
      <w:r>
        <w:rPr>
          <w:rFonts w:hint="default" w:ascii="Arial" w:hAnsi="Arial" w:eastAsia="宋体" w:cs="Arial"/>
          <w:sz w:val="26"/>
          <w:szCs w:val="26"/>
        </w:rPr>
        <w:fldChar w:fldCharType="separate"/>
      </w:r>
      <w:r>
        <w:rPr>
          <w:rFonts w:hint="default" w:ascii="Arial" w:hAnsi="Arial" w:eastAsia="宋体" w:cs="Arial"/>
          <w:sz w:val="26"/>
          <w:szCs w:val="26"/>
          <w:highlight w:val="none"/>
          <w:lang w:val="en-US" w:eastAsia="zh-CN"/>
        </w:rPr>
        <w:t>9.1社会经济效益分析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_Toc19408 \h </w:instrText>
      </w:r>
      <w:r>
        <w:rPr>
          <w:rFonts w:hint="default" w:ascii="Arial" w:hAnsi="Arial" w:eastAsia="宋体" w:cs="Arial"/>
          <w:sz w:val="26"/>
          <w:szCs w:val="26"/>
        </w:rPr>
        <w:fldChar w:fldCharType="separate"/>
      </w:r>
      <w:r>
        <w:rPr>
          <w:rFonts w:hint="default" w:ascii="Arial" w:hAnsi="Arial" w:eastAsia="宋体" w:cs="Arial"/>
          <w:sz w:val="26"/>
          <w:szCs w:val="26"/>
        </w:rPr>
        <w:t>260</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0837DD32">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_Toc16160 </w:instrText>
      </w:r>
      <w:r>
        <w:rPr>
          <w:rFonts w:hint="default" w:ascii="Arial" w:hAnsi="Arial" w:eastAsia="宋体" w:cs="Arial"/>
          <w:sz w:val="26"/>
          <w:szCs w:val="26"/>
        </w:rPr>
        <w:fldChar w:fldCharType="separate"/>
      </w:r>
      <w:r>
        <w:rPr>
          <w:rFonts w:hint="default" w:ascii="Arial" w:hAnsi="Arial" w:eastAsia="宋体" w:cs="Arial"/>
          <w:sz w:val="26"/>
          <w:szCs w:val="26"/>
          <w:highlight w:val="none"/>
          <w:lang w:val="en-US" w:eastAsia="zh-CN"/>
        </w:rPr>
        <w:t>9.2环境经济效益分析</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_Toc16160 \h </w:instrText>
      </w:r>
      <w:r>
        <w:rPr>
          <w:rFonts w:hint="default" w:ascii="Arial" w:hAnsi="Arial" w:eastAsia="宋体" w:cs="Arial"/>
          <w:sz w:val="26"/>
          <w:szCs w:val="26"/>
        </w:rPr>
        <w:fldChar w:fldCharType="separate"/>
      </w:r>
      <w:r>
        <w:rPr>
          <w:rFonts w:hint="default" w:ascii="Arial" w:hAnsi="Arial" w:eastAsia="宋体" w:cs="Arial"/>
          <w:sz w:val="26"/>
          <w:szCs w:val="26"/>
        </w:rPr>
        <w:t>260</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652C13C">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_Toc6698 </w:instrText>
      </w:r>
      <w:r>
        <w:rPr>
          <w:rFonts w:hint="default" w:ascii="Arial" w:hAnsi="Arial" w:eastAsia="宋体" w:cs="Arial"/>
          <w:sz w:val="26"/>
          <w:szCs w:val="26"/>
        </w:rPr>
        <w:fldChar w:fldCharType="separate"/>
      </w:r>
      <w:r>
        <w:rPr>
          <w:rFonts w:hint="default" w:ascii="Arial" w:hAnsi="Arial" w:eastAsia="宋体" w:cs="Arial"/>
          <w:bCs/>
          <w:kern w:val="2"/>
          <w:sz w:val="26"/>
          <w:szCs w:val="26"/>
          <w:lang w:val="en-US" w:eastAsia="zh-CN" w:bidi="ar-SA"/>
        </w:rPr>
        <w:t>10环境管理与监测</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_Toc6698 \h </w:instrText>
      </w:r>
      <w:r>
        <w:rPr>
          <w:rFonts w:hint="default" w:ascii="Arial" w:hAnsi="Arial" w:eastAsia="宋体" w:cs="Arial"/>
          <w:sz w:val="26"/>
          <w:szCs w:val="26"/>
        </w:rPr>
        <w:fldChar w:fldCharType="separate"/>
      </w:r>
      <w:r>
        <w:rPr>
          <w:rFonts w:hint="default" w:ascii="Arial" w:hAnsi="Arial" w:eastAsia="宋体" w:cs="Arial"/>
          <w:sz w:val="26"/>
          <w:szCs w:val="26"/>
        </w:rPr>
        <w:t>261</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8EBB1E4">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_Toc5001 </w:instrText>
      </w:r>
      <w:r>
        <w:rPr>
          <w:rFonts w:hint="default" w:ascii="Arial" w:hAnsi="Arial" w:eastAsia="宋体" w:cs="Arial"/>
          <w:sz w:val="26"/>
          <w:szCs w:val="26"/>
        </w:rPr>
        <w:fldChar w:fldCharType="separate"/>
      </w:r>
      <w:r>
        <w:rPr>
          <w:rFonts w:hint="default" w:ascii="Arial" w:hAnsi="Arial" w:eastAsia="宋体" w:cs="Arial"/>
          <w:sz w:val="26"/>
          <w:szCs w:val="26"/>
          <w:highlight w:val="none"/>
          <w:lang w:val="en-US" w:eastAsia="zh-CN"/>
        </w:rPr>
        <w:t>10.1环境管理</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_Toc5001 \h </w:instrText>
      </w:r>
      <w:r>
        <w:rPr>
          <w:rFonts w:hint="default" w:ascii="Arial" w:hAnsi="Arial" w:eastAsia="宋体" w:cs="Arial"/>
          <w:sz w:val="26"/>
          <w:szCs w:val="26"/>
        </w:rPr>
        <w:fldChar w:fldCharType="separate"/>
      </w:r>
      <w:r>
        <w:rPr>
          <w:rFonts w:hint="default" w:ascii="Arial" w:hAnsi="Arial" w:eastAsia="宋体" w:cs="Arial"/>
          <w:sz w:val="26"/>
          <w:szCs w:val="26"/>
        </w:rPr>
        <w:t>261</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5917358D">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_Toc21542 </w:instrText>
      </w:r>
      <w:r>
        <w:rPr>
          <w:rFonts w:hint="default" w:ascii="Arial" w:hAnsi="Arial" w:eastAsia="宋体" w:cs="Arial"/>
          <w:sz w:val="26"/>
          <w:szCs w:val="26"/>
        </w:rPr>
        <w:fldChar w:fldCharType="separate"/>
      </w:r>
      <w:r>
        <w:rPr>
          <w:rFonts w:hint="default" w:ascii="Arial" w:hAnsi="Arial" w:eastAsia="宋体" w:cs="Arial"/>
          <w:sz w:val="26"/>
          <w:szCs w:val="26"/>
          <w:highlight w:val="none"/>
          <w:lang w:val="en-US" w:eastAsia="zh-CN"/>
        </w:rPr>
        <w:t>10.2环境监理</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_Toc21542 \h </w:instrText>
      </w:r>
      <w:r>
        <w:rPr>
          <w:rFonts w:hint="default" w:ascii="Arial" w:hAnsi="Arial" w:eastAsia="宋体" w:cs="Arial"/>
          <w:sz w:val="26"/>
          <w:szCs w:val="26"/>
        </w:rPr>
        <w:fldChar w:fldCharType="separate"/>
      </w:r>
      <w:r>
        <w:rPr>
          <w:rFonts w:hint="default" w:ascii="Arial" w:hAnsi="Arial" w:eastAsia="宋体" w:cs="Arial"/>
          <w:sz w:val="26"/>
          <w:szCs w:val="26"/>
        </w:rPr>
        <w:t>262</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04690A0D">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_Toc27648 </w:instrText>
      </w:r>
      <w:r>
        <w:rPr>
          <w:rFonts w:hint="default" w:ascii="Arial" w:hAnsi="Arial" w:eastAsia="宋体" w:cs="Arial"/>
          <w:sz w:val="26"/>
          <w:szCs w:val="26"/>
        </w:rPr>
        <w:fldChar w:fldCharType="separate"/>
      </w:r>
      <w:r>
        <w:rPr>
          <w:rFonts w:hint="default" w:ascii="Arial" w:hAnsi="Arial" w:eastAsia="宋体" w:cs="Arial"/>
          <w:sz w:val="26"/>
          <w:szCs w:val="26"/>
          <w:highlight w:val="none"/>
          <w:lang w:val="en-US" w:eastAsia="zh-CN"/>
        </w:rPr>
        <w:t>10.3环境监测</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_Toc27648 \h </w:instrText>
      </w:r>
      <w:r>
        <w:rPr>
          <w:rFonts w:hint="default" w:ascii="Arial" w:hAnsi="Arial" w:eastAsia="宋体" w:cs="Arial"/>
          <w:sz w:val="26"/>
          <w:szCs w:val="26"/>
        </w:rPr>
        <w:fldChar w:fldCharType="separate"/>
      </w:r>
      <w:r>
        <w:rPr>
          <w:rFonts w:hint="default" w:ascii="Arial" w:hAnsi="Arial" w:eastAsia="宋体" w:cs="Arial"/>
          <w:sz w:val="26"/>
          <w:szCs w:val="26"/>
        </w:rPr>
        <w:t>265</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35B10DA9">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_Toc4376 </w:instrText>
      </w:r>
      <w:r>
        <w:rPr>
          <w:rFonts w:hint="default" w:ascii="Arial" w:hAnsi="Arial" w:eastAsia="宋体" w:cs="Arial"/>
          <w:sz w:val="26"/>
          <w:szCs w:val="26"/>
        </w:rPr>
        <w:fldChar w:fldCharType="separate"/>
      </w:r>
      <w:r>
        <w:rPr>
          <w:rFonts w:hint="default" w:ascii="Arial" w:hAnsi="Arial" w:eastAsia="宋体" w:cs="Arial"/>
          <w:sz w:val="26"/>
          <w:szCs w:val="26"/>
          <w:highlight w:val="none"/>
          <w:lang w:val="en-US" w:eastAsia="zh-CN"/>
        </w:rPr>
        <w:t>10.4竣工环境保护验收</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_Toc4376 \h </w:instrText>
      </w:r>
      <w:r>
        <w:rPr>
          <w:rFonts w:hint="default" w:ascii="Arial" w:hAnsi="Arial" w:eastAsia="宋体" w:cs="Arial"/>
          <w:sz w:val="26"/>
          <w:szCs w:val="26"/>
        </w:rPr>
        <w:fldChar w:fldCharType="separate"/>
      </w:r>
      <w:r>
        <w:rPr>
          <w:rFonts w:hint="default" w:ascii="Arial" w:hAnsi="Arial" w:eastAsia="宋体" w:cs="Arial"/>
          <w:sz w:val="26"/>
          <w:szCs w:val="26"/>
        </w:rPr>
        <w:t>266</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300F2E68">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_Toc8802 </w:instrText>
      </w:r>
      <w:r>
        <w:rPr>
          <w:rFonts w:hint="default" w:ascii="Arial" w:hAnsi="Arial" w:eastAsia="宋体" w:cs="Arial"/>
          <w:sz w:val="26"/>
          <w:szCs w:val="26"/>
        </w:rPr>
        <w:fldChar w:fldCharType="separate"/>
      </w:r>
      <w:r>
        <w:rPr>
          <w:rFonts w:hint="default" w:ascii="Arial" w:hAnsi="Arial" w:eastAsia="宋体" w:cs="Arial"/>
          <w:sz w:val="26"/>
          <w:szCs w:val="26"/>
          <w:highlight w:val="none"/>
        </w:rPr>
        <w:t>1</w:t>
      </w:r>
      <w:r>
        <w:rPr>
          <w:rFonts w:hint="default" w:ascii="Arial" w:hAnsi="Arial" w:eastAsia="宋体" w:cs="Arial"/>
          <w:sz w:val="26"/>
          <w:szCs w:val="26"/>
          <w:highlight w:val="none"/>
          <w:lang w:val="en-US" w:eastAsia="zh-CN"/>
        </w:rPr>
        <w:t>1</w:t>
      </w:r>
      <w:r>
        <w:rPr>
          <w:rFonts w:hint="default" w:ascii="Arial" w:hAnsi="Arial" w:eastAsia="宋体" w:cs="Arial"/>
          <w:sz w:val="26"/>
          <w:szCs w:val="26"/>
          <w:highlight w:val="none"/>
        </w:rPr>
        <w:t xml:space="preserve"> 结论与建议</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_Toc8802 \h </w:instrText>
      </w:r>
      <w:r>
        <w:rPr>
          <w:rFonts w:hint="default" w:ascii="Arial" w:hAnsi="Arial" w:eastAsia="宋体" w:cs="Arial"/>
          <w:sz w:val="26"/>
          <w:szCs w:val="26"/>
        </w:rPr>
        <w:fldChar w:fldCharType="separate"/>
      </w:r>
      <w:r>
        <w:rPr>
          <w:rFonts w:hint="default" w:ascii="Arial" w:hAnsi="Arial" w:eastAsia="宋体" w:cs="Arial"/>
          <w:sz w:val="26"/>
          <w:szCs w:val="26"/>
        </w:rPr>
        <w:t>269</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CCC5F21">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_Toc16190 </w:instrText>
      </w:r>
      <w:r>
        <w:rPr>
          <w:rFonts w:hint="default" w:ascii="Arial" w:hAnsi="Arial" w:eastAsia="宋体" w:cs="Arial"/>
          <w:sz w:val="26"/>
          <w:szCs w:val="26"/>
        </w:rPr>
        <w:fldChar w:fldCharType="separate"/>
      </w:r>
      <w:r>
        <w:rPr>
          <w:rFonts w:hint="default" w:ascii="Arial" w:hAnsi="Arial" w:eastAsia="宋体" w:cs="Arial"/>
          <w:sz w:val="26"/>
          <w:szCs w:val="26"/>
          <w:highlight w:val="none"/>
          <w:lang w:val="en-US" w:eastAsia="zh-CN"/>
        </w:rPr>
        <w:t>11.1 结论</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_Toc16190 \h </w:instrText>
      </w:r>
      <w:r>
        <w:rPr>
          <w:rFonts w:hint="default" w:ascii="Arial" w:hAnsi="Arial" w:eastAsia="宋体" w:cs="Arial"/>
          <w:sz w:val="26"/>
          <w:szCs w:val="26"/>
        </w:rPr>
        <w:fldChar w:fldCharType="separate"/>
      </w:r>
      <w:r>
        <w:rPr>
          <w:rFonts w:hint="default" w:ascii="Arial" w:hAnsi="Arial" w:eastAsia="宋体" w:cs="Arial"/>
          <w:sz w:val="26"/>
          <w:szCs w:val="26"/>
        </w:rPr>
        <w:t>269</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67F2A720">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_Toc16172 </w:instrText>
      </w:r>
      <w:r>
        <w:rPr>
          <w:rFonts w:hint="default" w:ascii="Arial" w:hAnsi="Arial" w:eastAsia="宋体" w:cs="Arial"/>
          <w:sz w:val="26"/>
          <w:szCs w:val="26"/>
        </w:rPr>
        <w:fldChar w:fldCharType="separate"/>
      </w:r>
      <w:r>
        <w:rPr>
          <w:rFonts w:hint="default" w:ascii="Arial" w:hAnsi="Arial" w:eastAsia="宋体" w:cs="Arial"/>
          <w:sz w:val="26"/>
          <w:szCs w:val="26"/>
          <w:highlight w:val="none"/>
          <w:lang w:val="en-US" w:eastAsia="zh-CN"/>
        </w:rPr>
        <w:t>11.2 建议</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_Toc16172 \h </w:instrText>
      </w:r>
      <w:r>
        <w:rPr>
          <w:rFonts w:hint="default" w:ascii="Arial" w:hAnsi="Arial" w:eastAsia="宋体" w:cs="Arial"/>
          <w:sz w:val="26"/>
          <w:szCs w:val="26"/>
        </w:rPr>
        <w:fldChar w:fldCharType="separate"/>
      </w:r>
      <w:r>
        <w:rPr>
          <w:rFonts w:hint="default" w:ascii="Arial" w:hAnsi="Arial" w:eastAsia="宋体" w:cs="Arial"/>
          <w:sz w:val="26"/>
          <w:szCs w:val="26"/>
        </w:rPr>
        <w:t>277</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37BB4E98">
      <w:pPr>
        <w:pStyle w:val="53"/>
        <w:keepNext w:val="0"/>
        <w:keepLines w:val="0"/>
        <w:pageBreakBefore w:val="0"/>
        <w:widowControl w:val="0"/>
        <w:tabs>
          <w:tab w:val="right" w:leader="dot" w:pos="8838"/>
          <w:tab w:val="clear" w:pos="8494"/>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_Toc8657 </w:instrText>
      </w:r>
      <w:r>
        <w:rPr>
          <w:rFonts w:hint="default" w:ascii="Arial" w:hAnsi="Arial" w:eastAsia="宋体" w:cs="Arial"/>
          <w:sz w:val="26"/>
          <w:szCs w:val="26"/>
        </w:rPr>
        <w:fldChar w:fldCharType="separate"/>
      </w:r>
      <w:r>
        <w:rPr>
          <w:rFonts w:hint="default" w:ascii="Arial" w:hAnsi="Arial" w:eastAsia="宋体" w:cs="Arial"/>
          <w:sz w:val="26"/>
          <w:szCs w:val="26"/>
        </w:rPr>
        <w:t>1</w:t>
      </w:r>
      <w:r>
        <w:rPr>
          <w:rFonts w:hint="eastAsia" w:ascii="Arial" w:hAnsi="Arial" w:cs="Arial"/>
          <w:sz w:val="26"/>
          <w:szCs w:val="26"/>
          <w:lang w:val="en-US" w:eastAsia="zh-CN"/>
        </w:rPr>
        <w:t>2</w:t>
      </w:r>
      <w:r>
        <w:rPr>
          <w:rFonts w:hint="default" w:ascii="Arial" w:hAnsi="Arial" w:eastAsia="宋体" w:cs="Arial"/>
          <w:sz w:val="26"/>
          <w:szCs w:val="26"/>
        </w:rPr>
        <w:t xml:space="preserve"> 附图及附件</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_Toc8657 \h </w:instrText>
      </w:r>
      <w:r>
        <w:rPr>
          <w:rFonts w:hint="default" w:ascii="Arial" w:hAnsi="Arial" w:eastAsia="宋体" w:cs="Arial"/>
          <w:sz w:val="26"/>
          <w:szCs w:val="26"/>
        </w:rPr>
        <w:fldChar w:fldCharType="separate"/>
      </w:r>
      <w:r>
        <w:rPr>
          <w:rFonts w:hint="default" w:ascii="Arial" w:hAnsi="Arial" w:eastAsia="宋体" w:cs="Arial"/>
          <w:sz w:val="26"/>
          <w:szCs w:val="26"/>
        </w:rPr>
        <w:t>278</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4316E53C">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_Toc24774 </w:instrText>
      </w:r>
      <w:r>
        <w:rPr>
          <w:rFonts w:hint="default" w:ascii="Arial" w:hAnsi="Arial" w:eastAsia="宋体" w:cs="Arial"/>
          <w:sz w:val="26"/>
          <w:szCs w:val="26"/>
        </w:rPr>
        <w:fldChar w:fldCharType="separate"/>
      </w:r>
      <w:r>
        <w:rPr>
          <w:rFonts w:hint="default" w:ascii="Arial" w:hAnsi="Arial" w:eastAsia="宋体" w:cs="Arial"/>
          <w:sz w:val="26"/>
          <w:szCs w:val="26"/>
        </w:rPr>
        <w:t>1</w:t>
      </w:r>
      <w:r>
        <w:rPr>
          <w:rFonts w:hint="eastAsia" w:ascii="Arial" w:hAnsi="Arial" w:cs="Arial"/>
          <w:sz w:val="26"/>
          <w:szCs w:val="26"/>
          <w:lang w:val="en-US" w:eastAsia="zh-CN"/>
        </w:rPr>
        <w:t>2</w:t>
      </w:r>
      <w:r>
        <w:rPr>
          <w:rFonts w:hint="default" w:ascii="Arial" w:hAnsi="Arial" w:eastAsia="宋体" w:cs="Arial"/>
          <w:sz w:val="26"/>
          <w:szCs w:val="26"/>
        </w:rPr>
        <w:t>.1 附图</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_Toc24774 \h </w:instrText>
      </w:r>
      <w:r>
        <w:rPr>
          <w:rFonts w:hint="default" w:ascii="Arial" w:hAnsi="Arial" w:eastAsia="宋体" w:cs="Arial"/>
          <w:sz w:val="26"/>
          <w:szCs w:val="26"/>
        </w:rPr>
        <w:fldChar w:fldCharType="separate"/>
      </w:r>
      <w:r>
        <w:rPr>
          <w:rFonts w:hint="default" w:ascii="Arial" w:hAnsi="Arial" w:eastAsia="宋体" w:cs="Arial"/>
          <w:sz w:val="26"/>
          <w:szCs w:val="26"/>
        </w:rPr>
        <w:t>278</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70D6C4A9">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_Toc1188 </w:instrText>
      </w:r>
      <w:r>
        <w:rPr>
          <w:rFonts w:hint="default" w:ascii="Arial" w:hAnsi="Arial" w:eastAsia="宋体" w:cs="Arial"/>
          <w:sz w:val="26"/>
          <w:szCs w:val="26"/>
        </w:rPr>
        <w:fldChar w:fldCharType="separate"/>
      </w:r>
      <w:r>
        <w:rPr>
          <w:rFonts w:hint="default" w:ascii="Arial" w:hAnsi="Arial" w:eastAsia="宋体" w:cs="Arial"/>
          <w:sz w:val="26"/>
          <w:szCs w:val="26"/>
        </w:rPr>
        <w:t>1</w:t>
      </w:r>
      <w:r>
        <w:rPr>
          <w:rFonts w:hint="eastAsia" w:ascii="Arial" w:hAnsi="Arial" w:cs="Arial"/>
          <w:sz w:val="26"/>
          <w:szCs w:val="26"/>
          <w:lang w:val="en-US" w:eastAsia="zh-CN"/>
        </w:rPr>
        <w:t>2</w:t>
      </w:r>
      <w:r>
        <w:rPr>
          <w:rFonts w:hint="default" w:ascii="Arial" w:hAnsi="Arial" w:eastAsia="宋体" w:cs="Arial"/>
          <w:sz w:val="26"/>
          <w:szCs w:val="26"/>
        </w:rPr>
        <w:t>.2 附件</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_Toc1188 \h </w:instrText>
      </w:r>
      <w:r>
        <w:rPr>
          <w:rFonts w:hint="default" w:ascii="Arial" w:hAnsi="Arial" w:eastAsia="宋体" w:cs="Arial"/>
          <w:sz w:val="26"/>
          <w:szCs w:val="26"/>
        </w:rPr>
        <w:fldChar w:fldCharType="separate"/>
      </w:r>
      <w:r>
        <w:rPr>
          <w:rFonts w:hint="default" w:ascii="Arial" w:hAnsi="Arial" w:eastAsia="宋体" w:cs="Arial"/>
          <w:sz w:val="26"/>
          <w:szCs w:val="26"/>
        </w:rPr>
        <w:t>279</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4F971A03">
      <w:pPr>
        <w:pStyle w:val="64"/>
        <w:keepNext w:val="0"/>
        <w:keepLines w:val="0"/>
        <w:pageBreakBefore w:val="0"/>
        <w:widowControl w:val="0"/>
        <w:tabs>
          <w:tab w:val="right" w:leader="dot" w:pos="8838"/>
        </w:tabs>
        <w:kinsoku/>
        <w:wordWrap/>
        <w:overflowPunct/>
        <w:topLinePunct w:val="0"/>
        <w:autoSpaceDE/>
        <w:autoSpaceDN/>
        <w:bidi w:val="0"/>
        <w:spacing w:line="440" w:lineRule="exact"/>
        <w:textAlignment w:val="auto"/>
        <w:rPr>
          <w:rFonts w:hint="default" w:ascii="Arial" w:hAnsi="Arial" w:eastAsia="宋体" w:cs="Arial"/>
          <w:sz w:val="26"/>
          <w:szCs w:val="26"/>
        </w:rPr>
      </w:pPr>
      <w:r>
        <w:rPr>
          <w:rFonts w:hint="default" w:ascii="Arial" w:hAnsi="Arial" w:eastAsia="宋体" w:cs="Arial"/>
          <w:sz w:val="26"/>
          <w:szCs w:val="26"/>
        </w:rPr>
        <w:fldChar w:fldCharType="begin"/>
      </w:r>
      <w:r>
        <w:rPr>
          <w:rFonts w:hint="default" w:ascii="Arial" w:hAnsi="Arial" w:eastAsia="宋体" w:cs="Arial"/>
          <w:sz w:val="26"/>
          <w:szCs w:val="26"/>
        </w:rPr>
        <w:instrText xml:space="preserve"> HYPERLINK \l _Toc30342 </w:instrText>
      </w:r>
      <w:r>
        <w:rPr>
          <w:rFonts w:hint="default" w:ascii="Arial" w:hAnsi="Arial" w:eastAsia="宋体" w:cs="Arial"/>
          <w:sz w:val="26"/>
          <w:szCs w:val="26"/>
        </w:rPr>
        <w:fldChar w:fldCharType="separate"/>
      </w:r>
      <w:r>
        <w:rPr>
          <w:rFonts w:hint="default" w:ascii="Arial" w:hAnsi="Arial" w:eastAsia="宋体" w:cs="Arial"/>
          <w:sz w:val="26"/>
          <w:szCs w:val="26"/>
        </w:rPr>
        <w:t>1</w:t>
      </w:r>
      <w:r>
        <w:rPr>
          <w:rFonts w:hint="eastAsia" w:ascii="Arial" w:hAnsi="Arial" w:cs="Arial"/>
          <w:sz w:val="26"/>
          <w:szCs w:val="26"/>
          <w:lang w:val="en-US" w:eastAsia="zh-CN"/>
        </w:rPr>
        <w:t>2</w:t>
      </w:r>
      <w:r>
        <w:rPr>
          <w:rFonts w:hint="default" w:ascii="Arial" w:hAnsi="Arial" w:eastAsia="宋体" w:cs="Arial"/>
          <w:sz w:val="26"/>
          <w:szCs w:val="26"/>
        </w:rPr>
        <w:t>.3 附录</w:t>
      </w:r>
      <w:r>
        <w:rPr>
          <w:rFonts w:hint="default" w:ascii="Arial" w:hAnsi="Arial" w:eastAsia="宋体" w:cs="Arial"/>
          <w:sz w:val="26"/>
          <w:szCs w:val="26"/>
        </w:rPr>
        <w:tab/>
      </w:r>
      <w:r>
        <w:rPr>
          <w:rFonts w:hint="default" w:ascii="Arial" w:hAnsi="Arial" w:eastAsia="宋体" w:cs="Arial"/>
          <w:sz w:val="26"/>
          <w:szCs w:val="26"/>
        </w:rPr>
        <w:fldChar w:fldCharType="begin"/>
      </w:r>
      <w:r>
        <w:rPr>
          <w:rFonts w:hint="default" w:ascii="Arial" w:hAnsi="Arial" w:eastAsia="宋体" w:cs="Arial"/>
          <w:sz w:val="26"/>
          <w:szCs w:val="26"/>
        </w:rPr>
        <w:instrText xml:space="preserve"> PAGEREF _Toc30342 \h </w:instrText>
      </w:r>
      <w:r>
        <w:rPr>
          <w:rFonts w:hint="default" w:ascii="Arial" w:hAnsi="Arial" w:eastAsia="宋体" w:cs="Arial"/>
          <w:sz w:val="26"/>
          <w:szCs w:val="26"/>
        </w:rPr>
        <w:fldChar w:fldCharType="separate"/>
      </w:r>
      <w:r>
        <w:rPr>
          <w:rFonts w:hint="default" w:ascii="Arial" w:hAnsi="Arial" w:eastAsia="宋体" w:cs="Arial"/>
          <w:sz w:val="26"/>
          <w:szCs w:val="26"/>
        </w:rPr>
        <w:t>279</w:t>
      </w:r>
      <w:r>
        <w:rPr>
          <w:rFonts w:hint="default" w:ascii="Arial" w:hAnsi="Arial" w:eastAsia="宋体" w:cs="Arial"/>
          <w:sz w:val="26"/>
          <w:szCs w:val="26"/>
        </w:rPr>
        <w:fldChar w:fldCharType="end"/>
      </w:r>
      <w:r>
        <w:rPr>
          <w:rFonts w:hint="default" w:ascii="Arial" w:hAnsi="Arial" w:eastAsia="宋体" w:cs="Arial"/>
          <w:sz w:val="26"/>
          <w:szCs w:val="26"/>
        </w:rPr>
        <w:fldChar w:fldCharType="end"/>
      </w:r>
    </w:p>
    <w:p w14:paraId="1F8EE240">
      <w:pPr>
        <w:keepNext w:val="0"/>
        <w:keepLines w:val="0"/>
        <w:pageBreakBefore w:val="0"/>
        <w:widowControl w:val="0"/>
        <w:tabs>
          <w:tab w:val="right" w:leader="dot" w:pos="8789"/>
        </w:tabs>
        <w:kinsoku/>
        <w:wordWrap/>
        <w:overflowPunct/>
        <w:topLinePunct w:val="0"/>
        <w:autoSpaceDE/>
        <w:autoSpaceDN/>
        <w:bidi w:val="0"/>
        <w:adjustRightInd w:val="0"/>
        <w:snapToGrid w:val="0"/>
        <w:spacing w:line="440" w:lineRule="exact"/>
        <w:ind w:left="-2" w:leftChars="-1" w:firstLine="1"/>
        <w:textAlignment w:val="auto"/>
        <w:rPr>
          <w:sz w:val="28"/>
        </w:rPr>
        <w:sectPr>
          <w:footerReference r:id="rId13" w:type="first"/>
          <w:footerReference r:id="rId12" w:type="default"/>
          <w:pgSz w:w="12240" w:h="15840"/>
          <w:pgMar w:top="1440" w:right="1701" w:bottom="1440" w:left="1701" w:header="794" w:footer="794" w:gutter="0"/>
          <w:pgBorders>
            <w:top w:val="none" w:sz="0" w:space="0"/>
            <w:left w:val="none" w:sz="0" w:space="0"/>
            <w:bottom w:val="none" w:sz="0" w:space="0"/>
            <w:right w:val="none" w:sz="0" w:space="0"/>
          </w:pgBorders>
          <w:pgNumType w:fmt="upperRoman"/>
          <w:cols w:space="720" w:num="1"/>
          <w:titlePg/>
        </w:sectPr>
      </w:pPr>
      <w:r>
        <w:rPr>
          <w:rFonts w:hint="default" w:ascii="Arial" w:hAnsi="Arial" w:eastAsia="宋体" w:cs="Arial"/>
          <w:sz w:val="26"/>
          <w:szCs w:val="26"/>
        </w:rPr>
        <w:fldChar w:fldCharType="end"/>
      </w:r>
    </w:p>
    <w:p w14:paraId="29C77DED">
      <w:pPr>
        <w:keepNext w:val="0"/>
        <w:keepLines w:val="0"/>
        <w:pageBreakBefore w:val="0"/>
        <w:widowControl w:val="0"/>
        <w:kinsoku/>
        <w:wordWrap/>
        <w:overflowPunct/>
        <w:topLinePunct w:val="0"/>
        <w:autoSpaceDE/>
        <w:autoSpaceDN/>
        <w:bidi w:val="0"/>
        <w:adjustRightInd/>
        <w:snapToGrid/>
        <w:spacing w:before="0" w:beforeLines="50" w:after="0" w:afterLines="50" w:line="480" w:lineRule="exact"/>
        <w:jc w:val="center"/>
        <w:textAlignment w:val="auto"/>
        <w:outlineLvl w:val="0"/>
        <w:rPr>
          <w:rFonts w:hint="eastAsia" w:ascii="黑体" w:eastAsia="黑体"/>
          <w:b/>
          <w:color w:val="auto"/>
          <w:kern w:val="0"/>
          <w:sz w:val="32"/>
          <w:szCs w:val="32"/>
          <w:highlight w:val="none"/>
        </w:rPr>
        <w:sectPr>
          <w:headerReference r:id="rId14" w:type="default"/>
          <w:type w:val="continuous"/>
          <w:pgSz w:w="12240" w:h="15840"/>
          <w:pgMar w:top="1440" w:right="1701" w:bottom="1276" w:left="1701" w:header="794" w:footer="720" w:gutter="0"/>
          <w:pgBorders>
            <w:top w:val="none" w:sz="0" w:space="0"/>
            <w:left w:val="none" w:sz="0" w:space="0"/>
            <w:bottom w:val="none" w:sz="0" w:space="0"/>
            <w:right w:val="none" w:sz="0" w:space="0"/>
          </w:pgBorders>
          <w:pgNumType w:fmt="upperRoman"/>
          <w:cols w:space="720" w:num="1"/>
        </w:sectPr>
      </w:pPr>
      <w:bookmarkStart w:id="1" w:name="_Toc30645"/>
    </w:p>
    <w:p w14:paraId="583E242B">
      <w:pPr>
        <w:keepNext w:val="0"/>
        <w:keepLines w:val="0"/>
        <w:pageBreakBefore w:val="0"/>
        <w:widowControl w:val="0"/>
        <w:kinsoku/>
        <w:wordWrap/>
        <w:overflowPunct/>
        <w:topLinePunct w:val="0"/>
        <w:autoSpaceDE/>
        <w:autoSpaceDN/>
        <w:bidi w:val="0"/>
        <w:adjustRightInd/>
        <w:snapToGrid/>
        <w:spacing w:before="0" w:beforeLines="50" w:after="0" w:afterLines="50" w:line="480" w:lineRule="exact"/>
        <w:jc w:val="center"/>
        <w:textAlignment w:val="auto"/>
        <w:outlineLvl w:val="0"/>
        <w:rPr>
          <w:rFonts w:hint="eastAsia" w:ascii="黑体" w:eastAsia="黑体"/>
          <w:b/>
          <w:color w:val="auto"/>
          <w:kern w:val="0"/>
          <w:sz w:val="32"/>
          <w:szCs w:val="32"/>
          <w:highlight w:val="none"/>
        </w:rPr>
      </w:pPr>
      <w:r>
        <w:rPr>
          <w:rFonts w:hint="eastAsia" w:ascii="黑体" w:eastAsia="黑体"/>
          <w:b/>
          <w:color w:val="auto"/>
          <w:kern w:val="0"/>
          <w:sz w:val="32"/>
          <w:szCs w:val="32"/>
          <w:highlight w:val="none"/>
        </w:rPr>
        <w:t>概述</w:t>
      </w:r>
      <w:bookmarkEnd w:id="1"/>
    </w:p>
    <w:p w14:paraId="6077F98F">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eastAsia" w:ascii="宋体"/>
          <w:b/>
          <w:color w:val="auto"/>
          <w:kern w:val="0"/>
          <w:sz w:val="26"/>
          <w:szCs w:val="26"/>
          <w:highlight w:val="none"/>
        </w:rPr>
      </w:pPr>
      <w:r>
        <w:rPr>
          <w:rFonts w:hint="eastAsia" w:ascii="宋体"/>
          <w:b/>
          <w:color w:val="auto"/>
          <w:kern w:val="0"/>
          <w:sz w:val="26"/>
          <w:szCs w:val="26"/>
          <w:highlight w:val="none"/>
          <w:lang w:eastAsia="zh-CN"/>
        </w:rPr>
        <w:t>一、</w:t>
      </w:r>
      <w:r>
        <w:rPr>
          <w:rFonts w:hint="eastAsia" w:ascii="宋体"/>
          <w:b/>
          <w:color w:val="auto"/>
          <w:kern w:val="0"/>
          <w:sz w:val="26"/>
          <w:szCs w:val="26"/>
          <w:highlight w:val="none"/>
        </w:rPr>
        <w:t>项目实施背景</w:t>
      </w:r>
    </w:p>
    <w:p w14:paraId="508F5458">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丰都县海螺沟水库工程位于丰都县双龙镇田家山村，项目区水资源量较为丰富，但无骨干水源工程，仅有5座山坪塘，合计容积约0.9万m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，为区域居民供水，年供水量约0.94</w:t>
      </w:r>
      <w:r>
        <w:rPr>
          <w:rFonts w:hint="eastAsia" w:ascii="Arial" w:hAnsi="Arial" w:eastAsia="宋体" w:cs="Arial"/>
          <w:color w:val="auto"/>
          <w:kern w:val="0"/>
          <w:sz w:val="26"/>
          <w:szCs w:val="26"/>
          <w:highlight w:val="none"/>
          <w:lang w:val="en-US" w:eastAsia="zh-CN"/>
        </w:rPr>
        <w:t>万</w:t>
      </w:r>
      <w:r>
        <w:rPr>
          <w:rFonts w:hint="eastAsia" w:ascii="Arial" w:hAnsi="Arial" w:cs="Arial"/>
          <w:color w:val="auto"/>
          <w:kern w:val="0"/>
          <w:sz w:val="26"/>
          <w:szCs w:val="26"/>
          <w:highlight w:val="none"/>
          <w:lang w:val="en-US" w:eastAsia="zh-CN"/>
        </w:rPr>
        <w:t>m</w:t>
      </w:r>
      <w:r>
        <w:rPr>
          <w:rFonts w:hint="eastAsia" w:ascii="Arial" w:hAnsi="Arial" w:cs="Arial"/>
          <w:color w:val="auto"/>
          <w:kern w:val="0"/>
          <w:sz w:val="26"/>
          <w:szCs w:val="26"/>
          <w:highlight w:val="none"/>
          <w:vertAlign w:val="superscript"/>
          <w:lang w:val="en-US" w:eastAsia="zh-CN"/>
        </w:rPr>
        <w:t>3</w:t>
      </w:r>
      <w:r>
        <w:rPr>
          <w:rFonts w:hint="eastAsia" w:ascii="Arial" w:hAnsi="Arial" w:eastAsia="宋体" w:cs="Arial"/>
          <w:color w:val="auto"/>
          <w:kern w:val="0"/>
          <w:sz w:val="26"/>
          <w:szCs w:val="26"/>
          <w:highlight w:val="none"/>
          <w:lang w:val="en-US" w:eastAsia="zh-CN"/>
        </w:rPr>
        <w:t>，</w:t>
      </w:r>
      <w:r>
        <w:rPr>
          <w:rFonts w:hint="eastAsia" w:ascii="Arial" w:hAnsi="Arial" w:cs="Arial"/>
          <w:color w:val="auto"/>
          <w:kern w:val="0"/>
          <w:sz w:val="26"/>
          <w:szCs w:val="26"/>
          <w:highlight w:val="none"/>
          <w:lang w:val="en-US" w:eastAsia="zh-CN"/>
        </w:rPr>
        <w:t>供水量</w:t>
      </w:r>
      <w:r>
        <w:rPr>
          <w:rFonts w:hint="eastAsia" w:ascii="Arial" w:hAnsi="Arial" w:eastAsia="宋体" w:cs="Arial"/>
          <w:color w:val="auto"/>
          <w:kern w:val="0"/>
          <w:sz w:val="26"/>
          <w:szCs w:val="26"/>
          <w:highlight w:val="none"/>
          <w:lang w:val="en-US" w:eastAsia="zh-CN"/>
        </w:rPr>
        <w:t>较小，</w:t>
      </w:r>
      <w:r>
        <w:rPr>
          <w:rFonts w:hint="eastAsia" w:ascii="Arial" w:hAnsi="Arial" w:cs="Arial"/>
          <w:color w:val="auto"/>
          <w:kern w:val="0"/>
          <w:sz w:val="26"/>
          <w:szCs w:val="26"/>
          <w:highlight w:val="none"/>
          <w:lang w:val="en-US" w:eastAsia="zh-CN"/>
        </w:rPr>
        <w:t>且无处理设施，水质、水量稳定性差，供水安全不能得到保障，影响当地居民饮水安全。</w:t>
      </w:r>
    </w:p>
    <w:p w14:paraId="5258BE75">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color w:val="auto"/>
          <w:kern w:val="24"/>
          <w:sz w:val="26"/>
          <w:szCs w:val="26"/>
          <w:highlight w:val="none"/>
        </w:rPr>
      </w:pPr>
      <w:r>
        <w:rPr>
          <w:rFonts w:hint="eastAsia" w:ascii="Arial" w:hAnsi="Arial" w:eastAsia="宋体" w:cs="Arial"/>
          <w:color w:val="auto"/>
          <w:kern w:val="0"/>
          <w:sz w:val="26"/>
          <w:szCs w:val="26"/>
          <w:highlight w:val="none"/>
          <w:lang w:val="en-US" w:eastAsia="zh-CN"/>
        </w:rPr>
        <w:t>2023年中央一号文件《中共中央国务院关于做好2023年全面推进乡村振兴重点工作的意见》指出，加强水利基础设施建设。实施一批中小型水库及引调水、抗旱备用水源等工程建设。加强田间地头渠系与灌区骨干工程连接等农田水利设施建设。《丰都县“十四五”水安全保障规划》指出，“十四五”期间规划建设的小型水库有：续建观音岩、茶沟子2座小（1）水库以及次竹沟1座小（2）型水库；开工建设小月坝、</w:t>
      </w:r>
      <w:r>
        <w:rPr>
          <w:rFonts w:hint="eastAsia" w:ascii="Arial" w:hAnsi="Arial" w:eastAsia="宋体" w:cs="Arial"/>
          <w:b/>
          <w:bCs/>
          <w:color w:val="auto"/>
          <w:kern w:val="0"/>
          <w:sz w:val="26"/>
          <w:szCs w:val="26"/>
          <w:highlight w:val="none"/>
          <w:lang w:val="en-US" w:eastAsia="zh-CN"/>
        </w:rPr>
        <w:t>海螺沟</w:t>
      </w:r>
      <w:r>
        <w:rPr>
          <w:rFonts w:hint="eastAsia" w:ascii="Arial" w:hAnsi="Arial" w:eastAsia="宋体" w:cs="Arial"/>
          <w:color w:val="auto"/>
          <w:kern w:val="0"/>
          <w:sz w:val="26"/>
          <w:szCs w:val="26"/>
          <w:highlight w:val="none"/>
          <w:lang w:val="en-US" w:eastAsia="zh-CN"/>
        </w:rPr>
        <w:t>2座小（1）型水库以及陈家沟、竹田湾、莲花、十直、吕家沟、幸福、蔡家沟、轿子山8座小（2）型水库。海螺沟水库工程作为“十四五”时期丰都县重要水源工程，是保障双龙镇农村供水安全的需要，是缓解双龙镇灌区未来用水的矛盾，实现双龙镇灌区经济可持续发展的重要基础性工程的需要，也是提高水资源高效利用的需要。</w:t>
      </w:r>
    </w:p>
    <w:p w14:paraId="0F171992">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eastAsia" w:ascii="Arial" w:hAnsi="Arial" w:eastAsia="宋体" w:cs="Arial"/>
          <w:b/>
          <w:bCs/>
          <w:color w:val="auto"/>
          <w:kern w:val="0"/>
          <w:sz w:val="26"/>
          <w:szCs w:val="26"/>
          <w:highlight w:val="none"/>
          <w:lang w:val="en-US" w:eastAsia="zh-CN"/>
        </w:rPr>
      </w:pPr>
      <w:r>
        <w:rPr>
          <w:rFonts w:hint="eastAsia" w:ascii="Arial" w:hAnsi="Arial" w:cs="Arial"/>
          <w:b/>
          <w:bCs/>
          <w:color w:val="auto"/>
          <w:kern w:val="0"/>
          <w:sz w:val="26"/>
          <w:szCs w:val="26"/>
          <w:highlight w:val="none"/>
          <w:lang w:val="en-US" w:eastAsia="zh-CN"/>
        </w:rPr>
        <w:t>二、项目前期手续</w:t>
      </w:r>
    </w:p>
    <w:p w14:paraId="2C829A34">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default"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1）东莞市水利勘测设计院有限公司于2022年5月编制完成了《丰都县海螺沟水库工程可行性研究报告》，2022年6月9日丰都县发展和改革委员会以“丰都发改委发〔2022〕163号”下发了《关于丰都县海螺沟水库工程可行性研究报告的批复》。项目为新建，选址位于丰都县双龙镇田家山村，建设单位为重庆丰都农业科技发展集团有限公司，是一座以农村人饮为主，兼顾农业灌溉功能的小（2）型水库工程，库容为85万m</w:t>
      </w:r>
      <w:r>
        <w:rPr>
          <w:rFonts w:hint="eastAsia" w:ascii="Arial" w:hAnsi="Arial" w:eastAsia="宋体" w:cs="Arial"/>
          <w:color w:val="auto"/>
          <w:kern w:val="0"/>
          <w:sz w:val="26"/>
          <w:szCs w:val="26"/>
          <w:highlight w:val="none"/>
          <w:vertAlign w:val="superscript"/>
          <w:lang w:val="en-US" w:eastAsia="zh-CN"/>
        </w:rPr>
        <w:t>3</w:t>
      </w:r>
      <w:r>
        <w:rPr>
          <w:rFonts w:hint="eastAsia" w:ascii="Arial" w:hAnsi="Arial" w:eastAsia="宋体" w:cs="Arial"/>
          <w:color w:val="auto"/>
          <w:kern w:val="0"/>
          <w:sz w:val="26"/>
          <w:szCs w:val="26"/>
          <w:highlight w:val="none"/>
          <w:lang w:val="en-US" w:eastAsia="zh-CN"/>
        </w:rPr>
        <w:t>，主要由挡水建筑物、泄水建筑物、取水建筑物组成。</w:t>
      </w:r>
    </w:p>
    <w:p w14:paraId="0F312F05">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default"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（2）2023年7月20日，建设单位取得了重庆市丰都县规划和自然资源局下发的建设项目用地预审与选址意见书，用字第500230202300004号。明确了项目总用地面积为11.3182hm</w:t>
      </w:r>
      <w:r>
        <w:rPr>
          <w:rFonts w:hint="eastAsia" w:ascii="Arial" w:hAnsi="Arial" w:cs="Arial"/>
          <w:color w:val="auto"/>
          <w:kern w:val="0"/>
          <w:sz w:val="26"/>
          <w:szCs w:val="26"/>
          <w:highlight w:val="none"/>
          <w:vertAlign w:val="superscript"/>
          <w:lang w:val="en-US" w:eastAsia="zh-CN"/>
        </w:rPr>
        <w:t>2</w:t>
      </w:r>
      <w:r>
        <w:rPr>
          <w:rFonts w:hint="eastAsia" w:ascii="Arial" w:hAnsi="Arial" w:cs="Arial"/>
          <w:color w:val="auto"/>
          <w:kern w:val="0"/>
          <w:sz w:val="26"/>
          <w:szCs w:val="26"/>
          <w:highlight w:val="none"/>
          <w:lang w:val="en-US" w:eastAsia="zh-CN"/>
        </w:rPr>
        <w:t>，其中淹没区用地为8.3026hm</w:t>
      </w:r>
      <w:r>
        <w:rPr>
          <w:rFonts w:hint="eastAsia" w:ascii="Arial" w:hAnsi="Arial" w:cs="Arial"/>
          <w:color w:val="auto"/>
          <w:kern w:val="0"/>
          <w:sz w:val="26"/>
          <w:szCs w:val="26"/>
          <w:highlight w:val="none"/>
          <w:vertAlign w:val="superscript"/>
          <w:lang w:val="en-US" w:eastAsia="zh-CN"/>
        </w:rPr>
        <w:t>2</w:t>
      </w:r>
      <w:r>
        <w:rPr>
          <w:rFonts w:hint="eastAsia" w:ascii="Arial" w:hAnsi="Arial" w:cs="Arial"/>
          <w:color w:val="auto"/>
          <w:kern w:val="0"/>
          <w:sz w:val="26"/>
          <w:szCs w:val="26"/>
          <w:highlight w:val="none"/>
          <w:lang w:val="en-US" w:eastAsia="zh-CN"/>
        </w:rPr>
        <w:t>、枢纽工程区永久占地为3.0156hm</w:t>
      </w:r>
      <w:r>
        <w:rPr>
          <w:rFonts w:hint="eastAsia" w:ascii="Arial" w:hAnsi="Arial" w:cs="Arial"/>
          <w:color w:val="auto"/>
          <w:kern w:val="0"/>
          <w:sz w:val="26"/>
          <w:szCs w:val="26"/>
          <w:highlight w:val="none"/>
          <w:vertAlign w:val="superscript"/>
          <w:lang w:val="en-US" w:eastAsia="zh-CN"/>
        </w:rPr>
        <w:t>2</w:t>
      </w:r>
      <w:r>
        <w:rPr>
          <w:rFonts w:hint="eastAsia" w:ascii="Arial" w:hAnsi="Arial" w:cs="Arial"/>
          <w:color w:val="auto"/>
          <w:kern w:val="0"/>
          <w:sz w:val="26"/>
          <w:szCs w:val="26"/>
          <w:highlight w:val="none"/>
          <w:lang w:val="en-US" w:eastAsia="zh-CN"/>
        </w:rPr>
        <w:t>。</w:t>
      </w:r>
    </w:p>
    <w:p w14:paraId="20B1F87D">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eastAsia" w:ascii="Arial" w:hAnsi="Arial" w:eastAsia="宋体"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（3）2023年9月20日</w:t>
      </w:r>
      <w:r>
        <w:rPr>
          <w:rFonts w:hint="eastAsia" w:ascii="Arial" w:hAnsi="Arial" w:eastAsia="宋体" w:cs="Arial"/>
          <w:color w:val="auto"/>
          <w:kern w:val="0"/>
          <w:sz w:val="26"/>
          <w:szCs w:val="26"/>
          <w:highlight w:val="none"/>
          <w:lang w:val="en-US" w:eastAsia="zh-CN"/>
        </w:rPr>
        <w:t>丰都县发展和改革委员会以“丰都发改委发〔2023〕434号”下发了《关于调整丰都县海螺沟水库工程可行性研究报告的批复》。项目为新建，选址位于丰都县双龙镇田家山村，建设单位为丰都县水利工程服务中心，是一座以供水和农业灌溉为主要开发功能的小（2）型水利工程，库容为80.51万m</w:t>
      </w:r>
      <w:r>
        <w:rPr>
          <w:rFonts w:hint="eastAsia" w:ascii="Arial" w:hAnsi="Arial" w:eastAsia="宋体" w:cs="Arial"/>
          <w:color w:val="auto"/>
          <w:kern w:val="0"/>
          <w:sz w:val="26"/>
          <w:szCs w:val="26"/>
          <w:highlight w:val="none"/>
          <w:vertAlign w:val="superscript"/>
          <w:lang w:val="en-US" w:eastAsia="zh-CN"/>
        </w:rPr>
        <w:t>3</w:t>
      </w:r>
      <w:r>
        <w:rPr>
          <w:rFonts w:hint="eastAsia" w:ascii="Arial" w:hAnsi="Arial" w:eastAsia="宋体" w:cs="Arial"/>
          <w:color w:val="auto"/>
          <w:kern w:val="0"/>
          <w:sz w:val="26"/>
          <w:szCs w:val="26"/>
          <w:highlight w:val="none"/>
          <w:lang w:val="en-US" w:eastAsia="zh-CN"/>
        </w:rPr>
        <w:t>，主要由枢纽工程、输水工程和附属设施工程组成，</w:t>
      </w:r>
      <w:bookmarkStart w:id="2" w:name="OLE_LINK10"/>
      <w:r>
        <w:rPr>
          <w:rFonts w:hint="eastAsia" w:ascii="Arial" w:hAnsi="Arial" w:eastAsia="宋体" w:cs="Arial"/>
          <w:color w:val="auto"/>
          <w:kern w:val="0"/>
          <w:sz w:val="26"/>
          <w:szCs w:val="26"/>
          <w:highlight w:val="none"/>
          <w:lang w:val="en-US" w:eastAsia="zh-CN"/>
        </w:rPr>
        <w:t>可解决7000农村居民人饮用水、2000亩耕地灌溉。</w:t>
      </w:r>
    </w:p>
    <w:bookmarkEnd w:id="2"/>
    <w:p w14:paraId="1D4CA4A7">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390" w:firstLineChars="150"/>
        <w:textAlignment w:val="auto"/>
        <w:rPr>
          <w:rFonts w:hint="default" w:ascii="Arial" w:hAnsi="Arial" w:eastAsia="宋体" w:cs="Arial"/>
          <w:color w:val="auto"/>
          <w:kern w:val="0"/>
          <w:sz w:val="26"/>
          <w:szCs w:val="26"/>
          <w:highlight w:val="none"/>
          <w:lang w:val="en-US" w:eastAsia="zh-CN"/>
        </w:rPr>
      </w:pPr>
      <w:r>
        <w:rPr>
          <w:rFonts w:hint="default" w:ascii="Arial" w:hAnsi="Arial" w:eastAsia="宋体" w:cs="Arial"/>
          <w:color w:val="auto"/>
          <w:kern w:val="0"/>
          <w:sz w:val="26"/>
          <w:szCs w:val="26"/>
          <w:highlight w:val="none"/>
          <w:lang w:val="en-US" w:eastAsia="zh-CN" w:bidi="ar-SA"/>
        </w:rPr>
        <w:t>（</w:t>
      </w:r>
      <w:r>
        <w:rPr>
          <w:rFonts w:hint="eastAsia" w:ascii="Arial" w:hAnsi="Arial" w:cs="Arial"/>
          <w:color w:val="auto"/>
          <w:kern w:val="0"/>
          <w:sz w:val="26"/>
          <w:szCs w:val="26"/>
          <w:highlight w:val="none"/>
          <w:lang w:val="en-US" w:eastAsia="zh-CN" w:bidi="ar-SA"/>
        </w:rPr>
        <w:t>4</w:t>
      </w:r>
      <w:r>
        <w:rPr>
          <w:rFonts w:hint="default" w:ascii="Arial" w:hAnsi="Arial" w:eastAsia="宋体" w:cs="Arial"/>
          <w:color w:val="auto"/>
          <w:kern w:val="0"/>
          <w:sz w:val="26"/>
          <w:szCs w:val="26"/>
          <w:highlight w:val="none"/>
          <w:lang w:val="en-US" w:eastAsia="zh-CN" w:bidi="ar-SA"/>
        </w:rPr>
        <w:t>）</w:t>
      </w:r>
      <w:r>
        <w:rPr>
          <w:rFonts w:hint="eastAsia" w:ascii="Arial" w:hAnsi="Arial" w:cs="Arial"/>
          <w:color w:val="auto"/>
          <w:kern w:val="0"/>
          <w:sz w:val="26"/>
          <w:szCs w:val="26"/>
          <w:highlight w:val="none"/>
          <w:lang w:val="en-US" w:eastAsia="zh-CN" w:bidi="ar-SA"/>
        </w:rPr>
        <w:t>2023年9月东莞市水利勘测设计院有限公司编制了《</w:t>
      </w:r>
      <w:r>
        <w:rPr>
          <w:rFonts w:hint="eastAsia" w:ascii="Arial" w:hAnsi="Arial" w:eastAsia="宋体" w:cs="Arial"/>
          <w:color w:val="auto"/>
          <w:kern w:val="0"/>
          <w:sz w:val="26"/>
          <w:szCs w:val="26"/>
          <w:highlight w:val="none"/>
          <w:lang w:val="en-US" w:eastAsia="zh-CN"/>
        </w:rPr>
        <w:t>丰都县海螺沟水库工程</w:t>
      </w:r>
      <w:r>
        <w:rPr>
          <w:rFonts w:hint="eastAsia" w:ascii="Arial" w:hAnsi="Arial" w:cs="Arial"/>
          <w:color w:val="auto"/>
          <w:kern w:val="0"/>
          <w:sz w:val="26"/>
          <w:szCs w:val="26"/>
          <w:highlight w:val="none"/>
          <w:lang w:val="en-US" w:eastAsia="zh-CN"/>
        </w:rPr>
        <w:t>初步设计报告</w:t>
      </w:r>
      <w:r>
        <w:rPr>
          <w:rFonts w:hint="eastAsia" w:ascii="Arial" w:hAnsi="Arial" w:cs="Arial"/>
          <w:color w:val="auto"/>
          <w:kern w:val="0"/>
          <w:sz w:val="26"/>
          <w:szCs w:val="26"/>
          <w:highlight w:val="none"/>
          <w:lang w:val="en-US" w:eastAsia="zh-CN" w:bidi="ar-SA"/>
        </w:rPr>
        <w:t>》</w:t>
      </w:r>
      <w:r>
        <w:rPr>
          <w:rFonts w:hint="eastAsia" w:ascii="Arial" w:hAnsi="Arial" w:cs="Arial"/>
          <w:color w:val="auto"/>
          <w:kern w:val="0"/>
          <w:sz w:val="26"/>
          <w:szCs w:val="26"/>
          <w:highlight w:val="none"/>
          <w:lang w:val="en-US" w:eastAsia="zh-CN"/>
        </w:rPr>
        <w:t xml:space="preserve"> 。2023年10月8日丰都县水利局以</w:t>
      </w:r>
      <w:r>
        <w:rPr>
          <w:rFonts w:hint="eastAsia" w:ascii="Arial" w:hAnsi="Arial" w:eastAsia="宋体" w:cs="Arial"/>
          <w:color w:val="auto"/>
          <w:kern w:val="0"/>
          <w:sz w:val="26"/>
          <w:szCs w:val="26"/>
          <w:highlight w:val="none"/>
          <w:lang w:val="en-US" w:eastAsia="zh-CN"/>
        </w:rPr>
        <w:t>“丰都水利许可〔2023〕59号”下发了《关于丰都县海螺沟水库工程准予行政许可的决定》。项目选址位于丰都县双龙镇田家山村，坝址位于渠溪河左岸一级支流双龙河支流海螺沟上，是一座以乡镇供水、农业灌溉为主要功能的小（2）型水库工程，库容为80.51万m</w:t>
      </w:r>
      <w:r>
        <w:rPr>
          <w:rFonts w:hint="eastAsia" w:ascii="Arial" w:hAnsi="Arial" w:eastAsia="宋体" w:cs="Arial"/>
          <w:color w:val="auto"/>
          <w:kern w:val="0"/>
          <w:sz w:val="26"/>
          <w:szCs w:val="26"/>
          <w:highlight w:val="none"/>
          <w:vertAlign w:val="superscript"/>
          <w:lang w:val="en-US" w:eastAsia="zh-CN"/>
        </w:rPr>
        <w:t>3</w:t>
      </w:r>
      <w:r>
        <w:rPr>
          <w:rFonts w:hint="eastAsia" w:ascii="Arial" w:hAnsi="Arial" w:eastAsia="宋体" w:cs="Arial"/>
          <w:color w:val="auto"/>
          <w:kern w:val="0"/>
          <w:sz w:val="26"/>
          <w:szCs w:val="26"/>
          <w:highlight w:val="none"/>
          <w:lang w:val="en-US" w:eastAsia="zh-CN"/>
        </w:rPr>
        <w:t>，主要由枢纽工程、输水工程和附属设施工程组成，可解决7000农村居民人饮用水、2000亩耕地灌溉。</w:t>
      </w:r>
    </w:p>
    <w:p w14:paraId="1E3CFE05">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default"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（5）2023年10月重庆新锐百川工程设计有限公司编制完成了《</w:t>
      </w:r>
      <w:r>
        <w:rPr>
          <w:rFonts w:hint="eastAsia" w:ascii="Arial" w:hAnsi="Arial" w:eastAsia="宋体" w:cs="Arial"/>
          <w:color w:val="auto"/>
          <w:kern w:val="0"/>
          <w:sz w:val="26"/>
          <w:szCs w:val="26"/>
          <w:highlight w:val="none"/>
          <w:lang w:val="en-US" w:eastAsia="zh-CN"/>
        </w:rPr>
        <w:t>丰都县海螺沟水库工程建设用地压覆矿产资源评估报告</w:t>
      </w:r>
      <w:r>
        <w:rPr>
          <w:rFonts w:hint="eastAsia" w:ascii="Arial" w:hAnsi="Arial" w:cs="Arial"/>
          <w:color w:val="auto"/>
          <w:kern w:val="0"/>
          <w:sz w:val="26"/>
          <w:szCs w:val="26"/>
          <w:highlight w:val="none"/>
          <w:lang w:val="en-US" w:eastAsia="zh-CN"/>
        </w:rPr>
        <w:t>》，2023年10月19日丰都县规划和自然资源局确认本项目未压覆重要矿产资源。</w:t>
      </w:r>
    </w:p>
    <w:p w14:paraId="56F2C6AE">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default" w:ascii="Arial" w:hAnsi="Arial" w:eastAsia="宋体"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（6）重庆鑫和林业有限公司于2023年12月编制完成了《丰都县海螺沟水库工程拟使用林地可行性研究报告》，并于2023年12月13日取得了重庆市林业局以“渝林许可地</w:t>
      </w:r>
      <w:r>
        <w:rPr>
          <w:rFonts w:hint="eastAsia" w:ascii="Arial" w:hAnsi="Arial" w:eastAsia="宋体" w:cs="Arial"/>
          <w:color w:val="auto"/>
          <w:kern w:val="0"/>
          <w:sz w:val="26"/>
          <w:szCs w:val="26"/>
          <w:highlight w:val="none"/>
          <w:lang w:val="en-US" w:eastAsia="zh-CN"/>
        </w:rPr>
        <w:t>〔2023〕689号”下发的使用林地审核同意书。</w:t>
      </w:r>
    </w:p>
    <w:p w14:paraId="5996BA55">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eastAsia" w:ascii="Arial" w:hAnsi="Arial" w:eastAsia="宋体"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（7）2024年1月18日丰都县人民政府以“丰都府</w:t>
      </w:r>
      <w:r>
        <w:rPr>
          <w:rFonts w:hint="eastAsia" w:ascii="Arial" w:hAnsi="Arial" w:eastAsia="宋体" w:cs="Arial"/>
          <w:color w:val="auto"/>
          <w:kern w:val="0"/>
          <w:sz w:val="26"/>
          <w:szCs w:val="26"/>
          <w:highlight w:val="none"/>
          <w:lang w:val="en-US" w:eastAsia="zh-CN"/>
        </w:rPr>
        <w:t>〔2024〕14号”下发了《关于同意丰都县海螺沟水库工程建设征地移民安置规划报告的批复》</w:t>
      </w:r>
      <w:r>
        <w:rPr>
          <w:rFonts w:hint="eastAsia" w:ascii="Arial" w:hAnsi="Arial" w:cs="Arial"/>
          <w:color w:val="auto"/>
          <w:kern w:val="0"/>
          <w:sz w:val="26"/>
          <w:szCs w:val="26"/>
          <w:highlight w:val="none"/>
          <w:lang w:val="en-US" w:eastAsia="zh-CN"/>
        </w:rPr>
        <w:t>，项目永久占地范围主要为水库淹没区、枢纽工程区，面积为169.77亩；临时用地面积为191.82亩</w:t>
      </w:r>
      <w:r>
        <w:rPr>
          <w:rFonts w:hint="eastAsia" w:ascii="Arial" w:hAnsi="Arial" w:eastAsia="宋体" w:cs="Arial"/>
          <w:color w:val="auto"/>
          <w:kern w:val="0"/>
          <w:sz w:val="26"/>
          <w:szCs w:val="26"/>
          <w:highlight w:val="none"/>
          <w:lang w:val="en-US" w:eastAsia="zh-CN"/>
        </w:rPr>
        <w:t>。</w:t>
      </w:r>
    </w:p>
    <w:p w14:paraId="723ABA06">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eastAsia"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（8）2024年3月丰都腾飞林业咨询有限公司编制了《丰都县海螺沟水库辅助施工设施项目拟临时使用林地现状调查表》，并于2024年4月1日取得了重庆市林业局以“渝林许可地临</w:t>
      </w:r>
      <w:r>
        <w:rPr>
          <w:rFonts w:hint="eastAsia" w:ascii="Arial" w:hAnsi="Arial" w:eastAsia="宋体" w:cs="Arial"/>
          <w:color w:val="auto"/>
          <w:kern w:val="0"/>
          <w:sz w:val="26"/>
          <w:szCs w:val="26"/>
          <w:highlight w:val="none"/>
          <w:lang w:val="en-US" w:eastAsia="zh-CN"/>
        </w:rPr>
        <w:t>〔202</w:t>
      </w:r>
      <w:r>
        <w:rPr>
          <w:rFonts w:hint="eastAsia" w:ascii="Arial" w:hAnsi="Arial" w:cs="Arial"/>
          <w:color w:val="auto"/>
          <w:kern w:val="0"/>
          <w:sz w:val="26"/>
          <w:szCs w:val="26"/>
          <w:highlight w:val="none"/>
          <w:lang w:val="en-US" w:eastAsia="zh-CN"/>
        </w:rPr>
        <w:t>4</w:t>
      </w:r>
      <w:r>
        <w:rPr>
          <w:rFonts w:hint="eastAsia" w:ascii="Arial" w:hAnsi="Arial" w:eastAsia="宋体" w:cs="Arial"/>
          <w:color w:val="auto"/>
          <w:kern w:val="0"/>
          <w:sz w:val="26"/>
          <w:szCs w:val="26"/>
          <w:highlight w:val="none"/>
          <w:lang w:val="en-US" w:eastAsia="zh-CN"/>
        </w:rPr>
        <w:t>〕</w:t>
      </w:r>
      <w:r>
        <w:rPr>
          <w:rFonts w:hint="eastAsia" w:ascii="Arial" w:hAnsi="Arial" w:cs="Arial"/>
          <w:color w:val="auto"/>
          <w:kern w:val="0"/>
          <w:sz w:val="26"/>
          <w:szCs w:val="26"/>
          <w:highlight w:val="none"/>
          <w:lang w:val="en-US" w:eastAsia="zh-CN"/>
        </w:rPr>
        <w:t>036</w:t>
      </w:r>
      <w:r>
        <w:rPr>
          <w:rFonts w:hint="eastAsia" w:ascii="Arial" w:hAnsi="Arial" w:eastAsia="宋体" w:cs="Arial"/>
          <w:color w:val="auto"/>
          <w:kern w:val="0"/>
          <w:sz w:val="26"/>
          <w:szCs w:val="26"/>
          <w:highlight w:val="none"/>
          <w:lang w:val="en-US" w:eastAsia="zh-CN"/>
        </w:rPr>
        <w:t>号”下发的使用林地审核同意书</w:t>
      </w:r>
      <w:r>
        <w:rPr>
          <w:rFonts w:hint="eastAsia" w:ascii="Arial" w:hAnsi="Arial" w:cs="Arial"/>
          <w:color w:val="auto"/>
          <w:kern w:val="0"/>
          <w:sz w:val="26"/>
          <w:szCs w:val="26"/>
          <w:highlight w:val="none"/>
          <w:lang w:val="en-US" w:eastAsia="zh-CN"/>
        </w:rPr>
        <w:t>，同意项目临时使用林地1.1724hm</w:t>
      </w:r>
      <w:r>
        <w:rPr>
          <w:rFonts w:hint="eastAsia" w:ascii="Arial" w:hAnsi="Arial" w:cs="Arial"/>
          <w:color w:val="auto"/>
          <w:kern w:val="0"/>
          <w:sz w:val="26"/>
          <w:szCs w:val="26"/>
          <w:highlight w:val="none"/>
          <w:vertAlign w:val="superscript"/>
          <w:lang w:val="en-US" w:eastAsia="zh-CN"/>
        </w:rPr>
        <w:t>2</w:t>
      </w:r>
      <w:r>
        <w:rPr>
          <w:rFonts w:hint="eastAsia" w:ascii="Arial" w:hAnsi="Arial" w:eastAsia="宋体" w:cs="Arial"/>
          <w:color w:val="auto"/>
          <w:kern w:val="0"/>
          <w:sz w:val="26"/>
          <w:szCs w:val="26"/>
          <w:highlight w:val="none"/>
          <w:lang w:val="en-US" w:eastAsia="zh-CN"/>
        </w:rPr>
        <w:t>。</w:t>
      </w:r>
      <w:r>
        <w:rPr>
          <w:rFonts w:hint="eastAsia" w:ascii="Arial" w:hAnsi="Arial" w:cs="Arial"/>
          <w:color w:val="auto"/>
          <w:kern w:val="0"/>
          <w:sz w:val="26"/>
          <w:szCs w:val="26"/>
          <w:highlight w:val="none"/>
          <w:lang w:val="en-US" w:eastAsia="zh-CN"/>
        </w:rPr>
        <w:t>2024年5月13日丰都县林业局以“丰都林发</w:t>
      </w:r>
      <w:r>
        <w:rPr>
          <w:rFonts w:hint="eastAsia" w:ascii="Arial" w:hAnsi="Arial" w:eastAsia="宋体" w:cs="Arial"/>
          <w:color w:val="auto"/>
          <w:kern w:val="0"/>
          <w:sz w:val="26"/>
          <w:szCs w:val="26"/>
          <w:highlight w:val="none"/>
          <w:lang w:val="en-US" w:eastAsia="zh-CN"/>
        </w:rPr>
        <w:t>〔2024〕</w:t>
      </w:r>
      <w:r>
        <w:rPr>
          <w:rFonts w:hint="eastAsia" w:ascii="Arial" w:hAnsi="Arial" w:cs="Arial"/>
          <w:color w:val="auto"/>
          <w:kern w:val="0"/>
          <w:sz w:val="26"/>
          <w:szCs w:val="26"/>
          <w:highlight w:val="none"/>
          <w:lang w:val="en-US" w:eastAsia="zh-CN"/>
        </w:rPr>
        <w:t>48</w:t>
      </w:r>
      <w:r>
        <w:rPr>
          <w:rFonts w:hint="eastAsia" w:ascii="Arial" w:hAnsi="Arial" w:eastAsia="宋体" w:cs="Arial"/>
          <w:color w:val="auto"/>
          <w:kern w:val="0"/>
          <w:sz w:val="26"/>
          <w:szCs w:val="26"/>
          <w:highlight w:val="none"/>
          <w:lang w:val="en-US" w:eastAsia="zh-CN"/>
        </w:rPr>
        <w:t>号”</w:t>
      </w:r>
      <w:r>
        <w:rPr>
          <w:rFonts w:hint="eastAsia" w:ascii="Arial" w:hAnsi="Arial" w:cs="Arial"/>
          <w:color w:val="auto"/>
          <w:kern w:val="0"/>
          <w:sz w:val="26"/>
          <w:szCs w:val="26"/>
          <w:highlight w:val="none"/>
          <w:lang w:val="en-US" w:eastAsia="zh-CN"/>
        </w:rPr>
        <w:t>下发了《关于丰都县海螺沟水库辅助施工设施项目拟使用林地涉及林木采伐手续办理的批复》，确认项目临时采伐林地面积为1.1321hm</w:t>
      </w:r>
      <w:r>
        <w:rPr>
          <w:rFonts w:hint="eastAsia" w:ascii="Arial" w:hAnsi="Arial" w:cs="Arial"/>
          <w:color w:val="auto"/>
          <w:kern w:val="0"/>
          <w:sz w:val="26"/>
          <w:szCs w:val="26"/>
          <w:highlight w:val="none"/>
          <w:vertAlign w:val="superscript"/>
          <w:lang w:val="en-US" w:eastAsia="zh-CN"/>
        </w:rPr>
        <w:t>2</w:t>
      </w:r>
      <w:r>
        <w:rPr>
          <w:rFonts w:hint="eastAsia" w:ascii="Arial" w:hAnsi="Arial" w:cs="Arial"/>
          <w:color w:val="auto"/>
          <w:kern w:val="0"/>
          <w:sz w:val="26"/>
          <w:szCs w:val="26"/>
          <w:highlight w:val="none"/>
          <w:lang w:val="en-US" w:eastAsia="zh-CN"/>
        </w:rPr>
        <w:t>；2024年5月14日取得了丰都县林业局下发的林木采伐许可证“丰林采字〔2024〕405号”~“丰林采字〔2024〕417号”。</w:t>
      </w:r>
    </w:p>
    <w:p w14:paraId="42F56C44">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eastAsia"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（9）2024年5月8日丰都县规划和自然资源局以“丰规资临〔2024〕字第7号”下发了《关于丰都县海螺沟水库工程项目临时用地的批复》，项目施工便道、弃渣场等临时设施的用地面积合计为8.9485hm</w:t>
      </w:r>
      <w:r>
        <w:rPr>
          <w:rFonts w:hint="eastAsia" w:ascii="Arial" w:hAnsi="Arial" w:cs="Arial"/>
          <w:color w:val="auto"/>
          <w:kern w:val="0"/>
          <w:sz w:val="26"/>
          <w:szCs w:val="26"/>
          <w:highlight w:val="none"/>
          <w:vertAlign w:val="superscript"/>
          <w:lang w:val="en-US" w:eastAsia="zh-CN"/>
        </w:rPr>
        <w:t>2</w:t>
      </w:r>
      <w:r>
        <w:rPr>
          <w:rFonts w:hint="eastAsia" w:ascii="Arial" w:hAnsi="Arial" w:cs="Arial"/>
          <w:color w:val="auto"/>
          <w:kern w:val="0"/>
          <w:sz w:val="26"/>
          <w:szCs w:val="26"/>
          <w:highlight w:val="none"/>
          <w:lang w:val="en-US" w:eastAsia="zh-CN"/>
        </w:rPr>
        <w:t>。</w:t>
      </w:r>
    </w:p>
    <w:p w14:paraId="0FD282A8">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eastAsia" w:ascii="Arial" w:hAnsi="Arial" w:eastAsia="宋体" w:cs="Arial"/>
          <w:color w:val="auto"/>
          <w:kern w:val="0"/>
          <w:sz w:val="26"/>
          <w:szCs w:val="26"/>
          <w:highlight w:val="none"/>
          <w:lang w:val="en-US" w:eastAsia="zh-CN"/>
        </w:rPr>
      </w:pPr>
      <w:r>
        <w:rPr>
          <w:rFonts w:hint="eastAsia" w:ascii="宋体"/>
          <w:b/>
          <w:color w:val="auto"/>
          <w:kern w:val="0"/>
          <w:sz w:val="26"/>
          <w:szCs w:val="26"/>
          <w:highlight w:val="none"/>
          <w:lang w:eastAsia="zh-CN"/>
        </w:rPr>
        <w:t>三、项目建设内容</w:t>
      </w:r>
    </w:p>
    <w:p w14:paraId="72CD65C4">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海螺沟水库工程位于丰都县双龙镇田家山村，坝址</w:t>
      </w:r>
      <w:r>
        <w:rPr>
          <w:rFonts w:hint="eastAsia" w:ascii="Arial" w:hAnsi="Arial" w:eastAsia="宋体" w:cs="Arial"/>
          <w:color w:val="auto"/>
          <w:kern w:val="0"/>
          <w:sz w:val="26"/>
          <w:szCs w:val="26"/>
          <w:highlight w:val="none"/>
          <w:lang w:val="en-US" w:eastAsia="zh-CN"/>
        </w:rPr>
        <w:t>位于渠溪河左岸一级支流双龙河</w:t>
      </w:r>
      <w:r>
        <w:rPr>
          <w:rFonts w:hint="eastAsia" w:ascii="Arial" w:hAnsi="Arial" w:cs="Arial"/>
          <w:color w:val="auto"/>
          <w:kern w:val="0"/>
          <w:sz w:val="26"/>
          <w:szCs w:val="26"/>
          <w:highlight w:val="none"/>
          <w:lang w:val="en-US" w:eastAsia="zh-CN"/>
        </w:rPr>
        <w:t>右岸一级支流高洞桥河左岸一级</w:t>
      </w:r>
      <w:r>
        <w:rPr>
          <w:rFonts w:hint="eastAsia" w:ascii="Arial" w:hAnsi="Arial" w:eastAsia="宋体" w:cs="Arial"/>
          <w:color w:val="auto"/>
          <w:kern w:val="0"/>
          <w:sz w:val="26"/>
          <w:szCs w:val="26"/>
          <w:highlight w:val="none"/>
          <w:lang w:val="en-US" w:eastAsia="zh-CN"/>
        </w:rPr>
        <w:t>支流海螺沟上，坝址以上流域面积为</w:t>
      </w:r>
      <w:bookmarkStart w:id="3" w:name="OLE_LINK2"/>
      <w:r>
        <w:rPr>
          <w:rFonts w:hint="eastAsia" w:ascii="Arial" w:hAnsi="Arial" w:eastAsia="宋体" w:cs="Arial"/>
          <w:color w:val="auto"/>
          <w:kern w:val="0"/>
          <w:sz w:val="26"/>
          <w:szCs w:val="26"/>
          <w:highlight w:val="none"/>
          <w:lang w:val="en-US" w:eastAsia="zh-CN"/>
        </w:rPr>
        <w:t>2.04km</w:t>
      </w:r>
      <w:r>
        <w:rPr>
          <w:rFonts w:hint="eastAsia" w:ascii="Arial" w:hAnsi="Arial" w:eastAsia="宋体" w:cs="Arial"/>
          <w:color w:val="auto"/>
          <w:kern w:val="0"/>
          <w:sz w:val="26"/>
          <w:szCs w:val="26"/>
          <w:highlight w:val="none"/>
          <w:vertAlign w:val="superscript"/>
          <w:lang w:val="en-US" w:eastAsia="zh-CN"/>
        </w:rPr>
        <w:t>2</w:t>
      </w:r>
      <w:r>
        <w:rPr>
          <w:rFonts w:hint="eastAsia" w:ascii="Arial" w:hAnsi="Arial" w:eastAsia="宋体" w:cs="Arial"/>
          <w:color w:val="auto"/>
          <w:kern w:val="0"/>
          <w:sz w:val="26"/>
          <w:szCs w:val="26"/>
          <w:highlight w:val="none"/>
          <w:lang w:val="en-US" w:eastAsia="zh-CN"/>
        </w:rPr>
        <w:t>，</w:t>
      </w:r>
      <w:bookmarkEnd w:id="3"/>
      <w:r>
        <w:rPr>
          <w:rFonts w:hint="eastAsia" w:ascii="Arial" w:hAnsi="Arial" w:eastAsia="宋体" w:cs="Arial"/>
          <w:color w:val="auto"/>
          <w:kern w:val="0"/>
          <w:sz w:val="26"/>
          <w:szCs w:val="26"/>
          <w:highlight w:val="none"/>
          <w:lang w:val="en-US" w:eastAsia="zh-CN"/>
        </w:rPr>
        <w:t>坝址处多年平均径流量105万m</w:t>
      </w:r>
      <w:r>
        <w:rPr>
          <w:rFonts w:hint="eastAsia" w:ascii="Arial" w:hAnsi="Arial" w:eastAsia="宋体" w:cs="Arial"/>
          <w:color w:val="auto"/>
          <w:kern w:val="0"/>
          <w:sz w:val="26"/>
          <w:szCs w:val="26"/>
          <w:highlight w:val="none"/>
          <w:vertAlign w:val="superscript"/>
          <w:lang w:val="en-US" w:eastAsia="zh-CN"/>
        </w:rPr>
        <w:t>3</w:t>
      </w:r>
      <w:r>
        <w:rPr>
          <w:rFonts w:hint="eastAsia" w:ascii="Arial" w:hAnsi="Arial" w:eastAsia="宋体" w:cs="Arial"/>
          <w:color w:val="auto"/>
          <w:kern w:val="0"/>
          <w:sz w:val="26"/>
          <w:szCs w:val="26"/>
          <w:highlight w:val="none"/>
          <w:lang w:val="en-US" w:eastAsia="zh-CN"/>
        </w:rPr>
        <w:t>。水库</w:t>
      </w:r>
      <w:r>
        <w:rPr>
          <w:rFonts w:hint="eastAsia" w:ascii="Arial" w:hAnsi="Arial" w:cs="Arial"/>
          <w:color w:val="auto"/>
          <w:kern w:val="0"/>
          <w:sz w:val="26"/>
          <w:szCs w:val="26"/>
          <w:highlight w:val="none"/>
          <w:lang w:val="en-US" w:eastAsia="zh-CN"/>
        </w:rPr>
        <w:t>正常蓄水位为420.0m，相应库容65.36万m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；死水位407.5m，死库容5.62万m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，调节库容59.74万m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；校核洪水位421.78m，总库容80.51万m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。是</w:t>
      </w:r>
      <w:r>
        <w:rPr>
          <w:rFonts w:hint="eastAsia" w:ascii="Arial" w:hAnsi="Arial" w:eastAsia="宋体" w:cs="Arial"/>
          <w:color w:val="auto"/>
          <w:kern w:val="0"/>
          <w:sz w:val="26"/>
          <w:szCs w:val="26"/>
          <w:highlight w:val="none"/>
          <w:lang w:val="en-US" w:eastAsia="zh-CN"/>
        </w:rPr>
        <w:t>一座以供水和农业灌溉为主要开发功能的小（2）型水利工程，可解决双龙社区、回龙场村、田家山村7000人饮和双龙社区、回龙场村2000亩耕地灌溉用水，多年平均总供水量76.28万m</w:t>
      </w:r>
      <w:r>
        <w:rPr>
          <w:rFonts w:hint="eastAsia" w:ascii="Arial" w:hAnsi="Arial" w:eastAsia="宋体" w:cs="Arial"/>
          <w:color w:val="auto"/>
          <w:kern w:val="0"/>
          <w:sz w:val="26"/>
          <w:szCs w:val="26"/>
          <w:highlight w:val="none"/>
          <w:vertAlign w:val="superscript"/>
          <w:lang w:val="en-US" w:eastAsia="zh-CN"/>
        </w:rPr>
        <w:t>3</w:t>
      </w:r>
      <w:r>
        <w:rPr>
          <w:rFonts w:hint="eastAsia" w:ascii="Arial" w:hAnsi="Arial" w:eastAsia="宋体" w:cs="Arial"/>
          <w:color w:val="auto"/>
          <w:kern w:val="0"/>
          <w:sz w:val="26"/>
          <w:szCs w:val="26"/>
          <w:highlight w:val="none"/>
          <w:lang w:val="en-US" w:eastAsia="zh-CN"/>
        </w:rPr>
        <w:t>。</w:t>
      </w:r>
    </w:p>
    <w:p w14:paraId="6A435484">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海螺沟水库工程主要由</w:t>
      </w:r>
      <w:bookmarkStart w:id="4" w:name="OLE_LINK4"/>
      <w:r>
        <w:rPr>
          <w:rFonts w:hint="eastAsia" w:ascii="Arial" w:hAnsi="Arial" w:eastAsia="宋体" w:cs="Arial"/>
          <w:color w:val="auto"/>
          <w:kern w:val="0"/>
          <w:sz w:val="26"/>
          <w:szCs w:val="26"/>
          <w:highlight w:val="none"/>
          <w:lang w:val="en-US" w:eastAsia="zh-CN"/>
        </w:rPr>
        <w:t>枢纽工程、输水工程和附属设施工程组成</w:t>
      </w:r>
      <w:bookmarkEnd w:id="4"/>
      <w:r>
        <w:rPr>
          <w:rFonts w:hint="eastAsia" w:ascii="Arial" w:hAnsi="Arial" w:eastAsia="宋体" w:cs="Arial"/>
          <w:color w:val="auto"/>
          <w:kern w:val="0"/>
          <w:sz w:val="26"/>
          <w:szCs w:val="26"/>
          <w:highlight w:val="none"/>
          <w:lang w:val="en-US" w:eastAsia="zh-CN"/>
        </w:rPr>
        <w:t>。</w:t>
      </w:r>
    </w:p>
    <w:p w14:paraId="21AF4F16">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default"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枢纽工程由挡水建筑物（大坝）、泄水建筑物、取水建筑物组成。挡水建筑物为C20埋石砼重力坝，坝轴线长112.0m，坝顶高度8.0m，坝顶高程424.0m。溢洪坝段位于河床中部，采用宽顶堰，长12.0m，净宽9.0m，堰顶高程420.0m；桥墩上设板梁式交通桥，桥面高程424.0m。消能建筑物为消力池，长19.5m、宽10.0m、深2.0m。工程采取管道穿坝输水的型式，共设5层取水口，取水口高程分别为418.0m、415.0m、412.0m、409.0m、405.5m。</w:t>
      </w:r>
    </w:p>
    <w:p w14:paraId="6C31D0F5">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default"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输水工程为总长8.9km的管道，其中双龙干管长5.27km，5条支管长3.63km。采取PE管、涂塑钢管，地埋式敷设，取水流量为0.1124m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/s。</w:t>
      </w:r>
    </w:p>
    <w:p w14:paraId="52957883">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default"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其他附属工程由交通工程、房屋工程、监测设施、其他设施组成。交通公路包括上坝道路长1.76km、环库巡检步道长2.5km，路面宽度分别为4.5m、1.5m。房屋工程包括水库管理房、取水闸阀房，面积分别为184m</w:t>
      </w:r>
      <w:r>
        <w:rPr>
          <w:rFonts w:hint="eastAsia" w:ascii="Arial" w:hAnsi="Arial" w:cs="Arial"/>
          <w:color w:val="auto"/>
          <w:kern w:val="0"/>
          <w:sz w:val="26"/>
          <w:szCs w:val="26"/>
          <w:highlight w:val="none"/>
          <w:vertAlign w:val="superscript"/>
          <w:lang w:val="en-US" w:eastAsia="zh-CN"/>
        </w:rPr>
        <w:t>2</w:t>
      </w:r>
      <w:r>
        <w:rPr>
          <w:rFonts w:hint="eastAsia" w:ascii="Arial" w:hAnsi="Arial" w:cs="Arial"/>
          <w:color w:val="auto"/>
          <w:kern w:val="0"/>
          <w:sz w:val="26"/>
          <w:szCs w:val="26"/>
          <w:highlight w:val="none"/>
          <w:lang w:val="en-US" w:eastAsia="zh-CN"/>
        </w:rPr>
        <w:t>、20m</w:t>
      </w:r>
      <w:r>
        <w:rPr>
          <w:rFonts w:hint="eastAsia" w:ascii="Arial" w:hAnsi="Arial" w:cs="Arial"/>
          <w:color w:val="auto"/>
          <w:kern w:val="0"/>
          <w:sz w:val="26"/>
          <w:szCs w:val="26"/>
          <w:highlight w:val="none"/>
          <w:vertAlign w:val="superscript"/>
          <w:lang w:val="en-US" w:eastAsia="zh-CN"/>
        </w:rPr>
        <w:t>2</w:t>
      </w:r>
      <w:r>
        <w:rPr>
          <w:rFonts w:hint="eastAsia" w:ascii="Arial" w:hAnsi="Arial" w:cs="Arial"/>
          <w:color w:val="auto"/>
          <w:kern w:val="0"/>
          <w:sz w:val="26"/>
          <w:szCs w:val="26"/>
          <w:highlight w:val="none"/>
          <w:lang w:val="en-US" w:eastAsia="zh-CN"/>
        </w:rPr>
        <w:t>，均采用砼框架砌体结构。监测设施包括变形监测桩、渗流监测、量水堰、应力应变监测点、流速仪、水位监测设施、水温监测设施、气温监测系统、降雨量监测系统、水质监测设备等。其他设施主要为竣工碑、安全警示牌。</w:t>
      </w:r>
    </w:p>
    <w:p w14:paraId="6C411AD9">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default"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工程总投资为14499.6万元，建设工期为24个月。</w:t>
      </w:r>
    </w:p>
    <w:p w14:paraId="5DCC4D7A">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eastAsia" w:ascii="宋体"/>
          <w:b/>
          <w:color w:val="auto"/>
          <w:kern w:val="0"/>
          <w:sz w:val="26"/>
          <w:szCs w:val="26"/>
          <w:highlight w:val="none"/>
          <w:lang w:eastAsia="zh-CN"/>
        </w:rPr>
      </w:pPr>
      <w:r>
        <w:rPr>
          <w:rFonts w:hint="eastAsia" w:ascii="宋体"/>
          <w:b/>
          <w:color w:val="auto"/>
          <w:kern w:val="0"/>
          <w:sz w:val="26"/>
          <w:szCs w:val="26"/>
          <w:highlight w:val="none"/>
          <w:lang w:eastAsia="zh-CN"/>
        </w:rPr>
        <w:t>四、</w:t>
      </w:r>
      <w:r>
        <w:rPr>
          <w:rFonts w:hint="eastAsia" w:ascii="宋体"/>
          <w:b/>
          <w:color w:val="auto"/>
          <w:kern w:val="0"/>
          <w:sz w:val="26"/>
          <w:szCs w:val="26"/>
          <w:highlight w:val="none"/>
          <w:lang w:val="en-US" w:eastAsia="zh-CN"/>
        </w:rPr>
        <w:t>环境</w:t>
      </w:r>
      <w:r>
        <w:rPr>
          <w:rFonts w:hint="eastAsia" w:ascii="宋体"/>
          <w:b/>
          <w:color w:val="auto"/>
          <w:kern w:val="0"/>
          <w:sz w:val="26"/>
          <w:szCs w:val="26"/>
          <w:highlight w:val="none"/>
          <w:lang w:eastAsia="zh-CN"/>
        </w:rPr>
        <w:t>影响评价工作程序</w:t>
      </w:r>
    </w:p>
    <w:p w14:paraId="412102E3">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海螺沟水库总库容80.51万m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属于小（2）型水库，且不涉及国家公园、自然保护区、风景名胜区、世界文化和自然遗产地、海洋特别保护区、饮用水水源保护区、生态保护红线和重要水生生物的自然产卵场、索饵场、越冬场和洄游通道等敏感区；但本项目同时涉及引水工程，所在海螺沟为小型河流，总取水量</w:t>
      </w:r>
      <w:r>
        <w:rPr>
          <w:rFonts w:hint="eastAsia" w:ascii="Arial" w:hAnsi="Arial" w:eastAsia="宋体" w:cs="Arial"/>
          <w:color w:val="auto"/>
          <w:kern w:val="0"/>
          <w:sz w:val="26"/>
          <w:szCs w:val="26"/>
          <w:highlight w:val="none"/>
          <w:lang w:val="en-US" w:eastAsia="zh-CN"/>
        </w:rPr>
        <w:t>76.28万m</w:t>
      </w:r>
      <w:r>
        <w:rPr>
          <w:rFonts w:hint="eastAsia" w:ascii="Arial" w:hAnsi="Arial" w:eastAsia="宋体" w:cs="Arial"/>
          <w:color w:val="auto"/>
          <w:kern w:val="0"/>
          <w:sz w:val="26"/>
          <w:szCs w:val="26"/>
          <w:highlight w:val="none"/>
          <w:vertAlign w:val="superscript"/>
          <w:lang w:val="en-US" w:eastAsia="zh-CN"/>
        </w:rPr>
        <w:t>3</w:t>
      </w:r>
      <w:r>
        <w:rPr>
          <w:rFonts w:hint="eastAsia" w:ascii="Arial" w:hAnsi="Arial" w:eastAsia="宋体" w:cs="Arial"/>
          <w:color w:val="auto"/>
          <w:kern w:val="0"/>
          <w:sz w:val="26"/>
          <w:szCs w:val="26"/>
          <w:highlight w:val="none"/>
          <w:vertAlign w:val="baseline"/>
          <w:lang w:val="en-US" w:eastAsia="zh-CN"/>
        </w:rPr>
        <w:t>/a占坝址处多年平均径流量</w:t>
      </w:r>
      <w:r>
        <w:rPr>
          <w:rFonts w:hint="eastAsia" w:ascii="Arial" w:hAnsi="Arial" w:eastAsia="宋体" w:cs="Arial"/>
          <w:color w:val="auto"/>
          <w:kern w:val="0"/>
          <w:sz w:val="26"/>
          <w:szCs w:val="26"/>
          <w:highlight w:val="none"/>
          <w:lang w:val="en-US" w:eastAsia="zh-CN"/>
        </w:rPr>
        <w:t>105万m</w:t>
      </w:r>
      <w:r>
        <w:rPr>
          <w:rFonts w:hint="eastAsia" w:ascii="Arial" w:hAnsi="Arial" w:eastAsia="宋体" w:cs="Arial"/>
          <w:color w:val="auto"/>
          <w:kern w:val="0"/>
          <w:sz w:val="26"/>
          <w:szCs w:val="26"/>
          <w:highlight w:val="none"/>
          <w:vertAlign w:val="superscript"/>
          <w:lang w:val="en-US" w:eastAsia="zh-CN"/>
        </w:rPr>
        <w:t>3</w:t>
      </w:r>
      <w:r>
        <w:rPr>
          <w:rFonts w:hint="eastAsia" w:ascii="Arial" w:hAnsi="Arial" w:eastAsia="宋体" w:cs="Arial"/>
          <w:color w:val="auto"/>
          <w:kern w:val="0"/>
          <w:sz w:val="26"/>
          <w:szCs w:val="26"/>
          <w:highlight w:val="none"/>
          <w:lang w:val="en-US" w:eastAsia="zh-CN"/>
        </w:rPr>
        <w:t>的72.65%，大于25%。故</w:t>
      </w:r>
      <w:r>
        <w:rPr>
          <w:rFonts w:hint="eastAsia" w:ascii="Arial" w:hAnsi="Arial" w:cs="Arial"/>
          <w:color w:val="auto"/>
          <w:kern w:val="0"/>
          <w:sz w:val="26"/>
          <w:szCs w:val="26"/>
          <w:highlight w:val="none"/>
          <w:lang w:val="en-US" w:eastAsia="zh-CN"/>
        </w:rPr>
        <w:t>根据《中华人民共和国环境影响评价法》、《建设项目环境保护管理条例》（国务院令第682号）和《建设项目环境影响评价分类管理名录》（2021年版），本项目应编制环境影响报告书。</w:t>
      </w:r>
    </w:p>
    <w:p w14:paraId="5FDC5A97">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丰都县水利工程服务中心（以下简称建设单位）委托重庆瀚智环保工程有限公司（以下简称评价单位）承担本项目的环评工作。我司接受委托后，立即组织技术人员进行了现场踏勘，开展环境状况调查并收集了与项目相关的资料，同时委托有资质的第三方监测机构进行了现状监测。在调查清楚项目区环境概况、梳理工程组成后，形成了环评报告征求意见稿，交由并建设单位在网站和报纸分别进行公示</w:t>
      </w:r>
      <w:r>
        <w:rPr>
          <w:rFonts w:hint="eastAsia" w:ascii="Arial" w:hAnsi="Arial" w:eastAsia="宋体" w:cs="Arial"/>
          <w:color w:val="auto"/>
          <w:kern w:val="0"/>
          <w:sz w:val="26"/>
          <w:szCs w:val="26"/>
          <w:highlight w:val="none"/>
          <w:lang w:val="en-US" w:eastAsia="zh-CN"/>
        </w:rPr>
        <w:t>。在完善各项工作后，最终编制完成了《丰都县海螺沟水库工程</w:t>
      </w:r>
      <w:r>
        <w:rPr>
          <w:rFonts w:hint="default" w:ascii="Arial" w:hAnsi="Arial" w:eastAsia="宋体" w:cs="Arial"/>
          <w:color w:val="auto"/>
          <w:kern w:val="0"/>
          <w:sz w:val="26"/>
          <w:szCs w:val="26"/>
          <w:highlight w:val="none"/>
          <w:lang w:val="en-US" w:eastAsia="zh-CN"/>
        </w:rPr>
        <w:t>环境影响报告书</w:t>
      </w:r>
      <w:r>
        <w:rPr>
          <w:rFonts w:hint="eastAsia" w:ascii="Arial" w:hAnsi="Arial" w:cs="Arial"/>
          <w:color w:val="auto"/>
          <w:kern w:val="0"/>
          <w:sz w:val="26"/>
          <w:szCs w:val="26"/>
          <w:highlight w:val="none"/>
          <w:lang w:val="en-US" w:eastAsia="zh-CN"/>
        </w:rPr>
        <w:t>》。</w:t>
      </w:r>
    </w:p>
    <w:p w14:paraId="542CF21B">
      <w:pPr>
        <w:keepNext w:val="0"/>
        <w:keepLines w:val="0"/>
        <w:pageBreakBefore w:val="0"/>
        <w:widowControl w:val="0"/>
        <w:kinsoku/>
        <w:wordWrap/>
        <w:overflowPunct/>
        <w:topLinePunct w:val="0"/>
        <w:autoSpaceDE/>
        <w:autoSpaceDN/>
        <w:bidi w:val="0"/>
        <w:adjustRightInd/>
        <w:snapToGrid/>
        <w:spacing w:line="480" w:lineRule="exact"/>
        <w:ind w:firstLine="392" w:firstLineChars="150"/>
        <w:textAlignment w:val="auto"/>
        <w:rPr>
          <w:rFonts w:hint="default" w:ascii="Arial" w:hAnsi="Arial" w:eastAsia="宋体" w:cs="Arial"/>
          <w:b/>
          <w:color w:val="auto"/>
          <w:kern w:val="0"/>
          <w:sz w:val="26"/>
          <w:szCs w:val="26"/>
          <w:highlight w:val="none"/>
          <w:lang w:val="en-US" w:eastAsia="zh-CN"/>
        </w:rPr>
      </w:pPr>
      <w:r>
        <w:rPr>
          <w:rFonts w:hint="default" w:ascii="Arial" w:hAnsi="Arial" w:eastAsia="宋体" w:cs="Arial"/>
          <w:b/>
          <w:color w:val="auto"/>
          <w:kern w:val="0"/>
          <w:sz w:val="26"/>
          <w:szCs w:val="26"/>
          <w:highlight w:val="none"/>
          <w:lang w:val="zh-CN" w:eastAsia="zh-CN"/>
        </w:rPr>
        <w:t>（</w:t>
      </w:r>
      <w:r>
        <w:rPr>
          <w:rFonts w:hint="default" w:ascii="Arial" w:hAnsi="Arial" w:eastAsia="宋体" w:cs="Arial"/>
          <w:b/>
          <w:color w:val="auto"/>
          <w:kern w:val="0"/>
          <w:sz w:val="26"/>
          <w:szCs w:val="26"/>
          <w:highlight w:val="none"/>
          <w:lang w:val="en-US" w:eastAsia="zh-CN"/>
        </w:rPr>
        <w:t>1）准备阶段</w:t>
      </w:r>
    </w:p>
    <w:p w14:paraId="6BA28AC6">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我司在接受委托后，根据建设单位提供的资料，确立了如下环评工作思路：</w:t>
      </w:r>
    </w:p>
    <w:p w14:paraId="6D1A3C1E">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① 编制环境影响评价工作方案；</w:t>
      </w:r>
    </w:p>
    <w:p w14:paraId="46C68E64">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default" w:ascii="Arial" w:hAnsi="Arial" w:eastAsia="宋体" w:cs="Arial"/>
          <w:color w:val="auto"/>
          <w:kern w:val="0"/>
          <w:sz w:val="26"/>
          <w:szCs w:val="26"/>
          <w:highlight w:val="none"/>
          <w:lang w:val="en-US" w:eastAsia="zh-CN"/>
        </w:rPr>
      </w:pPr>
      <w:r>
        <w:rPr>
          <w:rFonts w:hint="default" w:ascii="Arial" w:hAnsi="Arial" w:eastAsia="宋体" w:cs="Arial"/>
          <w:color w:val="auto"/>
          <w:kern w:val="0"/>
          <w:sz w:val="26"/>
          <w:szCs w:val="26"/>
          <w:highlight w:val="none"/>
          <w:lang w:val="en-US" w:eastAsia="zh-CN"/>
        </w:rPr>
        <w:t>②</w:t>
      </w:r>
      <w:r>
        <w:rPr>
          <w:rFonts w:hint="eastAsia" w:ascii="Arial" w:hAnsi="Arial" w:eastAsia="宋体" w:cs="Arial"/>
          <w:color w:val="auto"/>
          <w:kern w:val="0"/>
          <w:sz w:val="26"/>
          <w:szCs w:val="26"/>
          <w:highlight w:val="none"/>
          <w:lang w:val="en-US" w:eastAsia="zh-CN"/>
        </w:rPr>
        <w:t xml:space="preserve"> 根据项目生产情况，针对水库及配套输水工程的特点，对施工期、运营期的环境影响进行识别；</w:t>
      </w:r>
    </w:p>
    <w:p w14:paraId="14245EE9">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③ 在识别环境影响的基础上，评价主要分析施工期对生态环境的影响和施工粉尘、噪声、废水等对各环境要素的影响，以及运营期对生态环境和水环境的影响，简要分析运营期大气、声环境等影响评价内容；</w:t>
      </w:r>
    </w:p>
    <w:p w14:paraId="40F45D1F">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宋体" w:hAnsi="宋体" w:eastAsia="宋体" w:cs="宋体"/>
          <w:color w:val="auto"/>
          <w:kern w:val="0"/>
          <w:sz w:val="26"/>
          <w:szCs w:val="26"/>
          <w:highlight w:val="none"/>
          <w:lang w:val="en-US" w:eastAsia="zh-CN"/>
        </w:rPr>
        <w:t>④</w:t>
      </w:r>
      <w:r>
        <w:rPr>
          <w:rFonts w:hint="eastAsia" w:ascii="Arial" w:hAnsi="Arial" w:eastAsia="宋体" w:cs="Arial"/>
          <w:color w:val="auto"/>
          <w:kern w:val="0"/>
          <w:sz w:val="26"/>
          <w:szCs w:val="26"/>
          <w:highlight w:val="none"/>
          <w:lang w:val="en-US" w:eastAsia="zh-CN"/>
        </w:rPr>
        <w:t xml:space="preserve"> 对项目可能带来的环境影响，本评价将在生态环境现状调查和项目工程分析的基础上，论证工程建设的环境可行性，提出防治和减缓不利环境影响的措施，使工程建设符合国家和重庆市环境保护政策和要求；</w:t>
      </w:r>
    </w:p>
    <w:p w14:paraId="34B59778">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宋体" w:hAnsi="宋体" w:eastAsia="宋体" w:cs="宋体"/>
          <w:color w:val="auto"/>
          <w:kern w:val="0"/>
          <w:sz w:val="26"/>
          <w:szCs w:val="26"/>
          <w:highlight w:val="none"/>
          <w:lang w:val="en-US" w:eastAsia="zh-CN"/>
        </w:rPr>
        <w:t>⑤</w:t>
      </w:r>
      <w:r>
        <w:rPr>
          <w:rFonts w:hint="eastAsia" w:ascii="Arial" w:hAnsi="Arial" w:eastAsia="宋体" w:cs="Arial"/>
          <w:color w:val="auto"/>
          <w:kern w:val="0"/>
          <w:sz w:val="26"/>
          <w:szCs w:val="26"/>
          <w:highlight w:val="none"/>
          <w:lang w:val="en-US" w:eastAsia="zh-CN"/>
        </w:rPr>
        <w:t xml:space="preserve"> 根据《环境影响评价公众参与暂行办法》的规定，开展多种形式的公众参与工作。</w:t>
      </w:r>
    </w:p>
    <w:p w14:paraId="2E14B8C3">
      <w:pPr>
        <w:keepNext w:val="0"/>
        <w:keepLines w:val="0"/>
        <w:pageBreakBefore w:val="0"/>
        <w:widowControl w:val="0"/>
        <w:kinsoku/>
        <w:wordWrap/>
        <w:overflowPunct/>
        <w:topLinePunct w:val="0"/>
        <w:autoSpaceDE/>
        <w:autoSpaceDN/>
        <w:bidi w:val="0"/>
        <w:adjustRightInd/>
        <w:snapToGrid/>
        <w:spacing w:line="480" w:lineRule="exact"/>
        <w:ind w:firstLine="392" w:firstLineChars="150"/>
        <w:textAlignment w:val="auto"/>
        <w:rPr>
          <w:rFonts w:hint="default" w:ascii="Arial" w:hAnsi="Arial" w:eastAsia="宋体" w:cs="Arial"/>
          <w:b/>
          <w:color w:val="auto"/>
          <w:kern w:val="0"/>
          <w:sz w:val="26"/>
          <w:szCs w:val="26"/>
          <w:highlight w:val="none"/>
          <w:lang w:val="en-US" w:eastAsia="zh-CN"/>
        </w:rPr>
      </w:pPr>
      <w:r>
        <w:rPr>
          <w:rFonts w:hint="default" w:ascii="Arial" w:hAnsi="Arial" w:eastAsia="宋体" w:cs="Arial"/>
          <w:b/>
          <w:color w:val="auto"/>
          <w:kern w:val="0"/>
          <w:sz w:val="26"/>
          <w:szCs w:val="26"/>
          <w:highlight w:val="none"/>
          <w:lang w:val="zh-CN" w:eastAsia="zh-CN"/>
        </w:rPr>
        <w:t>（</w:t>
      </w:r>
      <w:r>
        <w:rPr>
          <w:rFonts w:hint="eastAsia" w:ascii="Arial" w:hAnsi="Arial" w:eastAsia="宋体" w:cs="Arial"/>
          <w:b/>
          <w:color w:val="auto"/>
          <w:kern w:val="0"/>
          <w:sz w:val="26"/>
          <w:szCs w:val="26"/>
          <w:highlight w:val="none"/>
          <w:lang w:val="en-US" w:eastAsia="zh-CN"/>
        </w:rPr>
        <w:t>2</w:t>
      </w:r>
      <w:r>
        <w:rPr>
          <w:rFonts w:hint="default" w:ascii="Arial" w:hAnsi="Arial" w:eastAsia="宋体" w:cs="Arial"/>
          <w:b/>
          <w:color w:val="auto"/>
          <w:kern w:val="0"/>
          <w:sz w:val="26"/>
          <w:szCs w:val="26"/>
          <w:highlight w:val="none"/>
          <w:lang w:val="en-US" w:eastAsia="zh-CN"/>
        </w:rPr>
        <w:t>）</w:t>
      </w:r>
      <w:r>
        <w:rPr>
          <w:rFonts w:hint="eastAsia" w:ascii="Arial" w:hAnsi="Arial" w:eastAsia="宋体" w:cs="Arial"/>
          <w:b/>
          <w:color w:val="auto"/>
          <w:kern w:val="0"/>
          <w:sz w:val="26"/>
          <w:szCs w:val="26"/>
          <w:highlight w:val="none"/>
          <w:lang w:val="en-US" w:eastAsia="zh-CN"/>
        </w:rPr>
        <w:t>环境影响评价工作</w:t>
      </w:r>
      <w:r>
        <w:rPr>
          <w:rFonts w:hint="default" w:ascii="Arial" w:hAnsi="Arial" w:eastAsia="宋体" w:cs="Arial"/>
          <w:b/>
          <w:color w:val="auto"/>
          <w:kern w:val="0"/>
          <w:sz w:val="26"/>
          <w:szCs w:val="26"/>
          <w:highlight w:val="none"/>
          <w:lang w:val="en-US" w:eastAsia="zh-CN"/>
        </w:rPr>
        <w:t>阶段</w:t>
      </w:r>
    </w:p>
    <w:p w14:paraId="18888BD0">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eastAsia" w:ascii="Arial" w:hAnsi="Arial" w:eastAsia="宋体" w:cs="Arial"/>
          <w:b/>
          <w:color w:val="auto"/>
          <w:kern w:val="0"/>
          <w:sz w:val="26"/>
          <w:szCs w:val="26"/>
          <w:highlight w:val="none"/>
          <w:lang w:val="en-US" w:eastAsia="zh-CN"/>
        </w:rPr>
      </w:pPr>
      <w:r>
        <w:rPr>
          <w:rFonts w:hint="eastAsia" w:ascii="Arial" w:hAnsi="Arial" w:eastAsia="宋体" w:cs="Arial"/>
          <w:b/>
          <w:color w:val="auto"/>
          <w:kern w:val="0"/>
          <w:sz w:val="26"/>
          <w:szCs w:val="26"/>
          <w:highlight w:val="none"/>
          <w:lang w:val="en-US" w:eastAsia="zh-CN"/>
        </w:rPr>
        <w:t>① 环境现状调查</w:t>
      </w:r>
    </w:p>
    <w:p w14:paraId="218BB125">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本评价于2024年8月完成了对项目所在地地表水、地下水、土壤、声环境的现状监测工作。</w:t>
      </w:r>
    </w:p>
    <w:p w14:paraId="6AD23F11">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eastAsia" w:ascii="Arial" w:hAnsi="Arial" w:eastAsia="宋体" w:cs="Arial"/>
          <w:b/>
          <w:color w:val="auto"/>
          <w:kern w:val="0"/>
          <w:sz w:val="26"/>
          <w:szCs w:val="26"/>
          <w:highlight w:val="none"/>
          <w:lang w:val="en-US" w:eastAsia="zh-CN"/>
        </w:rPr>
      </w:pPr>
      <w:r>
        <w:rPr>
          <w:rFonts w:hint="default" w:ascii="Arial" w:hAnsi="Arial" w:eastAsia="宋体" w:cs="Arial"/>
          <w:b/>
          <w:color w:val="auto"/>
          <w:kern w:val="0"/>
          <w:sz w:val="26"/>
          <w:szCs w:val="26"/>
          <w:highlight w:val="none"/>
          <w:lang w:val="en-US" w:eastAsia="zh-CN"/>
        </w:rPr>
        <w:t>②</w:t>
      </w:r>
      <w:r>
        <w:rPr>
          <w:rFonts w:hint="eastAsia" w:ascii="Arial" w:hAnsi="Arial" w:eastAsia="宋体" w:cs="Arial"/>
          <w:b/>
          <w:color w:val="auto"/>
          <w:kern w:val="0"/>
          <w:sz w:val="26"/>
          <w:szCs w:val="26"/>
          <w:highlight w:val="none"/>
          <w:lang w:val="en-US" w:eastAsia="zh-CN"/>
        </w:rPr>
        <w:t xml:space="preserve"> 环境敏感点筛查</w:t>
      </w:r>
    </w:p>
    <w:p w14:paraId="5904DEC6">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本评价多次对项目所在区域进行了详查，查明项目所在地附近各类环境敏感点的分布情况及与拟建项目的地理位置关系。</w:t>
      </w:r>
    </w:p>
    <w:p w14:paraId="26EE93FA">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eastAsia" w:ascii="Arial" w:hAnsi="Arial" w:eastAsia="宋体" w:cs="Arial"/>
          <w:b/>
          <w:color w:val="auto"/>
          <w:kern w:val="0"/>
          <w:sz w:val="26"/>
          <w:szCs w:val="26"/>
          <w:highlight w:val="none"/>
          <w:lang w:val="en-US" w:eastAsia="zh-CN"/>
        </w:rPr>
      </w:pPr>
      <w:r>
        <w:rPr>
          <w:rFonts w:hint="eastAsia" w:ascii="Arial" w:hAnsi="Arial" w:eastAsia="宋体" w:cs="Arial"/>
          <w:b/>
          <w:color w:val="auto"/>
          <w:kern w:val="0"/>
          <w:sz w:val="26"/>
          <w:szCs w:val="26"/>
          <w:highlight w:val="none"/>
          <w:lang w:val="en-US" w:eastAsia="zh-CN"/>
        </w:rPr>
        <w:t>③ 环境影响评价工作</w:t>
      </w:r>
    </w:p>
    <w:p w14:paraId="1DC83695">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根据调查、收集到的有关文件、资料，在进行充分的环境现状调查、监测的基础上开展环境质量现状评价，并进行进一步的工程分析，预测、评估工程建设对生态环境、环境质量的影响，分析论证项目建设的环境可行性，提出切实可行的生态保护及污染防治对策，维持工程影响区的环境功能，减小工程带来的不利环境影响。</w:t>
      </w:r>
    </w:p>
    <w:p w14:paraId="4C374677">
      <w:pPr>
        <w:keepNext w:val="0"/>
        <w:keepLines w:val="0"/>
        <w:pageBreakBefore w:val="0"/>
        <w:widowControl w:val="0"/>
        <w:kinsoku/>
        <w:wordWrap/>
        <w:overflowPunct/>
        <w:topLinePunct w:val="0"/>
        <w:autoSpaceDE/>
        <w:autoSpaceDN/>
        <w:bidi w:val="0"/>
        <w:adjustRightInd/>
        <w:snapToGrid/>
        <w:spacing w:line="480" w:lineRule="exact"/>
        <w:ind w:firstLine="392" w:firstLineChars="150"/>
        <w:textAlignment w:val="auto"/>
        <w:rPr>
          <w:rFonts w:hint="default" w:ascii="Arial" w:hAnsi="Arial" w:eastAsia="宋体" w:cs="Arial"/>
          <w:b/>
          <w:color w:val="auto"/>
          <w:kern w:val="0"/>
          <w:sz w:val="26"/>
          <w:szCs w:val="26"/>
          <w:highlight w:val="none"/>
          <w:lang w:val="en-US" w:eastAsia="zh-CN"/>
        </w:rPr>
      </w:pPr>
      <w:r>
        <w:rPr>
          <w:rFonts w:hint="default" w:ascii="Arial" w:hAnsi="Arial" w:eastAsia="宋体" w:cs="Arial"/>
          <w:b/>
          <w:color w:val="auto"/>
          <w:kern w:val="0"/>
          <w:sz w:val="26"/>
          <w:szCs w:val="26"/>
          <w:highlight w:val="none"/>
          <w:lang w:val="zh-CN" w:eastAsia="zh-CN"/>
        </w:rPr>
        <w:t>（</w:t>
      </w:r>
      <w:r>
        <w:rPr>
          <w:rFonts w:hint="eastAsia" w:ascii="Arial" w:hAnsi="Arial" w:eastAsia="宋体" w:cs="Arial"/>
          <w:b/>
          <w:color w:val="auto"/>
          <w:kern w:val="0"/>
          <w:sz w:val="26"/>
          <w:szCs w:val="26"/>
          <w:highlight w:val="none"/>
          <w:lang w:val="en-US" w:eastAsia="zh-CN"/>
        </w:rPr>
        <w:t>3</w:t>
      </w:r>
      <w:r>
        <w:rPr>
          <w:rFonts w:hint="default" w:ascii="Arial" w:hAnsi="Arial" w:eastAsia="宋体" w:cs="Arial"/>
          <w:b/>
          <w:color w:val="auto"/>
          <w:kern w:val="0"/>
          <w:sz w:val="26"/>
          <w:szCs w:val="26"/>
          <w:highlight w:val="none"/>
          <w:lang w:val="en-US" w:eastAsia="zh-CN"/>
        </w:rPr>
        <w:t>）</w:t>
      </w:r>
      <w:r>
        <w:rPr>
          <w:rFonts w:hint="eastAsia" w:ascii="Arial" w:hAnsi="Arial" w:eastAsia="宋体" w:cs="Arial"/>
          <w:b/>
          <w:color w:val="auto"/>
          <w:kern w:val="0"/>
          <w:sz w:val="26"/>
          <w:szCs w:val="26"/>
          <w:highlight w:val="none"/>
          <w:lang w:val="en-US" w:eastAsia="zh-CN"/>
        </w:rPr>
        <w:t>编制环境影响报告书</w:t>
      </w:r>
    </w:p>
    <w:p w14:paraId="7CC2602D">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接受委托后，我公司组织技术人员进行现场踏勘，开展环境状况调查并收集相关资料，根据项目特征，特别关注坝区及周边敏感点、库区范围内的污染源调查、集雨范围内的污染源普查；同时委托第三方有资质的公司进行现状监测。</w:t>
      </w:r>
    </w:p>
    <w:p w14:paraId="4483CF4A">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在收集资料后，按照相关法律法规和环境影响评价技术导则等技术规范要求，对该项目可能产生的环境影响进行系统的识别、预测和评价，编制完成了《</w:t>
      </w:r>
      <w:r>
        <w:rPr>
          <w:rFonts w:hint="eastAsia" w:ascii="Arial" w:hAnsi="Arial" w:cs="Arial"/>
          <w:color w:val="auto"/>
          <w:kern w:val="0"/>
          <w:sz w:val="26"/>
          <w:szCs w:val="26"/>
          <w:highlight w:val="none"/>
          <w:lang w:val="en-US" w:eastAsia="zh-CN"/>
        </w:rPr>
        <w:t>丰都县海螺沟水库</w:t>
      </w:r>
      <w:r>
        <w:rPr>
          <w:rFonts w:hint="eastAsia" w:ascii="Arial" w:hAnsi="Arial" w:eastAsia="宋体" w:cs="Arial"/>
          <w:color w:val="auto"/>
          <w:kern w:val="0"/>
          <w:sz w:val="26"/>
          <w:szCs w:val="26"/>
          <w:highlight w:val="none"/>
          <w:lang w:val="en-US" w:eastAsia="zh-CN"/>
        </w:rPr>
        <w:t>工程环境影响报告书》</w:t>
      </w:r>
      <w:r>
        <w:rPr>
          <w:rFonts w:hint="eastAsia" w:ascii="宋体" w:hAnsi="宋体" w:eastAsia="宋体" w:cs="宋体"/>
          <w:color w:val="auto"/>
          <w:kern w:val="0"/>
          <w:sz w:val="26"/>
          <w:szCs w:val="26"/>
          <w:highlight w:val="none"/>
          <w:lang w:val="en-US" w:eastAsia="zh-CN"/>
        </w:rPr>
        <w:t>(送审版)</w:t>
      </w:r>
      <w:r>
        <w:rPr>
          <w:rFonts w:hint="eastAsia" w:ascii="Arial" w:hAnsi="Arial" w:eastAsia="宋体" w:cs="Arial"/>
          <w:color w:val="auto"/>
          <w:kern w:val="0"/>
          <w:sz w:val="26"/>
          <w:szCs w:val="26"/>
          <w:highlight w:val="none"/>
          <w:lang w:val="en-US" w:eastAsia="zh-CN"/>
        </w:rPr>
        <w:t>。</w:t>
      </w:r>
      <w:r>
        <w:rPr>
          <w:rFonts w:hint="eastAsia" w:ascii="Arial" w:hAnsi="Arial" w:cs="Arial"/>
          <w:color w:val="auto"/>
          <w:kern w:val="0"/>
          <w:sz w:val="26"/>
          <w:szCs w:val="26"/>
          <w:highlight w:val="none"/>
          <w:lang w:val="en-US" w:eastAsia="zh-CN"/>
        </w:rPr>
        <w:t>现按规定程序上报，敬请审查。</w:t>
      </w:r>
    </w:p>
    <w:p w14:paraId="135774EE">
      <w:pPr>
        <w:keepNext w:val="0"/>
        <w:keepLines w:val="0"/>
        <w:pageBreakBefore w:val="0"/>
        <w:widowControl w:val="0"/>
        <w:kinsoku/>
        <w:wordWrap/>
        <w:overflowPunct/>
        <w:topLinePunct w:val="0"/>
        <w:autoSpaceDE/>
        <w:autoSpaceDN/>
        <w:bidi w:val="0"/>
        <w:adjustRightInd/>
        <w:snapToGrid/>
        <w:spacing w:line="480" w:lineRule="exact"/>
        <w:ind w:firstLine="392" w:firstLineChars="150"/>
        <w:textAlignment w:val="auto"/>
        <w:rPr>
          <w:rFonts w:hint="default" w:ascii="Arial" w:hAnsi="Arial" w:eastAsia="宋体" w:cs="Arial"/>
          <w:b/>
          <w:color w:val="auto"/>
          <w:kern w:val="0"/>
          <w:sz w:val="26"/>
          <w:szCs w:val="26"/>
          <w:highlight w:val="none"/>
          <w:lang w:val="en-US" w:eastAsia="zh-CN"/>
        </w:rPr>
      </w:pPr>
      <w:r>
        <w:rPr>
          <w:rFonts w:hint="default" w:ascii="Arial" w:hAnsi="Arial" w:eastAsia="宋体" w:cs="Arial"/>
          <w:b/>
          <w:color w:val="auto"/>
          <w:kern w:val="0"/>
          <w:sz w:val="26"/>
          <w:szCs w:val="26"/>
          <w:highlight w:val="none"/>
          <w:lang w:val="zh-CN" w:eastAsia="zh-CN"/>
        </w:rPr>
        <w:t>（</w:t>
      </w:r>
      <w:r>
        <w:rPr>
          <w:rFonts w:hint="eastAsia" w:ascii="Arial" w:hAnsi="Arial" w:cs="Arial"/>
          <w:b/>
          <w:color w:val="auto"/>
          <w:kern w:val="0"/>
          <w:sz w:val="26"/>
          <w:szCs w:val="26"/>
          <w:highlight w:val="none"/>
          <w:lang w:val="en-US" w:eastAsia="zh-CN"/>
        </w:rPr>
        <w:t>4</w:t>
      </w:r>
      <w:r>
        <w:rPr>
          <w:rFonts w:hint="default" w:ascii="Arial" w:hAnsi="Arial" w:eastAsia="宋体" w:cs="Arial"/>
          <w:b/>
          <w:color w:val="auto"/>
          <w:kern w:val="0"/>
          <w:sz w:val="26"/>
          <w:szCs w:val="26"/>
          <w:highlight w:val="none"/>
          <w:lang w:val="en-US" w:eastAsia="zh-CN"/>
        </w:rPr>
        <w:t>）</w:t>
      </w:r>
      <w:r>
        <w:rPr>
          <w:rFonts w:hint="eastAsia" w:ascii="Arial" w:hAnsi="Arial" w:cs="Arial"/>
          <w:b/>
          <w:color w:val="auto"/>
          <w:kern w:val="0"/>
          <w:sz w:val="26"/>
          <w:szCs w:val="26"/>
          <w:highlight w:val="none"/>
          <w:lang w:val="en-US" w:eastAsia="zh-CN"/>
        </w:rPr>
        <w:t>公众参与工作</w:t>
      </w:r>
    </w:p>
    <w:p w14:paraId="2B0E4A86">
      <w:pPr>
        <w:keepNext w:val="0"/>
        <w:keepLines/>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eastAsia="宋体" w:cs="Arial"/>
          <w:color w:val="auto"/>
          <w:kern w:val="0"/>
          <w:sz w:val="26"/>
          <w:szCs w:val="26"/>
          <w:highlight w:val="none"/>
          <w:lang w:val="en-US" w:eastAsia="zh-CN"/>
        </w:rPr>
        <w:t>在委托我单位</w:t>
      </w:r>
      <w:r>
        <w:rPr>
          <w:rFonts w:hint="eastAsia" w:ascii="Arial" w:hAnsi="Arial" w:cs="Arial"/>
          <w:color w:val="auto"/>
          <w:kern w:val="0"/>
          <w:sz w:val="26"/>
          <w:szCs w:val="26"/>
          <w:highlight w:val="none"/>
          <w:lang w:val="en-US" w:eastAsia="zh-CN"/>
        </w:rPr>
        <w:t>开展</w:t>
      </w:r>
      <w:r>
        <w:rPr>
          <w:rFonts w:hint="eastAsia" w:ascii="Arial" w:hAnsi="Arial" w:eastAsia="宋体" w:cs="Arial"/>
          <w:color w:val="auto"/>
          <w:kern w:val="0"/>
          <w:sz w:val="26"/>
          <w:szCs w:val="26"/>
          <w:highlight w:val="none"/>
          <w:lang w:val="en-US" w:eastAsia="zh-CN"/>
        </w:rPr>
        <w:t>该项目环境影响评价工作后7个工作日内，建设单位按照《环境影响评价公众参与办法》（生态环境部令第4号）的要求，2024年8月6日在丰都县水利局网站上进行了项目第一次环境信息公示，</w:t>
      </w:r>
      <w:r>
        <w:rPr>
          <w:rFonts w:hint="eastAsia" w:ascii="Arial" w:hAnsi="Arial" w:cs="Arial"/>
          <w:color w:val="auto"/>
          <w:kern w:val="0"/>
          <w:sz w:val="26"/>
          <w:szCs w:val="26"/>
          <w:highlight w:val="none"/>
          <w:lang w:val="en-US" w:eastAsia="zh-CN"/>
        </w:rPr>
        <w:t>公示</w:t>
      </w:r>
      <w:r>
        <w:rPr>
          <w:rFonts w:hint="eastAsia" w:ascii="Arial" w:hAnsi="Arial" w:eastAsia="宋体" w:cs="Arial"/>
          <w:color w:val="auto"/>
          <w:kern w:val="0"/>
          <w:sz w:val="26"/>
          <w:szCs w:val="26"/>
          <w:highlight w:val="none"/>
          <w:lang w:val="en-US" w:eastAsia="zh-CN"/>
        </w:rPr>
        <w:t>链接为：http://www.cqfd.gov.cn/bm/slj/，并给出了公众意见表的链接</w:t>
      </w:r>
      <w:r>
        <w:rPr>
          <w:rFonts w:hint="eastAsia" w:ascii="Arial" w:hAnsi="Arial" w:cs="Arial"/>
          <w:color w:val="auto"/>
          <w:kern w:val="0"/>
          <w:sz w:val="26"/>
          <w:szCs w:val="26"/>
          <w:highlight w:val="none"/>
          <w:lang w:val="en-US" w:eastAsia="zh-CN"/>
        </w:rPr>
        <w:t>。公示</w:t>
      </w:r>
      <w:r>
        <w:rPr>
          <w:rFonts w:hint="eastAsia" w:ascii="Arial" w:hAnsi="Arial" w:eastAsia="宋体" w:cs="Arial"/>
          <w:color w:val="auto"/>
          <w:kern w:val="0"/>
          <w:sz w:val="26"/>
          <w:szCs w:val="26"/>
          <w:highlight w:val="none"/>
          <w:lang w:val="en-US" w:eastAsia="zh-CN"/>
        </w:rPr>
        <w:t>期间</w:t>
      </w:r>
      <w:r>
        <w:rPr>
          <w:rFonts w:hint="eastAsia" w:ascii="Arial" w:hAnsi="Arial" w:cs="Arial"/>
          <w:color w:val="auto"/>
          <w:kern w:val="0"/>
          <w:sz w:val="26"/>
          <w:szCs w:val="26"/>
          <w:highlight w:val="none"/>
          <w:lang w:val="en-US" w:eastAsia="zh-CN"/>
        </w:rPr>
        <w:t>未收到</w:t>
      </w:r>
      <w:r>
        <w:rPr>
          <w:rFonts w:hint="eastAsia" w:ascii="Arial" w:hAnsi="Arial" w:eastAsia="宋体" w:cs="Arial"/>
          <w:color w:val="auto"/>
          <w:kern w:val="0"/>
          <w:sz w:val="26"/>
          <w:szCs w:val="26"/>
          <w:highlight w:val="none"/>
          <w:lang w:val="en-US" w:eastAsia="zh-CN"/>
        </w:rPr>
        <w:t>公众反馈意见。</w:t>
      </w:r>
    </w:p>
    <w:p w14:paraId="4E9931C7">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在我司编制完成该项目环境影响评价报告书征求意见稿后，建设单位</w:t>
      </w:r>
      <w:r>
        <w:rPr>
          <w:rFonts w:hint="eastAsia" w:ascii="Arial" w:hAnsi="Arial" w:eastAsia="宋体" w:cs="Arial"/>
          <w:color w:val="auto"/>
          <w:kern w:val="0"/>
          <w:sz w:val="26"/>
          <w:szCs w:val="26"/>
          <w:highlight w:val="none"/>
          <w:lang w:val="en-US" w:eastAsia="zh-CN"/>
        </w:rPr>
        <w:t>按照《环境影响评价公众参与办法》</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生态环境部令第4号</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的要求，202</w:t>
      </w:r>
      <w:r>
        <w:rPr>
          <w:rFonts w:hint="eastAsia" w:ascii="Arial" w:hAnsi="Arial" w:cs="Arial"/>
          <w:color w:val="auto"/>
          <w:kern w:val="0"/>
          <w:sz w:val="26"/>
          <w:szCs w:val="26"/>
          <w:highlight w:val="none"/>
          <w:lang w:val="en-US" w:eastAsia="zh-CN"/>
        </w:rPr>
        <w:t>5</w:t>
      </w:r>
      <w:r>
        <w:rPr>
          <w:rFonts w:hint="eastAsia" w:ascii="Arial" w:hAnsi="Arial" w:eastAsia="宋体" w:cs="Arial"/>
          <w:color w:val="auto"/>
          <w:kern w:val="0"/>
          <w:sz w:val="26"/>
          <w:szCs w:val="26"/>
          <w:highlight w:val="none"/>
          <w:lang w:val="en-US" w:eastAsia="zh-CN"/>
        </w:rPr>
        <w:t>年</w:t>
      </w:r>
      <w:r>
        <w:rPr>
          <w:rFonts w:hint="eastAsia" w:ascii="Arial" w:hAnsi="Arial" w:cs="Arial"/>
          <w:color w:val="auto"/>
          <w:kern w:val="0"/>
          <w:sz w:val="26"/>
          <w:szCs w:val="26"/>
          <w:highlight w:val="none"/>
          <w:lang w:val="en-US" w:eastAsia="zh-CN"/>
        </w:rPr>
        <w:t>1</w:t>
      </w:r>
      <w:r>
        <w:rPr>
          <w:rFonts w:hint="eastAsia" w:ascii="Arial" w:hAnsi="Arial" w:eastAsia="宋体" w:cs="Arial"/>
          <w:color w:val="auto"/>
          <w:kern w:val="0"/>
          <w:sz w:val="26"/>
          <w:szCs w:val="26"/>
          <w:highlight w:val="none"/>
          <w:lang w:val="en-US" w:eastAsia="zh-CN"/>
        </w:rPr>
        <w:t>月</w:t>
      </w:r>
      <w:r>
        <w:rPr>
          <w:rFonts w:hint="eastAsia" w:ascii="Arial" w:hAnsi="Arial" w:cs="Arial"/>
          <w:color w:val="auto"/>
          <w:kern w:val="0"/>
          <w:sz w:val="26"/>
          <w:szCs w:val="26"/>
          <w:highlight w:val="none"/>
          <w:lang w:val="en-US" w:eastAsia="zh-CN"/>
        </w:rPr>
        <w:t>8</w:t>
      </w:r>
      <w:r>
        <w:rPr>
          <w:rFonts w:hint="eastAsia" w:ascii="Arial" w:hAnsi="Arial" w:eastAsia="宋体" w:cs="Arial"/>
          <w:color w:val="auto"/>
          <w:kern w:val="0"/>
          <w:sz w:val="26"/>
          <w:szCs w:val="26"/>
          <w:highlight w:val="none"/>
          <w:lang w:val="en-US" w:eastAsia="zh-CN"/>
        </w:rPr>
        <w:t>日至</w:t>
      </w:r>
      <w:r>
        <w:rPr>
          <w:rFonts w:hint="eastAsia" w:ascii="Arial" w:hAnsi="Arial" w:cs="Arial"/>
          <w:color w:val="auto"/>
          <w:kern w:val="0"/>
          <w:sz w:val="26"/>
          <w:szCs w:val="26"/>
          <w:highlight w:val="none"/>
          <w:lang w:val="en-US" w:eastAsia="zh-CN"/>
        </w:rPr>
        <w:t>1</w:t>
      </w:r>
      <w:r>
        <w:rPr>
          <w:rFonts w:hint="eastAsia" w:ascii="Arial" w:hAnsi="Arial" w:eastAsia="宋体" w:cs="Arial"/>
          <w:color w:val="auto"/>
          <w:kern w:val="0"/>
          <w:sz w:val="26"/>
          <w:szCs w:val="26"/>
          <w:highlight w:val="none"/>
          <w:lang w:val="en-US" w:eastAsia="zh-CN"/>
        </w:rPr>
        <w:t>月21日</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共计10个工作日</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在</w:t>
      </w:r>
      <w:r>
        <w:rPr>
          <w:rFonts w:hint="eastAsia" w:ascii="Arial" w:hAnsi="Arial" w:cs="Arial"/>
          <w:color w:val="auto"/>
          <w:kern w:val="0"/>
          <w:sz w:val="26"/>
          <w:szCs w:val="26"/>
          <w:highlight w:val="none"/>
          <w:lang w:val="en-US" w:eastAsia="zh-CN"/>
        </w:rPr>
        <w:t>丰都县水利局</w:t>
      </w:r>
      <w:r>
        <w:rPr>
          <w:rFonts w:hint="eastAsia" w:ascii="Arial" w:hAnsi="Arial" w:eastAsia="宋体" w:cs="Arial"/>
          <w:color w:val="auto"/>
          <w:kern w:val="0"/>
          <w:sz w:val="26"/>
          <w:szCs w:val="26"/>
          <w:highlight w:val="none"/>
          <w:lang w:val="en-US" w:eastAsia="zh-CN"/>
        </w:rPr>
        <w:t>网站上进行了</w:t>
      </w:r>
      <w:r>
        <w:rPr>
          <w:rFonts w:hint="eastAsia" w:ascii="Arial" w:hAnsi="Arial" w:cs="Arial"/>
          <w:color w:val="auto"/>
          <w:kern w:val="0"/>
          <w:sz w:val="26"/>
          <w:szCs w:val="26"/>
          <w:highlight w:val="none"/>
          <w:lang w:val="en-US" w:eastAsia="zh-CN"/>
        </w:rPr>
        <w:t>本</w:t>
      </w:r>
      <w:r>
        <w:rPr>
          <w:rFonts w:hint="eastAsia" w:ascii="Arial" w:hAnsi="Arial" w:eastAsia="宋体" w:cs="Arial"/>
          <w:color w:val="auto"/>
          <w:kern w:val="0"/>
          <w:sz w:val="26"/>
          <w:szCs w:val="26"/>
          <w:highlight w:val="none"/>
          <w:lang w:val="en-US" w:eastAsia="zh-CN"/>
        </w:rPr>
        <w:t>项目征求意见稿的全文公示，公示网址为</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http://www.cqfd.gov.cn/bm/slj/</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并给出了公众意见表的链接，公示期间</w:t>
      </w:r>
      <w:r>
        <w:rPr>
          <w:rFonts w:hint="eastAsia" w:ascii="Arial" w:hAnsi="Arial" w:cs="Arial"/>
          <w:color w:val="auto"/>
          <w:kern w:val="0"/>
          <w:sz w:val="26"/>
          <w:szCs w:val="26"/>
          <w:highlight w:val="none"/>
          <w:lang w:val="en-US" w:eastAsia="zh-CN"/>
        </w:rPr>
        <w:t>未收到</w:t>
      </w:r>
      <w:r>
        <w:rPr>
          <w:rFonts w:hint="eastAsia" w:ascii="Arial" w:hAnsi="Arial" w:eastAsia="宋体" w:cs="Arial"/>
          <w:color w:val="auto"/>
          <w:kern w:val="0"/>
          <w:sz w:val="26"/>
          <w:szCs w:val="26"/>
          <w:highlight w:val="none"/>
          <w:lang w:val="en-US" w:eastAsia="zh-CN"/>
        </w:rPr>
        <w:t>公众反馈意见。同时在项目所在地</w:t>
      </w:r>
      <w:r>
        <w:rPr>
          <w:rFonts w:hint="eastAsia" w:ascii="Arial" w:hAnsi="Arial" w:cs="Arial"/>
          <w:color w:val="auto"/>
          <w:kern w:val="0"/>
          <w:sz w:val="26"/>
          <w:szCs w:val="26"/>
          <w:highlight w:val="none"/>
          <w:lang w:val="en-US" w:eastAsia="zh-CN"/>
        </w:rPr>
        <w:t>双龙镇田家山村</w:t>
      </w:r>
      <w:r>
        <w:rPr>
          <w:rFonts w:hint="eastAsia" w:ascii="Arial" w:hAnsi="Arial" w:eastAsia="宋体" w:cs="Arial"/>
          <w:color w:val="auto"/>
          <w:kern w:val="0"/>
          <w:sz w:val="26"/>
          <w:szCs w:val="26"/>
          <w:highlight w:val="none"/>
          <w:lang w:val="en-US" w:eastAsia="zh-CN"/>
        </w:rPr>
        <w:t>村委会公告栏进行现场张贴公示，并在征求意见稿公示期间在“重庆晚报”共计2天</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2023年4月13日、4月17日</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刊登了环评公示信息。公示期间</w:t>
      </w:r>
      <w:r>
        <w:rPr>
          <w:rFonts w:hint="eastAsia" w:ascii="Arial" w:hAnsi="Arial" w:cs="Arial"/>
          <w:color w:val="auto"/>
          <w:kern w:val="0"/>
          <w:sz w:val="26"/>
          <w:szCs w:val="26"/>
          <w:highlight w:val="none"/>
          <w:lang w:val="en-US" w:eastAsia="zh-CN"/>
        </w:rPr>
        <w:t>未收到</w:t>
      </w:r>
      <w:r>
        <w:rPr>
          <w:rFonts w:hint="eastAsia" w:ascii="Arial" w:hAnsi="Arial" w:eastAsia="宋体" w:cs="Arial"/>
          <w:color w:val="auto"/>
          <w:kern w:val="0"/>
          <w:sz w:val="26"/>
          <w:szCs w:val="26"/>
          <w:highlight w:val="none"/>
          <w:lang w:val="en-US" w:eastAsia="zh-CN"/>
        </w:rPr>
        <w:t>公众反馈意见。第二次公示期间，于建设单位办公室放置了报告书纸质文本，供公众查阅。</w:t>
      </w:r>
    </w:p>
    <w:p w14:paraId="169B318B">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eastAsia" w:ascii="Arial" w:hAnsi="Arial" w:cs="Arial"/>
          <w:color w:val="auto"/>
          <w:kern w:val="0"/>
          <w:sz w:val="26"/>
          <w:szCs w:val="26"/>
          <w:highlight w:val="none"/>
          <w:lang w:val="en-US" w:eastAsia="zh-CN"/>
        </w:rPr>
      </w:pPr>
      <w:r>
        <w:rPr>
          <w:rFonts w:hint="eastAsia" w:ascii="宋体"/>
          <w:b/>
          <w:color w:val="auto"/>
          <w:kern w:val="0"/>
          <w:sz w:val="26"/>
          <w:szCs w:val="26"/>
          <w:highlight w:val="none"/>
          <w:lang w:eastAsia="zh-CN"/>
        </w:rPr>
        <w:t>五、</w:t>
      </w:r>
      <w:r>
        <w:rPr>
          <w:rFonts w:hint="eastAsia" w:ascii="宋体"/>
          <w:b/>
          <w:color w:val="auto"/>
          <w:kern w:val="0"/>
          <w:sz w:val="26"/>
          <w:szCs w:val="26"/>
          <w:highlight w:val="none"/>
          <w:lang w:val="en-US" w:eastAsia="zh-CN"/>
        </w:rPr>
        <w:t>政策、规划符合性结论</w:t>
      </w:r>
    </w:p>
    <w:p w14:paraId="6A5A4ED1">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default"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丰都县海螺沟水库工程是</w:t>
      </w:r>
      <w:r>
        <w:rPr>
          <w:rFonts w:hint="eastAsia" w:ascii="Arial" w:hAnsi="Arial" w:eastAsia="宋体" w:cs="Arial"/>
          <w:color w:val="auto"/>
          <w:kern w:val="0"/>
          <w:sz w:val="26"/>
          <w:szCs w:val="26"/>
          <w:highlight w:val="none"/>
          <w:lang w:val="en-US" w:eastAsia="zh-CN"/>
        </w:rPr>
        <w:t>一座以供水和农业灌溉为主要开发功能的小（2）型水利工程，</w:t>
      </w:r>
      <w:r>
        <w:rPr>
          <w:rFonts w:hint="eastAsia" w:ascii="Arial" w:hAnsi="Arial" w:cs="Arial"/>
          <w:color w:val="auto"/>
          <w:kern w:val="0"/>
          <w:sz w:val="26"/>
          <w:szCs w:val="26"/>
          <w:highlight w:val="none"/>
          <w:lang w:val="en-US" w:eastAsia="zh-CN"/>
        </w:rPr>
        <w:t>属于《产业结构调整指导目录（2024年本）》中的“鼓励类”项目。海螺沟水库占地范围内不涉及自然保护区、风景名胜区、森林公园、饮用水水源保护区、生态保护红线、湿地公园、水产种质资源保护区等特殊生态敏感区，与《长江经济带发展负面清单指南（试行）》、《关于印发四川省、重庆市长江经济</w:t>
      </w:r>
      <w:r>
        <w:rPr>
          <w:rFonts w:hint="default" w:ascii="Arial" w:hAnsi="Arial" w:cs="Arial"/>
          <w:color w:val="auto"/>
          <w:kern w:val="0"/>
          <w:sz w:val="26"/>
          <w:szCs w:val="26"/>
          <w:highlight w:val="none"/>
          <w:lang w:val="en-US" w:eastAsia="zh-CN"/>
        </w:rPr>
        <w:t>带发展负面清单实施细则（试行，2022年版）的通知》、《关于印发重庆市产业投资准入工作手册的通知》（渝发改投资</w:t>
      </w:r>
      <w:r>
        <w:rPr>
          <w:rFonts w:hint="default" w:ascii="Arial" w:hAnsi="Arial" w:eastAsia="宋体" w:cs="Arial"/>
          <w:color w:val="auto"/>
          <w:kern w:val="0"/>
          <w:sz w:val="26"/>
          <w:szCs w:val="26"/>
          <w:highlight w:val="none"/>
          <w:lang w:val="en-US" w:eastAsia="zh-CN"/>
        </w:rPr>
        <w:t>〔2022〕1436号）</w:t>
      </w:r>
      <w:r>
        <w:rPr>
          <w:rFonts w:hint="eastAsia" w:ascii="Arial" w:hAnsi="Arial" w:cs="Arial"/>
          <w:color w:val="auto"/>
          <w:kern w:val="0"/>
          <w:sz w:val="26"/>
          <w:szCs w:val="26"/>
          <w:highlight w:val="none"/>
          <w:lang w:val="en-US" w:eastAsia="zh-CN"/>
        </w:rPr>
        <w:t>《重庆市水安全保障“十四五”规划（2021-2025年）》、《丰都县“十四五”水安全保障规划》</w:t>
      </w:r>
      <w:r>
        <w:rPr>
          <w:rFonts w:hint="default" w:ascii="Arial" w:hAnsi="Arial" w:cs="Arial"/>
          <w:color w:val="auto"/>
          <w:kern w:val="0"/>
          <w:sz w:val="26"/>
          <w:szCs w:val="26"/>
          <w:highlight w:val="none"/>
          <w:lang w:val="en-US" w:eastAsia="zh-CN"/>
        </w:rPr>
        <w:t>等文件相符</w:t>
      </w:r>
      <w:r>
        <w:rPr>
          <w:rFonts w:hint="eastAsia" w:ascii="Arial" w:hAnsi="Arial" w:cs="Arial"/>
          <w:color w:val="auto"/>
          <w:kern w:val="0"/>
          <w:sz w:val="26"/>
          <w:szCs w:val="26"/>
          <w:highlight w:val="none"/>
          <w:lang w:val="en-US" w:eastAsia="zh-CN"/>
        </w:rPr>
        <w:t>，且项目所办理的前期资料均已取</w:t>
      </w:r>
      <w:r>
        <w:rPr>
          <w:rFonts w:hint="eastAsia" w:ascii="Arial" w:hAnsi="Arial" w:eastAsia="宋体" w:cs="Arial"/>
          <w:color w:val="auto"/>
          <w:kern w:val="0"/>
          <w:sz w:val="26"/>
          <w:szCs w:val="26"/>
          <w:highlight w:val="none"/>
          <w:lang w:val="en-US" w:eastAsia="zh-CN"/>
        </w:rPr>
        <w:t>得相关主管部门的批复。由此可见，本项目与地方、国家产业政策均相符。</w:t>
      </w:r>
    </w:p>
    <w:p w14:paraId="50390AE4">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本项目属于《重庆市渠溪河流域综合规划环境影响报告书》中规划拟建水库，且规划中海螺沟水库工程任务、坝址、坝型、特征水位、库容等特性均与本次评价内容一致；本项目设施过程中将根据流域规划、规划环评及审查意见的相关内容，完善项目相关生态环境保护措施。由此可见，本项目与《重庆市渠溪河流域综合规划环境影响报告书》及其审查意见“</w:t>
      </w:r>
      <w:r>
        <w:rPr>
          <w:rFonts w:hint="default" w:ascii="Arial" w:hAnsi="Arial" w:cs="Arial"/>
          <w:color w:val="auto"/>
          <w:kern w:val="0"/>
          <w:sz w:val="26"/>
          <w:szCs w:val="26"/>
          <w:highlight w:val="none"/>
          <w:lang w:val="en-US" w:eastAsia="zh-CN"/>
        </w:rPr>
        <w:t>丰环函</w:t>
      </w:r>
      <w:r>
        <w:rPr>
          <w:rFonts w:hint="default" w:ascii="Arial" w:hAnsi="Arial" w:eastAsia="宋体" w:cs="Arial"/>
          <w:color w:val="auto"/>
          <w:kern w:val="0"/>
          <w:sz w:val="26"/>
          <w:szCs w:val="26"/>
          <w:highlight w:val="none"/>
          <w:lang w:val="en-US" w:eastAsia="zh-CN"/>
        </w:rPr>
        <w:t>〔2025〕2号</w:t>
      </w:r>
      <w:r>
        <w:rPr>
          <w:rFonts w:hint="eastAsia" w:ascii="Arial" w:hAnsi="Arial" w:cs="Arial"/>
          <w:color w:val="auto"/>
          <w:kern w:val="0"/>
          <w:sz w:val="26"/>
          <w:szCs w:val="26"/>
          <w:highlight w:val="none"/>
          <w:lang w:val="en-US" w:eastAsia="zh-CN"/>
        </w:rPr>
        <w:t>”相符。</w:t>
      </w:r>
    </w:p>
    <w:p w14:paraId="697007BE">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结果查询重庆市“三线一单”智检服务平台，海螺沟水库工程涉及丰都县一般管控单元—渠溪河木瓜洞，单元编码为ZH50023030003。通过比对分析，本项目与丰都县“三线一单”相符。</w:t>
      </w:r>
    </w:p>
    <w:p w14:paraId="784084A8">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eastAsia" w:ascii="Arial" w:hAnsi="Arial" w:cs="Arial"/>
          <w:color w:val="auto"/>
          <w:kern w:val="0"/>
          <w:sz w:val="26"/>
          <w:szCs w:val="26"/>
          <w:highlight w:val="none"/>
          <w:lang w:val="en-US" w:eastAsia="zh-CN"/>
        </w:rPr>
      </w:pPr>
      <w:r>
        <w:rPr>
          <w:rFonts w:hint="eastAsia" w:ascii="宋体"/>
          <w:b/>
          <w:color w:val="auto"/>
          <w:kern w:val="0"/>
          <w:sz w:val="26"/>
          <w:szCs w:val="26"/>
          <w:highlight w:val="none"/>
          <w:lang w:eastAsia="zh-CN"/>
        </w:rPr>
        <w:t>六、</w:t>
      </w:r>
      <w:r>
        <w:rPr>
          <w:rFonts w:hint="eastAsia" w:ascii="宋体"/>
          <w:b/>
          <w:color w:val="auto"/>
          <w:kern w:val="0"/>
          <w:sz w:val="26"/>
          <w:szCs w:val="26"/>
          <w:highlight w:val="none"/>
          <w:lang w:val="en-US" w:eastAsia="zh-CN"/>
        </w:rPr>
        <w:t>关注的主要环境问题</w:t>
      </w:r>
    </w:p>
    <w:p w14:paraId="40564C9E">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eastAsia" w:ascii="Arial" w:hAnsi="Times New Roman" w:eastAsia="宋体" w:cs="Arial"/>
          <w:color w:val="auto"/>
          <w:sz w:val="26"/>
          <w:highlight w:val="none"/>
          <w:lang w:val="en-US" w:eastAsia="zh-CN"/>
        </w:rPr>
      </w:pPr>
      <w:r>
        <w:rPr>
          <w:rFonts w:hint="eastAsia" w:ascii="Arial" w:hAnsi="Times New Roman" w:eastAsia="宋体" w:cs="Arial"/>
          <w:color w:val="auto"/>
          <w:sz w:val="26"/>
          <w:highlight w:val="none"/>
          <w:lang w:val="en-US" w:eastAsia="zh-CN"/>
        </w:rPr>
        <w:t>（</w:t>
      </w:r>
      <w:r>
        <w:rPr>
          <w:rFonts w:hint="default" w:ascii="Arial" w:hAnsi="Times New Roman" w:eastAsia="宋体" w:cs="Arial"/>
          <w:color w:val="auto"/>
          <w:sz w:val="26"/>
          <w:highlight w:val="none"/>
          <w:lang w:val="en-US" w:eastAsia="zh-CN"/>
        </w:rPr>
        <w:t>1</w:t>
      </w:r>
      <w:r>
        <w:rPr>
          <w:rFonts w:hint="eastAsia" w:ascii="Arial" w:hAnsi="Times New Roman" w:eastAsia="宋体" w:cs="Arial"/>
          <w:color w:val="auto"/>
          <w:sz w:val="26"/>
          <w:highlight w:val="none"/>
          <w:lang w:val="en-US" w:eastAsia="zh-CN"/>
        </w:rPr>
        <w:t>）</w:t>
      </w:r>
      <w:r>
        <w:rPr>
          <w:rFonts w:hint="eastAsia" w:ascii="Arial" w:cs="Arial"/>
          <w:color w:val="auto"/>
          <w:sz w:val="26"/>
          <w:highlight w:val="none"/>
          <w:lang w:val="en-US" w:eastAsia="zh-CN"/>
        </w:rPr>
        <w:t>海螺沟水库工程</w:t>
      </w:r>
      <w:r>
        <w:rPr>
          <w:rFonts w:hint="eastAsia" w:ascii="Arial" w:hAnsi="Arial" w:cs="Arial"/>
          <w:color w:val="auto"/>
          <w:kern w:val="0"/>
          <w:sz w:val="26"/>
          <w:szCs w:val="26"/>
          <w:highlight w:val="none"/>
          <w:lang w:val="en-US" w:eastAsia="zh-CN"/>
        </w:rPr>
        <w:t>坝址</w:t>
      </w:r>
      <w:r>
        <w:rPr>
          <w:rFonts w:hint="eastAsia" w:ascii="Arial" w:hAnsi="Arial" w:eastAsia="宋体" w:cs="Arial"/>
          <w:color w:val="auto"/>
          <w:kern w:val="0"/>
          <w:sz w:val="26"/>
          <w:szCs w:val="26"/>
          <w:highlight w:val="none"/>
          <w:lang w:val="en-US" w:eastAsia="zh-CN"/>
        </w:rPr>
        <w:t>位于</w:t>
      </w:r>
      <w:r>
        <w:rPr>
          <w:rFonts w:hint="eastAsia" w:ascii="Arial" w:hAnsi="Arial" w:cs="Arial"/>
          <w:color w:val="auto"/>
          <w:kern w:val="0"/>
          <w:sz w:val="26"/>
          <w:szCs w:val="26"/>
          <w:highlight w:val="none"/>
          <w:lang w:val="en-US" w:eastAsia="zh-CN"/>
        </w:rPr>
        <w:t>丰都县双龙镇田家山村境内</w:t>
      </w:r>
      <w:r>
        <w:rPr>
          <w:rFonts w:hint="eastAsia" w:ascii="Arial" w:hAnsi="Arial" w:eastAsia="宋体" w:cs="Arial"/>
          <w:color w:val="auto"/>
          <w:kern w:val="0"/>
          <w:sz w:val="26"/>
          <w:szCs w:val="26"/>
          <w:highlight w:val="none"/>
          <w:lang w:val="en-US" w:eastAsia="zh-CN"/>
        </w:rPr>
        <w:t>渠溪河左岸一级支流双龙河</w:t>
      </w:r>
      <w:r>
        <w:rPr>
          <w:rFonts w:hint="eastAsia" w:ascii="Arial" w:hAnsi="Arial" w:cs="Arial"/>
          <w:color w:val="auto"/>
          <w:kern w:val="0"/>
          <w:sz w:val="26"/>
          <w:szCs w:val="26"/>
          <w:highlight w:val="none"/>
          <w:lang w:val="en-US" w:eastAsia="zh-CN"/>
        </w:rPr>
        <w:t>右岸一级支流高洞桥河左岸一级</w:t>
      </w:r>
      <w:r>
        <w:rPr>
          <w:rFonts w:hint="eastAsia" w:ascii="Arial" w:hAnsi="Arial" w:eastAsia="宋体" w:cs="Arial"/>
          <w:color w:val="auto"/>
          <w:kern w:val="0"/>
          <w:sz w:val="26"/>
          <w:szCs w:val="26"/>
          <w:highlight w:val="none"/>
          <w:lang w:val="en-US" w:eastAsia="zh-CN"/>
        </w:rPr>
        <w:t>支流海螺沟上，</w:t>
      </w:r>
      <w:r>
        <w:rPr>
          <w:rFonts w:hint="eastAsia" w:ascii="Arial" w:hAnsi="Arial" w:cs="Arial"/>
          <w:color w:val="auto"/>
          <w:kern w:val="0"/>
          <w:sz w:val="26"/>
          <w:szCs w:val="26"/>
          <w:highlight w:val="none"/>
          <w:lang w:val="en-US" w:eastAsia="zh-CN"/>
        </w:rPr>
        <w:t>坝址及库区范围不涉及自然保护区、风景名胜区、森林公园、饮用水水源保护区、生态保护红线、湿地公园、水产种质资源保护区等特殊生态敏感区。</w:t>
      </w:r>
    </w:p>
    <w:p w14:paraId="50211872">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eastAsia" w:ascii="Arial" w:cs="Arial"/>
          <w:color w:val="auto"/>
          <w:sz w:val="26"/>
          <w:highlight w:val="none"/>
          <w:lang w:val="en-US" w:eastAsia="zh-CN"/>
        </w:rPr>
      </w:pPr>
      <w:r>
        <w:rPr>
          <w:rFonts w:hint="eastAsia" w:ascii="Arial" w:cs="Arial"/>
          <w:color w:val="auto"/>
          <w:sz w:val="26"/>
          <w:highlight w:val="none"/>
          <w:lang w:val="en-US" w:eastAsia="zh-CN"/>
        </w:rPr>
        <w:t>（2）本项目建设中，将对水库周边及输送管线沿线的外环境产生一定影响，通过合理施工组织、加强施工管理、采取防尘降噪等措施后，将减缓不利影响；工程建成后，坝址下游将形成减水河段，同时本项目作为供水水源为受水区供水后，退水将排入海螺沟、高洞桥河、双龙河下游河段，造成评价河段内供水与排水相互影响、相互制约等情况，本项目拟采取分层取水、下泄生态流量、建立水资源调动机制等措施，减缓其对水环境造成的不利影响。</w:t>
      </w:r>
    </w:p>
    <w:p w14:paraId="76D33825">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default" w:ascii="Arial" w:cs="Arial"/>
          <w:color w:val="auto"/>
          <w:sz w:val="26"/>
          <w:highlight w:val="none"/>
          <w:lang w:val="en-US" w:eastAsia="zh-CN"/>
        </w:rPr>
      </w:pPr>
      <w:r>
        <w:rPr>
          <w:rFonts w:hint="eastAsia" w:ascii="Arial" w:cs="Arial"/>
          <w:color w:val="auto"/>
          <w:sz w:val="26"/>
          <w:highlight w:val="none"/>
          <w:lang w:val="en-US" w:eastAsia="zh-CN"/>
        </w:rPr>
        <w:t>（3）项目蓄水后将形成较大的库区范围，容易造成富营养化。因此库区、集雨范围的污染清理、控制、削减将是本工程的主要任务之一，为此将进行库岸清理、划分水源保护区等工作，实现库区水质保护和改善。</w:t>
      </w:r>
    </w:p>
    <w:p w14:paraId="04340500">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eastAsia" w:ascii="Arial" w:hAnsi="Arial" w:cs="Arial"/>
          <w:color w:val="auto"/>
          <w:kern w:val="0"/>
          <w:sz w:val="26"/>
          <w:szCs w:val="26"/>
          <w:highlight w:val="none"/>
          <w:lang w:val="en-US" w:eastAsia="zh-CN"/>
        </w:rPr>
      </w:pPr>
      <w:r>
        <w:rPr>
          <w:rFonts w:hint="eastAsia" w:ascii="Arial" w:cs="Arial"/>
          <w:color w:val="auto"/>
          <w:sz w:val="26"/>
          <w:highlight w:val="none"/>
          <w:lang w:val="en-US" w:eastAsia="zh-CN"/>
        </w:rPr>
        <w:t>（4）根据叠图分析，本项目永久占用范围内涉及基本农田、公益林地，建设单位已于2023年12月13日取得了</w:t>
      </w:r>
      <w:r>
        <w:rPr>
          <w:rFonts w:hint="default" w:ascii="Arial" w:hAnsi="Arial" w:cs="Arial"/>
          <w:color w:val="auto"/>
          <w:sz w:val="26"/>
          <w:highlight w:val="none"/>
          <w:lang w:val="en-US" w:eastAsia="zh-CN"/>
        </w:rPr>
        <w:t>重庆市林业局以</w:t>
      </w:r>
      <w:r>
        <w:rPr>
          <w:rFonts w:hint="eastAsia" w:ascii="Arial" w:hAnsi="Arial" w:cs="Arial"/>
          <w:color w:val="auto"/>
          <w:sz w:val="26"/>
          <w:highlight w:val="none"/>
          <w:lang w:val="en-US" w:eastAsia="zh-CN"/>
        </w:rPr>
        <w:t>“</w:t>
      </w:r>
      <w:r>
        <w:rPr>
          <w:rFonts w:hint="default" w:ascii="Arial" w:hAnsi="Arial" w:cs="Arial"/>
          <w:color w:val="auto"/>
          <w:sz w:val="26"/>
          <w:highlight w:val="none"/>
          <w:lang w:val="en-US" w:eastAsia="zh-CN"/>
        </w:rPr>
        <w:t>渝林许可地</w:t>
      </w:r>
      <w:r>
        <w:rPr>
          <w:rFonts w:hint="default" w:ascii="Arial" w:hAnsi="Arial" w:eastAsia="宋体" w:cs="Arial"/>
          <w:color w:val="auto"/>
          <w:sz w:val="26"/>
          <w:highlight w:val="none"/>
          <w:lang w:val="en-US" w:eastAsia="zh-CN"/>
        </w:rPr>
        <w:t>〔2023〕689号</w:t>
      </w:r>
      <w:r>
        <w:rPr>
          <w:rFonts w:hint="eastAsia" w:ascii="Arial" w:hAnsi="Arial" w:eastAsia="宋体" w:cs="Arial"/>
          <w:color w:val="auto"/>
          <w:sz w:val="26"/>
          <w:highlight w:val="none"/>
          <w:lang w:val="en-US" w:eastAsia="zh-CN"/>
        </w:rPr>
        <w:t>”</w:t>
      </w:r>
      <w:r>
        <w:rPr>
          <w:rFonts w:hint="default" w:ascii="Arial" w:hAnsi="Arial" w:eastAsia="宋体" w:cs="Arial"/>
          <w:color w:val="auto"/>
          <w:sz w:val="26"/>
          <w:highlight w:val="none"/>
          <w:lang w:val="en-US" w:eastAsia="zh-CN"/>
        </w:rPr>
        <w:t>下发的</w:t>
      </w:r>
      <w:r>
        <w:rPr>
          <w:rFonts w:hint="default" w:ascii="Arial" w:hAnsi="Arial" w:cs="Arial"/>
          <w:color w:val="auto"/>
          <w:sz w:val="26"/>
          <w:highlight w:val="none"/>
          <w:lang w:val="en-US" w:eastAsia="zh-CN"/>
        </w:rPr>
        <w:t>使用林地审核同意书</w:t>
      </w:r>
      <w:r>
        <w:rPr>
          <w:rFonts w:hint="eastAsia" w:ascii="Arial" w:hAnsi="Arial" w:cs="Arial"/>
          <w:color w:val="auto"/>
          <w:sz w:val="26"/>
          <w:highlight w:val="none"/>
          <w:lang w:val="en-US" w:eastAsia="zh-CN"/>
        </w:rPr>
        <w:t>，后续将按规定办理林木采伐许可证。临时占用范围内涉及</w:t>
      </w:r>
      <w:r>
        <w:rPr>
          <w:rFonts w:hint="eastAsia" w:ascii="Arial" w:cs="Arial"/>
          <w:color w:val="auto"/>
          <w:sz w:val="26"/>
          <w:highlight w:val="none"/>
          <w:lang w:val="en-US" w:eastAsia="zh-CN"/>
        </w:rPr>
        <w:t>基本农田、公益林地，</w:t>
      </w:r>
      <w:r>
        <w:rPr>
          <w:rFonts w:hint="eastAsia" w:ascii="Arial" w:hAnsi="Arial" w:cs="Arial"/>
          <w:color w:val="auto"/>
          <w:kern w:val="0"/>
          <w:sz w:val="26"/>
          <w:szCs w:val="26"/>
          <w:highlight w:val="none"/>
          <w:lang w:val="en-US" w:eastAsia="zh-CN"/>
        </w:rPr>
        <w:t>建设单位已于2024年4月1日取得了重庆市林业局以“渝林许可地临</w:t>
      </w:r>
      <w:r>
        <w:rPr>
          <w:rFonts w:hint="eastAsia" w:ascii="Arial" w:hAnsi="Arial" w:eastAsia="宋体" w:cs="Arial"/>
          <w:color w:val="auto"/>
          <w:kern w:val="0"/>
          <w:sz w:val="26"/>
          <w:szCs w:val="26"/>
          <w:highlight w:val="none"/>
          <w:lang w:val="en-US" w:eastAsia="zh-CN"/>
        </w:rPr>
        <w:t>〔202</w:t>
      </w:r>
      <w:r>
        <w:rPr>
          <w:rFonts w:hint="eastAsia" w:ascii="Arial" w:hAnsi="Arial" w:cs="Arial"/>
          <w:color w:val="auto"/>
          <w:kern w:val="0"/>
          <w:sz w:val="26"/>
          <w:szCs w:val="26"/>
          <w:highlight w:val="none"/>
          <w:lang w:val="en-US" w:eastAsia="zh-CN"/>
        </w:rPr>
        <w:t>4</w:t>
      </w:r>
      <w:r>
        <w:rPr>
          <w:rFonts w:hint="eastAsia" w:ascii="Arial" w:hAnsi="Arial" w:eastAsia="宋体" w:cs="Arial"/>
          <w:color w:val="auto"/>
          <w:kern w:val="0"/>
          <w:sz w:val="26"/>
          <w:szCs w:val="26"/>
          <w:highlight w:val="none"/>
          <w:lang w:val="en-US" w:eastAsia="zh-CN"/>
        </w:rPr>
        <w:t>〕</w:t>
      </w:r>
      <w:r>
        <w:rPr>
          <w:rFonts w:hint="eastAsia" w:ascii="Arial" w:hAnsi="Arial" w:cs="Arial"/>
          <w:color w:val="auto"/>
          <w:kern w:val="0"/>
          <w:sz w:val="26"/>
          <w:szCs w:val="26"/>
          <w:highlight w:val="none"/>
          <w:lang w:val="en-US" w:eastAsia="zh-CN"/>
        </w:rPr>
        <w:t>036</w:t>
      </w:r>
      <w:r>
        <w:rPr>
          <w:rFonts w:hint="eastAsia" w:ascii="Arial" w:hAnsi="Arial" w:eastAsia="宋体" w:cs="Arial"/>
          <w:color w:val="auto"/>
          <w:kern w:val="0"/>
          <w:sz w:val="26"/>
          <w:szCs w:val="26"/>
          <w:highlight w:val="none"/>
          <w:lang w:val="en-US" w:eastAsia="zh-CN"/>
        </w:rPr>
        <w:t>号”下发的使用林地审核同意书</w:t>
      </w:r>
      <w:r>
        <w:rPr>
          <w:rFonts w:hint="eastAsia" w:ascii="Arial" w:hAnsi="Arial" w:cs="Arial"/>
          <w:color w:val="auto"/>
          <w:kern w:val="0"/>
          <w:sz w:val="26"/>
          <w:szCs w:val="26"/>
          <w:highlight w:val="none"/>
          <w:lang w:val="en-US" w:eastAsia="zh-CN"/>
        </w:rPr>
        <w:t>，于2024年5月13日取得了丰都县林业局以“丰都林发</w:t>
      </w:r>
      <w:r>
        <w:rPr>
          <w:rFonts w:hint="eastAsia" w:ascii="Arial" w:hAnsi="Arial" w:eastAsia="宋体" w:cs="Arial"/>
          <w:color w:val="auto"/>
          <w:kern w:val="0"/>
          <w:sz w:val="26"/>
          <w:szCs w:val="26"/>
          <w:highlight w:val="none"/>
          <w:lang w:val="en-US" w:eastAsia="zh-CN"/>
        </w:rPr>
        <w:t>〔2024〕</w:t>
      </w:r>
      <w:r>
        <w:rPr>
          <w:rFonts w:hint="eastAsia" w:ascii="Arial" w:hAnsi="Arial" w:cs="Arial"/>
          <w:color w:val="auto"/>
          <w:kern w:val="0"/>
          <w:sz w:val="26"/>
          <w:szCs w:val="26"/>
          <w:highlight w:val="none"/>
          <w:lang w:val="en-US" w:eastAsia="zh-CN"/>
        </w:rPr>
        <w:t>48</w:t>
      </w:r>
      <w:r>
        <w:rPr>
          <w:rFonts w:hint="eastAsia" w:ascii="Arial" w:hAnsi="Arial" w:eastAsia="宋体" w:cs="Arial"/>
          <w:color w:val="auto"/>
          <w:kern w:val="0"/>
          <w:sz w:val="26"/>
          <w:szCs w:val="26"/>
          <w:highlight w:val="none"/>
          <w:lang w:val="en-US" w:eastAsia="zh-CN"/>
        </w:rPr>
        <w:t>号”</w:t>
      </w:r>
      <w:r>
        <w:rPr>
          <w:rFonts w:hint="eastAsia" w:ascii="Arial" w:hAnsi="Arial" w:cs="Arial"/>
          <w:color w:val="auto"/>
          <w:kern w:val="0"/>
          <w:sz w:val="26"/>
          <w:szCs w:val="26"/>
          <w:highlight w:val="none"/>
          <w:lang w:val="en-US" w:eastAsia="zh-CN"/>
        </w:rPr>
        <w:t>下发的《关于丰都县海螺沟水库辅助施工设施项目拟使用林地涉及林木采伐手续办理的批复》，于2024年5月14日取得了丰都县林业局下发的林木采伐许可证；于2024年5月8日取得了丰都县规划和自然资源局以“丰规资临〔2024〕字第7号”下发了《关于丰都县海螺沟水库工程项目临时用地的批复》。</w:t>
      </w:r>
    </w:p>
    <w:p w14:paraId="43B63CA3">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default" w:ascii="Arial" w:hAnsi="Times New Roman" w:eastAsia="宋体" w:cs="Arial"/>
          <w:color w:val="auto"/>
          <w:sz w:val="26"/>
          <w:highlight w:val="none"/>
          <w:lang w:val="en-US" w:eastAsia="zh-CN"/>
        </w:rPr>
      </w:pPr>
      <w:r>
        <w:rPr>
          <w:rFonts w:hint="eastAsia" w:ascii="Arial" w:cs="Arial"/>
          <w:color w:val="auto"/>
          <w:sz w:val="26"/>
          <w:highlight w:val="none"/>
          <w:lang w:val="en-US" w:eastAsia="zh-CN"/>
        </w:rPr>
        <w:t>（5）根据《丰都县海螺沟水库工程建设征地移民安置规划报告》，本项目淹没区不涉及房屋人口搬迁，占用土地采取货币补偿形式解决；不涉及道路、桥梁、输电线路等专项设施的占用。</w:t>
      </w:r>
    </w:p>
    <w:p w14:paraId="426BD8FD">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宋体" w:hAnsi="Times New Roman" w:eastAsia="宋体" w:cs="Times New Roman"/>
          <w:b/>
          <w:color w:val="auto"/>
          <w:kern w:val="0"/>
          <w:sz w:val="26"/>
          <w:szCs w:val="26"/>
          <w:highlight w:val="none"/>
          <w:lang w:eastAsia="zh-CN"/>
        </w:rPr>
      </w:pPr>
      <w:r>
        <w:rPr>
          <w:rFonts w:hint="eastAsia" w:ascii="宋体" w:hAnsi="Times New Roman" w:eastAsia="宋体" w:cs="Times New Roman"/>
          <w:b/>
          <w:color w:val="auto"/>
          <w:kern w:val="0"/>
          <w:sz w:val="26"/>
          <w:szCs w:val="26"/>
          <w:highlight w:val="none"/>
          <w:lang w:eastAsia="zh-CN"/>
        </w:rPr>
        <w:t>七、环境影响评价结论</w:t>
      </w:r>
    </w:p>
    <w:p w14:paraId="6338311B">
      <w:pPr>
        <w:keepNext w:val="0"/>
        <w:keepLines w:val="0"/>
        <w:pageBreakBefore w:val="0"/>
        <w:kinsoku/>
        <w:wordWrap/>
        <w:overflowPunct/>
        <w:topLinePunct w:val="0"/>
        <w:bidi w:val="0"/>
        <w:spacing w:line="480" w:lineRule="exact"/>
        <w:ind w:firstLine="520" w:firstLineChars="200"/>
        <w:textAlignment w:val="auto"/>
        <w:rPr>
          <w:rFonts w:hint="eastAsia" w:ascii="Arial" w:hAnsi="Arial" w:cs="Arial"/>
          <w:color w:val="auto"/>
          <w:kern w:val="0"/>
          <w:sz w:val="26"/>
          <w:szCs w:val="26"/>
          <w:highlight w:val="none"/>
          <w:lang w:val="en-US" w:eastAsia="zh-CN"/>
        </w:rPr>
      </w:pPr>
      <w:r>
        <w:rPr>
          <w:rFonts w:hint="eastAsia" w:ascii="Arial" w:hAnsi="Arial" w:cs="Arial"/>
          <w:b w:val="0"/>
          <w:color w:val="auto"/>
          <w:kern w:val="2"/>
          <w:sz w:val="26"/>
          <w:szCs w:val="26"/>
          <w:lang w:val="en-US" w:eastAsia="zh-CN" w:bidi="ar-SA"/>
        </w:rPr>
        <w:t>丰都县海螺沟水库</w:t>
      </w:r>
      <w:r>
        <w:rPr>
          <w:rFonts w:hint="eastAsia" w:ascii="Arial" w:hAnsi="Arial" w:eastAsia="宋体" w:cs="Arial"/>
          <w:b w:val="0"/>
          <w:color w:val="auto"/>
          <w:kern w:val="2"/>
          <w:sz w:val="26"/>
          <w:szCs w:val="26"/>
          <w:lang w:val="en-US" w:eastAsia="zh-CN" w:bidi="ar-SA"/>
        </w:rPr>
        <w:t>工程符合国家</w:t>
      </w:r>
      <w:r>
        <w:rPr>
          <w:rFonts w:hint="eastAsia" w:ascii="Arial" w:hAnsi="Arial" w:cs="Arial"/>
          <w:b w:val="0"/>
          <w:color w:val="auto"/>
          <w:kern w:val="2"/>
          <w:sz w:val="26"/>
          <w:szCs w:val="26"/>
          <w:lang w:val="en-US" w:eastAsia="zh-CN" w:bidi="ar-SA"/>
        </w:rPr>
        <w:t>相关法律法规、产业政策及规划要求，符合</w:t>
      </w:r>
      <w:r>
        <w:rPr>
          <w:rFonts w:hint="eastAsia" w:ascii="Arial" w:hAnsi="Arial" w:cs="Arial"/>
          <w:color w:val="auto"/>
          <w:kern w:val="0"/>
          <w:sz w:val="26"/>
          <w:szCs w:val="26"/>
          <w:highlight w:val="none"/>
          <w:lang w:val="en-US" w:eastAsia="zh-CN"/>
        </w:rPr>
        <w:t>《重庆市渠溪河流域综合规划环境影响报告书》及其审查意见“</w:t>
      </w:r>
      <w:r>
        <w:rPr>
          <w:rFonts w:hint="default" w:ascii="Arial" w:hAnsi="Arial" w:cs="Arial"/>
          <w:color w:val="auto"/>
          <w:kern w:val="0"/>
          <w:sz w:val="26"/>
          <w:szCs w:val="26"/>
          <w:highlight w:val="none"/>
          <w:lang w:val="en-US" w:eastAsia="zh-CN"/>
        </w:rPr>
        <w:t>丰环函</w:t>
      </w:r>
      <w:r>
        <w:rPr>
          <w:rFonts w:hint="default" w:ascii="Arial" w:hAnsi="Arial" w:eastAsia="宋体" w:cs="Arial"/>
          <w:color w:val="auto"/>
          <w:kern w:val="0"/>
          <w:sz w:val="26"/>
          <w:szCs w:val="26"/>
          <w:highlight w:val="none"/>
          <w:lang w:val="en-US" w:eastAsia="zh-CN"/>
        </w:rPr>
        <w:t>〔2025〕2</w:t>
      </w:r>
      <w:r>
        <w:rPr>
          <w:rFonts w:hint="eastAsia" w:ascii="Arial" w:hAnsi="Arial" w:eastAsia="宋体" w:cs="Arial"/>
          <w:color w:val="auto"/>
          <w:kern w:val="0"/>
          <w:sz w:val="26"/>
          <w:szCs w:val="26"/>
          <w:highlight w:val="none"/>
          <w:lang w:val="en-US" w:eastAsia="zh-CN"/>
        </w:rPr>
        <w:t>号</w:t>
      </w:r>
      <w:r>
        <w:rPr>
          <w:rFonts w:hint="eastAsia" w:ascii="Arial" w:hAnsi="Arial" w:cs="Arial"/>
          <w:color w:val="auto"/>
          <w:kern w:val="0"/>
          <w:sz w:val="26"/>
          <w:szCs w:val="26"/>
          <w:highlight w:val="none"/>
          <w:lang w:val="en-US" w:eastAsia="zh-CN"/>
        </w:rPr>
        <w:t>”，工程实施后可解决供区缺水问题，有利于保障区域发展所需的水资源，也可提高灌溉保证率。因此，海螺沟水库的建设具有显著的经济效益、社会效益和生态效益。</w:t>
      </w:r>
    </w:p>
    <w:p w14:paraId="75DF96A0">
      <w:pPr>
        <w:keepNext w:val="0"/>
        <w:keepLines w:val="0"/>
        <w:pageBreakBefore w:val="0"/>
        <w:kinsoku/>
        <w:wordWrap/>
        <w:overflowPunct/>
        <w:topLinePunct w:val="0"/>
        <w:bidi w:val="0"/>
        <w:spacing w:line="480" w:lineRule="exact"/>
        <w:ind w:firstLine="520" w:firstLineChars="200"/>
        <w:textAlignment w:val="auto"/>
        <w:rPr>
          <w:rFonts w:hint="eastAsia" w:ascii="Arial" w:hAnsi="Arial" w:eastAsia="宋体" w:cs="Arial"/>
          <w:b w:val="0"/>
          <w:color w:val="auto"/>
          <w:kern w:val="2"/>
          <w:sz w:val="26"/>
          <w:szCs w:val="26"/>
          <w:highlight w:val="none"/>
          <w:lang w:val="en-US" w:eastAsia="zh-CN" w:bidi="ar-SA"/>
        </w:rPr>
      </w:pPr>
      <w:r>
        <w:rPr>
          <w:rFonts w:hint="eastAsia" w:ascii="Arial" w:hAnsi="Arial" w:cs="Arial"/>
          <w:color w:val="auto"/>
          <w:kern w:val="0"/>
          <w:sz w:val="26"/>
          <w:szCs w:val="26"/>
          <w:highlight w:val="none"/>
          <w:lang w:val="en-US" w:eastAsia="zh-CN"/>
        </w:rPr>
        <w:t>工程建设和运行过程中会对所在流域水文情势、水环境、水生生态、陆生生态等带来一定的不利影响，排放的污染物也会对区域环境质量带来不利影响。但在采取本报告书中所提生态补偿与修复、污染防治等相关措施后，可有效减缓工程建设对外环境的不利影响。因此，从环境保护的角度分析，本项目建设是可行的。</w:t>
      </w:r>
    </w:p>
    <w:p w14:paraId="24BE83A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Times New Roman" w:eastAsia="宋体" w:cs="Arial"/>
          <w:color w:val="auto"/>
          <w:sz w:val="26"/>
          <w:highlight w:val="none"/>
          <w:lang w:val="en-US" w:eastAsia="zh-CN"/>
        </w:rPr>
      </w:pPr>
      <w:r>
        <w:rPr>
          <w:rFonts w:hint="eastAsia" w:ascii="Arial" w:hAnsi="Times New Roman" w:eastAsia="宋体" w:cs="Arial"/>
          <w:color w:val="auto"/>
          <w:sz w:val="26"/>
          <w:highlight w:val="none"/>
          <w:lang w:val="en-US" w:eastAsia="zh-CN"/>
        </w:rPr>
        <w:t>本报告书在编制过程中，评价工作得到了重庆</w:t>
      </w:r>
      <w:r>
        <w:rPr>
          <w:rFonts w:hint="eastAsia" w:ascii="Arial" w:cs="Arial"/>
          <w:color w:val="auto"/>
          <w:sz w:val="26"/>
          <w:highlight w:val="none"/>
          <w:lang w:val="en-US" w:eastAsia="zh-CN"/>
        </w:rPr>
        <w:t>丰都县</w:t>
      </w:r>
      <w:r>
        <w:rPr>
          <w:rFonts w:hint="eastAsia" w:ascii="Arial" w:hAnsi="Times New Roman" w:eastAsia="宋体" w:cs="Arial"/>
          <w:color w:val="auto"/>
          <w:sz w:val="26"/>
          <w:highlight w:val="none"/>
          <w:lang w:val="en-US" w:eastAsia="zh-CN"/>
        </w:rPr>
        <w:t>生态环境局、</w:t>
      </w:r>
      <w:r>
        <w:rPr>
          <w:rFonts w:hint="eastAsia" w:ascii="Arial" w:cs="Arial"/>
          <w:color w:val="auto"/>
          <w:sz w:val="26"/>
          <w:highlight w:val="none"/>
          <w:lang w:val="en-US" w:eastAsia="zh-CN"/>
        </w:rPr>
        <w:t>水利局</w:t>
      </w:r>
      <w:r>
        <w:rPr>
          <w:rFonts w:hint="eastAsia" w:ascii="Arial" w:hAnsi="Times New Roman" w:eastAsia="宋体" w:cs="Arial"/>
          <w:color w:val="auto"/>
          <w:sz w:val="26"/>
          <w:highlight w:val="none"/>
          <w:lang w:val="en-US" w:eastAsia="zh-CN"/>
        </w:rPr>
        <w:t>、规划和自然资源局、林业局及丰都县水利工程服务中心等单位和个人的大力支持和帮助，在此一并表示诚挚的谢意。</w:t>
      </w:r>
    </w:p>
    <w:p w14:paraId="11E4310C">
      <w:pPr>
        <w:adjustRightInd w:val="0"/>
        <w:snapToGrid w:val="0"/>
        <w:spacing w:line="348" w:lineRule="auto"/>
        <w:ind w:firstLine="562" w:firstLineChars="200"/>
        <w:rPr>
          <w:b/>
          <w:sz w:val="28"/>
          <w:szCs w:val="28"/>
        </w:rPr>
      </w:pPr>
      <w:r>
        <w:rPr>
          <w:b/>
          <w:sz w:val="28"/>
          <w:szCs w:val="28"/>
        </w:rPr>
        <w:br w:type="page"/>
      </w:r>
    </w:p>
    <w:p w14:paraId="07442D7E">
      <w:pPr>
        <w:pStyle w:val="3"/>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ascii="Arial" w:hAnsi="Arial" w:eastAsia="宋体" w:cs="Arial"/>
          <w:b/>
          <w:color w:val="auto"/>
          <w:kern w:val="0"/>
          <w:sz w:val="32"/>
          <w:szCs w:val="32"/>
          <w:highlight w:val="none"/>
          <w:lang w:val="en-US" w:eastAsia="zh-CN" w:bidi="ar-SA"/>
        </w:rPr>
      </w:pPr>
      <w:bookmarkStart w:id="5" w:name="_Toc16444"/>
      <w:r>
        <w:rPr>
          <w:rFonts w:ascii="Arial" w:hAnsi="Arial" w:eastAsia="宋体" w:cs="Arial"/>
          <w:b/>
          <w:color w:val="auto"/>
          <w:kern w:val="0"/>
          <w:sz w:val="32"/>
          <w:szCs w:val="32"/>
          <w:highlight w:val="none"/>
          <w:lang w:val="en-US" w:eastAsia="zh-CN" w:bidi="ar-SA"/>
        </w:rPr>
        <w:t xml:space="preserve">1 </w:t>
      </w:r>
      <w:r>
        <w:rPr>
          <w:rFonts w:hint="eastAsia" w:ascii="Arial" w:hAnsi="Arial" w:eastAsia="宋体" w:cs="Arial"/>
          <w:b/>
          <w:color w:val="auto"/>
          <w:kern w:val="0"/>
          <w:sz w:val="32"/>
          <w:szCs w:val="32"/>
          <w:highlight w:val="none"/>
          <w:lang w:val="en-US" w:eastAsia="zh-CN" w:bidi="ar-SA"/>
        </w:rPr>
        <w:t>总则</w:t>
      </w:r>
      <w:bookmarkEnd w:id="5"/>
    </w:p>
    <w:p w14:paraId="2FD32DBD">
      <w:pPr>
        <w:keepNext w:val="0"/>
        <w:keepLines w:val="0"/>
        <w:pageBreakBefore w:val="0"/>
        <w:widowControl w:val="0"/>
        <w:kinsoku/>
        <w:wordWrap/>
        <w:overflowPunct/>
        <w:topLinePunct w:val="0"/>
        <w:autoSpaceDE/>
        <w:autoSpaceDN/>
        <w:bidi w:val="0"/>
        <w:spacing w:line="480" w:lineRule="exact"/>
        <w:ind w:firstLine="522" w:firstLineChars="200"/>
        <w:textAlignment w:val="auto"/>
        <w:outlineLvl w:val="1"/>
        <w:rPr>
          <w:rFonts w:ascii="Arial" w:hAnsi="Arial" w:eastAsia="宋体" w:cs="Arial"/>
          <w:b/>
          <w:color w:val="auto"/>
          <w:kern w:val="0"/>
          <w:sz w:val="26"/>
          <w:szCs w:val="26"/>
          <w:highlight w:val="none"/>
          <w:lang w:val="en-US" w:eastAsia="zh-CN"/>
        </w:rPr>
      </w:pPr>
      <w:bookmarkStart w:id="6" w:name="_Toc5979"/>
      <w:bookmarkStart w:id="7" w:name="_Toc8435"/>
      <w:r>
        <w:rPr>
          <w:rFonts w:ascii="Arial" w:hAnsi="Arial" w:eastAsia="宋体" w:cs="Arial"/>
          <w:b/>
          <w:color w:val="auto"/>
          <w:kern w:val="0"/>
          <w:sz w:val="26"/>
          <w:szCs w:val="26"/>
          <w:highlight w:val="none"/>
          <w:lang w:val="en-US" w:eastAsia="zh-CN"/>
        </w:rPr>
        <w:t>1.</w:t>
      </w:r>
      <w:r>
        <w:rPr>
          <w:rFonts w:hint="eastAsia" w:ascii="Arial" w:hAnsi="Arial" w:cs="Arial"/>
          <w:b/>
          <w:color w:val="auto"/>
          <w:kern w:val="0"/>
          <w:sz w:val="26"/>
          <w:szCs w:val="26"/>
          <w:highlight w:val="none"/>
          <w:lang w:val="en-US" w:eastAsia="zh-CN"/>
        </w:rPr>
        <w:t>1</w:t>
      </w:r>
      <w:r>
        <w:rPr>
          <w:rFonts w:hint="eastAsia" w:ascii="Arial" w:hAnsi="Arial" w:eastAsia="宋体" w:cs="Arial"/>
          <w:b/>
          <w:color w:val="auto"/>
          <w:kern w:val="0"/>
          <w:sz w:val="26"/>
          <w:szCs w:val="26"/>
          <w:highlight w:val="none"/>
          <w:lang w:val="en-US" w:eastAsia="zh-CN"/>
        </w:rPr>
        <w:t>评价目的及原则</w:t>
      </w:r>
      <w:bookmarkEnd w:id="6"/>
    </w:p>
    <w:p w14:paraId="0EE6BD0E">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eastAsia" w:ascii="Arial" w:hAnsi="Arial" w:eastAsia="宋体" w:cs="Arial"/>
          <w:b/>
          <w:color w:val="auto"/>
          <w:kern w:val="0"/>
          <w:sz w:val="26"/>
          <w:szCs w:val="20"/>
          <w:highlight w:val="none"/>
          <w:lang w:val="en-US" w:eastAsia="zh-CN"/>
        </w:rPr>
      </w:pPr>
      <w:bookmarkStart w:id="8" w:name="_Toc228351824"/>
      <w:bookmarkStart w:id="9" w:name="_Toc228618302"/>
      <w:bookmarkStart w:id="10" w:name="_Toc228619129"/>
      <w:bookmarkStart w:id="11" w:name="_Toc228618792"/>
      <w:bookmarkStart w:id="12" w:name="_Toc36040982"/>
      <w:bookmarkStart w:id="13" w:name="_Toc34987783"/>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1</w:t>
      </w:r>
      <w:r>
        <w:rPr>
          <w:rFonts w:hint="eastAsia" w:ascii="Arial" w:hAnsi="Arial" w:eastAsia="宋体" w:cs="Arial"/>
          <w:b/>
          <w:color w:val="auto"/>
          <w:kern w:val="0"/>
          <w:sz w:val="26"/>
          <w:szCs w:val="20"/>
          <w:highlight w:val="none"/>
          <w:lang w:val="en-US" w:eastAsia="zh-CN"/>
        </w:rPr>
        <w:t>.1 评价</w:t>
      </w:r>
      <w:bookmarkEnd w:id="8"/>
      <w:bookmarkEnd w:id="9"/>
      <w:bookmarkEnd w:id="10"/>
      <w:bookmarkEnd w:id="11"/>
      <w:r>
        <w:rPr>
          <w:rFonts w:hint="eastAsia" w:ascii="Arial" w:hAnsi="Arial" w:eastAsia="宋体" w:cs="Arial"/>
          <w:b/>
          <w:color w:val="auto"/>
          <w:kern w:val="0"/>
          <w:sz w:val="26"/>
          <w:szCs w:val="20"/>
          <w:highlight w:val="none"/>
          <w:lang w:val="en-US" w:eastAsia="zh-CN"/>
        </w:rPr>
        <w:t>目的</w:t>
      </w:r>
      <w:bookmarkEnd w:id="12"/>
      <w:bookmarkEnd w:id="13"/>
    </w:p>
    <w:p w14:paraId="04D1059C">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eastAsia" w:ascii="宋体" w:hAnsi="宋体" w:eastAsia="宋体" w:cs="宋体"/>
          <w:color w:val="auto"/>
          <w:kern w:val="0"/>
          <w:sz w:val="26"/>
          <w:szCs w:val="26"/>
          <w:highlight w:val="none"/>
          <w:lang w:val="en-US" w:eastAsia="zh-CN"/>
        </w:rPr>
      </w:pPr>
      <w:r>
        <w:rPr>
          <w:rFonts w:hint="eastAsia" w:ascii="宋体" w:hAnsi="宋体" w:eastAsia="宋体" w:cs="宋体"/>
          <w:color w:val="auto"/>
          <w:kern w:val="0"/>
          <w:sz w:val="26"/>
          <w:szCs w:val="26"/>
          <w:highlight w:val="none"/>
          <w:lang w:val="en-US" w:eastAsia="zh-CN"/>
        </w:rPr>
        <w:t>编制本报告书的目的在于全面贯彻《中华人民共和国环境保护法》、《中华人民共和国环境影响评价法》等法律、法规。</w:t>
      </w:r>
      <w:r>
        <w:rPr>
          <w:rFonts w:hint="eastAsia" w:ascii="宋体" w:hAnsi="宋体" w:cs="宋体"/>
          <w:color w:val="auto"/>
          <w:kern w:val="0"/>
          <w:sz w:val="26"/>
          <w:szCs w:val="26"/>
          <w:highlight w:val="none"/>
          <w:lang w:val="en-US" w:eastAsia="zh-CN"/>
        </w:rPr>
        <w:t>根据工程涉及区域环境现状调查，明确工程评价区环境现状，分析预测发展趋势，并结合本项目的实际情况，提出存在的主要环境问题和环境保护目标。</w:t>
      </w:r>
      <w:r>
        <w:rPr>
          <w:rFonts w:hint="eastAsia" w:ascii="宋体" w:hAnsi="宋体" w:eastAsia="宋体" w:cs="宋体"/>
          <w:color w:val="auto"/>
          <w:kern w:val="0"/>
          <w:sz w:val="26"/>
          <w:szCs w:val="26"/>
          <w:highlight w:val="none"/>
          <w:lang w:val="en-US" w:eastAsia="zh-CN"/>
        </w:rPr>
        <w:t>论证工程建设方案与相关产业政策、规划及规划环评的符合性，结合敏感目标及影响分析，评价开发建设方案的环境合理性，从预防保护角度提出环境优化建议及限制条件。在全面掌握评价河道环境现状、规划发展和用水要求及共发展趋势的基础上，分析和确定生态流量及下泄方式。分析工程受退水区的水环境质量和容量影响，并提出保证措施。依据相关环境保护法律、法规和技术规范的要求，结合工程施工和运行情况，全面系统地开展工程施工、工程运行和建设征地移民安置对自然环境、生态环境等的影响评价。针对工程施工期、运行期给区域环境带来的不利影响，提出切实可行的预防或减轻不良环境影响的对策和措施，提出环境监测、施工期环境监理和环境管理规划，使工程建设尽量不降低所在地区及其周围区域的环境质量，充分发挥工程环境效益，促进工程所在区域生态环境的良性发展。从环境方面论证工程建设的可行性，为工程的方案论证、环境管理和项目决策提供科学的依据。</w:t>
      </w:r>
    </w:p>
    <w:p w14:paraId="7032A8DA">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1</w:t>
      </w:r>
      <w:r>
        <w:rPr>
          <w:rFonts w:hint="eastAsia" w:ascii="Arial" w:hAnsi="Arial" w:eastAsia="宋体" w:cs="Arial"/>
          <w:b/>
          <w:color w:val="auto"/>
          <w:kern w:val="0"/>
          <w:sz w:val="26"/>
          <w:szCs w:val="20"/>
          <w:highlight w:val="none"/>
          <w:lang w:val="en-US" w:eastAsia="zh-CN"/>
        </w:rPr>
        <w:t>.2 评价原则</w:t>
      </w:r>
    </w:p>
    <w:p w14:paraId="55D3F44A">
      <w:pPr>
        <w:pStyle w:val="19"/>
        <w:keepNext w:val="0"/>
        <w:keepLines w:val="0"/>
        <w:pageBreakBefore w:val="0"/>
        <w:widowControl w:val="0"/>
        <w:kinsoku/>
        <w:wordWrap/>
        <w:overflowPunct/>
        <w:topLinePunct w:val="0"/>
        <w:autoSpaceDE/>
        <w:autoSpaceDN/>
        <w:bidi w:val="0"/>
        <w:adjustRightInd w:val="0"/>
        <w:snapToGrid w:val="0"/>
        <w:spacing w:line="480" w:lineRule="exact"/>
        <w:ind w:firstLine="392" w:firstLineChars="150"/>
        <w:textAlignment w:val="auto"/>
        <w:rPr>
          <w:rFonts w:ascii="Arial" w:cs="Arial"/>
          <w:b/>
          <w:bCs/>
          <w:color w:val="auto"/>
          <w:sz w:val="26"/>
          <w:highlight w:val="none"/>
        </w:rPr>
      </w:pPr>
      <w:r>
        <w:rPr>
          <w:rFonts w:ascii="Arial" w:cs="Arial"/>
          <w:b/>
          <w:bCs/>
          <w:color w:val="auto"/>
          <w:sz w:val="26"/>
          <w:highlight w:val="none"/>
        </w:rPr>
        <w:t>（1）依法评价</w:t>
      </w:r>
    </w:p>
    <w:p w14:paraId="486FB8B9">
      <w:pPr>
        <w:pStyle w:val="19"/>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ascii="Arial" w:cs="Arial"/>
          <w:color w:val="auto"/>
          <w:sz w:val="26"/>
          <w:highlight w:val="none"/>
        </w:rPr>
      </w:pPr>
      <w:r>
        <w:rPr>
          <w:rFonts w:hint="eastAsia" w:ascii="Arial" w:cs="Arial"/>
          <w:color w:val="auto"/>
          <w:sz w:val="26"/>
          <w:highlight w:val="none"/>
          <w:lang w:val="en-US" w:eastAsia="zh-CN"/>
        </w:rPr>
        <w:t xml:space="preserve">贯彻执行环境保护相关法律法规、标准、政策和规划等，优化项目建设，服务环境管理。结合相关产业政策、环境政策，结合水利规划及区域发展规划、区域环境特征、采取的环保措施、改进措施以及环境影响预测与评价结果，分析论述拟建项目的环境可行性。 </w:t>
      </w:r>
    </w:p>
    <w:p w14:paraId="25F58B63">
      <w:pPr>
        <w:pStyle w:val="19"/>
        <w:keepNext w:val="0"/>
        <w:keepLines w:val="0"/>
        <w:pageBreakBefore w:val="0"/>
        <w:widowControl w:val="0"/>
        <w:kinsoku/>
        <w:wordWrap/>
        <w:overflowPunct/>
        <w:topLinePunct w:val="0"/>
        <w:autoSpaceDE/>
        <w:autoSpaceDN/>
        <w:bidi w:val="0"/>
        <w:adjustRightInd w:val="0"/>
        <w:snapToGrid w:val="0"/>
        <w:spacing w:line="480" w:lineRule="exact"/>
        <w:ind w:firstLine="392" w:firstLineChars="150"/>
        <w:textAlignment w:val="auto"/>
        <w:rPr>
          <w:rFonts w:ascii="Arial" w:cs="Arial"/>
          <w:b/>
          <w:bCs/>
          <w:color w:val="auto"/>
          <w:sz w:val="26"/>
          <w:highlight w:val="none"/>
        </w:rPr>
      </w:pPr>
      <w:r>
        <w:rPr>
          <w:rFonts w:ascii="Arial" w:cs="Arial"/>
          <w:b/>
          <w:bCs/>
          <w:color w:val="auto"/>
          <w:sz w:val="26"/>
          <w:highlight w:val="none"/>
        </w:rPr>
        <w:t>（2）科学评价</w:t>
      </w:r>
    </w:p>
    <w:p w14:paraId="04974E51">
      <w:pPr>
        <w:pStyle w:val="19"/>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ascii="Arial" w:cs="Arial"/>
          <w:color w:val="auto"/>
          <w:sz w:val="26"/>
          <w:highlight w:val="none"/>
        </w:rPr>
      </w:pPr>
      <w:r>
        <w:rPr>
          <w:rFonts w:hint="eastAsia" w:ascii="Arial" w:cs="Arial"/>
          <w:color w:val="auto"/>
          <w:sz w:val="26"/>
          <w:highlight w:val="none"/>
          <w:lang w:val="en-US" w:eastAsia="zh-CN"/>
        </w:rPr>
        <w:t>规范环境影响评价方法，科学分析项目建设对环境质量的影响。调查生态环境、地表水、地下水、土壤、大气、声环境质量现状，分析、预测本项目的环境影响。提出减缓不利影响的污染防治措施和生态保护与恢复补救措施。确保区域环境功能不改变，生态环境不受明显影响，将不利影响降至最低程度。</w:t>
      </w:r>
    </w:p>
    <w:p w14:paraId="4410B79D">
      <w:pPr>
        <w:pStyle w:val="19"/>
        <w:keepNext w:val="0"/>
        <w:keepLines w:val="0"/>
        <w:pageBreakBefore w:val="0"/>
        <w:widowControl w:val="0"/>
        <w:kinsoku/>
        <w:wordWrap/>
        <w:overflowPunct/>
        <w:topLinePunct w:val="0"/>
        <w:autoSpaceDE/>
        <w:autoSpaceDN/>
        <w:bidi w:val="0"/>
        <w:adjustRightInd w:val="0"/>
        <w:snapToGrid w:val="0"/>
        <w:spacing w:line="480" w:lineRule="exact"/>
        <w:ind w:firstLine="392" w:firstLineChars="150"/>
        <w:textAlignment w:val="auto"/>
        <w:rPr>
          <w:rFonts w:ascii="Arial" w:cs="Arial"/>
          <w:color w:val="auto"/>
          <w:sz w:val="26"/>
          <w:highlight w:val="none"/>
        </w:rPr>
      </w:pPr>
      <w:r>
        <w:rPr>
          <w:rFonts w:ascii="Arial" w:cs="Arial"/>
          <w:b/>
          <w:bCs/>
          <w:color w:val="auto"/>
          <w:sz w:val="26"/>
          <w:highlight w:val="none"/>
        </w:rPr>
        <w:t>（3）突出重点</w:t>
      </w:r>
    </w:p>
    <w:p w14:paraId="401AF242">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ascii="Arial" w:cs="Arial"/>
          <w:color w:val="auto"/>
          <w:sz w:val="26"/>
          <w:highlight w:val="none"/>
        </w:rPr>
      </w:pPr>
      <w:r>
        <w:rPr>
          <w:rFonts w:hint="eastAsia" w:ascii="Arial" w:cs="Arial"/>
          <w:color w:val="auto"/>
          <w:sz w:val="26"/>
          <w:highlight w:val="none"/>
          <w:lang w:val="en-US" w:eastAsia="zh-CN"/>
        </w:rPr>
        <w:t xml:space="preserve">根据建设项目的工程内容及其特点，明确与环境要素间的作用效应关系，充分利用符合时效的数据资料及成果，对建设项目主要环境影响予以重点分析和评价。将环境污染防治对策、生态保护措施反馈到工程建设和环境管理中，为工程实现优化设计、合理施工、落实环保措施提供科学依据。为环境管理部门实施监督管理提供依据，实现该工程与区域经济、社会和环境的协调发展。 </w:t>
      </w:r>
    </w:p>
    <w:p w14:paraId="37FD510E">
      <w:pPr>
        <w:keepNext w:val="0"/>
        <w:keepLines w:val="0"/>
        <w:pageBreakBefore w:val="0"/>
        <w:widowControl w:val="0"/>
        <w:kinsoku/>
        <w:wordWrap/>
        <w:overflowPunct/>
        <w:topLinePunct w:val="0"/>
        <w:autoSpaceDE/>
        <w:autoSpaceDN/>
        <w:bidi w:val="0"/>
        <w:spacing w:line="480" w:lineRule="exact"/>
        <w:ind w:firstLine="522" w:firstLineChars="200"/>
        <w:textAlignment w:val="auto"/>
        <w:outlineLvl w:val="1"/>
        <w:rPr>
          <w:rFonts w:ascii="Arial" w:hAnsi="Arial" w:eastAsia="宋体" w:cs="Arial"/>
          <w:b/>
          <w:color w:val="auto"/>
          <w:kern w:val="0"/>
          <w:sz w:val="26"/>
          <w:szCs w:val="26"/>
          <w:highlight w:val="none"/>
          <w:lang w:val="en-US" w:eastAsia="zh-CN"/>
        </w:rPr>
      </w:pPr>
      <w:bookmarkStart w:id="14" w:name="_Toc21544"/>
      <w:r>
        <w:rPr>
          <w:rFonts w:ascii="Arial" w:hAnsi="Arial" w:eastAsia="宋体" w:cs="Arial"/>
          <w:b/>
          <w:color w:val="auto"/>
          <w:kern w:val="0"/>
          <w:sz w:val="26"/>
          <w:szCs w:val="26"/>
          <w:highlight w:val="none"/>
          <w:lang w:val="en-US" w:eastAsia="zh-CN"/>
        </w:rPr>
        <w:t>1.</w:t>
      </w:r>
      <w:r>
        <w:rPr>
          <w:rFonts w:hint="eastAsia" w:ascii="Arial" w:hAnsi="Arial" w:cs="Arial"/>
          <w:b/>
          <w:color w:val="auto"/>
          <w:kern w:val="0"/>
          <w:sz w:val="26"/>
          <w:szCs w:val="26"/>
          <w:highlight w:val="none"/>
          <w:lang w:val="en-US" w:eastAsia="zh-CN"/>
        </w:rPr>
        <w:t>2</w:t>
      </w:r>
      <w:r>
        <w:rPr>
          <w:rFonts w:hint="eastAsia" w:ascii="Arial" w:hAnsi="Arial" w:eastAsia="宋体" w:cs="Arial"/>
          <w:b/>
          <w:color w:val="auto"/>
          <w:kern w:val="0"/>
          <w:sz w:val="26"/>
          <w:szCs w:val="26"/>
          <w:highlight w:val="none"/>
          <w:lang w:val="en-US" w:eastAsia="zh-CN"/>
        </w:rPr>
        <w:t>评价思路</w:t>
      </w:r>
      <w:bookmarkEnd w:id="14"/>
    </w:p>
    <w:p w14:paraId="788BCF6D">
      <w:pPr>
        <w:pStyle w:val="19"/>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sz w:val="26"/>
          <w:highlight w:val="none"/>
        </w:rPr>
      </w:pPr>
      <w:r>
        <w:rPr>
          <w:rFonts w:hint="eastAsia" w:ascii="Arial" w:cs="Arial"/>
          <w:color w:val="auto"/>
          <w:sz w:val="26"/>
          <w:highlight w:val="none"/>
          <w:lang w:eastAsia="zh-CN"/>
        </w:rPr>
        <w:t>（</w:t>
      </w:r>
      <w:r>
        <w:rPr>
          <w:rFonts w:hint="eastAsia" w:ascii="Arial" w:cs="Arial"/>
          <w:color w:val="auto"/>
          <w:sz w:val="26"/>
          <w:highlight w:val="none"/>
          <w:lang w:val="en-US" w:eastAsia="zh-CN"/>
        </w:rPr>
        <w:t>1）</w:t>
      </w:r>
      <w:r>
        <w:rPr>
          <w:rFonts w:hint="eastAsia" w:ascii="Arial" w:cs="Arial"/>
          <w:color w:val="auto"/>
          <w:sz w:val="26"/>
          <w:highlight w:val="none"/>
        </w:rPr>
        <w:t>本次评价将根据国家及地方现行的法律、法规、相关政策，结合国家和地方相关发展规划，通过资料收集和现场踏勘、环境监测，了解工程所在区域的环境现状，紧紧抓住水利工程以生态影响为主的环境影响特征，按照新建</w:t>
      </w:r>
      <w:r>
        <w:rPr>
          <w:rFonts w:hint="eastAsia" w:ascii="Arial" w:cs="Arial"/>
          <w:color w:val="auto"/>
          <w:sz w:val="26"/>
          <w:highlight w:val="none"/>
          <w:lang w:eastAsia="zh-CN"/>
        </w:rPr>
        <w:t>工程</w:t>
      </w:r>
      <w:r>
        <w:rPr>
          <w:rFonts w:hint="eastAsia" w:ascii="Arial" w:cs="Arial"/>
          <w:color w:val="auto"/>
          <w:sz w:val="26"/>
          <w:highlight w:val="none"/>
        </w:rPr>
        <w:t>环评报告的技术编制要求，认真分析拟建工程建设和运行可能对当地环境质量、生态环境的影响程度和范围</w:t>
      </w:r>
      <w:r>
        <w:rPr>
          <w:rFonts w:hint="eastAsia" w:ascii="Arial" w:cs="Arial"/>
          <w:color w:val="auto"/>
          <w:sz w:val="26"/>
          <w:highlight w:val="none"/>
          <w:lang w:eastAsia="zh-CN"/>
        </w:rPr>
        <w:t>，</w:t>
      </w:r>
      <w:r>
        <w:rPr>
          <w:rFonts w:hint="eastAsia" w:ascii="Arial" w:cs="Arial"/>
          <w:color w:val="auto"/>
          <w:sz w:val="26"/>
          <w:highlight w:val="none"/>
        </w:rPr>
        <w:t>拦河建坝将对河道造成阻隔效应，本评价将重点分析拦河蓄水对流域水文情势、水生生态的影响，以及水库工程可能存在的富营养化、低温水等影响。</w:t>
      </w:r>
    </w:p>
    <w:p w14:paraId="0BE343B4">
      <w:pPr>
        <w:pStyle w:val="19"/>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sz w:val="26"/>
          <w:highlight w:val="none"/>
        </w:rPr>
      </w:pPr>
      <w:r>
        <w:rPr>
          <w:rFonts w:hint="eastAsia" w:ascii="Arial" w:cs="Arial"/>
          <w:color w:val="auto"/>
          <w:sz w:val="26"/>
          <w:highlight w:val="none"/>
          <w:lang w:eastAsia="zh-CN"/>
        </w:rPr>
        <w:t>（</w:t>
      </w:r>
      <w:r>
        <w:rPr>
          <w:rFonts w:hint="eastAsia" w:ascii="Arial" w:cs="Arial"/>
          <w:color w:val="auto"/>
          <w:sz w:val="26"/>
          <w:highlight w:val="none"/>
          <w:lang w:val="en-US" w:eastAsia="zh-CN"/>
        </w:rPr>
        <w:t>2）</w:t>
      </w:r>
      <w:r>
        <w:rPr>
          <w:rFonts w:hint="eastAsia" w:ascii="Arial" w:cs="Arial"/>
          <w:color w:val="auto"/>
          <w:sz w:val="26"/>
          <w:highlight w:val="none"/>
        </w:rPr>
        <w:t>拟建项目施工期大量施工设备、运输车辆运行，本评价将着重分析施工噪声对坝枢和输水管道周边居民的影响程度和范围，及对区域野生动物的影响。</w:t>
      </w:r>
    </w:p>
    <w:p w14:paraId="520119A2">
      <w:pPr>
        <w:pStyle w:val="19"/>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sz w:val="26"/>
          <w:highlight w:val="none"/>
        </w:rPr>
      </w:pPr>
      <w:r>
        <w:rPr>
          <w:rFonts w:hint="eastAsia" w:ascii="Arial" w:cs="Arial"/>
          <w:color w:val="auto"/>
          <w:sz w:val="26"/>
          <w:highlight w:val="none"/>
          <w:lang w:eastAsia="zh-CN"/>
        </w:rPr>
        <w:t>（</w:t>
      </w:r>
      <w:r>
        <w:rPr>
          <w:rFonts w:hint="eastAsia" w:ascii="Arial" w:cs="Arial"/>
          <w:color w:val="auto"/>
          <w:sz w:val="26"/>
          <w:highlight w:val="none"/>
          <w:lang w:val="en-US" w:eastAsia="zh-CN"/>
        </w:rPr>
        <w:t>3）</w:t>
      </w:r>
      <w:r>
        <w:rPr>
          <w:rFonts w:hint="eastAsia" w:ascii="Arial" w:cs="Arial"/>
          <w:color w:val="auto"/>
          <w:sz w:val="26"/>
          <w:highlight w:val="none"/>
        </w:rPr>
        <w:t>成库后将划定饮用水源保护区，本评价将重点分析饮用水源保护区内污染源的控制措施。</w:t>
      </w:r>
    </w:p>
    <w:p w14:paraId="0E7A3662">
      <w:pPr>
        <w:pStyle w:val="19"/>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sz w:val="26"/>
          <w:highlight w:val="none"/>
        </w:rPr>
      </w:pPr>
      <w:r>
        <w:rPr>
          <w:rFonts w:hint="eastAsia" w:ascii="Arial" w:cs="Arial"/>
          <w:color w:val="auto"/>
          <w:sz w:val="26"/>
          <w:highlight w:val="none"/>
          <w:lang w:eastAsia="zh-CN"/>
        </w:rPr>
        <w:t>（</w:t>
      </w:r>
      <w:r>
        <w:rPr>
          <w:rFonts w:hint="eastAsia" w:ascii="Arial" w:cs="Arial"/>
          <w:color w:val="auto"/>
          <w:sz w:val="26"/>
          <w:highlight w:val="none"/>
          <w:lang w:val="en-US" w:eastAsia="zh-CN"/>
        </w:rPr>
        <w:t>4）</w:t>
      </w:r>
      <w:r>
        <w:rPr>
          <w:rFonts w:hint="eastAsia" w:ascii="Arial" w:cs="Arial"/>
          <w:color w:val="auto"/>
          <w:sz w:val="26"/>
          <w:highlight w:val="none"/>
        </w:rPr>
        <w:t>紧紧抓住生态类建设项目的特点，结合其他相似工程采取的合理、有效的环保措施，按照</w:t>
      </w:r>
      <w:r>
        <w:rPr>
          <w:rFonts w:hint="eastAsia" w:ascii="Arial" w:cs="Arial"/>
          <w:color w:val="auto"/>
          <w:sz w:val="26"/>
          <w:highlight w:val="none"/>
          <w:lang w:eastAsia="zh-CN"/>
        </w:rPr>
        <w:t>“</w:t>
      </w:r>
      <w:r>
        <w:rPr>
          <w:rFonts w:hint="eastAsia" w:ascii="Arial" w:cs="Arial"/>
          <w:color w:val="auto"/>
          <w:sz w:val="26"/>
          <w:highlight w:val="none"/>
        </w:rPr>
        <w:t>预防为主、防治结合、综合利用</w:t>
      </w:r>
      <w:r>
        <w:rPr>
          <w:rFonts w:hint="eastAsia" w:ascii="Arial" w:cs="Arial"/>
          <w:color w:val="auto"/>
          <w:sz w:val="26"/>
          <w:highlight w:val="none"/>
          <w:lang w:eastAsia="zh-CN"/>
        </w:rPr>
        <w:t>”</w:t>
      </w:r>
      <w:r>
        <w:rPr>
          <w:rFonts w:hint="eastAsia" w:ascii="Arial" w:cs="Arial"/>
          <w:color w:val="auto"/>
          <w:sz w:val="26"/>
          <w:highlight w:val="none"/>
        </w:rPr>
        <w:t>的环境保护和管理原则，并结合我国当前技术经济条件，提出技术可行、经济有效地避免或减轻环境污染和防止生态破坏的对策措施与建议，从污染治理下手，最大程度减小水利开发建设对周边环境带来的不利影响，</w:t>
      </w:r>
      <w:r>
        <w:rPr>
          <w:rFonts w:hint="eastAsia" w:ascii="Arial" w:cs="Arial"/>
          <w:color w:val="auto"/>
          <w:sz w:val="26"/>
          <w:highlight w:val="none"/>
          <w:lang w:eastAsia="zh-CN"/>
        </w:rPr>
        <w:t>减缓</w:t>
      </w:r>
      <w:r>
        <w:rPr>
          <w:rFonts w:hint="eastAsia" w:ascii="Arial" w:cs="Arial"/>
          <w:color w:val="auto"/>
          <w:sz w:val="26"/>
          <w:highlight w:val="none"/>
        </w:rPr>
        <w:t>对敏感区域的影响，并依据评价结论，对主体工程设计提出反馈意见。</w:t>
      </w:r>
    </w:p>
    <w:p w14:paraId="714B7315">
      <w:pPr>
        <w:pStyle w:val="19"/>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sz w:val="26"/>
          <w:highlight w:val="none"/>
        </w:rPr>
      </w:pPr>
      <w:r>
        <w:rPr>
          <w:rFonts w:hint="eastAsia" w:ascii="Arial" w:cs="Arial"/>
          <w:color w:val="auto"/>
          <w:sz w:val="26"/>
          <w:highlight w:val="none"/>
          <w:lang w:eastAsia="zh-CN"/>
        </w:rPr>
        <w:t>（</w:t>
      </w:r>
      <w:r>
        <w:rPr>
          <w:rFonts w:hint="eastAsia" w:ascii="Arial" w:cs="Arial"/>
          <w:color w:val="auto"/>
          <w:sz w:val="26"/>
          <w:highlight w:val="none"/>
          <w:lang w:val="en-US" w:eastAsia="zh-CN"/>
        </w:rPr>
        <w:t>5）</w:t>
      </w:r>
      <w:r>
        <w:rPr>
          <w:rFonts w:hint="eastAsia" w:ascii="Arial" w:cs="Arial"/>
          <w:color w:val="auto"/>
          <w:sz w:val="26"/>
          <w:highlight w:val="none"/>
        </w:rPr>
        <w:t>从加强集雨范围管理和维护调度方面，着力</w:t>
      </w:r>
      <w:r>
        <w:rPr>
          <w:rFonts w:hint="eastAsia" w:ascii="Arial" w:cs="Arial"/>
          <w:color w:val="auto"/>
          <w:sz w:val="26"/>
          <w:highlight w:val="none"/>
          <w:lang w:eastAsia="zh-CN"/>
        </w:rPr>
        <w:t>减缓</w:t>
      </w:r>
      <w:r>
        <w:rPr>
          <w:rFonts w:hint="eastAsia" w:ascii="Arial" w:cs="Arial"/>
          <w:color w:val="auto"/>
          <w:sz w:val="26"/>
          <w:highlight w:val="none"/>
        </w:rPr>
        <w:t>成库后的富营养化和低温水等影响，最终从环境保护角度明确项目建设的环境可行性，进而维护项目所在地生态环境良性循环，保护水库水源地水质，为工程环境保护设计和环境管理提供依据。</w:t>
      </w:r>
    </w:p>
    <w:p w14:paraId="4A1161C5">
      <w:pPr>
        <w:pStyle w:val="19"/>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sz w:val="26"/>
          <w:highlight w:val="none"/>
        </w:rPr>
      </w:pPr>
      <w:r>
        <w:rPr>
          <w:rFonts w:hint="eastAsia" w:ascii="Arial" w:cs="Arial"/>
          <w:color w:val="auto"/>
          <w:sz w:val="26"/>
          <w:highlight w:val="none"/>
          <w:lang w:eastAsia="zh-CN"/>
        </w:rPr>
        <w:t>（</w:t>
      </w:r>
      <w:r>
        <w:rPr>
          <w:rFonts w:hint="eastAsia" w:ascii="Arial" w:cs="Arial"/>
          <w:color w:val="auto"/>
          <w:sz w:val="26"/>
          <w:highlight w:val="none"/>
          <w:lang w:val="en-US" w:eastAsia="zh-CN"/>
        </w:rPr>
        <w:t>6）</w:t>
      </w:r>
      <w:r>
        <w:rPr>
          <w:rFonts w:hint="eastAsia" w:ascii="Arial" w:cs="Arial"/>
          <w:color w:val="auto"/>
          <w:sz w:val="26"/>
          <w:highlight w:val="none"/>
        </w:rPr>
        <w:t>本项目建设内容仅包括水库、水库至</w:t>
      </w:r>
      <w:r>
        <w:rPr>
          <w:rFonts w:hint="eastAsia" w:ascii="Arial" w:cs="Arial"/>
          <w:color w:val="auto"/>
          <w:sz w:val="26"/>
          <w:highlight w:val="none"/>
          <w:lang w:eastAsia="zh-CN"/>
        </w:rPr>
        <w:t>供区</w:t>
      </w:r>
      <w:r>
        <w:rPr>
          <w:rFonts w:hint="eastAsia" w:ascii="Arial" w:cs="Arial"/>
          <w:color w:val="auto"/>
          <w:sz w:val="26"/>
          <w:highlight w:val="none"/>
        </w:rPr>
        <w:t>的</w:t>
      </w:r>
      <w:r>
        <w:rPr>
          <w:rFonts w:hint="eastAsia" w:ascii="Arial" w:cs="Arial"/>
          <w:color w:val="auto"/>
          <w:sz w:val="26"/>
          <w:highlight w:val="none"/>
          <w:lang w:eastAsia="zh-CN"/>
        </w:rPr>
        <w:t>输水管线</w:t>
      </w:r>
      <w:r>
        <w:rPr>
          <w:rFonts w:hint="eastAsia" w:ascii="Arial" w:cs="Arial"/>
          <w:color w:val="auto"/>
          <w:sz w:val="26"/>
          <w:highlight w:val="none"/>
        </w:rPr>
        <w:t>，不含</w:t>
      </w:r>
      <w:r>
        <w:rPr>
          <w:rFonts w:hint="eastAsia" w:ascii="Arial" w:cs="Arial"/>
          <w:color w:val="auto"/>
          <w:sz w:val="26"/>
          <w:highlight w:val="none"/>
          <w:lang w:eastAsia="zh-CN"/>
        </w:rPr>
        <w:t>供水水厂</w:t>
      </w:r>
      <w:r>
        <w:rPr>
          <w:rFonts w:hint="eastAsia" w:ascii="Arial" w:cs="Arial"/>
          <w:color w:val="auto"/>
          <w:sz w:val="26"/>
          <w:highlight w:val="none"/>
        </w:rPr>
        <w:t>及水厂出水管等内容</w:t>
      </w:r>
      <w:r>
        <w:rPr>
          <w:rFonts w:hint="eastAsia" w:ascii="Arial" w:cs="Arial"/>
          <w:color w:val="auto"/>
          <w:sz w:val="26"/>
          <w:highlight w:val="none"/>
          <w:lang w:eastAsia="zh-CN"/>
        </w:rPr>
        <w:t>。因此，</w:t>
      </w:r>
      <w:r>
        <w:rPr>
          <w:rFonts w:hint="eastAsia" w:ascii="Arial" w:cs="Arial"/>
          <w:color w:val="auto"/>
          <w:sz w:val="26"/>
          <w:highlight w:val="none"/>
        </w:rPr>
        <w:t>本环评不对</w:t>
      </w:r>
      <w:r>
        <w:rPr>
          <w:rFonts w:hint="eastAsia" w:ascii="Arial" w:cs="Arial"/>
          <w:color w:val="auto"/>
          <w:sz w:val="26"/>
          <w:highlight w:val="none"/>
          <w:lang w:eastAsia="zh-CN"/>
        </w:rPr>
        <w:t>供水</w:t>
      </w:r>
      <w:r>
        <w:rPr>
          <w:rFonts w:hint="eastAsia" w:ascii="Arial" w:cs="Arial"/>
          <w:color w:val="auto"/>
          <w:sz w:val="26"/>
          <w:highlight w:val="none"/>
        </w:rPr>
        <w:t>水厂及其配套设施进行评价。</w:t>
      </w:r>
    </w:p>
    <w:p w14:paraId="18925D7F">
      <w:pPr>
        <w:pStyle w:val="19"/>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sz w:val="26"/>
          <w:highlight w:val="none"/>
        </w:rPr>
      </w:pPr>
      <w:r>
        <w:rPr>
          <w:rFonts w:hint="eastAsia" w:ascii="Arial" w:cs="Arial"/>
          <w:color w:val="auto"/>
          <w:sz w:val="26"/>
          <w:highlight w:val="none"/>
          <w:lang w:eastAsia="zh-CN"/>
        </w:rPr>
        <w:t>（</w:t>
      </w:r>
      <w:r>
        <w:rPr>
          <w:rFonts w:hint="eastAsia" w:ascii="Arial" w:cs="Arial"/>
          <w:color w:val="auto"/>
          <w:sz w:val="26"/>
          <w:highlight w:val="none"/>
          <w:lang w:val="en-US" w:eastAsia="zh-CN"/>
        </w:rPr>
        <w:t>7）</w:t>
      </w:r>
      <w:r>
        <w:rPr>
          <w:rFonts w:hint="eastAsia" w:ascii="Arial" w:cs="Arial"/>
          <w:color w:val="auto"/>
          <w:sz w:val="26"/>
          <w:highlight w:val="none"/>
        </w:rPr>
        <w:t>本项目</w:t>
      </w:r>
      <w:r>
        <w:rPr>
          <w:rFonts w:hint="eastAsia" w:ascii="Arial" w:hAnsi="Arial" w:cs="Arial"/>
          <w:color w:val="auto"/>
          <w:kern w:val="0"/>
          <w:sz w:val="26"/>
          <w:szCs w:val="26"/>
          <w:highlight w:val="none"/>
          <w:lang w:val="en-US" w:eastAsia="zh-CN"/>
        </w:rPr>
        <w:t>是</w:t>
      </w:r>
      <w:r>
        <w:rPr>
          <w:rFonts w:hint="eastAsia" w:ascii="Arial" w:hAnsi="Arial" w:eastAsia="宋体" w:cs="Arial"/>
          <w:color w:val="auto"/>
          <w:kern w:val="0"/>
          <w:sz w:val="26"/>
          <w:szCs w:val="26"/>
          <w:highlight w:val="none"/>
          <w:lang w:val="en-US" w:eastAsia="zh-CN"/>
        </w:rPr>
        <w:t>一座以供水和农业灌溉为主要开发功能的小（2）型水利工程，</w:t>
      </w:r>
      <w:r>
        <w:rPr>
          <w:rFonts w:hint="eastAsia" w:ascii="Arial" w:cs="Arial"/>
          <w:color w:val="auto"/>
          <w:sz w:val="26"/>
          <w:highlight w:val="none"/>
          <w:lang w:eastAsia="zh-CN"/>
        </w:rPr>
        <w:t>包括农村人饮和灌溉用水</w:t>
      </w:r>
      <w:r>
        <w:rPr>
          <w:rFonts w:hint="eastAsia" w:ascii="Arial" w:cs="Arial"/>
          <w:color w:val="auto"/>
          <w:sz w:val="26"/>
          <w:highlight w:val="none"/>
        </w:rPr>
        <w:t>。本次评价主要从区域水资源配置平衡、水资源影响、受水区退水影响</w:t>
      </w:r>
      <w:r>
        <w:rPr>
          <w:rFonts w:hint="eastAsia" w:ascii="Arial" w:cs="Arial"/>
          <w:color w:val="auto"/>
          <w:sz w:val="26"/>
          <w:highlight w:val="none"/>
          <w:lang w:eastAsia="zh-CN"/>
        </w:rPr>
        <w:t>以及</w:t>
      </w:r>
      <w:r>
        <w:rPr>
          <w:rFonts w:hint="eastAsia" w:ascii="Arial" w:cs="Arial"/>
          <w:color w:val="auto"/>
          <w:sz w:val="26"/>
          <w:highlight w:val="none"/>
        </w:rPr>
        <w:t>与相关规划符合性等方面进行分析。</w:t>
      </w:r>
    </w:p>
    <w:p w14:paraId="2A197C7F">
      <w:pPr>
        <w:keepNext w:val="0"/>
        <w:keepLines w:val="0"/>
        <w:pageBreakBefore w:val="0"/>
        <w:widowControl w:val="0"/>
        <w:kinsoku/>
        <w:wordWrap/>
        <w:overflowPunct/>
        <w:topLinePunct w:val="0"/>
        <w:autoSpaceDE/>
        <w:autoSpaceDN/>
        <w:bidi w:val="0"/>
        <w:spacing w:line="480" w:lineRule="exact"/>
        <w:ind w:firstLine="522" w:firstLineChars="200"/>
        <w:textAlignment w:val="auto"/>
        <w:outlineLvl w:val="1"/>
        <w:rPr>
          <w:rFonts w:ascii="Arial" w:hAnsi="Arial" w:eastAsia="宋体" w:cs="Arial"/>
          <w:b/>
          <w:color w:val="auto"/>
          <w:kern w:val="0"/>
          <w:sz w:val="26"/>
          <w:szCs w:val="26"/>
          <w:highlight w:val="none"/>
        </w:rPr>
      </w:pPr>
      <w:r>
        <w:rPr>
          <w:rFonts w:ascii="Arial" w:hAnsi="Arial" w:eastAsia="宋体" w:cs="Arial"/>
          <w:b/>
          <w:color w:val="auto"/>
          <w:kern w:val="0"/>
          <w:sz w:val="26"/>
          <w:szCs w:val="26"/>
          <w:highlight w:val="none"/>
          <w:lang w:val="en-US" w:eastAsia="zh-CN"/>
        </w:rPr>
        <w:t>1.</w:t>
      </w:r>
      <w:r>
        <w:rPr>
          <w:rFonts w:hint="eastAsia" w:ascii="Arial" w:hAnsi="Arial" w:cs="Arial"/>
          <w:b/>
          <w:color w:val="auto"/>
          <w:kern w:val="0"/>
          <w:sz w:val="26"/>
          <w:szCs w:val="26"/>
          <w:highlight w:val="none"/>
          <w:lang w:val="en-US" w:eastAsia="zh-CN"/>
        </w:rPr>
        <w:t>3</w:t>
      </w:r>
      <w:r>
        <w:rPr>
          <w:rFonts w:ascii="Arial" w:hAnsi="Arial" w:eastAsia="宋体" w:cs="Arial"/>
          <w:b/>
          <w:color w:val="auto"/>
          <w:kern w:val="0"/>
          <w:sz w:val="26"/>
          <w:szCs w:val="26"/>
          <w:highlight w:val="none"/>
          <w:lang w:val="en-US" w:eastAsia="zh-CN"/>
        </w:rPr>
        <w:t xml:space="preserve"> </w:t>
      </w:r>
      <w:r>
        <w:rPr>
          <w:rFonts w:hint="eastAsia" w:ascii="Arial" w:hAnsi="Arial" w:eastAsia="宋体" w:cs="Arial"/>
          <w:b/>
          <w:color w:val="auto"/>
          <w:kern w:val="0"/>
          <w:sz w:val="26"/>
          <w:szCs w:val="26"/>
          <w:highlight w:val="none"/>
          <w:lang w:val="en-US" w:eastAsia="zh-CN"/>
        </w:rPr>
        <w:t>编制依据</w:t>
      </w:r>
      <w:bookmarkEnd w:id="7"/>
      <w:r>
        <w:rPr>
          <w:rFonts w:ascii="Arial" w:hAnsi="Arial" w:eastAsia="宋体" w:cs="Arial"/>
          <w:b/>
          <w:color w:val="auto"/>
          <w:kern w:val="0"/>
          <w:sz w:val="26"/>
          <w:szCs w:val="26"/>
          <w:highlight w:val="none"/>
        </w:rPr>
        <w:t xml:space="preserve"> </w:t>
      </w:r>
    </w:p>
    <w:p w14:paraId="755E14F6">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ascii="Arial" w:hAnsi="Arial" w:eastAsia="宋体" w:cs="Arial"/>
          <w:b/>
          <w:color w:val="auto"/>
          <w:kern w:val="0"/>
          <w:sz w:val="26"/>
          <w:szCs w:val="20"/>
          <w:highlight w:val="none"/>
        </w:rPr>
      </w:pPr>
      <w:bookmarkStart w:id="15" w:name="_Toc36040976"/>
      <w:bookmarkStart w:id="16" w:name="_Toc34987777"/>
      <w:r>
        <w:rPr>
          <w:rFonts w:ascii="Arial" w:hAnsi="Arial" w:eastAsia="宋体" w:cs="Arial"/>
          <w:b/>
          <w:color w:val="auto"/>
          <w:kern w:val="0"/>
          <w:sz w:val="26"/>
          <w:szCs w:val="20"/>
          <w:highlight w:val="none"/>
        </w:rPr>
        <w:t>1.</w:t>
      </w:r>
      <w:r>
        <w:rPr>
          <w:rFonts w:hint="eastAsia" w:ascii="Arial" w:hAnsi="Arial" w:cs="Arial"/>
          <w:b/>
          <w:color w:val="auto"/>
          <w:kern w:val="0"/>
          <w:sz w:val="26"/>
          <w:szCs w:val="20"/>
          <w:highlight w:val="none"/>
          <w:lang w:val="en-US" w:eastAsia="zh-CN"/>
        </w:rPr>
        <w:t>3</w:t>
      </w:r>
      <w:r>
        <w:rPr>
          <w:rFonts w:ascii="Arial" w:hAnsi="Arial" w:eastAsia="宋体" w:cs="Arial"/>
          <w:b/>
          <w:color w:val="auto"/>
          <w:kern w:val="0"/>
          <w:sz w:val="26"/>
          <w:szCs w:val="20"/>
          <w:highlight w:val="none"/>
        </w:rPr>
        <w:t xml:space="preserve">.1 </w:t>
      </w:r>
      <w:r>
        <w:rPr>
          <w:rFonts w:hint="eastAsia" w:ascii="Arial" w:hAnsi="Arial" w:eastAsia="宋体" w:cs="Arial"/>
          <w:b/>
          <w:color w:val="auto"/>
          <w:kern w:val="0"/>
          <w:sz w:val="26"/>
          <w:szCs w:val="20"/>
          <w:highlight w:val="none"/>
        </w:rPr>
        <w:t>国家法律、法规、政策</w:t>
      </w:r>
      <w:bookmarkEnd w:id="15"/>
      <w:bookmarkEnd w:id="16"/>
    </w:p>
    <w:p w14:paraId="4BB05CE5">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《中华人民共和国环境保护法》，</w:t>
      </w:r>
      <w:r>
        <w:rPr>
          <w:rFonts w:ascii="Arial" w:hAnsi="Times New Roman" w:eastAsia="宋体" w:cs="Arial"/>
          <w:color w:val="auto"/>
          <w:kern w:val="0"/>
          <w:sz w:val="26"/>
          <w:szCs w:val="26"/>
          <w:highlight w:val="none"/>
        </w:rPr>
        <w:t>2015</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日实施；</w:t>
      </w:r>
    </w:p>
    <w:p w14:paraId="062EC51B">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《中华人民共和国环境影响评价法》，</w:t>
      </w:r>
      <w:r>
        <w:rPr>
          <w:rFonts w:ascii="Arial" w:hAnsi="Times New Roman" w:eastAsia="宋体" w:cs="Arial"/>
          <w:color w:val="auto"/>
          <w:kern w:val="0"/>
          <w:sz w:val="26"/>
          <w:szCs w:val="26"/>
          <w:highlight w:val="none"/>
        </w:rPr>
        <w:t>2018</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12</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29</w:t>
      </w:r>
      <w:r>
        <w:rPr>
          <w:rFonts w:hint="eastAsia" w:ascii="Arial" w:hAnsi="Times New Roman" w:eastAsia="宋体" w:cs="Arial"/>
          <w:color w:val="auto"/>
          <w:kern w:val="0"/>
          <w:sz w:val="26"/>
          <w:szCs w:val="26"/>
          <w:highlight w:val="none"/>
        </w:rPr>
        <w:t>日实施；</w:t>
      </w:r>
    </w:p>
    <w:p w14:paraId="4186B22A">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3</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《中华人民共和国大气污染防治法》，</w:t>
      </w:r>
      <w:r>
        <w:rPr>
          <w:rFonts w:ascii="Arial" w:hAnsi="Times New Roman" w:eastAsia="宋体" w:cs="Arial"/>
          <w:color w:val="auto"/>
          <w:kern w:val="0"/>
          <w:sz w:val="26"/>
          <w:szCs w:val="26"/>
          <w:highlight w:val="none"/>
        </w:rPr>
        <w:t>2018</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10</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26</w:t>
      </w:r>
      <w:r>
        <w:rPr>
          <w:rFonts w:hint="eastAsia" w:ascii="Arial" w:hAnsi="Times New Roman" w:eastAsia="宋体" w:cs="Arial"/>
          <w:color w:val="auto"/>
          <w:kern w:val="0"/>
          <w:sz w:val="26"/>
          <w:szCs w:val="26"/>
          <w:highlight w:val="none"/>
        </w:rPr>
        <w:t>日实施；</w:t>
      </w:r>
    </w:p>
    <w:p w14:paraId="2CB27D63">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4</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《中华人民共和国噪声污染防治法》，</w:t>
      </w:r>
      <w:r>
        <w:rPr>
          <w:rFonts w:ascii="Arial" w:hAnsi="Times New Roman" w:eastAsia="宋体" w:cs="Arial"/>
          <w:color w:val="auto"/>
          <w:kern w:val="0"/>
          <w:sz w:val="26"/>
          <w:szCs w:val="26"/>
          <w:highlight w:val="none"/>
        </w:rPr>
        <w:t>2022</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6</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5</w:t>
      </w:r>
      <w:r>
        <w:rPr>
          <w:rFonts w:hint="eastAsia" w:ascii="Arial" w:hAnsi="Times New Roman" w:eastAsia="宋体" w:cs="Arial"/>
          <w:color w:val="auto"/>
          <w:kern w:val="0"/>
          <w:sz w:val="26"/>
          <w:szCs w:val="26"/>
          <w:highlight w:val="none"/>
        </w:rPr>
        <w:t>日实施；</w:t>
      </w:r>
    </w:p>
    <w:p w14:paraId="1EA5AC0B">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5</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《中华人民共和国水污染防治法》，</w:t>
      </w:r>
      <w:r>
        <w:rPr>
          <w:rFonts w:ascii="Arial" w:hAnsi="Times New Roman" w:eastAsia="宋体" w:cs="Arial"/>
          <w:color w:val="auto"/>
          <w:kern w:val="0"/>
          <w:sz w:val="26"/>
          <w:szCs w:val="26"/>
          <w:highlight w:val="none"/>
        </w:rPr>
        <w:t>2018</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日起实施；</w:t>
      </w:r>
    </w:p>
    <w:p w14:paraId="1BBD015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6</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《中华人民共和国固体废物污染环境防治法》，</w:t>
      </w:r>
      <w:r>
        <w:rPr>
          <w:rFonts w:ascii="Arial" w:hAnsi="Times New Roman" w:eastAsia="宋体" w:cs="Arial"/>
          <w:color w:val="auto"/>
          <w:kern w:val="0"/>
          <w:sz w:val="26"/>
          <w:szCs w:val="26"/>
          <w:highlight w:val="none"/>
        </w:rPr>
        <w:t>2020</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9</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日修正；</w:t>
      </w:r>
    </w:p>
    <w:p w14:paraId="42D318E9">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val="en-US" w:eastAsia="zh-CN"/>
        </w:rPr>
        <w:t>（7）《</w:t>
      </w:r>
      <w:r>
        <w:rPr>
          <w:rFonts w:hint="eastAsia" w:ascii="Arial" w:hAnsi="Times New Roman" w:eastAsia="宋体" w:cs="Arial"/>
          <w:color w:val="auto"/>
          <w:kern w:val="0"/>
          <w:sz w:val="26"/>
          <w:szCs w:val="26"/>
          <w:highlight w:val="none"/>
        </w:rPr>
        <w:t>中华人民共和国</w:t>
      </w:r>
      <w:r>
        <w:rPr>
          <w:rFonts w:hint="eastAsia" w:ascii="Arial" w:hAnsi="Times New Roman" w:cs="Arial"/>
          <w:color w:val="auto"/>
          <w:kern w:val="0"/>
          <w:sz w:val="26"/>
          <w:szCs w:val="26"/>
          <w:highlight w:val="none"/>
          <w:lang w:eastAsia="zh-CN"/>
        </w:rPr>
        <w:t>水法》，</w:t>
      </w:r>
      <w:r>
        <w:rPr>
          <w:rFonts w:hint="eastAsia" w:ascii="Arial" w:hAnsi="Times New Roman" w:cs="Arial"/>
          <w:color w:val="auto"/>
          <w:kern w:val="0"/>
          <w:sz w:val="26"/>
          <w:szCs w:val="26"/>
          <w:highlight w:val="none"/>
          <w:lang w:val="en-US" w:eastAsia="zh-CN"/>
        </w:rPr>
        <w:t>2016年7月2日修改；</w:t>
      </w:r>
    </w:p>
    <w:p w14:paraId="025E763C">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val="en-US" w:eastAsia="zh-CN"/>
        </w:rPr>
        <w:t>（8</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《中华人民共和国土地管理法》，</w:t>
      </w:r>
      <w:r>
        <w:rPr>
          <w:rFonts w:ascii="Arial" w:hAnsi="Times New Roman" w:eastAsia="宋体" w:cs="Arial"/>
          <w:color w:val="auto"/>
          <w:kern w:val="0"/>
          <w:sz w:val="26"/>
          <w:szCs w:val="26"/>
          <w:highlight w:val="none"/>
        </w:rPr>
        <w:t>2020</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9</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日实施；</w:t>
      </w:r>
    </w:p>
    <w:p w14:paraId="0D0013B4">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val="en-US" w:eastAsia="zh-CN"/>
        </w:rPr>
        <w:t>（9</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《中华人民共和国水土保持法》，</w:t>
      </w:r>
      <w:r>
        <w:rPr>
          <w:rFonts w:ascii="Arial" w:hAnsi="Times New Roman" w:eastAsia="宋体" w:cs="Arial"/>
          <w:color w:val="auto"/>
          <w:kern w:val="0"/>
          <w:sz w:val="26"/>
          <w:szCs w:val="26"/>
          <w:highlight w:val="none"/>
        </w:rPr>
        <w:t>2011</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3</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日实施；</w:t>
      </w:r>
    </w:p>
    <w:p w14:paraId="7E10DCD8">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10）《</w:t>
      </w:r>
      <w:r>
        <w:rPr>
          <w:rFonts w:hint="eastAsia" w:ascii="Arial" w:hAnsi="Times New Roman" w:eastAsia="宋体" w:cs="Arial"/>
          <w:color w:val="auto"/>
          <w:kern w:val="0"/>
          <w:sz w:val="26"/>
          <w:szCs w:val="26"/>
          <w:highlight w:val="none"/>
        </w:rPr>
        <w:t>中华人民共和国</w:t>
      </w:r>
      <w:r>
        <w:rPr>
          <w:rFonts w:hint="eastAsia" w:ascii="Arial" w:hAnsi="Times New Roman" w:cs="Arial"/>
          <w:color w:val="auto"/>
          <w:kern w:val="0"/>
          <w:sz w:val="26"/>
          <w:szCs w:val="26"/>
          <w:highlight w:val="none"/>
          <w:lang w:eastAsia="zh-CN"/>
        </w:rPr>
        <w:t>森林法》，</w:t>
      </w:r>
      <w:r>
        <w:rPr>
          <w:rFonts w:hint="eastAsia" w:ascii="Arial" w:hAnsi="Times New Roman" w:cs="Arial"/>
          <w:color w:val="auto"/>
          <w:kern w:val="0"/>
          <w:sz w:val="26"/>
          <w:szCs w:val="26"/>
          <w:highlight w:val="none"/>
          <w:lang w:val="en-US" w:eastAsia="zh-CN"/>
        </w:rPr>
        <w:t>2020年7月1日实施；</w:t>
      </w:r>
    </w:p>
    <w:p w14:paraId="37A6AFE9">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lang w:val="en-US" w:eastAsia="zh-CN"/>
        </w:rPr>
        <w:t>1</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《中华人民共和国土壤污染防治法》，</w:t>
      </w:r>
      <w:r>
        <w:rPr>
          <w:rFonts w:ascii="Arial" w:hAnsi="Times New Roman" w:eastAsia="宋体" w:cs="Arial"/>
          <w:color w:val="auto"/>
          <w:kern w:val="0"/>
          <w:sz w:val="26"/>
          <w:szCs w:val="26"/>
          <w:highlight w:val="none"/>
        </w:rPr>
        <w:t>2019</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日实施；</w:t>
      </w:r>
    </w:p>
    <w:p w14:paraId="01FF308D">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lang w:val="en-US" w:eastAsia="zh-CN"/>
        </w:rPr>
        <w:t>2</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《中华人民共和国野生动物保护法》，</w:t>
      </w:r>
      <w:r>
        <w:rPr>
          <w:rFonts w:ascii="Arial" w:hAnsi="Times New Roman" w:eastAsia="宋体" w:cs="Arial"/>
          <w:color w:val="auto"/>
          <w:kern w:val="0"/>
          <w:sz w:val="26"/>
          <w:szCs w:val="26"/>
          <w:highlight w:val="none"/>
        </w:rPr>
        <w:t>2018</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10</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26</w:t>
      </w:r>
      <w:r>
        <w:rPr>
          <w:rFonts w:hint="eastAsia" w:ascii="Arial" w:hAnsi="Times New Roman" w:eastAsia="宋体" w:cs="Arial"/>
          <w:color w:val="auto"/>
          <w:kern w:val="0"/>
          <w:sz w:val="26"/>
          <w:szCs w:val="26"/>
          <w:highlight w:val="none"/>
        </w:rPr>
        <w:t>日实施；</w:t>
      </w:r>
    </w:p>
    <w:p w14:paraId="4374899B">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lang w:val="en-US" w:eastAsia="zh-CN"/>
        </w:rPr>
        <w:t>3</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《中华人民共和国防洪法》，</w:t>
      </w:r>
      <w:r>
        <w:rPr>
          <w:rFonts w:ascii="Arial" w:hAnsi="Times New Roman" w:eastAsia="宋体" w:cs="Arial"/>
          <w:color w:val="auto"/>
          <w:kern w:val="0"/>
          <w:sz w:val="26"/>
          <w:szCs w:val="26"/>
          <w:highlight w:val="none"/>
        </w:rPr>
        <w:t>2015</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4</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24</w:t>
      </w:r>
      <w:r>
        <w:rPr>
          <w:rFonts w:hint="eastAsia" w:ascii="Arial" w:hAnsi="Times New Roman" w:eastAsia="宋体" w:cs="Arial"/>
          <w:color w:val="auto"/>
          <w:kern w:val="0"/>
          <w:sz w:val="26"/>
          <w:szCs w:val="26"/>
          <w:highlight w:val="none"/>
        </w:rPr>
        <w:t>日修正；</w:t>
      </w:r>
    </w:p>
    <w:p w14:paraId="475174DA">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lang w:val="en-US" w:eastAsia="zh-CN"/>
        </w:rPr>
        <w:t>4</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《中华人民共和国农业法》，</w:t>
      </w:r>
      <w:r>
        <w:rPr>
          <w:rFonts w:ascii="Arial" w:hAnsi="Times New Roman" w:eastAsia="宋体" w:cs="Arial"/>
          <w:color w:val="auto"/>
          <w:kern w:val="0"/>
          <w:sz w:val="26"/>
          <w:szCs w:val="26"/>
          <w:highlight w:val="none"/>
        </w:rPr>
        <w:t>2012</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12</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28</w:t>
      </w:r>
      <w:r>
        <w:rPr>
          <w:rFonts w:hint="eastAsia" w:ascii="Arial" w:hAnsi="Times New Roman" w:eastAsia="宋体" w:cs="Arial"/>
          <w:color w:val="auto"/>
          <w:kern w:val="0"/>
          <w:sz w:val="26"/>
          <w:szCs w:val="26"/>
          <w:highlight w:val="none"/>
        </w:rPr>
        <w:t>日修订；</w:t>
      </w:r>
    </w:p>
    <w:p w14:paraId="60E81ED4">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bookmarkStart w:id="17" w:name="_Hlk124325647"/>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15）《</w:t>
      </w:r>
      <w:r>
        <w:rPr>
          <w:rFonts w:hint="eastAsia" w:ascii="Arial" w:hAnsi="Times New Roman" w:eastAsia="宋体" w:cs="Arial"/>
          <w:color w:val="auto"/>
          <w:kern w:val="0"/>
          <w:sz w:val="26"/>
          <w:szCs w:val="26"/>
          <w:highlight w:val="none"/>
        </w:rPr>
        <w:t>中华人民共和国</w:t>
      </w:r>
      <w:r>
        <w:rPr>
          <w:rFonts w:hint="eastAsia" w:ascii="Arial" w:hAnsi="Times New Roman" w:cs="Arial"/>
          <w:color w:val="auto"/>
          <w:kern w:val="0"/>
          <w:sz w:val="26"/>
          <w:szCs w:val="26"/>
          <w:highlight w:val="none"/>
          <w:lang w:eastAsia="zh-CN"/>
        </w:rPr>
        <w:t>长江保护法》，</w:t>
      </w:r>
      <w:r>
        <w:rPr>
          <w:rFonts w:hint="eastAsia" w:ascii="Arial" w:hAnsi="Times New Roman" w:cs="Arial"/>
          <w:color w:val="auto"/>
          <w:kern w:val="0"/>
          <w:sz w:val="26"/>
          <w:szCs w:val="26"/>
          <w:highlight w:val="none"/>
          <w:lang w:val="en-US" w:eastAsia="zh-CN"/>
        </w:rPr>
        <w:t>2021年3月1日施行；</w:t>
      </w:r>
    </w:p>
    <w:p w14:paraId="2493345D">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w:t>
      </w:r>
      <w:r>
        <w:rPr>
          <w:rFonts w:hint="eastAsia" w:ascii="Arial" w:cs="Arial"/>
          <w:color w:val="auto"/>
          <w:kern w:val="0"/>
          <w:sz w:val="26"/>
          <w:szCs w:val="26"/>
          <w:highlight w:val="none"/>
          <w:lang w:val="en-US" w:eastAsia="zh-CN"/>
        </w:rPr>
        <w:t>6</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《建设项目环境保护管理条例》，</w:t>
      </w:r>
      <w:r>
        <w:rPr>
          <w:rFonts w:ascii="Arial" w:hAnsi="Times New Roman" w:eastAsia="宋体" w:cs="Arial"/>
          <w:color w:val="auto"/>
          <w:kern w:val="0"/>
          <w:sz w:val="26"/>
          <w:szCs w:val="26"/>
          <w:highlight w:val="none"/>
        </w:rPr>
        <w:t>2017</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7</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16</w:t>
      </w:r>
      <w:r>
        <w:rPr>
          <w:rFonts w:hint="eastAsia" w:ascii="Arial" w:hAnsi="Times New Roman" w:eastAsia="宋体" w:cs="Arial"/>
          <w:color w:val="auto"/>
          <w:kern w:val="0"/>
          <w:sz w:val="26"/>
          <w:szCs w:val="26"/>
          <w:highlight w:val="none"/>
        </w:rPr>
        <w:t>日修订；</w:t>
      </w:r>
    </w:p>
    <w:bookmarkEnd w:id="17"/>
    <w:p w14:paraId="3E80CFC2">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lang w:val="en-US" w:eastAsia="zh-CN"/>
        </w:rPr>
        <w:t>7</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《地下水管理条例》，中华人民共和国国务院</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2021</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第748号令，2021年12月1日实施；</w:t>
      </w:r>
    </w:p>
    <w:p w14:paraId="0AD0C837">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lang w:val="en-US" w:eastAsia="zh-CN"/>
        </w:rPr>
        <w:t>8</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《中华人民共和国野生植物保护条例》，中华人民共和国国务院</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2017</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第</w:t>
      </w:r>
      <w:r>
        <w:rPr>
          <w:rFonts w:ascii="Arial" w:hAnsi="Times New Roman" w:eastAsia="宋体" w:cs="Arial"/>
          <w:color w:val="auto"/>
          <w:kern w:val="0"/>
          <w:sz w:val="26"/>
          <w:szCs w:val="26"/>
          <w:highlight w:val="none"/>
        </w:rPr>
        <w:t>687</w:t>
      </w:r>
      <w:r>
        <w:rPr>
          <w:rFonts w:hint="eastAsia" w:ascii="Arial" w:hAnsi="Times New Roman" w:eastAsia="宋体" w:cs="Arial"/>
          <w:color w:val="auto"/>
          <w:kern w:val="0"/>
          <w:sz w:val="26"/>
          <w:szCs w:val="26"/>
          <w:highlight w:val="none"/>
        </w:rPr>
        <w:t>号令，</w:t>
      </w:r>
      <w:r>
        <w:rPr>
          <w:rFonts w:ascii="Arial" w:hAnsi="Times New Roman" w:eastAsia="宋体" w:cs="Arial"/>
          <w:color w:val="auto"/>
          <w:kern w:val="0"/>
          <w:sz w:val="26"/>
          <w:szCs w:val="26"/>
          <w:highlight w:val="none"/>
        </w:rPr>
        <w:t>2017</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10</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7</w:t>
      </w:r>
      <w:r>
        <w:rPr>
          <w:rFonts w:hint="eastAsia" w:ascii="Arial" w:hAnsi="Times New Roman" w:eastAsia="宋体" w:cs="Arial"/>
          <w:color w:val="auto"/>
          <w:kern w:val="0"/>
          <w:sz w:val="26"/>
          <w:szCs w:val="26"/>
          <w:highlight w:val="none"/>
        </w:rPr>
        <w:t>日修正；</w:t>
      </w:r>
    </w:p>
    <w:p w14:paraId="3C5E2ABD">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lang w:val="en-US" w:eastAsia="zh-CN"/>
        </w:rPr>
        <w:t>9</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《中华人民共和国陆生野生动物保护实施条例》</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2016</w:t>
      </w:r>
      <w:r>
        <w:rPr>
          <w:rFonts w:hint="eastAsia" w:ascii="Arial" w:hAnsi="Times New Roman" w:eastAsia="宋体" w:cs="Arial"/>
          <w:color w:val="auto"/>
          <w:kern w:val="0"/>
          <w:sz w:val="26"/>
          <w:szCs w:val="26"/>
          <w:highlight w:val="none"/>
        </w:rPr>
        <w:t>修订</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国务院令第</w:t>
      </w:r>
      <w:r>
        <w:rPr>
          <w:rFonts w:ascii="Arial" w:hAnsi="Times New Roman" w:eastAsia="宋体" w:cs="Arial"/>
          <w:color w:val="auto"/>
          <w:kern w:val="0"/>
          <w:sz w:val="26"/>
          <w:szCs w:val="26"/>
          <w:highlight w:val="none"/>
        </w:rPr>
        <w:t>666</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r>
        <w:rPr>
          <w:rFonts w:ascii="Arial" w:hAnsi="Times New Roman" w:eastAsia="宋体" w:cs="Arial"/>
          <w:color w:val="auto"/>
          <w:kern w:val="0"/>
          <w:sz w:val="26"/>
          <w:szCs w:val="26"/>
          <w:highlight w:val="none"/>
        </w:rPr>
        <w:t>2016</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2</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6</w:t>
      </w:r>
      <w:r>
        <w:rPr>
          <w:rFonts w:hint="eastAsia" w:ascii="Arial" w:hAnsi="Times New Roman" w:eastAsia="宋体" w:cs="Arial"/>
          <w:color w:val="auto"/>
          <w:kern w:val="0"/>
          <w:sz w:val="26"/>
          <w:szCs w:val="26"/>
          <w:highlight w:val="none"/>
        </w:rPr>
        <w:t>日实施；</w:t>
      </w:r>
    </w:p>
    <w:p w14:paraId="4D805AB7">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val="en-US" w:eastAsia="zh-CN"/>
        </w:rPr>
        <w:t>（20</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《中华人民共和国森林法实施条例》，</w:t>
      </w:r>
      <w:r>
        <w:rPr>
          <w:rFonts w:ascii="Arial" w:hAnsi="Times New Roman" w:eastAsia="宋体" w:cs="Arial"/>
          <w:color w:val="auto"/>
          <w:kern w:val="0"/>
          <w:sz w:val="26"/>
          <w:szCs w:val="26"/>
          <w:highlight w:val="none"/>
        </w:rPr>
        <w:t>2018</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3</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18</w:t>
      </w:r>
      <w:r>
        <w:rPr>
          <w:rFonts w:hint="eastAsia" w:ascii="Arial" w:hAnsi="Times New Roman" w:eastAsia="宋体" w:cs="Arial"/>
          <w:color w:val="auto"/>
          <w:kern w:val="0"/>
          <w:sz w:val="26"/>
          <w:szCs w:val="26"/>
          <w:highlight w:val="none"/>
        </w:rPr>
        <w:t>日起施行；</w:t>
      </w:r>
    </w:p>
    <w:p w14:paraId="31954E6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val="en-US" w:eastAsia="zh-CN"/>
        </w:rPr>
        <w:t>（21</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《基本农田保护条例》</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国务院令第</w:t>
      </w:r>
      <w:r>
        <w:rPr>
          <w:rFonts w:ascii="Arial" w:hAnsi="Times New Roman" w:eastAsia="宋体" w:cs="Arial"/>
          <w:color w:val="auto"/>
          <w:kern w:val="0"/>
          <w:sz w:val="26"/>
          <w:szCs w:val="26"/>
          <w:highlight w:val="none"/>
        </w:rPr>
        <w:t>257</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r>
        <w:rPr>
          <w:rFonts w:ascii="Arial" w:hAnsi="Times New Roman" w:eastAsia="宋体" w:cs="Arial"/>
          <w:color w:val="auto"/>
          <w:kern w:val="0"/>
          <w:sz w:val="26"/>
          <w:szCs w:val="26"/>
          <w:highlight w:val="none"/>
        </w:rPr>
        <w:t>2011</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8</w:t>
      </w:r>
      <w:r>
        <w:rPr>
          <w:rFonts w:hint="eastAsia" w:ascii="Arial" w:hAnsi="Times New Roman" w:eastAsia="宋体" w:cs="Arial"/>
          <w:color w:val="auto"/>
          <w:kern w:val="0"/>
          <w:sz w:val="26"/>
          <w:szCs w:val="26"/>
          <w:highlight w:val="none"/>
        </w:rPr>
        <w:t>日修订；</w:t>
      </w:r>
    </w:p>
    <w:p w14:paraId="520DEEE5">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2</w:t>
      </w:r>
      <w:r>
        <w:rPr>
          <w:rFonts w:hint="eastAsia" w:ascii="Arial" w:hAnsi="Times New Roman" w:eastAsia="宋体" w:cs="Arial"/>
          <w:color w:val="auto"/>
          <w:kern w:val="0"/>
          <w:sz w:val="26"/>
          <w:szCs w:val="26"/>
          <w:highlight w:val="none"/>
          <w:lang w:val="en-US" w:eastAsia="zh-CN"/>
        </w:rPr>
        <w:t>2</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《土地复垦条例》</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国务院令第</w:t>
      </w:r>
      <w:r>
        <w:rPr>
          <w:rFonts w:ascii="Arial" w:hAnsi="Times New Roman" w:eastAsia="宋体" w:cs="Arial"/>
          <w:color w:val="auto"/>
          <w:kern w:val="0"/>
          <w:sz w:val="26"/>
          <w:szCs w:val="26"/>
          <w:highlight w:val="none"/>
        </w:rPr>
        <w:t>592</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r>
        <w:rPr>
          <w:rFonts w:ascii="Arial" w:hAnsi="Times New Roman" w:eastAsia="宋体" w:cs="Arial"/>
          <w:color w:val="auto"/>
          <w:kern w:val="0"/>
          <w:sz w:val="26"/>
          <w:szCs w:val="26"/>
          <w:highlight w:val="none"/>
        </w:rPr>
        <w:t>2011</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3</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5</w:t>
      </w:r>
      <w:r>
        <w:rPr>
          <w:rFonts w:hint="eastAsia" w:ascii="Arial" w:hAnsi="Times New Roman" w:eastAsia="宋体" w:cs="Arial"/>
          <w:color w:val="auto"/>
          <w:kern w:val="0"/>
          <w:sz w:val="26"/>
          <w:szCs w:val="26"/>
          <w:highlight w:val="none"/>
        </w:rPr>
        <w:t>日；</w:t>
      </w:r>
    </w:p>
    <w:p w14:paraId="1FAE6D35">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2</w:t>
      </w:r>
      <w:r>
        <w:rPr>
          <w:rFonts w:hint="eastAsia" w:ascii="Arial" w:hAnsi="Times New Roman" w:eastAsia="宋体" w:cs="Arial"/>
          <w:color w:val="auto"/>
          <w:kern w:val="0"/>
          <w:sz w:val="26"/>
          <w:szCs w:val="26"/>
          <w:highlight w:val="none"/>
          <w:lang w:val="en-US" w:eastAsia="zh-CN"/>
        </w:rPr>
        <w:t>3</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《国家级公益林管理办法》</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林政发</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2013</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71</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p>
    <w:p w14:paraId="172DB69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2</w:t>
      </w:r>
      <w:r>
        <w:rPr>
          <w:rFonts w:hint="eastAsia" w:ascii="Arial" w:hAnsi="Times New Roman" w:eastAsia="宋体" w:cs="Arial"/>
          <w:color w:val="auto"/>
          <w:kern w:val="0"/>
          <w:sz w:val="26"/>
          <w:szCs w:val="26"/>
          <w:highlight w:val="none"/>
          <w:lang w:val="en-US" w:eastAsia="zh-CN"/>
        </w:rPr>
        <w:t>4</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《建设项目环境影响评价分类管理名录</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2021</w:t>
      </w:r>
      <w:r>
        <w:rPr>
          <w:rFonts w:hint="eastAsia" w:ascii="Arial" w:hAnsi="Times New Roman" w:eastAsia="宋体" w:cs="Arial"/>
          <w:color w:val="auto"/>
          <w:kern w:val="0"/>
          <w:sz w:val="26"/>
          <w:szCs w:val="26"/>
          <w:highlight w:val="none"/>
        </w:rPr>
        <w:t>年版</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生态环境部令第</w:t>
      </w:r>
      <w:r>
        <w:rPr>
          <w:rFonts w:ascii="Arial" w:hAnsi="Times New Roman" w:eastAsia="宋体" w:cs="Arial"/>
          <w:color w:val="auto"/>
          <w:kern w:val="0"/>
          <w:sz w:val="26"/>
          <w:szCs w:val="26"/>
          <w:highlight w:val="none"/>
        </w:rPr>
        <w:t>16</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r>
        <w:rPr>
          <w:rFonts w:ascii="Arial" w:hAnsi="Times New Roman" w:eastAsia="宋体" w:cs="Arial"/>
          <w:color w:val="auto"/>
          <w:kern w:val="0"/>
          <w:sz w:val="26"/>
          <w:szCs w:val="26"/>
          <w:highlight w:val="none"/>
        </w:rPr>
        <w:t>2021</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日实施；</w:t>
      </w:r>
    </w:p>
    <w:p w14:paraId="23C7135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w:t>
      </w:r>
      <w:r>
        <w:rPr>
          <w:rFonts w:hint="eastAsia" w:ascii="Arial" w:hAnsi="Times New Roman" w:eastAsia="宋体" w:cs="Arial"/>
          <w:color w:val="auto"/>
          <w:kern w:val="0"/>
          <w:sz w:val="26"/>
          <w:szCs w:val="26"/>
          <w:highlight w:val="none"/>
          <w:lang w:val="en-US" w:eastAsia="zh-CN"/>
        </w:rPr>
        <w:t>5</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《产业结构调整指导目录</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w:t>
      </w:r>
      <w:r>
        <w:rPr>
          <w:rFonts w:hint="eastAsia" w:ascii="Arial" w:cs="Arial"/>
          <w:color w:val="auto"/>
          <w:kern w:val="0"/>
          <w:sz w:val="26"/>
          <w:szCs w:val="26"/>
          <w:highlight w:val="none"/>
          <w:lang w:val="en-US" w:eastAsia="zh-CN"/>
        </w:rPr>
        <w:t>24</w:t>
      </w:r>
      <w:r>
        <w:rPr>
          <w:rFonts w:hint="eastAsia" w:ascii="Arial" w:hAnsi="Times New Roman" w:eastAsia="宋体" w:cs="Arial"/>
          <w:color w:val="auto"/>
          <w:kern w:val="0"/>
          <w:sz w:val="26"/>
          <w:szCs w:val="26"/>
          <w:highlight w:val="none"/>
        </w:rPr>
        <w:t>年本</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p>
    <w:p w14:paraId="2B1318EA">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w:t>
      </w:r>
      <w:r>
        <w:rPr>
          <w:rFonts w:hint="eastAsia" w:ascii="Arial" w:hAnsi="Times New Roman" w:eastAsia="宋体" w:cs="Arial"/>
          <w:color w:val="auto"/>
          <w:kern w:val="0"/>
          <w:sz w:val="26"/>
          <w:szCs w:val="26"/>
          <w:highlight w:val="none"/>
          <w:lang w:val="en-US" w:eastAsia="zh-CN"/>
        </w:rPr>
        <w:t>6</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r>
        <w:rPr>
          <w:rFonts w:hint="eastAsia" w:ascii="Arial" w:cs="Arial"/>
          <w:color w:val="auto"/>
          <w:kern w:val="0"/>
          <w:sz w:val="26"/>
          <w:szCs w:val="26"/>
          <w:highlight w:val="none"/>
          <w:lang w:eastAsia="zh-CN"/>
        </w:rPr>
        <w:t>中华人民共和国水土保持法实施条例</w:t>
      </w:r>
      <w:r>
        <w:rPr>
          <w:rFonts w:hint="eastAsia" w:ascii="Arial" w:hAnsi="Times New Roman" w:eastAsia="宋体" w:cs="Arial"/>
          <w:color w:val="auto"/>
          <w:kern w:val="0"/>
          <w:sz w:val="26"/>
          <w:szCs w:val="26"/>
          <w:highlight w:val="none"/>
        </w:rPr>
        <w:t>》</w:t>
      </w: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2011年1月8日修订</w:t>
      </w:r>
      <w:r>
        <w:rPr>
          <w:rFonts w:hint="eastAsia" w:ascii="Arial" w:hAnsi="Times New Roman" w:eastAsia="宋体" w:cs="Arial"/>
          <w:color w:val="auto"/>
          <w:kern w:val="0"/>
          <w:sz w:val="26"/>
          <w:szCs w:val="26"/>
          <w:highlight w:val="none"/>
        </w:rPr>
        <w:t>；</w:t>
      </w:r>
    </w:p>
    <w:p w14:paraId="34528C6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27）《中华人民共和国河道管理条例》，2018年3月19日修订；</w:t>
      </w:r>
    </w:p>
    <w:p w14:paraId="4E39A3A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28）《中华人民共和国土地管理法实施条例》，2021年9月1日施行；</w:t>
      </w:r>
    </w:p>
    <w:p w14:paraId="06AAFBA5">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29）《中共中央国务院关于加快水利改革发展的决定》</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eastAsia="zh-CN"/>
        </w:rPr>
        <w:t>中发</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w:t>
      </w:r>
      <w:r>
        <w:rPr>
          <w:rFonts w:hint="eastAsia" w:ascii="Arial" w:hAnsi="Times New Roman" w:cs="Arial"/>
          <w:color w:val="auto"/>
          <w:kern w:val="0"/>
          <w:sz w:val="26"/>
          <w:szCs w:val="26"/>
          <w:highlight w:val="none"/>
          <w:lang w:val="en-US" w:eastAsia="zh-CN"/>
        </w:rPr>
        <w:t>1</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1</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w:t>
      </w:r>
    </w:p>
    <w:p w14:paraId="151E98A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30）《中共中央国务院关于加快推进生态文明建设的意见》</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eastAsia="zh-CN"/>
        </w:rPr>
        <w:t>中发</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w:t>
      </w:r>
      <w:r>
        <w:rPr>
          <w:rFonts w:hint="eastAsia" w:ascii="Arial" w:hAnsi="Times New Roman" w:cs="Arial"/>
          <w:color w:val="auto"/>
          <w:kern w:val="0"/>
          <w:sz w:val="26"/>
          <w:szCs w:val="26"/>
          <w:highlight w:val="none"/>
          <w:lang w:val="en-US" w:eastAsia="zh-CN"/>
        </w:rPr>
        <w:t>15</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12</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w:t>
      </w:r>
    </w:p>
    <w:p w14:paraId="562F3B2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31）《国务院关于加强环境保护重点工作的意见》</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国发</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2011</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35</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p>
    <w:p w14:paraId="0C0AA59D">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32）《国务院关于实行最严格水资源管理制度的意见》</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国发</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2012</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p>
    <w:p w14:paraId="3ED4F84D">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val="en-US" w:eastAsia="zh-CN"/>
        </w:rPr>
        <w:t>（3</w:t>
      </w:r>
      <w:r>
        <w:rPr>
          <w:rFonts w:hint="eastAsia" w:ascii="Arial" w:hAnsi="Times New Roman" w:cs="Arial"/>
          <w:color w:val="auto"/>
          <w:kern w:val="0"/>
          <w:sz w:val="26"/>
          <w:szCs w:val="26"/>
          <w:highlight w:val="none"/>
          <w:lang w:val="en-US" w:eastAsia="zh-CN"/>
        </w:rPr>
        <w:t>3</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《国务院关于印发水污染防治行动计划的通知》</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国发</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2015</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17</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p>
    <w:p w14:paraId="7001D5DB">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val="en-US" w:eastAsia="zh-CN"/>
        </w:rPr>
        <w:t>（3</w:t>
      </w:r>
      <w:r>
        <w:rPr>
          <w:rFonts w:hint="eastAsia" w:ascii="Arial" w:hAnsi="Times New Roman" w:cs="Arial"/>
          <w:color w:val="auto"/>
          <w:kern w:val="0"/>
          <w:sz w:val="26"/>
          <w:szCs w:val="26"/>
          <w:highlight w:val="none"/>
          <w:lang w:val="en-US" w:eastAsia="zh-CN"/>
        </w:rPr>
        <w:t>4</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《国务院关于印发大气污染防治行动计划的通知》</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国发</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2013</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37</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p>
    <w:p w14:paraId="6F4E65E2">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3</w:t>
      </w:r>
      <w:r>
        <w:rPr>
          <w:rFonts w:hint="eastAsia" w:ascii="Arial" w:hAnsi="Times New Roman" w:cs="Arial"/>
          <w:color w:val="auto"/>
          <w:kern w:val="0"/>
          <w:sz w:val="26"/>
          <w:szCs w:val="26"/>
          <w:highlight w:val="none"/>
          <w:lang w:val="en-US" w:eastAsia="zh-CN"/>
        </w:rPr>
        <w:t>5</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《国务院关于印发土壤污染防治行动计划的通》</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国发</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2016</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31</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p>
    <w:p w14:paraId="2A768C4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36</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《环境影响评价公众参与办法》</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生态环境部令第</w:t>
      </w:r>
      <w:r>
        <w:rPr>
          <w:rFonts w:ascii="Arial" w:hAnsi="Times New Roman" w:eastAsia="宋体" w:cs="Arial"/>
          <w:color w:val="auto"/>
          <w:kern w:val="0"/>
          <w:sz w:val="26"/>
          <w:szCs w:val="26"/>
          <w:highlight w:val="none"/>
        </w:rPr>
        <w:t>4</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r>
        <w:rPr>
          <w:rFonts w:ascii="Arial" w:hAnsi="Times New Roman" w:eastAsia="宋体" w:cs="Arial"/>
          <w:color w:val="auto"/>
          <w:kern w:val="0"/>
          <w:sz w:val="26"/>
          <w:szCs w:val="26"/>
          <w:highlight w:val="none"/>
        </w:rPr>
        <w:t>2019</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日施行；</w:t>
      </w:r>
    </w:p>
    <w:p w14:paraId="48C5006D">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37）《关于印发&lt;水电水利建设项目河道生态用水、低温水和过鱼设施环境影响评价技术指南（试行）&gt;的函》</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eastAsia="zh-CN"/>
        </w:rPr>
        <w:t>环评函</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w:t>
      </w:r>
      <w:r>
        <w:rPr>
          <w:rFonts w:hint="eastAsia" w:ascii="Arial" w:hAnsi="Times New Roman" w:cs="Arial"/>
          <w:color w:val="auto"/>
          <w:kern w:val="0"/>
          <w:sz w:val="26"/>
          <w:szCs w:val="26"/>
          <w:highlight w:val="none"/>
          <w:lang w:val="en-US" w:eastAsia="zh-CN"/>
        </w:rPr>
        <w:t>06</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4</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p>
    <w:p w14:paraId="4C365A6E">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38）《关于印发水利水电建设项目水环境与生态环境保护技术政策研讨会会议纪要的函》</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eastAsia="zh-CN"/>
        </w:rPr>
        <w:t>环办函</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w:t>
      </w:r>
      <w:r>
        <w:rPr>
          <w:rFonts w:hint="eastAsia" w:ascii="Arial" w:hAnsi="Times New Roman" w:cs="Arial"/>
          <w:color w:val="auto"/>
          <w:kern w:val="0"/>
          <w:sz w:val="26"/>
          <w:szCs w:val="26"/>
          <w:highlight w:val="none"/>
          <w:lang w:val="en-US" w:eastAsia="zh-CN"/>
        </w:rPr>
        <w:t>06</w:t>
      </w: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11</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p>
    <w:p w14:paraId="1026167E">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39）</w:t>
      </w:r>
      <w:r>
        <w:rPr>
          <w:rFonts w:hint="eastAsia" w:ascii="Arial" w:hAnsi="Times New Roman" w:eastAsia="宋体" w:cs="Arial"/>
          <w:color w:val="auto"/>
          <w:kern w:val="0"/>
          <w:sz w:val="26"/>
          <w:szCs w:val="26"/>
          <w:highlight w:val="none"/>
        </w:rPr>
        <w:t>《国务院办公厅关于加强饮用水安全保障工作的通知》</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国发办</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2005</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45</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p>
    <w:p w14:paraId="5BF6E41B">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40）</w:t>
      </w:r>
      <w:r>
        <w:rPr>
          <w:rFonts w:hint="eastAsia" w:ascii="Arial" w:hAnsi="Times New Roman" w:eastAsia="宋体" w:cs="Arial"/>
          <w:color w:val="auto"/>
          <w:kern w:val="0"/>
          <w:sz w:val="26"/>
          <w:szCs w:val="26"/>
          <w:highlight w:val="none"/>
        </w:rPr>
        <w:t>《关于加强规划环境影响评价与建设项目环境影响评价联动工作的意见》</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环发</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2015</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178</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r>
        <w:rPr>
          <w:rFonts w:ascii="Arial" w:hAnsi="Times New Roman" w:eastAsia="宋体" w:cs="Arial"/>
          <w:color w:val="auto"/>
          <w:kern w:val="0"/>
          <w:sz w:val="26"/>
          <w:szCs w:val="26"/>
          <w:highlight w:val="none"/>
        </w:rPr>
        <w:t>2016</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4</w:t>
      </w:r>
      <w:r>
        <w:rPr>
          <w:rFonts w:hint="eastAsia" w:ascii="Arial" w:hAnsi="Times New Roman" w:eastAsia="宋体" w:cs="Arial"/>
          <w:color w:val="auto"/>
          <w:kern w:val="0"/>
          <w:sz w:val="26"/>
          <w:szCs w:val="26"/>
          <w:highlight w:val="none"/>
        </w:rPr>
        <w:t>日起施行；</w:t>
      </w:r>
    </w:p>
    <w:p w14:paraId="127EFEA8">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41）</w:t>
      </w:r>
      <w:r>
        <w:rPr>
          <w:rFonts w:hint="eastAsia" w:ascii="Arial" w:hAnsi="Times New Roman" w:eastAsia="宋体" w:cs="Arial"/>
          <w:color w:val="auto"/>
          <w:kern w:val="0"/>
          <w:sz w:val="26"/>
          <w:szCs w:val="26"/>
          <w:highlight w:val="none"/>
          <w:lang w:eastAsia="zh-CN"/>
        </w:rPr>
        <w:t>《关于</w:t>
      </w:r>
      <w:r>
        <w:rPr>
          <w:rFonts w:hint="eastAsia" w:ascii="Arial" w:cs="Arial"/>
          <w:color w:val="auto"/>
          <w:kern w:val="0"/>
          <w:sz w:val="26"/>
          <w:szCs w:val="26"/>
          <w:highlight w:val="none"/>
          <w:lang w:eastAsia="zh-CN"/>
        </w:rPr>
        <w:t>一</w:t>
      </w:r>
      <w:r>
        <w:rPr>
          <w:rFonts w:hint="eastAsia" w:ascii="Arial" w:hAnsi="Times New Roman" w:eastAsia="宋体" w:cs="Arial"/>
          <w:color w:val="auto"/>
          <w:kern w:val="0"/>
          <w:sz w:val="26"/>
          <w:szCs w:val="26"/>
          <w:highlight w:val="none"/>
          <w:lang w:eastAsia="zh-CN"/>
        </w:rPr>
        <w:t>进步加强分散式饮用水水源地环境保护工作的通知》</w:t>
      </w:r>
      <w:r>
        <w:rPr>
          <w:rFonts w:hint="eastAsia" w:ascii="Arial"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环办</w:t>
      </w:r>
      <w:r>
        <w:rPr>
          <w:rFonts w:hint="eastAsia" w:ascii="宋体" w:hAnsi="宋体" w:eastAsia="宋体" w:cs="宋体"/>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2010</w:t>
      </w:r>
      <w:r>
        <w:rPr>
          <w:rFonts w:hint="eastAsia" w:ascii="宋体" w:hAnsi="宋体" w:eastAsia="宋体" w:cs="宋体"/>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132号</w:t>
      </w:r>
      <w:r>
        <w:rPr>
          <w:rFonts w:hint="eastAsia" w:ascii="Arial" w:cs="Arial"/>
          <w:color w:val="auto"/>
          <w:kern w:val="0"/>
          <w:sz w:val="26"/>
          <w:szCs w:val="26"/>
          <w:highlight w:val="none"/>
          <w:lang w:eastAsia="zh-CN"/>
        </w:rPr>
        <w:t>）；</w:t>
      </w:r>
    </w:p>
    <w:p w14:paraId="6973A71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42）</w:t>
      </w:r>
      <w:r>
        <w:rPr>
          <w:rFonts w:hint="eastAsia" w:ascii="Arial" w:hAnsi="Times New Roman" w:eastAsia="宋体" w:cs="Arial"/>
          <w:color w:val="auto"/>
          <w:kern w:val="0"/>
          <w:sz w:val="26"/>
          <w:szCs w:val="26"/>
          <w:highlight w:val="none"/>
          <w:lang w:eastAsia="zh-CN"/>
        </w:rPr>
        <w:t>《饮用水水源保护区污染防治管理规定》</w:t>
      </w:r>
      <w:r>
        <w:rPr>
          <w:rFonts w:hint="eastAsia" w:ascii="Arial"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环境保护令第16号文件修改，2010年</w:t>
      </w:r>
      <w:r>
        <w:rPr>
          <w:rFonts w:hint="eastAsia" w:ascii="Arial" w:cs="Arial"/>
          <w:color w:val="auto"/>
          <w:kern w:val="0"/>
          <w:sz w:val="26"/>
          <w:szCs w:val="26"/>
          <w:highlight w:val="none"/>
          <w:lang w:eastAsia="zh-CN"/>
        </w:rPr>
        <w:t>）；</w:t>
      </w:r>
    </w:p>
    <w:p w14:paraId="19A5A52A">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43）</w:t>
      </w:r>
      <w:r>
        <w:rPr>
          <w:rFonts w:hint="eastAsia" w:ascii="Arial" w:hAnsi="Times New Roman" w:eastAsia="宋体" w:cs="Arial"/>
          <w:color w:val="auto"/>
          <w:kern w:val="0"/>
          <w:sz w:val="26"/>
          <w:szCs w:val="26"/>
          <w:highlight w:val="none"/>
          <w:lang w:eastAsia="zh-CN"/>
        </w:rPr>
        <w:t>《关于加强环境噪声污染防治工作改善城乡声环境质量的指导意见》</w:t>
      </w:r>
      <w:r>
        <w:rPr>
          <w:rFonts w:hint="eastAsia" w:ascii="Arial"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环发</w:t>
      </w:r>
      <w:r>
        <w:rPr>
          <w:rFonts w:hint="eastAsia" w:ascii="宋体" w:hAnsi="宋体" w:eastAsia="宋体" w:cs="宋体"/>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2010</w:t>
      </w:r>
      <w:r>
        <w:rPr>
          <w:rFonts w:hint="eastAsia" w:ascii="宋体" w:hAnsi="宋体" w:eastAsia="宋体" w:cs="宋体"/>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144号</w:t>
      </w:r>
      <w:r>
        <w:rPr>
          <w:rFonts w:hint="eastAsia" w:ascii="Arial" w:cs="Arial"/>
          <w:color w:val="auto"/>
          <w:kern w:val="0"/>
          <w:sz w:val="26"/>
          <w:szCs w:val="26"/>
          <w:highlight w:val="none"/>
          <w:lang w:eastAsia="zh-CN"/>
        </w:rPr>
        <w:t>）；</w:t>
      </w:r>
    </w:p>
    <w:p w14:paraId="4F2E1C45">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44）</w:t>
      </w:r>
      <w:r>
        <w:rPr>
          <w:rFonts w:hint="eastAsia" w:ascii="Arial" w:hAnsi="Times New Roman" w:eastAsia="宋体" w:cs="Arial"/>
          <w:color w:val="auto"/>
          <w:kern w:val="0"/>
          <w:sz w:val="26"/>
          <w:szCs w:val="26"/>
          <w:highlight w:val="none"/>
          <w:lang w:eastAsia="zh-CN"/>
        </w:rPr>
        <w:t>《集中式地表饮用水水源地环境应急管理工作指南</w:t>
      </w:r>
      <w:r>
        <w:rPr>
          <w:rFonts w:hint="eastAsia" w:ascii="宋体" w:hAnsi="宋体" w:eastAsia="宋体" w:cs="宋体"/>
          <w:color w:val="auto"/>
          <w:kern w:val="0"/>
          <w:sz w:val="26"/>
          <w:szCs w:val="26"/>
          <w:highlight w:val="none"/>
          <w:lang w:eastAsia="zh-CN"/>
        </w:rPr>
        <w:t>(试行)</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环办</w:t>
      </w:r>
      <w:r>
        <w:rPr>
          <w:rFonts w:hint="eastAsia" w:ascii="宋体" w:hAnsi="宋体" w:eastAsia="宋体" w:cs="宋体"/>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2011</w:t>
      </w:r>
      <w:r>
        <w:rPr>
          <w:rFonts w:hint="eastAsia" w:ascii="宋体" w:hAnsi="宋体" w:eastAsia="宋体" w:cs="宋体"/>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93号</w:t>
      </w:r>
      <w:r>
        <w:rPr>
          <w:rFonts w:hint="eastAsia" w:ascii="Arial" w:cs="Arial"/>
          <w:color w:val="auto"/>
          <w:kern w:val="0"/>
          <w:sz w:val="26"/>
          <w:szCs w:val="26"/>
          <w:highlight w:val="none"/>
          <w:lang w:eastAsia="zh-CN"/>
        </w:rPr>
        <w:t>）；</w:t>
      </w:r>
    </w:p>
    <w:p w14:paraId="7F00438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45</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《关于进一步加强环境影响评价管理防范环境风险的通知》</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环发</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2012</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77</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r>
        <w:rPr>
          <w:rFonts w:ascii="Arial" w:hAnsi="Times New Roman" w:eastAsia="宋体" w:cs="Arial"/>
          <w:color w:val="auto"/>
          <w:kern w:val="0"/>
          <w:sz w:val="26"/>
          <w:szCs w:val="26"/>
          <w:highlight w:val="none"/>
        </w:rPr>
        <w:t>2012</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7</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3</w:t>
      </w:r>
      <w:r>
        <w:rPr>
          <w:rFonts w:hint="eastAsia" w:ascii="Arial" w:hAnsi="Times New Roman" w:eastAsia="宋体" w:cs="Arial"/>
          <w:color w:val="auto"/>
          <w:kern w:val="0"/>
          <w:sz w:val="26"/>
          <w:szCs w:val="26"/>
          <w:highlight w:val="none"/>
        </w:rPr>
        <w:t>日施行；</w:t>
      </w:r>
    </w:p>
    <w:p w14:paraId="5A9CDA18">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46</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《关于切实加强风险防范严格环境影响评价管理的通知》</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环发</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2012</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98</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w:t>
      </w:r>
      <w:r>
        <w:rPr>
          <w:rFonts w:ascii="Arial" w:hAnsi="Times New Roman" w:eastAsia="宋体" w:cs="Arial"/>
          <w:color w:val="auto"/>
          <w:kern w:val="0"/>
          <w:sz w:val="26"/>
          <w:szCs w:val="26"/>
          <w:highlight w:val="none"/>
        </w:rPr>
        <w:t>2012</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8</w:t>
      </w:r>
      <w:r>
        <w:rPr>
          <w:rFonts w:hint="eastAsia" w:ascii="Arial" w:hAnsi="Times New Roman" w:eastAsia="宋体" w:cs="Arial"/>
          <w:color w:val="auto"/>
          <w:kern w:val="0"/>
          <w:sz w:val="26"/>
          <w:szCs w:val="26"/>
          <w:highlight w:val="none"/>
        </w:rPr>
        <w:t>月</w:t>
      </w:r>
      <w:r>
        <w:rPr>
          <w:rFonts w:ascii="Arial" w:hAnsi="Times New Roman" w:eastAsia="宋体" w:cs="Arial"/>
          <w:color w:val="auto"/>
          <w:kern w:val="0"/>
          <w:sz w:val="26"/>
          <w:szCs w:val="26"/>
          <w:highlight w:val="none"/>
        </w:rPr>
        <w:t>8</w:t>
      </w:r>
      <w:r>
        <w:rPr>
          <w:rFonts w:hint="eastAsia" w:ascii="Arial" w:hAnsi="Times New Roman" w:eastAsia="宋体" w:cs="Arial"/>
          <w:color w:val="auto"/>
          <w:kern w:val="0"/>
          <w:sz w:val="26"/>
          <w:szCs w:val="26"/>
          <w:highlight w:val="none"/>
        </w:rPr>
        <w:t>日施行；</w:t>
      </w:r>
    </w:p>
    <w:p w14:paraId="781BDA3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47）</w:t>
      </w:r>
      <w:r>
        <w:rPr>
          <w:rFonts w:hint="eastAsia" w:ascii="Arial" w:hAnsi="Times New Roman" w:eastAsia="宋体" w:cs="Arial"/>
          <w:color w:val="auto"/>
          <w:kern w:val="0"/>
          <w:sz w:val="26"/>
          <w:szCs w:val="26"/>
          <w:highlight w:val="none"/>
          <w:lang w:eastAsia="zh-CN"/>
        </w:rPr>
        <w:t>《关于进一步加强水生生物资源保护严格环境影响评价管理的通知</w:t>
      </w:r>
      <w:r>
        <w:rPr>
          <w:rFonts w:hint="eastAsia" w:ascii="Arial"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环发</w:t>
      </w:r>
      <w:r>
        <w:rPr>
          <w:rFonts w:hint="eastAsia" w:ascii="宋体" w:hAnsi="宋体" w:eastAsia="宋体" w:cs="宋体"/>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2013</w:t>
      </w:r>
      <w:r>
        <w:rPr>
          <w:rFonts w:hint="eastAsia" w:ascii="宋体" w:hAnsi="宋体" w:eastAsia="宋体" w:cs="宋体"/>
          <w:color w:val="auto"/>
          <w:kern w:val="0"/>
          <w:sz w:val="26"/>
          <w:szCs w:val="26"/>
          <w:highlight w:val="none"/>
          <w:lang w:eastAsia="zh-CN"/>
        </w:rPr>
        <w:t>〕</w:t>
      </w:r>
      <w:r>
        <w:rPr>
          <w:rFonts w:hint="eastAsia" w:ascii="Arial" w:hAnsi="Times New Roman" w:eastAsia="宋体" w:cs="Arial"/>
          <w:color w:val="auto"/>
          <w:kern w:val="0"/>
          <w:sz w:val="26"/>
          <w:szCs w:val="26"/>
          <w:highlight w:val="none"/>
          <w:lang w:eastAsia="zh-CN"/>
        </w:rPr>
        <w:t>86号</w:t>
      </w:r>
      <w:r>
        <w:rPr>
          <w:rFonts w:hint="eastAsia" w:ascii="Arial" w:cs="Arial"/>
          <w:color w:val="auto"/>
          <w:kern w:val="0"/>
          <w:sz w:val="26"/>
          <w:szCs w:val="26"/>
          <w:highlight w:val="none"/>
          <w:lang w:eastAsia="zh-CN"/>
        </w:rPr>
        <w:t>）；</w:t>
      </w:r>
    </w:p>
    <w:p w14:paraId="3D27A98E">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48）《关于发布湖（库）富营养化防治技术政策的公告》（公告2017年第51号）；</w:t>
      </w:r>
    </w:p>
    <w:p w14:paraId="3E45219A">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cs="Arial"/>
          <w:color w:val="auto"/>
          <w:kern w:val="0"/>
          <w:sz w:val="26"/>
          <w:szCs w:val="26"/>
          <w:highlight w:val="none"/>
          <w:lang w:val="en-US" w:eastAsia="zh-CN"/>
        </w:rPr>
      </w:pPr>
      <w:r>
        <w:rPr>
          <w:rFonts w:hint="eastAsia" w:ascii="Arial" w:hAnsi="Times New Roman" w:cs="Arial"/>
          <w:color w:val="auto"/>
          <w:kern w:val="0"/>
          <w:sz w:val="26"/>
          <w:szCs w:val="26"/>
          <w:highlight w:val="none"/>
          <w:lang w:val="en-US" w:eastAsia="zh-CN"/>
        </w:rPr>
        <w:t>（49）《关于印发&lt;长江经济带生态环境保护规划&gt;的通知》（</w:t>
      </w:r>
      <w:r>
        <w:rPr>
          <w:rFonts w:hint="eastAsia" w:ascii="Arial" w:hAnsi="Times New Roman" w:cs="Arial"/>
          <w:color w:val="auto"/>
          <w:kern w:val="0"/>
          <w:sz w:val="26"/>
          <w:szCs w:val="26"/>
          <w:highlight w:val="none"/>
          <w:lang w:eastAsia="zh-CN"/>
        </w:rPr>
        <w:t>环规财〔201</w:t>
      </w:r>
      <w:r>
        <w:rPr>
          <w:rFonts w:hint="eastAsia" w:ascii="Arial" w:hAnsi="Times New Roman" w:cs="Arial"/>
          <w:color w:val="auto"/>
          <w:kern w:val="0"/>
          <w:sz w:val="26"/>
          <w:szCs w:val="26"/>
          <w:highlight w:val="none"/>
          <w:lang w:val="en-US" w:eastAsia="zh-CN"/>
        </w:rPr>
        <w:t>7</w:t>
      </w:r>
      <w:r>
        <w:rPr>
          <w:rFonts w:hint="eastAsia" w:ascii="Arial" w:hAnsi="Times New Roman" w:cs="Arial"/>
          <w:color w:val="auto"/>
          <w:kern w:val="0"/>
          <w:sz w:val="26"/>
          <w:szCs w:val="26"/>
          <w:highlight w:val="none"/>
          <w:lang w:eastAsia="zh-CN"/>
        </w:rPr>
        <w:t>〕8</w:t>
      </w:r>
      <w:r>
        <w:rPr>
          <w:rFonts w:hint="eastAsia" w:ascii="Arial" w:hAnsi="Times New Roman" w:cs="Arial"/>
          <w:color w:val="auto"/>
          <w:kern w:val="0"/>
          <w:sz w:val="26"/>
          <w:szCs w:val="26"/>
          <w:highlight w:val="none"/>
          <w:lang w:val="en-US" w:eastAsia="zh-CN"/>
        </w:rPr>
        <w:t>8</w:t>
      </w:r>
      <w:r>
        <w:rPr>
          <w:rFonts w:hint="eastAsia" w:ascii="Arial" w:hAnsi="Times New Roman" w:cs="Arial"/>
          <w:color w:val="auto"/>
          <w:kern w:val="0"/>
          <w:sz w:val="26"/>
          <w:szCs w:val="26"/>
          <w:highlight w:val="none"/>
          <w:lang w:eastAsia="zh-CN"/>
        </w:rPr>
        <w:t>号）；</w:t>
      </w:r>
    </w:p>
    <w:p w14:paraId="5FD02B82">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50）《关于印发&lt;长江保护修复攻坚战行动计划&gt;的通知》（</w:t>
      </w:r>
      <w:r>
        <w:rPr>
          <w:rFonts w:hint="eastAsia" w:ascii="Arial" w:hAnsi="Times New Roman" w:cs="Arial"/>
          <w:color w:val="auto"/>
          <w:kern w:val="0"/>
          <w:sz w:val="26"/>
          <w:szCs w:val="26"/>
          <w:highlight w:val="none"/>
          <w:lang w:eastAsia="zh-CN"/>
        </w:rPr>
        <w:t>环水体〔201</w:t>
      </w:r>
      <w:r>
        <w:rPr>
          <w:rFonts w:hint="eastAsia" w:ascii="Arial" w:hAnsi="Times New Roman" w:cs="Arial"/>
          <w:color w:val="auto"/>
          <w:kern w:val="0"/>
          <w:sz w:val="26"/>
          <w:szCs w:val="26"/>
          <w:highlight w:val="none"/>
          <w:lang w:val="en-US" w:eastAsia="zh-CN"/>
        </w:rPr>
        <w:t>8</w:t>
      </w:r>
      <w:r>
        <w:rPr>
          <w:rFonts w:hint="eastAsia" w:ascii="Arial" w:hAnsi="Times New Roman"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181</w:t>
      </w:r>
      <w:r>
        <w:rPr>
          <w:rFonts w:hint="eastAsia" w:ascii="Arial" w:hAnsi="Times New Roman" w:cs="Arial"/>
          <w:color w:val="auto"/>
          <w:kern w:val="0"/>
          <w:sz w:val="26"/>
          <w:szCs w:val="26"/>
          <w:highlight w:val="none"/>
          <w:lang w:eastAsia="zh-CN"/>
        </w:rPr>
        <w:t>号）；</w:t>
      </w:r>
    </w:p>
    <w:p w14:paraId="1D34177F">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51）《国家重点保护野生动物名录》（国家林业和草原局、农业农村部公告2021年第3号）；</w:t>
      </w:r>
    </w:p>
    <w:p w14:paraId="27B04519">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52）《国家重点保护野生动物名录》（国家林业和草原局、农业农村部公告2021年第15号）；</w:t>
      </w:r>
    </w:p>
    <w:p w14:paraId="32D10A7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53</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《中共中央办公厅</w:t>
      </w:r>
      <w:r>
        <w:rPr>
          <w:rFonts w:ascii="Arial" w:hAnsi="Times New Roman" w:eastAsia="宋体" w:cs="Arial"/>
          <w:color w:val="auto"/>
          <w:kern w:val="0"/>
          <w:sz w:val="26"/>
          <w:szCs w:val="26"/>
          <w:highlight w:val="none"/>
        </w:rPr>
        <w:t xml:space="preserve"> </w:t>
      </w:r>
      <w:r>
        <w:rPr>
          <w:rFonts w:hint="eastAsia" w:ascii="Arial" w:hAnsi="Times New Roman" w:eastAsia="宋体" w:cs="Arial"/>
          <w:color w:val="auto"/>
          <w:kern w:val="0"/>
          <w:sz w:val="26"/>
          <w:szCs w:val="26"/>
          <w:highlight w:val="none"/>
        </w:rPr>
        <w:t>国务院办公厅印发</w:t>
      </w:r>
      <w:r>
        <w:rPr>
          <w:rFonts w:ascii="Arial" w:hAnsi="Times New Roman" w:eastAsia="宋体" w:cs="Arial"/>
          <w:color w:val="auto"/>
          <w:kern w:val="0"/>
          <w:sz w:val="26"/>
          <w:szCs w:val="26"/>
          <w:highlight w:val="none"/>
        </w:rPr>
        <w:t>&lt;</w:t>
      </w:r>
      <w:r>
        <w:rPr>
          <w:rFonts w:hint="eastAsia" w:ascii="Arial" w:hAnsi="Times New Roman" w:eastAsia="宋体" w:cs="Arial"/>
          <w:color w:val="auto"/>
          <w:kern w:val="0"/>
          <w:sz w:val="26"/>
          <w:szCs w:val="26"/>
          <w:highlight w:val="none"/>
        </w:rPr>
        <w:t>关于在国土空间规划中统筹划定落实三条控制线的指导意见</w:t>
      </w:r>
      <w:r>
        <w:rPr>
          <w:rFonts w:ascii="Arial" w:hAnsi="Times New Roman" w:eastAsia="宋体" w:cs="Arial"/>
          <w:color w:val="auto"/>
          <w:kern w:val="0"/>
          <w:sz w:val="26"/>
          <w:szCs w:val="26"/>
          <w:highlight w:val="none"/>
        </w:rPr>
        <w:t>&gt;</w:t>
      </w:r>
      <w:r>
        <w:rPr>
          <w:rFonts w:hint="eastAsia" w:ascii="Arial" w:hAnsi="Times New Roman" w:eastAsia="宋体" w:cs="Arial"/>
          <w:color w:val="auto"/>
          <w:kern w:val="0"/>
          <w:sz w:val="26"/>
          <w:szCs w:val="26"/>
          <w:highlight w:val="none"/>
        </w:rPr>
        <w:t>》，</w:t>
      </w:r>
      <w:r>
        <w:rPr>
          <w:rFonts w:ascii="Arial" w:hAnsi="Times New Roman" w:eastAsia="宋体" w:cs="Arial"/>
          <w:color w:val="auto"/>
          <w:kern w:val="0"/>
          <w:sz w:val="26"/>
          <w:szCs w:val="26"/>
          <w:highlight w:val="none"/>
        </w:rPr>
        <w:t>2019</w:t>
      </w:r>
      <w:r>
        <w:rPr>
          <w:rFonts w:hint="eastAsia" w:ascii="Arial" w:hAnsi="Times New Roman" w:eastAsia="宋体" w:cs="Arial"/>
          <w:color w:val="auto"/>
          <w:kern w:val="0"/>
          <w:sz w:val="26"/>
          <w:szCs w:val="26"/>
          <w:highlight w:val="none"/>
        </w:rPr>
        <w:t>年</w:t>
      </w:r>
      <w:r>
        <w:rPr>
          <w:rFonts w:ascii="Arial" w:hAnsi="Times New Roman" w:eastAsia="宋体" w:cs="Arial"/>
          <w:color w:val="auto"/>
          <w:kern w:val="0"/>
          <w:sz w:val="26"/>
          <w:szCs w:val="26"/>
          <w:highlight w:val="none"/>
        </w:rPr>
        <w:t>11</w:t>
      </w:r>
      <w:r>
        <w:rPr>
          <w:rFonts w:hint="eastAsia" w:ascii="Arial" w:hAnsi="Times New Roman" w:eastAsia="宋体" w:cs="Arial"/>
          <w:color w:val="auto"/>
          <w:kern w:val="0"/>
          <w:sz w:val="26"/>
          <w:szCs w:val="26"/>
          <w:highlight w:val="none"/>
        </w:rPr>
        <w:t>月；</w:t>
      </w:r>
    </w:p>
    <w:p w14:paraId="62FF939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ascii="Arial" w:hAnsi="Times New Roman" w:eastAsia="宋体" w:cs="Arial"/>
          <w:color w:val="auto"/>
          <w:kern w:val="0"/>
          <w:sz w:val="26"/>
          <w:szCs w:val="26"/>
          <w:highlight w:val="none"/>
        </w:rPr>
      </w:pP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54</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《中共中央办公厅、国务院办公厅印发</w:t>
      </w:r>
      <w:r>
        <w:rPr>
          <w:rFonts w:ascii="Arial" w:hAnsi="Times New Roman" w:eastAsia="宋体" w:cs="Arial"/>
          <w:color w:val="auto"/>
          <w:kern w:val="0"/>
          <w:sz w:val="26"/>
          <w:szCs w:val="26"/>
          <w:highlight w:val="none"/>
        </w:rPr>
        <w:t>&lt;</w:t>
      </w:r>
      <w:r>
        <w:rPr>
          <w:rFonts w:hint="eastAsia" w:ascii="Arial" w:hAnsi="Times New Roman" w:eastAsia="宋体" w:cs="Arial"/>
          <w:color w:val="auto"/>
          <w:kern w:val="0"/>
          <w:sz w:val="26"/>
          <w:szCs w:val="26"/>
          <w:highlight w:val="none"/>
        </w:rPr>
        <w:t>关于划定并严守生态保护红线的若干意见</w:t>
      </w:r>
      <w:r>
        <w:rPr>
          <w:rFonts w:ascii="Arial" w:hAnsi="Times New Roman" w:eastAsia="宋体" w:cs="Arial"/>
          <w:color w:val="auto"/>
          <w:kern w:val="0"/>
          <w:sz w:val="26"/>
          <w:szCs w:val="26"/>
          <w:highlight w:val="none"/>
        </w:rPr>
        <w:t>&gt;</w:t>
      </w:r>
      <w:r>
        <w:rPr>
          <w:rFonts w:hint="eastAsia" w:ascii="Arial" w:hAnsi="Times New Roman" w:eastAsia="宋体" w:cs="Arial"/>
          <w:color w:val="auto"/>
          <w:kern w:val="0"/>
          <w:sz w:val="26"/>
          <w:szCs w:val="26"/>
          <w:highlight w:val="none"/>
        </w:rPr>
        <w:t>的通知》</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rPr>
        <w:t>厅字</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2017</w:t>
      </w:r>
      <w:r>
        <w:rPr>
          <w:rFonts w:hint="eastAsia" w:ascii="Arial" w:hAnsi="Times New Roman" w:eastAsia="宋体" w:cs="Arial"/>
          <w:color w:val="auto"/>
          <w:kern w:val="0"/>
          <w:sz w:val="26"/>
          <w:szCs w:val="26"/>
          <w:highlight w:val="none"/>
          <w:lang w:eastAsia="zh-CN"/>
        </w:rPr>
        <w:t>〕</w:t>
      </w:r>
      <w:r>
        <w:rPr>
          <w:rFonts w:ascii="Arial" w:hAnsi="Times New Roman" w:eastAsia="宋体" w:cs="Arial"/>
          <w:color w:val="auto"/>
          <w:kern w:val="0"/>
          <w:sz w:val="26"/>
          <w:szCs w:val="26"/>
          <w:highlight w:val="none"/>
        </w:rPr>
        <w:t>2</w:t>
      </w:r>
      <w:r>
        <w:rPr>
          <w:rFonts w:hint="eastAsia" w:ascii="Arial" w:hAnsi="Times New Roman" w:eastAsia="宋体" w:cs="Arial"/>
          <w:color w:val="auto"/>
          <w:kern w:val="0"/>
          <w:sz w:val="26"/>
          <w:szCs w:val="26"/>
          <w:highlight w:val="none"/>
        </w:rPr>
        <w:t>号</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w:t>
      </w:r>
    </w:p>
    <w:p w14:paraId="6D39C3C4">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ascii="Arial" w:hAnsi="Arial" w:eastAsia="宋体" w:cs="Arial"/>
          <w:b/>
          <w:color w:val="auto"/>
          <w:kern w:val="0"/>
          <w:sz w:val="26"/>
          <w:szCs w:val="20"/>
          <w:highlight w:val="none"/>
        </w:rPr>
      </w:pPr>
      <w:bookmarkStart w:id="18" w:name="_Toc36040977"/>
      <w:bookmarkStart w:id="19" w:name="_Toc34987778"/>
      <w:r>
        <w:rPr>
          <w:rFonts w:ascii="Arial" w:hAnsi="Arial" w:eastAsia="宋体" w:cs="Arial"/>
          <w:b/>
          <w:color w:val="auto"/>
          <w:kern w:val="0"/>
          <w:sz w:val="26"/>
          <w:szCs w:val="20"/>
          <w:highlight w:val="none"/>
        </w:rPr>
        <w:t>1.</w:t>
      </w:r>
      <w:r>
        <w:rPr>
          <w:rFonts w:hint="eastAsia" w:ascii="Arial" w:hAnsi="Arial" w:cs="Arial"/>
          <w:b/>
          <w:color w:val="auto"/>
          <w:kern w:val="0"/>
          <w:sz w:val="26"/>
          <w:szCs w:val="20"/>
          <w:highlight w:val="none"/>
          <w:lang w:val="en-US" w:eastAsia="zh-CN"/>
        </w:rPr>
        <w:t>3</w:t>
      </w:r>
      <w:r>
        <w:rPr>
          <w:rFonts w:ascii="Arial" w:hAnsi="Arial" w:eastAsia="宋体" w:cs="Arial"/>
          <w:b/>
          <w:color w:val="auto"/>
          <w:kern w:val="0"/>
          <w:sz w:val="26"/>
          <w:szCs w:val="20"/>
          <w:highlight w:val="none"/>
        </w:rPr>
        <w:t>.2 地方法规及规范性文件</w:t>
      </w:r>
      <w:bookmarkEnd w:id="18"/>
      <w:bookmarkEnd w:id="19"/>
    </w:p>
    <w:p w14:paraId="7B18121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（1）《重庆市环境保护条例》，2018年7月26日修正；</w:t>
      </w:r>
    </w:p>
    <w:p w14:paraId="44ABCE6A">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（2）《重庆市大气污染防治条例》，2021年5月27日修正；</w:t>
      </w:r>
    </w:p>
    <w:p w14:paraId="782C1CB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（3）《重庆市水污染防治条例》，2020年10月1日施行；</w:t>
      </w:r>
    </w:p>
    <w:p w14:paraId="0D385147">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（4）《重庆市噪声污染防治办法》，20</w:t>
      </w:r>
      <w:r>
        <w:rPr>
          <w:rFonts w:hint="eastAsia" w:ascii="Arial" w:cs="Arial"/>
          <w:color w:val="auto"/>
          <w:kern w:val="0"/>
          <w:sz w:val="26"/>
          <w:szCs w:val="26"/>
          <w:highlight w:val="none"/>
          <w:lang w:val="en-US" w:eastAsia="zh-CN"/>
        </w:rPr>
        <w:t>24</w:t>
      </w:r>
      <w:r>
        <w:rPr>
          <w:rFonts w:hint="eastAsia" w:ascii="Arial" w:hAnsi="Times New Roman" w:eastAsia="宋体" w:cs="Arial"/>
          <w:color w:val="auto"/>
          <w:kern w:val="0"/>
          <w:sz w:val="26"/>
          <w:szCs w:val="26"/>
          <w:highlight w:val="none"/>
          <w:lang w:eastAsia="zh-CN"/>
        </w:rPr>
        <w:t>年</w:t>
      </w:r>
      <w:r>
        <w:rPr>
          <w:rFonts w:hint="eastAsia" w:ascii="Arial" w:cs="Arial"/>
          <w:color w:val="auto"/>
          <w:kern w:val="0"/>
          <w:sz w:val="26"/>
          <w:szCs w:val="26"/>
          <w:highlight w:val="none"/>
          <w:lang w:val="en-US" w:eastAsia="zh-CN"/>
        </w:rPr>
        <w:t>2月1日施行</w:t>
      </w:r>
      <w:r>
        <w:rPr>
          <w:rFonts w:hint="eastAsia" w:ascii="Arial" w:hAnsi="Times New Roman" w:eastAsia="宋体" w:cs="Arial"/>
          <w:color w:val="auto"/>
          <w:kern w:val="0"/>
          <w:sz w:val="26"/>
          <w:szCs w:val="26"/>
          <w:highlight w:val="none"/>
          <w:lang w:eastAsia="zh-CN"/>
        </w:rPr>
        <w:t>；</w:t>
      </w:r>
    </w:p>
    <w:p w14:paraId="58EEDDF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val="en-US" w:eastAsia="zh-CN"/>
        </w:rPr>
        <w:t>5</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重庆市水资源管理条例（修订案）</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2022年5月1日起施行）；</w:t>
      </w:r>
    </w:p>
    <w:p w14:paraId="4CF658EE">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val="en-US" w:eastAsia="zh-CN"/>
        </w:rPr>
        <w:t>6</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重庆市林业局</w:t>
      </w:r>
      <w:r>
        <w:rPr>
          <w:rFonts w:hint="eastAsia" w:ascii="Arial" w:cs="Arial"/>
          <w:color w:val="auto"/>
          <w:kern w:val="0"/>
          <w:sz w:val="26"/>
          <w:szCs w:val="26"/>
          <w:highlight w:val="none"/>
          <w:lang w:val="en-US" w:eastAsia="zh-CN"/>
        </w:rPr>
        <w:t xml:space="preserve"> 重庆市农业农村委员会关于印发《重庆市重点保护野生动物名录》和《重庆市重点保护野生植物名录》的通知（渝林规范</w:t>
      </w:r>
      <w:r>
        <w:rPr>
          <w:rFonts w:hint="eastAsia" w:ascii="Arial" w:hAnsi="Times New Roman" w:eastAsia="宋体" w:cs="Arial"/>
          <w:color w:val="auto"/>
          <w:kern w:val="0"/>
          <w:sz w:val="26"/>
          <w:szCs w:val="26"/>
          <w:highlight w:val="none"/>
          <w:lang w:eastAsia="zh-CN"/>
        </w:rPr>
        <w:t>〔20</w:t>
      </w:r>
      <w:r>
        <w:rPr>
          <w:rFonts w:hint="eastAsia" w:ascii="Arial" w:hAnsi="Times New Roman" w:eastAsia="宋体" w:cs="Arial"/>
          <w:color w:val="auto"/>
          <w:kern w:val="0"/>
          <w:sz w:val="26"/>
          <w:szCs w:val="26"/>
          <w:highlight w:val="none"/>
          <w:lang w:val="en-US" w:eastAsia="zh-CN"/>
        </w:rPr>
        <w:t>23</w:t>
      </w: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val="en-US" w:eastAsia="zh-CN"/>
        </w:rPr>
        <w:t>2</w:t>
      </w:r>
      <w:r>
        <w:rPr>
          <w:rFonts w:hint="eastAsia" w:ascii="Arial" w:hAnsi="Times New Roman" w:eastAsia="宋体" w:cs="Arial"/>
          <w:color w:val="auto"/>
          <w:kern w:val="0"/>
          <w:sz w:val="26"/>
          <w:szCs w:val="26"/>
          <w:highlight w:val="none"/>
          <w:lang w:eastAsia="zh-CN"/>
        </w:rPr>
        <w:t>号</w:t>
      </w:r>
      <w:r>
        <w:rPr>
          <w:rFonts w:hint="eastAsia" w:ascii="Arial"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w:t>
      </w:r>
    </w:p>
    <w:p w14:paraId="3AA5E59D">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val="en-US" w:eastAsia="zh-CN"/>
        </w:rPr>
        <w:t>7</w:t>
      </w:r>
      <w:r>
        <w:rPr>
          <w:rFonts w:hint="eastAsia" w:ascii="Arial" w:hAnsi="Times New Roman" w:eastAsia="宋体" w:cs="Arial"/>
          <w:color w:val="auto"/>
          <w:kern w:val="0"/>
          <w:sz w:val="26"/>
          <w:szCs w:val="26"/>
          <w:highlight w:val="none"/>
          <w:lang w:eastAsia="zh-CN"/>
        </w:rPr>
        <w:t>）《重庆市声环境功能区划分技术规范实施细则（试行）》（渝环〔2015〕429号）；</w:t>
      </w:r>
    </w:p>
    <w:p w14:paraId="4874BD09">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val="en-US" w:eastAsia="zh-CN"/>
        </w:rPr>
        <w:t>8</w:t>
      </w:r>
      <w:r>
        <w:rPr>
          <w:rFonts w:hint="eastAsia" w:ascii="Arial" w:hAnsi="Times New Roman" w:eastAsia="宋体" w:cs="Arial"/>
          <w:color w:val="auto"/>
          <w:kern w:val="0"/>
          <w:sz w:val="26"/>
          <w:szCs w:val="26"/>
          <w:highlight w:val="none"/>
          <w:lang w:eastAsia="zh-CN"/>
        </w:rPr>
        <w:t>）《重庆市环境空气质量功能区划分规定》（渝府发〔2016〕19号）；</w:t>
      </w:r>
    </w:p>
    <w:p w14:paraId="1CE0E774">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val="en-US" w:eastAsia="zh-CN"/>
        </w:rPr>
        <w:t>9</w:t>
      </w:r>
      <w:r>
        <w:rPr>
          <w:rFonts w:hint="eastAsia" w:ascii="Arial" w:hAnsi="Times New Roman" w:eastAsia="宋体" w:cs="Arial"/>
          <w:color w:val="auto"/>
          <w:kern w:val="0"/>
          <w:sz w:val="26"/>
          <w:szCs w:val="26"/>
          <w:highlight w:val="none"/>
          <w:lang w:eastAsia="zh-CN"/>
        </w:rPr>
        <w:t>）《重庆市人民政府关于贯彻落实大气污染防治行动计划的实施意见》（渝府发〔2013〕86号）；</w:t>
      </w:r>
    </w:p>
    <w:p w14:paraId="211E786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val="en-US" w:eastAsia="zh-CN"/>
        </w:rPr>
        <w:t>10</w:t>
      </w:r>
      <w:r>
        <w:rPr>
          <w:rFonts w:hint="eastAsia" w:ascii="Arial" w:hAnsi="Times New Roman" w:eastAsia="宋体" w:cs="Arial"/>
          <w:color w:val="auto"/>
          <w:kern w:val="0"/>
          <w:sz w:val="26"/>
          <w:szCs w:val="26"/>
          <w:highlight w:val="none"/>
          <w:lang w:eastAsia="zh-CN"/>
        </w:rPr>
        <w:t>）《重庆市人民政府批转重庆市地表水环境功能类别调整方案的通知》（渝府发〔2012〕4号）；</w:t>
      </w:r>
    </w:p>
    <w:p w14:paraId="65B35643">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1</w:t>
      </w:r>
      <w:r>
        <w:rPr>
          <w:rFonts w:hint="eastAsia" w:ascii="Arial" w:hAnsi="Times New Roman" w:eastAsia="宋体" w:cs="Arial"/>
          <w:color w:val="auto"/>
          <w:kern w:val="0"/>
          <w:sz w:val="26"/>
          <w:szCs w:val="26"/>
          <w:highlight w:val="none"/>
          <w:lang w:eastAsia="zh-CN"/>
        </w:rPr>
        <w:t>）《重庆市人民政府关于批转重庆市地表水环境功能类别局部调整方案的通知》（渝府〔2016〕43号）；</w:t>
      </w:r>
    </w:p>
    <w:p w14:paraId="0CCD026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2</w:t>
      </w:r>
      <w:r>
        <w:rPr>
          <w:rFonts w:hint="eastAsia" w:ascii="Arial" w:hAnsi="Times New Roman" w:eastAsia="宋体" w:cs="Arial"/>
          <w:color w:val="auto"/>
          <w:kern w:val="0"/>
          <w:sz w:val="26"/>
          <w:szCs w:val="26"/>
          <w:highlight w:val="none"/>
          <w:lang w:eastAsia="zh-CN"/>
        </w:rPr>
        <w:t>）《重庆市</w:t>
      </w:r>
      <w:r>
        <w:rPr>
          <w:rFonts w:hint="eastAsia" w:ascii="Arial" w:cs="Arial"/>
          <w:color w:val="auto"/>
          <w:kern w:val="0"/>
          <w:sz w:val="26"/>
          <w:szCs w:val="26"/>
          <w:highlight w:val="none"/>
          <w:lang w:eastAsia="zh-CN"/>
        </w:rPr>
        <w:t>河道管理范围内建设项目管理办法（修订）</w:t>
      </w:r>
      <w:r>
        <w:rPr>
          <w:rFonts w:hint="eastAsia" w:ascii="Arial" w:hAnsi="Times New Roman" w:eastAsia="宋体" w:cs="Arial"/>
          <w:color w:val="auto"/>
          <w:kern w:val="0"/>
          <w:sz w:val="26"/>
          <w:szCs w:val="26"/>
          <w:highlight w:val="none"/>
          <w:lang w:eastAsia="zh-CN"/>
        </w:rPr>
        <w:t>》（渝府发〔20</w:t>
      </w:r>
      <w:r>
        <w:rPr>
          <w:rFonts w:hint="eastAsia" w:ascii="Arial" w:cs="Arial"/>
          <w:color w:val="auto"/>
          <w:kern w:val="0"/>
          <w:sz w:val="26"/>
          <w:szCs w:val="26"/>
          <w:highlight w:val="none"/>
          <w:lang w:val="en-US" w:eastAsia="zh-CN"/>
        </w:rPr>
        <w:t>12</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32</w:t>
      </w:r>
      <w:r>
        <w:rPr>
          <w:rFonts w:hint="eastAsia" w:ascii="Arial" w:hAnsi="Times New Roman" w:eastAsia="宋体" w:cs="Arial"/>
          <w:color w:val="auto"/>
          <w:kern w:val="0"/>
          <w:sz w:val="26"/>
          <w:szCs w:val="26"/>
          <w:highlight w:val="none"/>
          <w:lang w:eastAsia="zh-CN"/>
        </w:rPr>
        <w:t xml:space="preserve">号）； </w:t>
      </w:r>
    </w:p>
    <w:p w14:paraId="52EF150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3</w:t>
      </w:r>
      <w:r>
        <w:rPr>
          <w:rFonts w:hint="eastAsia" w:ascii="Arial" w:hAnsi="Times New Roman" w:eastAsia="宋体" w:cs="Arial"/>
          <w:color w:val="auto"/>
          <w:kern w:val="0"/>
          <w:sz w:val="26"/>
          <w:szCs w:val="26"/>
          <w:highlight w:val="none"/>
          <w:lang w:eastAsia="zh-CN"/>
        </w:rPr>
        <w:t>）《重庆市人民政府</w:t>
      </w:r>
      <w:r>
        <w:rPr>
          <w:rFonts w:hint="eastAsia" w:ascii="Arial" w:cs="Arial"/>
          <w:color w:val="auto"/>
          <w:kern w:val="0"/>
          <w:sz w:val="26"/>
          <w:szCs w:val="26"/>
          <w:highlight w:val="none"/>
          <w:lang w:eastAsia="zh-CN"/>
        </w:rPr>
        <w:t>关于实行最严格水资源管理制度的实施意见</w:t>
      </w:r>
      <w:r>
        <w:rPr>
          <w:rFonts w:hint="eastAsia" w:ascii="Arial" w:hAnsi="Times New Roman" w:eastAsia="宋体" w:cs="Arial"/>
          <w:color w:val="auto"/>
          <w:kern w:val="0"/>
          <w:sz w:val="26"/>
          <w:szCs w:val="26"/>
          <w:highlight w:val="none"/>
          <w:lang w:eastAsia="zh-CN"/>
        </w:rPr>
        <w:t>》（渝府</w:t>
      </w:r>
      <w:r>
        <w:rPr>
          <w:rFonts w:hint="eastAsia" w:ascii="Arial" w:cs="Arial"/>
          <w:color w:val="auto"/>
          <w:kern w:val="0"/>
          <w:sz w:val="26"/>
          <w:szCs w:val="26"/>
          <w:highlight w:val="none"/>
          <w:lang w:eastAsia="zh-CN"/>
        </w:rPr>
        <w:t>发</w:t>
      </w:r>
      <w:r>
        <w:rPr>
          <w:rFonts w:hint="eastAsia" w:ascii="Arial" w:hAnsi="Times New Roman" w:eastAsia="宋体" w:cs="Arial"/>
          <w:color w:val="auto"/>
          <w:kern w:val="0"/>
          <w:sz w:val="26"/>
          <w:szCs w:val="26"/>
          <w:highlight w:val="none"/>
          <w:lang w:eastAsia="zh-CN"/>
        </w:rPr>
        <w:t>〔20</w:t>
      </w:r>
      <w:r>
        <w:rPr>
          <w:rFonts w:hint="eastAsia" w:ascii="Arial" w:cs="Arial"/>
          <w:color w:val="auto"/>
          <w:kern w:val="0"/>
          <w:sz w:val="26"/>
          <w:szCs w:val="26"/>
          <w:highlight w:val="none"/>
          <w:lang w:val="en-US" w:eastAsia="zh-CN"/>
        </w:rPr>
        <w:t>12</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63</w:t>
      </w:r>
      <w:r>
        <w:rPr>
          <w:rFonts w:hint="eastAsia" w:ascii="Arial" w:hAnsi="Times New Roman" w:eastAsia="宋体" w:cs="Arial"/>
          <w:color w:val="auto"/>
          <w:kern w:val="0"/>
          <w:sz w:val="26"/>
          <w:szCs w:val="26"/>
          <w:highlight w:val="none"/>
          <w:lang w:eastAsia="zh-CN"/>
        </w:rPr>
        <w:t>号）；</w:t>
      </w:r>
    </w:p>
    <w:p w14:paraId="6CBD0BFB">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4</w:t>
      </w:r>
      <w:r>
        <w:rPr>
          <w:rFonts w:hint="eastAsia" w:ascii="Arial" w:hAnsi="Times New Roman" w:eastAsia="宋体" w:cs="Arial"/>
          <w:color w:val="auto"/>
          <w:kern w:val="0"/>
          <w:sz w:val="26"/>
          <w:szCs w:val="26"/>
          <w:highlight w:val="none"/>
          <w:lang w:eastAsia="zh-CN"/>
        </w:rPr>
        <w:t>）《重庆市</w:t>
      </w:r>
      <w:r>
        <w:rPr>
          <w:rFonts w:hint="eastAsia" w:ascii="Arial" w:cs="Arial"/>
          <w:color w:val="auto"/>
          <w:kern w:val="0"/>
          <w:sz w:val="26"/>
          <w:szCs w:val="26"/>
          <w:highlight w:val="none"/>
          <w:lang w:eastAsia="zh-CN"/>
        </w:rPr>
        <w:t>人民政府关于加强集中式饮用水源保护工作的通知</w:t>
      </w:r>
      <w:r>
        <w:rPr>
          <w:rFonts w:hint="eastAsia" w:ascii="Arial" w:hAnsi="Times New Roman" w:eastAsia="宋体" w:cs="Arial"/>
          <w:color w:val="auto"/>
          <w:kern w:val="0"/>
          <w:sz w:val="26"/>
          <w:szCs w:val="26"/>
          <w:highlight w:val="none"/>
          <w:lang w:eastAsia="zh-CN"/>
        </w:rPr>
        <w:t>》</w:t>
      </w:r>
      <w:bookmarkStart w:id="20" w:name="gwz"/>
      <w:r>
        <w:rPr>
          <w:rFonts w:hint="eastAsia" w:ascii="Arial" w:hAnsi="Times New Roman" w:eastAsia="宋体" w:cs="Arial"/>
          <w:color w:val="auto"/>
          <w:kern w:val="0"/>
          <w:sz w:val="26"/>
          <w:szCs w:val="26"/>
          <w:highlight w:val="none"/>
          <w:lang w:eastAsia="zh-CN"/>
        </w:rPr>
        <w:t>（渝</w:t>
      </w:r>
      <w:r>
        <w:rPr>
          <w:rFonts w:hint="eastAsia" w:ascii="Arial" w:cs="Arial"/>
          <w:color w:val="auto"/>
          <w:kern w:val="0"/>
          <w:sz w:val="26"/>
          <w:szCs w:val="26"/>
          <w:highlight w:val="none"/>
          <w:lang w:eastAsia="zh-CN"/>
        </w:rPr>
        <w:t>府发</w:t>
      </w:r>
      <w:r>
        <w:rPr>
          <w:rFonts w:hint="eastAsia" w:ascii="Arial" w:hAnsi="Times New Roman" w:eastAsia="宋体" w:cs="Arial"/>
          <w:color w:val="auto"/>
          <w:kern w:val="0"/>
          <w:sz w:val="26"/>
          <w:szCs w:val="26"/>
          <w:highlight w:val="none"/>
          <w:lang w:eastAsia="zh-CN"/>
        </w:rPr>
        <w:t>〔20</w:t>
      </w:r>
      <w:r>
        <w:rPr>
          <w:rFonts w:hint="eastAsia" w:ascii="Arial" w:cs="Arial"/>
          <w:color w:val="auto"/>
          <w:kern w:val="0"/>
          <w:sz w:val="26"/>
          <w:szCs w:val="26"/>
          <w:highlight w:val="none"/>
          <w:lang w:val="en-US" w:eastAsia="zh-CN"/>
        </w:rPr>
        <w:t>12</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63</w:t>
      </w:r>
      <w:r>
        <w:rPr>
          <w:rFonts w:hint="eastAsia" w:ascii="Arial" w:hAnsi="Times New Roman" w:eastAsia="宋体" w:cs="Arial"/>
          <w:color w:val="auto"/>
          <w:kern w:val="0"/>
          <w:sz w:val="26"/>
          <w:szCs w:val="26"/>
          <w:highlight w:val="none"/>
          <w:lang w:eastAsia="zh-CN"/>
        </w:rPr>
        <w:t>号</w:t>
      </w:r>
      <w:bookmarkEnd w:id="20"/>
      <w:r>
        <w:rPr>
          <w:rFonts w:hint="eastAsia" w:ascii="Arial" w:hAnsi="Times New Roman" w:eastAsia="宋体" w:cs="Arial"/>
          <w:color w:val="auto"/>
          <w:kern w:val="0"/>
          <w:sz w:val="26"/>
          <w:szCs w:val="26"/>
          <w:highlight w:val="none"/>
          <w:lang w:eastAsia="zh-CN"/>
        </w:rPr>
        <w:t>）；</w:t>
      </w:r>
    </w:p>
    <w:p w14:paraId="061278E9">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5</w:t>
      </w:r>
      <w:r>
        <w:rPr>
          <w:rFonts w:hint="eastAsia" w:ascii="Arial" w:hAnsi="Times New Roman" w:eastAsia="宋体" w:cs="Arial"/>
          <w:color w:val="auto"/>
          <w:kern w:val="0"/>
          <w:sz w:val="26"/>
          <w:szCs w:val="26"/>
          <w:highlight w:val="none"/>
          <w:lang w:eastAsia="zh-CN"/>
        </w:rPr>
        <w:t>） 《重庆市饮用水源污染防治办法》（重庆市人民政府令第159号）；</w:t>
      </w:r>
    </w:p>
    <w:p w14:paraId="14B5D017">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6</w:t>
      </w:r>
      <w:r>
        <w:rPr>
          <w:rFonts w:hint="eastAsia" w:ascii="Arial" w:hAnsi="Times New Roman" w:eastAsia="宋体" w:cs="Arial"/>
          <w:color w:val="auto"/>
          <w:kern w:val="0"/>
          <w:sz w:val="26"/>
          <w:szCs w:val="26"/>
          <w:highlight w:val="none"/>
          <w:lang w:eastAsia="zh-CN"/>
        </w:rPr>
        <w:t>） 《重庆市人民政府办公厅关于印发重庆市生态功能区保护和建设规划（2010</w:t>
      </w:r>
      <w:r>
        <w:rPr>
          <w:rFonts w:hint="eastAsia" w:ascii="Arial"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2030）的通知》，渝办发〔2011〕167号；</w:t>
      </w:r>
    </w:p>
    <w:p w14:paraId="04D4B8B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7</w:t>
      </w:r>
      <w:r>
        <w:rPr>
          <w:rFonts w:hint="eastAsia" w:ascii="Arial" w:hAnsi="Times New Roman" w:eastAsia="宋体" w:cs="Arial"/>
          <w:color w:val="auto"/>
          <w:kern w:val="0"/>
          <w:sz w:val="26"/>
          <w:szCs w:val="26"/>
          <w:highlight w:val="none"/>
          <w:lang w:eastAsia="zh-CN"/>
        </w:rPr>
        <w:t>） 《重庆市人民政府关于印发重庆市贯彻落实土壤污染防治行动计划工作方案的通知》（渝府发〔2016〕50号）；</w:t>
      </w:r>
    </w:p>
    <w:p w14:paraId="6F01185C">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8</w:t>
      </w:r>
      <w:r>
        <w:rPr>
          <w:rFonts w:hint="eastAsia" w:ascii="Arial" w:hAnsi="Times New Roman" w:eastAsia="宋体" w:cs="Arial"/>
          <w:color w:val="auto"/>
          <w:kern w:val="0"/>
          <w:sz w:val="26"/>
          <w:szCs w:val="26"/>
          <w:highlight w:val="none"/>
          <w:lang w:eastAsia="zh-CN"/>
        </w:rPr>
        <w:t>）《四川省推动长江经济带发展领导小组办公室、重庆市推动长江经济带发展领导小组办公室关于印发〈四川省、重庆市长江经济带发展负面清单实施细则（试行，2022 年版）〉的通知》（川长江办〔2022〕17 号）；</w:t>
      </w:r>
    </w:p>
    <w:p w14:paraId="2407EF32">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9</w:t>
      </w:r>
      <w:r>
        <w:rPr>
          <w:rFonts w:hint="eastAsia" w:ascii="Arial" w:hAnsi="Times New Roman" w:eastAsia="宋体" w:cs="Arial"/>
          <w:color w:val="auto"/>
          <w:kern w:val="0"/>
          <w:sz w:val="26"/>
          <w:szCs w:val="26"/>
          <w:highlight w:val="none"/>
          <w:lang w:eastAsia="zh-CN"/>
        </w:rPr>
        <w:t>）《重庆市发展和改革委员会关于印发重庆市产业投资准入工作手册的通知》（渝发改</w:t>
      </w:r>
      <w:r>
        <w:rPr>
          <w:rFonts w:hint="eastAsia" w:ascii="Arial" w:cs="Arial"/>
          <w:color w:val="auto"/>
          <w:kern w:val="0"/>
          <w:sz w:val="26"/>
          <w:szCs w:val="26"/>
          <w:highlight w:val="none"/>
          <w:lang w:eastAsia="zh-CN"/>
        </w:rPr>
        <w:t>投资</w:t>
      </w:r>
      <w:r>
        <w:rPr>
          <w:rFonts w:hint="eastAsia" w:ascii="Arial" w:hAnsi="Times New Roman" w:eastAsia="宋体" w:cs="Arial"/>
          <w:color w:val="auto"/>
          <w:kern w:val="0"/>
          <w:sz w:val="26"/>
          <w:szCs w:val="26"/>
          <w:highlight w:val="none"/>
          <w:lang w:eastAsia="zh-CN"/>
        </w:rPr>
        <w:t>〔20</w:t>
      </w:r>
      <w:r>
        <w:rPr>
          <w:rFonts w:hint="eastAsia" w:ascii="Arial" w:cs="Arial"/>
          <w:color w:val="auto"/>
          <w:kern w:val="0"/>
          <w:sz w:val="26"/>
          <w:szCs w:val="26"/>
          <w:highlight w:val="none"/>
          <w:lang w:val="en-US" w:eastAsia="zh-CN"/>
        </w:rPr>
        <w:t>22</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1436</w:t>
      </w:r>
      <w:r>
        <w:rPr>
          <w:rFonts w:hint="eastAsia" w:ascii="Arial" w:hAnsi="Times New Roman" w:eastAsia="宋体" w:cs="Arial"/>
          <w:color w:val="auto"/>
          <w:kern w:val="0"/>
          <w:sz w:val="26"/>
          <w:szCs w:val="26"/>
          <w:highlight w:val="none"/>
          <w:lang w:eastAsia="zh-CN"/>
        </w:rPr>
        <w:t>号） ；</w:t>
      </w:r>
    </w:p>
    <w:p w14:paraId="38B58A9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val="en-US" w:eastAsia="zh-CN"/>
        </w:rPr>
        <w:t>20</w:t>
      </w:r>
      <w:r>
        <w:rPr>
          <w:rFonts w:hint="eastAsia" w:ascii="Arial" w:hAnsi="Times New Roman" w:eastAsia="宋体" w:cs="Arial"/>
          <w:color w:val="auto"/>
          <w:kern w:val="0"/>
          <w:sz w:val="26"/>
          <w:szCs w:val="26"/>
          <w:highlight w:val="none"/>
          <w:lang w:eastAsia="zh-CN"/>
        </w:rPr>
        <w:t>） 《重庆市生态功能区划（修编）》（2009年2月10</w:t>
      </w:r>
      <w:r>
        <w:rPr>
          <w:rFonts w:hint="eastAsia" w:ascii="Arial" w:cs="Arial"/>
          <w:color w:val="auto"/>
          <w:kern w:val="0"/>
          <w:sz w:val="26"/>
          <w:szCs w:val="26"/>
          <w:highlight w:val="none"/>
          <w:lang w:val="en-US" w:eastAsia="zh-CN"/>
        </w:rPr>
        <w:t>日</w:t>
      </w:r>
      <w:r>
        <w:rPr>
          <w:rFonts w:hint="eastAsia" w:ascii="Arial" w:hAnsi="Times New Roman" w:eastAsia="宋体" w:cs="Arial"/>
          <w:color w:val="auto"/>
          <w:kern w:val="0"/>
          <w:sz w:val="26"/>
          <w:szCs w:val="26"/>
          <w:highlight w:val="none"/>
          <w:lang w:eastAsia="zh-CN"/>
        </w:rPr>
        <w:t>）；</w:t>
      </w:r>
    </w:p>
    <w:p w14:paraId="16FA55F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（2</w:t>
      </w:r>
      <w:r>
        <w:rPr>
          <w:rFonts w:hint="eastAsia" w:ascii="Arial" w:hAnsi="Times New Roman" w:eastAsia="宋体" w:cs="Arial"/>
          <w:color w:val="auto"/>
          <w:kern w:val="0"/>
          <w:sz w:val="26"/>
          <w:szCs w:val="26"/>
          <w:highlight w:val="none"/>
          <w:lang w:val="en-US" w:eastAsia="zh-CN"/>
        </w:rPr>
        <w:t>1</w:t>
      </w:r>
      <w:r>
        <w:rPr>
          <w:rFonts w:hint="eastAsia" w:ascii="Arial" w:hAnsi="Times New Roman" w:eastAsia="宋体" w:cs="Arial"/>
          <w:color w:val="auto"/>
          <w:kern w:val="0"/>
          <w:sz w:val="26"/>
          <w:szCs w:val="26"/>
          <w:highlight w:val="none"/>
          <w:lang w:eastAsia="zh-CN"/>
        </w:rPr>
        <w:t>）《重庆市人民政府关于重庆市生态功能区划的批复》（渝府〔2006〕162号）；</w:t>
      </w:r>
    </w:p>
    <w:p w14:paraId="6DC95673">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bookmarkStart w:id="21" w:name="tbx_bt"/>
      <w:r>
        <w:rPr>
          <w:rFonts w:hint="eastAsia" w:ascii="Arial" w:hAnsi="Times New Roman" w:eastAsia="宋体" w:cs="Arial"/>
          <w:color w:val="auto"/>
          <w:kern w:val="0"/>
          <w:sz w:val="26"/>
          <w:szCs w:val="26"/>
          <w:highlight w:val="none"/>
          <w:lang w:eastAsia="zh-CN"/>
        </w:rPr>
        <w:t>（2</w:t>
      </w:r>
      <w:r>
        <w:rPr>
          <w:rFonts w:hint="eastAsia" w:ascii="Arial" w:hAnsi="Times New Roman" w:eastAsia="宋体" w:cs="Arial"/>
          <w:color w:val="auto"/>
          <w:kern w:val="0"/>
          <w:sz w:val="26"/>
          <w:szCs w:val="26"/>
          <w:highlight w:val="none"/>
          <w:lang w:val="en-US" w:eastAsia="zh-CN"/>
        </w:rPr>
        <w:t>2</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重庆市发展和改革委员会</w:t>
      </w:r>
      <w:r>
        <w:rPr>
          <w:rFonts w:hint="eastAsia" w:ascii="Arial" w:cs="Arial"/>
          <w:color w:val="auto"/>
          <w:kern w:val="0"/>
          <w:sz w:val="26"/>
          <w:szCs w:val="26"/>
          <w:highlight w:val="none"/>
          <w:lang w:val="en-US" w:eastAsia="zh-CN"/>
        </w:rPr>
        <w:t xml:space="preserve"> 重庆市水利局 重庆市生态环境局 重庆市能源局印发关于严控新建水电项目的</w:t>
      </w:r>
      <w:r>
        <w:rPr>
          <w:rFonts w:hint="eastAsia" w:ascii="Arial" w:hAnsi="Times New Roman" w:eastAsia="宋体" w:cs="Arial"/>
          <w:color w:val="auto"/>
          <w:kern w:val="0"/>
          <w:sz w:val="26"/>
          <w:szCs w:val="26"/>
          <w:highlight w:val="none"/>
          <w:lang w:eastAsia="zh-CN"/>
        </w:rPr>
        <w:t>通知》（渝</w:t>
      </w:r>
      <w:r>
        <w:rPr>
          <w:rFonts w:hint="eastAsia" w:ascii="Arial" w:cs="Arial"/>
          <w:color w:val="auto"/>
          <w:kern w:val="0"/>
          <w:sz w:val="26"/>
          <w:szCs w:val="26"/>
          <w:highlight w:val="none"/>
          <w:lang w:eastAsia="zh-CN"/>
        </w:rPr>
        <w:t>发改能源</w:t>
      </w:r>
      <w:r>
        <w:rPr>
          <w:rFonts w:hint="eastAsia" w:ascii="Arial" w:hAnsi="Times New Roman" w:eastAsia="宋体" w:cs="Arial"/>
          <w:color w:val="auto"/>
          <w:kern w:val="0"/>
          <w:sz w:val="26"/>
          <w:szCs w:val="26"/>
          <w:highlight w:val="none"/>
          <w:lang w:eastAsia="zh-CN"/>
        </w:rPr>
        <w:t>〔20</w:t>
      </w:r>
      <w:r>
        <w:rPr>
          <w:rFonts w:hint="eastAsia" w:ascii="Arial" w:cs="Arial"/>
          <w:color w:val="auto"/>
          <w:kern w:val="0"/>
          <w:sz w:val="26"/>
          <w:szCs w:val="26"/>
          <w:highlight w:val="none"/>
          <w:lang w:val="en-US" w:eastAsia="zh-CN"/>
        </w:rPr>
        <w:t>19</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517</w:t>
      </w:r>
      <w:r>
        <w:rPr>
          <w:rFonts w:hint="eastAsia" w:ascii="Arial" w:hAnsi="Times New Roman" w:eastAsia="宋体" w:cs="Arial"/>
          <w:color w:val="auto"/>
          <w:kern w:val="0"/>
          <w:sz w:val="26"/>
          <w:szCs w:val="26"/>
          <w:highlight w:val="none"/>
          <w:lang w:eastAsia="zh-CN"/>
        </w:rPr>
        <w:t>号）；</w:t>
      </w:r>
      <w:bookmarkEnd w:id="21"/>
    </w:p>
    <w:p w14:paraId="202FFDE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（2</w:t>
      </w:r>
      <w:r>
        <w:rPr>
          <w:rFonts w:hint="eastAsia" w:ascii="Arial" w:cs="Arial"/>
          <w:color w:val="auto"/>
          <w:kern w:val="0"/>
          <w:sz w:val="26"/>
          <w:szCs w:val="26"/>
          <w:highlight w:val="none"/>
          <w:lang w:val="en-US" w:eastAsia="zh-CN"/>
        </w:rPr>
        <w:t>3</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《重庆市生态环境局关于印发</w:t>
      </w:r>
      <w:r>
        <w:rPr>
          <w:rFonts w:hint="eastAsia" w:ascii="Arial" w:cs="Arial"/>
          <w:color w:val="auto"/>
          <w:kern w:val="0"/>
          <w:sz w:val="26"/>
          <w:szCs w:val="26"/>
          <w:highlight w:val="none"/>
          <w:lang w:val="en-US" w:eastAsia="zh-CN"/>
        </w:rPr>
        <w:t>&lt;重庆市“三线一单”生态环境分区管控调整方案（2023年）的通知》（</w:t>
      </w:r>
      <w:r>
        <w:rPr>
          <w:rFonts w:hint="eastAsia" w:ascii="Arial" w:hAnsi="Times New Roman" w:eastAsia="宋体" w:cs="Arial"/>
          <w:color w:val="auto"/>
          <w:kern w:val="0"/>
          <w:sz w:val="26"/>
          <w:szCs w:val="26"/>
          <w:highlight w:val="none"/>
          <w:lang w:eastAsia="zh-CN"/>
        </w:rPr>
        <w:t>渝</w:t>
      </w:r>
      <w:r>
        <w:rPr>
          <w:rFonts w:hint="eastAsia" w:ascii="Arial" w:hAnsi="Times New Roman" w:cs="Arial"/>
          <w:color w:val="auto"/>
          <w:kern w:val="0"/>
          <w:sz w:val="26"/>
          <w:szCs w:val="26"/>
          <w:highlight w:val="none"/>
          <w:lang w:eastAsia="zh-CN"/>
        </w:rPr>
        <w:t>环规</w:t>
      </w:r>
      <w:r>
        <w:rPr>
          <w:rFonts w:hint="eastAsia" w:ascii="Arial" w:hAnsi="Times New Roman" w:eastAsia="宋体" w:cs="Arial"/>
          <w:color w:val="auto"/>
          <w:kern w:val="0"/>
          <w:sz w:val="26"/>
          <w:szCs w:val="26"/>
          <w:highlight w:val="none"/>
          <w:lang w:eastAsia="zh-CN"/>
        </w:rPr>
        <w:t>〔20</w:t>
      </w:r>
      <w:r>
        <w:rPr>
          <w:rFonts w:hint="eastAsia" w:ascii="Arial" w:cs="Arial"/>
          <w:color w:val="auto"/>
          <w:kern w:val="0"/>
          <w:sz w:val="26"/>
          <w:szCs w:val="26"/>
          <w:highlight w:val="none"/>
          <w:lang w:val="en-US" w:eastAsia="zh-CN"/>
        </w:rPr>
        <w:t>24</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2</w:t>
      </w:r>
      <w:r>
        <w:rPr>
          <w:rFonts w:hint="eastAsia" w:ascii="Arial" w:hAnsi="Times New Roman" w:eastAsia="宋体" w:cs="Arial"/>
          <w:color w:val="auto"/>
          <w:kern w:val="0"/>
          <w:sz w:val="26"/>
          <w:szCs w:val="26"/>
          <w:highlight w:val="none"/>
          <w:lang w:eastAsia="zh-CN"/>
        </w:rPr>
        <w:t>号）；</w:t>
      </w:r>
    </w:p>
    <w:p w14:paraId="78687B78">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val="en-US" w:eastAsia="zh-CN"/>
        </w:rPr>
        <w:t>（24）《丰都县人民政府办公室关于印发&lt;丰都县“三线一单”生态环境分区管控调整方案（2023年）的通知》（</w:t>
      </w:r>
      <w:r>
        <w:rPr>
          <w:rFonts w:hint="eastAsia" w:ascii="Arial" w:hAnsi="Times New Roman" w:cs="Arial"/>
          <w:color w:val="auto"/>
          <w:kern w:val="0"/>
          <w:sz w:val="26"/>
          <w:szCs w:val="26"/>
          <w:highlight w:val="none"/>
          <w:lang w:eastAsia="zh-CN"/>
        </w:rPr>
        <w:t>丰都府办</w:t>
      </w:r>
      <w:r>
        <w:rPr>
          <w:rFonts w:hint="eastAsia" w:ascii="Arial" w:hAnsi="Times New Roman" w:eastAsia="宋体" w:cs="Arial"/>
          <w:color w:val="auto"/>
          <w:kern w:val="0"/>
          <w:sz w:val="26"/>
          <w:szCs w:val="26"/>
          <w:highlight w:val="none"/>
          <w:lang w:eastAsia="zh-CN"/>
        </w:rPr>
        <w:t>〔20</w:t>
      </w:r>
      <w:r>
        <w:rPr>
          <w:rFonts w:hint="eastAsia" w:ascii="Arial" w:cs="Arial"/>
          <w:color w:val="auto"/>
          <w:kern w:val="0"/>
          <w:sz w:val="26"/>
          <w:szCs w:val="26"/>
          <w:highlight w:val="none"/>
          <w:lang w:val="en-US" w:eastAsia="zh-CN"/>
        </w:rPr>
        <w:t>24</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77</w:t>
      </w:r>
      <w:r>
        <w:rPr>
          <w:rFonts w:hint="eastAsia" w:ascii="Arial" w:hAnsi="Times New Roman" w:eastAsia="宋体" w:cs="Arial"/>
          <w:color w:val="auto"/>
          <w:kern w:val="0"/>
          <w:sz w:val="26"/>
          <w:szCs w:val="26"/>
          <w:highlight w:val="none"/>
          <w:lang w:eastAsia="zh-CN"/>
        </w:rPr>
        <w:t>号）；</w:t>
      </w:r>
    </w:p>
    <w:p w14:paraId="331F99B2">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（2</w:t>
      </w:r>
      <w:r>
        <w:rPr>
          <w:rFonts w:hint="eastAsia" w:ascii="Arial" w:hAnsi="Times New Roman" w:eastAsia="宋体" w:cs="Arial"/>
          <w:color w:val="auto"/>
          <w:kern w:val="0"/>
          <w:sz w:val="26"/>
          <w:szCs w:val="26"/>
          <w:highlight w:val="none"/>
          <w:lang w:val="en-US" w:eastAsia="zh-CN"/>
        </w:rPr>
        <w:t>5</w:t>
      </w:r>
      <w:r>
        <w:rPr>
          <w:rFonts w:hint="eastAsia" w:ascii="Arial" w:hAnsi="Times New Roman" w:eastAsia="宋体" w:cs="Arial"/>
          <w:color w:val="auto"/>
          <w:kern w:val="0"/>
          <w:sz w:val="26"/>
          <w:szCs w:val="26"/>
          <w:highlight w:val="none"/>
          <w:lang w:eastAsia="zh-CN"/>
        </w:rPr>
        <w:t>）《重庆市人民政府关于印发重庆市国民经济和社会发展第十四个五年规划和二〇三五年远景目标纲要的通知》（渝府发〔2021〕6号）；</w:t>
      </w:r>
    </w:p>
    <w:p w14:paraId="7D383228">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（2</w:t>
      </w:r>
      <w:r>
        <w:rPr>
          <w:rFonts w:hint="eastAsia" w:ascii="Arial" w:hAnsi="Times New Roman" w:eastAsia="宋体" w:cs="Arial"/>
          <w:color w:val="auto"/>
          <w:kern w:val="0"/>
          <w:sz w:val="26"/>
          <w:szCs w:val="26"/>
          <w:highlight w:val="none"/>
          <w:lang w:val="en-US" w:eastAsia="zh-CN"/>
        </w:rPr>
        <w:t>6</w:t>
      </w:r>
      <w:r>
        <w:rPr>
          <w:rFonts w:hint="eastAsia" w:ascii="Arial" w:hAnsi="Times New Roman" w:eastAsia="宋体" w:cs="Arial"/>
          <w:color w:val="auto"/>
          <w:kern w:val="0"/>
          <w:sz w:val="26"/>
          <w:szCs w:val="26"/>
          <w:highlight w:val="none"/>
          <w:lang w:eastAsia="zh-CN"/>
        </w:rPr>
        <w:t>）《重庆市生态环境保护“十四五”规划（2021</w:t>
      </w:r>
      <w:r>
        <w:rPr>
          <w:rFonts w:hint="eastAsia" w:ascii="Arial" w:hAnsi="Times New Roman" w:eastAsia="宋体"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2025年）》（渝府发〔2022〕11号）；</w:t>
      </w:r>
    </w:p>
    <w:p w14:paraId="61B04C7A">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（2</w:t>
      </w:r>
      <w:r>
        <w:rPr>
          <w:rFonts w:hint="eastAsia" w:ascii="Arial" w:hAnsi="Times New Roman" w:eastAsia="宋体" w:cs="Arial"/>
          <w:color w:val="auto"/>
          <w:kern w:val="0"/>
          <w:sz w:val="26"/>
          <w:szCs w:val="26"/>
          <w:highlight w:val="none"/>
          <w:lang w:val="en-US" w:eastAsia="zh-CN"/>
        </w:rPr>
        <w:t>7</w:t>
      </w:r>
      <w:r>
        <w:rPr>
          <w:rFonts w:hint="eastAsia" w:ascii="Arial" w:hAnsi="Times New Roman" w:eastAsia="宋体" w:cs="Arial"/>
          <w:color w:val="auto"/>
          <w:kern w:val="0"/>
          <w:sz w:val="26"/>
          <w:szCs w:val="26"/>
          <w:highlight w:val="none"/>
          <w:lang w:eastAsia="zh-CN"/>
        </w:rPr>
        <w:t>）《重庆市生态环境局关于印发&lt;规划环评“三线一单”符合性分析技术要点（试行）&gt;&lt;建设项目环评“三线一单”符合性分析技术要点（试行）&gt;的通知》（渝环函〔2022〕397号）</w:t>
      </w:r>
      <w:r>
        <w:rPr>
          <w:rFonts w:hint="eastAsia" w:ascii="Arial" w:cs="Arial"/>
          <w:color w:val="auto"/>
          <w:kern w:val="0"/>
          <w:sz w:val="26"/>
          <w:szCs w:val="26"/>
          <w:highlight w:val="none"/>
          <w:lang w:eastAsia="zh-CN"/>
        </w:rPr>
        <w:t>；</w:t>
      </w:r>
    </w:p>
    <w:p w14:paraId="2704424D">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cs="Arial"/>
          <w:color w:val="auto"/>
          <w:kern w:val="0"/>
          <w:sz w:val="26"/>
          <w:szCs w:val="26"/>
          <w:highlight w:val="none"/>
          <w:lang w:val="en-US" w:eastAsia="zh-CN"/>
        </w:rPr>
        <w:t>（28）</w:t>
      </w:r>
      <w:r>
        <w:rPr>
          <w:rFonts w:hint="eastAsia" w:ascii="Arial" w:hAnsi="Times New Roman" w:eastAsia="宋体" w:cs="Arial"/>
          <w:color w:val="auto"/>
          <w:kern w:val="0"/>
          <w:sz w:val="26"/>
          <w:szCs w:val="26"/>
          <w:highlight w:val="none"/>
          <w:lang w:eastAsia="zh-CN"/>
        </w:rPr>
        <w:t>《丰都县生态环境保护“十四五”规划和二〇三五年远景目标》（丰都府办〔2021〕61号）</w:t>
      </w:r>
    </w:p>
    <w:p w14:paraId="4B84D04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29）</w:t>
      </w:r>
      <w:r>
        <w:rPr>
          <w:rFonts w:hint="eastAsia" w:ascii="Arial" w:hAnsi="Times New Roman" w:eastAsia="宋体" w:cs="Arial"/>
          <w:color w:val="auto"/>
          <w:kern w:val="0"/>
          <w:sz w:val="26"/>
          <w:szCs w:val="26"/>
          <w:highlight w:val="none"/>
          <w:lang w:eastAsia="zh-CN"/>
        </w:rPr>
        <w:t>《重庆市三峡水库消落区管理办法》（渝府令〔2023〕358号）；</w:t>
      </w:r>
    </w:p>
    <w:p w14:paraId="5EE5D80B">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30）</w:t>
      </w:r>
      <w:r>
        <w:rPr>
          <w:rFonts w:hint="eastAsia" w:ascii="Arial" w:hAnsi="Times New Roman" w:eastAsia="宋体" w:cs="Arial"/>
          <w:color w:val="auto"/>
          <w:kern w:val="0"/>
          <w:sz w:val="26"/>
          <w:szCs w:val="26"/>
          <w:highlight w:val="none"/>
          <w:lang w:eastAsia="zh-CN"/>
        </w:rPr>
        <w:t>《丰都县国民经济和社会发展第十四个五年规划和</w:t>
      </w:r>
      <w:r>
        <w:rPr>
          <w:rFonts w:hint="eastAsia" w:ascii="Arial" w:cs="Arial"/>
          <w:color w:val="auto"/>
          <w:kern w:val="0"/>
          <w:sz w:val="26"/>
          <w:szCs w:val="26"/>
          <w:highlight w:val="none"/>
          <w:lang w:eastAsia="zh-CN"/>
        </w:rPr>
        <w:t>二〇三五年远景目标</w:t>
      </w:r>
      <w:r>
        <w:rPr>
          <w:rFonts w:hint="eastAsia" w:ascii="Arial" w:hAnsi="Times New Roman" w:eastAsia="宋体" w:cs="Arial"/>
          <w:color w:val="auto"/>
          <w:kern w:val="0"/>
          <w:sz w:val="26"/>
          <w:szCs w:val="26"/>
          <w:highlight w:val="none"/>
          <w:lang w:eastAsia="zh-CN"/>
        </w:rPr>
        <w:t>纲要》（丰都府办〔2021〕4号）</w:t>
      </w:r>
    </w:p>
    <w:p w14:paraId="3D782B95">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31</w:t>
      </w:r>
      <w:r>
        <w:rPr>
          <w:rFonts w:hint="eastAsia" w:ascii="Arial" w:hAnsi="Times New Roman" w:eastAsia="宋体" w:cs="Arial"/>
          <w:color w:val="auto"/>
          <w:kern w:val="0"/>
          <w:sz w:val="26"/>
          <w:szCs w:val="26"/>
          <w:highlight w:val="none"/>
          <w:lang w:eastAsia="zh-CN"/>
        </w:rPr>
        <w:t>）《丰都县生态环境保护“十四五”规划和二〇三五年远景目标》（丰都府办〔2021〕61号）；</w:t>
      </w:r>
    </w:p>
    <w:p w14:paraId="01FD86D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32</w:t>
      </w:r>
      <w:r>
        <w:rPr>
          <w:rFonts w:hint="eastAsia" w:ascii="Arial" w:hAnsi="Times New Roman" w:eastAsia="宋体" w:cs="Arial"/>
          <w:color w:val="auto"/>
          <w:kern w:val="0"/>
          <w:sz w:val="26"/>
          <w:szCs w:val="26"/>
          <w:highlight w:val="none"/>
          <w:lang w:eastAsia="zh-CN"/>
        </w:rPr>
        <w:t>）《丰都县“十四五”水安全保障规划》（丰都府发〔2022〕2号）；</w:t>
      </w:r>
    </w:p>
    <w:p w14:paraId="04429CCF">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33</w:t>
      </w:r>
      <w:r>
        <w:rPr>
          <w:rFonts w:hint="eastAsia" w:ascii="Arial" w:hAnsi="Times New Roman" w:eastAsia="宋体" w:cs="Arial"/>
          <w:color w:val="auto"/>
          <w:kern w:val="0"/>
          <w:sz w:val="26"/>
          <w:szCs w:val="26"/>
          <w:highlight w:val="none"/>
          <w:lang w:eastAsia="zh-CN"/>
        </w:rPr>
        <w:t>）《丰都县水生态环境保护“十四五”规划》（丰都府办发〔2022〕22号）；</w:t>
      </w:r>
    </w:p>
    <w:p w14:paraId="7A8872A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34</w:t>
      </w:r>
      <w:r>
        <w:rPr>
          <w:rFonts w:hint="eastAsia" w:ascii="Arial" w:hAnsi="Times New Roman" w:eastAsia="宋体" w:cs="Arial"/>
          <w:color w:val="auto"/>
          <w:kern w:val="0"/>
          <w:sz w:val="26"/>
          <w:szCs w:val="26"/>
          <w:highlight w:val="none"/>
          <w:lang w:eastAsia="zh-CN"/>
        </w:rPr>
        <w:t>）《关于公布丰都县水土流失重点预防区和重点治理区复核划分成果的通知》（丰都府办发〔2018〕29号）</w:t>
      </w:r>
      <w:r>
        <w:rPr>
          <w:rFonts w:hint="eastAsia" w:ascii="Arial" w:hAnsi="Times New Roman" w:cs="Arial"/>
          <w:color w:val="auto"/>
          <w:kern w:val="0"/>
          <w:sz w:val="26"/>
          <w:szCs w:val="26"/>
          <w:highlight w:val="none"/>
          <w:lang w:eastAsia="zh-CN"/>
        </w:rPr>
        <w:t>；</w:t>
      </w:r>
    </w:p>
    <w:p w14:paraId="5A0396A9">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35</w:t>
      </w:r>
      <w:r>
        <w:rPr>
          <w:rFonts w:hint="eastAsia" w:ascii="Arial" w:hAnsi="Times New Roman" w:eastAsia="宋体" w:cs="Arial"/>
          <w:color w:val="auto"/>
          <w:kern w:val="0"/>
          <w:sz w:val="26"/>
          <w:szCs w:val="26"/>
          <w:highlight w:val="none"/>
          <w:lang w:eastAsia="zh-CN"/>
        </w:rPr>
        <w:t>）《重庆市人民政府办公厅关于调整各区县2030年用水总量控制目标的通知》（渝府办发〔2021〕147号）；</w:t>
      </w:r>
    </w:p>
    <w:p w14:paraId="0378FC69">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36</w:t>
      </w:r>
      <w:r>
        <w:rPr>
          <w:rFonts w:hint="eastAsia" w:ascii="Arial" w:hAnsi="Times New Roman" w:eastAsia="宋体" w:cs="Arial"/>
          <w:color w:val="auto"/>
          <w:kern w:val="0"/>
          <w:sz w:val="26"/>
          <w:szCs w:val="26"/>
          <w:highlight w:val="none"/>
          <w:lang w:eastAsia="zh-CN"/>
        </w:rPr>
        <w:t>）《重庆市“十四五”用水总量和强度双控目标》；</w:t>
      </w:r>
    </w:p>
    <w:p w14:paraId="50FB1312">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37</w:t>
      </w:r>
      <w:r>
        <w:rPr>
          <w:rFonts w:hint="eastAsia" w:ascii="Arial" w:hAnsi="Times New Roman" w:eastAsia="宋体" w:cs="Arial"/>
          <w:color w:val="auto"/>
          <w:kern w:val="0"/>
          <w:sz w:val="26"/>
          <w:szCs w:val="26"/>
          <w:highlight w:val="none"/>
          <w:lang w:eastAsia="zh-CN"/>
        </w:rPr>
        <w:t>）《关于印发丰都县长江保护修复攻坚战实施方案的通知》（2020年1月10日）；</w:t>
      </w:r>
    </w:p>
    <w:p w14:paraId="40A304CA">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cs="Arial"/>
          <w:color w:val="auto"/>
          <w:kern w:val="0"/>
          <w:sz w:val="26"/>
          <w:szCs w:val="26"/>
          <w:highlight w:val="none"/>
          <w:lang w:val="en-US" w:eastAsia="zh-CN"/>
        </w:rPr>
        <w:t>38</w:t>
      </w:r>
      <w:r>
        <w:rPr>
          <w:rFonts w:hint="eastAsia" w:ascii="Arial" w:hAnsi="Times New Roman" w:eastAsia="宋体" w:cs="Arial"/>
          <w:color w:val="auto"/>
          <w:kern w:val="0"/>
          <w:sz w:val="26"/>
          <w:szCs w:val="26"/>
          <w:highlight w:val="none"/>
          <w:lang w:eastAsia="zh-CN"/>
        </w:rPr>
        <w:t>）《重庆市水网建设规划》。</w:t>
      </w:r>
    </w:p>
    <w:p w14:paraId="30FC5FA4">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ascii="Arial" w:hAnsi="Arial" w:eastAsia="宋体" w:cs="Arial"/>
          <w:b/>
          <w:color w:val="auto"/>
          <w:kern w:val="0"/>
          <w:sz w:val="26"/>
          <w:szCs w:val="20"/>
          <w:highlight w:val="none"/>
        </w:rPr>
      </w:pPr>
      <w:bookmarkStart w:id="22" w:name="_Toc34987779"/>
      <w:bookmarkStart w:id="23" w:name="_Toc36040978"/>
      <w:r>
        <w:rPr>
          <w:rFonts w:ascii="Arial" w:hAnsi="Arial" w:eastAsia="宋体" w:cs="Arial"/>
          <w:b/>
          <w:color w:val="auto"/>
          <w:kern w:val="0"/>
          <w:sz w:val="26"/>
          <w:szCs w:val="20"/>
          <w:highlight w:val="none"/>
        </w:rPr>
        <w:t>1.</w:t>
      </w:r>
      <w:r>
        <w:rPr>
          <w:rFonts w:hint="eastAsia" w:ascii="Arial" w:hAnsi="Arial" w:cs="Arial"/>
          <w:b/>
          <w:color w:val="auto"/>
          <w:kern w:val="0"/>
          <w:sz w:val="26"/>
          <w:szCs w:val="20"/>
          <w:highlight w:val="none"/>
          <w:lang w:val="en-US" w:eastAsia="zh-CN"/>
        </w:rPr>
        <w:t>3</w:t>
      </w:r>
      <w:r>
        <w:rPr>
          <w:rFonts w:ascii="Arial" w:hAnsi="Arial" w:eastAsia="宋体" w:cs="Arial"/>
          <w:b/>
          <w:color w:val="auto"/>
          <w:kern w:val="0"/>
          <w:sz w:val="26"/>
          <w:szCs w:val="20"/>
          <w:highlight w:val="none"/>
        </w:rPr>
        <w:t xml:space="preserve">.3 </w:t>
      </w:r>
      <w:r>
        <w:rPr>
          <w:rFonts w:hint="eastAsia" w:ascii="Arial" w:hAnsi="Arial" w:eastAsia="宋体" w:cs="Arial"/>
          <w:b/>
          <w:color w:val="auto"/>
          <w:kern w:val="0"/>
          <w:sz w:val="26"/>
          <w:szCs w:val="20"/>
          <w:highlight w:val="none"/>
        </w:rPr>
        <w:t>环境影响评价技术规范和标准</w:t>
      </w:r>
      <w:bookmarkEnd w:id="22"/>
      <w:bookmarkEnd w:id="23"/>
    </w:p>
    <w:p w14:paraId="7C226AF4">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（1）《建设项目环境影响评价技术导则 总纲》（HJ2.1</w:t>
      </w:r>
      <w:r>
        <w:rPr>
          <w:rFonts w:hint="eastAsia" w:ascii="Arial" w:hAnsi="Times New Roman" w:eastAsia="宋体"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2016）；</w:t>
      </w:r>
    </w:p>
    <w:p w14:paraId="0765FC3B">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（2）《环境影响评价技术导则 声环境》（HJ2.4</w:t>
      </w:r>
      <w:r>
        <w:rPr>
          <w:rFonts w:hint="eastAsia" w:ascii="Arial" w:hAnsi="Times New Roman" w:eastAsia="宋体"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2021）；</w:t>
      </w:r>
    </w:p>
    <w:p w14:paraId="18D1A0EC">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（3）《环境影响评价技术导则 地表水环境》（HJ2.3</w:t>
      </w:r>
      <w:r>
        <w:rPr>
          <w:rFonts w:hint="eastAsia" w:ascii="Arial" w:hAnsi="Times New Roman" w:eastAsia="宋体"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2018）；</w:t>
      </w:r>
    </w:p>
    <w:p w14:paraId="6D11DC3F">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（4）《环境影响评价技术导则 生态影响》（HJ19</w:t>
      </w:r>
      <w:r>
        <w:rPr>
          <w:rFonts w:hint="eastAsia" w:ascii="Arial" w:hAnsi="Times New Roman" w:eastAsia="宋体"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2022）；</w:t>
      </w:r>
    </w:p>
    <w:p w14:paraId="64782E08">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（5）《环境影响评价技术导则 大气环境》（HJ2.2</w:t>
      </w:r>
      <w:r>
        <w:rPr>
          <w:rFonts w:hint="eastAsia" w:ascii="Arial" w:hAnsi="Times New Roman" w:eastAsia="宋体"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2018）；</w:t>
      </w:r>
    </w:p>
    <w:p w14:paraId="5C08DA23">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（6）《环境影响评价技术导则 地下水环境》（HJ610</w:t>
      </w:r>
      <w:r>
        <w:rPr>
          <w:rFonts w:hint="eastAsia" w:ascii="Arial" w:hAnsi="Times New Roman" w:eastAsia="宋体"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2016）；</w:t>
      </w:r>
    </w:p>
    <w:p w14:paraId="22B85AD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（7）《环境影响评价技术导则 土壤环境（试行）》（HJ964</w:t>
      </w:r>
      <w:r>
        <w:rPr>
          <w:rFonts w:hint="eastAsia" w:ascii="Arial" w:hAnsi="Times New Roman" w:eastAsia="宋体"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2018）；</w:t>
      </w:r>
    </w:p>
    <w:p w14:paraId="7095669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（8）《建设项目环境风险评价技术导则》（HJ169</w:t>
      </w:r>
      <w:r>
        <w:rPr>
          <w:rFonts w:hint="eastAsia" w:ascii="Arial" w:hAnsi="Times New Roman" w:eastAsia="宋体"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2018）；</w:t>
      </w:r>
    </w:p>
    <w:p w14:paraId="416D7B6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w:t>
      </w:r>
      <w:r>
        <w:rPr>
          <w:rFonts w:hint="eastAsia" w:ascii="Arial" w:hAnsi="Times New Roman" w:eastAsia="宋体" w:cs="Arial"/>
          <w:color w:val="auto"/>
          <w:kern w:val="0"/>
          <w:sz w:val="26"/>
          <w:szCs w:val="26"/>
          <w:highlight w:val="none"/>
          <w:lang w:val="en-US" w:eastAsia="zh-CN"/>
        </w:rPr>
        <w:t>9</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环境影响评价技术导则</w:t>
      </w:r>
      <w:r>
        <w:rPr>
          <w:rFonts w:hint="eastAsia" w:ascii="Arial" w:cs="Arial"/>
          <w:color w:val="auto"/>
          <w:kern w:val="0"/>
          <w:sz w:val="26"/>
          <w:szCs w:val="26"/>
          <w:highlight w:val="none"/>
          <w:lang w:val="en-US" w:eastAsia="zh-CN"/>
        </w:rPr>
        <w:t xml:space="preserve"> 水利水电工程</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val="en-US" w:eastAsia="zh-CN"/>
        </w:rPr>
        <w:t>HJ/T88-2003</w:t>
      </w:r>
      <w:r>
        <w:rPr>
          <w:rFonts w:hint="eastAsia" w:ascii="Arial" w:hAnsi="Times New Roman" w:eastAsia="宋体" w:cs="Arial"/>
          <w:color w:val="auto"/>
          <w:kern w:val="0"/>
          <w:sz w:val="26"/>
          <w:szCs w:val="26"/>
          <w:highlight w:val="none"/>
          <w:lang w:eastAsia="zh-CN"/>
        </w:rPr>
        <w:t>）；</w:t>
      </w:r>
    </w:p>
    <w:p w14:paraId="47650D2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0</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水利水电工程</w:t>
      </w:r>
      <w:r>
        <w:rPr>
          <w:rFonts w:hint="eastAsia" w:ascii="Arial" w:hAnsi="Times New Roman" w:eastAsia="宋体" w:cs="Arial"/>
          <w:color w:val="auto"/>
          <w:kern w:val="0"/>
          <w:sz w:val="26"/>
          <w:szCs w:val="26"/>
          <w:highlight w:val="none"/>
          <w:lang w:eastAsia="zh-CN"/>
        </w:rPr>
        <w:t>环境保护设计规范》（</w:t>
      </w:r>
      <w:r>
        <w:rPr>
          <w:rFonts w:hint="eastAsia" w:ascii="Arial" w:cs="Arial"/>
          <w:color w:val="auto"/>
          <w:kern w:val="0"/>
          <w:sz w:val="26"/>
          <w:szCs w:val="26"/>
          <w:highlight w:val="none"/>
          <w:lang w:val="en-US" w:eastAsia="zh-CN"/>
        </w:rPr>
        <w:t>SL492-2011</w:t>
      </w:r>
      <w:r>
        <w:rPr>
          <w:rFonts w:hint="eastAsia" w:ascii="Arial" w:hAnsi="Times New Roman" w:eastAsia="宋体" w:cs="Arial"/>
          <w:color w:val="auto"/>
          <w:kern w:val="0"/>
          <w:sz w:val="26"/>
          <w:szCs w:val="26"/>
          <w:highlight w:val="none"/>
          <w:lang w:eastAsia="zh-CN"/>
        </w:rPr>
        <w:t>）；</w:t>
      </w:r>
    </w:p>
    <w:p w14:paraId="6087667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Times New Roman" w:eastAsia="宋体" w:cs="Arial"/>
          <w:color w:val="auto"/>
          <w:kern w:val="0"/>
          <w:sz w:val="26"/>
          <w:szCs w:val="26"/>
          <w:highlight w:val="none"/>
          <w:lang w:val="en-US" w:eastAsia="zh-CN"/>
        </w:rPr>
        <w:t>1</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《水利水电建设项目水资源论证导则》（</w:t>
      </w:r>
      <w:r>
        <w:rPr>
          <w:rFonts w:hint="eastAsia" w:ascii="Arial" w:cs="Arial"/>
          <w:color w:val="auto"/>
          <w:kern w:val="0"/>
          <w:sz w:val="26"/>
          <w:szCs w:val="26"/>
          <w:highlight w:val="none"/>
          <w:lang w:val="en-US" w:eastAsia="zh-CN"/>
        </w:rPr>
        <w:t>SL525-2011</w:t>
      </w:r>
      <w:r>
        <w:rPr>
          <w:rFonts w:hint="eastAsia" w:ascii="Arial" w:hAnsi="Times New Roman" w:eastAsia="宋体" w:cs="Arial"/>
          <w:color w:val="auto"/>
          <w:kern w:val="0"/>
          <w:sz w:val="26"/>
          <w:szCs w:val="26"/>
          <w:highlight w:val="none"/>
          <w:lang w:eastAsia="zh-CN"/>
        </w:rPr>
        <w:t>）；</w:t>
      </w:r>
    </w:p>
    <w:p w14:paraId="5C6AFD7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12）</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建设项目竣工环境保护验收技术规范</w:t>
      </w:r>
      <w:r>
        <w:rPr>
          <w:rFonts w:hint="eastAsia" w:ascii="Arial" w:cs="Arial"/>
          <w:color w:val="auto"/>
          <w:kern w:val="0"/>
          <w:sz w:val="26"/>
          <w:szCs w:val="26"/>
          <w:highlight w:val="none"/>
          <w:lang w:val="en-US" w:eastAsia="zh-CN"/>
        </w:rPr>
        <w:t xml:space="preserve"> 水利水电</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HJ464-2011）；</w:t>
      </w:r>
    </w:p>
    <w:p w14:paraId="18AD73F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cs="Arial"/>
          <w:color w:val="auto"/>
          <w:kern w:val="0"/>
          <w:sz w:val="26"/>
          <w:szCs w:val="26"/>
          <w:highlight w:val="none"/>
          <w:lang w:val="en-US" w:eastAsia="zh-CN"/>
        </w:rPr>
      </w:pPr>
      <w:r>
        <w:rPr>
          <w:rFonts w:hint="eastAsia" w:ascii="Arial" w:cs="Arial"/>
          <w:color w:val="auto"/>
          <w:kern w:val="0"/>
          <w:sz w:val="26"/>
          <w:szCs w:val="26"/>
          <w:highlight w:val="none"/>
          <w:lang w:val="en-US" w:eastAsia="zh-CN"/>
        </w:rPr>
        <w:t>（13）《饮用水水源保护区划分技术规范》（HJ338-2018）；</w:t>
      </w:r>
    </w:p>
    <w:p w14:paraId="7FC0B4A4">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宋体" w:hAnsi="宋体" w:eastAsia="宋体" w:cs="宋体"/>
          <w:color w:val="auto"/>
          <w:kern w:val="0"/>
          <w:sz w:val="26"/>
          <w:szCs w:val="26"/>
          <w:highlight w:val="none"/>
          <w:lang w:val="en-US" w:eastAsia="zh-CN"/>
        </w:rPr>
      </w:pPr>
      <w:r>
        <w:rPr>
          <w:rFonts w:hint="eastAsia" w:ascii="Arial" w:cs="Arial"/>
          <w:color w:val="auto"/>
          <w:kern w:val="0"/>
          <w:sz w:val="26"/>
          <w:szCs w:val="26"/>
          <w:highlight w:val="none"/>
          <w:lang w:val="en-US" w:eastAsia="zh-CN"/>
        </w:rPr>
        <w:t>（14）《农村生活污染防</w:t>
      </w:r>
      <w:r>
        <w:rPr>
          <w:rFonts w:hint="eastAsia" w:ascii="Arial" w:hAnsi="Times New Roman" w:cs="Arial"/>
          <w:color w:val="auto"/>
          <w:kern w:val="0"/>
          <w:sz w:val="26"/>
          <w:szCs w:val="26"/>
          <w:highlight w:val="none"/>
          <w:lang w:val="en-US" w:eastAsia="zh-CN"/>
        </w:rPr>
        <w:t>治技术正常》（环发〔2010〕20号）；</w:t>
      </w:r>
    </w:p>
    <w:p w14:paraId="710A1ECA">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eastAsia="宋体" w:cs="Arial"/>
          <w:color w:val="auto"/>
          <w:kern w:val="0"/>
          <w:sz w:val="26"/>
          <w:szCs w:val="26"/>
          <w:highlight w:val="none"/>
          <w:lang w:val="en-US" w:eastAsia="zh-CN"/>
        </w:rPr>
        <w:t>（1</w:t>
      </w:r>
      <w:r>
        <w:rPr>
          <w:rFonts w:hint="eastAsia" w:ascii="Arial" w:hAnsi="Times New Roman" w:cs="Arial"/>
          <w:color w:val="auto"/>
          <w:kern w:val="0"/>
          <w:sz w:val="26"/>
          <w:szCs w:val="26"/>
          <w:highlight w:val="none"/>
          <w:lang w:val="en-US" w:eastAsia="zh-CN"/>
        </w:rPr>
        <w:t>5</w:t>
      </w:r>
      <w:r>
        <w:rPr>
          <w:rFonts w:hint="eastAsia" w:ascii="Arial" w:hAnsi="Times New Roman" w:eastAsia="宋体" w:cs="Arial"/>
          <w:color w:val="auto"/>
          <w:kern w:val="0"/>
          <w:sz w:val="26"/>
          <w:szCs w:val="26"/>
          <w:highlight w:val="none"/>
          <w:lang w:val="en-US" w:eastAsia="zh-CN"/>
        </w:rPr>
        <w:t>）《区域生物多样性评价标准》</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HJ 623-2011</w:t>
      </w:r>
      <w:r>
        <w:rPr>
          <w:rFonts w:hint="eastAsia" w:ascii="Arial" w:hAnsi="Times New Roman" w:cs="Arial"/>
          <w:color w:val="auto"/>
          <w:kern w:val="0"/>
          <w:sz w:val="26"/>
          <w:szCs w:val="26"/>
          <w:highlight w:val="none"/>
          <w:lang w:val="en-US" w:eastAsia="zh-CN"/>
        </w:rPr>
        <w:t>）；</w:t>
      </w:r>
    </w:p>
    <w:p w14:paraId="1EA857CF">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cs="Arial"/>
          <w:color w:val="auto"/>
          <w:kern w:val="0"/>
          <w:sz w:val="26"/>
          <w:szCs w:val="26"/>
          <w:highlight w:val="none"/>
          <w:lang w:val="en-US" w:eastAsia="zh-CN"/>
        </w:rPr>
        <w:t>（16）</w:t>
      </w:r>
      <w:r>
        <w:rPr>
          <w:rFonts w:hint="eastAsia" w:ascii="Arial" w:hAnsi="Times New Roman" w:eastAsia="宋体" w:cs="Arial"/>
          <w:color w:val="auto"/>
          <w:kern w:val="0"/>
          <w:sz w:val="26"/>
          <w:szCs w:val="26"/>
          <w:highlight w:val="none"/>
          <w:lang w:val="en-US" w:eastAsia="zh-CN"/>
        </w:rPr>
        <w:t>《生物多样性观测技术导则</w:t>
      </w:r>
      <w:r>
        <w:rPr>
          <w:rFonts w:hint="eastAsia" w:ascii="Arial" w:hAnsi="Times New Roman" w:cs="Arial"/>
          <w:color w:val="auto"/>
          <w:kern w:val="0"/>
          <w:sz w:val="26"/>
          <w:szCs w:val="26"/>
          <w:highlight w:val="none"/>
          <w:lang w:val="en-US" w:eastAsia="zh-CN"/>
        </w:rPr>
        <w:t xml:space="preserve"> </w:t>
      </w:r>
      <w:r>
        <w:rPr>
          <w:rFonts w:hint="eastAsia" w:ascii="Arial" w:hAnsi="Times New Roman" w:eastAsia="宋体" w:cs="Arial"/>
          <w:color w:val="auto"/>
          <w:kern w:val="0"/>
          <w:sz w:val="26"/>
          <w:szCs w:val="26"/>
          <w:highlight w:val="none"/>
          <w:lang w:val="en-US" w:eastAsia="zh-CN"/>
        </w:rPr>
        <w:t>内陆水域鱼类》</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HJ710.7-2014</w:t>
      </w:r>
      <w:r>
        <w:rPr>
          <w:rFonts w:hint="eastAsia" w:ascii="Arial" w:hAnsi="Times New Roman" w:cs="Arial"/>
          <w:color w:val="auto"/>
          <w:kern w:val="0"/>
          <w:sz w:val="26"/>
          <w:szCs w:val="26"/>
          <w:highlight w:val="none"/>
          <w:lang w:val="en-US" w:eastAsia="zh-CN"/>
        </w:rPr>
        <w:t>）；</w:t>
      </w:r>
    </w:p>
    <w:p w14:paraId="547D121C">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cs="Arial"/>
          <w:color w:val="auto"/>
          <w:kern w:val="0"/>
          <w:sz w:val="26"/>
          <w:szCs w:val="26"/>
          <w:highlight w:val="none"/>
          <w:lang w:val="en-US" w:eastAsia="zh-CN"/>
        </w:rPr>
        <w:t>（17）</w:t>
      </w:r>
      <w:r>
        <w:rPr>
          <w:rFonts w:hint="eastAsia" w:ascii="Arial" w:hAnsi="Times New Roman" w:eastAsia="宋体" w:cs="Arial"/>
          <w:color w:val="auto"/>
          <w:kern w:val="0"/>
          <w:sz w:val="26"/>
          <w:szCs w:val="26"/>
          <w:highlight w:val="none"/>
          <w:lang w:val="en-US" w:eastAsia="zh-CN"/>
        </w:rPr>
        <w:t>《生物多样性观测技术导则</w:t>
      </w:r>
      <w:r>
        <w:rPr>
          <w:rFonts w:hint="eastAsia" w:ascii="Arial" w:hAnsi="Times New Roman" w:cs="Arial"/>
          <w:color w:val="auto"/>
          <w:kern w:val="0"/>
          <w:sz w:val="26"/>
          <w:szCs w:val="26"/>
          <w:highlight w:val="none"/>
          <w:lang w:val="en-US" w:eastAsia="zh-CN"/>
        </w:rPr>
        <w:t xml:space="preserve"> </w:t>
      </w:r>
      <w:r>
        <w:rPr>
          <w:rFonts w:hint="eastAsia" w:ascii="Arial" w:hAnsi="Times New Roman" w:eastAsia="宋体" w:cs="Arial"/>
          <w:color w:val="auto"/>
          <w:kern w:val="0"/>
          <w:sz w:val="26"/>
          <w:szCs w:val="26"/>
          <w:highlight w:val="none"/>
          <w:lang w:val="en-US" w:eastAsia="zh-CN"/>
        </w:rPr>
        <w:t>淡水底栖大型无脊椎动物》</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HJ710.7-</w:t>
      </w:r>
    </w:p>
    <w:p w14:paraId="3244326C">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eastAsia="宋体" w:cs="Arial"/>
          <w:color w:val="auto"/>
          <w:kern w:val="0"/>
          <w:sz w:val="26"/>
          <w:szCs w:val="26"/>
          <w:highlight w:val="none"/>
          <w:lang w:val="en-US" w:eastAsia="zh-CN"/>
        </w:rPr>
        <w:t>2014</w:t>
      </w:r>
      <w:r>
        <w:rPr>
          <w:rFonts w:hint="eastAsia" w:ascii="Arial" w:hAnsi="Times New Roman" w:cs="Arial"/>
          <w:color w:val="auto"/>
          <w:kern w:val="0"/>
          <w:sz w:val="26"/>
          <w:szCs w:val="26"/>
          <w:highlight w:val="none"/>
          <w:lang w:val="en-US" w:eastAsia="zh-CN"/>
        </w:rPr>
        <w:t>）；</w:t>
      </w:r>
    </w:p>
    <w:p w14:paraId="0EC40272">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cs="Arial"/>
          <w:color w:val="auto"/>
          <w:kern w:val="0"/>
          <w:sz w:val="26"/>
          <w:szCs w:val="26"/>
          <w:highlight w:val="none"/>
          <w:lang w:val="en-US" w:eastAsia="zh-CN"/>
        </w:rPr>
      </w:pPr>
      <w:r>
        <w:rPr>
          <w:rFonts w:hint="eastAsia" w:ascii="Arial" w:hAnsi="Times New Roman" w:cs="Arial"/>
          <w:color w:val="auto"/>
          <w:kern w:val="0"/>
          <w:sz w:val="26"/>
          <w:szCs w:val="26"/>
          <w:highlight w:val="none"/>
          <w:lang w:val="en-US" w:eastAsia="zh-CN"/>
        </w:rPr>
        <w:t>（18）</w:t>
      </w:r>
      <w:r>
        <w:rPr>
          <w:rFonts w:hint="eastAsia" w:ascii="Arial" w:hAnsi="Times New Roman" w:eastAsia="宋体" w:cs="Arial"/>
          <w:color w:val="auto"/>
          <w:kern w:val="0"/>
          <w:sz w:val="26"/>
          <w:szCs w:val="26"/>
          <w:highlight w:val="none"/>
          <w:lang w:val="en-US" w:eastAsia="zh-CN"/>
        </w:rPr>
        <w:t>《生物多样性观测技术导则</w:t>
      </w:r>
      <w:r>
        <w:rPr>
          <w:rFonts w:hint="eastAsia" w:ascii="Arial" w:hAnsi="Times New Roman" w:cs="Arial"/>
          <w:color w:val="auto"/>
          <w:kern w:val="0"/>
          <w:sz w:val="26"/>
          <w:szCs w:val="26"/>
          <w:highlight w:val="none"/>
          <w:lang w:val="en-US" w:eastAsia="zh-CN"/>
        </w:rPr>
        <w:t xml:space="preserve"> </w:t>
      </w:r>
      <w:r>
        <w:rPr>
          <w:rFonts w:hint="eastAsia" w:ascii="Arial" w:hAnsi="Times New Roman" w:eastAsia="宋体" w:cs="Arial"/>
          <w:color w:val="auto"/>
          <w:kern w:val="0"/>
          <w:sz w:val="26"/>
          <w:szCs w:val="26"/>
          <w:highlight w:val="none"/>
          <w:lang w:val="en-US" w:eastAsia="zh-CN"/>
        </w:rPr>
        <w:t>陆生维管植物》</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HJ710.1-2014</w:t>
      </w:r>
      <w:r>
        <w:rPr>
          <w:rFonts w:hint="eastAsia" w:ascii="Arial" w:hAnsi="Times New Roman" w:cs="Arial"/>
          <w:color w:val="auto"/>
          <w:kern w:val="0"/>
          <w:sz w:val="26"/>
          <w:szCs w:val="26"/>
          <w:highlight w:val="none"/>
          <w:lang w:val="en-US" w:eastAsia="zh-CN"/>
        </w:rPr>
        <w:t>）；</w:t>
      </w:r>
    </w:p>
    <w:p w14:paraId="124FEFE5">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cs="Arial"/>
          <w:color w:val="auto"/>
          <w:kern w:val="0"/>
          <w:sz w:val="26"/>
          <w:szCs w:val="26"/>
          <w:highlight w:val="none"/>
          <w:lang w:val="en-US" w:eastAsia="zh-CN"/>
        </w:rPr>
        <w:t>（19）</w:t>
      </w:r>
      <w:r>
        <w:rPr>
          <w:rFonts w:hint="eastAsia" w:ascii="Arial" w:hAnsi="Times New Roman" w:eastAsia="宋体" w:cs="Arial"/>
          <w:color w:val="auto"/>
          <w:kern w:val="0"/>
          <w:sz w:val="26"/>
          <w:szCs w:val="26"/>
          <w:highlight w:val="none"/>
          <w:lang w:val="en-US" w:eastAsia="zh-CN"/>
        </w:rPr>
        <w:t>《生物多样性观测技术导则</w:t>
      </w:r>
      <w:r>
        <w:rPr>
          <w:rFonts w:hint="eastAsia" w:ascii="Arial" w:hAnsi="Times New Roman" w:cs="Arial"/>
          <w:color w:val="auto"/>
          <w:kern w:val="0"/>
          <w:sz w:val="26"/>
          <w:szCs w:val="26"/>
          <w:highlight w:val="none"/>
          <w:lang w:val="en-US" w:eastAsia="zh-CN"/>
        </w:rPr>
        <w:t xml:space="preserve"> </w:t>
      </w:r>
      <w:r>
        <w:rPr>
          <w:rFonts w:hint="eastAsia" w:ascii="Arial" w:hAnsi="Times New Roman" w:eastAsia="宋体" w:cs="Arial"/>
          <w:color w:val="auto"/>
          <w:kern w:val="0"/>
          <w:sz w:val="26"/>
          <w:szCs w:val="26"/>
          <w:highlight w:val="none"/>
          <w:lang w:val="en-US" w:eastAsia="zh-CN"/>
        </w:rPr>
        <w:t>两栖动物》</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HJ710.6-2014</w:t>
      </w:r>
      <w:r>
        <w:rPr>
          <w:rFonts w:hint="eastAsia" w:ascii="Arial" w:hAnsi="Times New Roman" w:cs="Arial"/>
          <w:color w:val="auto"/>
          <w:kern w:val="0"/>
          <w:sz w:val="26"/>
          <w:szCs w:val="26"/>
          <w:highlight w:val="none"/>
          <w:lang w:val="en-US" w:eastAsia="zh-CN"/>
        </w:rPr>
        <w:t>）；</w:t>
      </w:r>
    </w:p>
    <w:p w14:paraId="4CA86E08">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cs="Arial"/>
          <w:color w:val="auto"/>
          <w:kern w:val="0"/>
          <w:sz w:val="26"/>
          <w:szCs w:val="26"/>
          <w:highlight w:val="none"/>
          <w:lang w:val="en-US" w:eastAsia="zh-CN"/>
        </w:rPr>
        <w:t>（20）</w:t>
      </w:r>
      <w:r>
        <w:rPr>
          <w:rFonts w:hint="eastAsia" w:ascii="Arial" w:hAnsi="Times New Roman" w:eastAsia="宋体" w:cs="Arial"/>
          <w:color w:val="auto"/>
          <w:kern w:val="0"/>
          <w:sz w:val="26"/>
          <w:szCs w:val="26"/>
          <w:highlight w:val="none"/>
          <w:lang w:val="en-US" w:eastAsia="zh-CN"/>
        </w:rPr>
        <w:t>《生物多样性观测技术导则</w:t>
      </w:r>
      <w:r>
        <w:rPr>
          <w:rFonts w:hint="eastAsia" w:ascii="Arial" w:hAnsi="Times New Roman" w:cs="Arial"/>
          <w:color w:val="auto"/>
          <w:kern w:val="0"/>
          <w:sz w:val="26"/>
          <w:szCs w:val="26"/>
          <w:highlight w:val="none"/>
          <w:lang w:val="en-US" w:eastAsia="zh-CN"/>
        </w:rPr>
        <w:t xml:space="preserve"> </w:t>
      </w:r>
      <w:r>
        <w:rPr>
          <w:rFonts w:hint="eastAsia" w:ascii="Arial" w:hAnsi="Times New Roman" w:eastAsia="宋体" w:cs="Arial"/>
          <w:color w:val="auto"/>
          <w:kern w:val="0"/>
          <w:sz w:val="26"/>
          <w:szCs w:val="26"/>
          <w:highlight w:val="none"/>
          <w:lang w:val="en-US" w:eastAsia="zh-CN"/>
        </w:rPr>
        <w:t>爬行动物》</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HJ710.5-2014</w:t>
      </w:r>
      <w:r>
        <w:rPr>
          <w:rFonts w:hint="eastAsia" w:ascii="Arial" w:hAnsi="Times New Roman" w:cs="Arial"/>
          <w:color w:val="auto"/>
          <w:kern w:val="0"/>
          <w:sz w:val="26"/>
          <w:szCs w:val="26"/>
          <w:highlight w:val="none"/>
          <w:lang w:val="en-US" w:eastAsia="zh-CN"/>
        </w:rPr>
        <w:t>）；</w:t>
      </w:r>
    </w:p>
    <w:p w14:paraId="6C86FDE9">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cs="Arial"/>
          <w:color w:val="auto"/>
          <w:kern w:val="0"/>
          <w:sz w:val="26"/>
          <w:szCs w:val="26"/>
          <w:highlight w:val="none"/>
          <w:lang w:val="en-US" w:eastAsia="zh-CN"/>
        </w:rPr>
        <w:t>（21）</w:t>
      </w:r>
      <w:r>
        <w:rPr>
          <w:rFonts w:hint="eastAsia" w:ascii="Arial" w:hAnsi="Times New Roman" w:eastAsia="宋体" w:cs="Arial"/>
          <w:color w:val="auto"/>
          <w:kern w:val="0"/>
          <w:sz w:val="26"/>
          <w:szCs w:val="26"/>
          <w:highlight w:val="none"/>
          <w:lang w:val="en-US" w:eastAsia="zh-CN"/>
        </w:rPr>
        <w:t>《生物多样性观测技术导则</w:t>
      </w:r>
      <w:r>
        <w:rPr>
          <w:rFonts w:hint="eastAsia" w:ascii="Arial" w:hAnsi="Times New Roman" w:cs="Arial"/>
          <w:color w:val="auto"/>
          <w:kern w:val="0"/>
          <w:sz w:val="26"/>
          <w:szCs w:val="26"/>
          <w:highlight w:val="none"/>
          <w:lang w:val="en-US" w:eastAsia="zh-CN"/>
        </w:rPr>
        <w:t xml:space="preserve"> </w:t>
      </w:r>
      <w:r>
        <w:rPr>
          <w:rFonts w:hint="eastAsia" w:ascii="Arial" w:hAnsi="Times New Roman" w:eastAsia="宋体" w:cs="Arial"/>
          <w:color w:val="auto"/>
          <w:kern w:val="0"/>
          <w:sz w:val="26"/>
          <w:szCs w:val="26"/>
          <w:highlight w:val="none"/>
          <w:lang w:val="en-US" w:eastAsia="zh-CN"/>
        </w:rPr>
        <w:t>鸟类》</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HJ710.4-2014</w:t>
      </w:r>
      <w:r>
        <w:rPr>
          <w:rFonts w:hint="eastAsia" w:ascii="Arial" w:hAnsi="Times New Roman" w:cs="Arial"/>
          <w:color w:val="auto"/>
          <w:kern w:val="0"/>
          <w:sz w:val="26"/>
          <w:szCs w:val="26"/>
          <w:highlight w:val="none"/>
          <w:lang w:val="en-US" w:eastAsia="zh-CN"/>
        </w:rPr>
        <w:t>）；</w:t>
      </w:r>
    </w:p>
    <w:p w14:paraId="1B142C02">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cs="Arial"/>
          <w:color w:val="auto"/>
          <w:kern w:val="0"/>
          <w:sz w:val="26"/>
          <w:szCs w:val="26"/>
          <w:highlight w:val="none"/>
          <w:lang w:val="en-US" w:eastAsia="zh-CN"/>
        </w:rPr>
        <w:t>（22）</w:t>
      </w:r>
      <w:r>
        <w:rPr>
          <w:rFonts w:hint="eastAsia" w:ascii="Arial" w:hAnsi="Times New Roman" w:eastAsia="宋体" w:cs="Arial"/>
          <w:color w:val="auto"/>
          <w:kern w:val="0"/>
          <w:sz w:val="26"/>
          <w:szCs w:val="26"/>
          <w:highlight w:val="none"/>
          <w:lang w:val="en-US" w:eastAsia="zh-CN"/>
        </w:rPr>
        <w:t>《生物多样性观测技术导则</w:t>
      </w:r>
      <w:r>
        <w:rPr>
          <w:rFonts w:hint="eastAsia" w:ascii="Arial" w:hAnsi="Times New Roman" w:cs="Arial"/>
          <w:color w:val="auto"/>
          <w:kern w:val="0"/>
          <w:sz w:val="26"/>
          <w:szCs w:val="26"/>
          <w:highlight w:val="none"/>
          <w:lang w:val="en-US" w:eastAsia="zh-CN"/>
        </w:rPr>
        <w:t xml:space="preserve"> </w:t>
      </w:r>
      <w:r>
        <w:rPr>
          <w:rFonts w:hint="eastAsia" w:ascii="Arial" w:hAnsi="Times New Roman" w:eastAsia="宋体" w:cs="Arial"/>
          <w:color w:val="auto"/>
          <w:kern w:val="0"/>
          <w:sz w:val="26"/>
          <w:szCs w:val="26"/>
          <w:highlight w:val="none"/>
          <w:lang w:val="en-US" w:eastAsia="zh-CN"/>
        </w:rPr>
        <w:t>陆生哺乳动物》</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HJ710.3-2014</w:t>
      </w:r>
      <w:r>
        <w:rPr>
          <w:rFonts w:hint="eastAsia" w:ascii="Arial" w:hAnsi="Times New Roman" w:cs="Arial"/>
          <w:color w:val="auto"/>
          <w:kern w:val="0"/>
          <w:sz w:val="26"/>
          <w:szCs w:val="26"/>
          <w:highlight w:val="none"/>
          <w:lang w:val="en-US" w:eastAsia="zh-CN"/>
        </w:rPr>
        <w:t>）；</w:t>
      </w:r>
    </w:p>
    <w:p w14:paraId="0219D543">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cs="Arial"/>
          <w:color w:val="auto"/>
          <w:kern w:val="0"/>
          <w:sz w:val="26"/>
          <w:szCs w:val="26"/>
          <w:highlight w:val="none"/>
          <w:lang w:val="en-US" w:eastAsia="zh-CN"/>
        </w:rPr>
        <w:t>（23）</w:t>
      </w:r>
      <w:r>
        <w:rPr>
          <w:rFonts w:hint="eastAsia" w:ascii="Arial" w:hAnsi="Times New Roman" w:eastAsia="宋体" w:cs="Arial"/>
          <w:color w:val="auto"/>
          <w:kern w:val="0"/>
          <w:sz w:val="26"/>
          <w:szCs w:val="26"/>
          <w:highlight w:val="none"/>
          <w:lang w:val="en-US" w:eastAsia="zh-CN"/>
        </w:rPr>
        <w:t>《水库渔业资源调查规范》</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SL167-2014</w:t>
      </w:r>
      <w:r>
        <w:rPr>
          <w:rFonts w:hint="eastAsia" w:ascii="Arial" w:hAnsi="Times New Roman" w:cs="Arial"/>
          <w:color w:val="auto"/>
          <w:kern w:val="0"/>
          <w:sz w:val="26"/>
          <w:szCs w:val="26"/>
          <w:highlight w:val="none"/>
          <w:lang w:val="en-US" w:eastAsia="zh-CN"/>
        </w:rPr>
        <w:t>）；</w:t>
      </w:r>
    </w:p>
    <w:p w14:paraId="7A58BB6F">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cs="Arial"/>
          <w:color w:val="auto"/>
          <w:kern w:val="0"/>
          <w:sz w:val="26"/>
          <w:szCs w:val="26"/>
          <w:highlight w:val="none"/>
          <w:lang w:val="en-US" w:eastAsia="zh-CN"/>
        </w:rPr>
        <w:t>（24）</w:t>
      </w:r>
      <w:r>
        <w:rPr>
          <w:rFonts w:hint="eastAsia" w:ascii="Arial" w:hAnsi="Times New Roman" w:eastAsia="宋体" w:cs="Arial"/>
          <w:color w:val="auto"/>
          <w:kern w:val="0"/>
          <w:sz w:val="26"/>
          <w:szCs w:val="26"/>
          <w:highlight w:val="none"/>
          <w:lang w:val="en-US" w:eastAsia="zh-CN"/>
        </w:rPr>
        <w:t>《外来物种环境风险评估技术导则》</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HJ 624-2011</w:t>
      </w:r>
      <w:r>
        <w:rPr>
          <w:rFonts w:hint="eastAsia" w:ascii="Arial" w:hAnsi="Times New Roman"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val="en-US" w:eastAsia="zh-CN"/>
        </w:rPr>
        <w:t>。</w:t>
      </w:r>
    </w:p>
    <w:p w14:paraId="79D325D0">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eastAsia" w:ascii="Arial" w:hAnsi="Arial" w:eastAsia="宋体" w:cs="Arial"/>
          <w:b/>
          <w:color w:val="auto"/>
          <w:kern w:val="0"/>
          <w:sz w:val="26"/>
          <w:szCs w:val="20"/>
          <w:highlight w:val="none"/>
          <w:lang w:eastAsia="zh-CN"/>
        </w:rPr>
      </w:pPr>
      <w:bookmarkStart w:id="24" w:name="_Toc36040979"/>
      <w:bookmarkStart w:id="25" w:name="_Toc34987780"/>
      <w:r>
        <w:rPr>
          <w:rFonts w:hint="eastAsia" w:ascii="Arial" w:hAnsi="Arial" w:eastAsia="宋体" w:cs="Arial"/>
          <w:b/>
          <w:color w:val="auto"/>
          <w:kern w:val="0"/>
          <w:sz w:val="26"/>
          <w:szCs w:val="20"/>
          <w:highlight w:val="none"/>
          <w:lang w:eastAsia="zh-CN"/>
        </w:rPr>
        <w:t>1.</w:t>
      </w:r>
      <w:r>
        <w:rPr>
          <w:rFonts w:hint="eastAsia" w:ascii="Arial" w:hAnsi="Arial" w:cs="Arial"/>
          <w:b/>
          <w:color w:val="auto"/>
          <w:kern w:val="0"/>
          <w:sz w:val="26"/>
          <w:szCs w:val="20"/>
          <w:highlight w:val="none"/>
          <w:lang w:val="en-US" w:eastAsia="zh-CN"/>
        </w:rPr>
        <w:t>3</w:t>
      </w:r>
      <w:r>
        <w:rPr>
          <w:rFonts w:hint="eastAsia" w:ascii="Arial" w:hAnsi="Arial" w:eastAsia="宋体" w:cs="Arial"/>
          <w:b/>
          <w:color w:val="auto"/>
          <w:kern w:val="0"/>
          <w:sz w:val="26"/>
          <w:szCs w:val="20"/>
          <w:highlight w:val="none"/>
          <w:lang w:eastAsia="zh-CN"/>
        </w:rPr>
        <w:t xml:space="preserve">.4 </w:t>
      </w:r>
      <w:bookmarkEnd w:id="24"/>
      <w:bookmarkEnd w:id="25"/>
      <w:bookmarkStart w:id="26" w:name="_Toc36040980"/>
      <w:bookmarkStart w:id="27" w:name="_Toc34987781"/>
      <w:r>
        <w:rPr>
          <w:rFonts w:hint="eastAsia" w:ascii="Arial" w:hAnsi="Arial" w:eastAsia="宋体" w:cs="Arial"/>
          <w:b/>
          <w:color w:val="auto"/>
          <w:kern w:val="0"/>
          <w:sz w:val="26"/>
          <w:szCs w:val="20"/>
          <w:highlight w:val="none"/>
          <w:lang w:eastAsia="zh-CN"/>
        </w:rPr>
        <w:t>项目相关文件及技术资料</w:t>
      </w:r>
      <w:bookmarkEnd w:id="26"/>
      <w:bookmarkEnd w:id="27"/>
    </w:p>
    <w:p w14:paraId="732F5A30">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eastAsia="zh-CN"/>
        </w:rPr>
        <w:t>（1）</w:t>
      </w:r>
      <w:r>
        <w:rPr>
          <w:rFonts w:hint="eastAsia" w:ascii="Arial" w:hAnsi="Arial" w:eastAsia="宋体" w:cs="Arial"/>
          <w:color w:val="auto"/>
          <w:kern w:val="0"/>
          <w:sz w:val="26"/>
          <w:szCs w:val="26"/>
          <w:highlight w:val="none"/>
          <w:lang w:val="en-US" w:eastAsia="zh-CN"/>
        </w:rPr>
        <w:t>《丰都县海螺沟水库工程可行性研究报告》</w:t>
      </w:r>
      <w:r>
        <w:rPr>
          <w:rFonts w:hint="eastAsia" w:ascii="Arial" w:hAnsi="Times New Roman" w:eastAsia="宋体" w:cs="Arial"/>
          <w:color w:val="auto"/>
          <w:kern w:val="0"/>
          <w:sz w:val="26"/>
          <w:szCs w:val="26"/>
          <w:highlight w:val="none"/>
          <w:lang w:eastAsia="zh-CN"/>
        </w:rPr>
        <w:t>，2022年</w:t>
      </w:r>
      <w:r>
        <w:rPr>
          <w:rFonts w:hint="eastAsia" w:ascii="Arial" w:cs="Arial"/>
          <w:color w:val="auto"/>
          <w:kern w:val="0"/>
          <w:sz w:val="26"/>
          <w:szCs w:val="26"/>
          <w:highlight w:val="none"/>
          <w:lang w:val="en-US" w:eastAsia="zh-CN"/>
        </w:rPr>
        <w:t>5</w:t>
      </w:r>
      <w:r>
        <w:rPr>
          <w:rFonts w:hint="eastAsia" w:ascii="Arial" w:hAnsi="Times New Roman" w:eastAsia="宋体" w:cs="Arial"/>
          <w:color w:val="auto"/>
          <w:kern w:val="0"/>
          <w:sz w:val="26"/>
          <w:szCs w:val="26"/>
          <w:highlight w:val="none"/>
          <w:lang w:eastAsia="zh-CN"/>
        </w:rPr>
        <w:t>月；</w:t>
      </w:r>
    </w:p>
    <w:p w14:paraId="1BF41F3E">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val="en-US" w:eastAsia="zh-CN"/>
        </w:rPr>
        <w:t>（2</w:t>
      </w:r>
      <w:r>
        <w:rPr>
          <w:rFonts w:hint="eastAsia" w:ascii="Arial" w:hAnsi="Times New Roman" w:eastAsia="宋体" w:cs="Arial"/>
          <w:color w:val="auto"/>
          <w:kern w:val="0"/>
          <w:sz w:val="26"/>
          <w:szCs w:val="26"/>
          <w:highlight w:val="none"/>
          <w:lang w:eastAsia="zh-CN"/>
        </w:rPr>
        <w:t>）《</w:t>
      </w:r>
      <w:r>
        <w:rPr>
          <w:rFonts w:hint="eastAsia" w:ascii="Arial" w:hAnsi="Arial" w:eastAsia="宋体" w:cs="Arial"/>
          <w:color w:val="auto"/>
          <w:kern w:val="0"/>
          <w:sz w:val="26"/>
          <w:szCs w:val="26"/>
          <w:highlight w:val="none"/>
          <w:lang w:val="en-US" w:eastAsia="zh-CN"/>
        </w:rPr>
        <w:t>丰都县海螺沟水库工程</w:t>
      </w:r>
      <w:r>
        <w:rPr>
          <w:rFonts w:hint="eastAsia" w:ascii="Arial" w:hAnsi="Arial" w:cs="Arial"/>
          <w:color w:val="auto"/>
          <w:kern w:val="0"/>
          <w:sz w:val="26"/>
          <w:szCs w:val="26"/>
          <w:highlight w:val="none"/>
          <w:lang w:val="en-US" w:eastAsia="zh-CN"/>
        </w:rPr>
        <w:t>初步设计</w:t>
      </w:r>
      <w:r>
        <w:rPr>
          <w:rFonts w:hint="eastAsia" w:ascii="Arial" w:hAnsi="Arial" w:eastAsia="宋体" w:cs="Arial"/>
          <w:color w:val="auto"/>
          <w:kern w:val="0"/>
          <w:sz w:val="26"/>
          <w:szCs w:val="26"/>
          <w:highlight w:val="none"/>
          <w:lang w:val="en-US" w:eastAsia="zh-CN"/>
        </w:rPr>
        <w:t>报告</w:t>
      </w:r>
      <w:r>
        <w:rPr>
          <w:rFonts w:hint="eastAsia" w:ascii="Arial" w:hAnsi="Times New Roman" w:eastAsia="宋体" w:cs="Arial"/>
          <w:color w:val="auto"/>
          <w:kern w:val="0"/>
          <w:sz w:val="26"/>
          <w:szCs w:val="26"/>
          <w:highlight w:val="none"/>
          <w:lang w:eastAsia="zh-CN"/>
        </w:rPr>
        <w:t>》，202</w:t>
      </w:r>
      <w:r>
        <w:rPr>
          <w:rFonts w:hint="eastAsia" w:ascii="Arial" w:hAnsi="Times New Roman" w:eastAsia="宋体" w:cs="Arial"/>
          <w:color w:val="auto"/>
          <w:kern w:val="0"/>
          <w:sz w:val="26"/>
          <w:szCs w:val="26"/>
          <w:highlight w:val="none"/>
          <w:lang w:val="en-US" w:eastAsia="zh-CN"/>
        </w:rPr>
        <w:t>3</w:t>
      </w:r>
      <w:r>
        <w:rPr>
          <w:rFonts w:hint="eastAsia" w:ascii="Arial" w:hAnsi="Times New Roman" w:eastAsia="宋体" w:cs="Arial"/>
          <w:color w:val="auto"/>
          <w:kern w:val="0"/>
          <w:sz w:val="26"/>
          <w:szCs w:val="26"/>
          <w:highlight w:val="none"/>
          <w:lang w:eastAsia="zh-CN"/>
        </w:rPr>
        <w:t>年</w:t>
      </w:r>
      <w:r>
        <w:rPr>
          <w:rFonts w:hint="eastAsia" w:ascii="Arial" w:hAnsi="Times New Roman" w:eastAsia="宋体" w:cs="Arial"/>
          <w:color w:val="auto"/>
          <w:kern w:val="0"/>
          <w:sz w:val="26"/>
          <w:szCs w:val="26"/>
          <w:highlight w:val="none"/>
          <w:lang w:val="en-US" w:eastAsia="zh-CN"/>
        </w:rPr>
        <w:t>1</w:t>
      </w:r>
      <w:r>
        <w:rPr>
          <w:rFonts w:hint="eastAsia" w:ascii="Arial" w:cs="Arial"/>
          <w:color w:val="auto"/>
          <w:kern w:val="0"/>
          <w:sz w:val="26"/>
          <w:szCs w:val="26"/>
          <w:highlight w:val="none"/>
          <w:lang w:val="en-US" w:eastAsia="zh-CN"/>
        </w:rPr>
        <w:t>0</w:t>
      </w:r>
      <w:r>
        <w:rPr>
          <w:rFonts w:hint="eastAsia" w:ascii="Arial" w:hAnsi="Times New Roman" w:eastAsia="宋体" w:cs="Arial"/>
          <w:color w:val="auto"/>
          <w:kern w:val="0"/>
          <w:sz w:val="26"/>
          <w:szCs w:val="26"/>
          <w:highlight w:val="none"/>
          <w:lang w:eastAsia="zh-CN"/>
        </w:rPr>
        <w:t>月；</w:t>
      </w:r>
    </w:p>
    <w:p w14:paraId="269A4881">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val="en-US" w:eastAsia="zh-CN"/>
        </w:rPr>
        <w:t>（3</w:t>
      </w:r>
      <w:r>
        <w:rPr>
          <w:rFonts w:hint="eastAsia" w:ascii="Arial" w:hAnsi="Times New Roman" w:eastAsia="宋体" w:cs="Arial"/>
          <w:color w:val="auto"/>
          <w:kern w:val="0"/>
          <w:sz w:val="26"/>
          <w:szCs w:val="26"/>
          <w:highlight w:val="none"/>
          <w:lang w:eastAsia="zh-CN"/>
        </w:rPr>
        <w:t>）</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丰都县海螺沟水库工程建设用地压覆矿产资源评估报告</w:t>
      </w:r>
      <w:r>
        <w:rPr>
          <w:rFonts w:hint="eastAsia" w:ascii="Arial" w:hAnsi="Arial" w:cs="Arial"/>
          <w:color w:val="auto"/>
          <w:kern w:val="0"/>
          <w:sz w:val="26"/>
          <w:szCs w:val="26"/>
          <w:highlight w:val="none"/>
          <w:lang w:val="en-US" w:eastAsia="zh-CN"/>
        </w:rPr>
        <w:t>》</w:t>
      </w:r>
      <w:r>
        <w:rPr>
          <w:rFonts w:hint="eastAsia" w:ascii="Arial" w:hAnsi="Times New Roman" w:eastAsia="宋体" w:cs="Arial"/>
          <w:color w:val="auto"/>
          <w:kern w:val="0"/>
          <w:sz w:val="26"/>
          <w:szCs w:val="26"/>
          <w:highlight w:val="none"/>
          <w:lang w:eastAsia="zh-CN"/>
        </w:rPr>
        <w:t>，202</w:t>
      </w:r>
      <w:r>
        <w:rPr>
          <w:rFonts w:hint="eastAsia" w:ascii="Arial" w:hAnsi="Times New Roman" w:eastAsia="宋体" w:cs="Arial"/>
          <w:color w:val="auto"/>
          <w:kern w:val="0"/>
          <w:sz w:val="26"/>
          <w:szCs w:val="26"/>
          <w:highlight w:val="none"/>
          <w:lang w:val="en-US" w:eastAsia="zh-CN"/>
        </w:rPr>
        <w:t>3</w:t>
      </w:r>
      <w:r>
        <w:rPr>
          <w:rFonts w:hint="eastAsia" w:ascii="Arial" w:hAnsi="Times New Roman" w:eastAsia="宋体" w:cs="Arial"/>
          <w:color w:val="auto"/>
          <w:kern w:val="0"/>
          <w:sz w:val="26"/>
          <w:szCs w:val="26"/>
          <w:highlight w:val="none"/>
          <w:lang w:eastAsia="zh-CN"/>
        </w:rPr>
        <w:t>年</w:t>
      </w:r>
      <w:r>
        <w:rPr>
          <w:rFonts w:hint="eastAsia" w:ascii="Arial" w:cs="Arial"/>
          <w:color w:val="auto"/>
          <w:kern w:val="0"/>
          <w:sz w:val="26"/>
          <w:szCs w:val="26"/>
          <w:highlight w:val="none"/>
          <w:lang w:val="en-US" w:eastAsia="zh-CN"/>
        </w:rPr>
        <w:t>10</w:t>
      </w:r>
      <w:r>
        <w:rPr>
          <w:rFonts w:hint="eastAsia" w:ascii="Arial" w:hAnsi="Times New Roman" w:eastAsia="宋体" w:cs="Arial"/>
          <w:color w:val="auto"/>
          <w:kern w:val="0"/>
          <w:sz w:val="26"/>
          <w:szCs w:val="26"/>
          <w:highlight w:val="none"/>
          <w:lang w:eastAsia="zh-CN"/>
        </w:rPr>
        <w:t>月；</w:t>
      </w:r>
    </w:p>
    <w:p w14:paraId="71EDFBC2">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val="en-US" w:eastAsia="zh-CN"/>
        </w:rPr>
      </w:pPr>
      <w:r>
        <w:rPr>
          <w:rFonts w:hint="eastAsia" w:ascii="Arial" w:hAnsi="Times New Roman" w:eastAsia="宋体" w:cs="Arial"/>
          <w:color w:val="auto"/>
          <w:kern w:val="0"/>
          <w:sz w:val="26"/>
          <w:szCs w:val="26"/>
          <w:highlight w:val="none"/>
          <w:lang w:val="en-US" w:eastAsia="zh-CN"/>
        </w:rPr>
        <w:t>（4）</w:t>
      </w:r>
      <w:r>
        <w:rPr>
          <w:rFonts w:hint="eastAsia" w:ascii="Arial" w:hAnsi="Arial" w:cs="Arial"/>
          <w:color w:val="auto"/>
          <w:kern w:val="0"/>
          <w:sz w:val="26"/>
          <w:szCs w:val="26"/>
          <w:highlight w:val="none"/>
          <w:lang w:val="en-US" w:eastAsia="zh-CN"/>
        </w:rPr>
        <w:t>《丰都县海螺沟水库工程拟使用林地可行性研究报告》</w:t>
      </w:r>
      <w:r>
        <w:rPr>
          <w:rFonts w:hint="eastAsia" w:ascii="Arial" w:hAnsi="Times New Roman" w:eastAsia="宋体" w:cs="Arial"/>
          <w:color w:val="auto"/>
          <w:kern w:val="0"/>
          <w:sz w:val="26"/>
          <w:szCs w:val="26"/>
          <w:highlight w:val="none"/>
          <w:lang w:val="en-US" w:eastAsia="zh-CN"/>
        </w:rPr>
        <w:t>，2023年</w:t>
      </w:r>
      <w:r>
        <w:rPr>
          <w:rFonts w:hint="eastAsia" w:ascii="Arial" w:cs="Arial"/>
          <w:color w:val="auto"/>
          <w:kern w:val="0"/>
          <w:sz w:val="26"/>
          <w:szCs w:val="26"/>
          <w:highlight w:val="none"/>
          <w:lang w:val="en-US" w:eastAsia="zh-CN"/>
        </w:rPr>
        <w:t>12</w:t>
      </w:r>
      <w:r>
        <w:rPr>
          <w:rFonts w:hint="eastAsia" w:ascii="Arial" w:hAnsi="Times New Roman" w:eastAsia="宋体" w:cs="Arial"/>
          <w:color w:val="auto"/>
          <w:kern w:val="0"/>
          <w:sz w:val="26"/>
          <w:szCs w:val="26"/>
          <w:highlight w:val="none"/>
          <w:lang w:val="en-US" w:eastAsia="zh-CN"/>
        </w:rPr>
        <w:t>月；</w:t>
      </w:r>
    </w:p>
    <w:p w14:paraId="47A79788">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hAnsi="Times New Roman" w:eastAsia="宋体" w:cs="Arial"/>
          <w:color w:val="auto"/>
          <w:kern w:val="0"/>
          <w:sz w:val="26"/>
          <w:szCs w:val="26"/>
          <w:highlight w:val="none"/>
          <w:lang w:val="en-US" w:eastAsia="zh-CN"/>
        </w:rPr>
        <w:t>（</w:t>
      </w:r>
      <w:r>
        <w:rPr>
          <w:rFonts w:hint="eastAsia" w:ascii="Arial" w:cs="Arial"/>
          <w:color w:val="auto"/>
          <w:kern w:val="0"/>
          <w:sz w:val="26"/>
          <w:szCs w:val="26"/>
          <w:highlight w:val="none"/>
          <w:lang w:val="en-US" w:eastAsia="zh-CN"/>
        </w:rPr>
        <w:t>5</w:t>
      </w:r>
      <w:r>
        <w:rPr>
          <w:rFonts w:hint="eastAsia" w:ascii="Arial" w:hAnsi="Times New Roman" w:eastAsia="宋体" w:cs="Arial"/>
          <w:color w:val="auto"/>
          <w:kern w:val="0"/>
          <w:sz w:val="26"/>
          <w:szCs w:val="26"/>
          <w:highlight w:val="none"/>
          <w:lang w:eastAsia="zh-CN"/>
        </w:rPr>
        <w:t>）</w:t>
      </w:r>
      <w:r>
        <w:rPr>
          <w:rFonts w:hint="eastAsia" w:ascii="Arial" w:cs="Arial"/>
          <w:color w:val="auto"/>
          <w:kern w:val="0"/>
          <w:sz w:val="26"/>
          <w:szCs w:val="26"/>
          <w:highlight w:val="none"/>
          <w:lang w:eastAsia="zh-CN"/>
        </w:rPr>
        <w:t>《</w:t>
      </w:r>
      <w:r>
        <w:rPr>
          <w:rFonts w:hint="eastAsia" w:ascii="Arial" w:hAnsi="Arial" w:eastAsia="宋体" w:cs="Arial"/>
          <w:color w:val="auto"/>
          <w:kern w:val="0"/>
          <w:sz w:val="26"/>
          <w:szCs w:val="26"/>
          <w:highlight w:val="none"/>
          <w:lang w:val="en-US" w:eastAsia="zh-CN"/>
        </w:rPr>
        <w:t>丰都县海螺沟水库工程建设征地移民安置规划报告</w:t>
      </w:r>
      <w:r>
        <w:rPr>
          <w:rFonts w:hint="eastAsia" w:ascii="Arial" w:hAnsi="Arial" w:cs="Arial"/>
          <w:color w:val="auto"/>
          <w:kern w:val="0"/>
          <w:sz w:val="26"/>
          <w:szCs w:val="26"/>
          <w:highlight w:val="none"/>
          <w:lang w:val="en-US" w:eastAsia="zh-CN"/>
        </w:rPr>
        <w:t>》，2024年1月；</w:t>
      </w:r>
    </w:p>
    <w:p w14:paraId="6D52F685">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default" w:ascii="Arial" w:hAnsi="Times New Roman" w:eastAsia="宋体" w:cs="Arial"/>
          <w:color w:val="auto"/>
          <w:kern w:val="0"/>
          <w:sz w:val="26"/>
          <w:szCs w:val="26"/>
          <w:highlight w:val="none"/>
          <w:lang w:val="en-US"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6）《重庆市渠溪河流域综合规划环境影响报告书》及其审查意见“丰环函</w:t>
      </w:r>
      <w:r>
        <w:rPr>
          <w:rFonts w:hint="default" w:ascii="Arial" w:hAnsi="Arial" w:eastAsia="宋体" w:cs="Arial"/>
          <w:color w:val="auto"/>
          <w:kern w:val="0"/>
          <w:sz w:val="26"/>
          <w:szCs w:val="26"/>
          <w:highlight w:val="none"/>
          <w:lang w:val="en-US" w:eastAsia="zh-CN"/>
        </w:rPr>
        <w:t>〔2025〕2号</w:t>
      </w:r>
      <w:r>
        <w:rPr>
          <w:rFonts w:hint="eastAsia" w:ascii="Arial" w:cs="Arial"/>
          <w:color w:val="auto"/>
          <w:kern w:val="0"/>
          <w:sz w:val="26"/>
          <w:szCs w:val="26"/>
          <w:highlight w:val="none"/>
          <w:lang w:val="en-US" w:eastAsia="zh-CN"/>
        </w:rPr>
        <w:t>”；</w:t>
      </w:r>
    </w:p>
    <w:p w14:paraId="3E51CC46">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cs="Arial"/>
          <w:color w:val="auto"/>
          <w:kern w:val="0"/>
          <w:sz w:val="26"/>
          <w:szCs w:val="26"/>
          <w:highlight w:val="none"/>
          <w:lang w:eastAsia="zh-CN"/>
        </w:rPr>
        <w:t>（</w:t>
      </w:r>
      <w:r>
        <w:rPr>
          <w:rFonts w:hint="eastAsia" w:ascii="Arial" w:cs="Arial"/>
          <w:color w:val="auto"/>
          <w:kern w:val="0"/>
          <w:sz w:val="26"/>
          <w:szCs w:val="26"/>
          <w:highlight w:val="none"/>
          <w:lang w:val="en-US" w:eastAsia="zh-CN"/>
        </w:rPr>
        <w:t>7）</w:t>
      </w:r>
      <w:r>
        <w:rPr>
          <w:rFonts w:hint="eastAsia" w:ascii="Arial" w:hAnsi="Times New Roman" w:eastAsia="宋体" w:cs="Arial"/>
          <w:color w:val="auto"/>
          <w:kern w:val="0"/>
          <w:sz w:val="26"/>
          <w:szCs w:val="26"/>
          <w:highlight w:val="none"/>
          <w:lang w:eastAsia="zh-CN"/>
        </w:rPr>
        <w:t>环境质量现状监测资料；</w:t>
      </w:r>
    </w:p>
    <w:p w14:paraId="038D7AA2">
      <w:pPr>
        <w:keepNext w:val="0"/>
        <w:keepLines w:val="0"/>
        <w:pageBreakBefore w:val="0"/>
        <w:widowControl w:val="0"/>
        <w:kinsoku/>
        <w:wordWrap/>
        <w:overflowPunct/>
        <w:topLinePunct w:val="0"/>
        <w:autoSpaceDE/>
        <w:autoSpaceDN/>
        <w:bidi w:val="0"/>
        <w:adjustRightInd w:val="0"/>
        <w:snapToGrid w:val="0"/>
        <w:spacing w:line="480" w:lineRule="exact"/>
        <w:ind w:firstLine="390" w:firstLineChars="150"/>
        <w:textAlignment w:val="auto"/>
        <w:rPr>
          <w:rFonts w:hint="eastAsia" w:ascii="Arial" w:hAnsi="Times New Roman" w:eastAsia="宋体" w:cs="Arial"/>
          <w:color w:val="auto"/>
          <w:kern w:val="0"/>
          <w:sz w:val="26"/>
          <w:szCs w:val="26"/>
          <w:highlight w:val="none"/>
          <w:lang w:eastAsia="zh-CN"/>
        </w:rPr>
      </w:pPr>
      <w:r>
        <w:rPr>
          <w:rFonts w:hint="eastAsia" w:ascii="Arial" w:hAnsi="Times New Roman" w:eastAsia="宋体" w:cs="Arial"/>
          <w:color w:val="auto"/>
          <w:kern w:val="0"/>
          <w:sz w:val="26"/>
          <w:szCs w:val="26"/>
          <w:highlight w:val="none"/>
          <w:lang w:val="en-US" w:eastAsia="zh-CN"/>
        </w:rPr>
        <w:t>（</w:t>
      </w:r>
      <w:r>
        <w:rPr>
          <w:rFonts w:hint="eastAsia" w:ascii="Arial" w:cs="Arial"/>
          <w:color w:val="auto"/>
          <w:kern w:val="0"/>
          <w:sz w:val="26"/>
          <w:szCs w:val="26"/>
          <w:highlight w:val="none"/>
          <w:lang w:val="en-US" w:eastAsia="zh-CN"/>
        </w:rPr>
        <w:t>8</w:t>
      </w:r>
      <w:r>
        <w:rPr>
          <w:rFonts w:hint="eastAsia" w:ascii="Arial" w:hAnsi="Times New Roman" w:eastAsia="宋体" w:cs="Arial"/>
          <w:color w:val="auto"/>
          <w:kern w:val="0"/>
          <w:sz w:val="26"/>
          <w:szCs w:val="26"/>
          <w:highlight w:val="none"/>
          <w:lang w:eastAsia="zh-CN"/>
        </w:rPr>
        <w:t>）项目环境影响评价技术服务合同。</w:t>
      </w:r>
    </w:p>
    <w:p w14:paraId="48A7F747">
      <w:pPr>
        <w:keepNext w:val="0"/>
        <w:keepLines w:val="0"/>
        <w:pageBreakBefore w:val="0"/>
        <w:widowControl w:val="0"/>
        <w:kinsoku/>
        <w:wordWrap/>
        <w:overflowPunct/>
        <w:topLinePunct w:val="0"/>
        <w:autoSpaceDE/>
        <w:autoSpaceDN/>
        <w:bidi w:val="0"/>
        <w:spacing w:line="480" w:lineRule="exact"/>
        <w:ind w:firstLine="522" w:firstLineChars="200"/>
        <w:textAlignment w:val="auto"/>
        <w:outlineLvl w:val="1"/>
        <w:rPr>
          <w:rFonts w:ascii="Arial" w:hAnsi="Arial" w:eastAsia="宋体" w:cs="Arial"/>
          <w:b/>
          <w:color w:val="auto"/>
          <w:kern w:val="0"/>
          <w:sz w:val="26"/>
          <w:szCs w:val="26"/>
          <w:highlight w:val="none"/>
          <w:lang w:val="en-US" w:eastAsia="zh-CN"/>
        </w:rPr>
      </w:pPr>
      <w:bookmarkStart w:id="28" w:name="_Toc420942211"/>
      <w:bookmarkStart w:id="29" w:name="_Toc535931010"/>
      <w:bookmarkStart w:id="30" w:name="_Toc16550"/>
      <w:r>
        <w:rPr>
          <w:rFonts w:ascii="Arial" w:hAnsi="Arial" w:eastAsia="宋体" w:cs="Arial"/>
          <w:b/>
          <w:color w:val="auto"/>
          <w:kern w:val="0"/>
          <w:sz w:val="26"/>
          <w:szCs w:val="26"/>
          <w:highlight w:val="none"/>
          <w:lang w:val="en-US" w:eastAsia="zh-CN"/>
        </w:rPr>
        <w:t>1.</w:t>
      </w:r>
      <w:r>
        <w:rPr>
          <w:rFonts w:hint="eastAsia" w:ascii="Arial" w:hAnsi="Arial" w:eastAsia="宋体" w:cs="Arial"/>
          <w:b/>
          <w:color w:val="auto"/>
          <w:kern w:val="0"/>
          <w:sz w:val="26"/>
          <w:szCs w:val="26"/>
          <w:highlight w:val="none"/>
          <w:lang w:val="en-US" w:eastAsia="zh-CN"/>
        </w:rPr>
        <w:t>4</w:t>
      </w:r>
      <w:bookmarkEnd w:id="28"/>
      <w:bookmarkEnd w:id="29"/>
      <w:bookmarkEnd w:id="30"/>
      <w:bookmarkStart w:id="31" w:name="_Toc18862"/>
      <w:r>
        <w:rPr>
          <w:rFonts w:hint="eastAsia" w:ascii="Arial" w:hAnsi="Arial" w:eastAsia="宋体" w:cs="Arial"/>
          <w:b/>
          <w:color w:val="auto"/>
          <w:kern w:val="0"/>
          <w:sz w:val="26"/>
          <w:szCs w:val="26"/>
          <w:highlight w:val="none"/>
          <w:lang w:val="en-US" w:eastAsia="zh-CN"/>
        </w:rPr>
        <w:t>环境影响</w:t>
      </w:r>
      <w:r>
        <w:rPr>
          <w:rFonts w:hint="eastAsia" w:ascii="Arial" w:hAnsi="Arial" w:cs="Arial"/>
          <w:b/>
          <w:color w:val="auto"/>
          <w:kern w:val="0"/>
          <w:sz w:val="26"/>
          <w:szCs w:val="26"/>
          <w:highlight w:val="none"/>
          <w:lang w:val="en-US" w:eastAsia="zh-CN"/>
        </w:rPr>
        <w:t>因素</w:t>
      </w:r>
      <w:r>
        <w:rPr>
          <w:rFonts w:hint="eastAsia" w:ascii="Arial" w:hAnsi="Arial" w:eastAsia="宋体" w:cs="Arial"/>
          <w:b/>
          <w:color w:val="auto"/>
          <w:kern w:val="0"/>
          <w:sz w:val="26"/>
          <w:szCs w:val="26"/>
          <w:highlight w:val="none"/>
          <w:lang w:val="en-US" w:eastAsia="zh-CN"/>
        </w:rPr>
        <w:t>识别和评价因子</w:t>
      </w:r>
      <w:bookmarkEnd w:id="31"/>
      <w:r>
        <w:rPr>
          <w:rFonts w:hint="eastAsia" w:ascii="Arial" w:hAnsi="Arial" w:cs="Arial"/>
          <w:b/>
          <w:color w:val="auto"/>
          <w:kern w:val="0"/>
          <w:sz w:val="26"/>
          <w:szCs w:val="26"/>
          <w:highlight w:val="none"/>
          <w:lang w:val="en-US" w:eastAsia="zh-CN"/>
        </w:rPr>
        <w:t>筛选</w:t>
      </w:r>
      <w:r>
        <w:rPr>
          <w:rFonts w:ascii="Arial" w:hAnsi="Arial" w:eastAsia="宋体" w:cs="Arial"/>
          <w:b/>
          <w:color w:val="auto"/>
          <w:kern w:val="0"/>
          <w:sz w:val="26"/>
          <w:szCs w:val="26"/>
          <w:highlight w:val="none"/>
          <w:lang w:val="en-US" w:eastAsia="zh-CN"/>
        </w:rPr>
        <w:t xml:space="preserve"> </w:t>
      </w:r>
    </w:p>
    <w:p w14:paraId="258080C7">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eastAsia" w:ascii="Arial" w:hAnsi="Arial" w:eastAsia="宋体" w:cs="Arial"/>
          <w:b/>
          <w:color w:val="auto"/>
          <w:kern w:val="0"/>
          <w:sz w:val="26"/>
          <w:szCs w:val="20"/>
          <w:highlight w:val="none"/>
          <w:lang w:val="en-US" w:eastAsia="zh-CN"/>
        </w:rPr>
      </w:pPr>
      <w:bookmarkStart w:id="32" w:name="_Toc36040986"/>
      <w:bookmarkStart w:id="33" w:name="_Toc34987787"/>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4</w:t>
      </w:r>
      <w:r>
        <w:rPr>
          <w:rFonts w:hint="eastAsia" w:ascii="Arial" w:hAnsi="Arial" w:eastAsia="宋体" w:cs="Arial"/>
          <w:b/>
          <w:color w:val="auto"/>
          <w:kern w:val="0"/>
          <w:sz w:val="26"/>
          <w:szCs w:val="20"/>
          <w:highlight w:val="none"/>
          <w:lang w:val="en-US" w:eastAsia="zh-CN"/>
        </w:rPr>
        <w:t>.1环境影响</w:t>
      </w:r>
      <w:bookmarkEnd w:id="32"/>
      <w:bookmarkEnd w:id="33"/>
      <w:r>
        <w:rPr>
          <w:rFonts w:hint="eastAsia" w:ascii="Arial" w:hAnsi="Arial" w:cs="Arial"/>
          <w:b/>
          <w:color w:val="auto"/>
          <w:kern w:val="0"/>
          <w:sz w:val="26"/>
          <w:szCs w:val="20"/>
          <w:highlight w:val="none"/>
          <w:lang w:val="en-US" w:eastAsia="zh-CN"/>
        </w:rPr>
        <w:t>因素识别</w:t>
      </w:r>
    </w:p>
    <w:p w14:paraId="664A6CF2">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kern w:val="0"/>
          <w:sz w:val="26"/>
          <w:szCs w:val="26"/>
          <w:lang w:val="en-US" w:eastAsia="zh-CN" w:bidi="ar-SA"/>
        </w:rPr>
        <w:t>拟建项目属于新建工程，坝址、渠道等建设区地质条件好，占地及评价范围内不涉及自然保护区、风景名胜区、森林公园、水产种质资源保护区、饮用水源保护区、生态保护红线等生态敏感区，但占地涉及基本农田、公益林。根据环境现状监测结果，区域环境质量现状均可满足相应标准限值要求。</w:t>
      </w:r>
    </w:p>
    <w:p w14:paraId="32BD99F8">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kern w:val="0"/>
          <w:sz w:val="26"/>
          <w:szCs w:val="26"/>
          <w:lang w:val="en-US" w:eastAsia="zh-CN" w:bidi="ar-SA"/>
        </w:rPr>
        <w:t>拟建项目外环境对工程建设的制约因素分析结果详见表1.4-1所示。</w:t>
      </w:r>
    </w:p>
    <w:p w14:paraId="09B59560">
      <w:pPr>
        <w:pStyle w:val="1085"/>
        <w:keepNext w:val="0"/>
        <w:keepLines w:val="0"/>
        <w:pageBreakBefore w:val="0"/>
        <w:widowControl w:val="0"/>
        <w:kinsoku/>
        <w:wordWrap/>
        <w:overflowPunct/>
        <w:topLinePunct w:val="0"/>
        <w:autoSpaceDE/>
        <w:autoSpaceDN/>
        <w:bidi w:val="0"/>
        <w:adjustRightInd/>
        <w:snapToGrid w:val="0"/>
        <w:spacing w:line="480" w:lineRule="exact"/>
        <w:textAlignment w:val="auto"/>
        <w:rPr>
          <w:rFonts w:hint="default" w:ascii="Arial" w:hAnsi="Arial" w:eastAsia="宋体" w:cs="Arial"/>
          <w:sz w:val="26"/>
          <w:szCs w:val="26"/>
          <w:lang w:val="en-US" w:eastAsia="zh-CN"/>
        </w:rPr>
      </w:pPr>
      <w:r>
        <w:rPr>
          <w:rFonts w:hint="default" w:ascii="Arial" w:hAnsi="Arial" w:eastAsia="宋体" w:cs="Arial"/>
          <w:sz w:val="26"/>
          <w:szCs w:val="26"/>
        </w:rPr>
        <w:t>表1.</w:t>
      </w:r>
      <w:r>
        <w:rPr>
          <w:rFonts w:hint="eastAsia" w:ascii="Arial" w:hAnsi="Arial" w:cs="Arial"/>
          <w:sz w:val="26"/>
          <w:szCs w:val="26"/>
          <w:lang w:val="en-US" w:eastAsia="zh-CN"/>
        </w:rPr>
        <w:t>4</w:t>
      </w:r>
      <w:r>
        <w:rPr>
          <w:rFonts w:hint="default" w:ascii="Arial" w:hAnsi="Arial" w:eastAsia="宋体" w:cs="Arial"/>
          <w:sz w:val="26"/>
          <w:szCs w:val="26"/>
          <w:lang w:val="en-US" w:eastAsia="zh-CN"/>
        </w:rPr>
        <w:t>-</w:t>
      </w:r>
      <w:r>
        <w:rPr>
          <w:rFonts w:hint="default" w:ascii="Arial" w:hAnsi="Arial" w:eastAsia="宋体" w:cs="Arial"/>
          <w:sz w:val="26"/>
          <w:szCs w:val="26"/>
        </w:rPr>
        <w:t xml:space="preserve">1  </w:t>
      </w:r>
      <w:r>
        <w:rPr>
          <w:rFonts w:hint="eastAsia" w:ascii="Arial" w:hAnsi="Arial" w:cs="Arial"/>
          <w:sz w:val="26"/>
          <w:szCs w:val="26"/>
          <w:lang w:val="en-US" w:eastAsia="zh-CN"/>
        </w:rPr>
        <w:t>外环境对工程的制约因素识别表</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070"/>
        <w:gridCol w:w="1303"/>
        <w:gridCol w:w="1067"/>
        <w:gridCol w:w="1951"/>
        <w:gridCol w:w="1509"/>
      </w:tblGrid>
      <w:tr w14:paraId="75BB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493F5731">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序号</w:t>
            </w:r>
          </w:p>
        </w:tc>
        <w:tc>
          <w:tcPr>
            <w:tcW w:w="2070" w:type="dxa"/>
          </w:tcPr>
          <w:p w14:paraId="0AC3AB6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外环境因素</w:t>
            </w:r>
          </w:p>
        </w:tc>
        <w:tc>
          <w:tcPr>
            <w:tcW w:w="1303" w:type="dxa"/>
          </w:tcPr>
          <w:p w14:paraId="29FB94A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制约程度</w:t>
            </w:r>
          </w:p>
        </w:tc>
        <w:tc>
          <w:tcPr>
            <w:tcW w:w="1067" w:type="dxa"/>
          </w:tcPr>
          <w:p w14:paraId="14FCF7B4">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序号</w:t>
            </w:r>
          </w:p>
        </w:tc>
        <w:tc>
          <w:tcPr>
            <w:tcW w:w="1951" w:type="dxa"/>
          </w:tcPr>
          <w:p w14:paraId="220769B1">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外环境因素</w:t>
            </w:r>
          </w:p>
        </w:tc>
        <w:tc>
          <w:tcPr>
            <w:tcW w:w="1509" w:type="dxa"/>
          </w:tcPr>
          <w:p w14:paraId="43887B71">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制约程度</w:t>
            </w:r>
          </w:p>
        </w:tc>
      </w:tr>
      <w:tr w14:paraId="70F1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05B5BD9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w:t>
            </w:r>
          </w:p>
        </w:tc>
        <w:tc>
          <w:tcPr>
            <w:tcW w:w="2070" w:type="dxa"/>
          </w:tcPr>
          <w:p w14:paraId="49BE099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气候资源</w:t>
            </w:r>
          </w:p>
        </w:tc>
        <w:tc>
          <w:tcPr>
            <w:tcW w:w="1303" w:type="dxa"/>
          </w:tcPr>
          <w:p w14:paraId="77932C7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c>
          <w:tcPr>
            <w:tcW w:w="1067" w:type="dxa"/>
          </w:tcPr>
          <w:p w14:paraId="26DF11E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11</w:t>
            </w:r>
          </w:p>
        </w:tc>
        <w:tc>
          <w:tcPr>
            <w:tcW w:w="1951" w:type="dxa"/>
          </w:tcPr>
          <w:p w14:paraId="47BFE8B7">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地表水质量</w:t>
            </w:r>
          </w:p>
        </w:tc>
        <w:tc>
          <w:tcPr>
            <w:tcW w:w="1509" w:type="dxa"/>
            <w:shd w:val="clear" w:color="auto" w:fill="auto"/>
            <w:vAlign w:val="top"/>
          </w:tcPr>
          <w:p w14:paraId="7020C79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r>
      <w:tr w14:paraId="1AA4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7FD3BAA1">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2</w:t>
            </w:r>
          </w:p>
        </w:tc>
        <w:tc>
          <w:tcPr>
            <w:tcW w:w="2070" w:type="dxa"/>
          </w:tcPr>
          <w:p w14:paraId="609F97B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地形地貌</w:t>
            </w:r>
          </w:p>
        </w:tc>
        <w:tc>
          <w:tcPr>
            <w:tcW w:w="1303" w:type="dxa"/>
          </w:tcPr>
          <w:p w14:paraId="2F5CBD2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c>
          <w:tcPr>
            <w:tcW w:w="1067" w:type="dxa"/>
          </w:tcPr>
          <w:p w14:paraId="503B3A1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12</w:t>
            </w:r>
          </w:p>
        </w:tc>
        <w:tc>
          <w:tcPr>
            <w:tcW w:w="1951" w:type="dxa"/>
          </w:tcPr>
          <w:p w14:paraId="54E5411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声环境质量</w:t>
            </w:r>
          </w:p>
        </w:tc>
        <w:tc>
          <w:tcPr>
            <w:tcW w:w="1509" w:type="dxa"/>
            <w:shd w:val="clear" w:color="auto" w:fill="auto"/>
            <w:vAlign w:val="top"/>
          </w:tcPr>
          <w:p w14:paraId="0748526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r>
      <w:tr w14:paraId="437E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31D1057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3</w:t>
            </w:r>
          </w:p>
        </w:tc>
        <w:tc>
          <w:tcPr>
            <w:tcW w:w="2070" w:type="dxa"/>
          </w:tcPr>
          <w:p w14:paraId="79FE380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工程地质</w:t>
            </w:r>
          </w:p>
        </w:tc>
        <w:tc>
          <w:tcPr>
            <w:tcW w:w="1303" w:type="dxa"/>
          </w:tcPr>
          <w:p w14:paraId="5631884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c>
          <w:tcPr>
            <w:tcW w:w="1067" w:type="dxa"/>
          </w:tcPr>
          <w:p w14:paraId="7630B37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13</w:t>
            </w:r>
          </w:p>
        </w:tc>
        <w:tc>
          <w:tcPr>
            <w:tcW w:w="1951" w:type="dxa"/>
          </w:tcPr>
          <w:p w14:paraId="6D03803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地下水环境质量</w:t>
            </w:r>
          </w:p>
        </w:tc>
        <w:tc>
          <w:tcPr>
            <w:tcW w:w="1509" w:type="dxa"/>
            <w:shd w:val="clear" w:color="auto" w:fill="auto"/>
            <w:vAlign w:val="top"/>
          </w:tcPr>
          <w:p w14:paraId="3B7E64B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r>
      <w:tr w14:paraId="58AA5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3B95D93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4</w:t>
            </w:r>
          </w:p>
        </w:tc>
        <w:tc>
          <w:tcPr>
            <w:tcW w:w="2070" w:type="dxa"/>
          </w:tcPr>
          <w:p w14:paraId="22DCAE36">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地表水文</w:t>
            </w:r>
          </w:p>
        </w:tc>
        <w:tc>
          <w:tcPr>
            <w:tcW w:w="1303" w:type="dxa"/>
            <w:shd w:val="clear" w:color="auto" w:fill="auto"/>
            <w:vAlign w:val="top"/>
          </w:tcPr>
          <w:p w14:paraId="08AB09E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c>
          <w:tcPr>
            <w:tcW w:w="1067" w:type="dxa"/>
          </w:tcPr>
          <w:p w14:paraId="7FC22D0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14</w:t>
            </w:r>
          </w:p>
        </w:tc>
        <w:tc>
          <w:tcPr>
            <w:tcW w:w="1951" w:type="dxa"/>
          </w:tcPr>
          <w:p w14:paraId="1B92792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土壤环境质量</w:t>
            </w:r>
          </w:p>
        </w:tc>
        <w:tc>
          <w:tcPr>
            <w:tcW w:w="1509" w:type="dxa"/>
            <w:shd w:val="clear" w:color="auto" w:fill="auto"/>
            <w:vAlign w:val="top"/>
          </w:tcPr>
          <w:p w14:paraId="1DF7CBB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r>
      <w:tr w14:paraId="674B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51575BA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5</w:t>
            </w:r>
          </w:p>
        </w:tc>
        <w:tc>
          <w:tcPr>
            <w:tcW w:w="2070" w:type="dxa"/>
          </w:tcPr>
          <w:p w14:paraId="374FDD3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土地资源</w:t>
            </w:r>
          </w:p>
        </w:tc>
        <w:tc>
          <w:tcPr>
            <w:tcW w:w="1303" w:type="dxa"/>
            <w:shd w:val="clear" w:color="auto" w:fill="auto"/>
            <w:vAlign w:val="top"/>
          </w:tcPr>
          <w:p w14:paraId="6DABE88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c>
          <w:tcPr>
            <w:tcW w:w="1067" w:type="dxa"/>
          </w:tcPr>
          <w:p w14:paraId="4D82A1A4">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15</w:t>
            </w:r>
          </w:p>
        </w:tc>
        <w:tc>
          <w:tcPr>
            <w:tcW w:w="1951" w:type="dxa"/>
          </w:tcPr>
          <w:p w14:paraId="033C22D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交通运输</w:t>
            </w:r>
          </w:p>
        </w:tc>
        <w:tc>
          <w:tcPr>
            <w:tcW w:w="1509" w:type="dxa"/>
            <w:shd w:val="clear" w:color="auto" w:fill="auto"/>
            <w:vAlign w:val="top"/>
          </w:tcPr>
          <w:p w14:paraId="03DB7AD2">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r>
      <w:tr w14:paraId="704D5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257DB6F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6</w:t>
            </w:r>
          </w:p>
        </w:tc>
        <w:tc>
          <w:tcPr>
            <w:tcW w:w="2070" w:type="dxa"/>
          </w:tcPr>
          <w:p w14:paraId="660F0EA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陆生动植物资源</w:t>
            </w:r>
          </w:p>
        </w:tc>
        <w:tc>
          <w:tcPr>
            <w:tcW w:w="1303" w:type="dxa"/>
            <w:shd w:val="clear" w:color="auto" w:fill="auto"/>
            <w:vAlign w:val="top"/>
          </w:tcPr>
          <w:p w14:paraId="4713D77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c>
          <w:tcPr>
            <w:tcW w:w="1067" w:type="dxa"/>
          </w:tcPr>
          <w:p w14:paraId="5ED4543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16</w:t>
            </w:r>
          </w:p>
        </w:tc>
        <w:tc>
          <w:tcPr>
            <w:tcW w:w="1951" w:type="dxa"/>
          </w:tcPr>
          <w:p w14:paraId="0300D94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电力供给</w:t>
            </w:r>
          </w:p>
        </w:tc>
        <w:tc>
          <w:tcPr>
            <w:tcW w:w="1509" w:type="dxa"/>
            <w:shd w:val="clear" w:color="auto" w:fill="auto"/>
            <w:vAlign w:val="top"/>
          </w:tcPr>
          <w:p w14:paraId="7C7DC49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r>
      <w:tr w14:paraId="2900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682C0124">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7</w:t>
            </w:r>
          </w:p>
        </w:tc>
        <w:tc>
          <w:tcPr>
            <w:tcW w:w="2070" w:type="dxa"/>
          </w:tcPr>
          <w:p w14:paraId="30866F6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水生动植物资源</w:t>
            </w:r>
          </w:p>
        </w:tc>
        <w:tc>
          <w:tcPr>
            <w:tcW w:w="1303" w:type="dxa"/>
            <w:shd w:val="clear" w:color="auto" w:fill="auto"/>
            <w:vAlign w:val="top"/>
          </w:tcPr>
          <w:p w14:paraId="36033CD2">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c>
          <w:tcPr>
            <w:tcW w:w="1067" w:type="dxa"/>
          </w:tcPr>
          <w:p w14:paraId="2B56604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17</w:t>
            </w:r>
          </w:p>
        </w:tc>
        <w:tc>
          <w:tcPr>
            <w:tcW w:w="1951" w:type="dxa"/>
          </w:tcPr>
          <w:p w14:paraId="0C215E7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医疗卫生</w:t>
            </w:r>
          </w:p>
        </w:tc>
        <w:tc>
          <w:tcPr>
            <w:tcW w:w="1509" w:type="dxa"/>
            <w:shd w:val="clear" w:color="auto" w:fill="auto"/>
            <w:vAlign w:val="top"/>
          </w:tcPr>
          <w:p w14:paraId="6B25E56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r>
      <w:tr w14:paraId="7C31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08F0858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8</w:t>
            </w:r>
          </w:p>
        </w:tc>
        <w:tc>
          <w:tcPr>
            <w:tcW w:w="2070" w:type="dxa"/>
          </w:tcPr>
          <w:p w14:paraId="3F87CBD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自然资源</w:t>
            </w:r>
          </w:p>
        </w:tc>
        <w:tc>
          <w:tcPr>
            <w:tcW w:w="1303" w:type="dxa"/>
            <w:shd w:val="clear" w:color="auto" w:fill="auto"/>
            <w:vAlign w:val="top"/>
          </w:tcPr>
          <w:p w14:paraId="5FF6607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c>
          <w:tcPr>
            <w:tcW w:w="1067" w:type="dxa"/>
          </w:tcPr>
          <w:p w14:paraId="53442836">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18</w:t>
            </w:r>
          </w:p>
        </w:tc>
        <w:tc>
          <w:tcPr>
            <w:tcW w:w="1951" w:type="dxa"/>
          </w:tcPr>
          <w:p w14:paraId="66FC08A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生产生活用水</w:t>
            </w:r>
          </w:p>
        </w:tc>
        <w:tc>
          <w:tcPr>
            <w:tcW w:w="1509" w:type="dxa"/>
            <w:shd w:val="clear" w:color="auto" w:fill="auto"/>
            <w:vAlign w:val="top"/>
          </w:tcPr>
          <w:p w14:paraId="47D6F4E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r>
      <w:tr w14:paraId="6D50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54A4AE94">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9</w:t>
            </w:r>
          </w:p>
        </w:tc>
        <w:tc>
          <w:tcPr>
            <w:tcW w:w="2070" w:type="dxa"/>
          </w:tcPr>
          <w:p w14:paraId="2EBAC27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水土流失</w:t>
            </w:r>
          </w:p>
        </w:tc>
        <w:tc>
          <w:tcPr>
            <w:tcW w:w="1303" w:type="dxa"/>
            <w:shd w:val="clear" w:color="auto" w:fill="auto"/>
            <w:vAlign w:val="top"/>
          </w:tcPr>
          <w:p w14:paraId="1EDA828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中度</w:t>
            </w:r>
          </w:p>
        </w:tc>
        <w:tc>
          <w:tcPr>
            <w:tcW w:w="1067" w:type="dxa"/>
          </w:tcPr>
          <w:p w14:paraId="22A17C6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19</w:t>
            </w:r>
          </w:p>
        </w:tc>
        <w:tc>
          <w:tcPr>
            <w:tcW w:w="1951" w:type="dxa"/>
          </w:tcPr>
          <w:p w14:paraId="420C58F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经济水平</w:t>
            </w:r>
          </w:p>
        </w:tc>
        <w:tc>
          <w:tcPr>
            <w:tcW w:w="1509" w:type="dxa"/>
            <w:shd w:val="clear" w:color="auto" w:fill="auto"/>
            <w:vAlign w:val="top"/>
          </w:tcPr>
          <w:p w14:paraId="300A8C2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r>
      <w:tr w14:paraId="7FC50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39A6EE6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10</w:t>
            </w:r>
          </w:p>
        </w:tc>
        <w:tc>
          <w:tcPr>
            <w:tcW w:w="2070" w:type="dxa"/>
          </w:tcPr>
          <w:p w14:paraId="7D2F2C9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基本农田、公益林</w:t>
            </w:r>
          </w:p>
        </w:tc>
        <w:tc>
          <w:tcPr>
            <w:tcW w:w="1303" w:type="dxa"/>
          </w:tcPr>
          <w:p w14:paraId="149DB5C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重度</w:t>
            </w:r>
          </w:p>
        </w:tc>
        <w:tc>
          <w:tcPr>
            <w:tcW w:w="1067" w:type="dxa"/>
          </w:tcPr>
          <w:p w14:paraId="2C53597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20</w:t>
            </w:r>
          </w:p>
        </w:tc>
        <w:tc>
          <w:tcPr>
            <w:tcW w:w="1951" w:type="dxa"/>
          </w:tcPr>
          <w:p w14:paraId="5585017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人力资源</w:t>
            </w:r>
          </w:p>
        </w:tc>
        <w:tc>
          <w:tcPr>
            <w:tcW w:w="1509" w:type="dxa"/>
            <w:shd w:val="clear" w:color="auto" w:fill="auto"/>
            <w:vAlign w:val="top"/>
          </w:tcPr>
          <w:p w14:paraId="6C7EEF57">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轻度</w:t>
            </w:r>
          </w:p>
        </w:tc>
      </w:tr>
    </w:tbl>
    <w:p w14:paraId="65AE7B7F">
      <w:pPr>
        <w:pStyle w:val="2082"/>
        <w:keepNext w:val="0"/>
        <w:keepLines w:val="0"/>
        <w:pageBreakBefore w:val="0"/>
        <w:widowControl w:val="0"/>
        <w:kinsoku/>
        <w:wordWrap/>
        <w:overflowPunct/>
        <w:topLinePunct w:val="0"/>
        <w:autoSpaceDE/>
        <w:autoSpaceDN/>
        <w:bidi w:val="0"/>
        <w:adjustRightInd w:val="0"/>
        <w:snapToGrid w:val="0"/>
        <w:spacing w:line="240" w:lineRule="exact"/>
        <w:ind w:firstLine="520" w:firstLineChars="200"/>
        <w:textAlignment w:val="auto"/>
        <w:rPr>
          <w:rFonts w:hint="eastAsia" w:ascii="Arial" w:hAnsi="Arial" w:eastAsia="宋体" w:cs="Arial"/>
          <w:kern w:val="0"/>
          <w:sz w:val="26"/>
          <w:szCs w:val="26"/>
          <w:lang w:val="en-US" w:eastAsia="zh-CN" w:bidi="ar-SA"/>
        </w:rPr>
      </w:pPr>
    </w:p>
    <w:p w14:paraId="226B779A">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default" w:ascii="Arial" w:hAnsi="Arial" w:eastAsia="宋体" w:cs="Arial"/>
          <w:kern w:val="0"/>
          <w:sz w:val="26"/>
          <w:szCs w:val="26"/>
          <w:lang w:val="en-US" w:eastAsia="zh-CN" w:bidi="ar-SA"/>
        </w:rPr>
      </w:pPr>
      <w:r>
        <w:rPr>
          <w:rFonts w:hint="eastAsia" w:ascii="Arial" w:hAnsi="Arial" w:eastAsia="宋体" w:cs="Arial"/>
          <w:kern w:val="0"/>
          <w:sz w:val="26"/>
          <w:szCs w:val="26"/>
          <w:lang w:val="en-US" w:eastAsia="zh-CN" w:bidi="ar-SA"/>
        </w:rPr>
        <w:t>由表1.4-1可知，拟建项目所处区域环境质量现状对工程的制约较小，主要制约因素体现为基本农田、公益林。</w:t>
      </w:r>
    </w:p>
    <w:p w14:paraId="1A0C7052">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4</w:t>
      </w:r>
      <w:r>
        <w:rPr>
          <w:rFonts w:hint="eastAsia" w:ascii="Arial" w:hAnsi="Arial" w:eastAsia="宋体" w:cs="Arial"/>
          <w:b/>
          <w:color w:val="auto"/>
          <w:kern w:val="0"/>
          <w:sz w:val="26"/>
          <w:szCs w:val="20"/>
          <w:highlight w:val="none"/>
          <w:lang w:val="en-US" w:eastAsia="zh-CN"/>
        </w:rPr>
        <w:t>.</w:t>
      </w:r>
      <w:r>
        <w:rPr>
          <w:rFonts w:hint="eastAsia" w:ascii="Arial" w:hAnsi="Arial" w:cs="Arial"/>
          <w:b/>
          <w:color w:val="auto"/>
          <w:kern w:val="0"/>
          <w:sz w:val="26"/>
          <w:szCs w:val="20"/>
          <w:highlight w:val="none"/>
          <w:lang w:val="en-US" w:eastAsia="zh-CN"/>
        </w:rPr>
        <w:t>2项目建设对外环境的影响因素</w:t>
      </w:r>
    </w:p>
    <w:p w14:paraId="6D82E6DF">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kern w:val="0"/>
          <w:sz w:val="26"/>
          <w:szCs w:val="26"/>
          <w:lang w:val="en-US" w:eastAsia="zh-CN" w:bidi="ar-SA"/>
        </w:rPr>
        <w:t>海螺沟水库作为区域重要水利设施、主要工程任务为供水和灌溉。工程施工内容包括场地开挖、坝体砌筑、弃渣堆放、管线铺设等。通过工程分析及环境概况调查，工程对环境的影响因素及程度详见表1.4-2所示。</w:t>
      </w:r>
    </w:p>
    <w:p w14:paraId="5563E05E">
      <w:pPr>
        <w:pStyle w:val="1085"/>
        <w:keepNext w:val="0"/>
        <w:keepLines w:val="0"/>
        <w:pageBreakBefore w:val="0"/>
        <w:widowControl w:val="0"/>
        <w:kinsoku/>
        <w:wordWrap/>
        <w:overflowPunct/>
        <w:topLinePunct w:val="0"/>
        <w:autoSpaceDE/>
        <w:autoSpaceDN/>
        <w:bidi w:val="0"/>
        <w:adjustRightInd/>
        <w:snapToGrid w:val="0"/>
        <w:spacing w:line="480" w:lineRule="exact"/>
        <w:textAlignment w:val="auto"/>
        <w:rPr>
          <w:rFonts w:hint="eastAsia" w:ascii="Arial" w:hAnsi="Arial" w:eastAsia="宋体" w:cs="Arial"/>
          <w:sz w:val="26"/>
          <w:szCs w:val="26"/>
          <w:lang w:val="en-US" w:eastAsia="zh-CN"/>
        </w:rPr>
      </w:pPr>
      <w:r>
        <w:rPr>
          <w:rFonts w:hint="default" w:ascii="Arial" w:hAnsi="Arial" w:eastAsia="宋体" w:cs="Arial"/>
          <w:sz w:val="26"/>
          <w:szCs w:val="26"/>
        </w:rPr>
        <w:t>表1.</w:t>
      </w:r>
      <w:r>
        <w:rPr>
          <w:rFonts w:hint="eastAsia" w:ascii="Arial" w:hAnsi="Arial" w:cs="Arial"/>
          <w:sz w:val="26"/>
          <w:szCs w:val="26"/>
          <w:lang w:val="en-US" w:eastAsia="zh-CN"/>
        </w:rPr>
        <w:t>4</w:t>
      </w:r>
      <w:r>
        <w:rPr>
          <w:rFonts w:hint="eastAsia" w:ascii="Arial" w:hAnsi="Arial" w:eastAsia="宋体" w:cs="Arial"/>
          <w:sz w:val="26"/>
          <w:szCs w:val="26"/>
          <w:lang w:val="en-US" w:eastAsia="zh-CN"/>
        </w:rPr>
        <w:t>-2</w:t>
      </w:r>
      <w:r>
        <w:rPr>
          <w:rFonts w:hint="default" w:ascii="Arial" w:hAnsi="Arial" w:eastAsia="宋体" w:cs="Arial"/>
          <w:sz w:val="26"/>
          <w:szCs w:val="26"/>
        </w:rPr>
        <w:t xml:space="preserve">  </w:t>
      </w:r>
      <w:r>
        <w:rPr>
          <w:rFonts w:hint="eastAsia" w:ascii="Arial" w:hAnsi="Arial" w:eastAsia="宋体" w:cs="Arial"/>
          <w:sz w:val="26"/>
          <w:szCs w:val="26"/>
          <w:lang w:val="en-US" w:eastAsia="zh-CN"/>
        </w:rPr>
        <w:t>工程</w:t>
      </w:r>
      <w:r>
        <w:rPr>
          <w:rFonts w:hint="eastAsia" w:ascii="Arial" w:hAnsi="Arial" w:cs="Arial"/>
          <w:sz w:val="26"/>
          <w:szCs w:val="26"/>
          <w:lang w:val="en-US" w:eastAsia="zh-CN"/>
        </w:rPr>
        <w:t>环境影响因子识别表</w:t>
      </w:r>
    </w:p>
    <w:tbl>
      <w:tblPr>
        <w:tblStyle w:val="78"/>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978"/>
        <w:gridCol w:w="3390"/>
        <w:gridCol w:w="2025"/>
      </w:tblGrid>
      <w:tr w14:paraId="1E8B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943" w:type="dxa"/>
            <w:vAlign w:val="center"/>
          </w:tcPr>
          <w:p w14:paraId="0285F58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bookmarkStart w:id="34" w:name="_Toc153001396"/>
            <w:bookmarkStart w:id="35" w:name="_Toc146903030"/>
            <w:bookmarkStart w:id="36" w:name="_Toc146896382"/>
            <w:bookmarkStart w:id="37" w:name="_Toc153620013"/>
            <w:bookmarkStart w:id="38" w:name="_Toc153001750"/>
            <w:bookmarkStart w:id="39" w:name="_Toc153658350"/>
            <w:bookmarkStart w:id="40" w:name="_Toc34987788"/>
            <w:bookmarkStart w:id="41" w:name="_Toc262031646"/>
            <w:bookmarkStart w:id="42" w:name="_Toc291082023"/>
            <w:bookmarkStart w:id="43" w:name="_Toc160453700"/>
            <w:bookmarkStart w:id="44" w:name="_Toc153714774"/>
            <w:bookmarkStart w:id="45" w:name="_Toc36040987"/>
            <w:bookmarkStart w:id="46" w:name="_Toc182739750"/>
            <w:bookmarkStart w:id="47" w:name="_Toc33946635"/>
            <w:bookmarkStart w:id="48" w:name="_Toc376727515"/>
            <w:bookmarkStart w:id="49" w:name="_Toc376718317"/>
            <w:bookmarkStart w:id="50" w:name="_Toc35415832"/>
            <w:r>
              <w:rPr>
                <w:rFonts w:hint="eastAsia" w:ascii="Arial" w:hAnsi="Arial" w:eastAsia="宋体" w:cs="Arial"/>
                <w:kern w:val="0"/>
                <w:sz w:val="22"/>
                <w:szCs w:val="22"/>
                <w:vertAlign w:val="baseline"/>
                <w:lang w:val="en-US" w:eastAsia="zh-CN" w:bidi="ar-SA"/>
              </w:rPr>
              <w:t>时段</w:t>
            </w:r>
          </w:p>
        </w:tc>
        <w:tc>
          <w:tcPr>
            <w:tcW w:w="1978" w:type="dxa"/>
            <w:vAlign w:val="center"/>
          </w:tcPr>
          <w:p w14:paraId="200F108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工程环节</w:t>
            </w:r>
          </w:p>
        </w:tc>
        <w:tc>
          <w:tcPr>
            <w:tcW w:w="3390" w:type="dxa"/>
            <w:vAlign w:val="center"/>
          </w:tcPr>
          <w:p w14:paraId="24FBFC44">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可能产生的环境影响</w:t>
            </w:r>
          </w:p>
        </w:tc>
        <w:tc>
          <w:tcPr>
            <w:tcW w:w="2025" w:type="dxa"/>
            <w:vAlign w:val="center"/>
          </w:tcPr>
          <w:p w14:paraId="3638021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影响因子</w:t>
            </w:r>
          </w:p>
        </w:tc>
      </w:tr>
      <w:tr w14:paraId="07C05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43" w:type="dxa"/>
            <w:vMerge w:val="restart"/>
            <w:vAlign w:val="center"/>
          </w:tcPr>
          <w:p w14:paraId="088127C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施工期</w:t>
            </w:r>
          </w:p>
        </w:tc>
        <w:tc>
          <w:tcPr>
            <w:tcW w:w="1978" w:type="dxa"/>
            <w:vMerge w:val="restart"/>
            <w:vAlign w:val="center"/>
          </w:tcPr>
          <w:p w14:paraId="34CB899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土石方工程（包括土石方开挖、岩石爆破、洞挖）</w:t>
            </w:r>
          </w:p>
        </w:tc>
        <w:tc>
          <w:tcPr>
            <w:tcW w:w="3390" w:type="dxa"/>
            <w:vAlign w:val="center"/>
          </w:tcPr>
          <w:p w14:paraId="50C88346">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植被破坏</w:t>
            </w:r>
          </w:p>
        </w:tc>
        <w:tc>
          <w:tcPr>
            <w:tcW w:w="2025" w:type="dxa"/>
            <w:vMerge w:val="restart"/>
            <w:vAlign w:val="center"/>
          </w:tcPr>
          <w:p w14:paraId="585B4FA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生态环境、景观、土壤环境</w:t>
            </w:r>
          </w:p>
        </w:tc>
      </w:tr>
      <w:tr w14:paraId="207FE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3" w:type="dxa"/>
            <w:vMerge w:val="continue"/>
            <w:vAlign w:val="center"/>
          </w:tcPr>
          <w:p w14:paraId="3D0FC7A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20B3122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2517818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水土流失</w:t>
            </w:r>
          </w:p>
        </w:tc>
        <w:tc>
          <w:tcPr>
            <w:tcW w:w="2025" w:type="dxa"/>
            <w:vMerge w:val="continue"/>
            <w:vAlign w:val="center"/>
          </w:tcPr>
          <w:p w14:paraId="360E6E5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r>
      <w:tr w14:paraId="1B73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43" w:type="dxa"/>
            <w:vMerge w:val="continue"/>
            <w:vAlign w:val="center"/>
          </w:tcPr>
          <w:p w14:paraId="25195CE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33C2767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69A8185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陆生动物栖息环境变化</w:t>
            </w:r>
          </w:p>
        </w:tc>
        <w:tc>
          <w:tcPr>
            <w:tcW w:w="2025" w:type="dxa"/>
            <w:vMerge w:val="continue"/>
            <w:vAlign w:val="center"/>
          </w:tcPr>
          <w:p w14:paraId="65340CF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r>
      <w:tr w14:paraId="4A2B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43" w:type="dxa"/>
            <w:vMerge w:val="continue"/>
            <w:vAlign w:val="center"/>
          </w:tcPr>
          <w:p w14:paraId="6533586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7D0C2F2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shd w:val="clear" w:color="auto" w:fill="auto"/>
            <w:vAlign w:val="center"/>
          </w:tcPr>
          <w:p w14:paraId="7BF5A4B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山体结构破坏</w:t>
            </w:r>
          </w:p>
        </w:tc>
        <w:tc>
          <w:tcPr>
            <w:tcW w:w="2025" w:type="dxa"/>
            <w:vAlign w:val="center"/>
          </w:tcPr>
          <w:p w14:paraId="0EBB6B0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地质环境</w:t>
            </w:r>
          </w:p>
        </w:tc>
      </w:tr>
      <w:tr w14:paraId="6469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43" w:type="dxa"/>
            <w:vMerge w:val="continue"/>
            <w:vAlign w:val="center"/>
          </w:tcPr>
          <w:p w14:paraId="5C36142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7B32870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shd w:val="clear" w:color="auto" w:fill="auto"/>
            <w:vAlign w:val="center"/>
          </w:tcPr>
          <w:p w14:paraId="4200B00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噪声</w:t>
            </w:r>
          </w:p>
        </w:tc>
        <w:tc>
          <w:tcPr>
            <w:tcW w:w="2025" w:type="dxa"/>
            <w:vAlign w:val="center"/>
          </w:tcPr>
          <w:p w14:paraId="5275881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声环境</w:t>
            </w:r>
          </w:p>
        </w:tc>
      </w:tr>
      <w:tr w14:paraId="15BA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43" w:type="dxa"/>
            <w:vMerge w:val="continue"/>
            <w:vAlign w:val="center"/>
          </w:tcPr>
          <w:p w14:paraId="49D3C95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6D61DA2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shd w:val="clear" w:color="auto" w:fill="auto"/>
            <w:vAlign w:val="center"/>
          </w:tcPr>
          <w:p w14:paraId="6655CE6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扬尘</w:t>
            </w:r>
          </w:p>
        </w:tc>
        <w:tc>
          <w:tcPr>
            <w:tcW w:w="2025" w:type="dxa"/>
            <w:vAlign w:val="center"/>
          </w:tcPr>
          <w:p w14:paraId="57AC099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大气环境</w:t>
            </w:r>
          </w:p>
        </w:tc>
      </w:tr>
      <w:tr w14:paraId="1B4C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43" w:type="dxa"/>
            <w:vMerge w:val="continue"/>
            <w:vAlign w:val="center"/>
          </w:tcPr>
          <w:p w14:paraId="1F6FE60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535F286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shd w:val="clear" w:color="auto" w:fill="auto"/>
            <w:vAlign w:val="center"/>
          </w:tcPr>
          <w:p w14:paraId="6924526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工程占地</w:t>
            </w:r>
          </w:p>
        </w:tc>
        <w:tc>
          <w:tcPr>
            <w:tcW w:w="2025" w:type="dxa"/>
            <w:vAlign w:val="center"/>
          </w:tcPr>
          <w:p w14:paraId="79AD17F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生态和土壤环境</w:t>
            </w:r>
          </w:p>
        </w:tc>
      </w:tr>
      <w:tr w14:paraId="09D1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43" w:type="dxa"/>
            <w:vMerge w:val="continue"/>
            <w:vAlign w:val="center"/>
          </w:tcPr>
          <w:p w14:paraId="0BBA2554">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6D1CE86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shd w:val="clear" w:color="auto" w:fill="auto"/>
            <w:vAlign w:val="center"/>
          </w:tcPr>
          <w:p w14:paraId="40D9033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河流水质SS浓度升高，石油类污染，水生生境变化</w:t>
            </w:r>
          </w:p>
        </w:tc>
        <w:tc>
          <w:tcPr>
            <w:tcW w:w="2025" w:type="dxa"/>
            <w:vAlign w:val="center"/>
          </w:tcPr>
          <w:p w14:paraId="353EAFA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水环境和生态环境</w:t>
            </w:r>
          </w:p>
        </w:tc>
      </w:tr>
      <w:tr w14:paraId="2EF1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43" w:type="dxa"/>
            <w:vMerge w:val="continue"/>
            <w:vAlign w:val="center"/>
          </w:tcPr>
          <w:p w14:paraId="2376F6F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7FCE9E4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shd w:val="clear" w:color="auto" w:fill="auto"/>
            <w:vAlign w:val="center"/>
          </w:tcPr>
          <w:p w14:paraId="55111432">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弃渣</w:t>
            </w:r>
          </w:p>
        </w:tc>
        <w:tc>
          <w:tcPr>
            <w:tcW w:w="2025" w:type="dxa"/>
            <w:vAlign w:val="center"/>
          </w:tcPr>
          <w:p w14:paraId="0F6C77E2">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景观和生态环境</w:t>
            </w:r>
          </w:p>
        </w:tc>
      </w:tr>
      <w:tr w14:paraId="1F14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26ABFE5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restart"/>
            <w:vAlign w:val="center"/>
          </w:tcPr>
          <w:p w14:paraId="48534DE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砌筑工程（包括坝体及其他构筑物浇筑，坝体土石填筑）</w:t>
            </w:r>
          </w:p>
          <w:p w14:paraId="1C49A3E7">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5C6C612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扬尘</w:t>
            </w:r>
          </w:p>
        </w:tc>
        <w:tc>
          <w:tcPr>
            <w:tcW w:w="2025" w:type="dxa"/>
            <w:vAlign w:val="center"/>
          </w:tcPr>
          <w:p w14:paraId="55F2802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大气环境</w:t>
            </w:r>
          </w:p>
        </w:tc>
      </w:tr>
      <w:tr w14:paraId="3D04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4D6DB51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54BB36F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5013488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噪声</w:t>
            </w:r>
          </w:p>
        </w:tc>
        <w:tc>
          <w:tcPr>
            <w:tcW w:w="2025" w:type="dxa"/>
            <w:vAlign w:val="center"/>
          </w:tcPr>
          <w:p w14:paraId="0AE2CFA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声环境</w:t>
            </w:r>
          </w:p>
        </w:tc>
      </w:tr>
      <w:tr w14:paraId="20E3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140A627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7BF76B47">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2D7D0AA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施工废水</w:t>
            </w:r>
          </w:p>
        </w:tc>
        <w:tc>
          <w:tcPr>
            <w:tcW w:w="2025" w:type="dxa"/>
            <w:vAlign w:val="center"/>
          </w:tcPr>
          <w:p w14:paraId="7A5A0EF6">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水环境</w:t>
            </w:r>
          </w:p>
        </w:tc>
      </w:tr>
      <w:tr w14:paraId="4F0A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14CCEB9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3CCF84B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5163184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植被破坏</w:t>
            </w:r>
          </w:p>
        </w:tc>
        <w:tc>
          <w:tcPr>
            <w:tcW w:w="2025" w:type="dxa"/>
            <w:vAlign w:val="center"/>
          </w:tcPr>
          <w:p w14:paraId="73FFE90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生态和土壤环境</w:t>
            </w:r>
          </w:p>
        </w:tc>
      </w:tr>
      <w:tr w14:paraId="0566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47E62FC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restart"/>
            <w:vAlign w:val="center"/>
          </w:tcPr>
          <w:p w14:paraId="4194EB7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材料运输、堆放</w:t>
            </w:r>
          </w:p>
        </w:tc>
        <w:tc>
          <w:tcPr>
            <w:tcW w:w="3390" w:type="dxa"/>
            <w:shd w:val="clear" w:color="auto" w:fill="auto"/>
            <w:vAlign w:val="center"/>
          </w:tcPr>
          <w:p w14:paraId="0C07E6A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扬尘</w:t>
            </w:r>
          </w:p>
        </w:tc>
        <w:tc>
          <w:tcPr>
            <w:tcW w:w="2025" w:type="dxa"/>
            <w:vAlign w:val="center"/>
          </w:tcPr>
          <w:p w14:paraId="488B0883">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大气环境</w:t>
            </w:r>
          </w:p>
        </w:tc>
      </w:tr>
      <w:tr w14:paraId="5E07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6572454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1C14CD1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shd w:val="clear" w:color="auto" w:fill="auto"/>
            <w:vAlign w:val="center"/>
          </w:tcPr>
          <w:p w14:paraId="5DF5C5B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噪声</w:t>
            </w:r>
          </w:p>
        </w:tc>
        <w:tc>
          <w:tcPr>
            <w:tcW w:w="2025" w:type="dxa"/>
            <w:vAlign w:val="center"/>
          </w:tcPr>
          <w:p w14:paraId="16A861E6">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声环境</w:t>
            </w:r>
          </w:p>
        </w:tc>
      </w:tr>
      <w:tr w14:paraId="77D05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243BB21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0996D546">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265CD58E">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植被破坏</w:t>
            </w:r>
          </w:p>
        </w:tc>
        <w:tc>
          <w:tcPr>
            <w:tcW w:w="2025" w:type="dxa"/>
            <w:vAlign w:val="center"/>
          </w:tcPr>
          <w:p w14:paraId="2ADA922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景观、土壤及生态环境</w:t>
            </w:r>
          </w:p>
        </w:tc>
      </w:tr>
      <w:tr w14:paraId="1B37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7E36A0B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0E51D02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5A53C12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水土流失</w:t>
            </w:r>
          </w:p>
        </w:tc>
        <w:tc>
          <w:tcPr>
            <w:tcW w:w="2025" w:type="dxa"/>
            <w:vAlign w:val="center"/>
          </w:tcPr>
          <w:p w14:paraId="5780243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地质、土壤和生态环境</w:t>
            </w:r>
          </w:p>
        </w:tc>
      </w:tr>
      <w:tr w14:paraId="2B98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6E1FAAB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Align w:val="center"/>
          </w:tcPr>
          <w:p w14:paraId="088BA31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钢筋、木材加工</w:t>
            </w:r>
          </w:p>
        </w:tc>
        <w:tc>
          <w:tcPr>
            <w:tcW w:w="3390" w:type="dxa"/>
            <w:vAlign w:val="center"/>
          </w:tcPr>
          <w:p w14:paraId="0304F77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噪声</w:t>
            </w:r>
          </w:p>
        </w:tc>
        <w:tc>
          <w:tcPr>
            <w:tcW w:w="2025" w:type="dxa"/>
            <w:vAlign w:val="center"/>
          </w:tcPr>
          <w:p w14:paraId="2361AE41">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声环境</w:t>
            </w:r>
          </w:p>
        </w:tc>
      </w:tr>
      <w:tr w14:paraId="5F9CE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4E4D571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restart"/>
            <w:vAlign w:val="center"/>
          </w:tcPr>
          <w:p w14:paraId="6D9A8517">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施工场地和施工便道</w:t>
            </w:r>
          </w:p>
        </w:tc>
        <w:tc>
          <w:tcPr>
            <w:tcW w:w="3390" w:type="dxa"/>
            <w:vAlign w:val="center"/>
          </w:tcPr>
          <w:p w14:paraId="124B638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植被破坏、临时占地</w:t>
            </w:r>
          </w:p>
        </w:tc>
        <w:tc>
          <w:tcPr>
            <w:tcW w:w="2025" w:type="dxa"/>
            <w:vMerge w:val="restart"/>
            <w:vAlign w:val="center"/>
          </w:tcPr>
          <w:p w14:paraId="231EAA84">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地质、土壤和生态环境</w:t>
            </w:r>
          </w:p>
        </w:tc>
      </w:tr>
      <w:tr w14:paraId="2AF4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15A78C3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2E91544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109CEE36">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水土流失</w:t>
            </w:r>
          </w:p>
        </w:tc>
        <w:tc>
          <w:tcPr>
            <w:tcW w:w="2025" w:type="dxa"/>
            <w:vMerge w:val="continue"/>
            <w:vAlign w:val="center"/>
          </w:tcPr>
          <w:p w14:paraId="3954247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r>
      <w:tr w14:paraId="60AB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0A5EC811">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141FF86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5EF265C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植被带状或斑状裸露</w:t>
            </w:r>
          </w:p>
        </w:tc>
        <w:tc>
          <w:tcPr>
            <w:tcW w:w="2025" w:type="dxa"/>
            <w:vAlign w:val="center"/>
          </w:tcPr>
          <w:p w14:paraId="5FFFB4F1">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景观和生态环境</w:t>
            </w:r>
          </w:p>
        </w:tc>
      </w:tr>
      <w:tr w14:paraId="2B93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0782A44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3AC87CC6">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1E004F8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生活污水、生活垃圾</w:t>
            </w:r>
          </w:p>
        </w:tc>
        <w:tc>
          <w:tcPr>
            <w:tcW w:w="2025" w:type="dxa"/>
            <w:vAlign w:val="center"/>
          </w:tcPr>
          <w:p w14:paraId="5CD4C44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水环境</w:t>
            </w:r>
          </w:p>
        </w:tc>
      </w:tr>
      <w:tr w14:paraId="167E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restart"/>
            <w:vAlign w:val="center"/>
          </w:tcPr>
          <w:p w14:paraId="1987DAF8">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运营期</w:t>
            </w:r>
          </w:p>
        </w:tc>
        <w:tc>
          <w:tcPr>
            <w:tcW w:w="1978" w:type="dxa"/>
            <w:vMerge w:val="restart"/>
            <w:vAlign w:val="center"/>
          </w:tcPr>
          <w:p w14:paraId="184D269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农业供水、居民供水</w:t>
            </w:r>
          </w:p>
        </w:tc>
        <w:tc>
          <w:tcPr>
            <w:tcW w:w="3390" w:type="dxa"/>
            <w:vAlign w:val="center"/>
          </w:tcPr>
          <w:p w14:paraId="2AE63724">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改善农业耕地条件</w:t>
            </w:r>
          </w:p>
        </w:tc>
        <w:tc>
          <w:tcPr>
            <w:tcW w:w="2025" w:type="dxa"/>
            <w:vMerge w:val="restart"/>
            <w:vAlign w:val="center"/>
          </w:tcPr>
          <w:p w14:paraId="70DF152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社会经济环境</w:t>
            </w:r>
          </w:p>
        </w:tc>
      </w:tr>
      <w:tr w14:paraId="0A23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7FB1EF1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2273D58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43FB928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改善居民饮水质量</w:t>
            </w:r>
          </w:p>
        </w:tc>
        <w:tc>
          <w:tcPr>
            <w:tcW w:w="2025" w:type="dxa"/>
            <w:vMerge w:val="continue"/>
            <w:vAlign w:val="center"/>
          </w:tcPr>
          <w:p w14:paraId="5B737C8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r>
      <w:tr w14:paraId="42D5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2F10CAAB">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Align w:val="center"/>
          </w:tcPr>
          <w:p w14:paraId="193079E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工程管理</w:t>
            </w:r>
          </w:p>
        </w:tc>
        <w:tc>
          <w:tcPr>
            <w:tcW w:w="3390" w:type="dxa"/>
            <w:shd w:val="clear" w:color="auto" w:fill="auto"/>
            <w:vAlign w:val="center"/>
          </w:tcPr>
          <w:p w14:paraId="69EF899D">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生活污水、生活垃圾</w:t>
            </w:r>
          </w:p>
        </w:tc>
        <w:tc>
          <w:tcPr>
            <w:tcW w:w="2025" w:type="dxa"/>
            <w:shd w:val="clear" w:color="auto" w:fill="auto"/>
            <w:vAlign w:val="center"/>
          </w:tcPr>
          <w:p w14:paraId="7CF33234">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水环境</w:t>
            </w:r>
          </w:p>
        </w:tc>
      </w:tr>
      <w:tr w14:paraId="0332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79D5ECBC">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restart"/>
            <w:vAlign w:val="center"/>
          </w:tcPr>
          <w:p w14:paraId="7389FDB7">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拦河蓄水</w:t>
            </w:r>
          </w:p>
        </w:tc>
        <w:tc>
          <w:tcPr>
            <w:tcW w:w="3390" w:type="dxa"/>
            <w:vAlign w:val="center"/>
          </w:tcPr>
          <w:p w14:paraId="767BB2A1">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河流流速、流量及水资源分布变化；形成减水段以及低温水下泄，影响农业生产和水生生物生境和阻隔其种质交流。</w:t>
            </w:r>
          </w:p>
        </w:tc>
        <w:tc>
          <w:tcPr>
            <w:tcW w:w="2025" w:type="dxa"/>
            <w:vAlign w:val="center"/>
          </w:tcPr>
          <w:p w14:paraId="7DD3E830">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水文</w:t>
            </w:r>
          </w:p>
          <w:p w14:paraId="59872507">
            <w:pPr>
              <w:jc w:val="center"/>
              <w:rPr>
                <w:rFonts w:hint="eastAsia" w:ascii="Arial" w:hAnsi="Arial" w:cs="Arial"/>
                <w:kern w:val="0"/>
                <w:sz w:val="22"/>
                <w:szCs w:val="22"/>
                <w:vertAlign w:val="baseline"/>
                <w:lang w:val="en-US" w:eastAsia="zh-CN" w:bidi="ar-SA"/>
              </w:rPr>
            </w:pPr>
            <w:r>
              <w:rPr>
                <w:rFonts w:hint="eastAsia" w:ascii="Arial" w:hAnsi="Arial" w:cs="Arial"/>
                <w:kern w:val="0"/>
                <w:sz w:val="22"/>
                <w:szCs w:val="22"/>
                <w:vertAlign w:val="baseline"/>
                <w:lang w:val="en-US" w:eastAsia="zh-CN" w:bidi="ar-SA"/>
              </w:rPr>
              <w:t>水生生态</w:t>
            </w:r>
          </w:p>
          <w:p w14:paraId="329FC6C2">
            <w:pPr>
              <w:jc w:val="center"/>
              <w:rPr>
                <w:rFonts w:hint="default" w:ascii="Arial" w:hAnsi="Arial" w:cs="Arial"/>
                <w:kern w:val="0"/>
                <w:sz w:val="22"/>
                <w:szCs w:val="22"/>
                <w:vertAlign w:val="baseline"/>
                <w:lang w:val="en-US" w:eastAsia="zh-CN" w:bidi="ar-SA"/>
              </w:rPr>
            </w:pPr>
            <w:r>
              <w:rPr>
                <w:rFonts w:hint="eastAsia" w:ascii="Arial" w:hAnsi="Arial" w:cs="Arial"/>
                <w:kern w:val="0"/>
                <w:sz w:val="22"/>
                <w:szCs w:val="22"/>
                <w:vertAlign w:val="baseline"/>
                <w:lang w:val="en-US" w:eastAsia="zh-CN" w:bidi="ar-SA"/>
              </w:rPr>
              <w:t>农业生态</w:t>
            </w:r>
          </w:p>
        </w:tc>
      </w:tr>
      <w:tr w14:paraId="58F5C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004ED2B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306283EF">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4A84EC0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水体富营养化、低温水下泄</w:t>
            </w:r>
          </w:p>
        </w:tc>
        <w:tc>
          <w:tcPr>
            <w:tcW w:w="2025" w:type="dxa"/>
            <w:vAlign w:val="center"/>
          </w:tcPr>
          <w:p w14:paraId="157DDB8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水文</w:t>
            </w:r>
          </w:p>
          <w:p w14:paraId="0D2B65A8">
            <w:pPr>
              <w:jc w:val="center"/>
              <w:rPr>
                <w:rFonts w:hint="default"/>
                <w:lang w:val="en-US" w:eastAsia="zh-CN"/>
              </w:rPr>
            </w:pPr>
            <w:r>
              <w:rPr>
                <w:rFonts w:hint="eastAsia" w:ascii="Arial" w:hAnsi="Arial" w:cs="Arial"/>
                <w:kern w:val="0"/>
                <w:sz w:val="22"/>
                <w:szCs w:val="22"/>
                <w:vertAlign w:val="baseline"/>
                <w:lang w:val="en-US" w:eastAsia="zh-CN" w:bidi="ar-SA"/>
              </w:rPr>
              <w:t>坝后水生生态</w:t>
            </w:r>
          </w:p>
        </w:tc>
      </w:tr>
      <w:tr w14:paraId="3F13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43" w:type="dxa"/>
            <w:vMerge w:val="continue"/>
            <w:vAlign w:val="center"/>
          </w:tcPr>
          <w:p w14:paraId="2A11B346">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p>
        </w:tc>
        <w:tc>
          <w:tcPr>
            <w:tcW w:w="1978" w:type="dxa"/>
            <w:vMerge w:val="continue"/>
            <w:vAlign w:val="center"/>
          </w:tcPr>
          <w:p w14:paraId="2BCB6BB5">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p>
        </w:tc>
        <w:tc>
          <w:tcPr>
            <w:tcW w:w="3390" w:type="dxa"/>
            <w:vAlign w:val="center"/>
          </w:tcPr>
          <w:p w14:paraId="1118D2CA">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泥沙淤积</w:t>
            </w:r>
          </w:p>
        </w:tc>
        <w:tc>
          <w:tcPr>
            <w:tcW w:w="2025" w:type="dxa"/>
            <w:vAlign w:val="center"/>
          </w:tcPr>
          <w:p w14:paraId="1AF935C9">
            <w:pPr>
              <w:pStyle w:val="2082"/>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kern w:val="0"/>
                <w:sz w:val="22"/>
                <w:szCs w:val="22"/>
                <w:vertAlign w:val="baseline"/>
                <w:lang w:val="en-US" w:eastAsia="zh-CN" w:bidi="ar-SA"/>
              </w:rPr>
            </w:pPr>
            <w:r>
              <w:rPr>
                <w:rFonts w:hint="eastAsia" w:ascii="Arial" w:hAnsi="Arial" w:eastAsia="宋体" w:cs="Arial"/>
                <w:kern w:val="0"/>
                <w:sz w:val="22"/>
                <w:szCs w:val="22"/>
                <w:vertAlign w:val="baseline"/>
                <w:lang w:val="en-US" w:eastAsia="zh-CN" w:bidi="ar-SA"/>
              </w:rPr>
              <w:t>水文</w:t>
            </w:r>
          </w:p>
        </w:tc>
      </w:tr>
    </w:tbl>
    <w:p w14:paraId="5496AF6B">
      <w:pPr>
        <w:keepNext w:val="0"/>
        <w:keepLines w:val="0"/>
        <w:pageBreakBefore w:val="0"/>
        <w:widowControl w:val="0"/>
        <w:kinsoku/>
        <w:wordWrap/>
        <w:overflowPunct/>
        <w:topLinePunct w:val="0"/>
        <w:autoSpaceDE/>
        <w:autoSpaceDN/>
        <w:bidi w:val="0"/>
        <w:adjustRightInd/>
        <w:snapToGrid/>
        <w:spacing w:line="240" w:lineRule="exact"/>
        <w:textAlignment w:val="auto"/>
        <w:rPr>
          <w:sz w:val="24"/>
          <w:szCs w:val="24"/>
        </w:rPr>
      </w:pPr>
    </w:p>
    <w:p w14:paraId="241D1E27">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kern w:val="0"/>
          <w:sz w:val="26"/>
          <w:szCs w:val="26"/>
          <w:lang w:val="en-US" w:eastAsia="zh-CN" w:bidi="ar-SA"/>
        </w:rPr>
        <w:t>由表1.4-2识别结果可知，拟建项目施工期对外环境的影响主要体现在工程占地、各类建构筑物施工对生态环境的破坏，和引起各环境因素的污染；运营期主要是拦河蓄水对水生生态环境的影响。</w:t>
      </w:r>
    </w:p>
    <w:p w14:paraId="7B73C2DA">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4</w:t>
      </w:r>
      <w:r>
        <w:rPr>
          <w:rFonts w:hint="eastAsia" w:ascii="Arial" w:hAnsi="Arial" w:eastAsia="宋体" w:cs="Arial"/>
          <w:b/>
          <w:color w:val="auto"/>
          <w:kern w:val="0"/>
          <w:sz w:val="26"/>
          <w:szCs w:val="20"/>
          <w:highlight w:val="none"/>
          <w:lang w:val="en-US" w:eastAsia="zh-CN"/>
        </w:rPr>
        <w:t>.</w:t>
      </w:r>
      <w:bookmarkEnd w:id="34"/>
      <w:bookmarkEnd w:id="35"/>
      <w:bookmarkEnd w:id="36"/>
      <w:bookmarkEnd w:id="37"/>
      <w:bookmarkEnd w:id="38"/>
      <w:bookmarkEnd w:id="39"/>
      <w:bookmarkEnd w:id="40"/>
      <w:bookmarkEnd w:id="41"/>
      <w:bookmarkEnd w:id="42"/>
      <w:bookmarkEnd w:id="43"/>
      <w:bookmarkEnd w:id="44"/>
      <w:bookmarkEnd w:id="45"/>
      <w:bookmarkEnd w:id="46"/>
      <w:r>
        <w:rPr>
          <w:rFonts w:hint="eastAsia" w:ascii="Arial" w:hAnsi="Arial" w:cs="Arial"/>
          <w:b/>
          <w:color w:val="auto"/>
          <w:kern w:val="0"/>
          <w:sz w:val="26"/>
          <w:szCs w:val="20"/>
          <w:highlight w:val="none"/>
          <w:lang w:val="en-US" w:eastAsia="zh-CN"/>
        </w:rPr>
        <w:t>3环境要素及环境因子识别</w:t>
      </w:r>
    </w:p>
    <w:p w14:paraId="6331CB4F">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kern w:val="0"/>
          <w:sz w:val="26"/>
          <w:szCs w:val="26"/>
          <w:lang w:val="en-US" w:eastAsia="zh-CN" w:bidi="ar-SA"/>
        </w:rPr>
        <w:sectPr>
          <w:footerReference r:id="rId15" w:type="default"/>
          <w:pgSz w:w="12240" w:h="15840"/>
          <w:pgMar w:top="1440" w:right="1701" w:bottom="1276" w:left="1701" w:header="794" w:footer="720" w:gutter="0"/>
          <w:pgBorders>
            <w:top w:val="none" w:sz="0" w:space="0"/>
            <w:left w:val="none" w:sz="0" w:space="0"/>
            <w:bottom w:val="none" w:sz="0" w:space="0"/>
            <w:right w:val="none" w:sz="0" w:space="0"/>
          </w:pgBorders>
          <w:pgNumType w:fmt="decimal" w:start="1"/>
          <w:cols w:space="720" w:num="1"/>
        </w:sectPr>
      </w:pPr>
      <w:r>
        <w:rPr>
          <w:rFonts w:hint="eastAsia" w:ascii="Arial" w:hAnsi="Arial" w:eastAsia="宋体" w:cs="Arial"/>
          <w:kern w:val="0"/>
          <w:sz w:val="26"/>
          <w:szCs w:val="26"/>
          <w:lang w:val="en-US" w:eastAsia="zh-CN" w:bidi="ar-SA"/>
        </w:rPr>
        <w:t>根据拟建项目施工及运行情况，结合工程地区环境功能和各类环境因子的重要性以及可能受影响程度，在环境影响因素分析的基础上，采用矩阵法，从环境要素和影响区域两方面进行环境因子的识别和筛选。</w:t>
      </w:r>
    </w:p>
    <w:p w14:paraId="1290293B">
      <w:pPr>
        <w:pStyle w:val="1085"/>
        <w:keepNext w:val="0"/>
        <w:keepLines w:val="0"/>
        <w:pageBreakBefore w:val="0"/>
        <w:widowControl w:val="0"/>
        <w:kinsoku/>
        <w:wordWrap/>
        <w:overflowPunct/>
        <w:topLinePunct w:val="0"/>
        <w:autoSpaceDE/>
        <w:autoSpaceDN/>
        <w:bidi w:val="0"/>
        <w:adjustRightInd/>
        <w:snapToGrid w:val="0"/>
        <w:spacing w:line="480" w:lineRule="exact"/>
        <w:textAlignment w:val="auto"/>
        <w:rPr>
          <w:rFonts w:hint="eastAsia" w:ascii="Arial" w:hAnsi="Arial" w:cs="Arial"/>
          <w:sz w:val="26"/>
          <w:szCs w:val="26"/>
          <w:lang w:val="en-US" w:eastAsia="zh-CN"/>
        </w:rPr>
      </w:pPr>
      <w:r>
        <w:rPr>
          <w:rFonts w:hint="default" w:ascii="Arial" w:hAnsi="Arial" w:eastAsia="宋体" w:cs="Arial"/>
          <w:sz w:val="26"/>
          <w:szCs w:val="26"/>
        </w:rPr>
        <w:t>表1.</w:t>
      </w:r>
      <w:r>
        <w:rPr>
          <w:rFonts w:hint="eastAsia" w:ascii="Arial" w:hAnsi="Arial" w:cs="Arial"/>
          <w:sz w:val="26"/>
          <w:szCs w:val="26"/>
          <w:lang w:val="en-US" w:eastAsia="zh-CN"/>
        </w:rPr>
        <w:t>4</w:t>
      </w:r>
      <w:r>
        <w:rPr>
          <w:rFonts w:hint="eastAsia" w:ascii="Arial" w:hAnsi="Arial" w:eastAsia="宋体" w:cs="Arial"/>
          <w:sz w:val="26"/>
          <w:szCs w:val="26"/>
          <w:lang w:val="en-US" w:eastAsia="zh-CN"/>
        </w:rPr>
        <w:t>-</w:t>
      </w:r>
      <w:r>
        <w:rPr>
          <w:rFonts w:hint="eastAsia" w:ascii="Arial" w:hAnsi="Arial" w:cs="Arial"/>
          <w:sz w:val="26"/>
          <w:szCs w:val="26"/>
          <w:lang w:val="en-US" w:eastAsia="zh-CN"/>
        </w:rPr>
        <w:t>3</w:t>
      </w:r>
      <w:r>
        <w:rPr>
          <w:rFonts w:hint="default" w:ascii="Arial" w:hAnsi="Arial" w:eastAsia="宋体" w:cs="Arial"/>
          <w:sz w:val="26"/>
          <w:szCs w:val="26"/>
        </w:rPr>
        <w:t xml:space="preserve">  </w:t>
      </w:r>
      <w:r>
        <w:rPr>
          <w:rFonts w:hint="eastAsia" w:ascii="Arial" w:hAnsi="Arial" w:eastAsia="宋体" w:cs="Arial"/>
          <w:sz w:val="26"/>
          <w:szCs w:val="26"/>
          <w:lang w:val="en-US" w:eastAsia="zh-CN"/>
        </w:rPr>
        <w:t>工程</w:t>
      </w:r>
      <w:r>
        <w:rPr>
          <w:rFonts w:hint="eastAsia" w:ascii="Arial" w:hAnsi="Arial" w:cs="Arial"/>
          <w:sz w:val="26"/>
          <w:szCs w:val="26"/>
          <w:lang w:val="en-US" w:eastAsia="zh-CN"/>
        </w:rPr>
        <w:t>环境要素影响识别矩阵表</w:t>
      </w:r>
    </w:p>
    <w:tbl>
      <w:tblPr>
        <w:tblStyle w:val="1893"/>
        <w:tblW w:w="141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1499"/>
        <w:gridCol w:w="600"/>
        <w:gridCol w:w="600"/>
        <w:gridCol w:w="600"/>
        <w:gridCol w:w="600"/>
        <w:gridCol w:w="600"/>
        <w:gridCol w:w="570"/>
        <w:gridCol w:w="589"/>
        <w:gridCol w:w="889"/>
        <w:gridCol w:w="630"/>
        <w:gridCol w:w="649"/>
        <w:gridCol w:w="689"/>
        <w:gridCol w:w="649"/>
        <w:gridCol w:w="659"/>
        <w:gridCol w:w="650"/>
        <w:gridCol w:w="659"/>
        <w:gridCol w:w="649"/>
        <w:gridCol w:w="660"/>
        <w:gridCol w:w="654"/>
      </w:tblGrid>
      <w:tr w14:paraId="76162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2603" w:type="dxa"/>
            <w:gridSpan w:val="2"/>
            <w:vMerge w:val="restart"/>
            <w:tcBorders>
              <w:bottom w:val="nil"/>
              <w:tl2br w:val="single" w:color="000000" w:sz="4" w:space="0"/>
            </w:tcBorders>
            <w:vAlign w:val="center"/>
          </w:tcPr>
          <w:p w14:paraId="0DDB778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right"/>
              <w:textAlignment w:val="auto"/>
              <w:outlineLvl w:val="2"/>
              <w:rPr>
                <w:rFonts w:hint="default" w:ascii="Arial" w:hAnsi="Arial" w:cs="Arial"/>
                <w:sz w:val="22"/>
                <w:szCs w:val="22"/>
              </w:rPr>
            </w:pPr>
            <w:r>
              <w:rPr>
                <w:rFonts w:hint="default" w:ascii="Arial" w:hAnsi="Arial" w:cs="Arial"/>
                <w:spacing w:val="-2"/>
                <w:sz w:val="22"/>
                <w:szCs w:val="22"/>
              </w:rPr>
              <w:t>环境要素</w:t>
            </w:r>
          </w:p>
          <w:p w14:paraId="64E7097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68F9F3B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left"/>
              <w:textAlignment w:val="auto"/>
              <w:rPr>
                <w:rFonts w:hint="default" w:ascii="Arial" w:hAnsi="Arial" w:cs="Arial"/>
                <w:sz w:val="22"/>
                <w:szCs w:val="22"/>
              </w:rPr>
            </w:pPr>
            <w:r>
              <w:rPr>
                <w:rFonts w:hint="default" w:ascii="Arial" w:hAnsi="Arial" w:cs="Arial"/>
                <w:spacing w:val="-3"/>
                <w:sz w:val="22"/>
                <w:szCs w:val="22"/>
              </w:rPr>
              <w:t>环节</w:t>
            </w:r>
          </w:p>
        </w:tc>
        <w:tc>
          <w:tcPr>
            <w:tcW w:w="1800" w:type="dxa"/>
            <w:gridSpan w:val="3"/>
            <w:vAlign w:val="center"/>
          </w:tcPr>
          <w:p w14:paraId="43E951BA">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4"/>
                <w:sz w:val="22"/>
                <w:szCs w:val="22"/>
              </w:rPr>
              <w:t>水文情势</w:t>
            </w:r>
          </w:p>
        </w:tc>
        <w:tc>
          <w:tcPr>
            <w:tcW w:w="1200" w:type="dxa"/>
            <w:gridSpan w:val="2"/>
            <w:vAlign w:val="center"/>
          </w:tcPr>
          <w:p w14:paraId="72FD5BAB">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2"/>
                <w:sz w:val="22"/>
                <w:szCs w:val="22"/>
              </w:rPr>
              <w:t>地表水</w:t>
            </w:r>
          </w:p>
        </w:tc>
        <w:tc>
          <w:tcPr>
            <w:tcW w:w="1159" w:type="dxa"/>
            <w:gridSpan w:val="2"/>
            <w:vAlign w:val="center"/>
          </w:tcPr>
          <w:p w14:paraId="01A28C5D">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2"/>
                <w:sz w:val="22"/>
                <w:szCs w:val="22"/>
              </w:rPr>
              <w:t>地下水</w:t>
            </w:r>
          </w:p>
        </w:tc>
        <w:tc>
          <w:tcPr>
            <w:tcW w:w="2857" w:type="dxa"/>
            <w:gridSpan w:val="4"/>
            <w:vAlign w:val="center"/>
          </w:tcPr>
          <w:p w14:paraId="4FC13CCE">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2"/>
                <w:sz w:val="22"/>
                <w:szCs w:val="22"/>
              </w:rPr>
              <w:t>生态环境</w:t>
            </w:r>
          </w:p>
        </w:tc>
        <w:tc>
          <w:tcPr>
            <w:tcW w:w="649" w:type="dxa"/>
            <w:vMerge w:val="restart"/>
            <w:tcBorders>
              <w:bottom w:val="nil"/>
            </w:tcBorders>
            <w:vAlign w:val="center"/>
          </w:tcPr>
          <w:p w14:paraId="4661AE87">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5"/>
                <w:sz w:val="22"/>
                <w:szCs w:val="22"/>
              </w:rPr>
              <w:t>声环</w:t>
            </w:r>
          </w:p>
          <w:p w14:paraId="29127106">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z w:val="22"/>
                <w:szCs w:val="22"/>
              </w:rPr>
              <w:t>境</w:t>
            </w:r>
          </w:p>
        </w:tc>
        <w:tc>
          <w:tcPr>
            <w:tcW w:w="659" w:type="dxa"/>
            <w:vMerge w:val="restart"/>
            <w:tcBorders>
              <w:bottom w:val="nil"/>
            </w:tcBorders>
            <w:vAlign w:val="center"/>
          </w:tcPr>
          <w:p w14:paraId="5A29D751">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6"/>
                <w:sz w:val="22"/>
                <w:szCs w:val="22"/>
              </w:rPr>
              <w:t>大气</w:t>
            </w:r>
            <w:r>
              <w:rPr>
                <w:rFonts w:hint="default" w:ascii="Arial" w:hAnsi="Arial" w:cs="Arial"/>
                <w:sz w:val="22"/>
                <w:szCs w:val="22"/>
              </w:rPr>
              <w:t xml:space="preserve"> </w:t>
            </w:r>
            <w:r>
              <w:rPr>
                <w:rFonts w:hint="default" w:ascii="Arial" w:hAnsi="Arial" w:cs="Arial"/>
                <w:spacing w:val="-3"/>
                <w:sz w:val="22"/>
                <w:szCs w:val="22"/>
              </w:rPr>
              <w:t>环境</w:t>
            </w:r>
          </w:p>
        </w:tc>
        <w:tc>
          <w:tcPr>
            <w:tcW w:w="650" w:type="dxa"/>
            <w:vMerge w:val="restart"/>
            <w:tcBorders>
              <w:bottom w:val="nil"/>
            </w:tcBorders>
            <w:vAlign w:val="center"/>
          </w:tcPr>
          <w:p w14:paraId="3BCCDE51">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4"/>
                <w:sz w:val="22"/>
                <w:szCs w:val="22"/>
              </w:rPr>
              <w:t>固体</w:t>
            </w:r>
            <w:r>
              <w:rPr>
                <w:rFonts w:hint="default" w:ascii="Arial" w:hAnsi="Arial" w:cs="Arial"/>
                <w:sz w:val="22"/>
                <w:szCs w:val="22"/>
              </w:rPr>
              <w:t xml:space="preserve"> </w:t>
            </w:r>
            <w:r>
              <w:rPr>
                <w:rFonts w:hint="default" w:ascii="Arial" w:hAnsi="Arial" w:cs="Arial"/>
                <w:spacing w:val="-2"/>
                <w:sz w:val="22"/>
                <w:szCs w:val="22"/>
              </w:rPr>
              <w:t>废物</w:t>
            </w:r>
          </w:p>
        </w:tc>
        <w:tc>
          <w:tcPr>
            <w:tcW w:w="659" w:type="dxa"/>
            <w:vMerge w:val="restart"/>
            <w:tcBorders>
              <w:bottom w:val="nil"/>
            </w:tcBorders>
            <w:vAlign w:val="center"/>
          </w:tcPr>
          <w:p w14:paraId="3A1B54F2">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5"/>
                <w:sz w:val="22"/>
                <w:szCs w:val="22"/>
              </w:rPr>
              <w:t>人群</w:t>
            </w:r>
            <w:r>
              <w:rPr>
                <w:rFonts w:hint="default" w:ascii="Arial" w:hAnsi="Arial" w:cs="Arial"/>
                <w:sz w:val="22"/>
                <w:szCs w:val="22"/>
              </w:rPr>
              <w:t xml:space="preserve"> </w:t>
            </w:r>
            <w:r>
              <w:rPr>
                <w:rFonts w:hint="default" w:ascii="Arial" w:hAnsi="Arial" w:cs="Arial"/>
                <w:spacing w:val="-5"/>
                <w:sz w:val="22"/>
                <w:szCs w:val="22"/>
              </w:rPr>
              <w:t>健康</w:t>
            </w:r>
          </w:p>
        </w:tc>
        <w:tc>
          <w:tcPr>
            <w:tcW w:w="1309" w:type="dxa"/>
            <w:gridSpan w:val="2"/>
            <w:vAlign w:val="center"/>
          </w:tcPr>
          <w:p w14:paraId="2927BE28">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3"/>
                <w:sz w:val="22"/>
                <w:szCs w:val="22"/>
              </w:rPr>
              <w:t>土壤</w:t>
            </w:r>
          </w:p>
        </w:tc>
        <w:tc>
          <w:tcPr>
            <w:tcW w:w="654" w:type="dxa"/>
            <w:vMerge w:val="restart"/>
            <w:tcBorders>
              <w:bottom w:val="nil"/>
            </w:tcBorders>
            <w:vAlign w:val="center"/>
          </w:tcPr>
          <w:p w14:paraId="3C58EC9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7B9EDB8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5"/>
                <w:sz w:val="22"/>
                <w:szCs w:val="22"/>
              </w:rPr>
              <w:t>移民</w:t>
            </w:r>
          </w:p>
        </w:tc>
      </w:tr>
      <w:tr w14:paraId="67ED8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jc w:val="center"/>
        </w:trPr>
        <w:tc>
          <w:tcPr>
            <w:tcW w:w="2603" w:type="dxa"/>
            <w:gridSpan w:val="2"/>
            <w:vMerge w:val="continue"/>
            <w:tcBorders>
              <w:top w:val="nil"/>
              <w:tl2br w:val="single" w:color="000000" w:sz="4" w:space="0"/>
            </w:tcBorders>
            <w:vAlign w:val="center"/>
          </w:tcPr>
          <w:p w14:paraId="604620C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7E2C423A">
            <w:pPr>
              <w:pStyle w:val="2102"/>
              <w:keepNext w:val="0"/>
              <w:keepLines w:val="0"/>
              <w:pageBreakBefore w:val="0"/>
              <w:widowControl w:val="0"/>
              <w:kinsoku/>
              <w:wordWrap/>
              <w:overflowPunct/>
              <w:topLinePunct w:val="0"/>
              <w:autoSpaceDE/>
              <w:autoSpaceDN/>
              <w:bidi w:val="0"/>
              <w:adjustRightInd/>
              <w:snapToGrid/>
              <w:spacing w:line="300" w:lineRule="exact"/>
              <w:ind w:leftChars="0" w:firstLine="0" w:firstLineChars="0"/>
              <w:jc w:val="center"/>
              <w:textAlignment w:val="auto"/>
              <w:rPr>
                <w:rFonts w:hint="default" w:ascii="Arial" w:hAnsi="Arial" w:eastAsia="宋体" w:cs="Arial"/>
                <w:spacing w:val="-5"/>
                <w:sz w:val="22"/>
                <w:szCs w:val="22"/>
              </w:rPr>
            </w:pPr>
            <w:r>
              <w:rPr>
                <w:rFonts w:hint="default" w:ascii="Arial" w:hAnsi="Arial" w:eastAsia="宋体" w:cs="Arial"/>
                <w:spacing w:val="-5"/>
                <w:sz w:val="22"/>
                <w:szCs w:val="22"/>
              </w:rPr>
              <w:t>流量</w:t>
            </w:r>
          </w:p>
        </w:tc>
        <w:tc>
          <w:tcPr>
            <w:tcW w:w="600" w:type="dxa"/>
            <w:vAlign w:val="center"/>
          </w:tcPr>
          <w:p w14:paraId="1F942D92">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eastAsia" w:ascii="Arial" w:hAnsi="Arial" w:eastAsia="宋体" w:cs="Arial"/>
                <w:spacing w:val="-5"/>
                <w:sz w:val="22"/>
                <w:szCs w:val="22"/>
                <w:lang w:eastAsia="zh-CN"/>
              </w:rPr>
            </w:pPr>
            <w:r>
              <w:rPr>
                <w:rFonts w:hint="eastAsia" w:ascii="Arial" w:hAnsi="Arial" w:eastAsia="宋体" w:cs="Arial"/>
                <w:spacing w:val="-5"/>
                <w:sz w:val="22"/>
                <w:szCs w:val="22"/>
                <w:lang w:eastAsia="zh-CN"/>
              </w:rPr>
              <w:t>泥沙</w:t>
            </w:r>
          </w:p>
        </w:tc>
        <w:tc>
          <w:tcPr>
            <w:tcW w:w="600" w:type="dxa"/>
            <w:vAlign w:val="center"/>
          </w:tcPr>
          <w:p w14:paraId="2D171082">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eastAsia="宋体" w:cs="Arial"/>
                <w:spacing w:val="-5"/>
                <w:sz w:val="22"/>
                <w:szCs w:val="22"/>
              </w:rPr>
            </w:pPr>
            <w:r>
              <w:rPr>
                <w:rFonts w:hint="default" w:ascii="Arial" w:hAnsi="Arial" w:eastAsia="宋体" w:cs="Arial"/>
                <w:spacing w:val="-5"/>
                <w:sz w:val="22"/>
                <w:szCs w:val="22"/>
              </w:rPr>
              <w:t>水位</w:t>
            </w:r>
          </w:p>
        </w:tc>
        <w:tc>
          <w:tcPr>
            <w:tcW w:w="600" w:type="dxa"/>
            <w:vAlign w:val="center"/>
          </w:tcPr>
          <w:p w14:paraId="50A36E03">
            <w:pPr>
              <w:pStyle w:val="2102"/>
              <w:autoSpaceDE w:val="0"/>
              <w:autoSpaceDN w:val="0"/>
              <w:bidi w:val="0"/>
              <w:jc w:val="center"/>
              <w:rPr>
                <w:rFonts w:hint="default" w:ascii="Arial" w:hAnsi="Arial" w:eastAsia="宋体" w:cs="Arial"/>
                <w:spacing w:val="-5"/>
                <w:szCs w:val="22"/>
              </w:rPr>
            </w:pPr>
            <w:r>
              <w:rPr>
                <w:rFonts w:hint="default"/>
              </w:rPr>
              <w:t>水温</w:t>
            </w:r>
          </w:p>
        </w:tc>
        <w:tc>
          <w:tcPr>
            <w:tcW w:w="600" w:type="dxa"/>
            <w:vAlign w:val="center"/>
          </w:tcPr>
          <w:p w14:paraId="71555763">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eastAsia="宋体" w:cs="Arial"/>
                <w:spacing w:val="-5"/>
                <w:sz w:val="22"/>
                <w:szCs w:val="22"/>
              </w:rPr>
            </w:pPr>
            <w:r>
              <w:rPr>
                <w:rFonts w:hint="default" w:ascii="Arial" w:hAnsi="Arial" w:eastAsia="宋体" w:cs="Arial"/>
                <w:spacing w:val="-5"/>
                <w:sz w:val="22"/>
                <w:szCs w:val="22"/>
              </w:rPr>
              <w:t>水质</w:t>
            </w:r>
          </w:p>
        </w:tc>
        <w:tc>
          <w:tcPr>
            <w:tcW w:w="570" w:type="dxa"/>
            <w:vAlign w:val="center"/>
          </w:tcPr>
          <w:p w14:paraId="4E68D7DC">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eastAsia="宋体" w:cs="Arial"/>
                <w:spacing w:val="-5"/>
                <w:sz w:val="22"/>
                <w:szCs w:val="22"/>
              </w:rPr>
            </w:pPr>
            <w:r>
              <w:rPr>
                <w:rFonts w:hint="default" w:ascii="Arial" w:hAnsi="Arial" w:eastAsia="宋体" w:cs="Arial"/>
                <w:spacing w:val="-5"/>
                <w:sz w:val="22"/>
                <w:szCs w:val="22"/>
              </w:rPr>
              <w:t>水质</w:t>
            </w:r>
          </w:p>
        </w:tc>
        <w:tc>
          <w:tcPr>
            <w:tcW w:w="589" w:type="dxa"/>
            <w:vAlign w:val="center"/>
          </w:tcPr>
          <w:p w14:paraId="7446B5A4">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eastAsia="宋体" w:cs="Arial"/>
                <w:spacing w:val="-5"/>
                <w:sz w:val="22"/>
                <w:szCs w:val="22"/>
              </w:rPr>
            </w:pPr>
            <w:r>
              <w:rPr>
                <w:rFonts w:hint="default" w:ascii="Arial" w:hAnsi="Arial" w:eastAsia="宋体" w:cs="Arial"/>
                <w:spacing w:val="-5"/>
                <w:sz w:val="22"/>
                <w:szCs w:val="22"/>
              </w:rPr>
              <w:t>水位</w:t>
            </w:r>
          </w:p>
        </w:tc>
        <w:tc>
          <w:tcPr>
            <w:tcW w:w="889" w:type="dxa"/>
            <w:vAlign w:val="center"/>
          </w:tcPr>
          <w:p w14:paraId="66BA4871">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eastAsia="宋体" w:cs="Arial"/>
                <w:spacing w:val="-5"/>
                <w:sz w:val="22"/>
                <w:szCs w:val="22"/>
              </w:rPr>
            </w:pPr>
            <w:r>
              <w:rPr>
                <w:rFonts w:hint="default" w:ascii="Arial" w:hAnsi="Arial" w:eastAsia="宋体" w:cs="Arial"/>
                <w:spacing w:val="-5"/>
                <w:sz w:val="22"/>
                <w:szCs w:val="22"/>
              </w:rPr>
              <w:t>生态完 整性</w:t>
            </w:r>
          </w:p>
        </w:tc>
        <w:tc>
          <w:tcPr>
            <w:tcW w:w="630" w:type="dxa"/>
            <w:vAlign w:val="center"/>
          </w:tcPr>
          <w:p w14:paraId="4F2F1EA0">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4"/>
                <w:sz w:val="22"/>
                <w:szCs w:val="22"/>
              </w:rPr>
              <w:t>陆生</w:t>
            </w:r>
            <w:r>
              <w:rPr>
                <w:rFonts w:hint="default" w:ascii="Arial" w:hAnsi="Arial" w:cs="Arial"/>
                <w:sz w:val="22"/>
                <w:szCs w:val="22"/>
              </w:rPr>
              <w:t xml:space="preserve"> </w:t>
            </w:r>
            <w:r>
              <w:rPr>
                <w:rFonts w:hint="default" w:ascii="Arial" w:hAnsi="Arial" w:cs="Arial"/>
                <w:spacing w:val="-3"/>
                <w:sz w:val="22"/>
                <w:szCs w:val="22"/>
              </w:rPr>
              <w:t>植物</w:t>
            </w:r>
          </w:p>
        </w:tc>
        <w:tc>
          <w:tcPr>
            <w:tcW w:w="649" w:type="dxa"/>
            <w:vAlign w:val="center"/>
          </w:tcPr>
          <w:p w14:paraId="5AC928AA">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4"/>
                <w:sz w:val="22"/>
                <w:szCs w:val="22"/>
              </w:rPr>
              <w:t>陆生</w:t>
            </w:r>
            <w:r>
              <w:rPr>
                <w:rFonts w:hint="default" w:ascii="Arial" w:hAnsi="Arial" w:cs="Arial"/>
                <w:sz w:val="22"/>
                <w:szCs w:val="22"/>
              </w:rPr>
              <w:t xml:space="preserve"> </w:t>
            </w:r>
            <w:r>
              <w:rPr>
                <w:rFonts w:hint="default" w:ascii="Arial" w:hAnsi="Arial" w:cs="Arial"/>
                <w:spacing w:val="-3"/>
                <w:sz w:val="22"/>
                <w:szCs w:val="22"/>
              </w:rPr>
              <w:t>动物</w:t>
            </w:r>
          </w:p>
        </w:tc>
        <w:tc>
          <w:tcPr>
            <w:tcW w:w="689" w:type="dxa"/>
            <w:vAlign w:val="center"/>
          </w:tcPr>
          <w:p w14:paraId="3EC36518">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4"/>
                <w:sz w:val="22"/>
                <w:szCs w:val="22"/>
              </w:rPr>
              <w:t>水生</w:t>
            </w:r>
            <w:r>
              <w:rPr>
                <w:rFonts w:hint="default" w:ascii="Arial" w:hAnsi="Arial" w:cs="Arial"/>
                <w:sz w:val="22"/>
                <w:szCs w:val="22"/>
              </w:rPr>
              <w:t xml:space="preserve"> </w:t>
            </w:r>
            <w:r>
              <w:rPr>
                <w:rFonts w:hint="default" w:ascii="Arial" w:hAnsi="Arial" w:cs="Arial"/>
                <w:spacing w:val="5"/>
                <w:sz w:val="22"/>
                <w:szCs w:val="22"/>
              </w:rPr>
              <w:t>生物</w:t>
            </w:r>
          </w:p>
        </w:tc>
        <w:tc>
          <w:tcPr>
            <w:tcW w:w="649" w:type="dxa"/>
            <w:vMerge w:val="continue"/>
            <w:tcBorders>
              <w:top w:val="nil"/>
            </w:tcBorders>
            <w:vAlign w:val="center"/>
          </w:tcPr>
          <w:p w14:paraId="5319F262">
            <w:pPr>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p>
        </w:tc>
        <w:tc>
          <w:tcPr>
            <w:tcW w:w="659" w:type="dxa"/>
            <w:vMerge w:val="continue"/>
            <w:tcBorders>
              <w:top w:val="nil"/>
            </w:tcBorders>
            <w:vAlign w:val="center"/>
          </w:tcPr>
          <w:p w14:paraId="40CDD6ED">
            <w:pPr>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p>
        </w:tc>
        <w:tc>
          <w:tcPr>
            <w:tcW w:w="650" w:type="dxa"/>
            <w:vMerge w:val="continue"/>
            <w:tcBorders>
              <w:top w:val="nil"/>
            </w:tcBorders>
            <w:vAlign w:val="center"/>
          </w:tcPr>
          <w:p w14:paraId="6F6A7949">
            <w:pPr>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p>
        </w:tc>
        <w:tc>
          <w:tcPr>
            <w:tcW w:w="659" w:type="dxa"/>
            <w:vMerge w:val="continue"/>
            <w:tcBorders>
              <w:top w:val="nil"/>
            </w:tcBorders>
            <w:vAlign w:val="center"/>
          </w:tcPr>
          <w:p w14:paraId="6CF46831">
            <w:pPr>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p>
        </w:tc>
        <w:tc>
          <w:tcPr>
            <w:tcW w:w="649" w:type="dxa"/>
            <w:vAlign w:val="center"/>
          </w:tcPr>
          <w:p w14:paraId="05783600">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5"/>
                <w:sz w:val="22"/>
                <w:szCs w:val="22"/>
              </w:rPr>
              <w:t>土壤</w:t>
            </w:r>
            <w:r>
              <w:rPr>
                <w:rFonts w:hint="default" w:ascii="Arial" w:hAnsi="Arial" w:cs="Arial"/>
                <w:sz w:val="22"/>
                <w:szCs w:val="22"/>
              </w:rPr>
              <w:t xml:space="preserve"> </w:t>
            </w:r>
            <w:r>
              <w:rPr>
                <w:rFonts w:hint="default" w:ascii="Arial" w:hAnsi="Arial" w:cs="Arial"/>
                <w:spacing w:val="-5"/>
                <w:sz w:val="22"/>
                <w:szCs w:val="22"/>
              </w:rPr>
              <w:t>环境</w:t>
            </w:r>
          </w:p>
        </w:tc>
        <w:tc>
          <w:tcPr>
            <w:tcW w:w="660" w:type="dxa"/>
            <w:vAlign w:val="center"/>
          </w:tcPr>
          <w:p w14:paraId="33E47283">
            <w:pPr>
              <w:pStyle w:val="2102"/>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ascii="Arial" w:hAnsi="Arial" w:cs="Arial"/>
                <w:sz w:val="22"/>
                <w:szCs w:val="22"/>
              </w:rPr>
            </w:pPr>
            <w:r>
              <w:rPr>
                <w:rFonts w:hint="default" w:ascii="Arial" w:hAnsi="Arial" w:cs="Arial"/>
                <w:spacing w:val="-5"/>
                <w:sz w:val="22"/>
                <w:szCs w:val="22"/>
              </w:rPr>
              <w:t>土地</w:t>
            </w:r>
            <w:r>
              <w:rPr>
                <w:rFonts w:hint="default" w:ascii="Arial" w:hAnsi="Arial" w:cs="Arial"/>
                <w:sz w:val="22"/>
                <w:szCs w:val="22"/>
              </w:rPr>
              <w:t xml:space="preserve"> </w:t>
            </w:r>
            <w:r>
              <w:rPr>
                <w:rFonts w:hint="default" w:ascii="Arial" w:hAnsi="Arial" w:cs="Arial"/>
                <w:spacing w:val="4"/>
                <w:sz w:val="22"/>
                <w:szCs w:val="22"/>
              </w:rPr>
              <w:t>资源</w:t>
            </w:r>
          </w:p>
        </w:tc>
        <w:tc>
          <w:tcPr>
            <w:tcW w:w="654" w:type="dxa"/>
            <w:vMerge w:val="continue"/>
            <w:tcBorders>
              <w:top w:val="nil"/>
            </w:tcBorders>
            <w:vAlign w:val="center"/>
          </w:tcPr>
          <w:p w14:paraId="6DC0F1D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482F7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04" w:type="dxa"/>
            <w:vMerge w:val="restart"/>
            <w:tcBorders>
              <w:bottom w:val="nil"/>
            </w:tcBorders>
            <w:vAlign w:val="center"/>
          </w:tcPr>
          <w:p w14:paraId="308D06A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3D795D7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4890085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4"/>
                <w:sz w:val="22"/>
                <w:szCs w:val="22"/>
              </w:rPr>
              <w:t>施工期</w:t>
            </w:r>
          </w:p>
        </w:tc>
        <w:tc>
          <w:tcPr>
            <w:tcW w:w="1499" w:type="dxa"/>
            <w:vAlign w:val="center"/>
          </w:tcPr>
          <w:p w14:paraId="320E263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枢纽工程</w:t>
            </w:r>
          </w:p>
        </w:tc>
        <w:tc>
          <w:tcPr>
            <w:tcW w:w="600" w:type="dxa"/>
            <w:vAlign w:val="center"/>
          </w:tcPr>
          <w:p w14:paraId="757FEC7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5B0573C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1A33A68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53A46A41">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22F94EB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2130EF1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47EFF33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59ED283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30" w:type="dxa"/>
            <w:vAlign w:val="center"/>
          </w:tcPr>
          <w:p w14:paraId="7183310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3EDFCD7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68EB2D6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170600D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2E5D6AF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0" w:type="dxa"/>
            <w:vAlign w:val="center"/>
          </w:tcPr>
          <w:p w14:paraId="5E67977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4BBE2F3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0D0E3E7C">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60" w:type="dxa"/>
            <w:vAlign w:val="center"/>
          </w:tcPr>
          <w:p w14:paraId="3CA9C20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4" w:type="dxa"/>
            <w:vAlign w:val="center"/>
          </w:tcPr>
          <w:p w14:paraId="0FDF3C5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3CA9D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1104" w:type="dxa"/>
            <w:vMerge w:val="continue"/>
            <w:tcBorders>
              <w:top w:val="nil"/>
              <w:bottom w:val="nil"/>
            </w:tcBorders>
            <w:vAlign w:val="center"/>
          </w:tcPr>
          <w:p w14:paraId="2E753FF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01E998C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供水工程</w:t>
            </w:r>
          </w:p>
        </w:tc>
        <w:tc>
          <w:tcPr>
            <w:tcW w:w="600" w:type="dxa"/>
            <w:vAlign w:val="center"/>
          </w:tcPr>
          <w:p w14:paraId="2FDD524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37E6E3E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4693B54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083D1BE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6EA4B82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1542A5B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1E49793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6A5B111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30" w:type="dxa"/>
            <w:vAlign w:val="center"/>
          </w:tcPr>
          <w:p w14:paraId="2010087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41451FE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7AB3FE6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69BCA43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4F7BEDC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0" w:type="dxa"/>
            <w:vAlign w:val="center"/>
          </w:tcPr>
          <w:p w14:paraId="4EADFCC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637FED7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43DEC31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775EC84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4" w:type="dxa"/>
            <w:vAlign w:val="center"/>
          </w:tcPr>
          <w:p w14:paraId="7376318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26A70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04" w:type="dxa"/>
            <w:vMerge w:val="continue"/>
            <w:tcBorders>
              <w:top w:val="nil"/>
              <w:bottom w:val="nil"/>
            </w:tcBorders>
            <w:vAlign w:val="center"/>
          </w:tcPr>
          <w:p w14:paraId="0C2034A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04276D9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施工人员活动</w:t>
            </w:r>
          </w:p>
        </w:tc>
        <w:tc>
          <w:tcPr>
            <w:tcW w:w="600" w:type="dxa"/>
            <w:vAlign w:val="center"/>
          </w:tcPr>
          <w:p w14:paraId="0AE2A0A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6ED3C82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270789F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205A9C2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453F22E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1A9BB43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4F57355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0C031D8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30" w:type="dxa"/>
            <w:vAlign w:val="center"/>
          </w:tcPr>
          <w:p w14:paraId="2871221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562DC9B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0359BDE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18EE24B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53BDD70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656C7E4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4C24963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268DB6A1">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4A2B6D91">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4" w:type="dxa"/>
            <w:vAlign w:val="center"/>
          </w:tcPr>
          <w:p w14:paraId="02109FB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53867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1104" w:type="dxa"/>
            <w:vMerge w:val="continue"/>
            <w:tcBorders>
              <w:top w:val="nil"/>
              <w:bottom w:val="nil"/>
            </w:tcBorders>
            <w:vAlign w:val="center"/>
          </w:tcPr>
          <w:p w14:paraId="07B052C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49600E2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施工交通</w:t>
            </w:r>
          </w:p>
        </w:tc>
        <w:tc>
          <w:tcPr>
            <w:tcW w:w="600" w:type="dxa"/>
            <w:vAlign w:val="center"/>
          </w:tcPr>
          <w:p w14:paraId="32D8BA6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7AF8C441">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54E6C88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5DD1F67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673A813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70" w:type="dxa"/>
            <w:vAlign w:val="center"/>
          </w:tcPr>
          <w:p w14:paraId="56B3F2B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49550AD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679CE3F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30" w:type="dxa"/>
            <w:vAlign w:val="center"/>
          </w:tcPr>
          <w:p w14:paraId="69C6FE1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0E08172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6F01AF4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2880013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7379076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0" w:type="dxa"/>
            <w:vAlign w:val="center"/>
          </w:tcPr>
          <w:p w14:paraId="0FD40971">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262B5B9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7541A00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58F903A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4" w:type="dxa"/>
            <w:vAlign w:val="center"/>
          </w:tcPr>
          <w:p w14:paraId="6827E28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073C7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04" w:type="dxa"/>
            <w:vMerge w:val="continue"/>
            <w:tcBorders>
              <w:top w:val="nil"/>
            </w:tcBorders>
            <w:vAlign w:val="center"/>
          </w:tcPr>
          <w:p w14:paraId="5248EA6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3F00603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施工机械</w:t>
            </w:r>
          </w:p>
        </w:tc>
        <w:tc>
          <w:tcPr>
            <w:tcW w:w="600" w:type="dxa"/>
            <w:vAlign w:val="center"/>
          </w:tcPr>
          <w:p w14:paraId="588C607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6CEA1EA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1ECB6EA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56CA991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3359A32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5A55D9E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3E844B8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7530630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30" w:type="dxa"/>
            <w:vAlign w:val="center"/>
          </w:tcPr>
          <w:p w14:paraId="2CA22AF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03B377D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89" w:type="dxa"/>
            <w:vAlign w:val="center"/>
          </w:tcPr>
          <w:p w14:paraId="4A40EB0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27A2E57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2D4DE4A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0" w:type="dxa"/>
            <w:vAlign w:val="center"/>
          </w:tcPr>
          <w:p w14:paraId="22956BA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3FA78F7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42BAC7D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22A4642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4" w:type="dxa"/>
            <w:vAlign w:val="center"/>
          </w:tcPr>
          <w:p w14:paraId="3839AC5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6F04B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104" w:type="dxa"/>
            <w:vMerge w:val="restart"/>
            <w:tcBorders>
              <w:bottom w:val="nil"/>
            </w:tcBorders>
            <w:vAlign w:val="center"/>
          </w:tcPr>
          <w:p w14:paraId="59EE7E7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pacing w:val="4"/>
                <w:sz w:val="22"/>
                <w:szCs w:val="22"/>
              </w:rPr>
            </w:pPr>
            <w:r>
              <w:rPr>
                <w:rFonts w:hint="default" w:ascii="Arial" w:hAnsi="Arial" w:cs="Arial"/>
                <w:spacing w:val="4"/>
                <w:sz w:val="22"/>
                <w:szCs w:val="22"/>
              </w:rPr>
              <w:t>淹没与</w:t>
            </w:r>
          </w:p>
          <w:p w14:paraId="387C2E1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4"/>
                <w:sz w:val="22"/>
                <w:szCs w:val="22"/>
              </w:rPr>
              <w:t>占</w:t>
            </w:r>
            <w:r>
              <w:rPr>
                <w:rFonts w:hint="default" w:ascii="Arial" w:hAnsi="Arial" w:cs="Arial"/>
                <w:sz w:val="22"/>
                <w:szCs w:val="22"/>
              </w:rPr>
              <w:t xml:space="preserve"> 地</w:t>
            </w:r>
          </w:p>
        </w:tc>
        <w:tc>
          <w:tcPr>
            <w:tcW w:w="1499" w:type="dxa"/>
            <w:vAlign w:val="center"/>
          </w:tcPr>
          <w:p w14:paraId="2CBEFFD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水库淹没</w:t>
            </w:r>
          </w:p>
        </w:tc>
        <w:tc>
          <w:tcPr>
            <w:tcW w:w="600" w:type="dxa"/>
            <w:vAlign w:val="center"/>
          </w:tcPr>
          <w:p w14:paraId="4459FFE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1ADED38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7BBA22A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68BDF97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242E0D9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3269C8C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42DBE16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0DD6A1A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30" w:type="dxa"/>
            <w:vAlign w:val="center"/>
          </w:tcPr>
          <w:p w14:paraId="7AC13B6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4609974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72CB9ED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457A43B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0E1EBA1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5EA231A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4304077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574A923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3628ABA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4" w:type="dxa"/>
            <w:vAlign w:val="center"/>
          </w:tcPr>
          <w:p w14:paraId="249FFC1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r>
      <w:tr w14:paraId="20A3B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1104" w:type="dxa"/>
            <w:vMerge w:val="continue"/>
            <w:tcBorders>
              <w:top w:val="nil"/>
            </w:tcBorders>
            <w:vAlign w:val="center"/>
          </w:tcPr>
          <w:p w14:paraId="43D95F6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2131967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3"/>
                <w:sz w:val="22"/>
                <w:szCs w:val="22"/>
              </w:rPr>
              <w:t>工程占地</w:t>
            </w:r>
          </w:p>
        </w:tc>
        <w:tc>
          <w:tcPr>
            <w:tcW w:w="600" w:type="dxa"/>
            <w:vAlign w:val="center"/>
          </w:tcPr>
          <w:p w14:paraId="1320F01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362E8B1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7B791E5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6086505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022F597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70" w:type="dxa"/>
            <w:vAlign w:val="center"/>
          </w:tcPr>
          <w:p w14:paraId="27E68EE1">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207C5F2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08F91847">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30" w:type="dxa"/>
            <w:vAlign w:val="center"/>
          </w:tcPr>
          <w:p w14:paraId="3114509D">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6144B61E">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3996033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270754B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69E7C85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1653929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74F8D76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401F8EC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15C2F15C">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4" w:type="dxa"/>
            <w:vAlign w:val="center"/>
          </w:tcPr>
          <w:p w14:paraId="32324947">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r>
      <w:tr w14:paraId="70DF0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04" w:type="dxa"/>
            <w:vMerge w:val="restart"/>
            <w:tcBorders>
              <w:bottom w:val="nil"/>
            </w:tcBorders>
            <w:vAlign w:val="center"/>
          </w:tcPr>
          <w:p w14:paraId="0D3E47E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28BE1CB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4"/>
                <w:sz w:val="22"/>
                <w:szCs w:val="22"/>
              </w:rPr>
              <w:t>运行期</w:t>
            </w:r>
          </w:p>
        </w:tc>
        <w:tc>
          <w:tcPr>
            <w:tcW w:w="1499" w:type="dxa"/>
            <w:vAlign w:val="center"/>
          </w:tcPr>
          <w:p w14:paraId="2266C52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水库蓄水</w:t>
            </w:r>
          </w:p>
        </w:tc>
        <w:tc>
          <w:tcPr>
            <w:tcW w:w="600" w:type="dxa"/>
            <w:vAlign w:val="center"/>
          </w:tcPr>
          <w:p w14:paraId="7111994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47448C4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6517EFC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130E2BF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516E9B5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5BC289F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435F77F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2894FF7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30" w:type="dxa"/>
            <w:vAlign w:val="center"/>
          </w:tcPr>
          <w:p w14:paraId="46A456B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2C7F28F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70C61C6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3F02AA6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0682E9E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5DA214C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3B5F439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2A447EB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5F0069D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4" w:type="dxa"/>
            <w:vAlign w:val="center"/>
          </w:tcPr>
          <w:p w14:paraId="21B62D0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7F205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1104" w:type="dxa"/>
            <w:vMerge w:val="continue"/>
            <w:tcBorders>
              <w:top w:val="nil"/>
              <w:bottom w:val="nil"/>
            </w:tcBorders>
            <w:vAlign w:val="center"/>
          </w:tcPr>
          <w:p w14:paraId="6547602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75D2009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水文情势变化</w:t>
            </w:r>
          </w:p>
        </w:tc>
        <w:tc>
          <w:tcPr>
            <w:tcW w:w="600" w:type="dxa"/>
            <w:vAlign w:val="center"/>
          </w:tcPr>
          <w:p w14:paraId="337719A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34621E2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655B58A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4DBB6E3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35ACFD3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499F8B2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1151EFB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889" w:type="dxa"/>
            <w:vAlign w:val="center"/>
          </w:tcPr>
          <w:p w14:paraId="5FB8EFF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30" w:type="dxa"/>
            <w:vAlign w:val="center"/>
          </w:tcPr>
          <w:p w14:paraId="51D50F0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082971B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89" w:type="dxa"/>
            <w:vAlign w:val="center"/>
          </w:tcPr>
          <w:p w14:paraId="070FF30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471539B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26FF83A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42B69BA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2733E39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4A2781A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666A277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4" w:type="dxa"/>
            <w:vAlign w:val="center"/>
          </w:tcPr>
          <w:p w14:paraId="1E26636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76E9F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04" w:type="dxa"/>
            <w:vMerge w:val="continue"/>
            <w:tcBorders>
              <w:top w:val="nil"/>
            </w:tcBorders>
            <w:vAlign w:val="center"/>
          </w:tcPr>
          <w:p w14:paraId="36B00AD1">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03D83ABC">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4"/>
                <w:sz w:val="22"/>
                <w:szCs w:val="22"/>
              </w:rPr>
              <w:t>大坝阻隔</w:t>
            </w:r>
          </w:p>
        </w:tc>
        <w:tc>
          <w:tcPr>
            <w:tcW w:w="600" w:type="dxa"/>
            <w:vAlign w:val="center"/>
          </w:tcPr>
          <w:p w14:paraId="11C066A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3B9224B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3B04722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2F662C1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2CBDF6A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70" w:type="dxa"/>
            <w:vAlign w:val="center"/>
          </w:tcPr>
          <w:p w14:paraId="2110CCE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505D3BA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1EFFD61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30" w:type="dxa"/>
            <w:vAlign w:val="center"/>
          </w:tcPr>
          <w:p w14:paraId="6D3D3CE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4DD04DA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89" w:type="dxa"/>
            <w:vAlign w:val="center"/>
          </w:tcPr>
          <w:p w14:paraId="5C8692D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4AE1DA0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32C9D81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638B5A0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4BF7492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778916B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7C02D64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4" w:type="dxa"/>
            <w:vAlign w:val="center"/>
          </w:tcPr>
          <w:p w14:paraId="36C3F5E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509B3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1104" w:type="dxa"/>
            <w:vAlign w:val="center"/>
          </w:tcPr>
          <w:p w14:paraId="00FBD19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移民安置</w:t>
            </w:r>
          </w:p>
        </w:tc>
        <w:tc>
          <w:tcPr>
            <w:tcW w:w="1499" w:type="dxa"/>
            <w:vAlign w:val="center"/>
          </w:tcPr>
          <w:p w14:paraId="2B8E990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4BCF196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3E1CD6F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4B06356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6F2C01E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1B23E51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3EB5010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0545F76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5C63989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30" w:type="dxa"/>
            <w:vAlign w:val="center"/>
          </w:tcPr>
          <w:p w14:paraId="7FC28DC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688798D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334DB56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5817834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3FD1B32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42EEB05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1FB40F5C">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06D2856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60" w:type="dxa"/>
            <w:vAlign w:val="center"/>
          </w:tcPr>
          <w:p w14:paraId="1E85672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4" w:type="dxa"/>
            <w:vAlign w:val="center"/>
          </w:tcPr>
          <w:p w14:paraId="685A071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r>
      <w:tr w14:paraId="5E341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1104" w:type="dxa"/>
            <w:vMerge w:val="restart"/>
            <w:tcBorders>
              <w:bottom w:val="nil"/>
            </w:tcBorders>
            <w:vAlign w:val="center"/>
          </w:tcPr>
          <w:p w14:paraId="1A570C7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1511EAF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723DA99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4"/>
                <w:sz w:val="22"/>
                <w:szCs w:val="22"/>
              </w:rPr>
              <w:t>影响范围</w:t>
            </w:r>
          </w:p>
        </w:tc>
        <w:tc>
          <w:tcPr>
            <w:tcW w:w="1499" w:type="dxa"/>
            <w:vAlign w:val="center"/>
          </w:tcPr>
          <w:p w14:paraId="1C1F72D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库区淹没</w:t>
            </w:r>
          </w:p>
        </w:tc>
        <w:tc>
          <w:tcPr>
            <w:tcW w:w="600" w:type="dxa"/>
            <w:vAlign w:val="center"/>
          </w:tcPr>
          <w:p w14:paraId="1B22DDF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1FDD71D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19FC928C">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5DD0F0B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620B76F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2EA1A7E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6B8ED70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257D891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30" w:type="dxa"/>
            <w:vAlign w:val="center"/>
          </w:tcPr>
          <w:p w14:paraId="3AA1000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14FD1BE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22222D2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0089148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69B6A70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005D013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10AC84C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120BD59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60" w:type="dxa"/>
            <w:vAlign w:val="center"/>
          </w:tcPr>
          <w:p w14:paraId="5C7FAB1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4" w:type="dxa"/>
            <w:vAlign w:val="center"/>
          </w:tcPr>
          <w:p w14:paraId="59C704E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r>
      <w:tr w14:paraId="642BB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04" w:type="dxa"/>
            <w:vMerge w:val="continue"/>
            <w:tcBorders>
              <w:top w:val="nil"/>
              <w:bottom w:val="nil"/>
            </w:tcBorders>
            <w:vAlign w:val="center"/>
          </w:tcPr>
          <w:p w14:paraId="2BAF680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3FA5189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3"/>
                <w:sz w:val="22"/>
                <w:szCs w:val="22"/>
              </w:rPr>
              <w:t>坝下影响区</w:t>
            </w:r>
          </w:p>
        </w:tc>
        <w:tc>
          <w:tcPr>
            <w:tcW w:w="600" w:type="dxa"/>
            <w:vAlign w:val="center"/>
          </w:tcPr>
          <w:p w14:paraId="5F614F0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297C464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33628E3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5F15147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440CF40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0BFE6F4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61CDAD4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44BF9BD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30" w:type="dxa"/>
            <w:vAlign w:val="center"/>
          </w:tcPr>
          <w:p w14:paraId="662D440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060DB43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3C017B2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270F534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7E9BDCD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62BEB5B1">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4A1845D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4A96EAC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50D9D8A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4" w:type="dxa"/>
            <w:vAlign w:val="center"/>
          </w:tcPr>
          <w:p w14:paraId="100B782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43C1E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104" w:type="dxa"/>
            <w:vMerge w:val="continue"/>
            <w:tcBorders>
              <w:top w:val="nil"/>
              <w:bottom w:val="nil"/>
            </w:tcBorders>
            <w:vAlign w:val="center"/>
          </w:tcPr>
          <w:p w14:paraId="725B98E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7AFA11C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供水工程</w:t>
            </w:r>
          </w:p>
        </w:tc>
        <w:tc>
          <w:tcPr>
            <w:tcW w:w="600" w:type="dxa"/>
            <w:vAlign w:val="center"/>
          </w:tcPr>
          <w:p w14:paraId="6749E16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00" w:type="dxa"/>
            <w:vAlign w:val="center"/>
          </w:tcPr>
          <w:p w14:paraId="4DE49C0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166C6DC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0898C64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4F96C9D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376B48B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89" w:type="dxa"/>
            <w:vAlign w:val="center"/>
          </w:tcPr>
          <w:p w14:paraId="5271AF67">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889" w:type="dxa"/>
            <w:vAlign w:val="center"/>
          </w:tcPr>
          <w:p w14:paraId="03A4477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30" w:type="dxa"/>
            <w:vAlign w:val="center"/>
          </w:tcPr>
          <w:p w14:paraId="4497D69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7F1FB84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63C5518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45D1C4A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396B5D4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38D0BBD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05D6834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357DD98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4140BD9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4" w:type="dxa"/>
            <w:vAlign w:val="center"/>
          </w:tcPr>
          <w:p w14:paraId="075717B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3791F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1104" w:type="dxa"/>
            <w:vMerge w:val="continue"/>
            <w:tcBorders>
              <w:top w:val="nil"/>
              <w:bottom w:val="nil"/>
            </w:tcBorders>
            <w:vAlign w:val="center"/>
          </w:tcPr>
          <w:p w14:paraId="4A441A8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2B9CAB8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移民安置</w:t>
            </w:r>
          </w:p>
        </w:tc>
        <w:tc>
          <w:tcPr>
            <w:tcW w:w="600" w:type="dxa"/>
            <w:vAlign w:val="center"/>
          </w:tcPr>
          <w:p w14:paraId="1435043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4B4474D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47A6B501">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63B0561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394F51D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425923B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0714DC3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1406597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30" w:type="dxa"/>
            <w:vAlign w:val="center"/>
          </w:tcPr>
          <w:p w14:paraId="7FB0D49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1DA33F9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89" w:type="dxa"/>
            <w:vAlign w:val="center"/>
          </w:tcPr>
          <w:p w14:paraId="1E081B4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6375483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097236A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0" w:type="dxa"/>
            <w:vAlign w:val="center"/>
          </w:tcPr>
          <w:p w14:paraId="539BC42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9" w:type="dxa"/>
            <w:vAlign w:val="center"/>
          </w:tcPr>
          <w:p w14:paraId="7F202D1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67826DF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14AEF4A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4" w:type="dxa"/>
            <w:vAlign w:val="center"/>
          </w:tcPr>
          <w:p w14:paraId="190991C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r w14:paraId="72AE7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1104" w:type="dxa"/>
            <w:vMerge w:val="continue"/>
            <w:tcBorders>
              <w:top w:val="nil"/>
            </w:tcBorders>
            <w:vAlign w:val="center"/>
          </w:tcPr>
          <w:p w14:paraId="650C59E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1499" w:type="dxa"/>
            <w:vAlign w:val="center"/>
          </w:tcPr>
          <w:p w14:paraId="0D04F49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施工区</w:t>
            </w:r>
          </w:p>
        </w:tc>
        <w:tc>
          <w:tcPr>
            <w:tcW w:w="600" w:type="dxa"/>
            <w:vAlign w:val="center"/>
          </w:tcPr>
          <w:p w14:paraId="634D7D5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371F69D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2829CB7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722F41A6">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00" w:type="dxa"/>
            <w:vAlign w:val="center"/>
          </w:tcPr>
          <w:p w14:paraId="0D38C39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570" w:type="dxa"/>
            <w:vAlign w:val="center"/>
          </w:tcPr>
          <w:p w14:paraId="5C7FE7C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589" w:type="dxa"/>
            <w:vAlign w:val="center"/>
          </w:tcPr>
          <w:p w14:paraId="7B057B6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889" w:type="dxa"/>
            <w:vAlign w:val="center"/>
          </w:tcPr>
          <w:p w14:paraId="475AFE6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30" w:type="dxa"/>
            <w:vAlign w:val="center"/>
          </w:tcPr>
          <w:p w14:paraId="2D3BF01C">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7D521F5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89" w:type="dxa"/>
            <w:vAlign w:val="center"/>
          </w:tcPr>
          <w:p w14:paraId="270E36B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49" w:type="dxa"/>
            <w:vAlign w:val="center"/>
          </w:tcPr>
          <w:p w14:paraId="35F8334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68474B5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0" w:type="dxa"/>
            <w:vAlign w:val="center"/>
          </w:tcPr>
          <w:p w14:paraId="7983EB7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59" w:type="dxa"/>
            <w:vAlign w:val="center"/>
          </w:tcPr>
          <w:p w14:paraId="62E16A7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w:t>
            </w:r>
          </w:p>
        </w:tc>
        <w:tc>
          <w:tcPr>
            <w:tcW w:w="649" w:type="dxa"/>
            <w:vAlign w:val="center"/>
          </w:tcPr>
          <w:p w14:paraId="1432AE2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60" w:type="dxa"/>
            <w:vAlign w:val="center"/>
          </w:tcPr>
          <w:p w14:paraId="615994B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c>
          <w:tcPr>
            <w:tcW w:w="654" w:type="dxa"/>
            <w:vAlign w:val="center"/>
          </w:tcPr>
          <w:p w14:paraId="2F6811E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tc>
      </w:tr>
    </w:tbl>
    <w:p w14:paraId="1FE6FE5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val="en-US" w:eastAsia="zh-CN"/>
        </w:rPr>
      </w:pPr>
      <w:r>
        <w:rPr>
          <w:rFonts w:hint="eastAsia"/>
          <w:sz w:val="22"/>
          <w:szCs w:val="22"/>
          <w:lang w:val="en-US" w:eastAsia="zh-CN"/>
        </w:rPr>
        <w:t>注：△表示影响较小，◎表示影响中等，▲表示影响大</w:t>
      </w:r>
    </w:p>
    <w:p w14:paraId="58D0B39D">
      <w:pPr>
        <w:rPr>
          <w:rFonts w:hint="eastAsia"/>
          <w:lang w:val="en-US" w:eastAsia="zh-CN"/>
        </w:rPr>
        <w:sectPr>
          <w:pgSz w:w="15840" w:h="12240" w:orient="landscape"/>
          <w:pgMar w:top="1701" w:right="1440" w:bottom="1701" w:left="1276" w:header="1077" w:footer="1134" w:gutter="0"/>
          <w:pgBorders>
            <w:top w:val="none" w:sz="0" w:space="0"/>
            <w:left w:val="none" w:sz="0" w:space="0"/>
            <w:bottom w:val="none" w:sz="0" w:space="0"/>
            <w:right w:val="none" w:sz="0" w:space="0"/>
          </w:pgBorders>
          <w:pgNumType w:fmt="decimal"/>
          <w:cols w:space="720" w:num="1"/>
        </w:sectPr>
      </w:pPr>
    </w:p>
    <w:p w14:paraId="17B62CBE">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kern w:val="0"/>
          <w:sz w:val="26"/>
          <w:szCs w:val="26"/>
          <w:lang w:val="en-US" w:eastAsia="zh-CN" w:bidi="ar-SA"/>
        </w:rPr>
        <w:t>从表1.4-3可知，本项目在施工期间主要不利影响表现在对环境空气、环境噪声、生态环境的影响；运营期间主要不利影响表现在对水文情势和水生生态影响。</w:t>
      </w:r>
    </w:p>
    <w:p w14:paraId="62F98E3E">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4</w:t>
      </w:r>
      <w:r>
        <w:rPr>
          <w:rFonts w:hint="eastAsia" w:ascii="Arial" w:hAnsi="Arial" w:eastAsia="宋体" w:cs="Arial"/>
          <w:b/>
          <w:color w:val="auto"/>
          <w:kern w:val="0"/>
          <w:sz w:val="26"/>
          <w:szCs w:val="20"/>
          <w:highlight w:val="none"/>
          <w:lang w:val="en-US" w:eastAsia="zh-CN"/>
        </w:rPr>
        <w:t>.</w:t>
      </w:r>
      <w:r>
        <w:rPr>
          <w:rFonts w:hint="eastAsia" w:ascii="Arial" w:hAnsi="Arial" w:cs="Arial"/>
          <w:b/>
          <w:color w:val="auto"/>
          <w:kern w:val="0"/>
          <w:sz w:val="26"/>
          <w:szCs w:val="20"/>
          <w:highlight w:val="none"/>
          <w:lang w:val="en-US" w:eastAsia="zh-CN"/>
        </w:rPr>
        <w:t>4环境影响要素及影响因子筛选</w:t>
      </w:r>
    </w:p>
    <w:bookmarkEnd w:id="47"/>
    <w:bookmarkEnd w:id="48"/>
    <w:bookmarkEnd w:id="49"/>
    <w:bookmarkEnd w:id="50"/>
    <w:p w14:paraId="1F13362A">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kern w:val="0"/>
          <w:sz w:val="26"/>
          <w:szCs w:val="26"/>
          <w:lang w:val="en-US" w:eastAsia="zh-CN" w:bidi="ar-SA"/>
        </w:rPr>
        <w:t>根据当地环境特征及前文识别结果，确定拟建项目环境评价因子如下：</w:t>
      </w:r>
    </w:p>
    <w:p w14:paraId="362F9658">
      <w:pPr>
        <w:pStyle w:val="2082"/>
        <w:keepNext w:val="0"/>
        <w:keepLines w:val="0"/>
        <w:pageBreakBefore w:val="0"/>
        <w:widowControl w:val="0"/>
        <w:kinsoku/>
        <w:wordWrap/>
        <w:overflowPunct/>
        <w:topLinePunct w:val="0"/>
        <w:autoSpaceDE/>
        <w:autoSpaceDN/>
        <w:bidi w:val="0"/>
        <w:adjustRightInd w:val="0"/>
        <w:snapToGrid w:val="0"/>
        <w:spacing w:line="480" w:lineRule="exact"/>
        <w:ind w:firstLine="392" w:firstLineChars="150"/>
        <w:textAlignment w:val="auto"/>
        <w:rPr>
          <w:rFonts w:hint="default"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（1）现状评价因子</w:t>
      </w:r>
    </w:p>
    <w:p w14:paraId="73A4F306">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default" w:ascii="Arial" w:hAnsi="Arial" w:eastAsia="宋体" w:cs="Arial"/>
          <w:color w:val="auto"/>
          <w:kern w:val="0"/>
          <w:sz w:val="26"/>
          <w:szCs w:val="26"/>
          <w:lang w:val="en-US" w:eastAsia="zh-CN" w:bidi="ar-SA"/>
        </w:rPr>
      </w:pPr>
      <w:r>
        <w:rPr>
          <w:rFonts w:hint="eastAsia" w:ascii="Arial" w:hAnsi="Arial" w:eastAsia="宋体" w:cs="Arial"/>
          <w:b/>
          <w:bCs/>
          <w:color w:val="auto"/>
          <w:kern w:val="0"/>
          <w:sz w:val="26"/>
          <w:szCs w:val="26"/>
          <w:lang w:val="en-US" w:eastAsia="zh-CN" w:bidi="ar-SA"/>
        </w:rPr>
        <w:t>大气环境：</w:t>
      </w:r>
      <w:r>
        <w:rPr>
          <w:rFonts w:hint="eastAsia" w:ascii="Arial" w:hAnsi="Arial" w:eastAsia="宋体" w:cs="Arial"/>
          <w:color w:val="auto"/>
          <w:kern w:val="0"/>
          <w:sz w:val="26"/>
          <w:szCs w:val="26"/>
          <w:lang w:val="en-US" w:eastAsia="zh-CN" w:bidi="ar-SA"/>
        </w:rPr>
        <w:t>SO</w:t>
      </w:r>
      <w:r>
        <w:rPr>
          <w:rFonts w:hint="eastAsia" w:ascii="Arial" w:hAnsi="Arial" w:eastAsia="宋体" w:cs="Arial"/>
          <w:color w:val="auto"/>
          <w:kern w:val="0"/>
          <w:sz w:val="26"/>
          <w:szCs w:val="26"/>
          <w:vertAlign w:val="subscript"/>
          <w:lang w:val="en-US" w:eastAsia="zh-CN" w:bidi="ar-SA"/>
        </w:rPr>
        <w:t>2</w:t>
      </w:r>
      <w:r>
        <w:rPr>
          <w:rFonts w:hint="eastAsia" w:ascii="Arial" w:hAnsi="Arial" w:eastAsia="宋体" w:cs="Arial"/>
          <w:color w:val="auto"/>
          <w:kern w:val="0"/>
          <w:sz w:val="26"/>
          <w:szCs w:val="26"/>
          <w:lang w:val="en-US" w:eastAsia="zh-CN" w:bidi="ar-SA"/>
        </w:rPr>
        <w:t>、PM</w:t>
      </w:r>
      <w:r>
        <w:rPr>
          <w:rFonts w:hint="eastAsia" w:ascii="Arial" w:hAnsi="Arial" w:eastAsia="宋体" w:cs="Arial"/>
          <w:color w:val="auto"/>
          <w:kern w:val="0"/>
          <w:sz w:val="26"/>
          <w:szCs w:val="26"/>
          <w:vertAlign w:val="subscript"/>
          <w:lang w:val="en-US" w:eastAsia="zh-CN" w:bidi="ar-SA"/>
        </w:rPr>
        <w:t>10</w:t>
      </w:r>
      <w:r>
        <w:rPr>
          <w:rFonts w:hint="eastAsia" w:ascii="Arial" w:hAnsi="Arial" w:eastAsia="宋体" w:cs="Arial"/>
          <w:color w:val="auto"/>
          <w:kern w:val="0"/>
          <w:sz w:val="26"/>
          <w:szCs w:val="26"/>
          <w:lang w:val="en-US" w:eastAsia="zh-CN" w:bidi="ar-SA"/>
        </w:rPr>
        <w:t>、PM</w:t>
      </w:r>
      <w:r>
        <w:rPr>
          <w:rFonts w:hint="eastAsia" w:ascii="Arial" w:hAnsi="Arial" w:eastAsia="宋体" w:cs="Arial"/>
          <w:color w:val="auto"/>
          <w:kern w:val="0"/>
          <w:sz w:val="26"/>
          <w:szCs w:val="26"/>
          <w:vertAlign w:val="subscript"/>
          <w:lang w:val="en-US" w:eastAsia="zh-CN" w:bidi="ar-SA"/>
        </w:rPr>
        <w:t>2.5</w:t>
      </w:r>
      <w:r>
        <w:rPr>
          <w:rFonts w:hint="eastAsia" w:ascii="Arial" w:hAnsi="Arial" w:eastAsia="宋体" w:cs="Arial"/>
          <w:color w:val="auto"/>
          <w:kern w:val="0"/>
          <w:sz w:val="26"/>
          <w:szCs w:val="26"/>
          <w:lang w:val="en-US" w:eastAsia="zh-CN" w:bidi="ar-SA"/>
        </w:rPr>
        <w:t>、CO、O</w:t>
      </w:r>
      <w:r>
        <w:rPr>
          <w:rFonts w:hint="eastAsia" w:ascii="Arial" w:hAnsi="Arial" w:eastAsia="宋体" w:cs="Arial"/>
          <w:color w:val="auto"/>
          <w:kern w:val="0"/>
          <w:sz w:val="26"/>
          <w:szCs w:val="26"/>
          <w:vertAlign w:val="subscript"/>
          <w:lang w:val="en-US" w:eastAsia="zh-CN" w:bidi="ar-SA"/>
        </w:rPr>
        <w:t>3</w:t>
      </w:r>
      <w:r>
        <w:rPr>
          <w:rFonts w:hint="eastAsia" w:ascii="Arial" w:hAnsi="Arial" w:eastAsia="宋体" w:cs="Arial"/>
          <w:color w:val="auto"/>
          <w:kern w:val="0"/>
          <w:sz w:val="26"/>
          <w:szCs w:val="26"/>
          <w:lang w:val="en-US" w:eastAsia="zh-CN" w:bidi="ar-SA"/>
        </w:rPr>
        <w:t>、NO</w:t>
      </w:r>
      <w:r>
        <w:rPr>
          <w:rFonts w:hint="eastAsia" w:ascii="Arial" w:hAnsi="Arial" w:eastAsia="宋体" w:cs="Arial"/>
          <w:color w:val="auto"/>
          <w:kern w:val="0"/>
          <w:sz w:val="26"/>
          <w:szCs w:val="26"/>
          <w:vertAlign w:val="subscript"/>
          <w:lang w:val="en-US" w:eastAsia="zh-CN" w:bidi="ar-SA"/>
        </w:rPr>
        <w:t>2</w:t>
      </w:r>
      <w:r>
        <w:rPr>
          <w:rFonts w:hint="eastAsia" w:ascii="Arial" w:hAnsi="Arial" w:eastAsia="宋体" w:cs="Arial"/>
          <w:color w:val="auto"/>
          <w:kern w:val="0"/>
          <w:sz w:val="26"/>
          <w:szCs w:val="26"/>
          <w:lang w:val="en-US" w:eastAsia="zh-CN" w:bidi="ar-SA"/>
        </w:rPr>
        <w:t>；</w:t>
      </w:r>
    </w:p>
    <w:p w14:paraId="75CF448F">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color w:val="auto"/>
          <w:kern w:val="0"/>
          <w:sz w:val="26"/>
          <w:szCs w:val="26"/>
          <w:lang w:val="en-US" w:eastAsia="zh-CN" w:bidi="ar-SA"/>
        </w:rPr>
      </w:pPr>
      <w:r>
        <w:rPr>
          <w:rFonts w:hint="eastAsia" w:ascii="Arial" w:hAnsi="Arial" w:eastAsia="宋体" w:cs="Arial"/>
          <w:b/>
          <w:bCs/>
          <w:color w:val="auto"/>
          <w:kern w:val="0"/>
          <w:sz w:val="26"/>
          <w:szCs w:val="26"/>
          <w:lang w:val="en-US" w:eastAsia="zh-CN" w:bidi="ar-SA"/>
        </w:rPr>
        <w:t>声环境：</w:t>
      </w:r>
      <w:r>
        <w:rPr>
          <w:rFonts w:hint="eastAsia" w:ascii="Arial" w:hAnsi="Arial" w:eastAsia="宋体" w:cs="Arial"/>
          <w:color w:val="auto"/>
          <w:kern w:val="0"/>
          <w:sz w:val="26"/>
          <w:szCs w:val="26"/>
          <w:lang w:val="en-US" w:eastAsia="zh-CN" w:bidi="ar-SA"/>
        </w:rPr>
        <w:t>等效连续A声级；</w:t>
      </w:r>
    </w:p>
    <w:p w14:paraId="06D36526">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default" w:ascii="Arial" w:hAnsi="Arial" w:eastAsia="宋体" w:cs="Arial"/>
          <w:kern w:val="0"/>
          <w:sz w:val="26"/>
          <w:szCs w:val="26"/>
          <w:lang w:val="en-US" w:eastAsia="zh-CN" w:bidi="ar-SA"/>
        </w:rPr>
      </w:pPr>
      <w:r>
        <w:rPr>
          <w:rFonts w:hint="default" w:ascii="Arial" w:hAnsi="Arial" w:eastAsia="宋体" w:cs="Arial"/>
          <w:b/>
          <w:bCs/>
          <w:kern w:val="0"/>
          <w:sz w:val="26"/>
          <w:szCs w:val="26"/>
          <w:lang w:val="en-US" w:eastAsia="zh-CN" w:bidi="ar-SA"/>
        </w:rPr>
        <w:t>地表水：</w:t>
      </w:r>
      <w:r>
        <w:rPr>
          <w:rFonts w:hint="default" w:ascii="Arial" w:hAnsi="Arial" w:eastAsia="宋体" w:cs="Arial"/>
          <w:color w:val="auto"/>
          <w:sz w:val="26"/>
          <w:szCs w:val="26"/>
          <w:lang w:val="en-US" w:eastAsia="zh-CN"/>
        </w:rPr>
        <w:t>流量、流速、pH、水温、DO、高锰酸盐指数、COD、BOD</w:t>
      </w:r>
      <w:r>
        <w:rPr>
          <w:rFonts w:hint="default" w:ascii="Arial" w:hAnsi="Arial" w:eastAsia="宋体" w:cs="Arial"/>
          <w:color w:val="auto"/>
          <w:sz w:val="26"/>
          <w:szCs w:val="26"/>
          <w:vertAlign w:val="subscript"/>
          <w:lang w:val="en-US" w:eastAsia="zh-CN"/>
        </w:rPr>
        <w:t>5</w:t>
      </w:r>
      <w:r>
        <w:rPr>
          <w:rFonts w:hint="default" w:ascii="Arial" w:hAnsi="Arial" w:eastAsia="宋体" w:cs="Arial"/>
          <w:color w:val="auto"/>
          <w:sz w:val="26"/>
          <w:szCs w:val="26"/>
          <w:lang w:val="en-US" w:eastAsia="zh-CN"/>
        </w:rPr>
        <w:t>、</w:t>
      </w:r>
      <w:r>
        <w:rPr>
          <w:rFonts w:hint="default" w:ascii="Arial" w:hAnsi="Arial" w:eastAsia="宋体" w:cs="Arial"/>
          <w:color w:val="auto"/>
          <w:sz w:val="26"/>
          <w:szCs w:val="26"/>
        </w:rPr>
        <w:t>NH</w:t>
      </w:r>
      <w:r>
        <w:rPr>
          <w:rFonts w:hint="default" w:ascii="Arial" w:hAnsi="Arial" w:eastAsia="宋体" w:cs="Arial"/>
          <w:color w:val="auto"/>
          <w:sz w:val="26"/>
          <w:szCs w:val="26"/>
          <w:vertAlign w:val="subscript"/>
        </w:rPr>
        <w:t>3</w:t>
      </w:r>
      <w:r>
        <w:rPr>
          <w:rFonts w:hint="default" w:ascii="Arial" w:hAnsi="Arial" w:eastAsia="宋体" w:cs="Arial"/>
          <w:color w:val="auto"/>
          <w:sz w:val="26"/>
          <w:szCs w:val="26"/>
        </w:rPr>
        <w:t>-N</w:t>
      </w:r>
      <w:r>
        <w:rPr>
          <w:rFonts w:hint="default" w:ascii="Arial" w:hAnsi="Arial" w:eastAsia="宋体" w:cs="Arial"/>
          <w:color w:val="auto"/>
          <w:sz w:val="26"/>
          <w:szCs w:val="26"/>
          <w:lang w:val="en-US" w:eastAsia="zh-CN"/>
        </w:rPr>
        <w:t>、总氮、总磷、铜、锌、氟化物、硒、砷、汞、镉、六价铬、铅、氰化物、挥发酚、石油类、LAS、硫化物、粪大肠菌群、硫酸盐、氯化物、硝酸盐、铁、锰、叶绿素a、透明度</w:t>
      </w:r>
      <w:r>
        <w:rPr>
          <w:rFonts w:hint="eastAsia" w:ascii="Arial" w:hAnsi="Arial" w:eastAsia="宋体" w:cs="Arial"/>
          <w:color w:val="auto"/>
          <w:sz w:val="26"/>
          <w:szCs w:val="26"/>
          <w:lang w:val="en-US" w:eastAsia="zh-CN"/>
        </w:rPr>
        <w:t>；</w:t>
      </w:r>
    </w:p>
    <w:p w14:paraId="661FCB62">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地下水：</w:t>
      </w:r>
      <w:r>
        <w:rPr>
          <w:rFonts w:hint="eastAsia" w:ascii="Arial" w:hAnsi="Arial" w:eastAsia="宋体" w:cs="Arial"/>
          <w:kern w:val="0"/>
          <w:sz w:val="26"/>
          <w:szCs w:val="26"/>
          <w:lang w:val="en-US" w:eastAsia="zh-CN" w:bidi="ar-SA"/>
        </w:rPr>
        <w:t>水位、pH、溶解性总固体、耗氧量、氨氮、硝酸盐、亚硝酸盐、挥发性酚类、氰化物、氟化物、砷、汞、六价铬、总硬度、铅、镉、铁、锰、硫酸盐、总大肠菌群、细菌总数、氯</w:t>
      </w:r>
      <w:r>
        <w:rPr>
          <w:rFonts w:hint="default" w:ascii="Arial" w:hAnsi="Arial" w:eastAsia="宋体" w:cs="Arial"/>
          <w:kern w:val="0"/>
          <w:sz w:val="26"/>
          <w:szCs w:val="26"/>
          <w:lang w:val="en-US" w:eastAsia="zh-CN" w:bidi="ar-SA"/>
        </w:rPr>
        <w:t>化物、石油类、COD、</w:t>
      </w:r>
      <w:r>
        <w:rPr>
          <w:rFonts w:hint="default" w:ascii="Arial" w:hAnsi="Arial" w:cs="Arial"/>
          <w:bCs/>
          <w:snapToGrid w:val="0"/>
          <w:color w:val="auto"/>
          <w:kern w:val="0"/>
          <w:sz w:val="26"/>
          <w:szCs w:val="26"/>
          <w:highlight w:val="none"/>
        </w:rPr>
        <w:t>K</w:t>
      </w:r>
      <w:r>
        <w:rPr>
          <w:rFonts w:hint="default" w:ascii="Arial" w:hAnsi="Arial" w:cs="Arial"/>
          <w:bCs/>
          <w:snapToGrid w:val="0"/>
          <w:color w:val="auto"/>
          <w:kern w:val="0"/>
          <w:sz w:val="26"/>
          <w:szCs w:val="26"/>
          <w:highlight w:val="none"/>
          <w:vertAlign w:val="superscript"/>
        </w:rPr>
        <w:t>+</w:t>
      </w:r>
      <w:r>
        <w:rPr>
          <w:rFonts w:hint="default" w:ascii="Arial" w:hAnsi="Arial" w:cs="Arial"/>
          <w:bCs/>
          <w:snapToGrid w:val="0"/>
          <w:color w:val="auto"/>
          <w:kern w:val="0"/>
          <w:sz w:val="26"/>
          <w:szCs w:val="26"/>
          <w:highlight w:val="none"/>
        </w:rPr>
        <w:t>、Na</w:t>
      </w:r>
      <w:r>
        <w:rPr>
          <w:rFonts w:hint="default" w:ascii="Arial" w:hAnsi="Arial" w:cs="Arial"/>
          <w:bCs/>
          <w:snapToGrid w:val="0"/>
          <w:color w:val="auto"/>
          <w:kern w:val="0"/>
          <w:sz w:val="26"/>
          <w:szCs w:val="26"/>
          <w:highlight w:val="none"/>
          <w:vertAlign w:val="superscript"/>
        </w:rPr>
        <w:t>+</w:t>
      </w:r>
      <w:r>
        <w:rPr>
          <w:rFonts w:hint="default" w:ascii="Arial" w:hAnsi="Arial" w:cs="Arial"/>
          <w:bCs/>
          <w:snapToGrid w:val="0"/>
          <w:color w:val="auto"/>
          <w:kern w:val="0"/>
          <w:sz w:val="26"/>
          <w:szCs w:val="26"/>
          <w:highlight w:val="none"/>
        </w:rPr>
        <w:t>、Ca</w:t>
      </w:r>
      <w:r>
        <w:rPr>
          <w:rFonts w:hint="default" w:ascii="Arial" w:hAnsi="Arial" w:cs="Arial"/>
          <w:bCs/>
          <w:snapToGrid w:val="0"/>
          <w:color w:val="auto"/>
          <w:kern w:val="0"/>
          <w:sz w:val="26"/>
          <w:szCs w:val="26"/>
          <w:highlight w:val="none"/>
          <w:vertAlign w:val="superscript"/>
        </w:rPr>
        <w:t>2+</w:t>
      </w:r>
      <w:r>
        <w:rPr>
          <w:rFonts w:hint="default" w:ascii="Arial" w:hAnsi="Arial" w:cs="Arial"/>
          <w:bCs/>
          <w:snapToGrid w:val="0"/>
          <w:color w:val="auto"/>
          <w:kern w:val="0"/>
          <w:sz w:val="26"/>
          <w:szCs w:val="26"/>
          <w:highlight w:val="none"/>
        </w:rPr>
        <w:t>、Mg</w:t>
      </w:r>
      <w:r>
        <w:rPr>
          <w:rFonts w:hint="default" w:ascii="Arial" w:hAnsi="Arial" w:cs="Arial"/>
          <w:bCs/>
          <w:snapToGrid w:val="0"/>
          <w:color w:val="auto"/>
          <w:kern w:val="0"/>
          <w:sz w:val="26"/>
          <w:szCs w:val="26"/>
          <w:highlight w:val="none"/>
          <w:vertAlign w:val="superscript"/>
        </w:rPr>
        <w:t>2+</w:t>
      </w:r>
      <w:r>
        <w:rPr>
          <w:rFonts w:hint="default" w:ascii="Arial" w:hAnsi="Arial" w:cs="Arial"/>
          <w:snapToGrid w:val="0"/>
          <w:color w:val="auto"/>
          <w:kern w:val="0"/>
          <w:sz w:val="26"/>
          <w:szCs w:val="26"/>
          <w:highlight w:val="none"/>
        </w:rPr>
        <w:t>、Cl-、SO</w:t>
      </w:r>
      <w:r>
        <w:rPr>
          <w:rFonts w:hint="default" w:ascii="Arial" w:hAnsi="Arial" w:cs="Arial"/>
          <w:snapToGrid w:val="0"/>
          <w:color w:val="auto"/>
          <w:kern w:val="0"/>
          <w:sz w:val="26"/>
          <w:szCs w:val="26"/>
          <w:highlight w:val="none"/>
          <w:vertAlign w:val="subscript"/>
        </w:rPr>
        <w:t>4</w:t>
      </w:r>
      <w:r>
        <w:rPr>
          <w:rFonts w:hint="default" w:ascii="Arial" w:hAnsi="Arial" w:cs="Arial"/>
          <w:snapToGrid w:val="0"/>
          <w:color w:val="auto"/>
          <w:kern w:val="0"/>
          <w:sz w:val="26"/>
          <w:szCs w:val="26"/>
          <w:highlight w:val="none"/>
          <w:vertAlign w:val="superscript"/>
        </w:rPr>
        <w:t>2-</w:t>
      </w:r>
      <w:r>
        <w:rPr>
          <w:rFonts w:hint="default" w:ascii="Arial" w:hAnsi="Arial" w:cs="Arial"/>
          <w:snapToGrid w:val="0"/>
          <w:color w:val="auto"/>
          <w:kern w:val="0"/>
          <w:sz w:val="26"/>
          <w:szCs w:val="26"/>
          <w:highlight w:val="none"/>
          <w:lang w:bidi="ar"/>
        </w:rPr>
        <w:t>、</w:t>
      </w:r>
      <w:r>
        <w:rPr>
          <w:rFonts w:hint="default" w:ascii="Arial" w:hAnsi="Arial" w:cs="Arial"/>
          <w:snapToGrid w:val="0"/>
          <w:color w:val="auto"/>
          <w:kern w:val="0"/>
          <w:sz w:val="26"/>
          <w:szCs w:val="26"/>
          <w:highlight w:val="none"/>
        </w:rPr>
        <w:t>CO</w:t>
      </w:r>
      <w:r>
        <w:rPr>
          <w:rFonts w:hint="default" w:ascii="Arial" w:hAnsi="Arial" w:cs="Arial"/>
          <w:snapToGrid w:val="0"/>
          <w:color w:val="auto"/>
          <w:kern w:val="0"/>
          <w:sz w:val="26"/>
          <w:szCs w:val="26"/>
          <w:highlight w:val="none"/>
          <w:vertAlign w:val="subscript"/>
        </w:rPr>
        <w:t>3</w:t>
      </w:r>
      <w:r>
        <w:rPr>
          <w:rFonts w:hint="default" w:ascii="Arial" w:hAnsi="Arial" w:cs="Arial"/>
          <w:snapToGrid w:val="0"/>
          <w:color w:val="auto"/>
          <w:kern w:val="0"/>
          <w:sz w:val="26"/>
          <w:szCs w:val="26"/>
          <w:highlight w:val="none"/>
          <w:vertAlign w:val="superscript"/>
        </w:rPr>
        <w:t>2-</w:t>
      </w:r>
      <w:r>
        <w:rPr>
          <w:rFonts w:hint="default" w:ascii="Arial" w:hAnsi="Arial" w:cs="Arial"/>
          <w:snapToGrid w:val="0"/>
          <w:color w:val="auto"/>
          <w:kern w:val="0"/>
          <w:sz w:val="26"/>
          <w:szCs w:val="26"/>
          <w:highlight w:val="none"/>
        </w:rPr>
        <w:t>、HCO</w:t>
      </w:r>
      <w:r>
        <w:rPr>
          <w:rFonts w:hint="default" w:ascii="Arial" w:hAnsi="Arial" w:cs="Arial"/>
          <w:snapToGrid w:val="0"/>
          <w:color w:val="auto"/>
          <w:kern w:val="0"/>
          <w:sz w:val="26"/>
          <w:szCs w:val="26"/>
          <w:highlight w:val="none"/>
          <w:vertAlign w:val="subscript"/>
        </w:rPr>
        <w:t>3</w:t>
      </w:r>
      <w:r>
        <w:rPr>
          <w:rFonts w:hint="default" w:ascii="Arial" w:hAnsi="Arial" w:cs="Arial"/>
          <w:snapToGrid w:val="0"/>
          <w:color w:val="auto"/>
          <w:kern w:val="0"/>
          <w:sz w:val="26"/>
          <w:szCs w:val="26"/>
          <w:highlight w:val="none"/>
          <w:vertAlign w:val="superscript"/>
        </w:rPr>
        <w:t>-</w:t>
      </w:r>
      <w:r>
        <w:rPr>
          <w:rFonts w:hint="default" w:ascii="Arial" w:hAnsi="Arial" w:eastAsia="宋体" w:cs="Arial"/>
          <w:kern w:val="0"/>
          <w:sz w:val="26"/>
          <w:szCs w:val="26"/>
          <w:lang w:val="en-US" w:eastAsia="zh-CN" w:bidi="ar-SA"/>
        </w:rPr>
        <w:t>；</w:t>
      </w:r>
    </w:p>
    <w:p w14:paraId="4AFE98F2">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土壤环境</w:t>
      </w:r>
      <w:r>
        <w:rPr>
          <w:rFonts w:hint="eastAsia" w:ascii="Arial" w:hAnsi="Arial" w:eastAsia="宋体" w:cs="Arial"/>
          <w:kern w:val="0"/>
          <w:sz w:val="26"/>
          <w:szCs w:val="26"/>
          <w:lang w:val="en-US" w:eastAsia="zh-CN" w:bidi="ar-SA"/>
        </w:rPr>
        <w:t>：pH、含盐量、镉、汞、砷、铅、铬、铜、镍、锌；</w:t>
      </w:r>
    </w:p>
    <w:p w14:paraId="4FB8F3B7">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底泥：</w:t>
      </w:r>
      <w:r>
        <w:rPr>
          <w:rFonts w:hint="eastAsia" w:ascii="Arial" w:hAnsi="Arial" w:eastAsia="宋体" w:cs="Arial"/>
          <w:kern w:val="0"/>
          <w:sz w:val="26"/>
          <w:szCs w:val="26"/>
          <w:lang w:val="en-US" w:eastAsia="zh-CN" w:bidi="ar-SA"/>
        </w:rPr>
        <w:t>pH、含盐量、砷、镉、铬、汞、铅、铜、镍、锌；</w:t>
      </w:r>
    </w:p>
    <w:p w14:paraId="6175C83B">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生态环境：</w:t>
      </w:r>
      <w:r>
        <w:rPr>
          <w:rFonts w:hint="eastAsia" w:ascii="Arial" w:hAnsi="Arial" w:eastAsia="宋体" w:cs="Arial"/>
          <w:kern w:val="0"/>
          <w:sz w:val="26"/>
          <w:szCs w:val="26"/>
          <w:lang w:val="en-US" w:eastAsia="zh-CN" w:bidi="ar-SA"/>
        </w:rPr>
        <w:t>陆生生物、水生生物、生态景观、水土流失、土地利用、生态环境敏感区等。</w:t>
      </w:r>
    </w:p>
    <w:p w14:paraId="6EFA782A">
      <w:pPr>
        <w:pStyle w:val="2082"/>
        <w:keepNext w:val="0"/>
        <w:keepLines w:val="0"/>
        <w:pageBreakBefore w:val="0"/>
        <w:widowControl w:val="0"/>
        <w:kinsoku/>
        <w:wordWrap/>
        <w:overflowPunct/>
        <w:topLinePunct w:val="0"/>
        <w:autoSpaceDE/>
        <w:autoSpaceDN/>
        <w:bidi w:val="0"/>
        <w:adjustRightInd w:val="0"/>
        <w:snapToGrid w:val="0"/>
        <w:spacing w:line="480" w:lineRule="exact"/>
        <w:ind w:firstLine="392" w:firstLineChars="150"/>
        <w:textAlignment w:val="auto"/>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（2）施工期预测、分析评价因子</w:t>
      </w:r>
    </w:p>
    <w:p w14:paraId="2F392643">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环境空气：</w:t>
      </w:r>
      <w:r>
        <w:rPr>
          <w:rFonts w:hint="eastAsia" w:ascii="Arial" w:hAnsi="Arial" w:eastAsia="宋体" w:cs="Arial"/>
          <w:kern w:val="0"/>
          <w:sz w:val="26"/>
          <w:szCs w:val="26"/>
          <w:lang w:val="en-US" w:eastAsia="zh-CN" w:bidi="ar-SA"/>
        </w:rPr>
        <w:t>扬尘、燃油废气等；</w:t>
      </w:r>
    </w:p>
    <w:p w14:paraId="6C9BB284">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地表水：</w:t>
      </w:r>
      <w:r>
        <w:rPr>
          <w:rFonts w:hint="eastAsia" w:ascii="Arial" w:hAnsi="Arial" w:eastAsia="宋体" w:cs="Arial"/>
          <w:kern w:val="0"/>
          <w:sz w:val="26"/>
          <w:szCs w:val="26"/>
          <w:lang w:val="en-US" w:eastAsia="zh-CN" w:bidi="ar-SA"/>
        </w:rPr>
        <w:t>SS、石油类、COD、NH</w:t>
      </w:r>
      <w:r>
        <w:rPr>
          <w:rFonts w:hint="eastAsia" w:ascii="Arial" w:hAnsi="Arial" w:eastAsia="宋体" w:cs="Arial"/>
          <w:kern w:val="0"/>
          <w:sz w:val="26"/>
          <w:szCs w:val="26"/>
          <w:vertAlign w:val="subscript"/>
          <w:lang w:val="en-US" w:eastAsia="zh-CN" w:bidi="ar-SA"/>
        </w:rPr>
        <w:t>3</w:t>
      </w:r>
      <w:r>
        <w:rPr>
          <w:rFonts w:hint="eastAsia" w:ascii="Arial" w:hAnsi="Arial" w:eastAsia="宋体" w:cs="Arial"/>
          <w:kern w:val="0"/>
          <w:sz w:val="26"/>
          <w:szCs w:val="26"/>
          <w:lang w:val="en-US" w:eastAsia="zh-CN" w:bidi="ar-SA"/>
        </w:rPr>
        <w:t>-N、动植物油等；</w:t>
      </w:r>
    </w:p>
    <w:p w14:paraId="6E900230">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地下水：</w:t>
      </w:r>
      <w:r>
        <w:rPr>
          <w:rFonts w:hint="eastAsia" w:ascii="Arial" w:hAnsi="Arial" w:eastAsia="宋体" w:cs="Arial"/>
          <w:kern w:val="0"/>
          <w:sz w:val="26"/>
          <w:szCs w:val="26"/>
          <w:lang w:val="en-US" w:eastAsia="zh-CN" w:bidi="ar-SA"/>
        </w:rPr>
        <w:t>施工开挖及生活、生产废水影响；</w:t>
      </w:r>
    </w:p>
    <w:p w14:paraId="6BDC380F">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声环境：</w:t>
      </w:r>
      <w:r>
        <w:rPr>
          <w:rFonts w:hint="eastAsia" w:ascii="Arial" w:hAnsi="Arial" w:eastAsia="宋体" w:cs="Arial"/>
          <w:kern w:val="0"/>
          <w:sz w:val="26"/>
          <w:szCs w:val="26"/>
          <w:lang w:val="en-US" w:eastAsia="zh-CN" w:bidi="ar-SA"/>
        </w:rPr>
        <w:t>机械噪声、交通噪声；</w:t>
      </w:r>
    </w:p>
    <w:p w14:paraId="2E275A78">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振动：</w:t>
      </w:r>
      <w:r>
        <w:rPr>
          <w:rFonts w:hint="eastAsia" w:ascii="Arial" w:hAnsi="Arial" w:eastAsia="宋体" w:cs="Arial"/>
          <w:kern w:val="0"/>
          <w:sz w:val="26"/>
          <w:szCs w:val="26"/>
          <w:lang w:val="en-US" w:eastAsia="zh-CN" w:bidi="ar-SA"/>
        </w:rPr>
        <w:t>挖掘机、潜孔钻、打桩机等设备施工振动；</w:t>
      </w:r>
    </w:p>
    <w:p w14:paraId="755098AA">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b w:val="0"/>
          <w:bCs w:val="0"/>
          <w:kern w:val="0"/>
          <w:sz w:val="26"/>
          <w:szCs w:val="26"/>
          <w:lang w:val="en-US" w:eastAsia="zh-CN" w:bidi="ar-SA"/>
        </w:rPr>
      </w:pPr>
      <w:r>
        <w:rPr>
          <w:rFonts w:hint="eastAsia" w:ascii="Arial" w:hAnsi="Arial" w:eastAsia="宋体" w:cs="Arial"/>
          <w:b/>
          <w:bCs/>
          <w:kern w:val="0"/>
          <w:sz w:val="26"/>
          <w:szCs w:val="26"/>
          <w:lang w:val="en-US" w:eastAsia="zh-CN" w:bidi="ar-SA"/>
        </w:rPr>
        <w:t>土壤：</w:t>
      </w:r>
      <w:r>
        <w:rPr>
          <w:rFonts w:hint="eastAsia" w:ascii="Arial" w:hAnsi="Arial" w:eastAsia="宋体" w:cs="Arial"/>
          <w:b w:val="0"/>
          <w:bCs w:val="0"/>
          <w:kern w:val="0"/>
          <w:sz w:val="26"/>
          <w:szCs w:val="26"/>
          <w:lang w:val="en-US" w:eastAsia="zh-CN" w:bidi="ar-SA"/>
        </w:rPr>
        <w:t>土地资源、结构、质地等；</w:t>
      </w:r>
    </w:p>
    <w:p w14:paraId="5DD58FD2">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固体废物：</w:t>
      </w:r>
      <w:r>
        <w:rPr>
          <w:rFonts w:hint="eastAsia" w:ascii="Arial" w:hAnsi="Arial" w:eastAsia="宋体" w:cs="Arial"/>
          <w:kern w:val="0"/>
          <w:sz w:val="26"/>
          <w:szCs w:val="26"/>
          <w:lang w:val="en-US" w:eastAsia="zh-CN" w:bidi="ar-SA"/>
        </w:rPr>
        <w:t>弃渣、生活垃圾、建筑垃圾；</w:t>
      </w:r>
    </w:p>
    <w:p w14:paraId="19B79E73">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eastAsia" w:ascii="Arial" w:hAnsi="Arial" w:eastAsia="宋体" w:cs="Arial"/>
          <w:b w:val="0"/>
          <w:bCs w:val="0"/>
          <w:kern w:val="0"/>
          <w:sz w:val="26"/>
          <w:szCs w:val="26"/>
          <w:lang w:val="en-US" w:eastAsia="zh-CN" w:bidi="ar-SA"/>
        </w:rPr>
      </w:pPr>
      <w:r>
        <w:rPr>
          <w:rFonts w:hint="eastAsia" w:ascii="Arial" w:hAnsi="Arial" w:eastAsia="宋体" w:cs="Arial"/>
          <w:b/>
          <w:bCs/>
          <w:kern w:val="0"/>
          <w:sz w:val="26"/>
          <w:szCs w:val="26"/>
          <w:lang w:val="en-US" w:eastAsia="zh-CN" w:bidi="ar-SA"/>
        </w:rPr>
        <w:t>生态环境：</w:t>
      </w:r>
      <w:r>
        <w:rPr>
          <w:rFonts w:hint="eastAsia" w:ascii="Arial" w:hAnsi="Arial" w:eastAsia="宋体" w:cs="Arial"/>
          <w:b w:val="0"/>
          <w:bCs w:val="0"/>
          <w:kern w:val="0"/>
          <w:sz w:val="26"/>
          <w:szCs w:val="26"/>
          <w:lang w:val="en-US" w:eastAsia="zh-CN" w:bidi="ar-SA"/>
        </w:rPr>
        <w:t>工程占地、陆域生态环境、水生生态环境、水土流失、景观影响等；</w:t>
      </w:r>
    </w:p>
    <w:p w14:paraId="163EFF04">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b/>
          <w:bCs/>
          <w:kern w:val="0"/>
          <w:sz w:val="26"/>
          <w:szCs w:val="26"/>
          <w:lang w:val="en-US" w:eastAsia="zh-CN" w:bidi="ar-SA"/>
        </w:rPr>
        <w:t>人群健康：</w:t>
      </w:r>
      <w:r>
        <w:rPr>
          <w:rFonts w:hint="eastAsia" w:ascii="Arial" w:hAnsi="Arial" w:eastAsia="宋体" w:cs="Arial"/>
          <w:b w:val="0"/>
          <w:bCs w:val="0"/>
          <w:kern w:val="0"/>
          <w:sz w:val="26"/>
          <w:szCs w:val="26"/>
          <w:lang w:val="en-US" w:eastAsia="zh-CN" w:bidi="ar-SA"/>
        </w:rPr>
        <w:t>传染疾病。</w:t>
      </w:r>
    </w:p>
    <w:p w14:paraId="673329DF">
      <w:pPr>
        <w:spacing w:line="460" w:lineRule="exact"/>
        <w:ind w:firstLine="384" w:firstLineChars="147"/>
        <w:jc w:val="both"/>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（3）营运期预测、分析评价因子</w:t>
      </w:r>
    </w:p>
    <w:p w14:paraId="4F514193">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default" w:ascii="Arial" w:hAnsi="Arial" w:eastAsia="宋体" w:cs="Arial"/>
          <w:kern w:val="0"/>
          <w:sz w:val="26"/>
          <w:szCs w:val="26"/>
          <w:lang w:val="en-US" w:eastAsia="zh-CN" w:bidi="ar-SA"/>
        </w:rPr>
      </w:pPr>
      <w:r>
        <w:rPr>
          <w:rFonts w:hint="eastAsia" w:ascii="Arial" w:hAnsi="Arial" w:eastAsia="宋体" w:cs="Arial"/>
          <w:b/>
          <w:bCs/>
          <w:kern w:val="0"/>
          <w:sz w:val="26"/>
          <w:szCs w:val="26"/>
          <w:lang w:val="fr-FR" w:eastAsia="zh-CN" w:bidi="ar-SA"/>
        </w:rPr>
        <w:t>地表水：</w:t>
      </w:r>
      <w:r>
        <w:rPr>
          <w:rFonts w:hint="eastAsia" w:ascii="Arial" w:hAnsi="Arial" w:eastAsia="宋体" w:cs="Arial"/>
          <w:kern w:val="0"/>
          <w:sz w:val="26"/>
          <w:szCs w:val="26"/>
          <w:lang w:val="en-US" w:eastAsia="zh-CN" w:bidi="ar-SA"/>
        </w:rPr>
        <w:t>COD、NH</w:t>
      </w:r>
      <w:r>
        <w:rPr>
          <w:rFonts w:hint="eastAsia" w:ascii="Arial" w:hAnsi="Arial" w:eastAsia="宋体" w:cs="Arial"/>
          <w:kern w:val="0"/>
          <w:sz w:val="26"/>
          <w:szCs w:val="26"/>
          <w:vertAlign w:val="subscript"/>
          <w:lang w:val="en-US" w:eastAsia="zh-CN" w:bidi="ar-SA"/>
        </w:rPr>
        <w:t>3</w:t>
      </w:r>
      <w:r>
        <w:rPr>
          <w:rFonts w:hint="eastAsia" w:ascii="Arial" w:hAnsi="Arial" w:eastAsia="宋体" w:cs="Arial"/>
          <w:kern w:val="0"/>
          <w:sz w:val="26"/>
          <w:szCs w:val="26"/>
          <w:lang w:val="en-US" w:eastAsia="zh-CN" w:bidi="ar-SA"/>
        </w:rPr>
        <w:t>-N、总磷、总氮、水温、叶绿素a；</w:t>
      </w:r>
    </w:p>
    <w:p w14:paraId="7239401A">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eastAsia" w:ascii="Arial" w:hAnsi="Arial" w:eastAsia="宋体" w:cs="Arial"/>
          <w:kern w:val="0"/>
          <w:sz w:val="26"/>
          <w:szCs w:val="26"/>
          <w:lang w:val="fr-FR" w:eastAsia="zh-CN" w:bidi="ar-SA"/>
        </w:rPr>
      </w:pPr>
      <w:r>
        <w:rPr>
          <w:rFonts w:hint="eastAsia" w:ascii="Arial" w:hAnsi="Arial" w:eastAsia="宋体" w:cs="Arial"/>
          <w:b/>
          <w:bCs/>
          <w:kern w:val="0"/>
          <w:sz w:val="26"/>
          <w:szCs w:val="26"/>
          <w:lang w:val="fr-FR" w:eastAsia="zh-CN" w:bidi="ar-SA"/>
        </w:rPr>
        <w:t>地下水：</w:t>
      </w:r>
      <w:r>
        <w:rPr>
          <w:rFonts w:hint="eastAsia" w:ascii="Arial" w:hAnsi="Arial" w:eastAsia="宋体" w:cs="Arial"/>
          <w:kern w:val="0"/>
          <w:sz w:val="26"/>
          <w:szCs w:val="26"/>
          <w:lang w:val="fr-FR" w:eastAsia="zh-CN" w:bidi="ar-SA"/>
        </w:rPr>
        <w:t>水质、水位；</w:t>
      </w:r>
    </w:p>
    <w:p w14:paraId="0CA2236A">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eastAsia" w:ascii="Arial" w:hAnsi="Arial" w:eastAsia="宋体" w:cs="Arial"/>
          <w:kern w:val="0"/>
          <w:sz w:val="26"/>
          <w:szCs w:val="26"/>
          <w:lang w:val="fr-FR" w:eastAsia="zh-CN" w:bidi="ar-SA"/>
        </w:rPr>
      </w:pPr>
      <w:r>
        <w:rPr>
          <w:rFonts w:hint="eastAsia" w:ascii="Arial" w:hAnsi="Arial" w:eastAsia="宋体" w:cs="Arial"/>
          <w:b/>
          <w:bCs/>
          <w:kern w:val="0"/>
          <w:sz w:val="26"/>
          <w:szCs w:val="26"/>
          <w:lang w:val="fr-FR" w:eastAsia="zh-CN" w:bidi="ar-SA"/>
        </w:rPr>
        <w:t>土壤：</w:t>
      </w:r>
      <w:r>
        <w:rPr>
          <w:rFonts w:hint="eastAsia" w:ascii="Arial" w:hAnsi="Arial" w:eastAsia="宋体" w:cs="Arial"/>
          <w:kern w:val="0"/>
          <w:sz w:val="26"/>
          <w:szCs w:val="26"/>
          <w:lang w:val="fr-FR" w:eastAsia="zh-CN" w:bidi="ar-SA"/>
        </w:rPr>
        <w:t>盐碱化</w:t>
      </w:r>
      <w:r>
        <w:rPr>
          <w:rFonts w:hint="eastAsia" w:ascii="Arial" w:hAnsi="Arial" w:eastAsia="宋体" w:cs="Arial"/>
          <w:kern w:val="0"/>
          <w:sz w:val="26"/>
          <w:szCs w:val="26"/>
          <w:vertAlign w:val="baseline"/>
          <w:lang w:val="fr-FR" w:eastAsia="zh-CN" w:bidi="ar-SA"/>
        </w:rPr>
        <w:t>；</w:t>
      </w:r>
    </w:p>
    <w:p w14:paraId="0CEF4B8A">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eastAsia" w:ascii="Arial" w:hAnsi="Arial" w:eastAsia="宋体" w:cs="Arial"/>
          <w:kern w:val="0"/>
          <w:sz w:val="26"/>
          <w:szCs w:val="26"/>
          <w:lang w:val="fr-FR" w:eastAsia="zh-CN" w:bidi="ar-SA"/>
        </w:rPr>
      </w:pPr>
      <w:r>
        <w:rPr>
          <w:rFonts w:hint="eastAsia" w:ascii="Arial" w:hAnsi="Arial" w:eastAsia="宋体" w:cs="Arial"/>
          <w:b/>
          <w:bCs/>
          <w:kern w:val="0"/>
          <w:sz w:val="26"/>
          <w:szCs w:val="26"/>
          <w:lang w:val="fr-FR" w:eastAsia="zh-CN" w:bidi="ar-SA"/>
        </w:rPr>
        <w:t>固体废物：</w:t>
      </w:r>
      <w:r>
        <w:rPr>
          <w:rFonts w:hint="eastAsia" w:ascii="Arial" w:hAnsi="Arial" w:eastAsia="宋体" w:cs="Arial"/>
          <w:kern w:val="0"/>
          <w:sz w:val="26"/>
          <w:szCs w:val="26"/>
          <w:lang w:val="fr-FR" w:eastAsia="zh-CN" w:bidi="ar-SA"/>
        </w:rPr>
        <w:t>生活垃圾、库区漂浮物等；</w:t>
      </w:r>
    </w:p>
    <w:p w14:paraId="73A7501E">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eastAsia" w:ascii="Arial" w:hAnsi="Arial" w:eastAsia="宋体" w:cs="Arial"/>
          <w:kern w:val="0"/>
          <w:sz w:val="26"/>
          <w:szCs w:val="26"/>
          <w:lang w:val="fr-FR" w:eastAsia="zh-CN" w:bidi="ar-SA"/>
        </w:rPr>
      </w:pPr>
      <w:r>
        <w:rPr>
          <w:rFonts w:hint="eastAsia" w:ascii="Arial" w:hAnsi="Arial" w:eastAsia="宋体" w:cs="Arial"/>
          <w:b/>
          <w:bCs/>
          <w:kern w:val="0"/>
          <w:sz w:val="26"/>
          <w:szCs w:val="26"/>
          <w:lang w:val="fr-FR" w:eastAsia="zh-CN" w:bidi="ar-SA"/>
        </w:rPr>
        <w:t>生态环境：</w:t>
      </w:r>
      <w:r>
        <w:rPr>
          <w:rFonts w:hint="eastAsia" w:ascii="Arial" w:hAnsi="Arial" w:eastAsia="宋体" w:cs="Arial"/>
          <w:kern w:val="0"/>
          <w:sz w:val="26"/>
          <w:szCs w:val="26"/>
          <w:lang w:val="fr-FR" w:eastAsia="zh-CN" w:bidi="ar-SA"/>
        </w:rPr>
        <w:t>水土流失、水文情势、局地气候、水库水温、河流水质、泥沙淤积、野生动植物资源、土地利用等。</w:t>
      </w:r>
    </w:p>
    <w:p w14:paraId="649EDD88">
      <w:pPr>
        <w:keepNext w:val="0"/>
        <w:keepLines w:val="0"/>
        <w:pageBreakBefore w:val="0"/>
        <w:widowControl w:val="0"/>
        <w:kinsoku/>
        <w:wordWrap/>
        <w:overflowPunct/>
        <w:topLinePunct w:val="0"/>
        <w:autoSpaceDE/>
        <w:autoSpaceDN/>
        <w:bidi w:val="0"/>
        <w:spacing w:line="460" w:lineRule="exact"/>
        <w:ind w:firstLine="522" w:firstLineChars="200"/>
        <w:textAlignment w:val="auto"/>
        <w:outlineLvl w:val="1"/>
        <w:rPr>
          <w:rFonts w:ascii="Arial" w:hAnsi="Arial" w:eastAsia="宋体" w:cs="Arial"/>
          <w:b/>
          <w:color w:val="auto"/>
          <w:kern w:val="0"/>
          <w:sz w:val="26"/>
          <w:szCs w:val="26"/>
          <w:highlight w:val="none"/>
          <w:lang w:val="en-US" w:eastAsia="zh-CN"/>
        </w:rPr>
      </w:pPr>
      <w:bookmarkStart w:id="51" w:name="_Toc21981"/>
      <w:r>
        <w:rPr>
          <w:rFonts w:ascii="Arial" w:hAnsi="Arial" w:eastAsia="宋体" w:cs="Arial"/>
          <w:b/>
          <w:color w:val="auto"/>
          <w:kern w:val="0"/>
          <w:sz w:val="26"/>
          <w:szCs w:val="26"/>
          <w:highlight w:val="none"/>
          <w:lang w:val="en-US" w:eastAsia="zh-CN"/>
        </w:rPr>
        <w:t>1.</w:t>
      </w:r>
      <w:r>
        <w:rPr>
          <w:rFonts w:hint="eastAsia" w:ascii="Arial" w:hAnsi="Arial" w:cs="Arial"/>
          <w:b/>
          <w:color w:val="auto"/>
          <w:kern w:val="0"/>
          <w:sz w:val="26"/>
          <w:szCs w:val="26"/>
          <w:highlight w:val="none"/>
          <w:lang w:val="en-US" w:eastAsia="zh-CN"/>
        </w:rPr>
        <w:t>5</w:t>
      </w:r>
      <w:r>
        <w:rPr>
          <w:rFonts w:hint="eastAsia" w:ascii="Arial" w:hAnsi="Arial" w:eastAsia="宋体" w:cs="Arial"/>
          <w:b/>
          <w:color w:val="auto"/>
          <w:kern w:val="0"/>
          <w:sz w:val="26"/>
          <w:szCs w:val="26"/>
          <w:highlight w:val="none"/>
          <w:lang w:val="en-US" w:eastAsia="zh-CN"/>
        </w:rPr>
        <w:t>评价标准</w:t>
      </w:r>
      <w:bookmarkEnd w:id="51"/>
    </w:p>
    <w:p w14:paraId="0A5EC869">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eastAsia="宋体" w:cs="Arial"/>
          <w:b/>
          <w:color w:val="auto"/>
          <w:kern w:val="0"/>
          <w:sz w:val="26"/>
          <w:szCs w:val="20"/>
          <w:highlight w:val="none"/>
          <w:lang w:val="en-US" w:eastAsia="zh-CN"/>
        </w:rPr>
      </w:pPr>
      <w:bookmarkStart w:id="52" w:name="_Toc36040990"/>
      <w:bookmarkStart w:id="53" w:name="_Toc34987791"/>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5</w:t>
      </w:r>
      <w:r>
        <w:rPr>
          <w:rFonts w:hint="eastAsia" w:ascii="Arial" w:hAnsi="Arial" w:eastAsia="宋体" w:cs="Arial"/>
          <w:b/>
          <w:color w:val="auto"/>
          <w:kern w:val="0"/>
          <w:sz w:val="26"/>
          <w:szCs w:val="20"/>
          <w:highlight w:val="none"/>
          <w:lang w:val="en-US" w:eastAsia="zh-CN"/>
        </w:rPr>
        <w:t>.1</w:t>
      </w:r>
      <w:bookmarkEnd w:id="52"/>
      <w:bookmarkEnd w:id="53"/>
      <w:r>
        <w:rPr>
          <w:rFonts w:hint="eastAsia" w:ascii="Arial" w:hAnsi="Arial" w:eastAsia="宋体" w:cs="Arial"/>
          <w:b/>
          <w:color w:val="auto"/>
          <w:kern w:val="0"/>
          <w:sz w:val="26"/>
          <w:szCs w:val="20"/>
          <w:highlight w:val="none"/>
          <w:lang w:val="en-US" w:eastAsia="zh-CN"/>
        </w:rPr>
        <w:t>环境质量标准</w:t>
      </w:r>
    </w:p>
    <w:p w14:paraId="6D2E58CD">
      <w:pPr>
        <w:keepNext w:val="0"/>
        <w:keepLines w:val="0"/>
        <w:pageBreakBefore w:val="0"/>
        <w:widowControl w:val="0"/>
        <w:kinsoku/>
        <w:wordWrap/>
        <w:overflowPunct/>
        <w:topLinePunct w:val="0"/>
        <w:autoSpaceDE/>
        <w:autoSpaceDN/>
        <w:bidi w:val="0"/>
        <w:spacing w:line="460" w:lineRule="exact"/>
        <w:ind w:firstLine="384" w:firstLineChars="147"/>
        <w:jc w:val="both"/>
        <w:textAlignment w:val="auto"/>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（1）环境空气</w:t>
      </w:r>
    </w:p>
    <w:p w14:paraId="765389F3">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kern w:val="0"/>
          <w:sz w:val="26"/>
          <w:szCs w:val="26"/>
          <w:lang w:val="fr-FR" w:eastAsia="zh-CN" w:bidi="ar-SA"/>
        </w:rPr>
      </w:pPr>
      <w:r>
        <w:rPr>
          <w:rFonts w:hint="eastAsia" w:ascii="Arial" w:hAnsi="Arial" w:eastAsia="宋体" w:cs="Arial"/>
          <w:kern w:val="0"/>
          <w:sz w:val="26"/>
          <w:szCs w:val="26"/>
          <w:lang w:val="fr-FR" w:eastAsia="zh-CN" w:bidi="ar-SA"/>
        </w:rPr>
        <w:t>本项目选址位于丰都县双龙镇田家山村，根据《重庆市环境空气质量功能区划分规定》（渝府发</w:t>
      </w:r>
      <w:r>
        <w:rPr>
          <w:rFonts w:hint="eastAsia" w:ascii="宋体" w:hAnsi="宋体" w:eastAsia="宋体" w:cs="宋体"/>
          <w:kern w:val="0"/>
          <w:sz w:val="26"/>
          <w:szCs w:val="26"/>
          <w:lang w:val="fr-FR" w:eastAsia="zh-CN" w:bidi="ar-SA"/>
        </w:rPr>
        <w:t>〔</w:t>
      </w:r>
      <w:r>
        <w:rPr>
          <w:rFonts w:hint="eastAsia" w:ascii="Arial" w:hAnsi="Arial" w:eastAsia="宋体" w:cs="Arial"/>
          <w:kern w:val="0"/>
          <w:sz w:val="26"/>
          <w:szCs w:val="26"/>
          <w:lang w:val="fr-FR" w:eastAsia="zh-CN" w:bidi="ar-SA"/>
        </w:rPr>
        <w:t>2016</w:t>
      </w:r>
      <w:r>
        <w:rPr>
          <w:rFonts w:hint="eastAsia" w:ascii="宋体" w:hAnsi="宋体" w:eastAsia="宋体" w:cs="宋体"/>
          <w:kern w:val="0"/>
          <w:sz w:val="26"/>
          <w:szCs w:val="26"/>
          <w:lang w:val="fr-FR" w:eastAsia="zh-CN" w:bidi="ar-SA"/>
        </w:rPr>
        <w:t>〕</w:t>
      </w:r>
      <w:r>
        <w:rPr>
          <w:rFonts w:hint="eastAsia" w:ascii="Arial" w:hAnsi="Arial" w:eastAsia="宋体" w:cs="Arial"/>
          <w:kern w:val="0"/>
          <w:sz w:val="26"/>
          <w:szCs w:val="26"/>
          <w:lang w:val="fr-FR" w:eastAsia="zh-CN" w:bidi="ar-SA"/>
        </w:rPr>
        <w:t>19号），本项目所在区域为二类功能区，执行《环境空气质量标准》（GB3095-2012）二级标准。具体标准值分别见表1.</w:t>
      </w:r>
      <w:r>
        <w:rPr>
          <w:rFonts w:hint="eastAsia" w:ascii="Arial" w:hAnsi="Arial" w:eastAsia="宋体" w:cs="Arial"/>
          <w:kern w:val="0"/>
          <w:sz w:val="26"/>
          <w:szCs w:val="26"/>
          <w:lang w:val="en-US" w:eastAsia="zh-CN" w:bidi="ar-SA"/>
        </w:rPr>
        <w:t>5</w:t>
      </w:r>
      <w:r>
        <w:rPr>
          <w:rFonts w:hint="eastAsia" w:ascii="Arial" w:hAnsi="Arial" w:eastAsia="宋体" w:cs="Arial"/>
          <w:kern w:val="0"/>
          <w:sz w:val="26"/>
          <w:szCs w:val="26"/>
          <w:lang w:val="fr-FR" w:eastAsia="zh-CN" w:bidi="ar-SA"/>
        </w:rPr>
        <w:t>-</w:t>
      </w:r>
      <w:r>
        <w:rPr>
          <w:rFonts w:hint="eastAsia" w:ascii="Arial" w:hAnsi="Arial" w:eastAsia="宋体" w:cs="Arial"/>
          <w:kern w:val="0"/>
          <w:sz w:val="26"/>
          <w:szCs w:val="26"/>
          <w:lang w:val="en-US" w:eastAsia="zh-CN" w:bidi="ar-SA"/>
        </w:rPr>
        <w:t>1</w:t>
      </w:r>
      <w:r>
        <w:rPr>
          <w:rFonts w:hint="eastAsia" w:ascii="Arial" w:hAnsi="Arial" w:eastAsia="宋体" w:cs="Arial"/>
          <w:kern w:val="0"/>
          <w:sz w:val="26"/>
          <w:szCs w:val="26"/>
          <w:lang w:val="fr-FR" w:eastAsia="zh-CN" w:bidi="ar-SA"/>
        </w:rPr>
        <w:t>。</w:t>
      </w:r>
    </w:p>
    <w:p w14:paraId="68200B7F">
      <w:pPr>
        <w:pStyle w:val="185"/>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Arial" w:hAnsi="Arial" w:cs="Arial"/>
          <w:sz w:val="26"/>
          <w:szCs w:val="26"/>
        </w:rPr>
      </w:pPr>
      <w:r>
        <w:rPr>
          <w:rFonts w:hint="default" w:ascii="Arial" w:hAnsi="Arial" w:cs="Arial"/>
          <w:sz w:val="26"/>
          <w:szCs w:val="26"/>
        </w:rPr>
        <w:t xml:space="preserve">  表1.</w:t>
      </w:r>
      <w:r>
        <w:rPr>
          <w:rFonts w:hint="default" w:ascii="Arial" w:hAnsi="Arial" w:cs="Arial"/>
          <w:sz w:val="26"/>
          <w:szCs w:val="26"/>
          <w:lang w:val="en-US" w:eastAsia="zh-CN"/>
        </w:rPr>
        <w:t>6-1</w:t>
      </w:r>
      <w:r>
        <w:rPr>
          <w:rFonts w:hint="default" w:ascii="Arial" w:hAnsi="Arial" w:cs="Arial"/>
          <w:sz w:val="26"/>
          <w:szCs w:val="26"/>
        </w:rPr>
        <w:t xml:space="preserve"> 环境空气质量标准</w:t>
      </w:r>
      <w:r>
        <w:rPr>
          <w:rFonts w:hint="eastAsia" w:ascii="宋体" w:hAnsi="宋体" w:eastAsia="宋体" w:cs="宋体"/>
          <w:color w:val="000000"/>
          <w:sz w:val="26"/>
          <w:szCs w:val="26"/>
        </w:rPr>
        <w:t>(</w:t>
      </w:r>
      <w:r>
        <w:rPr>
          <w:rFonts w:hint="default" w:ascii="Arial" w:hAnsi="Arial" w:cs="Arial"/>
          <w:color w:val="000000"/>
          <w:sz w:val="26"/>
          <w:szCs w:val="26"/>
        </w:rPr>
        <w:t>GB3095-2012</w:t>
      </w:r>
      <w:r>
        <w:rPr>
          <w:rFonts w:hint="eastAsia" w:ascii="宋体" w:hAnsi="宋体" w:eastAsia="宋体" w:cs="宋体"/>
          <w:color w:val="000000"/>
          <w:sz w:val="26"/>
          <w:szCs w:val="26"/>
        </w:rPr>
        <w:t>)</w:t>
      </w:r>
    </w:p>
    <w:tbl>
      <w:tblPr>
        <w:tblStyle w:val="77"/>
        <w:tblW w:w="46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15"/>
        <w:gridCol w:w="1188"/>
        <w:gridCol w:w="1047"/>
        <w:gridCol w:w="2148"/>
        <w:gridCol w:w="3094"/>
      </w:tblGrid>
      <w:tr w14:paraId="2FBEB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491" w:type="pct"/>
            <w:vMerge w:val="restart"/>
            <w:tcBorders>
              <w:tl2br w:val="nil"/>
              <w:tr2bl w:val="nil"/>
            </w:tcBorders>
            <w:noWrap w:val="0"/>
            <w:vAlign w:val="center"/>
          </w:tcPr>
          <w:p w14:paraId="31C21F5C">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序号</w:t>
            </w:r>
          </w:p>
        </w:tc>
        <w:tc>
          <w:tcPr>
            <w:tcW w:w="716" w:type="pct"/>
            <w:vMerge w:val="restart"/>
            <w:tcBorders>
              <w:tl2br w:val="nil"/>
              <w:tr2bl w:val="nil"/>
            </w:tcBorders>
            <w:noWrap w:val="0"/>
            <w:vAlign w:val="center"/>
          </w:tcPr>
          <w:p w14:paraId="12063167">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污染物</w:t>
            </w:r>
          </w:p>
        </w:tc>
        <w:tc>
          <w:tcPr>
            <w:tcW w:w="631" w:type="pct"/>
            <w:vMerge w:val="restart"/>
            <w:tcBorders>
              <w:tl2br w:val="nil"/>
              <w:tr2bl w:val="nil"/>
            </w:tcBorders>
            <w:noWrap w:val="0"/>
            <w:vAlign w:val="center"/>
          </w:tcPr>
          <w:p w14:paraId="7B5FA6A1">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单位</w:t>
            </w:r>
          </w:p>
        </w:tc>
        <w:tc>
          <w:tcPr>
            <w:tcW w:w="1295" w:type="pct"/>
            <w:tcBorders>
              <w:tl2br w:val="nil"/>
              <w:tr2bl w:val="nil"/>
            </w:tcBorders>
            <w:noWrap w:val="0"/>
            <w:vAlign w:val="center"/>
          </w:tcPr>
          <w:p w14:paraId="04B8844C">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取值时间</w:t>
            </w:r>
          </w:p>
        </w:tc>
        <w:tc>
          <w:tcPr>
            <w:tcW w:w="1865" w:type="pct"/>
            <w:tcBorders>
              <w:tl2br w:val="nil"/>
              <w:tr2bl w:val="nil"/>
            </w:tcBorders>
            <w:noWrap w:val="0"/>
            <w:vAlign w:val="center"/>
          </w:tcPr>
          <w:p w14:paraId="2389DA95">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auto"/>
                <w:sz w:val="22"/>
                <w:szCs w:val="22"/>
              </w:rPr>
            </w:pPr>
            <w:r>
              <w:rPr>
                <w:rFonts w:hint="default" w:ascii="Arial" w:hAnsi="Arial" w:cs="Arial"/>
                <w:color w:val="auto"/>
                <w:sz w:val="22"/>
                <w:szCs w:val="22"/>
              </w:rPr>
              <w:t>标准限值</w:t>
            </w:r>
          </w:p>
        </w:tc>
      </w:tr>
      <w:tr w14:paraId="77C1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restart"/>
            <w:tcBorders>
              <w:tl2br w:val="nil"/>
              <w:tr2bl w:val="nil"/>
            </w:tcBorders>
            <w:noWrap w:val="0"/>
            <w:vAlign w:val="center"/>
          </w:tcPr>
          <w:p w14:paraId="4845BE94">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1</w:t>
            </w:r>
          </w:p>
        </w:tc>
        <w:tc>
          <w:tcPr>
            <w:tcW w:w="716" w:type="pct"/>
            <w:vMerge w:val="restart"/>
            <w:tcBorders>
              <w:tl2br w:val="nil"/>
              <w:tr2bl w:val="nil"/>
            </w:tcBorders>
            <w:noWrap w:val="0"/>
            <w:vAlign w:val="center"/>
          </w:tcPr>
          <w:p w14:paraId="40B625FA">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SO</w:t>
            </w:r>
            <w:r>
              <w:rPr>
                <w:rFonts w:hint="default" w:ascii="Arial" w:hAnsi="Arial" w:cs="Arial"/>
                <w:color w:val="000000"/>
                <w:sz w:val="22"/>
                <w:szCs w:val="22"/>
                <w:vertAlign w:val="subscript"/>
              </w:rPr>
              <w:t>2</w:t>
            </w:r>
          </w:p>
        </w:tc>
        <w:tc>
          <w:tcPr>
            <w:tcW w:w="631" w:type="pct"/>
            <w:vMerge w:val="restart"/>
            <w:tcBorders>
              <w:tl2br w:val="nil"/>
              <w:tr2bl w:val="nil"/>
            </w:tcBorders>
            <w:noWrap w:val="0"/>
            <w:vAlign w:val="center"/>
          </w:tcPr>
          <w:p w14:paraId="57901309">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ug/m</w:t>
            </w:r>
            <w:r>
              <w:rPr>
                <w:rFonts w:hint="default" w:ascii="Arial" w:hAnsi="Arial" w:cs="Arial"/>
                <w:color w:val="000000"/>
                <w:sz w:val="22"/>
                <w:szCs w:val="22"/>
                <w:vertAlign w:val="superscript"/>
              </w:rPr>
              <w:t>3</w:t>
            </w:r>
          </w:p>
        </w:tc>
        <w:tc>
          <w:tcPr>
            <w:tcW w:w="1295" w:type="pct"/>
            <w:tcBorders>
              <w:tl2br w:val="nil"/>
              <w:tr2bl w:val="nil"/>
            </w:tcBorders>
            <w:noWrap w:val="0"/>
            <w:vAlign w:val="center"/>
          </w:tcPr>
          <w:p w14:paraId="0B068675">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年平均</w:t>
            </w:r>
          </w:p>
        </w:tc>
        <w:tc>
          <w:tcPr>
            <w:tcW w:w="1865" w:type="pct"/>
            <w:tcBorders>
              <w:tl2br w:val="nil"/>
              <w:tr2bl w:val="nil"/>
            </w:tcBorders>
            <w:noWrap w:val="0"/>
            <w:vAlign w:val="center"/>
          </w:tcPr>
          <w:p w14:paraId="5796824C">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60</w:t>
            </w:r>
          </w:p>
        </w:tc>
      </w:tr>
      <w:tr w14:paraId="7D52A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continue"/>
            <w:tcBorders>
              <w:tl2br w:val="nil"/>
              <w:tr2bl w:val="nil"/>
            </w:tcBorders>
            <w:noWrap w:val="0"/>
            <w:vAlign w:val="center"/>
          </w:tcPr>
          <w:p w14:paraId="5EE42ADF">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716" w:type="pct"/>
            <w:vMerge w:val="continue"/>
            <w:tcBorders>
              <w:tl2br w:val="nil"/>
              <w:tr2bl w:val="nil"/>
            </w:tcBorders>
            <w:noWrap w:val="0"/>
            <w:vAlign w:val="center"/>
          </w:tcPr>
          <w:p w14:paraId="4F3914B3">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631" w:type="pct"/>
            <w:vMerge w:val="continue"/>
            <w:tcBorders>
              <w:tl2br w:val="nil"/>
              <w:tr2bl w:val="nil"/>
            </w:tcBorders>
            <w:noWrap w:val="0"/>
            <w:vAlign w:val="center"/>
          </w:tcPr>
          <w:p w14:paraId="708E81A9">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1295" w:type="pct"/>
            <w:tcBorders>
              <w:tl2br w:val="nil"/>
              <w:tr2bl w:val="nil"/>
            </w:tcBorders>
            <w:noWrap w:val="0"/>
            <w:vAlign w:val="center"/>
          </w:tcPr>
          <w:p w14:paraId="404461BF">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24小时平均</w:t>
            </w:r>
          </w:p>
        </w:tc>
        <w:tc>
          <w:tcPr>
            <w:tcW w:w="1865" w:type="pct"/>
            <w:tcBorders>
              <w:tl2br w:val="nil"/>
              <w:tr2bl w:val="nil"/>
            </w:tcBorders>
            <w:noWrap w:val="0"/>
            <w:vAlign w:val="center"/>
          </w:tcPr>
          <w:p w14:paraId="342E3D98">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150</w:t>
            </w:r>
          </w:p>
        </w:tc>
      </w:tr>
      <w:tr w14:paraId="7C2B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continue"/>
            <w:tcBorders>
              <w:tl2br w:val="nil"/>
              <w:tr2bl w:val="nil"/>
            </w:tcBorders>
            <w:noWrap w:val="0"/>
            <w:vAlign w:val="center"/>
          </w:tcPr>
          <w:p w14:paraId="1DC018B2">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716" w:type="pct"/>
            <w:vMerge w:val="continue"/>
            <w:tcBorders>
              <w:tl2br w:val="nil"/>
              <w:tr2bl w:val="nil"/>
            </w:tcBorders>
            <w:noWrap w:val="0"/>
            <w:vAlign w:val="center"/>
          </w:tcPr>
          <w:p w14:paraId="1B6AF706">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631" w:type="pct"/>
            <w:vMerge w:val="continue"/>
            <w:tcBorders>
              <w:tl2br w:val="nil"/>
              <w:tr2bl w:val="nil"/>
            </w:tcBorders>
            <w:noWrap w:val="0"/>
            <w:vAlign w:val="center"/>
          </w:tcPr>
          <w:p w14:paraId="1A8A26B1">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1295" w:type="pct"/>
            <w:tcBorders>
              <w:tl2br w:val="nil"/>
              <w:tr2bl w:val="nil"/>
            </w:tcBorders>
            <w:noWrap w:val="0"/>
            <w:vAlign w:val="center"/>
          </w:tcPr>
          <w:p w14:paraId="37653177">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1小时平均</w:t>
            </w:r>
          </w:p>
        </w:tc>
        <w:tc>
          <w:tcPr>
            <w:tcW w:w="1865" w:type="pct"/>
            <w:tcBorders>
              <w:tl2br w:val="nil"/>
              <w:tr2bl w:val="nil"/>
            </w:tcBorders>
            <w:noWrap w:val="0"/>
            <w:vAlign w:val="center"/>
          </w:tcPr>
          <w:p w14:paraId="3DFBEF9B">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500</w:t>
            </w:r>
          </w:p>
        </w:tc>
      </w:tr>
      <w:tr w14:paraId="3FA9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restart"/>
            <w:tcBorders>
              <w:tl2br w:val="nil"/>
              <w:tr2bl w:val="nil"/>
            </w:tcBorders>
            <w:noWrap w:val="0"/>
            <w:vAlign w:val="center"/>
          </w:tcPr>
          <w:p w14:paraId="39D1067E">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2</w:t>
            </w:r>
          </w:p>
        </w:tc>
        <w:tc>
          <w:tcPr>
            <w:tcW w:w="716" w:type="pct"/>
            <w:vMerge w:val="restart"/>
            <w:tcBorders>
              <w:tl2br w:val="nil"/>
              <w:tr2bl w:val="nil"/>
            </w:tcBorders>
            <w:noWrap w:val="0"/>
            <w:vAlign w:val="center"/>
          </w:tcPr>
          <w:p w14:paraId="7F8923A6">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NO</w:t>
            </w:r>
            <w:r>
              <w:rPr>
                <w:rFonts w:hint="default" w:ascii="Arial" w:hAnsi="Arial" w:cs="Arial"/>
                <w:color w:val="000000"/>
                <w:sz w:val="22"/>
                <w:szCs w:val="22"/>
                <w:vertAlign w:val="subscript"/>
              </w:rPr>
              <w:t>2</w:t>
            </w:r>
          </w:p>
        </w:tc>
        <w:tc>
          <w:tcPr>
            <w:tcW w:w="631" w:type="pct"/>
            <w:vMerge w:val="restart"/>
            <w:tcBorders>
              <w:tl2br w:val="nil"/>
              <w:tr2bl w:val="nil"/>
            </w:tcBorders>
            <w:noWrap w:val="0"/>
            <w:vAlign w:val="center"/>
          </w:tcPr>
          <w:p w14:paraId="43A41C8B">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ug/m</w:t>
            </w:r>
            <w:r>
              <w:rPr>
                <w:rFonts w:hint="default" w:ascii="Arial" w:hAnsi="Arial" w:cs="Arial"/>
                <w:color w:val="000000"/>
                <w:sz w:val="22"/>
                <w:szCs w:val="22"/>
                <w:vertAlign w:val="superscript"/>
              </w:rPr>
              <w:t>3</w:t>
            </w:r>
          </w:p>
        </w:tc>
        <w:tc>
          <w:tcPr>
            <w:tcW w:w="1295" w:type="pct"/>
            <w:tcBorders>
              <w:tl2br w:val="nil"/>
              <w:tr2bl w:val="nil"/>
            </w:tcBorders>
            <w:noWrap w:val="0"/>
            <w:vAlign w:val="center"/>
          </w:tcPr>
          <w:p w14:paraId="3CA8AE25">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年平均</w:t>
            </w:r>
          </w:p>
        </w:tc>
        <w:tc>
          <w:tcPr>
            <w:tcW w:w="1865" w:type="pct"/>
            <w:tcBorders>
              <w:tl2br w:val="nil"/>
              <w:tr2bl w:val="nil"/>
            </w:tcBorders>
            <w:noWrap w:val="0"/>
            <w:vAlign w:val="center"/>
          </w:tcPr>
          <w:p w14:paraId="05FD46BE">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40</w:t>
            </w:r>
          </w:p>
        </w:tc>
      </w:tr>
      <w:tr w14:paraId="46B13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continue"/>
            <w:tcBorders>
              <w:tl2br w:val="nil"/>
              <w:tr2bl w:val="nil"/>
            </w:tcBorders>
            <w:noWrap w:val="0"/>
            <w:vAlign w:val="center"/>
          </w:tcPr>
          <w:p w14:paraId="1F717A1D">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716" w:type="pct"/>
            <w:vMerge w:val="continue"/>
            <w:tcBorders>
              <w:tl2br w:val="nil"/>
              <w:tr2bl w:val="nil"/>
            </w:tcBorders>
            <w:noWrap w:val="0"/>
            <w:vAlign w:val="center"/>
          </w:tcPr>
          <w:p w14:paraId="5C85A527">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631" w:type="pct"/>
            <w:vMerge w:val="continue"/>
            <w:tcBorders>
              <w:tl2br w:val="nil"/>
              <w:tr2bl w:val="nil"/>
            </w:tcBorders>
            <w:noWrap w:val="0"/>
            <w:vAlign w:val="center"/>
          </w:tcPr>
          <w:p w14:paraId="118CBD9F">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1295" w:type="pct"/>
            <w:tcBorders>
              <w:tl2br w:val="nil"/>
              <w:tr2bl w:val="nil"/>
            </w:tcBorders>
            <w:noWrap w:val="0"/>
            <w:vAlign w:val="center"/>
          </w:tcPr>
          <w:p w14:paraId="43EBE5FF">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24小时平均</w:t>
            </w:r>
          </w:p>
        </w:tc>
        <w:tc>
          <w:tcPr>
            <w:tcW w:w="1865" w:type="pct"/>
            <w:tcBorders>
              <w:tl2br w:val="nil"/>
              <w:tr2bl w:val="nil"/>
            </w:tcBorders>
            <w:noWrap w:val="0"/>
            <w:vAlign w:val="center"/>
          </w:tcPr>
          <w:p w14:paraId="1EDA0770">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80</w:t>
            </w:r>
          </w:p>
        </w:tc>
      </w:tr>
      <w:tr w14:paraId="2A61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continue"/>
            <w:tcBorders>
              <w:tl2br w:val="nil"/>
              <w:tr2bl w:val="nil"/>
            </w:tcBorders>
            <w:noWrap w:val="0"/>
            <w:vAlign w:val="center"/>
          </w:tcPr>
          <w:p w14:paraId="065A6829">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716" w:type="pct"/>
            <w:vMerge w:val="continue"/>
            <w:tcBorders>
              <w:tl2br w:val="nil"/>
              <w:tr2bl w:val="nil"/>
            </w:tcBorders>
            <w:noWrap w:val="0"/>
            <w:vAlign w:val="center"/>
          </w:tcPr>
          <w:p w14:paraId="4B1A83F7">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631" w:type="pct"/>
            <w:vMerge w:val="continue"/>
            <w:tcBorders>
              <w:tl2br w:val="nil"/>
              <w:tr2bl w:val="nil"/>
            </w:tcBorders>
            <w:noWrap w:val="0"/>
            <w:vAlign w:val="center"/>
          </w:tcPr>
          <w:p w14:paraId="2C72A533">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1295" w:type="pct"/>
            <w:tcBorders>
              <w:tl2br w:val="nil"/>
              <w:tr2bl w:val="nil"/>
            </w:tcBorders>
            <w:noWrap w:val="0"/>
            <w:vAlign w:val="center"/>
          </w:tcPr>
          <w:p w14:paraId="1DFEBC8B">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1小时平均</w:t>
            </w:r>
          </w:p>
        </w:tc>
        <w:tc>
          <w:tcPr>
            <w:tcW w:w="1865" w:type="pct"/>
            <w:tcBorders>
              <w:tl2br w:val="nil"/>
              <w:tr2bl w:val="nil"/>
            </w:tcBorders>
            <w:noWrap w:val="0"/>
            <w:vAlign w:val="center"/>
          </w:tcPr>
          <w:p w14:paraId="10D4E5FB">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200</w:t>
            </w:r>
          </w:p>
        </w:tc>
      </w:tr>
      <w:tr w14:paraId="2494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restart"/>
            <w:tcBorders>
              <w:tl2br w:val="nil"/>
              <w:tr2bl w:val="nil"/>
            </w:tcBorders>
            <w:noWrap w:val="0"/>
            <w:vAlign w:val="center"/>
          </w:tcPr>
          <w:p w14:paraId="7F4DFCE0">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3</w:t>
            </w:r>
          </w:p>
        </w:tc>
        <w:tc>
          <w:tcPr>
            <w:tcW w:w="716" w:type="pct"/>
            <w:vMerge w:val="restart"/>
            <w:tcBorders>
              <w:tl2br w:val="nil"/>
              <w:tr2bl w:val="nil"/>
            </w:tcBorders>
            <w:noWrap w:val="0"/>
            <w:vAlign w:val="center"/>
          </w:tcPr>
          <w:p w14:paraId="61708ED2">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PM</w:t>
            </w:r>
            <w:r>
              <w:rPr>
                <w:rFonts w:hint="default" w:ascii="Arial" w:hAnsi="Arial" w:cs="Arial"/>
                <w:color w:val="000000"/>
                <w:sz w:val="22"/>
                <w:szCs w:val="22"/>
                <w:vertAlign w:val="subscript"/>
              </w:rPr>
              <w:t>2.5</w:t>
            </w:r>
          </w:p>
        </w:tc>
        <w:tc>
          <w:tcPr>
            <w:tcW w:w="631" w:type="pct"/>
            <w:vMerge w:val="restart"/>
            <w:tcBorders>
              <w:tl2br w:val="nil"/>
              <w:tr2bl w:val="nil"/>
            </w:tcBorders>
            <w:noWrap w:val="0"/>
            <w:vAlign w:val="center"/>
          </w:tcPr>
          <w:p w14:paraId="0F7AD0CD">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ug/m</w:t>
            </w:r>
            <w:r>
              <w:rPr>
                <w:rFonts w:hint="default" w:ascii="Arial" w:hAnsi="Arial" w:cs="Arial"/>
                <w:color w:val="000000"/>
                <w:sz w:val="22"/>
                <w:szCs w:val="22"/>
                <w:vertAlign w:val="superscript"/>
              </w:rPr>
              <w:t>3</w:t>
            </w:r>
          </w:p>
        </w:tc>
        <w:tc>
          <w:tcPr>
            <w:tcW w:w="1295" w:type="pct"/>
            <w:tcBorders>
              <w:tl2br w:val="nil"/>
              <w:tr2bl w:val="nil"/>
            </w:tcBorders>
            <w:noWrap w:val="0"/>
            <w:vAlign w:val="center"/>
          </w:tcPr>
          <w:p w14:paraId="26990324">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年平均</w:t>
            </w:r>
          </w:p>
        </w:tc>
        <w:tc>
          <w:tcPr>
            <w:tcW w:w="1865" w:type="pct"/>
            <w:tcBorders>
              <w:tl2br w:val="nil"/>
              <w:tr2bl w:val="nil"/>
            </w:tcBorders>
            <w:noWrap w:val="0"/>
            <w:vAlign w:val="center"/>
          </w:tcPr>
          <w:p w14:paraId="3772A0F7">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35</w:t>
            </w:r>
          </w:p>
        </w:tc>
      </w:tr>
      <w:tr w14:paraId="736B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91" w:type="pct"/>
            <w:vMerge w:val="continue"/>
            <w:tcBorders>
              <w:tl2br w:val="nil"/>
              <w:tr2bl w:val="nil"/>
            </w:tcBorders>
            <w:noWrap w:val="0"/>
            <w:vAlign w:val="center"/>
          </w:tcPr>
          <w:p w14:paraId="06B2F1AE">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716" w:type="pct"/>
            <w:vMerge w:val="continue"/>
            <w:tcBorders>
              <w:tl2br w:val="nil"/>
              <w:tr2bl w:val="nil"/>
            </w:tcBorders>
            <w:noWrap w:val="0"/>
            <w:vAlign w:val="center"/>
          </w:tcPr>
          <w:p w14:paraId="3AE19BE1">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631" w:type="pct"/>
            <w:vMerge w:val="continue"/>
            <w:tcBorders>
              <w:tl2br w:val="nil"/>
              <w:tr2bl w:val="nil"/>
            </w:tcBorders>
            <w:noWrap w:val="0"/>
            <w:vAlign w:val="center"/>
          </w:tcPr>
          <w:p w14:paraId="01EF3FFA">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1295" w:type="pct"/>
            <w:tcBorders>
              <w:tl2br w:val="nil"/>
              <w:tr2bl w:val="nil"/>
            </w:tcBorders>
            <w:noWrap w:val="0"/>
            <w:vAlign w:val="center"/>
          </w:tcPr>
          <w:p w14:paraId="2CC91563">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24小时平均</w:t>
            </w:r>
          </w:p>
        </w:tc>
        <w:tc>
          <w:tcPr>
            <w:tcW w:w="1865" w:type="pct"/>
            <w:tcBorders>
              <w:tl2br w:val="nil"/>
              <w:tr2bl w:val="nil"/>
            </w:tcBorders>
            <w:noWrap w:val="0"/>
            <w:vAlign w:val="center"/>
          </w:tcPr>
          <w:p w14:paraId="1FFB7279">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75</w:t>
            </w:r>
          </w:p>
        </w:tc>
      </w:tr>
      <w:tr w14:paraId="3C52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restart"/>
            <w:tcBorders>
              <w:tl2br w:val="nil"/>
              <w:tr2bl w:val="nil"/>
            </w:tcBorders>
            <w:noWrap w:val="0"/>
            <w:vAlign w:val="center"/>
          </w:tcPr>
          <w:p w14:paraId="53DA0344">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4</w:t>
            </w:r>
          </w:p>
        </w:tc>
        <w:tc>
          <w:tcPr>
            <w:tcW w:w="716" w:type="pct"/>
            <w:vMerge w:val="restart"/>
            <w:tcBorders>
              <w:tl2br w:val="nil"/>
              <w:tr2bl w:val="nil"/>
            </w:tcBorders>
            <w:noWrap w:val="0"/>
            <w:vAlign w:val="center"/>
          </w:tcPr>
          <w:p w14:paraId="4E721CCE">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PM</w:t>
            </w:r>
            <w:r>
              <w:rPr>
                <w:rFonts w:hint="default" w:ascii="Arial" w:hAnsi="Arial" w:cs="Arial"/>
                <w:color w:val="000000"/>
                <w:sz w:val="22"/>
                <w:szCs w:val="22"/>
                <w:vertAlign w:val="subscript"/>
              </w:rPr>
              <w:t>10</w:t>
            </w:r>
          </w:p>
        </w:tc>
        <w:tc>
          <w:tcPr>
            <w:tcW w:w="631" w:type="pct"/>
            <w:vMerge w:val="restart"/>
            <w:tcBorders>
              <w:tl2br w:val="nil"/>
              <w:tr2bl w:val="nil"/>
            </w:tcBorders>
            <w:noWrap w:val="0"/>
            <w:vAlign w:val="center"/>
          </w:tcPr>
          <w:p w14:paraId="2D69147F">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ug/m</w:t>
            </w:r>
            <w:r>
              <w:rPr>
                <w:rFonts w:hint="default" w:ascii="Arial" w:hAnsi="Arial" w:cs="Arial"/>
                <w:color w:val="000000"/>
                <w:sz w:val="22"/>
                <w:szCs w:val="22"/>
                <w:vertAlign w:val="superscript"/>
              </w:rPr>
              <w:t>3</w:t>
            </w:r>
          </w:p>
        </w:tc>
        <w:tc>
          <w:tcPr>
            <w:tcW w:w="1295" w:type="pct"/>
            <w:tcBorders>
              <w:tl2br w:val="nil"/>
              <w:tr2bl w:val="nil"/>
            </w:tcBorders>
            <w:noWrap w:val="0"/>
            <w:vAlign w:val="center"/>
          </w:tcPr>
          <w:p w14:paraId="0DA7B503">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年平均</w:t>
            </w:r>
          </w:p>
        </w:tc>
        <w:tc>
          <w:tcPr>
            <w:tcW w:w="1865" w:type="pct"/>
            <w:tcBorders>
              <w:tl2br w:val="nil"/>
              <w:tr2bl w:val="nil"/>
            </w:tcBorders>
            <w:noWrap w:val="0"/>
            <w:vAlign w:val="center"/>
          </w:tcPr>
          <w:p w14:paraId="6952A448">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70</w:t>
            </w:r>
          </w:p>
        </w:tc>
      </w:tr>
      <w:tr w14:paraId="0C74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continue"/>
            <w:tcBorders>
              <w:tl2br w:val="nil"/>
              <w:tr2bl w:val="nil"/>
            </w:tcBorders>
            <w:noWrap w:val="0"/>
            <w:vAlign w:val="center"/>
          </w:tcPr>
          <w:p w14:paraId="3651C332">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716" w:type="pct"/>
            <w:vMerge w:val="continue"/>
            <w:tcBorders>
              <w:tl2br w:val="nil"/>
              <w:tr2bl w:val="nil"/>
            </w:tcBorders>
            <w:noWrap w:val="0"/>
            <w:vAlign w:val="center"/>
          </w:tcPr>
          <w:p w14:paraId="06793373">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631" w:type="pct"/>
            <w:vMerge w:val="continue"/>
            <w:tcBorders>
              <w:tl2br w:val="nil"/>
              <w:tr2bl w:val="nil"/>
            </w:tcBorders>
            <w:noWrap w:val="0"/>
            <w:vAlign w:val="center"/>
          </w:tcPr>
          <w:p w14:paraId="3B8F4A56">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1295" w:type="pct"/>
            <w:tcBorders>
              <w:tl2br w:val="nil"/>
              <w:tr2bl w:val="nil"/>
            </w:tcBorders>
            <w:noWrap w:val="0"/>
            <w:vAlign w:val="center"/>
          </w:tcPr>
          <w:p w14:paraId="38EC6423">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24小时平均</w:t>
            </w:r>
          </w:p>
        </w:tc>
        <w:tc>
          <w:tcPr>
            <w:tcW w:w="1865" w:type="pct"/>
            <w:tcBorders>
              <w:tl2br w:val="nil"/>
              <w:tr2bl w:val="nil"/>
            </w:tcBorders>
            <w:noWrap w:val="0"/>
            <w:vAlign w:val="center"/>
          </w:tcPr>
          <w:p w14:paraId="78C481F5">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150</w:t>
            </w:r>
          </w:p>
        </w:tc>
      </w:tr>
      <w:tr w14:paraId="18CD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restart"/>
            <w:tcBorders>
              <w:tl2br w:val="nil"/>
              <w:tr2bl w:val="nil"/>
            </w:tcBorders>
            <w:noWrap w:val="0"/>
            <w:vAlign w:val="center"/>
          </w:tcPr>
          <w:p w14:paraId="06417522">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5</w:t>
            </w:r>
          </w:p>
        </w:tc>
        <w:tc>
          <w:tcPr>
            <w:tcW w:w="716" w:type="pct"/>
            <w:vMerge w:val="restart"/>
            <w:tcBorders>
              <w:tl2br w:val="nil"/>
              <w:tr2bl w:val="nil"/>
            </w:tcBorders>
            <w:noWrap w:val="0"/>
            <w:vAlign w:val="center"/>
          </w:tcPr>
          <w:p w14:paraId="3BAD27C9">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CO</w:t>
            </w:r>
          </w:p>
        </w:tc>
        <w:tc>
          <w:tcPr>
            <w:tcW w:w="631" w:type="pct"/>
            <w:vMerge w:val="restart"/>
            <w:tcBorders>
              <w:tl2br w:val="nil"/>
              <w:tr2bl w:val="nil"/>
            </w:tcBorders>
            <w:noWrap w:val="0"/>
            <w:vAlign w:val="center"/>
          </w:tcPr>
          <w:p w14:paraId="045302AE">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mg/m</w:t>
            </w:r>
            <w:r>
              <w:rPr>
                <w:rFonts w:hint="default" w:ascii="Arial" w:hAnsi="Arial" w:cs="Arial"/>
                <w:color w:val="000000"/>
                <w:sz w:val="22"/>
                <w:szCs w:val="22"/>
                <w:vertAlign w:val="superscript"/>
              </w:rPr>
              <w:t>3</w:t>
            </w:r>
          </w:p>
        </w:tc>
        <w:tc>
          <w:tcPr>
            <w:tcW w:w="1295" w:type="pct"/>
            <w:tcBorders>
              <w:tl2br w:val="nil"/>
              <w:tr2bl w:val="nil"/>
            </w:tcBorders>
            <w:noWrap w:val="0"/>
            <w:vAlign w:val="center"/>
          </w:tcPr>
          <w:p w14:paraId="40939F4D">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年平均</w:t>
            </w:r>
          </w:p>
        </w:tc>
        <w:tc>
          <w:tcPr>
            <w:tcW w:w="1865" w:type="pct"/>
            <w:tcBorders>
              <w:tl2br w:val="nil"/>
              <w:tr2bl w:val="nil"/>
            </w:tcBorders>
            <w:noWrap w:val="0"/>
            <w:vAlign w:val="center"/>
          </w:tcPr>
          <w:p w14:paraId="1A215EF9">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4</w:t>
            </w:r>
          </w:p>
        </w:tc>
      </w:tr>
      <w:tr w14:paraId="34E4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continue"/>
            <w:tcBorders>
              <w:tl2br w:val="nil"/>
              <w:tr2bl w:val="nil"/>
            </w:tcBorders>
            <w:noWrap w:val="0"/>
            <w:vAlign w:val="center"/>
          </w:tcPr>
          <w:p w14:paraId="60D8EADB">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716" w:type="pct"/>
            <w:vMerge w:val="continue"/>
            <w:tcBorders>
              <w:tl2br w:val="nil"/>
              <w:tr2bl w:val="nil"/>
            </w:tcBorders>
            <w:noWrap w:val="0"/>
            <w:vAlign w:val="center"/>
          </w:tcPr>
          <w:p w14:paraId="4285BCDF">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631" w:type="pct"/>
            <w:vMerge w:val="continue"/>
            <w:tcBorders>
              <w:tl2br w:val="nil"/>
              <w:tr2bl w:val="nil"/>
            </w:tcBorders>
            <w:noWrap w:val="0"/>
            <w:vAlign w:val="center"/>
          </w:tcPr>
          <w:p w14:paraId="4DE4E8A7">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1295" w:type="pct"/>
            <w:tcBorders>
              <w:tl2br w:val="nil"/>
              <w:tr2bl w:val="nil"/>
            </w:tcBorders>
            <w:noWrap w:val="0"/>
            <w:vAlign w:val="center"/>
          </w:tcPr>
          <w:p w14:paraId="57702006">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24小时平均</w:t>
            </w:r>
          </w:p>
        </w:tc>
        <w:tc>
          <w:tcPr>
            <w:tcW w:w="1865" w:type="pct"/>
            <w:tcBorders>
              <w:tl2br w:val="nil"/>
              <w:tr2bl w:val="nil"/>
            </w:tcBorders>
            <w:noWrap w:val="0"/>
            <w:vAlign w:val="center"/>
          </w:tcPr>
          <w:p w14:paraId="11F286CF">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10</w:t>
            </w:r>
          </w:p>
        </w:tc>
      </w:tr>
      <w:tr w14:paraId="61678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jc w:val="center"/>
        </w:trPr>
        <w:tc>
          <w:tcPr>
            <w:tcW w:w="491" w:type="pct"/>
            <w:vMerge w:val="restart"/>
            <w:tcBorders>
              <w:tl2br w:val="nil"/>
              <w:tr2bl w:val="nil"/>
            </w:tcBorders>
            <w:noWrap w:val="0"/>
            <w:vAlign w:val="center"/>
          </w:tcPr>
          <w:p w14:paraId="2F2CFC55">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6</w:t>
            </w:r>
          </w:p>
        </w:tc>
        <w:tc>
          <w:tcPr>
            <w:tcW w:w="716" w:type="pct"/>
            <w:vMerge w:val="restart"/>
            <w:tcBorders>
              <w:tl2br w:val="nil"/>
              <w:tr2bl w:val="nil"/>
            </w:tcBorders>
            <w:noWrap w:val="0"/>
            <w:vAlign w:val="center"/>
          </w:tcPr>
          <w:p w14:paraId="32CF712A">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O</w:t>
            </w:r>
            <w:r>
              <w:rPr>
                <w:rFonts w:hint="default" w:ascii="Arial" w:hAnsi="Arial" w:cs="Arial"/>
                <w:color w:val="000000"/>
                <w:sz w:val="22"/>
                <w:szCs w:val="22"/>
                <w:vertAlign w:val="subscript"/>
              </w:rPr>
              <w:t>3</w:t>
            </w:r>
          </w:p>
        </w:tc>
        <w:tc>
          <w:tcPr>
            <w:tcW w:w="631" w:type="pct"/>
            <w:vMerge w:val="restart"/>
            <w:tcBorders>
              <w:tl2br w:val="nil"/>
              <w:tr2bl w:val="nil"/>
            </w:tcBorders>
            <w:noWrap w:val="0"/>
            <w:vAlign w:val="center"/>
          </w:tcPr>
          <w:p w14:paraId="0069D6F2">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ug/m</w:t>
            </w:r>
            <w:r>
              <w:rPr>
                <w:rFonts w:hint="default" w:ascii="Arial" w:hAnsi="Arial" w:cs="Arial"/>
                <w:color w:val="000000"/>
                <w:sz w:val="22"/>
                <w:szCs w:val="22"/>
                <w:vertAlign w:val="superscript"/>
              </w:rPr>
              <w:t>3</w:t>
            </w:r>
          </w:p>
        </w:tc>
        <w:tc>
          <w:tcPr>
            <w:tcW w:w="1295" w:type="pct"/>
            <w:tcBorders>
              <w:tl2br w:val="nil"/>
              <w:tr2bl w:val="nil"/>
            </w:tcBorders>
            <w:noWrap w:val="0"/>
            <w:vAlign w:val="center"/>
          </w:tcPr>
          <w:p w14:paraId="69153321">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日最大8小时平均</w:t>
            </w:r>
          </w:p>
        </w:tc>
        <w:tc>
          <w:tcPr>
            <w:tcW w:w="1865" w:type="pct"/>
            <w:tcBorders>
              <w:tl2br w:val="nil"/>
              <w:tr2bl w:val="nil"/>
            </w:tcBorders>
            <w:noWrap w:val="0"/>
            <w:vAlign w:val="center"/>
          </w:tcPr>
          <w:p w14:paraId="2711C1B8">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160</w:t>
            </w:r>
          </w:p>
        </w:tc>
      </w:tr>
      <w:tr w14:paraId="46DEF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491" w:type="pct"/>
            <w:vMerge w:val="continue"/>
            <w:tcBorders>
              <w:tl2br w:val="nil"/>
              <w:tr2bl w:val="nil"/>
            </w:tcBorders>
            <w:noWrap w:val="0"/>
            <w:vAlign w:val="center"/>
          </w:tcPr>
          <w:p w14:paraId="24595199">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716" w:type="pct"/>
            <w:vMerge w:val="continue"/>
            <w:tcBorders>
              <w:tl2br w:val="nil"/>
              <w:tr2bl w:val="nil"/>
            </w:tcBorders>
            <w:noWrap w:val="0"/>
            <w:vAlign w:val="center"/>
          </w:tcPr>
          <w:p w14:paraId="2C1953C0">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631" w:type="pct"/>
            <w:vMerge w:val="continue"/>
            <w:tcBorders>
              <w:tl2br w:val="nil"/>
              <w:tr2bl w:val="nil"/>
            </w:tcBorders>
            <w:noWrap w:val="0"/>
            <w:vAlign w:val="center"/>
          </w:tcPr>
          <w:p w14:paraId="3F12BAC6">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p>
        </w:tc>
        <w:tc>
          <w:tcPr>
            <w:tcW w:w="1295" w:type="pct"/>
            <w:tcBorders>
              <w:tl2br w:val="nil"/>
              <w:tr2bl w:val="nil"/>
            </w:tcBorders>
            <w:noWrap w:val="0"/>
            <w:vAlign w:val="center"/>
          </w:tcPr>
          <w:p w14:paraId="15D9DF33">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1小时平均</w:t>
            </w:r>
          </w:p>
        </w:tc>
        <w:tc>
          <w:tcPr>
            <w:tcW w:w="1865" w:type="pct"/>
            <w:tcBorders>
              <w:tl2br w:val="nil"/>
              <w:tr2bl w:val="nil"/>
            </w:tcBorders>
            <w:noWrap w:val="0"/>
            <w:vAlign w:val="center"/>
          </w:tcPr>
          <w:p w14:paraId="1AB77A1A">
            <w:pPr>
              <w:pStyle w:val="130"/>
              <w:keepNext w:val="0"/>
              <w:keepLines w:val="0"/>
              <w:pageBreakBefore w:val="0"/>
              <w:widowControl w:val="0"/>
              <w:kinsoku/>
              <w:wordWrap/>
              <w:overflowPunct/>
              <w:topLinePunct w:val="0"/>
              <w:autoSpaceDE/>
              <w:autoSpaceDN/>
              <w:bidi w:val="0"/>
              <w:adjustRightInd w:val="0"/>
              <w:snapToGrid w:val="0"/>
              <w:spacing w:beforeLines="0" w:afterLines="0" w:line="300" w:lineRule="exact"/>
              <w:textAlignment w:val="auto"/>
              <w:rPr>
                <w:rFonts w:hint="default" w:ascii="Arial" w:hAnsi="Arial" w:cs="Arial"/>
                <w:color w:val="000000"/>
                <w:sz w:val="22"/>
                <w:szCs w:val="22"/>
              </w:rPr>
            </w:pPr>
            <w:r>
              <w:rPr>
                <w:rFonts w:hint="default" w:ascii="Arial" w:hAnsi="Arial" w:cs="Arial"/>
                <w:color w:val="000000"/>
                <w:sz w:val="22"/>
                <w:szCs w:val="22"/>
              </w:rPr>
              <w:t>200</w:t>
            </w:r>
          </w:p>
        </w:tc>
      </w:tr>
    </w:tbl>
    <w:p w14:paraId="5A69FC2F">
      <w:pPr>
        <w:keepNext w:val="0"/>
        <w:keepLines w:val="0"/>
        <w:pageBreakBefore w:val="0"/>
        <w:widowControl w:val="0"/>
        <w:kinsoku/>
        <w:wordWrap/>
        <w:overflowPunct/>
        <w:topLinePunct w:val="0"/>
        <w:autoSpaceDE/>
        <w:autoSpaceDN/>
        <w:bidi w:val="0"/>
        <w:adjustRightInd/>
        <w:snapToGrid/>
        <w:spacing w:line="240" w:lineRule="exact"/>
        <w:ind w:firstLine="384" w:firstLineChars="147"/>
        <w:jc w:val="both"/>
        <w:textAlignment w:val="auto"/>
        <w:rPr>
          <w:rFonts w:hint="eastAsia" w:ascii="Arial" w:hAnsi="Arial" w:eastAsia="宋体" w:cs="Arial"/>
          <w:b/>
          <w:bCs/>
          <w:kern w:val="0"/>
          <w:sz w:val="26"/>
          <w:szCs w:val="26"/>
          <w:lang w:val="en-US" w:eastAsia="zh-CN" w:bidi="ar-SA"/>
        </w:rPr>
      </w:pPr>
    </w:p>
    <w:p w14:paraId="449DA8CE">
      <w:pPr>
        <w:spacing w:line="460" w:lineRule="exact"/>
        <w:ind w:firstLine="384" w:firstLineChars="147"/>
        <w:jc w:val="both"/>
        <w:rPr>
          <w:rFonts w:hint="default"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（2）地表水环境</w:t>
      </w:r>
    </w:p>
    <w:p w14:paraId="4CCF6398">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kern w:val="0"/>
          <w:sz w:val="26"/>
          <w:szCs w:val="26"/>
          <w:lang w:val="fr-FR" w:eastAsia="zh-CN" w:bidi="ar-SA"/>
        </w:rPr>
      </w:pPr>
      <w:bookmarkStart w:id="54" w:name="OLE_LINK3"/>
      <w:r>
        <w:rPr>
          <w:rFonts w:hint="eastAsia" w:ascii="Arial" w:hAnsi="Arial" w:eastAsia="宋体" w:cs="Arial"/>
          <w:kern w:val="0"/>
          <w:sz w:val="26"/>
          <w:szCs w:val="26"/>
          <w:lang w:val="fr-FR" w:eastAsia="zh-CN" w:bidi="ar-SA"/>
        </w:rPr>
        <w:t>海螺沟水库所在水系属渠溪河，所在河段为海螺沟，</w:t>
      </w:r>
      <w:r>
        <w:rPr>
          <w:rFonts w:hint="eastAsia" w:ascii="Arial" w:hAnsi="Arial" w:cs="Arial"/>
          <w:color w:val="auto"/>
          <w:kern w:val="0"/>
          <w:sz w:val="26"/>
          <w:szCs w:val="26"/>
          <w:highlight w:val="none"/>
          <w:lang w:val="en-US" w:eastAsia="zh-CN"/>
        </w:rPr>
        <w:t>为</w:t>
      </w:r>
      <w:r>
        <w:rPr>
          <w:rFonts w:hint="eastAsia" w:ascii="Arial" w:hAnsi="Arial" w:eastAsia="宋体" w:cs="Arial"/>
          <w:color w:val="auto"/>
          <w:kern w:val="0"/>
          <w:sz w:val="26"/>
          <w:szCs w:val="26"/>
          <w:highlight w:val="none"/>
          <w:lang w:val="en-US" w:eastAsia="zh-CN"/>
        </w:rPr>
        <w:t>渠溪河左岸一级支流双龙河</w:t>
      </w:r>
      <w:r>
        <w:rPr>
          <w:rFonts w:hint="eastAsia" w:ascii="Arial" w:hAnsi="Arial" w:cs="Arial"/>
          <w:color w:val="auto"/>
          <w:kern w:val="0"/>
          <w:sz w:val="26"/>
          <w:szCs w:val="26"/>
          <w:highlight w:val="none"/>
          <w:lang w:val="en-US" w:eastAsia="zh-CN"/>
        </w:rPr>
        <w:t>右岸一级支流高洞桥河左岸一级</w:t>
      </w:r>
      <w:r>
        <w:rPr>
          <w:rFonts w:hint="eastAsia" w:ascii="Arial" w:hAnsi="Arial" w:eastAsia="宋体" w:cs="Arial"/>
          <w:color w:val="auto"/>
          <w:kern w:val="0"/>
          <w:sz w:val="26"/>
          <w:szCs w:val="26"/>
          <w:highlight w:val="none"/>
          <w:lang w:val="en-US" w:eastAsia="zh-CN"/>
        </w:rPr>
        <w:t>支流</w:t>
      </w:r>
      <w:r>
        <w:rPr>
          <w:rFonts w:hint="eastAsia" w:ascii="Arial" w:hAnsi="Arial" w:eastAsia="宋体" w:cs="Arial"/>
          <w:kern w:val="0"/>
          <w:sz w:val="26"/>
          <w:szCs w:val="26"/>
          <w:lang w:val="fr-FR" w:eastAsia="zh-CN" w:bidi="ar-SA"/>
        </w:rPr>
        <w:t>。根据《重庆市人民政府批转重庆市地表水环境功能类别调整方案的通知》（渝府发〔2012〕4号），渠溪河为</w:t>
      </w:r>
      <w:r>
        <w:rPr>
          <w:rFonts w:hint="eastAsia" w:ascii="Arial" w:hAnsi="Arial" w:eastAsia="宋体" w:cs="Arial"/>
          <w:kern w:val="0"/>
          <w:sz w:val="26"/>
          <w:szCs w:val="26"/>
          <w:lang w:val="en-US" w:eastAsia="zh-CN" w:bidi="ar-SA"/>
        </w:rPr>
        <w:t>Ⅲ类水体，</w:t>
      </w:r>
      <w:r>
        <w:rPr>
          <w:rFonts w:hint="eastAsia" w:ascii="Arial" w:hAnsi="Arial" w:eastAsia="宋体" w:cs="Arial"/>
          <w:kern w:val="0"/>
          <w:sz w:val="26"/>
          <w:szCs w:val="26"/>
          <w:lang w:val="fr-FR" w:eastAsia="zh-CN" w:bidi="ar-SA"/>
        </w:rPr>
        <w:t>海螺沟、高洞桥河、双龙河均无环境功能区划，故参照渠溪河</w:t>
      </w:r>
      <w:r>
        <w:rPr>
          <w:rFonts w:hint="eastAsia" w:ascii="Arial" w:hAnsi="Arial" w:eastAsia="宋体" w:cs="Arial"/>
          <w:kern w:val="0"/>
          <w:sz w:val="26"/>
          <w:szCs w:val="26"/>
          <w:lang w:val="en-US" w:eastAsia="zh-CN" w:bidi="ar-SA"/>
        </w:rPr>
        <w:t>执行</w:t>
      </w:r>
      <w:r>
        <w:rPr>
          <w:rFonts w:hint="eastAsia" w:ascii="Arial" w:hAnsi="Arial" w:eastAsia="宋体" w:cs="Arial"/>
          <w:kern w:val="0"/>
          <w:sz w:val="26"/>
          <w:szCs w:val="26"/>
          <w:lang w:val="fr-FR" w:eastAsia="zh-CN" w:bidi="ar-SA"/>
        </w:rPr>
        <w:t>《地表水环境质量标准》（GB 3838</w:t>
      </w:r>
      <w:r>
        <w:rPr>
          <w:rFonts w:hint="eastAsia" w:ascii="Arial" w:hAnsi="Arial" w:eastAsia="宋体" w:cs="Arial"/>
          <w:kern w:val="0"/>
          <w:sz w:val="26"/>
          <w:szCs w:val="26"/>
          <w:lang w:val="en-US" w:eastAsia="zh-CN" w:bidi="ar-SA"/>
        </w:rPr>
        <w:t>-</w:t>
      </w:r>
      <w:r>
        <w:rPr>
          <w:rFonts w:hint="eastAsia" w:ascii="Arial" w:hAnsi="Arial" w:eastAsia="宋体" w:cs="Arial"/>
          <w:kern w:val="0"/>
          <w:sz w:val="26"/>
          <w:szCs w:val="26"/>
          <w:lang w:val="fr-FR" w:eastAsia="zh-CN" w:bidi="ar-SA"/>
        </w:rPr>
        <w:t>2002）中</w:t>
      </w:r>
      <w:r>
        <w:rPr>
          <w:rFonts w:hint="eastAsia" w:ascii="Arial" w:hAnsi="Arial" w:eastAsia="宋体" w:cs="Arial"/>
          <w:kern w:val="0"/>
          <w:sz w:val="26"/>
          <w:szCs w:val="26"/>
          <w:lang w:val="en-US" w:eastAsia="zh-CN" w:bidi="ar-SA"/>
        </w:rPr>
        <w:t>Ⅲ类标准。同时本项目建成后具有农灌功能，故库区水质还应满足《农田灌溉水质标准》（GB5084-2005）中限值要求。经对比，</w:t>
      </w:r>
      <w:r>
        <w:rPr>
          <w:rFonts w:hint="eastAsia" w:ascii="Arial" w:hAnsi="Arial" w:eastAsia="宋体" w:cs="Arial"/>
          <w:kern w:val="0"/>
          <w:sz w:val="26"/>
          <w:szCs w:val="26"/>
          <w:lang w:val="fr-FR" w:eastAsia="zh-CN" w:bidi="ar-SA"/>
        </w:rPr>
        <w:t>《地表水环境质量标准》（GB 3838</w:t>
      </w:r>
      <w:r>
        <w:rPr>
          <w:rFonts w:hint="eastAsia" w:ascii="Arial" w:hAnsi="Arial" w:eastAsia="宋体" w:cs="Arial"/>
          <w:kern w:val="0"/>
          <w:sz w:val="26"/>
          <w:szCs w:val="26"/>
          <w:lang w:val="en-US" w:eastAsia="zh-CN" w:bidi="ar-SA"/>
        </w:rPr>
        <w:t>-</w:t>
      </w:r>
      <w:r>
        <w:rPr>
          <w:rFonts w:hint="eastAsia" w:ascii="Arial" w:hAnsi="Arial" w:eastAsia="宋体" w:cs="Arial"/>
          <w:kern w:val="0"/>
          <w:sz w:val="26"/>
          <w:szCs w:val="26"/>
          <w:lang w:val="fr-FR" w:eastAsia="zh-CN" w:bidi="ar-SA"/>
        </w:rPr>
        <w:t>2002）中</w:t>
      </w:r>
      <w:r>
        <w:rPr>
          <w:rFonts w:hint="eastAsia" w:ascii="Arial" w:hAnsi="Arial" w:eastAsia="宋体" w:cs="Arial"/>
          <w:kern w:val="0"/>
          <w:sz w:val="26"/>
          <w:szCs w:val="26"/>
          <w:lang w:val="en-US" w:eastAsia="zh-CN" w:bidi="ar-SA"/>
        </w:rPr>
        <w:t>Ⅲ类标准限值总体严于《农田灌溉水质标准》（GB5084-2005）中限值要求，故本项目地表水质执行</w:t>
      </w:r>
      <w:r>
        <w:rPr>
          <w:rFonts w:hint="eastAsia" w:ascii="Arial" w:hAnsi="Arial" w:eastAsia="宋体" w:cs="Arial"/>
          <w:kern w:val="0"/>
          <w:sz w:val="26"/>
          <w:szCs w:val="26"/>
          <w:lang w:val="fr-FR" w:eastAsia="zh-CN" w:bidi="ar-SA"/>
        </w:rPr>
        <w:t>《地表水环境质量标准》（GB 3838</w:t>
      </w:r>
      <w:r>
        <w:rPr>
          <w:rFonts w:hint="eastAsia" w:ascii="Arial" w:hAnsi="Arial" w:eastAsia="宋体" w:cs="Arial"/>
          <w:kern w:val="0"/>
          <w:sz w:val="26"/>
          <w:szCs w:val="26"/>
          <w:lang w:val="en-US" w:eastAsia="zh-CN" w:bidi="ar-SA"/>
        </w:rPr>
        <w:t>-</w:t>
      </w:r>
      <w:r>
        <w:rPr>
          <w:rFonts w:hint="eastAsia" w:ascii="Arial" w:hAnsi="Arial" w:eastAsia="宋体" w:cs="Arial"/>
          <w:kern w:val="0"/>
          <w:sz w:val="26"/>
          <w:szCs w:val="26"/>
          <w:lang w:val="fr-FR" w:eastAsia="zh-CN" w:bidi="ar-SA"/>
        </w:rPr>
        <w:t>2002）中</w:t>
      </w:r>
      <w:r>
        <w:rPr>
          <w:rFonts w:hint="eastAsia" w:ascii="Arial" w:hAnsi="Arial" w:eastAsia="宋体" w:cs="Arial"/>
          <w:kern w:val="0"/>
          <w:sz w:val="26"/>
          <w:szCs w:val="26"/>
          <w:lang w:val="en-US" w:eastAsia="zh-CN" w:bidi="ar-SA"/>
        </w:rPr>
        <w:t>Ⅲ类标准。详见表1.5-2所示。</w:t>
      </w:r>
    </w:p>
    <w:bookmarkEnd w:id="54"/>
    <w:p w14:paraId="2A069BF8">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default" w:ascii="Arial" w:hAnsi="Arial" w:eastAsia="宋体" w:cs="Arial"/>
          <w:b/>
          <w:bCs/>
          <w:color w:val="000000"/>
          <w:kern w:val="0"/>
          <w:sz w:val="26"/>
          <w:szCs w:val="26"/>
          <w:lang w:val="en-US" w:eastAsia="zh-CN" w:bidi="ar-SA"/>
        </w:rPr>
      </w:pPr>
      <w:r>
        <w:rPr>
          <w:rFonts w:hint="eastAsia" w:ascii="Arial" w:hAnsi="Arial" w:eastAsia="宋体" w:cs="Arial"/>
          <w:b/>
          <w:bCs/>
          <w:color w:val="000000"/>
          <w:kern w:val="0"/>
          <w:sz w:val="26"/>
          <w:szCs w:val="26"/>
          <w:lang w:val="en-US" w:eastAsia="zh-CN" w:bidi="ar-SA"/>
        </w:rPr>
        <w:t>表1.</w:t>
      </w:r>
      <w:r>
        <w:rPr>
          <w:rFonts w:hint="eastAsia" w:ascii="Arial" w:hAnsi="Arial" w:cs="Arial"/>
          <w:b/>
          <w:bCs/>
          <w:color w:val="000000"/>
          <w:kern w:val="0"/>
          <w:sz w:val="26"/>
          <w:szCs w:val="26"/>
          <w:lang w:val="en-US" w:eastAsia="zh-CN" w:bidi="ar-SA"/>
        </w:rPr>
        <w:t>5</w:t>
      </w:r>
      <w:r>
        <w:rPr>
          <w:rFonts w:hint="eastAsia" w:ascii="Arial" w:hAnsi="Arial" w:eastAsia="宋体" w:cs="Arial"/>
          <w:b/>
          <w:bCs/>
          <w:color w:val="000000"/>
          <w:kern w:val="0"/>
          <w:sz w:val="26"/>
          <w:szCs w:val="26"/>
          <w:lang w:val="en-US" w:eastAsia="zh-CN" w:bidi="ar-SA"/>
        </w:rPr>
        <w:t>-2  地表水环境质量标准   单位：mg/L</w:t>
      </w:r>
    </w:p>
    <w:tbl>
      <w:tblPr>
        <w:tblStyle w:val="1893"/>
        <w:tblW w:w="84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8"/>
        <w:gridCol w:w="1694"/>
        <w:gridCol w:w="1115"/>
        <w:gridCol w:w="6"/>
        <w:gridCol w:w="772"/>
        <w:gridCol w:w="2711"/>
        <w:gridCol w:w="6"/>
        <w:gridCol w:w="1429"/>
        <w:gridCol w:w="16"/>
      </w:tblGrid>
      <w:tr w14:paraId="573A1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728" w:type="dxa"/>
            <w:tcBorders>
              <w:bottom w:val="nil"/>
            </w:tcBorders>
            <w:vAlign w:val="center"/>
          </w:tcPr>
          <w:p w14:paraId="03D30E5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序号</w:t>
            </w:r>
          </w:p>
        </w:tc>
        <w:tc>
          <w:tcPr>
            <w:tcW w:w="1694" w:type="dxa"/>
            <w:tcBorders>
              <w:bottom w:val="nil"/>
            </w:tcBorders>
            <w:vAlign w:val="center"/>
          </w:tcPr>
          <w:p w14:paraId="623FFF64">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污染物名称</w:t>
            </w:r>
          </w:p>
        </w:tc>
        <w:tc>
          <w:tcPr>
            <w:tcW w:w="1115" w:type="dxa"/>
            <w:vAlign w:val="center"/>
          </w:tcPr>
          <w:p w14:paraId="7CD9C52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标准值</w:t>
            </w:r>
          </w:p>
        </w:tc>
        <w:tc>
          <w:tcPr>
            <w:tcW w:w="778" w:type="dxa"/>
            <w:gridSpan w:val="2"/>
            <w:tcBorders>
              <w:bottom w:val="nil"/>
            </w:tcBorders>
            <w:vAlign w:val="center"/>
          </w:tcPr>
          <w:p w14:paraId="038CFC6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序号</w:t>
            </w:r>
          </w:p>
        </w:tc>
        <w:tc>
          <w:tcPr>
            <w:tcW w:w="2711" w:type="dxa"/>
            <w:tcBorders>
              <w:bottom w:val="nil"/>
            </w:tcBorders>
            <w:vAlign w:val="center"/>
          </w:tcPr>
          <w:p w14:paraId="34BBBFA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污染物名称</w:t>
            </w:r>
          </w:p>
        </w:tc>
        <w:tc>
          <w:tcPr>
            <w:tcW w:w="1451" w:type="dxa"/>
            <w:gridSpan w:val="3"/>
            <w:vAlign w:val="center"/>
          </w:tcPr>
          <w:p w14:paraId="5394211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标准值</w:t>
            </w:r>
          </w:p>
        </w:tc>
      </w:tr>
      <w:tr w14:paraId="76883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728" w:type="dxa"/>
            <w:vAlign w:val="center"/>
          </w:tcPr>
          <w:p w14:paraId="40AA1A39">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1</w:t>
            </w:r>
          </w:p>
        </w:tc>
        <w:tc>
          <w:tcPr>
            <w:tcW w:w="1694" w:type="dxa"/>
            <w:vAlign w:val="center"/>
          </w:tcPr>
          <w:p w14:paraId="437859F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pH</w:t>
            </w:r>
          </w:p>
        </w:tc>
        <w:tc>
          <w:tcPr>
            <w:tcW w:w="1115" w:type="dxa"/>
            <w:vAlign w:val="center"/>
          </w:tcPr>
          <w:p w14:paraId="2BC30B39">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6~9</w:t>
            </w:r>
          </w:p>
        </w:tc>
        <w:tc>
          <w:tcPr>
            <w:tcW w:w="778" w:type="dxa"/>
            <w:gridSpan w:val="2"/>
            <w:vAlign w:val="center"/>
          </w:tcPr>
          <w:p w14:paraId="04EE467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15</w:t>
            </w:r>
          </w:p>
        </w:tc>
        <w:tc>
          <w:tcPr>
            <w:tcW w:w="2711" w:type="dxa"/>
            <w:vAlign w:val="center"/>
          </w:tcPr>
          <w:p w14:paraId="7435BDBD">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砷</w:t>
            </w:r>
          </w:p>
        </w:tc>
        <w:tc>
          <w:tcPr>
            <w:tcW w:w="1451" w:type="dxa"/>
            <w:gridSpan w:val="3"/>
            <w:vAlign w:val="center"/>
          </w:tcPr>
          <w:p w14:paraId="48B6C60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5"/>
                <w:sz w:val="22"/>
                <w:szCs w:val="22"/>
              </w:rPr>
              <w:t>0.05</w:t>
            </w:r>
          </w:p>
        </w:tc>
      </w:tr>
      <w:tr w14:paraId="640C7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jc w:val="center"/>
        </w:trPr>
        <w:tc>
          <w:tcPr>
            <w:tcW w:w="728" w:type="dxa"/>
            <w:vAlign w:val="center"/>
          </w:tcPr>
          <w:p w14:paraId="4088328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2</w:t>
            </w:r>
          </w:p>
        </w:tc>
        <w:tc>
          <w:tcPr>
            <w:tcW w:w="1694" w:type="dxa"/>
            <w:vAlign w:val="center"/>
          </w:tcPr>
          <w:p w14:paraId="0B5CF1F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溶解氧</w:t>
            </w:r>
          </w:p>
        </w:tc>
        <w:tc>
          <w:tcPr>
            <w:tcW w:w="1121" w:type="dxa"/>
            <w:gridSpan w:val="2"/>
            <w:vAlign w:val="center"/>
          </w:tcPr>
          <w:p w14:paraId="5CE48FF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10"/>
                <w:sz w:val="22"/>
                <w:szCs w:val="22"/>
              </w:rPr>
              <w:t>≥</w:t>
            </w:r>
            <w:r>
              <w:rPr>
                <w:rFonts w:hint="default" w:ascii="Arial" w:hAnsi="Arial" w:cs="Arial"/>
                <w:spacing w:val="-10"/>
                <w:sz w:val="22"/>
                <w:szCs w:val="22"/>
              </w:rPr>
              <w:t>5</w:t>
            </w:r>
          </w:p>
        </w:tc>
        <w:tc>
          <w:tcPr>
            <w:tcW w:w="772" w:type="dxa"/>
            <w:vAlign w:val="center"/>
          </w:tcPr>
          <w:p w14:paraId="1710B7F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16</w:t>
            </w:r>
          </w:p>
        </w:tc>
        <w:tc>
          <w:tcPr>
            <w:tcW w:w="2717" w:type="dxa"/>
            <w:gridSpan w:val="2"/>
            <w:vAlign w:val="center"/>
          </w:tcPr>
          <w:p w14:paraId="2630184D">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铅</w:t>
            </w:r>
          </w:p>
        </w:tc>
        <w:tc>
          <w:tcPr>
            <w:tcW w:w="1445" w:type="dxa"/>
            <w:gridSpan w:val="2"/>
            <w:vAlign w:val="center"/>
          </w:tcPr>
          <w:p w14:paraId="75CBE8F7">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5"/>
                <w:sz w:val="22"/>
                <w:szCs w:val="22"/>
              </w:rPr>
              <w:t>0.05</w:t>
            </w:r>
          </w:p>
        </w:tc>
      </w:tr>
      <w:tr w14:paraId="02144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728" w:type="dxa"/>
            <w:vAlign w:val="center"/>
          </w:tcPr>
          <w:p w14:paraId="14B1094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3</w:t>
            </w:r>
          </w:p>
        </w:tc>
        <w:tc>
          <w:tcPr>
            <w:tcW w:w="1694" w:type="dxa"/>
            <w:vAlign w:val="center"/>
          </w:tcPr>
          <w:p w14:paraId="794F5DF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化学需氧量</w:t>
            </w:r>
          </w:p>
        </w:tc>
        <w:tc>
          <w:tcPr>
            <w:tcW w:w="1121" w:type="dxa"/>
            <w:gridSpan w:val="2"/>
            <w:vAlign w:val="center"/>
          </w:tcPr>
          <w:p w14:paraId="2F43BAB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6"/>
                <w:sz w:val="22"/>
                <w:szCs w:val="22"/>
              </w:rPr>
              <w:t>20</w:t>
            </w:r>
          </w:p>
        </w:tc>
        <w:tc>
          <w:tcPr>
            <w:tcW w:w="772" w:type="dxa"/>
            <w:vAlign w:val="center"/>
          </w:tcPr>
          <w:p w14:paraId="22B37C1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17</w:t>
            </w:r>
          </w:p>
        </w:tc>
        <w:tc>
          <w:tcPr>
            <w:tcW w:w="2717" w:type="dxa"/>
            <w:gridSpan w:val="2"/>
            <w:vAlign w:val="center"/>
          </w:tcPr>
          <w:p w14:paraId="7776D8B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镉</w:t>
            </w:r>
          </w:p>
        </w:tc>
        <w:tc>
          <w:tcPr>
            <w:tcW w:w="1445" w:type="dxa"/>
            <w:gridSpan w:val="2"/>
            <w:vAlign w:val="center"/>
          </w:tcPr>
          <w:p w14:paraId="3D230D0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4"/>
                <w:sz w:val="22"/>
                <w:szCs w:val="22"/>
              </w:rPr>
              <w:t>0.005</w:t>
            </w:r>
          </w:p>
        </w:tc>
      </w:tr>
      <w:tr w14:paraId="42E41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jc w:val="center"/>
        </w:trPr>
        <w:tc>
          <w:tcPr>
            <w:tcW w:w="728" w:type="dxa"/>
            <w:vAlign w:val="center"/>
          </w:tcPr>
          <w:p w14:paraId="7BE8027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4</w:t>
            </w:r>
          </w:p>
        </w:tc>
        <w:tc>
          <w:tcPr>
            <w:tcW w:w="1694" w:type="dxa"/>
            <w:vAlign w:val="center"/>
          </w:tcPr>
          <w:p w14:paraId="6D81A51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Arial" w:hAnsi="Arial" w:cs="Arial"/>
                <w:spacing w:val="-2"/>
                <w:sz w:val="22"/>
                <w:szCs w:val="22"/>
                <w:lang w:eastAsia="zh-CN"/>
              </w:rPr>
              <w:t>五日</w:t>
            </w:r>
            <w:r>
              <w:rPr>
                <w:rFonts w:hint="default" w:ascii="Arial" w:hAnsi="Arial" w:cs="Arial"/>
                <w:spacing w:val="-2"/>
                <w:sz w:val="22"/>
                <w:szCs w:val="22"/>
              </w:rPr>
              <w:t>生化需氧量</w:t>
            </w:r>
          </w:p>
        </w:tc>
        <w:tc>
          <w:tcPr>
            <w:tcW w:w="1121" w:type="dxa"/>
            <w:gridSpan w:val="2"/>
            <w:vAlign w:val="center"/>
          </w:tcPr>
          <w:p w14:paraId="275F145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8"/>
                <w:sz w:val="22"/>
                <w:szCs w:val="22"/>
              </w:rPr>
              <w:t>≤</w:t>
            </w:r>
            <w:r>
              <w:rPr>
                <w:rFonts w:hint="default" w:ascii="Arial" w:hAnsi="Arial" w:cs="Arial"/>
                <w:spacing w:val="-8"/>
                <w:sz w:val="22"/>
                <w:szCs w:val="22"/>
              </w:rPr>
              <w:t>4</w:t>
            </w:r>
          </w:p>
        </w:tc>
        <w:tc>
          <w:tcPr>
            <w:tcW w:w="772" w:type="dxa"/>
            <w:vAlign w:val="center"/>
          </w:tcPr>
          <w:p w14:paraId="58B7EF0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18</w:t>
            </w:r>
          </w:p>
        </w:tc>
        <w:tc>
          <w:tcPr>
            <w:tcW w:w="2717" w:type="dxa"/>
            <w:gridSpan w:val="2"/>
            <w:vAlign w:val="center"/>
          </w:tcPr>
          <w:p w14:paraId="78C2164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铜</w:t>
            </w:r>
          </w:p>
        </w:tc>
        <w:tc>
          <w:tcPr>
            <w:tcW w:w="1445" w:type="dxa"/>
            <w:gridSpan w:val="2"/>
            <w:vAlign w:val="center"/>
          </w:tcPr>
          <w:p w14:paraId="338BBF1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6"/>
                <w:sz w:val="22"/>
                <w:szCs w:val="22"/>
              </w:rPr>
              <w:t>1.0</w:t>
            </w:r>
          </w:p>
        </w:tc>
      </w:tr>
      <w:tr w14:paraId="08336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728" w:type="dxa"/>
            <w:vAlign w:val="center"/>
          </w:tcPr>
          <w:p w14:paraId="02EBC31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5</w:t>
            </w:r>
          </w:p>
        </w:tc>
        <w:tc>
          <w:tcPr>
            <w:tcW w:w="1694" w:type="dxa"/>
            <w:vAlign w:val="center"/>
          </w:tcPr>
          <w:p w14:paraId="16736C5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氨氮</w:t>
            </w:r>
          </w:p>
        </w:tc>
        <w:tc>
          <w:tcPr>
            <w:tcW w:w="1121" w:type="dxa"/>
            <w:gridSpan w:val="2"/>
            <w:vAlign w:val="center"/>
          </w:tcPr>
          <w:p w14:paraId="201842D7">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6"/>
                <w:sz w:val="22"/>
                <w:szCs w:val="22"/>
              </w:rPr>
              <w:t>1.0</w:t>
            </w:r>
          </w:p>
        </w:tc>
        <w:tc>
          <w:tcPr>
            <w:tcW w:w="772" w:type="dxa"/>
            <w:vAlign w:val="center"/>
          </w:tcPr>
          <w:p w14:paraId="2108120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19</w:t>
            </w:r>
          </w:p>
        </w:tc>
        <w:tc>
          <w:tcPr>
            <w:tcW w:w="2717" w:type="dxa"/>
            <w:gridSpan w:val="2"/>
            <w:vAlign w:val="center"/>
          </w:tcPr>
          <w:p w14:paraId="10BE0912">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锌</w:t>
            </w:r>
          </w:p>
        </w:tc>
        <w:tc>
          <w:tcPr>
            <w:tcW w:w="1445" w:type="dxa"/>
            <w:gridSpan w:val="2"/>
            <w:vAlign w:val="center"/>
          </w:tcPr>
          <w:p w14:paraId="2DB512B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6"/>
                <w:sz w:val="22"/>
                <w:szCs w:val="22"/>
              </w:rPr>
              <w:t>1.0</w:t>
            </w:r>
          </w:p>
        </w:tc>
      </w:tr>
      <w:tr w14:paraId="14973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jc w:val="center"/>
        </w:trPr>
        <w:tc>
          <w:tcPr>
            <w:tcW w:w="728" w:type="dxa"/>
            <w:vAlign w:val="center"/>
          </w:tcPr>
          <w:p w14:paraId="7C252C7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6</w:t>
            </w:r>
          </w:p>
        </w:tc>
        <w:tc>
          <w:tcPr>
            <w:tcW w:w="1694" w:type="dxa"/>
            <w:vAlign w:val="center"/>
          </w:tcPr>
          <w:p w14:paraId="4D690AB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挥发酚</w:t>
            </w:r>
          </w:p>
        </w:tc>
        <w:tc>
          <w:tcPr>
            <w:tcW w:w="1121" w:type="dxa"/>
            <w:gridSpan w:val="2"/>
            <w:vAlign w:val="center"/>
          </w:tcPr>
          <w:p w14:paraId="698312B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2"/>
                <w:sz w:val="22"/>
                <w:szCs w:val="22"/>
              </w:rPr>
              <w:t>0.005</w:t>
            </w:r>
          </w:p>
        </w:tc>
        <w:tc>
          <w:tcPr>
            <w:tcW w:w="772" w:type="dxa"/>
            <w:vAlign w:val="center"/>
          </w:tcPr>
          <w:p w14:paraId="0C046479">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20</w:t>
            </w:r>
          </w:p>
        </w:tc>
        <w:tc>
          <w:tcPr>
            <w:tcW w:w="2717" w:type="dxa"/>
            <w:gridSpan w:val="2"/>
            <w:vAlign w:val="center"/>
          </w:tcPr>
          <w:p w14:paraId="78DEDD9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
                <w:sz w:val="22"/>
                <w:szCs w:val="22"/>
              </w:rPr>
              <w:t>阴离子表面活性剂</w:t>
            </w:r>
          </w:p>
        </w:tc>
        <w:tc>
          <w:tcPr>
            <w:tcW w:w="1445" w:type="dxa"/>
            <w:gridSpan w:val="2"/>
            <w:vAlign w:val="center"/>
          </w:tcPr>
          <w:p w14:paraId="623DA5E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6"/>
                <w:sz w:val="22"/>
                <w:szCs w:val="22"/>
              </w:rPr>
              <w:t>0.2</w:t>
            </w:r>
          </w:p>
        </w:tc>
      </w:tr>
      <w:tr w14:paraId="1A31D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728" w:type="dxa"/>
            <w:vAlign w:val="center"/>
          </w:tcPr>
          <w:p w14:paraId="09D701A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7</w:t>
            </w:r>
          </w:p>
        </w:tc>
        <w:tc>
          <w:tcPr>
            <w:tcW w:w="1694" w:type="dxa"/>
            <w:vAlign w:val="center"/>
          </w:tcPr>
          <w:p w14:paraId="765B8D8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硫化物</w:t>
            </w:r>
          </w:p>
        </w:tc>
        <w:tc>
          <w:tcPr>
            <w:tcW w:w="1121" w:type="dxa"/>
            <w:gridSpan w:val="2"/>
            <w:vAlign w:val="center"/>
          </w:tcPr>
          <w:p w14:paraId="19E1F7B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4"/>
                <w:position w:val="-2"/>
                <w:sz w:val="22"/>
                <w:szCs w:val="22"/>
              </w:rPr>
              <w:t>0.2</w:t>
            </w:r>
          </w:p>
        </w:tc>
        <w:tc>
          <w:tcPr>
            <w:tcW w:w="772" w:type="dxa"/>
            <w:vAlign w:val="center"/>
          </w:tcPr>
          <w:p w14:paraId="6521D26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21</w:t>
            </w:r>
          </w:p>
        </w:tc>
        <w:tc>
          <w:tcPr>
            <w:tcW w:w="2717" w:type="dxa"/>
            <w:gridSpan w:val="2"/>
            <w:vAlign w:val="center"/>
          </w:tcPr>
          <w:p w14:paraId="6497DC4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4"/>
                <w:sz w:val="22"/>
                <w:szCs w:val="22"/>
              </w:rPr>
              <w:t>粪大肠菌群</w:t>
            </w:r>
            <w:r>
              <w:rPr>
                <w:rFonts w:hint="eastAsia" w:ascii="宋体" w:hAnsi="宋体" w:eastAsia="宋体" w:cs="宋体"/>
                <w:spacing w:val="4"/>
                <w:sz w:val="22"/>
                <w:szCs w:val="22"/>
              </w:rPr>
              <w:t>(</w:t>
            </w:r>
            <w:r>
              <w:rPr>
                <w:rFonts w:hint="default" w:ascii="Arial" w:hAnsi="Arial" w:cs="Arial"/>
                <w:spacing w:val="4"/>
                <w:sz w:val="22"/>
                <w:szCs w:val="22"/>
              </w:rPr>
              <w:t>个/L</w:t>
            </w:r>
            <w:r>
              <w:rPr>
                <w:rFonts w:hint="eastAsia" w:ascii="宋体" w:hAnsi="宋体" w:eastAsia="宋体" w:cs="宋体"/>
                <w:spacing w:val="4"/>
                <w:sz w:val="22"/>
                <w:szCs w:val="22"/>
              </w:rPr>
              <w:t>)</w:t>
            </w:r>
          </w:p>
        </w:tc>
        <w:tc>
          <w:tcPr>
            <w:tcW w:w="1445" w:type="dxa"/>
            <w:gridSpan w:val="2"/>
            <w:vAlign w:val="center"/>
          </w:tcPr>
          <w:p w14:paraId="3E56F72D">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4"/>
                <w:sz w:val="22"/>
                <w:szCs w:val="22"/>
              </w:rPr>
              <w:t>10000</w:t>
            </w:r>
          </w:p>
        </w:tc>
      </w:tr>
      <w:tr w14:paraId="15412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jc w:val="center"/>
        </w:trPr>
        <w:tc>
          <w:tcPr>
            <w:tcW w:w="728" w:type="dxa"/>
            <w:vAlign w:val="center"/>
          </w:tcPr>
          <w:p w14:paraId="2C8A984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8</w:t>
            </w:r>
          </w:p>
        </w:tc>
        <w:tc>
          <w:tcPr>
            <w:tcW w:w="1694" w:type="dxa"/>
            <w:vAlign w:val="center"/>
          </w:tcPr>
          <w:p w14:paraId="0430DD5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4"/>
                <w:sz w:val="22"/>
                <w:szCs w:val="22"/>
              </w:rPr>
              <w:t>总磷</w:t>
            </w:r>
          </w:p>
        </w:tc>
        <w:tc>
          <w:tcPr>
            <w:tcW w:w="1121" w:type="dxa"/>
            <w:gridSpan w:val="2"/>
            <w:vAlign w:val="center"/>
          </w:tcPr>
          <w:p w14:paraId="3E72F322">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Arial" w:hAnsi="Arial" w:cs="Arial"/>
                <w:spacing w:val="3"/>
                <w:sz w:val="22"/>
                <w:szCs w:val="22"/>
                <w:lang w:eastAsia="zh-CN"/>
              </w:rPr>
              <w:t>≤</w:t>
            </w:r>
            <w:r>
              <w:rPr>
                <w:rFonts w:hint="default" w:ascii="Arial" w:hAnsi="Arial" w:cs="Arial"/>
                <w:spacing w:val="3"/>
                <w:sz w:val="22"/>
                <w:szCs w:val="22"/>
              </w:rPr>
              <w:t>0.2</w:t>
            </w:r>
          </w:p>
        </w:tc>
        <w:tc>
          <w:tcPr>
            <w:tcW w:w="772" w:type="dxa"/>
            <w:vAlign w:val="center"/>
          </w:tcPr>
          <w:p w14:paraId="132170C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22</w:t>
            </w:r>
          </w:p>
        </w:tc>
        <w:tc>
          <w:tcPr>
            <w:tcW w:w="2717" w:type="dxa"/>
            <w:gridSpan w:val="2"/>
            <w:vAlign w:val="center"/>
          </w:tcPr>
          <w:p w14:paraId="725FD60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4"/>
                <w:sz w:val="22"/>
                <w:szCs w:val="22"/>
              </w:rPr>
              <w:t>总氮</w:t>
            </w:r>
          </w:p>
        </w:tc>
        <w:tc>
          <w:tcPr>
            <w:tcW w:w="1445" w:type="dxa"/>
            <w:gridSpan w:val="2"/>
            <w:vAlign w:val="center"/>
          </w:tcPr>
          <w:p w14:paraId="2F37290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6"/>
                <w:sz w:val="22"/>
                <w:szCs w:val="22"/>
              </w:rPr>
              <w:t>1.0</w:t>
            </w:r>
          </w:p>
        </w:tc>
      </w:tr>
      <w:tr w14:paraId="535EC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728" w:type="dxa"/>
            <w:vAlign w:val="center"/>
          </w:tcPr>
          <w:p w14:paraId="6C417A04">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9</w:t>
            </w:r>
          </w:p>
        </w:tc>
        <w:tc>
          <w:tcPr>
            <w:tcW w:w="1694" w:type="dxa"/>
            <w:vAlign w:val="center"/>
          </w:tcPr>
          <w:p w14:paraId="2971C88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3"/>
                <w:sz w:val="22"/>
                <w:szCs w:val="22"/>
              </w:rPr>
              <w:t>铬</w:t>
            </w:r>
            <w:r>
              <w:rPr>
                <w:rFonts w:hint="eastAsia" w:ascii="宋体" w:hAnsi="宋体" w:eastAsia="宋体" w:cs="宋体"/>
                <w:spacing w:val="-13"/>
                <w:sz w:val="22"/>
                <w:szCs w:val="22"/>
              </w:rPr>
              <w:t xml:space="preserve"> (</w:t>
            </w:r>
            <w:r>
              <w:rPr>
                <w:rFonts w:hint="eastAsia" w:ascii="宋体" w:hAnsi="宋体" w:eastAsia="宋体" w:cs="宋体"/>
                <w:spacing w:val="-34"/>
                <w:sz w:val="22"/>
                <w:szCs w:val="22"/>
              </w:rPr>
              <w:t xml:space="preserve"> </w:t>
            </w:r>
            <w:r>
              <w:rPr>
                <w:rFonts w:hint="eastAsia" w:ascii="宋体" w:hAnsi="宋体" w:eastAsia="宋体" w:cs="宋体"/>
                <w:spacing w:val="-13"/>
                <w:sz w:val="22"/>
                <w:szCs w:val="22"/>
              </w:rPr>
              <w:t>六</w:t>
            </w:r>
            <w:r>
              <w:rPr>
                <w:rFonts w:hint="eastAsia" w:ascii="宋体" w:hAnsi="宋体" w:eastAsia="宋体" w:cs="宋体"/>
                <w:spacing w:val="-38"/>
                <w:sz w:val="22"/>
                <w:szCs w:val="22"/>
              </w:rPr>
              <w:t xml:space="preserve"> </w:t>
            </w:r>
            <w:r>
              <w:rPr>
                <w:rFonts w:hint="eastAsia" w:ascii="宋体" w:hAnsi="宋体" w:eastAsia="宋体" w:cs="宋体"/>
                <w:spacing w:val="-13"/>
                <w:sz w:val="22"/>
                <w:szCs w:val="22"/>
              </w:rPr>
              <w:t>价</w:t>
            </w:r>
            <w:r>
              <w:rPr>
                <w:rFonts w:hint="eastAsia" w:ascii="宋体" w:hAnsi="宋体" w:eastAsia="宋体" w:cs="宋体"/>
                <w:spacing w:val="-39"/>
                <w:sz w:val="22"/>
                <w:szCs w:val="22"/>
              </w:rPr>
              <w:t xml:space="preserve"> </w:t>
            </w:r>
            <w:r>
              <w:rPr>
                <w:rFonts w:hint="eastAsia" w:ascii="宋体" w:hAnsi="宋体" w:eastAsia="宋体" w:cs="宋体"/>
                <w:spacing w:val="-13"/>
                <w:sz w:val="22"/>
                <w:szCs w:val="22"/>
              </w:rPr>
              <w:t>)</w:t>
            </w:r>
          </w:p>
        </w:tc>
        <w:tc>
          <w:tcPr>
            <w:tcW w:w="1121" w:type="dxa"/>
            <w:gridSpan w:val="2"/>
            <w:vAlign w:val="center"/>
          </w:tcPr>
          <w:p w14:paraId="6C756A1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Arial" w:hAnsi="Arial" w:cs="Arial"/>
                <w:spacing w:val="-5"/>
                <w:sz w:val="22"/>
                <w:szCs w:val="22"/>
                <w:lang w:eastAsia="zh-CN"/>
              </w:rPr>
              <w:t>≤</w:t>
            </w:r>
            <w:r>
              <w:rPr>
                <w:rFonts w:hint="default" w:ascii="Arial" w:hAnsi="Arial" w:cs="Arial"/>
                <w:spacing w:val="-5"/>
                <w:sz w:val="22"/>
                <w:szCs w:val="22"/>
              </w:rPr>
              <w:t>0.05</w:t>
            </w:r>
          </w:p>
        </w:tc>
        <w:tc>
          <w:tcPr>
            <w:tcW w:w="772" w:type="dxa"/>
            <w:vAlign w:val="center"/>
          </w:tcPr>
          <w:p w14:paraId="4643F1F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23</w:t>
            </w:r>
          </w:p>
        </w:tc>
        <w:tc>
          <w:tcPr>
            <w:tcW w:w="2717" w:type="dxa"/>
            <w:gridSpan w:val="2"/>
            <w:vAlign w:val="center"/>
          </w:tcPr>
          <w:p w14:paraId="47679B4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硒</w:t>
            </w:r>
          </w:p>
        </w:tc>
        <w:tc>
          <w:tcPr>
            <w:tcW w:w="1445" w:type="dxa"/>
            <w:gridSpan w:val="2"/>
            <w:vAlign w:val="center"/>
          </w:tcPr>
          <w:p w14:paraId="47A4616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5"/>
                <w:sz w:val="22"/>
                <w:szCs w:val="22"/>
              </w:rPr>
              <w:t>0.01</w:t>
            </w:r>
          </w:p>
        </w:tc>
      </w:tr>
      <w:tr w14:paraId="698BA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 w:type="dxa"/>
          <w:trHeight w:val="111" w:hRule="atLeast"/>
          <w:jc w:val="center"/>
        </w:trPr>
        <w:tc>
          <w:tcPr>
            <w:tcW w:w="728" w:type="dxa"/>
            <w:vAlign w:val="center"/>
          </w:tcPr>
          <w:p w14:paraId="3931963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10</w:t>
            </w:r>
          </w:p>
        </w:tc>
        <w:tc>
          <w:tcPr>
            <w:tcW w:w="1694" w:type="dxa"/>
            <w:vAlign w:val="center"/>
          </w:tcPr>
          <w:p w14:paraId="1E2FC789">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石油类</w:t>
            </w:r>
          </w:p>
        </w:tc>
        <w:tc>
          <w:tcPr>
            <w:tcW w:w="1121" w:type="dxa"/>
            <w:gridSpan w:val="2"/>
            <w:vAlign w:val="center"/>
          </w:tcPr>
          <w:p w14:paraId="7CB796D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Arial" w:hAnsi="Arial" w:cs="Arial"/>
                <w:spacing w:val="-5"/>
                <w:sz w:val="22"/>
                <w:szCs w:val="22"/>
                <w:lang w:eastAsia="zh-CN"/>
              </w:rPr>
              <w:t>≤</w:t>
            </w:r>
            <w:r>
              <w:rPr>
                <w:rFonts w:hint="default" w:ascii="Arial" w:hAnsi="Arial" w:cs="Arial"/>
                <w:spacing w:val="-5"/>
                <w:sz w:val="22"/>
                <w:szCs w:val="22"/>
              </w:rPr>
              <w:t>0.05</w:t>
            </w:r>
          </w:p>
        </w:tc>
        <w:tc>
          <w:tcPr>
            <w:tcW w:w="772" w:type="dxa"/>
            <w:vAlign w:val="center"/>
          </w:tcPr>
          <w:p w14:paraId="4A2968C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24</w:t>
            </w:r>
          </w:p>
        </w:tc>
        <w:tc>
          <w:tcPr>
            <w:tcW w:w="2717" w:type="dxa"/>
            <w:gridSpan w:val="2"/>
            <w:vAlign w:val="center"/>
          </w:tcPr>
          <w:p w14:paraId="69E88ED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硫酸盐*</w:t>
            </w:r>
          </w:p>
        </w:tc>
        <w:tc>
          <w:tcPr>
            <w:tcW w:w="1429" w:type="dxa"/>
            <w:vAlign w:val="center"/>
          </w:tcPr>
          <w:p w14:paraId="64E6FAD2">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5"/>
                <w:sz w:val="22"/>
                <w:szCs w:val="22"/>
              </w:rPr>
              <w:t>250</w:t>
            </w:r>
          </w:p>
        </w:tc>
      </w:tr>
      <w:tr w14:paraId="547F3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 w:type="dxa"/>
          <w:trHeight w:val="244" w:hRule="atLeast"/>
          <w:jc w:val="center"/>
        </w:trPr>
        <w:tc>
          <w:tcPr>
            <w:tcW w:w="728" w:type="dxa"/>
            <w:vAlign w:val="center"/>
          </w:tcPr>
          <w:p w14:paraId="6B1F697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11</w:t>
            </w:r>
          </w:p>
        </w:tc>
        <w:tc>
          <w:tcPr>
            <w:tcW w:w="1694" w:type="dxa"/>
            <w:vAlign w:val="center"/>
          </w:tcPr>
          <w:p w14:paraId="3325C8E7">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氟化物</w:t>
            </w:r>
          </w:p>
        </w:tc>
        <w:tc>
          <w:tcPr>
            <w:tcW w:w="1121" w:type="dxa"/>
            <w:gridSpan w:val="2"/>
            <w:vAlign w:val="center"/>
          </w:tcPr>
          <w:p w14:paraId="5231DDC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Arial" w:hAnsi="Arial" w:cs="Arial"/>
                <w:spacing w:val="-6"/>
                <w:sz w:val="22"/>
                <w:szCs w:val="22"/>
                <w:lang w:eastAsia="zh-CN"/>
              </w:rPr>
              <w:t>≤</w:t>
            </w:r>
            <w:r>
              <w:rPr>
                <w:rFonts w:hint="default" w:ascii="Arial" w:hAnsi="Arial" w:cs="Arial"/>
                <w:spacing w:val="-6"/>
                <w:sz w:val="22"/>
                <w:szCs w:val="22"/>
              </w:rPr>
              <w:t>1.0</w:t>
            </w:r>
          </w:p>
        </w:tc>
        <w:tc>
          <w:tcPr>
            <w:tcW w:w="772" w:type="dxa"/>
            <w:vAlign w:val="center"/>
          </w:tcPr>
          <w:p w14:paraId="73A1EDF2">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25</w:t>
            </w:r>
          </w:p>
        </w:tc>
        <w:tc>
          <w:tcPr>
            <w:tcW w:w="2717" w:type="dxa"/>
            <w:gridSpan w:val="2"/>
            <w:vAlign w:val="center"/>
          </w:tcPr>
          <w:p w14:paraId="3ECC884D">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氯化物*</w:t>
            </w:r>
          </w:p>
        </w:tc>
        <w:tc>
          <w:tcPr>
            <w:tcW w:w="1429" w:type="dxa"/>
            <w:vAlign w:val="center"/>
          </w:tcPr>
          <w:p w14:paraId="6B1D46D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3"/>
                <w:sz w:val="22"/>
                <w:szCs w:val="22"/>
              </w:rPr>
              <w:t>250</w:t>
            </w:r>
          </w:p>
        </w:tc>
      </w:tr>
      <w:tr w14:paraId="5159C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 w:type="dxa"/>
          <w:trHeight w:val="223" w:hRule="atLeast"/>
          <w:jc w:val="center"/>
        </w:trPr>
        <w:tc>
          <w:tcPr>
            <w:tcW w:w="728" w:type="dxa"/>
            <w:vAlign w:val="center"/>
          </w:tcPr>
          <w:p w14:paraId="5982A48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12</w:t>
            </w:r>
          </w:p>
        </w:tc>
        <w:tc>
          <w:tcPr>
            <w:tcW w:w="1694" w:type="dxa"/>
            <w:vAlign w:val="center"/>
          </w:tcPr>
          <w:p w14:paraId="06F0082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氰化物</w:t>
            </w:r>
          </w:p>
        </w:tc>
        <w:tc>
          <w:tcPr>
            <w:tcW w:w="1121" w:type="dxa"/>
            <w:gridSpan w:val="2"/>
            <w:vAlign w:val="center"/>
          </w:tcPr>
          <w:p w14:paraId="52297E5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Arial" w:hAnsi="Arial" w:cs="Arial"/>
                <w:spacing w:val="-3"/>
                <w:sz w:val="22"/>
                <w:szCs w:val="22"/>
                <w:lang w:eastAsia="zh-CN"/>
              </w:rPr>
              <w:t>≤</w:t>
            </w:r>
            <w:r>
              <w:rPr>
                <w:rFonts w:hint="default" w:ascii="Arial" w:hAnsi="Arial" w:cs="Arial"/>
                <w:spacing w:val="-3"/>
                <w:sz w:val="22"/>
                <w:szCs w:val="22"/>
              </w:rPr>
              <w:t>0.2</w:t>
            </w:r>
          </w:p>
        </w:tc>
        <w:tc>
          <w:tcPr>
            <w:tcW w:w="772" w:type="dxa"/>
            <w:vAlign w:val="center"/>
          </w:tcPr>
          <w:p w14:paraId="579EE0B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26</w:t>
            </w:r>
          </w:p>
        </w:tc>
        <w:tc>
          <w:tcPr>
            <w:tcW w:w="2717" w:type="dxa"/>
            <w:gridSpan w:val="2"/>
            <w:vAlign w:val="center"/>
          </w:tcPr>
          <w:p w14:paraId="0D02B7F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硝酸盐氮*</w:t>
            </w:r>
          </w:p>
        </w:tc>
        <w:tc>
          <w:tcPr>
            <w:tcW w:w="1429" w:type="dxa"/>
            <w:vAlign w:val="center"/>
          </w:tcPr>
          <w:p w14:paraId="19D8DA8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6"/>
                <w:sz w:val="22"/>
                <w:szCs w:val="22"/>
              </w:rPr>
              <w:t>10</w:t>
            </w:r>
          </w:p>
        </w:tc>
      </w:tr>
      <w:tr w14:paraId="36A34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 w:type="dxa"/>
          <w:trHeight w:val="179" w:hRule="atLeast"/>
          <w:jc w:val="center"/>
        </w:trPr>
        <w:tc>
          <w:tcPr>
            <w:tcW w:w="728" w:type="dxa"/>
            <w:vAlign w:val="center"/>
          </w:tcPr>
          <w:p w14:paraId="5EC99B0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13</w:t>
            </w:r>
          </w:p>
        </w:tc>
        <w:tc>
          <w:tcPr>
            <w:tcW w:w="1694" w:type="dxa"/>
            <w:vAlign w:val="center"/>
          </w:tcPr>
          <w:p w14:paraId="38BCD374">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汞</w:t>
            </w:r>
          </w:p>
        </w:tc>
        <w:tc>
          <w:tcPr>
            <w:tcW w:w="1121" w:type="dxa"/>
            <w:gridSpan w:val="2"/>
            <w:vAlign w:val="center"/>
          </w:tcPr>
          <w:p w14:paraId="0EAB43F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Arial" w:hAnsi="Arial" w:cs="Arial"/>
                <w:spacing w:val="-4"/>
                <w:sz w:val="22"/>
                <w:szCs w:val="22"/>
                <w:lang w:eastAsia="zh-CN"/>
              </w:rPr>
              <w:t>≤</w:t>
            </w:r>
            <w:r>
              <w:rPr>
                <w:rFonts w:hint="default" w:ascii="Arial" w:hAnsi="Arial" w:cs="Arial"/>
                <w:spacing w:val="-4"/>
                <w:sz w:val="22"/>
                <w:szCs w:val="22"/>
              </w:rPr>
              <w:t>0.0001</w:t>
            </w:r>
          </w:p>
        </w:tc>
        <w:tc>
          <w:tcPr>
            <w:tcW w:w="772" w:type="dxa"/>
            <w:vAlign w:val="center"/>
          </w:tcPr>
          <w:p w14:paraId="0A8492B7">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27</w:t>
            </w:r>
          </w:p>
        </w:tc>
        <w:tc>
          <w:tcPr>
            <w:tcW w:w="2717" w:type="dxa"/>
            <w:gridSpan w:val="2"/>
            <w:vAlign w:val="center"/>
          </w:tcPr>
          <w:p w14:paraId="0DEAB7F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铁*</w:t>
            </w:r>
          </w:p>
        </w:tc>
        <w:tc>
          <w:tcPr>
            <w:tcW w:w="1429" w:type="dxa"/>
            <w:vAlign w:val="center"/>
          </w:tcPr>
          <w:p w14:paraId="7D4CB1C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6"/>
                <w:sz w:val="22"/>
                <w:szCs w:val="22"/>
              </w:rPr>
              <w:t>0.3</w:t>
            </w:r>
          </w:p>
        </w:tc>
      </w:tr>
      <w:tr w14:paraId="1C3F3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 w:type="dxa"/>
          <w:trHeight w:val="309" w:hRule="atLeast"/>
          <w:jc w:val="center"/>
        </w:trPr>
        <w:tc>
          <w:tcPr>
            <w:tcW w:w="728" w:type="dxa"/>
            <w:vAlign w:val="center"/>
          </w:tcPr>
          <w:p w14:paraId="1B79FF0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14</w:t>
            </w:r>
          </w:p>
        </w:tc>
        <w:tc>
          <w:tcPr>
            <w:tcW w:w="1694" w:type="dxa"/>
            <w:vAlign w:val="center"/>
          </w:tcPr>
          <w:p w14:paraId="7B612D0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sz w:val="22"/>
                <w:szCs w:val="22"/>
                <w:lang w:eastAsia="zh-CN"/>
              </w:rPr>
            </w:pPr>
            <w:r>
              <w:rPr>
                <w:rFonts w:hint="eastAsia" w:ascii="Arial" w:hAnsi="Arial" w:cs="Arial"/>
                <w:spacing w:val="-2"/>
                <w:sz w:val="22"/>
                <w:szCs w:val="22"/>
                <w:lang w:eastAsia="zh-CN"/>
              </w:rPr>
              <w:t>高锰酸盐指数</w:t>
            </w:r>
          </w:p>
        </w:tc>
        <w:tc>
          <w:tcPr>
            <w:tcW w:w="1121" w:type="dxa"/>
            <w:gridSpan w:val="2"/>
            <w:vAlign w:val="center"/>
          </w:tcPr>
          <w:p w14:paraId="7830C11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Arial" w:hAnsi="Arial" w:cs="Arial"/>
                <w:spacing w:val="-8"/>
                <w:sz w:val="22"/>
                <w:szCs w:val="22"/>
                <w:lang w:eastAsia="zh-CN"/>
              </w:rPr>
              <w:t>≤</w:t>
            </w:r>
            <w:r>
              <w:rPr>
                <w:rFonts w:hint="default" w:ascii="Arial" w:hAnsi="Arial" w:cs="Arial"/>
                <w:spacing w:val="-8"/>
                <w:sz w:val="22"/>
                <w:szCs w:val="22"/>
              </w:rPr>
              <w:t>6</w:t>
            </w:r>
          </w:p>
        </w:tc>
        <w:tc>
          <w:tcPr>
            <w:tcW w:w="772" w:type="dxa"/>
            <w:vAlign w:val="center"/>
          </w:tcPr>
          <w:p w14:paraId="5461439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28</w:t>
            </w:r>
          </w:p>
        </w:tc>
        <w:tc>
          <w:tcPr>
            <w:tcW w:w="2717" w:type="dxa"/>
            <w:gridSpan w:val="2"/>
            <w:vAlign w:val="center"/>
          </w:tcPr>
          <w:p w14:paraId="0CC0438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锰*</w:t>
            </w:r>
          </w:p>
        </w:tc>
        <w:tc>
          <w:tcPr>
            <w:tcW w:w="1429" w:type="dxa"/>
            <w:vAlign w:val="center"/>
          </w:tcPr>
          <w:p w14:paraId="34553C3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eastAsia" w:ascii="宋体" w:hAnsi="宋体" w:eastAsia="宋体" w:cs="宋体"/>
                <w:spacing w:val="-6"/>
                <w:sz w:val="22"/>
                <w:szCs w:val="22"/>
              </w:rPr>
              <w:t>≤</w:t>
            </w:r>
            <w:r>
              <w:rPr>
                <w:rFonts w:hint="default" w:ascii="Arial" w:hAnsi="Arial" w:cs="Arial"/>
                <w:spacing w:val="-6"/>
                <w:sz w:val="22"/>
                <w:szCs w:val="22"/>
              </w:rPr>
              <w:t>0.1</w:t>
            </w:r>
          </w:p>
        </w:tc>
      </w:tr>
    </w:tbl>
    <w:p w14:paraId="657A67B2">
      <w:pPr>
        <w:pStyle w:val="31"/>
        <w:keepNext w:val="0"/>
        <w:keepLines w:val="0"/>
        <w:pageBreakBefore w:val="0"/>
        <w:widowControl w:val="0"/>
        <w:kinsoku/>
        <w:wordWrap/>
        <w:overflowPunct/>
        <w:topLinePunct w:val="0"/>
        <w:autoSpaceDE/>
        <w:autoSpaceDN/>
        <w:bidi w:val="0"/>
        <w:adjustRightInd/>
        <w:snapToGrid/>
        <w:spacing w:before="0" w:line="300" w:lineRule="exact"/>
        <w:ind w:left="0"/>
        <w:jc w:val="both"/>
        <w:textAlignment w:val="auto"/>
        <w:rPr>
          <w:rFonts w:hint="default" w:ascii="Arial" w:hAnsi="Arial" w:eastAsia="宋体" w:cs="Arial"/>
          <w:b/>
          <w:bCs/>
          <w:color w:val="000000"/>
          <w:kern w:val="0"/>
          <w:sz w:val="26"/>
          <w:szCs w:val="26"/>
          <w:lang w:val="en-US" w:eastAsia="zh-CN" w:bidi="ar-SA"/>
        </w:rPr>
      </w:pPr>
      <w:r>
        <w:rPr>
          <w:rFonts w:hint="eastAsia" w:ascii="Arial" w:hAnsi="Arial" w:cs="Arial"/>
          <w:b/>
          <w:bCs/>
          <w:color w:val="000000"/>
          <w:kern w:val="0"/>
          <w:sz w:val="22"/>
          <w:szCs w:val="22"/>
          <w:lang w:val="en-US" w:eastAsia="zh-CN" w:bidi="ar-SA"/>
        </w:rPr>
        <w:t>注：*为集中式生活饮用水地表水源地补充项目</w:t>
      </w:r>
    </w:p>
    <w:p w14:paraId="64DF9D24">
      <w:pPr>
        <w:pStyle w:val="2082"/>
        <w:keepNext w:val="0"/>
        <w:keepLines w:val="0"/>
        <w:pageBreakBefore w:val="0"/>
        <w:widowControl w:val="0"/>
        <w:kinsoku/>
        <w:wordWrap/>
        <w:overflowPunct/>
        <w:topLinePunct w:val="0"/>
        <w:autoSpaceDE/>
        <w:autoSpaceDN/>
        <w:bidi w:val="0"/>
        <w:adjustRightInd w:val="0"/>
        <w:snapToGrid w:val="0"/>
        <w:spacing w:line="240" w:lineRule="exact"/>
        <w:ind w:firstLine="520" w:firstLineChars="200"/>
        <w:textAlignment w:val="auto"/>
        <w:rPr>
          <w:rFonts w:hint="eastAsia" w:ascii="Arial" w:hAnsi="Arial" w:eastAsia="宋体" w:cs="Arial"/>
          <w:kern w:val="0"/>
          <w:sz w:val="26"/>
          <w:szCs w:val="26"/>
          <w:lang w:val="en-US" w:eastAsia="zh-CN" w:bidi="ar-SA"/>
        </w:rPr>
      </w:pPr>
    </w:p>
    <w:p w14:paraId="4F3C34CE">
      <w:pPr>
        <w:spacing w:line="460" w:lineRule="exact"/>
        <w:ind w:firstLine="384" w:firstLineChars="147"/>
        <w:jc w:val="both"/>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 xml:space="preserve">（3）声环境 </w:t>
      </w:r>
    </w:p>
    <w:p w14:paraId="112E03D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color w:val="auto"/>
          <w:sz w:val="26"/>
          <w:szCs w:val="26"/>
          <w:lang w:val="en-US" w:eastAsia="zh-CN"/>
        </w:rPr>
      </w:pPr>
      <w:r>
        <w:rPr>
          <w:rFonts w:hint="eastAsia" w:ascii="Arial" w:hAnsi="Arial" w:cs="Arial"/>
          <w:color w:val="auto"/>
          <w:sz w:val="26"/>
          <w:szCs w:val="26"/>
          <w:lang w:val="fr-FR" w:eastAsia="zh-CN"/>
        </w:rPr>
        <w:t>根据《丰都县声环境功能区划调整方案》（丰都府办发〔</w:t>
      </w:r>
      <w:r>
        <w:rPr>
          <w:rFonts w:hint="eastAsia" w:ascii="Arial" w:hAnsi="Arial" w:cs="Arial"/>
          <w:color w:val="auto"/>
          <w:sz w:val="26"/>
          <w:szCs w:val="26"/>
          <w:lang w:val="en-US" w:eastAsia="zh-CN"/>
        </w:rPr>
        <w:t>2023</w:t>
      </w:r>
      <w:r>
        <w:rPr>
          <w:rFonts w:hint="eastAsia" w:ascii="Arial" w:hAnsi="Arial" w:cs="Arial"/>
          <w:color w:val="auto"/>
          <w:sz w:val="26"/>
          <w:szCs w:val="26"/>
          <w:lang w:val="fr-FR" w:eastAsia="zh-CN"/>
        </w:rPr>
        <w:t>〕</w:t>
      </w:r>
      <w:r>
        <w:rPr>
          <w:rFonts w:hint="eastAsia" w:ascii="Arial" w:hAnsi="Arial" w:cs="Arial"/>
          <w:color w:val="auto"/>
          <w:sz w:val="26"/>
          <w:szCs w:val="26"/>
          <w:lang w:val="en-US" w:eastAsia="zh-CN"/>
        </w:rPr>
        <w:t>23号），本项目枢纽工程选址位于双龙镇田家山村，属于乡村区域，为一类功能区，执行《声环境质量标准》（GB3096-2008）中1类标准。输水管线沿线分布有交通干线，为二类功能区，执行《声环境质量标准》（GB3096-2008）中2类标准。详见表1.5-3所示。</w:t>
      </w:r>
    </w:p>
    <w:p w14:paraId="3EE41E21">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Arial" w:hAnsi="Arial" w:eastAsia="宋体" w:cs="Arial"/>
          <w:b/>
          <w:bCs/>
          <w:color w:val="000000"/>
          <w:kern w:val="0"/>
          <w:sz w:val="26"/>
          <w:szCs w:val="26"/>
          <w:lang w:val="en-US" w:eastAsia="zh-CN" w:bidi="ar-SA"/>
        </w:rPr>
      </w:pPr>
      <w:r>
        <w:rPr>
          <w:rFonts w:hint="eastAsia" w:ascii="Arial" w:hAnsi="Arial" w:eastAsia="宋体" w:cs="Arial"/>
          <w:b/>
          <w:bCs/>
          <w:color w:val="000000"/>
          <w:kern w:val="0"/>
          <w:sz w:val="26"/>
          <w:szCs w:val="26"/>
          <w:lang w:val="en-US" w:eastAsia="zh-CN" w:bidi="ar-SA"/>
        </w:rPr>
        <w:t>表1.</w:t>
      </w:r>
      <w:r>
        <w:rPr>
          <w:rFonts w:hint="eastAsia" w:ascii="Arial" w:hAnsi="Arial" w:cs="Arial"/>
          <w:b/>
          <w:bCs/>
          <w:color w:val="000000"/>
          <w:kern w:val="0"/>
          <w:sz w:val="26"/>
          <w:szCs w:val="26"/>
          <w:lang w:val="en-US" w:eastAsia="zh-CN" w:bidi="ar-SA"/>
        </w:rPr>
        <w:t>5</w:t>
      </w:r>
      <w:r>
        <w:rPr>
          <w:rFonts w:hint="eastAsia" w:ascii="Arial" w:hAnsi="Arial" w:eastAsia="宋体" w:cs="Arial"/>
          <w:b/>
          <w:bCs/>
          <w:color w:val="000000"/>
          <w:kern w:val="0"/>
          <w:sz w:val="26"/>
          <w:szCs w:val="26"/>
          <w:lang w:val="en-US" w:eastAsia="zh-CN" w:bidi="ar-SA"/>
        </w:rPr>
        <w:t>-</w:t>
      </w:r>
      <w:r>
        <w:rPr>
          <w:rFonts w:hint="eastAsia" w:ascii="Arial" w:hAnsi="Arial" w:cs="Arial"/>
          <w:b/>
          <w:bCs/>
          <w:color w:val="000000"/>
          <w:kern w:val="0"/>
          <w:sz w:val="26"/>
          <w:szCs w:val="26"/>
          <w:lang w:val="en-US" w:eastAsia="zh-CN" w:bidi="ar-SA"/>
        </w:rPr>
        <w:t>3</w:t>
      </w:r>
      <w:r>
        <w:rPr>
          <w:rFonts w:hint="eastAsia" w:ascii="Arial" w:hAnsi="Arial" w:eastAsia="宋体" w:cs="Arial"/>
          <w:b/>
          <w:bCs/>
          <w:color w:val="000000"/>
          <w:kern w:val="0"/>
          <w:sz w:val="26"/>
          <w:szCs w:val="26"/>
          <w:lang w:val="en-US" w:eastAsia="zh-CN" w:bidi="ar-SA"/>
        </w:rPr>
        <w:t xml:space="preserve">  声环境质量标准   单位：dB（A）</w:t>
      </w:r>
    </w:p>
    <w:tbl>
      <w:tblPr>
        <w:tblStyle w:val="77"/>
        <w:tblW w:w="487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098"/>
        <w:gridCol w:w="2458"/>
        <w:gridCol w:w="2634"/>
        <w:gridCol w:w="2629"/>
      </w:tblGrid>
      <w:tr w14:paraId="68234C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1" w:hRule="atLeast"/>
          <w:tblHeader/>
          <w:jc w:val="center"/>
        </w:trPr>
        <w:tc>
          <w:tcPr>
            <w:tcW w:w="623" w:type="pct"/>
            <w:vMerge w:val="restart"/>
            <w:tcBorders>
              <w:bottom w:val="single" w:color="000000" w:sz="4" w:space="0"/>
              <w:right w:val="single" w:color="000000" w:sz="4" w:space="0"/>
            </w:tcBorders>
            <w:shd w:val="clear" w:color="auto" w:fill="auto"/>
            <w:noWrap w:val="0"/>
            <w:vAlign w:val="center"/>
          </w:tcPr>
          <w:p w14:paraId="71E14DEE">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Arial" w:hAnsi="Arial" w:eastAsia="宋体" w:cs="Arial"/>
                <w:sz w:val="22"/>
                <w:szCs w:val="22"/>
                <w:lang w:eastAsia="zh-CN"/>
              </w:rPr>
            </w:pPr>
            <w:r>
              <w:rPr>
                <w:rFonts w:hint="eastAsia" w:ascii="Arial" w:hAnsi="Arial" w:cs="Arial"/>
                <w:sz w:val="22"/>
                <w:szCs w:val="22"/>
                <w:lang w:eastAsia="zh-CN"/>
              </w:rPr>
              <w:t>声环境功能类别</w:t>
            </w:r>
          </w:p>
        </w:tc>
        <w:tc>
          <w:tcPr>
            <w:tcW w:w="2886" w:type="pct"/>
            <w:gridSpan w:val="2"/>
            <w:tcBorders>
              <w:left w:val="single" w:color="000000" w:sz="4" w:space="0"/>
              <w:bottom w:val="single" w:color="000000" w:sz="4" w:space="0"/>
              <w:right w:val="single" w:color="000000" w:sz="4" w:space="0"/>
            </w:tcBorders>
            <w:shd w:val="clear" w:color="auto" w:fill="auto"/>
            <w:noWrap w:val="0"/>
            <w:vAlign w:val="center"/>
          </w:tcPr>
          <w:p w14:paraId="3E24765F">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Arial" w:hAnsi="Arial" w:cs="Arial"/>
                <w:sz w:val="22"/>
                <w:szCs w:val="22"/>
              </w:rPr>
            </w:pPr>
            <w:r>
              <w:rPr>
                <w:rFonts w:hint="eastAsia" w:ascii="Arial" w:hAnsi="Arial" w:eastAsia="宋体" w:cs="Arial"/>
                <w:sz w:val="22"/>
                <w:szCs w:val="22"/>
                <w:lang w:eastAsia="zh-CN"/>
              </w:rPr>
              <w:t>标准限值</w:t>
            </w:r>
          </w:p>
        </w:tc>
        <w:tc>
          <w:tcPr>
            <w:tcW w:w="1490" w:type="pct"/>
            <w:vMerge w:val="restart"/>
            <w:tcBorders>
              <w:left w:val="single" w:color="000000" w:sz="4" w:space="0"/>
              <w:right w:val="single" w:color="000000" w:sz="12" w:space="0"/>
            </w:tcBorders>
            <w:shd w:val="clear" w:color="auto" w:fill="auto"/>
            <w:noWrap w:val="0"/>
            <w:vAlign w:val="center"/>
          </w:tcPr>
          <w:p w14:paraId="2CDEFA41">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Arial" w:hAnsi="Arial" w:eastAsia="宋体" w:cs="Arial"/>
                <w:sz w:val="22"/>
                <w:szCs w:val="22"/>
                <w:lang w:eastAsia="zh-CN"/>
              </w:rPr>
            </w:pPr>
            <w:r>
              <w:rPr>
                <w:rFonts w:hint="eastAsia" w:ascii="Arial" w:hAnsi="Arial" w:cs="Arial"/>
                <w:sz w:val="22"/>
                <w:szCs w:val="22"/>
                <w:lang w:eastAsia="zh-CN"/>
              </w:rPr>
              <w:t>标准名称</w:t>
            </w:r>
          </w:p>
        </w:tc>
      </w:tr>
      <w:tr w14:paraId="2853B04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9" w:hRule="atLeast"/>
          <w:tblHeader/>
          <w:jc w:val="center"/>
        </w:trPr>
        <w:tc>
          <w:tcPr>
            <w:tcW w:w="623" w:type="pct"/>
            <w:vMerge w:val="continue"/>
            <w:tcBorders>
              <w:top w:val="single" w:color="000000" w:sz="4" w:space="0"/>
              <w:bottom w:val="single" w:color="000000" w:sz="4" w:space="0"/>
              <w:right w:val="single" w:color="000000" w:sz="4" w:space="0"/>
            </w:tcBorders>
            <w:shd w:val="clear" w:color="auto" w:fill="auto"/>
            <w:noWrap w:val="0"/>
            <w:vAlign w:val="center"/>
          </w:tcPr>
          <w:p w14:paraId="2B2BBD4B">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Arial" w:hAnsi="Arial" w:cs="Arial"/>
                <w:sz w:val="22"/>
                <w:szCs w:val="22"/>
                <w:lang w:eastAsia="zh-CN"/>
              </w:rPr>
            </w:pPr>
          </w:p>
        </w:tc>
        <w:tc>
          <w:tcPr>
            <w:tcW w:w="1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1E03A1">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Arial" w:hAnsi="Arial" w:eastAsia="宋体" w:cs="Arial"/>
                <w:sz w:val="22"/>
                <w:szCs w:val="22"/>
                <w:lang w:val="en-US" w:eastAsia="zh-CN"/>
              </w:rPr>
            </w:pPr>
            <w:r>
              <w:rPr>
                <w:rFonts w:hint="eastAsia" w:ascii="Arial" w:hAnsi="Arial" w:eastAsia="宋体" w:cs="Arial"/>
                <w:sz w:val="22"/>
                <w:szCs w:val="22"/>
                <w:lang w:eastAsia="zh-CN"/>
              </w:rPr>
              <w:t>昼间</w:t>
            </w:r>
          </w:p>
        </w:tc>
        <w:tc>
          <w:tcPr>
            <w:tcW w:w="149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958517">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Arial" w:hAnsi="Arial" w:eastAsia="宋体" w:cs="Arial"/>
                <w:sz w:val="22"/>
                <w:szCs w:val="22"/>
                <w:lang w:eastAsia="zh-CN"/>
              </w:rPr>
            </w:pPr>
            <w:r>
              <w:rPr>
                <w:rFonts w:hint="eastAsia" w:ascii="Arial" w:hAnsi="Arial" w:cs="Arial"/>
                <w:sz w:val="22"/>
                <w:szCs w:val="22"/>
                <w:lang w:eastAsia="zh-CN"/>
              </w:rPr>
              <w:t>夜间</w:t>
            </w:r>
          </w:p>
        </w:tc>
        <w:tc>
          <w:tcPr>
            <w:tcW w:w="1490" w:type="pct"/>
            <w:vMerge w:val="continue"/>
            <w:tcBorders>
              <w:left w:val="single" w:color="000000" w:sz="4" w:space="0"/>
              <w:bottom w:val="single" w:color="000000" w:sz="4" w:space="0"/>
              <w:right w:val="single" w:color="000000" w:sz="12" w:space="0"/>
            </w:tcBorders>
            <w:shd w:val="clear" w:color="auto" w:fill="auto"/>
            <w:noWrap w:val="0"/>
            <w:vAlign w:val="center"/>
          </w:tcPr>
          <w:p w14:paraId="66A76F06">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Arial" w:hAnsi="Arial" w:cs="Arial"/>
                <w:sz w:val="22"/>
                <w:szCs w:val="22"/>
              </w:rPr>
            </w:pPr>
          </w:p>
        </w:tc>
      </w:tr>
      <w:tr w14:paraId="3380FD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5" w:hRule="atLeast"/>
          <w:tblHeader/>
          <w:jc w:val="center"/>
        </w:trPr>
        <w:tc>
          <w:tcPr>
            <w:tcW w:w="623" w:type="pct"/>
            <w:tcBorders>
              <w:top w:val="single" w:color="000000" w:sz="4" w:space="0"/>
              <w:bottom w:val="single" w:color="000000" w:sz="4" w:space="0"/>
              <w:right w:val="single" w:color="000000" w:sz="4" w:space="0"/>
            </w:tcBorders>
            <w:shd w:val="clear" w:color="auto" w:fill="auto"/>
            <w:noWrap w:val="0"/>
            <w:vAlign w:val="center"/>
          </w:tcPr>
          <w:p w14:paraId="30CAB029">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Arial" w:hAnsi="Arial" w:cs="Arial"/>
                <w:sz w:val="22"/>
                <w:szCs w:val="22"/>
                <w:lang w:val="en-US" w:eastAsia="zh-CN"/>
              </w:rPr>
            </w:pPr>
            <w:r>
              <w:rPr>
                <w:rFonts w:hint="eastAsia" w:ascii="Arial" w:hAnsi="Arial" w:cs="Arial"/>
                <w:sz w:val="22"/>
                <w:szCs w:val="22"/>
                <w:lang w:val="en-US" w:eastAsia="zh-CN"/>
              </w:rPr>
              <w:t>1类</w:t>
            </w:r>
          </w:p>
        </w:tc>
        <w:tc>
          <w:tcPr>
            <w:tcW w:w="1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DD988C">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55</w:t>
            </w:r>
          </w:p>
        </w:tc>
        <w:tc>
          <w:tcPr>
            <w:tcW w:w="149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FC413B">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Arial" w:hAnsi="Arial" w:cs="Arial"/>
                <w:sz w:val="22"/>
                <w:szCs w:val="22"/>
                <w:lang w:val="en-US" w:eastAsia="zh-CN"/>
              </w:rPr>
            </w:pPr>
            <w:r>
              <w:rPr>
                <w:rFonts w:hint="eastAsia" w:ascii="Arial" w:hAnsi="Arial" w:cs="Arial"/>
                <w:sz w:val="22"/>
                <w:szCs w:val="22"/>
                <w:lang w:val="en-US" w:eastAsia="zh-CN"/>
              </w:rPr>
              <w:t>45</w:t>
            </w:r>
          </w:p>
        </w:tc>
        <w:tc>
          <w:tcPr>
            <w:tcW w:w="1490" w:type="pct"/>
            <w:vMerge w:val="restart"/>
            <w:tcBorders>
              <w:top w:val="single" w:color="000000" w:sz="4" w:space="0"/>
              <w:left w:val="single" w:color="000000" w:sz="4" w:space="0"/>
              <w:right w:val="single" w:color="000000" w:sz="12" w:space="0"/>
            </w:tcBorders>
            <w:shd w:val="clear" w:color="auto" w:fill="auto"/>
            <w:noWrap w:val="0"/>
            <w:vAlign w:val="center"/>
          </w:tcPr>
          <w:p w14:paraId="37AACC74">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eastAsia="zh-CN"/>
              </w:rPr>
              <w:t>《声环境质量标准》（</w:t>
            </w:r>
            <w:r>
              <w:rPr>
                <w:rFonts w:hint="eastAsia" w:ascii="Arial" w:hAnsi="Arial" w:cs="Arial"/>
                <w:sz w:val="22"/>
                <w:szCs w:val="22"/>
                <w:lang w:val="en-US" w:eastAsia="zh-CN"/>
              </w:rPr>
              <w:t>GB3096-2008）</w:t>
            </w:r>
          </w:p>
        </w:tc>
      </w:tr>
      <w:tr w14:paraId="1E77A0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5" w:hRule="atLeast"/>
          <w:tblHeader/>
          <w:jc w:val="center"/>
        </w:trPr>
        <w:tc>
          <w:tcPr>
            <w:tcW w:w="623" w:type="pct"/>
            <w:tcBorders>
              <w:top w:val="single" w:color="000000" w:sz="4" w:space="0"/>
              <w:bottom w:val="single" w:color="000000" w:sz="4" w:space="0"/>
              <w:right w:val="single" w:color="000000" w:sz="4" w:space="0"/>
            </w:tcBorders>
            <w:shd w:val="clear" w:color="auto" w:fill="auto"/>
            <w:noWrap w:val="0"/>
            <w:vAlign w:val="center"/>
          </w:tcPr>
          <w:p w14:paraId="165A1E55">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Arial" w:hAnsi="Arial" w:cs="Arial"/>
                <w:sz w:val="22"/>
                <w:szCs w:val="22"/>
                <w:lang w:val="en-US" w:eastAsia="zh-CN"/>
              </w:rPr>
            </w:pPr>
            <w:r>
              <w:rPr>
                <w:rFonts w:hint="eastAsia" w:ascii="Arial" w:hAnsi="Arial" w:cs="Arial"/>
                <w:sz w:val="22"/>
                <w:szCs w:val="22"/>
                <w:lang w:val="en-US" w:eastAsia="zh-CN"/>
              </w:rPr>
              <w:t>2类</w:t>
            </w:r>
          </w:p>
        </w:tc>
        <w:tc>
          <w:tcPr>
            <w:tcW w:w="1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D76143">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Arial" w:hAnsi="Arial" w:cs="Arial"/>
                <w:sz w:val="22"/>
                <w:szCs w:val="22"/>
                <w:lang w:val="en-US" w:eastAsia="zh-CN"/>
              </w:rPr>
            </w:pPr>
            <w:r>
              <w:rPr>
                <w:rFonts w:hint="eastAsia" w:ascii="Arial" w:hAnsi="Arial" w:cs="Arial"/>
                <w:sz w:val="22"/>
                <w:szCs w:val="22"/>
                <w:lang w:val="en-US" w:eastAsia="zh-CN"/>
              </w:rPr>
              <w:t>60</w:t>
            </w:r>
          </w:p>
        </w:tc>
        <w:tc>
          <w:tcPr>
            <w:tcW w:w="149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93A084">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Arial" w:hAnsi="Arial" w:cs="Arial"/>
                <w:sz w:val="22"/>
                <w:szCs w:val="22"/>
                <w:lang w:val="en-US" w:eastAsia="zh-CN"/>
              </w:rPr>
            </w:pPr>
            <w:r>
              <w:rPr>
                <w:rFonts w:hint="eastAsia" w:ascii="Arial" w:hAnsi="Arial" w:cs="Arial"/>
                <w:sz w:val="22"/>
                <w:szCs w:val="22"/>
                <w:lang w:val="en-US" w:eastAsia="zh-CN"/>
              </w:rPr>
              <w:t>50</w:t>
            </w:r>
          </w:p>
        </w:tc>
        <w:tc>
          <w:tcPr>
            <w:tcW w:w="1490" w:type="pct"/>
            <w:vMerge w:val="continue"/>
            <w:tcBorders>
              <w:left w:val="single" w:color="000000" w:sz="4" w:space="0"/>
              <w:right w:val="single" w:color="000000" w:sz="12" w:space="0"/>
            </w:tcBorders>
            <w:shd w:val="clear" w:color="auto" w:fill="auto"/>
            <w:noWrap w:val="0"/>
            <w:vAlign w:val="center"/>
          </w:tcPr>
          <w:p w14:paraId="4DEABD22">
            <w:pPr>
              <w:pStyle w:val="2094"/>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Arial" w:hAnsi="Arial" w:cs="Arial"/>
                <w:sz w:val="22"/>
                <w:szCs w:val="22"/>
                <w:lang w:eastAsia="zh-CN"/>
              </w:rPr>
            </w:pPr>
          </w:p>
        </w:tc>
      </w:tr>
    </w:tbl>
    <w:p w14:paraId="54178FC8">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eastAsia" w:ascii="Arial" w:hAnsi="Arial" w:cs="Arial"/>
          <w:sz w:val="26"/>
          <w:szCs w:val="26"/>
          <w:lang w:eastAsia="zh-CN"/>
        </w:rPr>
      </w:pPr>
    </w:p>
    <w:p w14:paraId="2D7F6E9D">
      <w:pPr>
        <w:spacing w:line="460" w:lineRule="exact"/>
        <w:ind w:firstLine="384" w:firstLineChars="147"/>
        <w:jc w:val="both"/>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（4）</w:t>
      </w:r>
      <w:r>
        <w:rPr>
          <w:rFonts w:hint="eastAsia" w:ascii="Arial" w:hAnsi="Arial" w:cs="Arial"/>
          <w:b/>
          <w:bCs/>
          <w:kern w:val="0"/>
          <w:sz w:val="26"/>
          <w:szCs w:val="26"/>
          <w:lang w:val="en-US" w:eastAsia="zh-CN" w:bidi="ar-SA"/>
        </w:rPr>
        <w:t>地下水</w:t>
      </w:r>
      <w:r>
        <w:rPr>
          <w:rFonts w:hint="eastAsia" w:ascii="Arial" w:hAnsi="Arial" w:eastAsia="宋体" w:cs="Arial"/>
          <w:b/>
          <w:bCs/>
          <w:kern w:val="0"/>
          <w:sz w:val="26"/>
          <w:szCs w:val="26"/>
          <w:lang w:val="en-US" w:eastAsia="zh-CN" w:bidi="ar-SA"/>
        </w:rPr>
        <w:t xml:space="preserve"> </w:t>
      </w:r>
    </w:p>
    <w:p w14:paraId="014DCCA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eastAsia="宋体" w:cs="Arial"/>
          <w:sz w:val="26"/>
          <w:szCs w:val="26"/>
          <w:lang w:val="en-US" w:eastAsia="zh-CN"/>
        </w:rPr>
      </w:pPr>
      <w:r>
        <w:rPr>
          <w:rFonts w:hint="default" w:ascii="Arial" w:hAnsi="Arial" w:eastAsia="宋体" w:cs="Arial"/>
          <w:sz w:val="26"/>
          <w:szCs w:val="26"/>
          <w:lang w:val="en-US" w:eastAsia="zh-CN"/>
        </w:rPr>
        <w:t>根据《环境影响评价技术导则</w:t>
      </w:r>
      <w:r>
        <w:rPr>
          <w:rFonts w:hint="eastAsia" w:ascii="Arial" w:hAnsi="Arial" w:cs="Arial"/>
          <w:sz w:val="26"/>
          <w:szCs w:val="26"/>
          <w:lang w:val="en-US" w:eastAsia="zh-CN"/>
        </w:rPr>
        <w:t xml:space="preserve"> </w:t>
      </w:r>
      <w:r>
        <w:rPr>
          <w:rFonts w:hint="default" w:ascii="Arial" w:hAnsi="Arial" w:eastAsia="宋体" w:cs="Arial"/>
          <w:sz w:val="26"/>
          <w:szCs w:val="26"/>
          <w:lang w:val="en-US" w:eastAsia="zh-CN"/>
        </w:rPr>
        <w:t>地下水环境》</w:t>
      </w:r>
      <w:r>
        <w:rPr>
          <w:rFonts w:hint="eastAsia" w:ascii="Arial" w:hAnsi="Arial" w:cs="Arial"/>
          <w:sz w:val="26"/>
          <w:szCs w:val="26"/>
          <w:lang w:val="en-US" w:eastAsia="zh-CN"/>
        </w:rPr>
        <w:t>（</w:t>
      </w:r>
      <w:r>
        <w:rPr>
          <w:rFonts w:hint="default" w:ascii="Arial" w:hAnsi="Arial" w:eastAsia="宋体" w:cs="Arial"/>
          <w:sz w:val="26"/>
          <w:szCs w:val="26"/>
          <w:lang w:val="en-US" w:eastAsia="zh-CN"/>
        </w:rPr>
        <w:t>HJ 610-2016</w:t>
      </w:r>
      <w:r>
        <w:rPr>
          <w:rFonts w:hint="eastAsia" w:ascii="Arial" w:hAnsi="Arial" w:cs="Arial"/>
          <w:sz w:val="26"/>
          <w:szCs w:val="26"/>
          <w:lang w:val="en-US" w:eastAsia="zh-CN"/>
        </w:rPr>
        <w:t>）</w:t>
      </w:r>
      <w:r>
        <w:rPr>
          <w:rFonts w:hint="default" w:ascii="Arial" w:hAnsi="Arial" w:eastAsia="宋体" w:cs="Arial"/>
          <w:sz w:val="26"/>
          <w:szCs w:val="26"/>
          <w:lang w:val="en-US" w:eastAsia="zh-CN"/>
        </w:rPr>
        <w:t>和《地下水质量标准》</w:t>
      </w:r>
      <w:r>
        <w:rPr>
          <w:rFonts w:hint="eastAsia" w:ascii="Arial" w:hAnsi="Arial" w:cs="Arial"/>
          <w:sz w:val="26"/>
          <w:szCs w:val="26"/>
          <w:lang w:val="en-US" w:eastAsia="zh-CN"/>
        </w:rPr>
        <w:t>（</w:t>
      </w:r>
      <w:r>
        <w:rPr>
          <w:rFonts w:hint="default" w:ascii="Arial" w:hAnsi="Arial" w:eastAsia="宋体" w:cs="Arial"/>
          <w:sz w:val="26"/>
          <w:szCs w:val="26"/>
          <w:lang w:val="en-US" w:eastAsia="zh-CN"/>
        </w:rPr>
        <w:t>GB/T14848-2017</w:t>
      </w:r>
      <w:r>
        <w:rPr>
          <w:rFonts w:hint="eastAsia" w:ascii="Arial" w:hAnsi="Arial" w:cs="Arial"/>
          <w:sz w:val="26"/>
          <w:szCs w:val="26"/>
          <w:lang w:val="en-US" w:eastAsia="zh-CN"/>
        </w:rPr>
        <w:t>），</w:t>
      </w:r>
      <w:r>
        <w:rPr>
          <w:rFonts w:hint="default" w:ascii="Arial" w:hAnsi="Arial" w:eastAsia="宋体" w:cs="Arial"/>
          <w:sz w:val="26"/>
          <w:szCs w:val="26"/>
          <w:lang w:val="en-US" w:eastAsia="zh-CN"/>
        </w:rPr>
        <w:t>拟建项目地下水执行地下水质量分类指标Ⅲ类指标。</w:t>
      </w:r>
      <w:r>
        <w:rPr>
          <w:rFonts w:hint="eastAsia" w:ascii="Arial" w:hAnsi="Arial" w:cs="Arial"/>
          <w:sz w:val="26"/>
          <w:szCs w:val="26"/>
          <w:lang w:val="en-US" w:eastAsia="zh-CN"/>
        </w:rPr>
        <w:t>详见表1.5-4所示。</w:t>
      </w:r>
    </w:p>
    <w:p w14:paraId="2C75C2C4">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default" w:ascii="Arial" w:hAnsi="Arial" w:eastAsia="宋体" w:cs="Arial"/>
          <w:b/>
          <w:bCs/>
          <w:color w:val="000000"/>
          <w:kern w:val="0"/>
          <w:sz w:val="26"/>
          <w:szCs w:val="26"/>
          <w:lang w:val="en-US" w:eastAsia="zh-CN" w:bidi="ar-SA"/>
        </w:rPr>
      </w:pPr>
      <w:r>
        <w:rPr>
          <w:rFonts w:hint="eastAsia" w:ascii="Arial" w:hAnsi="Arial" w:eastAsia="宋体" w:cs="Arial"/>
          <w:b/>
          <w:bCs/>
          <w:color w:val="000000"/>
          <w:kern w:val="0"/>
          <w:sz w:val="26"/>
          <w:szCs w:val="26"/>
          <w:lang w:val="en-US" w:eastAsia="zh-CN" w:bidi="ar-SA"/>
        </w:rPr>
        <w:t>表1.</w:t>
      </w:r>
      <w:r>
        <w:rPr>
          <w:rFonts w:hint="eastAsia" w:ascii="Arial" w:hAnsi="Arial" w:cs="Arial"/>
          <w:b/>
          <w:bCs/>
          <w:color w:val="000000"/>
          <w:kern w:val="0"/>
          <w:sz w:val="26"/>
          <w:szCs w:val="26"/>
          <w:lang w:val="en-US" w:eastAsia="zh-CN" w:bidi="ar-SA"/>
        </w:rPr>
        <w:t>5</w:t>
      </w:r>
      <w:r>
        <w:rPr>
          <w:rFonts w:hint="eastAsia" w:ascii="Arial" w:hAnsi="Arial" w:eastAsia="宋体" w:cs="Arial"/>
          <w:b/>
          <w:bCs/>
          <w:color w:val="000000"/>
          <w:kern w:val="0"/>
          <w:sz w:val="26"/>
          <w:szCs w:val="26"/>
          <w:lang w:val="en-US" w:eastAsia="zh-CN" w:bidi="ar-SA"/>
        </w:rPr>
        <w:t>-</w:t>
      </w:r>
      <w:r>
        <w:rPr>
          <w:rFonts w:hint="eastAsia" w:ascii="Arial" w:hAnsi="Arial" w:cs="Arial"/>
          <w:b/>
          <w:bCs/>
          <w:color w:val="000000"/>
          <w:kern w:val="0"/>
          <w:sz w:val="26"/>
          <w:szCs w:val="26"/>
          <w:lang w:val="en-US" w:eastAsia="zh-CN" w:bidi="ar-SA"/>
        </w:rPr>
        <w:t>4</w:t>
      </w:r>
      <w:r>
        <w:rPr>
          <w:rFonts w:hint="eastAsia" w:ascii="Arial" w:hAnsi="Arial" w:eastAsia="宋体" w:cs="Arial"/>
          <w:b/>
          <w:bCs/>
          <w:color w:val="000000"/>
          <w:kern w:val="0"/>
          <w:sz w:val="26"/>
          <w:szCs w:val="26"/>
          <w:lang w:val="en-US" w:eastAsia="zh-CN" w:bidi="ar-SA"/>
        </w:rPr>
        <w:t xml:space="preserve"> </w:t>
      </w:r>
      <w:r>
        <w:rPr>
          <w:rFonts w:hint="eastAsia" w:ascii="Arial" w:hAnsi="Arial" w:cs="Arial"/>
          <w:b/>
          <w:bCs/>
          <w:color w:val="000000"/>
          <w:kern w:val="0"/>
          <w:sz w:val="26"/>
          <w:szCs w:val="26"/>
          <w:lang w:val="en-US" w:eastAsia="zh-CN" w:bidi="ar-SA"/>
        </w:rPr>
        <w:t xml:space="preserve"> 地下水质量</w:t>
      </w:r>
      <w:r>
        <w:rPr>
          <w:rFonts w:hint="eastAsia" w:ascii="Arial" w:hAnsi="Arial" w:eastAsia="宋体" w:cs="Arial"/>
          <w:b/>
          <w:bCs/>
          <w:color w:val="000000"/>
          <w:kern w:val="0"/>
          <w:sz w:val="26"/>
          <w:szCs w:val="26"/>
          <w:lang w:val="en-US" w:eastAsia="zh-CN" w:bidi="ar-SA"/>
        </w:rPr>
        <w:t>标准   单位：</w:t>
      </w:r>
      <w:r>
        <w:rPr>
          <w:rFonts w:hint="eastAsia" w:ascii="Arial" w:hAnsi="Arial" w:cs="Arial"/>
          <w:b/>
          <w:bCs/>
          <w:color w:val="000000"/>
          <w:kern w:val="0"/>
          <w:sz w:val="26"/>
          <w:szCs w:val="26"/>
          <w:lang w:val="en-US" w:eastAsia="zh-CN" w:bidi="ar-SA"/>
        </w:rPr>
        <w:t>mg/L</w:t>
      </w:r>
    </w:p>
    <w:tbl>
      <w:tblPr>
        <w:tblStyle w:val="1893"/>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3"/>
        <w:gridCol w:w="3696"/>
        <w:gridCol w:w="3731"/>
      </w:tblGrid>
      <w:tr w14:paraId="09004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573" w:type="dxa"/>
            <w:vAlign w:val="center"/>
          </w:tcPr>
          <w:p w14:paraId="243F198F">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序号</w:t>
            </w:r>
          </w:p>
        </w:tc>
        <w:tc>
          <w:tcPr>
            <w:tcW w:w="3696" w:type="dxa"/>
            <w:vAlign w:val="center"/>
          </w:tcPr>
          <w:p w14:paraId="4C6E740A">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污染物</w:t>
            </w:r>
          </w:p>
        </w:tc>
        <w:tc>
          <w:tcPr>
            <w:tcW w:w="3731" w:type="dxa"/>
            <w:vAlign w:val="center"/>
          </w:tcPr>
          <w:p w14:paraId="0EE223CB">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Ⅲ类指标</w:t>
            </w:r>
          </w:p>
        </w:tc>
      </w:tr>
      <w:tr w14:paraId="2CB5E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jc w:val="center"/>
        </w:trPr>
        <w:tc>
          <w:tcPr>
            <w:tcW w:w="1573" w:type="dxa"/>
            <w:vAlign w:val="center"/>
          </w:tcPr>
          <w:p w14:paraId="1F60B85E">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outlineLvl w:val="1"/>
              <w:rPr>
                <w:rFonts w:hint="default" w:ascii="Arial" w:hAnsi="Arial" w:cs="Arial"/>
                <w:sz w:val="22"/>
                <w:szCs w:val="22"/>
              </w:rPr>
            </w:pPr>
            <w:r>
              <w:rPr>
                <w:rFonts w:hint="default" w:ascii="Arial" w:hAnsi="Arial" w:cs="Arial"/>
                <w:sz w:val="22"/>
                <w:szCs w:val="22"/>
              </w:rPr>
              <w:t>1</w:t>
            </w:r>
          </w:p>
        </w:tc>
        <w:tc>
          <w:tcPr>
            <w:tcW w:w="3696" w:type="dxa"/>
            <w:vAlign w:val="center"/>
          </w:tcPr>
          <w:p w14:paraId="2D3DCC6A">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pH</w:t>
            </w:r>
          </w:p>
        </w:tc>
        <w:tc>
          <w:tcPr>
            <w:tcW w:w="3731" w:type="dxa"/>
            <w:vAlign w:val="center"/>
          </w:tcPr>
          <w:p w14:paraId="11430A2C">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6.5~～8.5</w:t>
            </w:r>
          </w:p>
        </w:tc>
      </w:tr>
      <w:tr w14:paraId="79F71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1573" w:type="dxa"/>
            <w:vAlign w:val="center"/>
          </w:tcPr>
          <w:p w14:paraId="61F2B0CF">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z w:val="22"/>
                <w:szCs w:val="22"/>
              </w:rPr>
              <w:t>2</w:t>
            </w:r>
          </w:p>
        </w:tc>
        <w:tc>
          <w:tcPr>
            <w:tcW w:w="3696" w:type="dxa"/>
            <w:vAlign w:val="center"/>
          </w:tcPr>
          <w:p w14:paraId="4E918F5F">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硝酸盐</w:t>
            </w:r>
          </w:p>
        </w:tc>
        <w:tc>
          <w:tcPr>
            <w:tcW w:w="3731" w:type="dxa"/>
            <w:vAlign w:val="center"/>
          </w:tcPr>
          <w:p w14:paraId="711B1403">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eastAsia" w:ascii="Arial" w:hAnsi="Arial" w:cs="Arial"/>
                <w:spacing w:val="-6"/>
                <w:sz w:val="22"/>
                <w:szCs w:val="22"/>
                <w:lang w:eastAsia="zh-CN"/>
              </w:rPr>
              <w:t>≤</w:t>
            </w:r>
            <w:r>
              <w:rPr>
                <w:rFonts w:hint="default" w:ascii="Arial" w:hAnsi="Arial" w:cs="Arial"/>
                <w:spacing w:val="-6"/>
                <w:sz w:val="22"/>
                <w:szCs w:val="22"/>
              </w:rPr>
              <w:t>20</w:t>
            </w:r>
          </w:p>
        </w:tc>
      </w:tr>
      <w:tr w14:paraId="2C5F7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1573" w:type="dxa"/>
            <w:vAlign w:val="center"/>
          </w:tcPr>
          <w:p w14:paraId="39513FFE">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z w:val="22"/>
                <w:szCs w:val="22"/>
              </w:rPr>
              <w:t>3</w:t>
            </w:r>
          </w:p>
        </w:tc>
        <w:tc>
          <w:tcPr>
            <w:tcW w:w="3696" w:type="dxa"/>
            <w:vAlign w:val="center"/>
          </w:tcPr>
          <w:p w14:paraId="6B2C5C72">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氯化物</w:t>
            </w:r>
          </w:p>
        </w:tc>
        <w:tc>
          <w:tcPr>
            <w:tcW w:w="3731" w:type="dxa"/>
            <w:vAlign w:val="center"/>
          </w:tcPr>
          <w:p w14:paraId="34911AAC">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eastAsia" w:ascii="Arial" w:hAnsi="Arial" w:cs="Arial"/>
                <w:spacing w:val="-6"/>
                <w:sz w:val="22"/>
                <w:szCs w:val="22"/>
                <w:lang w:eastAsia="zh-CN"/>
              </w:rPr>
              <w:t>≤</w:t>
            </w:r>
            <w:r>
              <w:rPr>
                <w:rFonts w:hint="default" w:ascii="Arial" w:hAnsi="Arial" w:cs="Arial"/>
                <w:spacing w:val="-5"/>
                <w:sz w:val="22"/>
                <w:szCs w:val="22"/>
              </w:rPr>
              <w:t>250</w:t>
            </w:r>
          </w:p>
        </w:tc>
      </w:tr>
      <w:tr w14:paraId="29BF2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1573" w:type="dxa"/>
            <w:vAlign w:val="center"/>
          </w:tcPr>
          <w:p w14:paraId="5B670956">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z w:val="22"/>
                <w:szCs w:val="22"/>
              </w:rPr>
              <w:t>4</w:t>
            </w:r>
          </w:p>
        </w:tc>
        <w:tc>
          <w:tcPr>
            <w:tcW w:w="3696" w:type="dxa"/>
            <w:vAlign w:val="center"/>
          </w:tcPr>
          <w:p w14:paraId="4D7EF9A6">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硫酸盐</w:t>
            </w:r>
          </w:p>
        </w:tc>
        <w:tc>
          <w:tcPr>
            <w:tcW w:w="3731" w:type="dxa"/>
            <w:vAlign w:val="center"/>
          </w:tcPr>
          <w:p w14:paraId="3F2C7256">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eastAsia" w:ascii="宋体" w:hAnsi="宋体" w:eastAsia="宋体" w:cs="宋体"/>
                <w:spacing w:val="-3"/>
                <w:sz w:val="22"/>
                <w:szCs w:val="22"/>
              </w:rPr>
              <w:t>&lt;</w:t>
            </w:r>
            <w:r>
              <w:rPr>
                <w:rFonts w:hint="default" w:ascii="Arial" w:hAnsi="Arial" w:cs="Arial"/>
                <w:spacing w:val="-3"/>
                <w:sz w:val="22"/>
                <w:szCs w:val="22"/>
              </w:rPr>
              <w:t>250</w:t>
            </w:r>
          </w:p>
        </w:tc>
      </w:tr>
      <w:tr w14:paraId="49BE1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573" w:type="dxa"/>
            <w:vAlign w:val="center"/>
          </w:tcPr>
          <w:p w14:paraId="56EFFC69">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z w:val="22"/>
                <w:szCs w:val="22"/>
              </w:rPr>
              <w:t>5</w:t>
            </w:r>
          </w:p>
        </w:tc>
        <w:tc>
          <w:tcPr>
            <w:tcW w:w="3696" w:type="dxa"/>
            <w:vAlign w:val="center"/>
          </w:tcPr>
          <w:p w14:paraId="459EFFAD">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氨氮</w:t>
            </w:r>
          </w:p>
        </w:tc>
        <w:tc>
          <w:tcPr>
            <w:tcW w:w="3731" w:type="dxa"/>
            <w:vAlign w:val="center"/>
          </w:tcPr>
          <w:p w14:paraId="2D429722">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eastAsia" w:ascii="Arial" w:hAnsi="Arial" w:cs="Arial"/>
                <w:spacing w:val="-6"/>
                <w:sz w:val="22"/>
                <w:szCs w:val="22"/>
                <w:lang w:eastAsia="zh-CN"/>
              </w:rPr>
              <w:t>≤</w:t>
            </w:r>
            <w:r>
              <w:rPr>
                <w:rFonts w:hint="default" w:ascii="Arial" w:hAnsi="Arial" w:cs="Arial"/>
                <w:spacing w:val="-6"/>
                <w:sz w:val="22"/>
                <w:szCs w:val="22"/>
              </w:rPr>
              <w:t>0.5</w:t>
            </w:r>
          </w:p>
        </w:tc>
      </w:tr>
      <w:tr w14:paraId="156F2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1573" w:type="dxa"/>
            <w:vAlign w:val="center"/>
          </w:tcPr>
          <w:p w14:paraId="327A0391">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z w:val="22"/>
                <w:szCs w:val="22"/>
              </w:rPr>
              <w:t>6</w:t>
            </w:r>
          </w:p>
        </w:tc>
        <w:tc>
          <w:tcPr>
            <w:tcW w:w="3696" w:type="dxa"/>
            <w:vAlign w:val="center"/>
          </w:tcPr>
          <w:p w14:paraId="3C3F1133">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1"/>
                <w:sz w:val="22"/>
                <w:szCs w:val="22"/>
              </w:rPr>
              <w:t>总大肠菌群</w:t>
            </w:r>
          </w:p>
        </w:tc>
        <w:tc>
          <w:tcPr>
            <w:tcW w:w="3731" w:type="dxa"/>
            <w:vAlign w:val="center"/>
          </w:tcPr>
          <w:p w14:paraId="11252925">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eastAsia" w:ascii="Arial" w:hAnsi="Arial" w:cs="Arial"/>
                <w:spacing w:val="4"/>
                <w:sz w:val="22"/>
                <w:szCs w:val="22"/>
                <w:lang w:eastAsia="zh-CN"/>
              </w:rPr>
              <w:t>≤</w:t>
            </w:r>
            <w:r>
              <w:rPr>
                <w:rFonts w:hint="default" w:ascii="Arial" w:hAnsi="Arial" w:cs="Arial"/>
                <w:spacing w:val="4"/>
                <w:sz w:val="22"/>
                <w:szCs w:val="22"/>
              </w:rPr>
              <w:t>3.0</w:t>
            </w:r>
            <w:r>
              <w:rPr>
                <w:rFonts w:hint="eastAsia" w:ascii="宋体" w:hAnsi="宋体" w:eastAsia="宋体" w:cs="宋体"/>
                <w:spacing w:val="4"/>
                <w:sz w:val="22"/>
                <w:szCs w:val="22"/>
              </w:rPr>
              <w:t>(</w:t>
            </w:r>
            <w:r>
              <w:rPr>
                <w:rFonts w:hint="default" w:ascii="Arial" w:hAnsi="Arial" w:cs="Arial"/>
                <w:spacing w:val="4"/>
                <w:sz w:val="22"/>
                <w:szCs w:val="22"/>
              </w:rPr>
              <w:t>个/L</w:t>
            </w:r>
            <w:r>
              <w:rPr>
                <w:rFonts w:hint="eastAsia" w:ascii="宋体" w:hAnsi="宋体" w:eastAsia="宋体" w:cs="宋体"/>
                <w:spacing w:val="4"/>
                <w:sz w:val="22"/>
                <w:szCs w:val="22"/>
              </w:rPr>
              <w:t>)</w:t>
            </w:r>
          </w:p>
        </w:tc>
      </w:tr>
      <w:tr w14:paraId="1A449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1573" w:type="dxa"/>
            <w:vAlign w:val="center"/>
          </w:tcPr>
          <w:p w14:paraId="4D20D8C0">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z w:val="22"/>
                <w:szCs w:val="22"/>
              </w:rPr>
              <w:t>7</w:t>
            </w:r>
          </w:p>
        </w:tc>
        <w:tc>
          <w:tcPr>
            <w:tcW w:w="3696" w:type="dxa"/>
            <w:vAlign w:val="center"/>
          </w:tcPr>
          <w:p w14:paraId="4D859DB7">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1"/>
                <w:sz w:val="22"/>
                <w:szCs w:val="22"/>
              </w:rPr>
              <w:t>高锰酸盐指数</w:t>
            </w:r>
          </w:p>
        </w:tc>
        <w:tc>
          <w:tcPr>
            <w:tcW w:w="3731" w:type="dxa"/>
            <w:vAlign w:val="center"/>
          </w:tcPr>
          <w:p w14:paraId="221353D5">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eastAsia" w:ascii="Arial" w:hAnsi="Arial" w:cs="Arial"/>
                <w:spacing w:val="-6"/>
                <w:sz w:val="22"/>
                <w:szCs w:val="22"/>
                <w:lang w:eastAsia="zh-CN"/>
              </w:rPr>
              <w:t>≤</w:t>
            </w:r>
            <w:r>
              <w:rPr>
                <w:rFonts w:hint="default" w:ascii="Arial" w:hAnsi="Arial" w:cs="Arial"/>
                <w:spacing w:val="-6"/>
                <w:sz w:val="22"/>
                <w:szCs w:val="22"/>
              </w:rPr>
              <w:t>3.0</w:t>
            </w:r>
          </w:p>
        </w:tc>
      </w:tr>
      <w:tr w14:paraId="0D55D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1573" w:type="dxa"/>
            <w:vAlign w:val="center"/>
          </w:tcPr>
          <w:p w14:paraId="025A2DFA">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z w:val="22"/>
                <w:szCs w:val="22"/>
              </w:rPr>
              <w:t>8</w:t>
            </w:r>
          </w:p>
        </w:tc>
        <w:tc>
          <w:tcPr>
            <w:tcW w:w="3696" w:type="dxa"/>
            <w:vAlign w:val="center"/>
          </w:tcPr>
          <w:p w14:paraId="43BF916A">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总硬度</w:t>
            </w:r>
          </w:p>
        </w:tc>
        <w:tc>
          <w:tcPr>
            <w:tcW w:w="3731" w:type="dxa"/>
            <w:vAlign w:val="center"/>
          </w:tcPr>
          <w:p w14:paraId="76162E0D">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eastAsia" w:ascii="Arial" w:hAnsi="Arial" w:cs="Arial"/>
                <w:spacing w:val="-5"/>
                <w:sz w:val="22"/>
                <w:szCs w:val="22"/>
                <w:lang w:eastAsia="zh-CN"/>
              </w:rPr>
              <w:t>≤</w:t>
            </w:r>
            <w:r>
              <w:rPr>
                <w:rFonts w:hint="default" w:ascii="Arial" w:hAnsi="Arial" w:cs="Arial"/>
                <w:spacing w:val="-5"/>
                <w:sz w:val="22"/>
                <w:szCs w:val="22"/>
              </w:rPr>
              <w:t>450</w:t>
            </w:r>
          </w:p>
        </w:tc>
      </w:tr>
      <w:tr w14:paraId="389BD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1573" w:type="dxa"/>
            <w:vAlign w:val="center"/>
          </w:tcPr>
          <w:p w14:paraId="48229BB4">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z w:val="22"/>
                <w:szCs w:val="22"/>
              </w:rPr>
              <w:t>9</w:t>
            </w:r>
          </w:p>
        </w:tc>
        <w:tc>
          <w:tcPr>
            <w:tcW w:w="3696" w:type="dxa"/>
            <w:vAlign w:val="center"/>
          </w:tcPr>
          <w:p w14:paraId="0742EBCC">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亚硝酸盐</w:t>
            </w:r>
          </w:p>
        </w:tc>
        <w:tc>
          <w:tcPr>
            <w:tcW w:w="3731" w:type="dxa"/>
            <w:vAlign w:val="center"/>
          </w:tcPr>
          <w:p w14:paraId="62F0F57C">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eastAsia" w:ascii="Arial" w:hAnsi="Arial" w:cs="Arial"/>
                <w:spacing w:val="-2"/>
                <w:sz w:val="22"/>
                <w:szCs w:val="22"/>
                <w:lang w:eastAsia="zh-CN"/>
              </w:rPr>
              <w:t>≤</w:t>
            </w:r>
            <w:r>
              <w:rPr>
                <w:rFonts w:hint="default" w:ascii="Arial" w:hAnsi="Arial" w:cs="Arial"/>
                <w:spacing w:val="-2"/>
                <w:sz w:val="22"/>
                <w:szCs w:val="22"/>
              </w:rPr>
              <w:t>1.00</w:t>
            </w:r>
          </w:p>
        </w:tc>
      </w:tr>
      <w:tr w14:paraId="1536D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1573" w:type="dxa"/>
            <w:vAlign w:val="center"/>
          </w:tcPr>
          <w:p w14:paraId="7F01C8A3">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10</w:t>
            </w:r>
          </w:p>
        </w:tc>
        <w:tc>
          <w:tcPr>
            <w:tcW w:w="3696" w:type="dxa"/>
            <w:vAlign w:val="center"/>
          </w:tcPr>
          <w:p w14:paraId="76E809D8">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z w:val="22"/>
                <w:szCs w:val="22"/>
              </w:rPr>
              <w:t>铁</w:t>
            </w:r>
          </w:p>
        </w:tc>
        <w:tc>
          <w:tcPr>
            <w:tcW w:w="3731" w:type="dxa"/>
            <w:vAlign w:val="center"/>
          </w:tcPr>
          <w:p w14:paraId="57B3B33E">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eastAsia" w:ascii="Arial" w:hAnsi="Arial" w:cs="Arial"/>
                <w:spacing w:val="-6"/>
                <w:sz w:val="22"/>
                <w:szCs w:val="22"/>
                <w:lang w:eastAsia="zh-CN"/>
              </w:rPr>
              <w:t>≤</w:t>
            </w:r>
            <w:r>
              <w:rPr>
                <w:rFonts w:hint="default" w:ascii="Arial" w:hAnsi="Arial" w:cs="Arial"/>
                <w:spacing w:val="-6"/>
                <w:sz w:val="22"/>
                <w:szCs w:val="22"/>
              </w:rPr>
              <w:t>0.3</w:t>
            </w:r>
          </w:p>
        </w:tc>
      </w:tr>
      <w:tr w14:paraId="7FA21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1573" w:type="dxa"/>
            <w:vAlign w:val="center"/>
          </w:tcPr>
          <w:p w14:paraId="09B833B1">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11</w:t>
            </w:r>
          </w:p>
        </w:tc>
        <w:tc>
          <w:tcPr>
            <w:tcW w:w="3696" w:type="dxa"/>
            <w:vAlign w:val="center"/>
          </w:tcPr>
          <w:p w14:paraId="0ACEBD98">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z w:val="22"/>
                <w:szCs w:val="22"/>
              </w:rPr>
              <w:t>锰</w:t>
            </w:r>
          </w:p>
        </w:tc>
        <w:tc>
          <w:tcPr>
            <w:tcW w:w="3731" w:type="dxa"/>
            <w:vAlign w:val="center"/>
          </w:tcPr>
          <w:p w14:paraId="5FB9D12D">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eastAsia" w:ascii="Arial" w:hAnsi="Arial" w:cs="Arial"/>
                <w:spacing w:val="-2"/>
                <w:sz w:val="22"/>
                <w:szCs w:val="22"/>
                <w:lang w:eastAsia="zh-CN"/>
              </w:rPr>
              <w:t>≤</w:t>
            </w:r>
            <w:r>
              <w:rPr>
                <w:rFonts w:hint="default" w:ascii="Arial" w:hAnsi="Arial" w:cs="Arial"/>
                <w:spacing w:val="-2"/>
                <w:sz w:val="22"/>
                <w:szCs w:val="22"/>
              </w:rPr>
              <w:t>0.10</w:t>
            </w:r>
          </w:p>
        </w:tc>
      </w:tr>
      <w:tr w14:paraId="59679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1573" w:type="dxa"/>
            <w:vAlign w:val="center"/>
          </w:tcPr>
          <w:p w14:paraId="13BEBD37">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12</w:t>
            </w:r>
          </w:p>
        </w:tc>
        <w:tc>
          <w:tcPr>
            <w:tcW w:w="3696" w:type="dxa"/>
            <w:vAlign w:val="center"/>
          </w:tcPr>
          <w:p w14:paraId="25BA2A98">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溶解性总固体</w:t>
            </w:r>
          </w:p>
        </w:tc>
        <w:tc>
          <w:tcPr>
            <w:tcW w:w="3731" w:type="dxa"/>
            <w:vAlign w:val="center"/>
          </w:tcPr>
          <w:p w14:paraId="281C0D84">
            <w:pPr>
              <w:pStyle w:val="2102"/>
              <w:keepNext w:val="0"/>
              <w:keepLines w:val="0"/>
              <w:pageBreakBefore w:val="0"/>
              <w:widowControl w:val="0"/>
              <w:kinsoku/>
              <w:wordWrap/>
              <w:overflowPunct/>
              <w:topLinePunct w:val="0"/>
              <w:autoSpaceDE/>
              <w:autoSpaceDN/>
              <w:bidi w:val="0"/>
              <w:adjustRightInd/>
              <w:snapToGrid w:val="0"/>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&lt;1000</w:t>
            </w:r>
          </w:p>
        </w:tc>
      </w:tr>
    </w:tbl>
    <w:p w14:paraId="3E48C4C6">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eastAsia" w:ascii="Arial" w:hAnsi="Arial" w:eastAsia="宋体" w:cs="Arial"/>
          <w:sz w:val="26"/>
          <w:szCs w:val="26"/>
          <w:lang w:val="en-US" w:eastAsia="zh-CN"/>
        </w:rPr>
      </w:pPr>
    </w:p>
    <w:p w14:paraId="5683F977">
      <w:pPr>
        <w:spacing w:line="460" w:lineRule="exact"/>
        <w:ind w:firstLine="384" w:firstLineChars="147"/>
        <w:jc w:val="both"/>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w:t>
      </w:r>
      <w:r>
        <w:rPr>
          <w:rFonts w:hint="eastAsia" w:ascii="Arial" w:hAnsi="Arial" w:cs="Arial"/>
          <w:b/>
          <w:bCs/>
          <w:kern w:val="0"/>
          <w:sz w:val="26"/>
          <w:szCs w:val="26"/>
          <w:lang w:val="en-US" w:eastAsia="zh-CN" w:bidi="ar-SA"/>
        </w:rPr>
        <w:t>5</w:t>
      </w:r>
      <w:r>
        <w:rPr>
          <w:rFonts w:hint="eastAsia" w:ascii="Arial" w:hAnsi="Arial" w:eastAsia="宋体" w:cs="Arial"/>
          <w:b/>
          <w:bCs/>
          <w:kern w:val="0"/>
          <w:sz w:val="26"/>
          <w:szCs w:val="26"/>
          <w:lang w:val="en-US" w:eastAsia="zh-CN" w:bidi="ar-SA"/>
        </w:rPr>
        <w:t>）</w:t>
      </w:r>
      <w:r>
        <w:rPr>
          <w:rFonts w:hint="eastAsia" w:ascii="Arial" w:hAnsi="Arial" w:cs="Arial"/>
          <w:b/>
          <w:bCs/>
          <w:kern w:val="0"/>
          <w:sz w:val="26"/>
          <w:szCs w:val="26"/>
          <w:lang w:val="en-US" w:eastAsia="zh-CN" w:bidi="ar-SA"/>
        </w:rPr>
        <w:t>土壤环境</w:t>
      </w:r>
      <w:r>
        <w:rPr>
          <w:rFonts w:hint="eastAsia" w:ascii="Arial" w:hAnsi="Arial" w:eastAsia="宋体" w:cs="Arial"/>
          <w:b/>
          <w:bCs/>
          <w:kern w:val="0"/>
          <w:sz w:val="26"/>
          <w:szCs w:val="26"/>
          <w:lang w:val="en-US" w:eastAsia="zh-CN" w:bidi="ar-SA"/>
        </w:rPr>
        <w:t xml:space="preserve"> </w:t>
      </w:r>
    </w:p>
    <w:p w14:paraId="15228FF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eastAsia="宋体" w:cs="Arial"/>
          <w:sz w:val="26"/>
          <w:szCs w:val="26"/>
          <w:lang w:val="en-US" w:eastAsia="zh-CN"/>
        </w:rPr>
      </w:pPr>
      <w:r>
        <w:rPr>
          <w:rFonts w:hint="eastAsia" w:ascii="Arial" w:hAnsi="Arial" w:eastAsia="宋体" w:cs="Arial"/>
          <w:sz w:val="26"/>
          <w:szCs w:val="26"/>
          <w:lang w:val="en-US" w:eastAsia="zh-CN"/>
        </w:rPr>
        <w:t>本项目所在地现状为农用地，且未开工建设，故土壤环境执行《土壤环境质量</w:t>
      </w:r>
      <w:r>
        <w:rPr>
          <w:rFonts w:hint="eastAsia" w:ascii="Arial" w:hAnsi="Arial" w:cs="Arial"/>
          <w:sz w:val="26"/>
          <w:szCs w:val="26"/>
          <w:lang w:val="en-US" w:eastAsia="zh-CN"/>
        </w:rPr>
        <w:t xml:space="preserve"> </w:t>
      </w:r>
      <w:r>
        <w:rPr>
          <w:rFonts w:hint="eastAsia" w:ascii="Arial" w:hAnsi="Arial" w:eastAsia="宋体" w:cs="Arial"/>
          <w:sz w:val="26"/>
          <w:szCs w:val="26"/>
          <w:lang w:val="en-US" w:eastAsia="zh-CN"/>
        </w:rPr>
        <w:t>农用地土壤污染风险管控标准</w:t>
      </w:r>
      <w:r>
        <w:rPr>
          <w:rFonts w:hint="eastAsia" w:ascii="宋体" w:hAnsi="宋体" w:eastAsia="宋体" w:cs="宋体"/>
          <w:sz w:val="26"/>
          <w:szCs w:val="26"/>
          <w:lang w:val="en-US" w:eastAsia="zh-CN"/>
        </w:rPr>
        <w:t>(试行)》(</w:t>
      </w:r>
      <w:r>
        <w:rPr>
          <w:rFonts w:hint="eastAsia" w:ascii="Arial" w:hAnsi="Arial" w:eastAsia="宋体" w:cs="Arial"/>
          <w:sz w:val="26"/>
          <w:szCs w:val="26"/>
          <w:lang w:val="en-US" w:eastAsia="zh-CN"/>
        </w:rPr>
        <w:t>GB15618-2018</w:t>
      </w:r>
      <w:r>
        <w:rPr>
          <w:rFonts w:hint="eastAsia" w:ascii="宋体" w:hAnsi="宋体" w:eastAsia="宋体" w:cs="宋体"/>
          <w:sz w:val="26"/>
          <w:szCs w:val="26"/>
          <w:lang w:val="en-US" w:eastAsia="zh-CN"/>
        </w:rPr>
        <w:t>)</w:t>
      </w:r>
      <w:r>
        <w:rPr>
          <w:rFonts w:hint="eastAsia" w:ascii="Arial" w:hAnsi="Arial" w:eastAsia="宋体" w:cs="Arial"/>
          <w:sz w:val="26"/>
          <w:szCs w:val="26"/>
          <w:lang w:val="en-US" w:eastAsia="zh-CN"/>
        </w:rPr>
        <w:t>表1</w:t>
      </w:r>
      <w:r>
        <w:rPr>
          <w:rFonts w:hint="eastAsia" w:ascii="Arial" w:hAnsi="Arial" w:cs="Arial"/>
          <w:sz w:val="26"/>
          <w:szCs w:val="26"/>
          <w:lang w:val="en-US" w:eastAsia="zh-CN"/>
        </w:rPr>
        <w:t>中</w:t>
      </w:r>
      <w:r>
        <w:rPr>
          <w:rFonts w:hint="eastAsia" w:ascii="Arial" w:hAnsi="Arial" w:eastAsia="宋体" w:cs="Arial"/>
          <w:sz w:val="26"/>
          <w:szCs w:val="26"/>
          <w:lang w:val="en-US" w:eastAsia="zh-CN"/>
        </w:rPr>
        <w:t>风险筛选值</w:t>
      </w:r>
      <w:r>
        <w:rPr>
          <w:rFonts w:hint="eastAsia" w:ascii="Arial" w:hAnsi="Arial" w:cs="Arial"/>
          <w:sz w:val="26"/>
          <w:szCs w:val="26"/>
          <w:lang w:val="en-US" w:eastAsia="zh-CN"/>
        </w:rPr>
        <w:t>。</w:t>
      </w:r>
      <w:r>
        <w:rPr>
          <w:rFonts w:hint="eastAsia" w:ascii="Arial" w:hAnsi="Arial" w:eastAsia="宋体" w:cs="Arial"/>
          <w:sz w:val="26"/>
          <w:szCs w:val="26"/>
          <w:lang w:val="en-US" w:eastAsia="zh-CN"/>
        </w:rPr>
        <w:t>标准限值详见表1.5-</w:t>
      </w:r>
      <w:r>
        <w:rPr>
          <w:rFonts w:hint="eastAsia" w:ascii="Arial" w:hAnsi="Arial" w:cs="Arial"/>
          <w:sz w:val="26"/>
          <w:szCs w:val="26"/>
          <w:lang w:val="en-US" w:eastAsia="zh-CN"/>
        </w:rPr>
        <w:t>5</w:t>
      </w:r>
      <w:r>
        <w:rPr>
          <w:rFonts w:hint="eastAsia" w:ascii="Arial" w:hAnsi="Arial" w:eastAsia="宋体" w:cs="Arial"/>
          <w:sz w:val="26"/>
          <w:szCs w:val="26"/>
          <w:lang w:val="en-US" w:eastAsia="zh-CN"/>
        </w:rPr>
        <w:t>所示。</w:t>
      </w:r>
    </w:p>
    <w:p w14:paraId="26E61EB0">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default" w:ascii="Arial" w:hAnsi="Arial" w:eastAsia="宋体" w:cs="Arial"/>
          <w:sz w:val="26"/>
          <w:szCs w:val="26"/>
          <w:lang w:val="en-US" w:eastAsia="zh-CN"/>
        </w:rPr>
      </w:pPr>
    </w:p>
    <w:p w14:paraId="0643AAC9">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default" w:ascii="Arial" w:hAnsi="Arial" w:eastAsia="宋体" w:cs="Arial"/>
          <w:sz w:val="26"/>
          <w:szCs w:val="26"/>
          <w:lang w:val="en-US" w:eastAsia="zh-CN"/>
        </w:rPr>
      </w:pPr>
    </w:p>
    <w:p w14:paraId="7F09574B">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default" w:ascii="Arial" w:hAnsi="Arial" w:eastAsia="宋体" w:cs="Arial"/>
          <w:b/>
          <w:bCs/>
          <w:color w:val="000000"/>
          <w:kern w:val="0"/>
          <w:sz w:val="26"/>
          <w:szCs w:val="26"/>
          <w:lang w:val="en-US" w:eastAsia="zh-CN" w:bidi="ar-SA"/>
        </w:rPr>
      </w:pPr>
      <w:r>
        <w:rPr>
          <w:rFonts w:hint="default" w:ascii="Arial" w:hAnsi="Arial" w:eastAsia="宋体" w:cs="Arial"/>
          <w:sz w:val="26"/>
          <w:szCs w:val="26"/>
          <w:lang w:val="en-US" w:eastAsia="zh-CN"/>
        </w:rPr>
        <w:t xml:space="preserve"> </w:t>
      </w:r>
      <w:r>
        <w:rPr>
          <w:rFonts w:hint="eastAsia" w:ascii="Arial" w:hAnsi="Arial" w:eastAsia="宋体" w:cs="Arial"/>
          <w:b/>
          <w:bCs/>
          <w:color w:val="000000"/>
          <w:kern w:val="0"/>
          <w:sz w:val="26"/>
          <w:szCs w:val="26"/>
          <w:lang w:val="en-US" w:eastAsia="zh-CN" w:bidi="ar-SA"/>
        </w:rPr>
        <w:t>表1.</w:t>
      </w:r>
      <w:r>
        <w:rPr>
          <w:rFonts w:hint="eastAsia" w:ascii="Arial" w:hAnsi="Arial" w:cs="Arial"/>
          <w:b/>
          <w:bCs/>
          <w:color w:val="000000"/>
          <w:kern w:val="0"/>
          <w:sz w:val="26"/>
          <w:szCs w:val="26"/>
          <w:lang w:val="en-US" w:eastAsia="zh-CN" w:bidi="ar-SA"/>
        </w:rPr>
        <w:t>5</w:t>
      </w:r>
      <w:r>
        <w:rPr>
          <w:rFonts w:hint="eastAsia" w:ascii="Arial" w:hAnsi="Arial" w:eastAsia="宋体" w:cs="Arial"/>
          <w:b/>
          <w:bCs/>
          <w:color w:val="000000"/>
          <w:kern w:val="0"/>
          <w:sz w:val="26"/>
          <w:szCs w:val="26"/>
          <w:lang w:val="en-US" w:eastAsia="zh-CN" w:bidi="ar-SA"/>
        </w:rPr>
        <w:t>-</w:t>
      </w:r>
      <w:r>
        <w:rPr>
          <w:rFonts w:hint="eastAsia" w:ascii="Arial" w:hAnsi="Arial" w:cs="Arial"/>
          <w:b/>
          <w:bCs/>
          <w:color w:val="000000"/>
          <w:kern w:val="0"/>
          <w:sz w:val="26"/>
          <w:szCs w:val="26"/>
          <w:lang w:val="en-US" w:eastAsia="zh-CN" w:bidi="ar-SA"/>
        </w:rPr>
        <w:t>5 土壤环境质量</w:t>
      </w:r>
      <w:r>
        <w:rPr>
          <w:rFonts w:hint="eastAsia" w:ascii="Arial" w:hAnsi="Arial" w:eastAsia="宋体" w:cs="Arial"/>
          <w:b/>
          <w:bCs/>
          <w:color w:val="000000"/>
          <w:kern w:val="0"/>
          <w:sz w:val="26"/>
          <w:szCs w:val="26"/>
          <w:lang w:val="en-US" w:eastAsia="zh-CN" w:bidi="ar-SA"/>
        </w:rPr>
        <w:t>标准   单位：</w:t>
      </w:r>
      <w:r>
        <w:rPr>
          <w:rFonts w:hint="eastAsia" w:ascii="Arial" w:hAnsi="Arial" w:cs="Arial"/>
          <w:b/>
          <w:bCs/>
          <w:color w:val="000000"/>
          <w:kern w:val="0"/>
          <w:sz w:val="26"/>
          <w:szCs w:val="26"/>
          <w:lang w:val="en-US" w:eastAsia="zh-CN" w:bidi="ar-SA"/>
        </w:rPr>
        <w:t>mg/kg</w:t>
      </w:r>
    </w:p>
    <w:tbl>
      <w:tblPr>
        <w:tblStyle w:val="1893"/>
        <w:tblW w:w="89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4"/>
        <w:gridCol w:w="929"/>
        <w:gridCol w:w="1678"/>
        <w:gridCol w:w="1109"/>
        <w:gridCol w:w="1688"/>
        <w:gridCol w:w="1628"/>
        <w:gridCol w:w="1124"/>
      </w:tblGrid>
      <w:tr w14:paraId="166C1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834" w:type="dxa"/>
            <w:vMerge w:val="restart"/>
            <w:tcBorders>
              <w:bottom w:val="nil"/>
            </w:tcBorders>
            <w:vAlign w:val="center"/>
          </w:tcPr>
          <w:p w14:paraId="324A4B6D">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序号</w:t>
            </w:r>
          </w:p>
        </w:tc>
        <w:tc>
          <w:tcPr>
            <w:tcW w:w="2607" w:type="dxa"/>
            <w:gridSpan w:val="2"/>
            <w:vMerge w:val="restart"/>
            <w:tcBorders>
              <w:bottom w:val="nil"/>
            </w:tcBorders>
            <w:vAlign w:val="center"/>
          </w:tcPr>
          <w:p w14:paraId="2520A90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7"/>
                <w:sz w:val="22"/>
                <w:szCs w:val="22"/>
              </w:rPr>
              <w:t>污染物项目</w:t>
            </w:r>
          </w:p>
        </w:tc>
        <w:tc>
          <w:tcPr>
            <w:tcW w:w="5549" w:type="dxa"/>
            <w:gridSpan w:val="4"/>
            <w:vAlign w:val="center"/>
          </w:tcPr>
          <w:p w14:paraId="7B48E26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风险筛选值</w:t>
            </w:r>
          </w:p>
        </w:tc>
      </w:tr>
      <w:tr w14:paraId="6EEF1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834" w:type="dxa"/>
            <w:vMerge w:val="continue"/>
            <w:tcBorders>
              <w:top w:val="nil"/>
            </w:tcBorders>
            <w:vAlign w:val="center"/>
          </w:tcPr>
          <w:p w14:paraId="2C759A35">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2607" w:type="dxa"/>
            <w:gridSpan w:val="2"/>
            <w:vMerge w:val="continue"/>
            <w:tcBorders>
              <w:top w:val="nil"/>
            </w:tcBorders>
            <w:vAlign w:val="center"/>
          </w:tcPr>
          <w:p w14:paraId="6EBBE0BB">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1109" w:type="dxa"/>
            <w:vAlign w:val="center"/>
          </w:tcPr>
          <w:p w14:paraId="5BAA1E4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
                <w:sz w:val="22"/>
                <w:szCs w:val="22"/>
              </w:rPr>
              <w:t>pH</w:t>
            </w:r>
            <w:r>
              <w:rPr>
                <w:rFonts w:hint="eastAsia" w:ascii="Arial" w:hAnsi="Arial" w:cs="Arial"/>
                <w:spacing w:val="-1"/>
                <w:sz w:val="22"/>
                <w:szCs w:val="22"/>
                <w:lang w:eastAsia="zh-CN"/>
              </w:rPr>
              <w:t>≤</w:t>
            </w:r>
            <w:r>
              <w:rPr>
                <w:rFonts w:hint="default" w:ascii="Arial" w:hAnsi="Arial" w:cs="Arial"/>
                <w:spacing w:val="-1"/>
                <w:sz w:val="22"/>
                <w:szCs w:val="22"/>
              </w:rPr>
              <w:t>5.5</w:t>
            </w:r>
          </w:p>
        </w:tc>
        <w:tc>
          <w:tcPr>
            <w:tcW w:w="1688" w:type="dxa"/>
            <w:vAlign w:val="center"/>
          </w:tcPr>
          <w:p w14:paraId="5177EB32">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5.5&lt;pH</w:t>
            </w:r>
            <w:r>
              <w:rPr>
                <w:rFonts w:hint="eastAsia" w:ascii="Arial" w:hAnsi="Arial" w:cs="Arial"/>
                <w:spacing w:val="-2"/>
                <w:sz w:val="22"/>
                <w:szCs w:val="22"/>
                <w:lang w:eastAsia="zh-CN"/>
              </w:rPr>
              <w:t>≤</w:t>
            </w:r>
            <w:r>
              <w:rPr>
                <w:rFonts w:hint="default" w:ascii="Arial" w:hAnsi="Arial" w:cs="Arial"/>
                <w:spacing w:val="-2"/>
                <w:sz w:val="22"/>
                <w:szCs w:val="22"/>
              </w:rPr>
              <w:t>6.5</w:t>
            </w:r>
          </w:p>
        </w:tc>
        <w:tc>
          <w:tcPr>
            <w:tcW w:w="1628" w:type="dxa"/>
            <w:vAlign w:val="center"/>
          </w:tcPr>
          <w:p w14:paraId="343580D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
                <w:sz w:val="22"/>
                <w:szCs w:val="22"/>
              </w:rPr>
              <w:t>6.5&lt;pH</w:t>
            </w:r>
            <w:r>
              <w:rPr>
                <w:rFonts w:hint="eastAsia" w:ascii="Arial" w:hAnsi="Arial" w:cs="Arial"/>
                <w:spacing w:val="-1"/>
                <w:sz w:val="22"/>
                <w:szCs w:val="22"/>
                <w:lang w:eastAsia="zh-CN"/>
              </w:rPr>
              <w:t>≤</w:t>
            </w:r>
            <w:r>
              <w:rPr>
                <w:rFonts w:hint="default" w:ascii="Arial" w:hAnsi="Arial" w:cs="Arial"/>
                <w:spacing w:val="-1"/>
                <w:sz w:val="22"/>
                <w:szCs w:val="22"/>
              </w:rPr>
              <w:t>7.5</w:t>
            </w:r>
          </w:p>
        </w:tc>
        <w:tc>
          <w:tcPr>
            <w:tcW w:w="1124" w:type="dxa"/>
            <w:vAlign w:val="center"/>
          </w:tcPr>
          <w:p w14:paraId="51A7DB5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
                <w:sz w:val="22"/>
                <w:szCs w:val="22"/>
              </w:rPr>
              <w:t>pH&gt;7.5</w:t>
            </w:r>
          </w:p>
        </w:tc>
      </w:tr>
      <w:tr w14:paraId="6A385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834" w:type="dxa"/>
            <w:vMerge w:val="restart"/>
            <w:tcBorders>
              <w:bottom w:val="nil"/>
            </w:tcBorders>
            <w:vAlign w:val="center"/>
          </w:tcPr>
          <w:p w14:paraId="4039DE1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1</w:t>
            </w:r>
          </w:p>
        </w:tc>
        <w:tc>
          <w:tcPr>
            <w:tcW w:w="929" w:type="dxa"/>
            <w:vMerge w:val="restart"/>
            <w:tcBorders>
              <w:bottom w:val="nil"/>
            </w:tcBorders>
            <w:vAlign w:val="center"/>
          </w:tcPr>
          <w:p w14:paraId="4B7C8B1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镉</w:t>
            </w:r>
          </w:p>
        </w:tc>
        <w:tc>
          <w:tcPr>
            <w:tcW w:w="1678" w:type="dxa"/>
            <w:vAlign w:val="center"/>
          </w:tcPr>
          <w:p w14:paraId="1B9192A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2"/>
                <w:sz w:val="22"/>
                <w:szCs w:val="22"/>
              </w:rPr>
              <w:t>水田</w:t>
            </w:r>
          </w:p>
        </w:tc>
        <w:tc>
          <w:tcPr>
            <w:tcW w:w="1109" w:type="dxa"/>
            <w:vAlign w:val="center"/>
          </w:tcPr>
          <w:p w14:paraId="4FC4C6F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0.3</w:t>
            </w:r>
          </w:p>
        </w:tc>
        <w:tc>
          <w:tcPr>
            <w:tcW w:w="1688" w:type="dxa"/>
            <w:vAlign w:val="center"/>
          </w:tcPr>
          <w:p w14:paraId="694B6B3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0.4</w:t>
            </w:r>
          </w:p>
        </w:tc>
        <w:tc>
          <w:tcPr>
            <w:tcW w:w="1628" w:type="dxa"/>
            <w:vAlign w:val="center"/>
          </w:tcPr>
          <w:p w14:paraId="31D3FBE9">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0.6</w:t>
            </w:r>
          </w:p>
        </w:tc>
        <w:tc>
          <w:tcPr>
            <w:tcW w:w="1124" w:type="dxa"/>
            <w:vAlign w:val="center"/>
          </w:tcPr>
          <w:p w14:paraId="3F421894">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0.8</w:t>
            </w:r>
          </w:p>
        </w:tc>
      </w:tr>
      <w:tr w14:paraId="6FCE8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834" w:type="dxa"/>
            <w:vMerge w:val="continue"/>
            <w:tcBorders>
              <w:top w:val="nil"/>
            </w:tcBorders>
            <w:vAlign w:val="center"/>
          </w:tcPr>
          <w:p w14:paraId="619DABBE">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29" w:type="dxa"/>
            <w:vMerge w:val="continue"/>
            <w:tcBorders>
              <w:top w:val="nil"/>
            </w:tcBorders>
            <w:vAlign w:val="center"/>
          </w:tcPr>
          <w:p w14:paraId="711CC024">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1678" w:type="dxa"/>
            <w:vAlign w:val="center"/>
          </w:tcPr>
          <w:p w14:paraId="1716550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其他</w:t>
            </w:r>
          </w:p>
        </w:tc>
        <w:tc>
          <w:tcPr>
            <w:tcW w:w="1109" w:type="dxa"/>
            <w:vAlign w:val="center"/>
          </w:tcPr>
          <w:p w14:paraId="5583C02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0.3</w:t>
            </w:r>
          </w:p>
        </w:tc>
        <w:tc>
          <w:tcPr>
            <w:tcW w:w="1688" w:type="dxa"/>
            <w:vAlign w:val="center"/>
          </w:tcPr>
          <w:p w14:paraId="61DBF2B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0.3</w:t>
            </w:r>
          </w:p>
        </w:tc>
        <w:tc>
          <w:tcPr>
            <w:tcW w:w="1628" w:type="dxa"/>
            <w:vAlign w:val="center"/>
          </w:tcPr>
          <w:p w14:paraId="6E66B97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0.3</w:t>
            </w:r>
          </w:p>
        </w:tc>
        <w:tc>
          <w:tcPr>
            <w:tcW w:w="1124" w:type="dxa"/>
            <w:vAlign w:val="center"/>
          </w:tcPr>
          <w:p w14:paraId="4AC0817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0.6</w:t>
            </w:r>
          </w:p>
        </w:tc>
      </w:tr>
      <w:tr w14:paraId="5572B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834" w:type="dxa"/>
            <w:vMerge w:val="restart"/>
            <w:tcBorders>
              <w:bottom w:val="nil"/>
            </w:tcBorders>
            <w:vAlign w:val="center"/>
          </w:tcPr>
          <w:p w14:paraId="5884D74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2</w:t>
            </w:r>
          </w:p>
        </w:tc>
        <w:tc>
          <w:tcPr>
            <w:tcW w:w="929" w:type="dxa"/>
            <w:vMerge w:val="restart"/>
            <w:tcBorders>
              <w:bottom w:val="nil"/>
            </w:tcBorders>
            <w:vAlign w:val="center"/>
          </w:tcPr>
          <w:p w14:paraId="550E342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汞</w:t>
            </w:r>
          </w:p>
        </w:tc>
        <w:tc>
          <w:tcPr>
            <w:tcW w:w="1678" w:type="dxa"/>
            <w:vAlign w:val="center"/>
          </w:tcPr>
          <w:p w14:paraId="1276B9ED">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2"/>
                <w:sz w:val="22"/>
                <w:szCs w:val="22"/>
              </w:rPr>
              <w:t>水田</w:t>
            </w:r>
          </w:p>
        </w:tc>
        <w:tc>
          <w:tcPr>
            <w:tcW w:w="1109" w:type="dxa"/>
            <w:vAlign w:val="center"/>
          </w:tcPr>
          <w:p w14:paraId="7C5AF3D7">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0.5</w:t>
            </w:r>
          </w:p>
        </w:tc>
        <w:tc>
          <w:tcPr>
            <w:tcW w:w="1688" w:type="dxa"/>
            <w:vAlign w:val="center"/>
          </w:tcPr>
          <w:p w14:paraId="5496ABD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0.5</w:t>
            </w:r>
          </w:p>
        </w:tc>
        <w:tc>
          <w:tcPr>
            <w:tcW w:w="1628" w:type="dxa"/>
            <w:vAlign w:val="center"/>
          </w:tcPr>
          <w:p w14:paraId="7C10E21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0.6</w:t>
            </w:r>
          </w:p>
        </w:tc>
        <w:tc>
          <w:tcPr>
            <w:tcW w:w="1124" w:type="dxa"/>
            <w:vAlign w:val="center"/>
          </w:tcPr>
          <w:p w14:paraId="1A37659D">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1.0</w:t>
            </w:r>
          </w:p>
        </w:tc>
      </w:tr>
      <w:tr w14:paraId="3CF94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834" w:type="dxa"/>
            <w:vMerge w:val="continue"/>
            <w:tcBorders>
              <w:top w:val="nil"/>
            </w:tcBorders>
            <w:vAlign w:val="center"/>
          </w:tcPr>
          <w:p w14:paraId="0814FEA6">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29" w:type="dxa"/>
            <w:vMerge w:val="continue"/>
            <w:tcBorders>
              <w:top w:val="nil"/>
            </w:tcBorders>
            <w:vAlign w:val="center"/>
          </w:tcPr>
          <w:p w14:paraId="14E17342">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1678" w:type="dxa"/>
            <w:vAlign w:val="center"/>
          </w:tcPr>
          <w:p w14:paraId="5F2DEA6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其他</w:t>
            </w:r>
          </w:p>
        </w:tc>
        <w:tc>
          <w:tcPr>
            <w:tcW w:w="1109" w:type="dxa"/>
            <w:vAlign w:val="center"/>
          </w:tcPr>
          <w:p w14:paraId="63022C67">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1.3</w:t>
            </w:r>
          </w:p>
        </w:tc>
        <w:tc>
          <w:tcPr>
            <w:tcW w:w="1688" w:type="dxa"/>
            <w:vAlign w:val="center"/>
          </w:tcPr>
          <w:p w14:paraId="3DE3606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1.8</w:t>
            </w:r>
          </w:p>
        </w:tc>
        <w:tc>
          <w:tcPr>
            <w:tcW w:w="1628" w:type="dxa"/>
            <w:vAlign w:val="center"/>
          </w:tcPr>
          <w:p w14:paraId="674C2E0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2.4</w:t>
            </w:r>
          </w:p>
        </w:tc>
        <w:tc>
          <w:tcPr>
            <w:tcW w:w="1124" w:type="dxa"/>
            <w:vAlign w:val="center"/>
          </w:tcPr>
          <w:p w14:paraId="3A03DAB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3.4</w:t>
            </w:r>
          </w:p>
        </w:tc>
      </w:tr>
      <w:tr w14:paraId="73696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834" w:type="dxa"/>
            <w:vMerge w:val="restart"/>
            <w:tcBorders>
              <w:bottom w:val="nil"/>
            </w:tcBorders>
            <w:vAlign w:val="center"/>
          </w:tcPr>
          <w:p w14:paraId="4FDE121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3</w:t>
            </w:r>
          </w:p>
        </w:tc>
        <w:tc>
          <w:tcPr>
            <w:tcW w:w="929" w:type="dxa"/>
            <w:vMerge w:val="restart"/>
            <w:tcBorders>
              <w:bottom w:val="nil"/>
            </w:tcBorders>
            <w:vAlign w:val="center"/>
          </w:tcPr>
          <w:p w14:paraId="502FF12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砷</w:t>
            </w:r>
          </w:p>
        </w:tc>
        <w:tc>
          <w:tcPr>
            <w:tcW w:w="1678" w:type="dxa"/>
            <w:vAlign w:val="center"/>
          </w:tcPr>
          <w:p w14:paraId="3E49279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2"/>
                <w:sz w:val="22"/>
                <w:szCs w:val="22"/>
              </w:rPr>
              <w:t>水田</w:t>
            </w:r>
          </w:p>
        </w:tc>
        <w:tc>
          <w:tcPr>
            <w:tcW w:w="1109" w:type="dxa"/>
            <w:vAlign w:val="center"/>
          </w:tcPr>
          <w:p w14:paraId="715372B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30</w:t>
            </w:r>
          </w:p>
        </w:tc>
        <w:tc>
          <w:tcPr>
            <w:tcW w:w="1688" w:type="dxa"/>
            <w:vAlign w:val="center"/>
          </w:tcPr>
          <w:p w14:paraId="20C22D3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30</w:t>
            </w:r>
          </w:p>
        </w:tc>
        <w:tc>
          <w:tcPr>
            <w:tcW w:w="1628" w:type="dxa"/>
            <w:vAlign w:val="center"/>
          </w:tcPr>
          <w:p w14:paraId="466B9BC2">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25</w:t>
            </w:r>
          </w:p>
        </w:tc>
        <w:tc>
          <w:tcPr>
            <w:tcW w:w="1124" w:type="dxa"/>
            <w:vAlign w:val="center"/>
          </w:tcPr>
          <w:p w14:paraId="370AFFB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20</w:t>
            </w:r>
          </w:p>
        </w:tc>
      </w:tr>
      <w:tr w14:paraId="29A0B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834" w:type="dxa"/>
            <w:vMerge w:val="continue"/>
            <w:tcBorders>
              <w:top w:val="nil"/>
            </w:tcBorders>
            <w:vAlign w:val="center"/>
          </w:tcPr>
          <w:p w14:paraId="4C8C13E2">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29" w:type="dxa"/>
            <w:vMerge w:val="continue"/>
            <w:tcBorders>
              <w:top w:val="nil"/>
            </w:tcBorders>
            <w:vAlign w:val="center"/>
          </w:tcPr>
          <w:p w14:paraId="501738A3">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1678" w:type="dxa"/>
            <w:vAlign w:val="center"/>
          </w:tcPr>
          <w:p w14:paraId="7522011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其他</w:t>
            </w:r>
          </w:p>
        </w:tc>
        <w:tc>
          <w:tcPr>
            <w:tcW w:w="1109" w:type="dxa"/>
            <w:vAlign w:val="center"/>
          </w:tcPr>
          <w:p w14:paraId="25504817">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40</w:t>
            </w:r>
          </w:p>
        </w:tc>
        <w:tc>
          <w:tcPr>
            <w:tcW w:w="1688" w:type="dxa"/>
            <w:vAlign w:val="center"/>
          </w:tcPr>
          <w:p w14:paraId="18355C2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40</w:t>
            </w:r>
          </w:p>
        </w:tc>
        <w:tc>
          <w:tcPr>
            <w:tcW w:w="1628" w:type="dxa"/>
            <w:vAlign w:val="center"/>
          </w:tcPr>
          <w:p w14:paraId="7DE8C5E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30</w:t>
            </w:r>
          </w:p>
        </w:tc>
        <w:tc>
          <w:tcPr>
            <w:tcW w:w="1124" w:type="dxa"/>
            <w:vAlign w:val="center"/>
          </w:tcPr>
          <w:p w14:paraId="6C0DD3D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25</w:t>
            </w:r>
          </w:p>
        </w:tc>
      </w:tr>
      <w:tr w14:paraId="44130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834" w:type="dxa"/>
            <w:vMerge w:val="restart"/>
            <w:tcBorders>
              <w:bottom w:val="nil"/>
            </w:tcBorders>
            <w:vAlign w:val="center"/>
          </w:tcPr>
          <w:p w14:paraId="3C6A6A3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4</w:t>
            </w:r>
          </w:p>
        </w:tc>
        <w:tc>
          <w:tcPr>
            <w:tcW w:w="929" w:type="dxa"/>
            <w:vMerge w:val="restart"/>
            <w:tcBorders>
              <w:bottom w:val="nil"/>
            </w:tcBorders>
            <w:vAlign w:val="center"/>
          </w:tcPr>
          <w:p w14:paraId="04970A6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铅</w:t>
            </w:r>
          </w:p>
        </w:tc>
        <w:tc>
          <w:tcPr>
            <w:tcW w:w="1678" w:type="dxa"/>
            <w:vAlign w:val="center"/>
          </w:tcPr>
          <w:p w14:paraId="3E0AC6B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2"/>
                <w:sz w:val="22"/>
                <w:szCs w:val="22"/>
              </w:rPr>
              <w:t>水田</w:t>
            </w:r>
          </w:p>
        </w:tc>
        <w:tc>
          <w:tcPr>
            <w:tcW w:w="1109" w:type="dxa"/>
            <w:vAlign w:val="center"/>
          </w:tcPr>
          <w:p w14:paraId="56496E49">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80</w:t>
            </w:r>
          </w:p>
        </w:tc>
        <w:tc>
          <w:tcPr>
            <w:tcW w:w="1688" w:type="dxa"/>
            <w:vAlign w:val="center"/>
          </w:tcPr>
          <w:p w14:paraId="2E66422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100</w:t>
            </w:r>
          </w:p>
        </w:tc>
        <w:tc>
          <w:tcPr>
            <w:tcW w:w="1628" w:type="dxa"/>
            <w:vAlign w:val="center"/>
          </w:tcPr>
          <w:p w14:paraId="7906C83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140</w:t>
            </w:r>
          </w:p>
        </w:tc>
        <w:tc>
          <w:tcPr>
            <w:tcW w:w="1124" w:type="dxa"/>
            <w:vAlign w:val="center"/>
          </w:tcPr>
          <w:p w14:paraId="585E6C3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240</w:t>
            </w:r>
          </w:p>
        </w:tc>
      </w:tr>
      <w:tr w14:paraId="7A9C2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834" w:type="dxa"/>
            <w:vMerge w:val="continue"/>
            <w:tcBorders>
              <w:top w:val="nil"/>
            </w:tcBorders>
            <w:vAlign w:val="center"/>
          </w:tcPr>
          <w:p w14:paraId="6AD56963">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29" w:type="dxa"/>
            <w:vMerge w:val="continue"/>
            <w:tcBorders>
              <w:top w:val="nil"/>
            </w:tcBorders>
            <w:vAlign w:val="center"/>
          </w:tcPr>
          <w:p w14:paraId="29A53255">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1678" w:type="dxa"/>
            <w:vAlign w:val="center"/>
          </w:tcPr>
          <w:p w14:paraId="32014887">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其他</w:t>
            </w:r>
          </w:p>
        </w:tc>
        <w:tc>
          <w:tcPr>
            <w:tcW w:w="1109" w:type="dxa"/>
            <w:vAlign w:val="center"/>
          </w:tcPr>
          <w:p w14:paraId="1CC7F73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70</w:t>
            </w:r>
          </w:p>
        </w:tc>
        <w:tc>
          <w:tcPr>
            <w:tcW w:w="1688" w:type="dxa"/>
            <w:vAlign w:val="center"/>
          </w:tcPr>
          <w:p w14:paraId="3075F59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90</w:t>
            </w:r>
          </w:p>
        </w:tc>
        <w:tc>
          <w:tcPr>
            <w:tcW w:w="1628" w:type="dxa"/>
            <w:vAlign w:val="center"/>
          </w:tcPr>
          <w:p w14:paraId="5ADACD7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120</w:t>
            </w:r>
          </w:p>
        </w:tc>
        <w:tc>
          <w:tcPr>
            <w:tcW w:w="1124" w:type="dxa"/>
            <w:vAlign w:val="center"/>
          </w:tcPr>
          <w:p w14:paraId="00EB43E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170</w:t>
            </w:r>
          </w:p>
        </w:tc>
      </w:tr>
      <w:tr w14:paraId="10C42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834" w:type="dxa"/>
            <w:vMerge w:val="restart"/>
            <w:tcBorders>
              <w:bottom w:val="nil"/>
            </w:tcBorders>
            <w:vAlign w:val="center"/>
          </w:tcPr>
          <w:p w14:paraId="5E8B296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5</w:t>
            </w:r>
          </w:p>
        </w:tc>
        <w:tc>
          <w:tcPr>
            <w:tcW w:w="929" w:type="dxa"/>
            <w:vMerge w:val="restart"/>
            <w:tcBorders>
              <w:bottom w:val="nil"/>
            </w:tcBorders>
            <w:vAlign w:val="center"/>
          </w:tcPr>
          <w:p w14:paraId="607B3B4D">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铬</w:t>
            </w:r>
          </w:p>
        </w:tc>
        <w:tc>
          <w:tcPr>
            <w:tcW w:w="1678" w:type="dxa"/>
            <w:vAlign w:val="center"/>
          </w:tcPr>
          <w:p w14:paraId="0912790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2"/>
                <w:sz w:val="22"/>
                <w:szCs w:val="22"/>
              </w:rPr>
              <w:t>水田</w:t>
            </w:r>
          </w:p>
        </w:tc>
        <w:tc>
          <w:tcPr>
            <w:tcW w:w="1109" w:type="dxa"/>
            <w:vAlign w:val="center"/>
          </w:tcPr>
          <w:p w14:paraId="044F5B09">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250</w:t>
            </w:r>
          </w:p>
        </w:tc>
        <w:tc>
          <w:tcPr>
            <w:tcW w:w="1688" w:type="dxa"/>
            <w:vAlign w:val="center"/>
          </w:tcPr>
          <w:p w14:paraId="751E6B4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250</w:t>
            </w:r>
          </w:p>
        </w:tc>
        <w:tc>
          <w:tcPr>
            <w:tcW w:w="1628" w:type="dxa"/>
            <w:vAlign w:val="center"/>
          </w:tcPr>
          <w:p w14:paraId="77F5881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300</w:t>
            </w:r>
          </w:p>
        </w:tc>
        <w:tc>
          <w:tcPr>
            <w:tcW w:w="1124" w:type="dxa"/>
            <w:vAlign w:val="center"/>
          </w:tcPr>
          <w:p w14:paraId="01BDE54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350</w:t>
            </w:r>
          </w:p>
        </w:tc>
      </w:tr>
      <w:tr w14:paraId="560BC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834" w:type="dxa"/>
            <w:vMerge w:val="continue"/>
            <w:tcBorders>
              <w:top w:val="nil"/>
            </w:tcBorders>
            <w:vAlign w:val="center"/>
          </w:tcPr>
          <w:p w14:paraId="7767E8B6">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29" w:type="dxa"/>
            <w:vMerge w:val="continue"/>
            <w:tcBorders>
              <w:top w:val="nil"/>
            </w:tcBorders>
            <w:vAlign w:val="center"/>
          </w:tcPr>
          <w:p w14:paraId="0FD93C5E">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1678" w:type="dxa"/>
            <w:vAlign w:val="center"/>
          </w:tcPr>
          <w:p w14:paraId="6D03391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其他</w:t>
            </w:r>
          </w:p>
        </w:tc>
        <w:tc>
          <w:tcPr>
            <w:tcW w:w="1109" w:type="dxa"/>
            <w:vAlign w:val="center"/>
          </w:tcPr>
          <w:p w14:paraId="2464C08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150</w:t>
            </w:r>
          </w:p>
        </w:tc>
        <w:tc>
          <w:tcPr>
            <w:tcW w:w="1688" w:type="dxa"/>
            <w:vAlign w:val="center"/>
          </w:tcPr>
          <w:p w14:paraId="2BB6369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150</w:t>
            </w:r>
          </w:p>
        </w:tc>
        <w:tc>
          <w:tcPr>
            <w:tcW w:w="1628" w:type="dxa"/>
            <w:vAlign w:val="center"/>
          </w:tcPr>
          <w:p w14:paraId="110C948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200</w:t>
            </w:r>
          </w:p>
        </w:tc>
        <w:tc>
          <w:tcPr>
            <w:tcW w:w="1124" w:type="dxa"/>
            <w:vAlign w:val="center"/>
          </w:tcPr>
          <w:p w14:paraId="4BE0C43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250</w:t>
            </w:r>
          </w:p>
        </w:tc>
      </w:tr>
      <w:tr w14:paraId="0AD06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834" w:type="dxa"/>
            <w:vMerge w:val="restart"/>
            <w:tcBorders>
              <w:bottom w:val="nil"/>
            </w:tcBorders>
            <w:vAlign w:val="center"/>
          </w:tcPr>
          <w:p w14:paraId="2A976A32">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6</w:t>
            </w:r>
          </w:p>
        </w:tc>
        <w:tc>
          <w:tcPr>
            <w:tcW w:w="929" w:type="dxa"/>
            <w:vMerge w:val="restart"/>
            <w:tcBorders>
              <w:bottom w:val="nil"/>
            </w:tcBorders>
            <w:vAlign w:val="center"/>
          </w:tcPr>
          <w:p w14:paraId="00AEB974">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铜</w:t>
            </w:r>
          </w:p>
        </w:tc>
        <w:tc>
          <w:tcPr>
            <w:tcW w:w="1678" w:type="dxa"/>
            <w:vAlign w:val="center"/>
          </w:tcPr>
          <w:p w14:paraId="0DAC1D64">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2"/>
                <w:sz w:val="22"/>
                <w:szCs w:val="22"/>
              </w:rPr>
              <w:t>水田</w:t>
            </w:r>
          </w:p>
        </w:tc>
        <w:tc>
          <w:tcPr>
            <w:tcW w:w="1109" w:type="dxa"/>
            <w:vAlign w:val="center"/>
          </w:tcPr>
          <w:p w14:paraId="51BC972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150</w:t>
            </w:r>
          </w:p>
        </w:tc>
        <w:tc>
          <w:tcPr>
            <w:tcW w:w="1688" w:type="dxa"/>
            <w:vAlign w:val="center"/>
          </w:tcPr>
          <w:p w14:paraId="3871000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150</w:t>
            </w:r>
          </w:p>
        </w:tc>
        <w:tc>
          <w:tcPr>
            <w:tcW w:w="1628" w:type="dxa"/>
            <w:vAlign w:val="center"/>
          </w:tcPr>
          <w:p w14:paraId="23E4B05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200</w:t>
            </w:r>
          </w:p>
        </w:tc>
        <w:tc>
          <w:tcPr>
            <w:tcW w:w="1124" w:type="dxa"/>
            <w:vAlign w:val="center"/>
          </w:tcPr>
          <w:p w14:paraId="62B2803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200</w:t>
            </w:r>
          </w:p>
        </w:tc>
      </w:tr>
      <w:tr w14:paraId="41480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834" w:type="dxa"/>
            <w:vMerge w:val="continue"/>
            <w:tcBorders>
              <w:top w:val="nil"/>
            </w:tcBorders>
            <w:vAlign w:val="center"/>
          </w:tcPr>
          <w:p w14:paraId="137EDA07">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29" w:type="dxa"/>
            <w:vMerge w:val="continue"/>
            <w:tcBorders>
              <w:top w:val="nil"/>
            </w:tcBorders>
            <w:vAlign w:val="center"/>
          </w:tcPr>
          <w:p w14:paraId="35C3F4F6">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1678" w:type="dxa"/>
            <w:vAlign w:val="center"/>
          </w:tcPr>
          <w:p w14:paraId="65E9287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其他</w:t>
            </w:r>
          </w:p>
        </w:tc>
        <w:tc>
          <w:tcPr>
            <w:tcW w:w="1109" w:type="dxa"/>
            <w:vAlign w:val="center"/>
          </w:tcPr>
          <w:p w14:paraId="1FEC929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50</w:t>
            </w:r>
          </w:p>
        </w:tc>
        <w:tc>
          <w:tcPr>
            <w:tcW w:w="1688" w:type="dxa"/>
            <w:vAlign w:val="center"/>
          </w:tcPr>
          <w:p w14:paraId="07A4666D">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50</w:t>
            </w:r>
          </w:p>
        </w:tc>
        <w:tc>
          <w:tcPr>
            <w:tcW w:w="1628" w:type="dxa"/>
            <w:vAlign w:val="center"/>
          </w:tcPr>
          <w:p w14:paraId="6E011A2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100</w:t>
            </w:r>
          </w:p>
        </w:tc>
        <w:tc>
          <w:tcPr>
            <w:tcW w:w="1124" w:type="dxa"/>
            <w:vAlign w:val="center"/>
          </w:tcPr>
          <w:p w14:paraId="61B4CBA1">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100</w:t>
            </w:r>
          </w:p>
        </w:tc>
      </w:tr>
      <w:tr w14:paraId="46516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834" w:type="dxa"/>
            <w:vAlign w:val="center"/>
          </w:tcPr>
          <w:p w14:paraId="119AB23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7</w:t>
            </w:r>
          </w:p>
        </w:tc>
        <w:tc>
          <w:tcPr>
            <w:tcW w:w="2607" w:type="dxa"/>
            <w:gridSpan w:val="2"/>
            <w:vAlign w:val="center"/>
          </w:tcPr>
          <w:p w14:paraId="515AB8A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镍</w:t>
            </w:r>
          </w:p>
        </w:tc>
        <w:tc>
          <w:tcPr>
            <w:tcW w:w="1109" w:type="dxa"/>
            <w:vAlign w:val="center"/>
          </w:tcPr>
          <w:p w14:paraId="12440D4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60</w:t>
            </w:r>
          </w:p>
        </w:tc>
        <w:tc>
          <w:tcPr>
            <w:tcW w:w="1688" w:type="dxa"/>
            <w:vAlign w:val="center"/>
          </w:tcPr>
          <w:p w14:paraId="39E6EF6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70</w:t>
            </w:r>
          </w:p>
        </w:tc>
        <w:tc>
          <w:tcPr>
            <w:tcW w:w="1628" w:type="dxa"/>
            <w:vAlign w:val="center"/>
          </w:tcPr>
          <w:p w14:paraId="0917D98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100</w:t>
            </w:r>
          </w:p>
        </w:tc>
        <w:tc>
          <w:tcPr>
            <w:tcW w:w="1124" w:type="dxa"/>
            <w:vAlign w:val="center"/>
          </w:tcPr>
          <w:p w14:paraId="37B51A6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190</w:t>
            </w:r>
          </w:p>
        </w:tc>
      </w:tr>
      <w:tr w14:paraId="29F75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834" w:type="dxa"/>
            <w:vAlign w:val="center"/>
          </w:tcPr>
          <w:p w14:paraId="3E4D97E9">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8</w:t>
            </w:r>
          </w:p>
        </w:tc>
        <w:tc>
          <w:tcPr>
            <w:tcW w:w="2607" w:type="dxa"/>
            <w:gridSpan w:val="2"/>
            <w:vAlign w:val="center"/>
          </w:tcPr>
          <w:p w14:paraId="3AFC026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锌</w:t>
            </w:r>
          </w:p>
        </w:tc>
        <w:tc>
          <w:tcPr>
            <w:tcW w:w="1109" w:type="dxa"/>
            <w:vAlign w:val="center"/>
          </w:tcPr>
          <w:p w14:paraId="7B01BC5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200</w:t>
            </w:r>
          </w:p>
        </w:tc>
        <w:tc>
          <w:tcPr>
            <w:tcW w:w="1688" w:type="dxa"/>
            <w:vAlign w:val="center"/>
          </w:tcPr>
          <w:p w14:paraId="51CAC74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200</w:t>
            </w:r>
          </w:p>
        </w:tc>
        <w:tc>
          <w:tcPr>
            <w:tcW w:w="1628" w:type="dxa"/>
            <w:vAlign w:val="center"/>
          </w:tcPr>
          <w:p w14:paraId="6DDB412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250</w:t>
            </w:r>
          </w:p>
        </w:tc>
        <w:tc>
          <w:tcPr>
            <w:tcW w:w="1124" w:type="dxa"/>
            <w:vAlign w:val="center"/>
          </w:tcPr>
          <w:p w14:paraId="2F4A0E7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300</w:t>
            </w:r>
          </w:p>
        </w:tc>
      </w:tr>
      <w:tr w14:paraId="29B60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8990" w:type="dxa"/>
            <w:gridSpan w:val="7"/>
            <w:vAlign w:val="center"/>
          </w:tcPr>
          <w:p w14:paraId="288DC2C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b/>
                <w:bCs/>
                <w:spacing w:val="-2"/>
                <w:sz w:val="22"/>
                <w:szCs w:val="22"/>
              </w:rPr>
              <w:t>注：①重金属和类金属砷均按元素总量计；②对于水旱轮作地，采用其</w:t>
            </w:r>
            <w:r>
              <w:rPr>
                <w:rFonts w:hint="default" w:ascii="Arial" w:hAnsi="Arial" w:cs="Arial"/>
                <w:b/>
                <w:bCs/>
                <w:spacing w:val="-3"/>
                <w:sz w:val="22"/>
                <w:szCs w:val="22"/>
              </w:rPr>
              <w:t>中较严格的风险筛选值。</w:t>
            </w:r>
          </w:p>
        </w:tc>
      </w:tr>
    </w:tbl>
    <w:p w14:paraId="1D02C630">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eastAsia" w:ascii="Arial" w:hAnsi="Arial" w:eastAsia="宋体" w:cs="Arial"/>
          <w:sz w:val="26"/>
          <w:szCs w:val="26"/>
          <w:lang w:eastAsia="zh-CN"/>
        </w:rPr>
      </w:pPr>
    </w:p>
    <w:p w14:paraId="49A5BEAA">
      <w:pPr>
        <w:spacing w:line="460" w:lineRule="exact"/>
        <w:ind w:firstLine="384" w:firstLineChars="147"/>
        <w:jc w:val="both"/>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w:t>
      </w:r>
      <w:r>
        <w:rPr>
          <w:rFonts w:hint="eastAsia" w:ascii="Arial" w:hAnsi="Arial" w:cs="Arial"/>
          <w:b/>
          <w:bCs/>
          <w:kern w:val="0"/>
          <w:sz w:val="26"/>
          <w:szCs w:val="26"/>
          <w:lang w:val="en-US" w:eastAsia="zh-CN" w:bidi="ar-SA"/>
        </w:rPr>
        <w:t>6</w:t>
      </w:r>
      <w:r>
        <w:rPr>
          <w:rFonts w:hint="eastAsia" w:ascii="Arial" w:hAnsi="Arial" w:eastAsia="宋体" w:cs="Arial"/>
          <w:b/>
          <w:bCs/>
          <w:kern w:val="0"/>
          <w:sz w:val="26"/>
          <w:szCs w:val="26"/>
          <w:lang w:val="en-US" w:eastAsia="zh-CN" w:bidi="ar-SA"/>
        </w:rPr>
        <w:t>）生态及水土保持</w:t>
      </w:r>
    </w:p>
    <w:p w14:paraId="1961B77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工程区属水力侵蚀为主的西南土石山区，水土保持参照执行《土壤侵蚀分类分级标准》（SL190-2007），标准见表1.</w:t>
      </w:r>
      <w:r>
        <w:rPr>
          <w:rFonts w:hint="eastAsia" w:ascii="Arial" w:hAnsi="Arial" w:cs="Arial"/>
          <w:sz w:val="26"/>
          <w:szCs w:val="26"/>
          <w:lang w:val="en-US" w:eastAsia="zh-CN"/>
        </w:rPr>
        <w:t>5</w:t>
      </w:r>
      <w:r>
        <w:rPr>
          <w:rFonts w:hint="eastAsia" w:ascii="Arial" w:hAnsi="Arial" w:eastAsia="宋体" w:cs="Arial"/>
          <w:sz w:val="26"/>
          <w:szCs w:val="26"/>
          <w:lang w:val="en-US" w:eastAsia="zh-CN"/>
        </w:rPr>
        <w:t>-</w:t>
      </w:r>
      <w:r>
        <w:rPr>
          <w:rFonts w:hint="eastAsia" w:ascii="Arial" w:hAnsi="Arial" w:cs="Arial"/>
          <w:sz w:val="26"/>
          <w:szCs w:val="26"/>
          <w:lang w:val="en-US" w:eastAsia="zh-CN"/>
        </w:rPr>
        <w:t>6</w:t>
      </w:r>
      <w:r>
        <w:rPr>
          <w:rFonts w:hint="eastAsia" w:ascii="Arial" w:hAnsi="Arial" w:eastAsia="宋体" w:cs="Arial"/>
          <w:sz w:val="26"/>
          <w:szCs w:val="26"/>
          <w:lang w:val="en-US" w:eastAsia="zh-CN"/>
        </w:rPr>
        <w:t>。</w:t>
      </w:r>
    </w:p>
    <w:p w14:paraId="39DCED0A">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Arial" w:hAnsi="Arial" w:eastAsia="宋体" w:cs="Arial"/>
          <w:b/>
          <w:bCs/>
          <w:color w:val="000000"/>
          <w:kern w:val="0"/>
          <w:sz w:val="26"/>
          <w:szCs w:val="26"/>
          <w:lang w:val="en-US" w:eastAsia="zh-CN" w:bidi="ar-SA"/>
        </w:rPr>
      </w:pPr>
      <w:r>
        <w:rPr>
          <w:rFonts w:hint="eastAsia" w:ascii="Arial" w:hAnsi="Arial" w:eastAsia="宋体" w:cs="Arial"/>
          <w:b/>
          <w:bCs/>
          <w:color w:val="000000"/>
          <w:kern w:val="0"/>
          <w:sz w:val="26"/>
          <w:szCs w:val="26"/>
          <w:lang w:val="en-US" w:eastAsia="zh-CN" w:bidi="ar-SA"/>
        </w:rPr>
        <w:t>表1.</w:t>
      </w:r>
      <w:r>
        <w:rPr>
          <w:rFonts w:hint="eastAsia" w:ascii="Arial" w:hAnsi="Arial" w:cs="Arial"/>
          <w:b/>
          <w:bCs/>
          <w:color w:val="000000"/>
          <w:kern w:val="0"/>
          <w:sz w:val="26"/>
          <w:szCs w:val="26"/>
          <w:lang w:val="en-US" w:eastAsia="zh-CN" w:bidi="ar-SA"/>
        </w:rPr>
        <w:t>5</w:t>
      </w:r>
      <w:r>
        <w:rPr>
          <w:rFonts w:hint="eastAsia" w:ascii="Arial" w:hAnsi="Arial" w:eastAsia="宋体" w:cs="Arial"/>
          <w:b/>
          <w:bCs/>
          <w:color w:val="000000"/>
          <w:kern w:val="0"/>
          <w:sz w:val="26"/>
          <w:szCs w:val="26"/>
          <w:lang w:val="en-US" w:eastAsia="zh-CN" w:bidi="ar-SA"/>
        </w:rPr>
        <w:t>-</w:t>
      </w:r>
      <w:r>
        <w:rPr>
          <w:rFonts w:hint="eastAsia" w:ascii="Arial" w:hAnsi="Arial" w:cs="Arial"/>
          <w:b/>
          <w:bCs/>
          <w:color w:val="000000"/>
          <w:kern w:val="0"/>
          <w:sz w:val="26"/>
          <w:szCs w:val="26"/>
          <w:lang w:val="en-US" w:eastAsia="zh-CN" w:bidi="ar-SA"/>
        </w:rPr>
        <w:t>6</w:t>
      </w:r>
      <w:r>
        <w:rPr>
          <w:rFonts w:hint="eastAsia" w:ascii="Arial" w:hAnsi="Arial" w:eastAsia="宋体" w:cs="Arial"/>
          <w:b/>
          <w:bCs/>
          <w:color w:val="000000"/>
          <w:kern w:val="0"/>
          <w:sz w:val="26"/>
          <w:szCs w:val="26"/>
          <w:lang w:val="en-US" w:eastAsia="zh-CN" w:bidi="ar-SA"/>
        </w:rPr>
        <w:t xml:space="preserve"> 土壤侵蚀强度分级标准表</w:t>
      </w:r>
    </w:p>
    <w:tbl>
      <w:tblPr>
        <w:tblStyle w:val="77"/>
        <w:tblW w:w="84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92"/>
        <w:gridCol w:w="3636"/>
        <w:gridCol w:w="3295"/>
      </w:tblGrid>
      <w:tr w14:paraId="090489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92" w:type="dxa"/>
            <w:tcBorders>
              <w:bottom w:val="single" w:color="auto" w:sz="4" w:space="0"/>
              <w:right w:val="single" w:color="auto" w:sz="4" w:space="0"/>
            </w:tcBorders>
            <w:vAlign w:val="center"/>
          </w:tcPr>
          <w:p w14:paraId="3A87835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级  别</w:t>
            </w:r>
          </w:p>
        </w:tc>
        <w:tc>
          <w:tcPr>
            <w:tcW w:w="3636" w:type="dxa"/>
            <w:tcBorders>
              <w:left w:val="single" w:color="auto" w:sz="4" w:space="0"/>
              <w:bottom w:val="single" w:color="auto" w:sz="4" w:space="0"/>
              <w:right w:val="single" w:color="auto" w:sz="4" w:space="0"/>
            </w:tcBorders>
            <w:vAlign w:val="center"/>
          </w:tcPr>
          <w:p w14:paraId="1A3741B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sz w:val="22"/>
                <w:szCs w:val="22"/>
                <w:lang w:eastAsia="zh-CN"/>
              </w:rPr>
            </w:pPr>
            <w:r>
              <w:rPr>
                <w:rFonts w:hint="default" w:ascii="Arial" w:hAnsi="Arial" w:cs="Arial"/>
                <w:sz w:val="22"/>
                <w:szCs w:val="22"/>
              </w:rPr>
              <w:t>平均侵蚀模数</w:t>
            </w:r>
            <w:r>
              <w:rPr>
                <w:rFonts w:hint="default" w:ascii="Arial" w:hAnsi="Arial" w:cs="Arial"/>
                <w:sz w:val="22"/>
                <w:szCs w:val="22"/>
                <w:lang w:eastAsia="zh-CN"/>
              </w:rPr>
              <w:t>〔</w:t>
            </w:r>
            <w:r>
              <w:rPr>
                <w:rFonts w:hint="default" w:ascii="Arial" w:hAnsi="Arial" w:cs="Arial"/>
                <w:sz w:val="22"/>
                <w:szCs w:val="22"/>
              </w:rPr>
              <w:t>t/</w:t>
            </w:r>
            <w:r>
              <w:rPr>
                <w:rFonts w:hint="default" w:ascii="Arial" w:hAnsi="Arial" w:cs="Arial"/>
                <w:sz w:val="22"/>
                <w:szCs w:val="22"/>
                <w:lang w:eastAsia="zh-CN"/>
              </w:rPr>
              <w:t>（</w:t>
            </w:r>
            <w:r>
              <w:rPr>
                <w:rFonts w:hint="default" w:ascii="Arial" w:hAnsi="Arial" w:cs="Arial"/>
                <w:sz w:val="22"/>
                <w:szCs w:val="22"/>
              </w:rPr>
              <w:t>km</w:t>
            </w:r>
            <w:r>
              <w:rPr>
                <w:rFonts w:hint="default" w:ascii="Arial" w:hAnsi="Arial" w:cs="Arial"/>
                <w:sz w:val="22"/>
                <w:szCs w:val="22"/>
                <w:vertAlign w:val="superscript"/>
              </w:rPr>
              <w:t>2</w:t>
            </w:r>
            <w:r>
              <w:rPr>
                <w:rFonts w:hint="default" w:ascii="Arial" w:hAnsi="Arial" w:cs="Arial"/>
                <w:sz w:val="22"/>
                <w:szCs w:val="22"/>
              </w:rPr>
              <w:t>.a</w:t>
            </w:r>
            <w:r>
              <w:rPr>
                <w:rFonts w:hint="default" w:ascii="Arial" w:hAnsi="Arial" w:cs="Arial"/>
                <w:sz w:val="22"/>
                <w:szCs w:val="22"/>
                <w:lang w:eastAsia="zh-CN"/>
              </w:rPr>
              <w:t>）〕</w:t>
            </w:r>
          </w:p>
        </w:tc>
        <w:tc>
          <w:tcPr>
            <w:tcW w:w="3295" w:type="dxa"/>
            <w:tcBorders>
              <w:left w:val="single" w:color="auto" w:sz="4" w:space="0"/>
              <w:bottom w:val="single" w:color="auto" w:sz="4" w:space="0"/>
            </w:tcBorders>
            <w:vAlign w:val="center"/>
          </w:tcPr>
          <w:p w14:paraId="695D5C9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sz w:val="22"/>
                <w:szCs w:val="22"/>
                <w:lang w:eastAsia="zh-CN"/>
              </w:rPr>
            </w:pPr>
            <w:r>
              <w:rPr>
                <w:rFonts w:hint="default" w:ascii="Arial" w:hAnsi="Arial" w:cs="Arial"/>
                <w:sz w:val="22"/>
                <w:szCs w:val="22"/>
              </w:rPr>
              <w:t>平均流失厚长度</w:t>
            </w:r>
            <w:r>
              <w:rPr>
                <w:rFonts w:hint="default" w:ascii="Arial" w:hAnsi="Arial" w:cs="Arial"/>
                <w:sz w:val="22"/>
                <w:szCs w:val="22"/>
                <w:lang w:eastAsia="zh-CN"/>
              </w:rPr>
              <w:t>（</w:t>
            </w:r>
            <w:r>
              <w:rPr>
                <w:rFonts w:hint="default" w:ascii="Arial" w:hAnsi="Arial" w:cs="Arial"/>
                <w:sz w:val="22"/>
                <w:szCs w:val="22"/>
              </w:rPr>
              <w:t>mm/a</w:t>
            </w:r>
            <w:r>
              <w:rPr>
                <w:rFonts w:hint="default" w:ascii="Arial" w:hAnsi="Arial" w:cs="Arial"/>
                <w:sz w:val="22"/>
                <w:szCs w:val="22"/>
                <w:lang w:eastAsia="zh-CN"/>
              </w:rPr>
              <w:t>）</w:t>
            </w:r>
          </w:p>
        </w:tc>
      </w:tr>
      <w:tr w14:paraId="246855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92" w:type="dxa"/>
            <w:tcBorders>
              <w:top w:val="single" w:color="auto" w:sz="4" w:space="0"/>
              <w:bottom w:val="single" w:color="auto" w:sz="4" w:space="0"/>
              <w:right w:val="single" w:color="auto" w:sz="4" w:space="0"/>
            </w:tcBorders>
            <w:vAlign w:val="center"/>
          </w:tcPr>
          <w:p w14:paraId="4EC51B7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微  度</w:t>
            </w:r>
          </w:p>
        </w:tc>
        <w:tc>
          <w:tcPr>
            <w:tcW w:w="3636" w:type="dxa"/>
            <w:tcBorders>
              <w:top w:val="single" w:color="auto" w:sz="4" w:space="0"/>
              <w:left w:val="single" w:color="auto" w:sz="4" w:space="0"/>
              <w:bottom w:val="single" w:color="auto" w:sz="4" w:space="0"/>
              <w:right w:val="single" w:color="auto" w:sz="4" w:space="0"/>
            </w:tcBorders>
            <w:vAlign w:val="center"/>
          </w:tcPr>
          <w:p w14:paraId="704CF87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&lt;500</w:t>
            </w:r>
          </w:p>
        </w:tc>
        <w:tc>
          <w:tcPr>
            <w:tcW w:w="3295" w:type="dxa"/>
            <w:tcBorders>
              <w:top w:val="single" w:color="auto" w:sz="4" w:space="0"/>
              <w:left w:val="single" w:color="auto" w:sz="4" w:space="0"/>
              <w:bottom w:val="single" w:color="auto" w:sz="4" w:space="0"/>
            </w:tcBorders>
            <w:vAlign w:val="center"/>
          </w:tcPr>
          <w:p w14:paraId="59DBD39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&lt;0.37</w:t>
            </w:r>
          </w:p>
        </w:tc>
      </w:tr>
      <w:tr w14:paraId="646603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92" w:type="dxa"/>
            <w:tcBorders>
              <w:top w:val="single" w:color="auto" w:sz="4" w:space="0"/>
              <w:bottom w:val="single" w:color="auto" w:sz="4" w:space="0"/>
              <w:right w:val="single" w:color="auto" w:sz="4" w:space="0"/>
            </w:tcBorders>
            <w:vAlign w:val="center"/>
          </w:tcPr>
          <w:p w14:paraId="6B8DEDB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轻  度</w:t>
            </w:r>
          </w:p>
        </w:tc>
        <w:tc>
          <w:tcPr>
            <w:tcW w:w="3636" w:type="dxa"/>
            <w:tcBorders>
              <w:top w:val="single" w:color="auto" w:sz="4" w:space="0"/>
              <w:left w:val="single" w:color="auto" w:sz="4" w:space="0"/>
              <w:bottom w:val="single" w:color="auto" w:sz="4" w:space="0"/>
              <w:right w:val="single" w:color="auto" w:sz="4" w:space="0"/>
            </w:tcBorders>
            <w:vAlign w:val="center"/>
          </w:tcPr>
          <w:p w14:paraId="3CC5E6A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500-2500</w:t>
            </w:r>
          </w:p>
        </w:tc>
        <w:tc>
          <w:tcPr>
            <w:tcW w:w="3295" w:type="dxa"/>
            <w:tcBorders>
              <w:top w:val="single" w:color="auto" w:sz="4" w:space="0"/>
              <w:left w:val="single" w:color="auto" w:sz="4" w:space="0"/>
              <w:bottom w:val="single" w:color="auto" w:sz="4" w:space="0"/>
            </w:tcBorders>
            <w:vAlign w:val="center"/>
          </w:tcPr>
          <w:p w14:paraId="4636D47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0.37-1.9</w:t>
            </w:r>
          </w:p>
        </w:tc>
      </w:tr>
      <w:tr w14:paraId="2604EB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92" w:type="dxa"/>
            <w:tcBorders>
              <w:top w:val="single" w:color="auto" w:sz="4" w:space="0"/>
              <w:bottom w:val="single" w:color="auto" w:sz="4" w:space="0"/>
              <w:right w:val="single" w:color="auto" w:sz="4" w:space="0"/>
            </w:tcBorders>
            <w:vAlign w:val="center"/>
          </w:tcPr>
          <w:p w14:paraId="42A18ED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中  度</w:t>
            </w:r>
          </w:p>
        </w:tc>
        <w:tc>
          <w:tcPr>
            <w:tcW w:w="3636" w:type="dxa"/>
            <w:tcBorders>
              <w:top w:val="single" w:color="auto" w:sz="4" w:space="0"/>
              <w:left w:val="single" w:color="auto" w:sz="4" w:space="0"/>
              <w:bottom w:val="single" w:color="auto" w:sz="4" w:space="0"/>
              <w:right w:val="single" w:color="auto" w:sz="4" w:space="0"/>
            </w:tcBorders>
            <w:vAlign w:val="center"/>
          </w:tcPr>
          <w:p w14:paraId="2CA959A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2500-5000</w:t>
            </w:r>
          </w:p>
        </w:tc>
        <w:tc>
          <w:tcPr>
            <w:tcW w:w="3295" w:type="dxa"/>
            <w:tcBorders>
              <w:top w:val="single" w:color="auto" w:sz="4" w:space="0"/>
              <w:left w:val="single" w:color="auto" w:sz="4" w:space="0"/>
              <w:bottom w:val="single" w:color="auto" w:sz="4" w:space="0"/>
            </w:tcBorders>
            <w:vAlign w:val="center"/>
          </w:tcPr>
          <w:p w14:paraId="2CB11A1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1.9-3.7</w:t>
            </w:r>
          </w:p>
        </w:tc>
      </w:tr>
      <w:tr w14:paraId="75A674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92" w:type="dxa"/>
            <w:tcBorders>
              <w:top w:val="single" w:color="auto" w:sz="4" w:space="0"/>
              <w:bottom w:val="single" w:color="auto" w:sz="4" w:space="0"/>
              <w:right w:val="single" w:color="auto" w:sz="4" w:space="0"/>
            </w:tcBorders>
            <w:vAlign w:val="center"/>
          </w:tcPr>
          <w:p w14:paraId="5A4A46E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强  烈</w:t>
            </w:r>
          </w:p>
        </w:tc>
        <w:tc>
          <w:tcPr>
            <w:tcW w:w="3636" w:type="dxa"/>
            <w:tcBorders>
              <w:top w:val="single" w:color="auto" w:sz="4" w:space="0"/>
              <w:left w:val="single" w:color="auto" w:sz="4" w:space="0"/>
              <w:bottom w:val="single" w:color="auto" w:sz="4" w:space="0"/>
              <w:right w:val="single" w:color="auto" w:sz="4" w:space="0"/>
            </w:tcBorders>
            <w:vAlign w:val="center"/>
          </w:tcPr>
          <w:p w14:paraId="72F86B0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5000-8000</w:t>
            </w:r>
          </w:p>
        </w:tc>
        <w:tc>
          <w:tcPr>
            <w:tcW w:w="3295" w:type="dxa"/>
            <w:tcBorders>
              <w:top w:val="single" w:color="auto" w:sz="4" w:space="0"/>
              <w:left w:val="single" w:color="auto" w:sz="4" w:space="0"/>
              <w:bottom w:val="single" w:color="auto" w:sz="4" w:space="0"/>
            </w:tcBorders>
            <w:vAlign w:val="center"/>
          </w:tcPr>
          <w:p w14:paraId="398AD0D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3.7-0.74</w:t>
            </w:r>
          </w:p>
        </w:tc>
      </w:tr>
      <w:tr w14:paraId="4431F1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92" w:type="dxa"/>
            <w:tcBorders>
              <w:top w:val="single" w:color="auto" w:sz="4" w:space="0"/>
              <w:bottom w:val="single" w:color="auto" w:sz="4" w:space="0"/>
              <w:right w:val="single" w:color="auto" w:sz="4" w:space="0"/>
            </w:tcBorders>
            <w:vAlign w:val="center"/>
          </w:tcPr>
          <w:p w14:paraId="6F56BB8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极强烈</w:t>
            </w:r>
          </w:p>
        </w:tc>
        <w:tc>
          <w:tcPr>
            <w:tcW w:w="3636" w:type="dxa"/>
            <w:tcBorders>
              <w:top w:val="single" w:color="auto" w:sz="4" w:space="0"/>
              <w:left w:val="single" w:color="auto" w:sz="4" w:space="0"/>
              <w:bottom w:val="single" w:color="auto" w:sz="4" w:space="0"/>
              <w:right w:val="single" w:color="auto" w:sz="4" w:space="0"/>
            </w:tcBorders>
            <w:vAlign w:val="center"/>
          </w:tcPr>
          <w:p w14:paraId="2C051DB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8000-15000</w:t>
            </w:r>
          </w:p>
        </w:tc>
        <w:tc>
          <w:tcPr>
            <w:tcW w:w="3295" w:type="dxa"/>
            <w:tcBorders>
              <w:top w:val="single" w:color="auto" w:sz="4" w:space="0"/>
              <w:left w:val="single" w:color="auto" w:sz="4" w:space="0"/>
              <w:bottom w:val="single" w:color="auto" w:sz="4" w:space="0"/>
            </w:tcBorders>
            <w:vAlign w:val="center"/>
          </w:tcPr>
          <w:p w14:paraId="15A5AD5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5.9-11.1</w:t>
            </w:r>
          </w:p>
        </w:tc>
      </w:tr>
      <w:tr w14:paraId="64896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92" w:type="dxa"/>
            <w:tcBorders>
              <w:top w:val="single" w:color="auto" w:sz="4" w:space="0"/>
              <w:right w:val="single" w:color="auto" w:sz="4" w:space="0"/>
            </w:tcBorders>
            <w:vAlign w:val="center"/>
          </w:tcPr>
          <w:p w14:paraId="3D2C38B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剧  烈</w:t>
            </w:r>
          </w:p>
        </w:tc>
        <w:tc>
          <w:tcPr>
            <w:tcW w:w="3636" w:type="dxa"/>
            <w:tcBorders>
              <w:top w:val="single" w:color="auto" w:sz="4" w:space="0"/>
              <w:left w:val="single" w:color="auto" w:sz="4" w:space="0"/>
              <w:right w:val="single" w:color="auto" w:sz="4" w:space="0"/>
            </w:tcBorders>
            <w:vAlign w:val="center"/>
          </w:tcPr>
          <w:p w14:paraId="1B90132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&gt;15000</w:t>
            </w:r>
          </w:p>
        </w:tc>
        <w:tc>
          <w:tcPr>
            <w:tcW w:w="3295" w:type="dxa"/>
            <w:tcBorders>
              <w:top w:val="single" w:color="auto" w:sz="4" w:space="0"/>
              <w:left w:val="single" w:color="auto" w:sz="4" w:space="0"/>
            </w:tcBorders>
            <w:vAlign w:val="center"/>
          </w:tcPr>
          <w:p w14:paraId="71E5906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&gt;11.1</w:t>
            </w:r>
          </w:p>
        </w:tc>
      </w:tr>
    </w:tbl>
    <w:p w14:paraId="485ABBD1">
      <w:pPr>
        <w:pStyle w:val="19"/>
        <w:keepNext w:val="0"/>
        <w:keepLines w:val="0"/>
        <w:pageBreakBefore w:val="0"/>
        <w:widowControl w:val="0"/>
        <w:kinsoku/>
        <w:wordWrap/>
        <w:overflowPunct/>
        <w:topLinePunct w:val="0"/>
        <w:autoSpaceDE/>
        <w:autoSpaceDN/>
        <w:bidi w:val="0"/>
        <w:adjustRightInd w:val="0"/>
        <w:snapToGrid w:val="0"/>
        <w:spacing w:line="240" w:lineRule="exact"/>
        <w:ind w:firstLine="522"/>
        <w:textAlignment w:val="auto"/>
        <w:outlineLvl w:val="2"/>
        <w:rPr>
          <w:rFonts w:hint="eastAsia" w:ascii="Arial" w:hAnsi="Arial" w:eastAsia="宋体" w:cs="Arial"/>
          <w:b/>
          <w:color w:val="auto"/>
          <w:kern w:val="0"/>
          <w:sz w:val="26"/>
          <w:szCs w:val="20"/>
          <w:highlight w:val="none"/>
          <w:lang w:val="en-US" w:eastAsia="zh-CN"/>
        </w:rPr>
      </w:pPr>
    </w:p>
    <w:p w14:paraId="3C8CF0BA">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5</w:t>
      </w:r>
      <w:r>
        <w:rPr>
          <w:rFonts w:hint="eastAsia" w:ascii="Arial" w:hAnsi="Arial" w:eastAsia="宋体" w:cs="Arial"/>
          <w:b/>
          <w:color w:val="auto"/>
          <w:kern w:val="0"/>
          <w:sz w:val="26"/>
          <w:szCs w:val="20"/>
          <w:highlight w:val="none"/>
          <w:lang w:val="en-US" w:eastAsia="zh-CN"/>
        </w:rPr>
        <w:t>.2 污染物排放标准</w:t>
      </w:r>
    </w:p>
    <w:p w14:paraId="46EFA169">
      <w:pPr>
        <w:keepNext w:val="0"/>
        <w:keepLines w:val="0"/>
        <w:pageBreakBefore w:val="0"/>
        <w:widowControl w:val="0"/>
        <w:kinsoku/>
        <w:wordWrap/>
        <w:overflowPunct/>
        <w:topLinePunct w:val="0"/>
        <w:autoSpaceDE/>
        <w:autoSpaceDN/>
        <w:bidi w:val="0"/>
        <w:spacing w:line="460" w:lineRule="exact"/>
        <w:ind w:firstLine="384" w:firstLineChars="147"/>
        <w:jc w:val="both"/>
        <w:textAlignment w:val="auto"/>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 xml:space="preserve">（1）废气排放标准 </w:t>
      </w:r>
    </w:p>
    <w:p w14:paraId="0898672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sz w:val="26"/>
          <w:szCs w:val="26"/>
          <w:lang w:val="en-US" w:eastAsia="zh-CN"/>
        </w:rPr>
      </w:pPr>
      <w:r>
        <w:rPr>
          <w:rFonts w:hint="default" w:ascii="Arial" w:hAnsi="Arial" w:eastAsia="宋体" w:cs="Arial"/>
          <w:sz w:val="26"/>
          <w:szCs w:val="26"/>
          <w:lang w:val="en-US" w:eastAsia="zh-CN"/>
        </w:rPr>
        <w:t>施工期：</w:t>
      </w:r>
      <w:r>
        <w:rPr>
          <w:rFonts w:hint="eastAsia" w:ascii="Arial" w:hAnsi="Arial" w:eastAsia="宋体" w:cs="Arial"/>
          <w:sz w:val="26"/>
          <w:szCs w:val="26"/>
          <w:lang w:val="en-US" w:eastAsia="zh-CN"/>
        </w:rPr>
        <w:t>本项目选址位于</w:t>
      </w:r>
      <w:r>
        <w:rPr>
          <w:rFonts w:hint="eastAsia" w:ascii="Arial" w:hAnsi="Arial" w:cs="Arial"/>
          <w:sz w:val="26"/>
          <w:szCs w:val="26"/>
          <w:lang w:val="en-US" w:eastAsia="zh-CN"/>
        </w:rPr>
        <w:t>丰都县</w:t>
      </w:r>
      <w:r>
        <w:rPr>
          <w:rFonts w:hint="eastAsia" w:ascii="Arial" w:hAnsi="Arial" w:eastAsia="宋体" w:cs="Arial"/>
          <w:sz w:val="26"/>
          <w:szCs w:val="26"/>
          <w:lang w:val="en-US" w:eastAsia="zh-CN"/>
        </w:rPr>
        <w:t>，</w:t>
      </w:r>
      <w:r>
        <w:rPr>
          <w:rFonts w:hint="eastAsia" w:ascii="Arial" w:hAnsi="Arial" w:cs="Arial"/>
          <w:sz w:val="26"/>
          <w:szCs w:val="26"/>
          <w:lang w:val="en-US" w:eastAsia="zh-CN"/>
        </w:rPr>
        <w:t>枢纽工程施工场地</w:t>
      </w:r>
      <w:r>
        <w:rPr>
          <w:rFonts w:hint="eastAsia" w:ascii="Arial" w:hAnsi="Arial" w:eastAsia="宋体" w:cs="Arial"/>
          <w:sz w:val="26"/>
          <w:szCs w:val="26"/>
          <w:lang w:val="en-US" w:eastAsia="zh-CN"/>
        </w:rPr>
        <w:t>内设置有混凝土拌合</w:t>
      </w:r>
      <w:r>
        <w:rPr>
          <w:rFonts w:hint="eastAsia" w:ascii="Arial" w:hAnsi="Arial" w:cs="Arial"/>
          <w:sz w:val="26"/>
          <w:szCs w:val="26"/>
          <w:lang w:val="en-US" w:eastAsia="zh-CN"/>
        </w:rPr>
        <w:t>系统</w:t>
      </w:r>
      <w:r>
        <w:rPr>
          <w:rFonts w:hint="eastAsia" w:ascii="Arial" w:hAnsi="Arial" w:eastAsia="宋体" w:cs="Arial"/>
          <w:sz w:val="26"/>
          <w:szCs w:val="26"/>
          <w:lang w:val="en-US" w:eastAsia="zh-CN"/>
        </w:rPr>
        <w:t>，拌合扬尘参照执行《水泥工业大气污染物排放标准》</w:t>
      </w:r>
      <w:r>
        <w:rPr>
          <w:rFonts w:hint="eastAsia" w:ascii="Arial" w:hAnsi="Arial" w:cs="Arial"/>
          <w:sz w:val="26"/>
          <w:szCs w:val="26"/>
          <w:lang w:val="en-US" w:eastAsia="zh-CN"/>
        </w:rPr>
        <w:t>（DB50/656-2023）表1</w:t>
      </w:r>
      <w:r>
        <w:rPr>
          <w:rFonts w:hint="eastAsia" w:ascii="Arial" w:hAnsi="Arial" w:eastAsia="宋体" w:cs="Arial"/>
          <w:sz w:val="26"/>
          <w:szCs w:val="26"/>
          <w:lang w:val="en-US" w:eastAsia="zh-CN"/>
        </w:rPr>
        <w:t>中标准限值，见表1.</w:t>
      </w:r>
      <w:r>
        <w:rPr>
          <w:rFonts w:hint="eastAsia" w:ascii="Arial" w:hAnsi="Arial" w:cs="Arial"/>
          <w:sz w:val="26"/>
          <w:szCs w:val="26"/>
          <w:lang w:val="en-US" w:eastAsia="zh-CN"/>
        </w:rPr>
        <w:t>5</w:t>
      </w:r>
      <w:r>
        <w:rPr>
          <w:rFonts w:hint="eastAsia" w:ascii="Arial" w:hAnsi="Arial" w:eastAsia="宋体" w:cs="Arial"/>
          <w:sz w:val="26"/>
          <w:szCs w:val="26"/>
          <w:lang w:val="en-US" w:eastAsia="zh-CN"/>
        </w:rPr>
        <w:t>-</w:t>
      </w:r>
      <w:r>
        <w:rPr>
          <w:rFonts w:hint="eastAsia" w:ascii="Arial" w:hAnsi="Arial" w:cs="Arial"/>
          <w:sz w:val="26"/>
          <w:szCs w:val="26"/>
          <w:lang w:val="en-US" w:eastAsia="zh-CN"/>
        </w:rPr>
        <w:t>7</w:t>
      </w:r>
      <w:r>
        <w:rPr>
          <w:rFonts w:hint="eastAsia" w:ascii="Arial" w:hAnsi="Arial" w:eastAsia="宋体" w:cs="Arial"/>
          <w:sz w:val="26"/>
          <w:szCs w:val="26"/>
          <w:lang w:val="en-US" w:eastAsia="zh-CN"/>
        </w:rPr>
        <w:t>所示；施工期物料运输、土石方挖填、</w:t>
      </w:r>
      <w:r>
        <w:rPr>
          <w:rFonts w:hint="eastAsia" w:ascii="Arial" w:hAnsi="Arial" w:cs="Arial"/>
          <w:sz w:val="26"/>
          <w:szCs w:val="26"/>
          <w:lang w:val="en-US" w:eastAsia="zh-CN"/>
        </w:rPr>
        <w:t>枢纽工程砌筑、输送管线敷设</w:t>
      </w:r>
      <w:r>
        <w:rPr>
          <w:rFonts w:hint="eastAsia" w:ascii="Arial" w:hAnsi="Arial" w:eastAsia="宋体" w:cs="Arial"/>
          <w:sz w:val="26"/>
          <w:szCs w:val="26"/>
          <w:lang w:val="en-US" w:eastAsia="zh-CN"/>
        </w:rPr>
        <w:t>等</w:t>
      </w:r>
      <w:r>
        <w:rPr>
          <w:rFonts w:hint="default" w:ascii="Arial" w:hAnsi="Arial" w:eastAsia="宋体" w:cs="Arial"/>
          <w:sz w:val="26"/>
          <w:szCs w:val="26"/>
          <w:lang w:val="en-US" w:eastAsia="zh-CN"/>
        </w:rPr>
        <w:t>作业</w:t>
      </w:r>
      <w:r>
        <w:rPr>
          <w:rFonts w:hint="eastAsia" w:ascii="Arial" w:hAnsi="Arial" w:cs="Arial"/>
          <w:sz w:val="26"/>
          <w:szCs w:val="26"/>
          <w:lang w:val="en-US" w:eastAsia="zh-CN"/>
        </w:rPr>
        <w:t>工序</w:t>
      </w:r>
      <w:r>
        <w:rPr>
          <w:rFonts w:hint="default" w:ascii="Arial" w:hAnsi="Arial" w:eastAsia="宋体" w:cs="Arial"/>
          <w:sz w:val="26"/>
          <w:szCs w:val="26"/>
          <w:lang w:val="en-US" w:eastAsia="zh-CN"/>
        </w:rPr>
        <w:t>产生的扬尘、燃油施工机械产生的尾气属无组织排放，其无组织排放监控浓度限值执行《大气污染物综合排放标准》（DB50/418-2016）</w:t>
      </w:r>
      <w:r>
        <w:rPr>
          <w:rFonts w:hint="eastAsia" w:ascii="Arial" w:hAnsi="Arial" w:cs="Arial"/>
          <w:sz w:val="26"/>
          <w:szCs w:val="26"/>
          <w:lang w:val="en-US" w:eastAsia="zh-CN"/>
        </w:rPr>
        <w:t>表1</w:t>
      </w:r>
      <w:r>
        <w:rPr>
          <w:rFonts w:hint="default" w:ascii="Arial" w:hAnsi="Arial" w:eastAsia="宋体" w:cs="Arial"/>
          <w:sz w:val="26"/>
          <w:szCs w:val="26"/>
          <w:lang w:val="en-US" w:eastAsia="zh-CN"/>
        </w:rPr>
        <w:t>中</w:t>
      </w:r>
      <w:r>
        <w:rPr>
          <w:rFonts w:hint="eastAsia" w:ascii="Arial" w:hAnsi="Arial" w:eastAsia="宋体" w:cs="Arial"/>
          <w:sz w:val="26"/>
          <w:szCs w:val="26"/>
          <w:lang w:val="en-US" w:eastAsia="zh-CN"/>
        </w:rPr>
        <w:t>“</w:t>
      </w:r>
      <w:r>
        <w:rPr>
          <w:rFonts w:hint="default" w:ascii="Arial" w:hAnsi="Arial" w:eastAsia="宋体" w:cs="Arial"/>
          <w:sz w:val="26"/>
          <w:szCs w:val="26"/>
          <w:lang w:val="en-US" w:eastAsia="zh-CN"/>
        </w:rPr>
        <w:t>其他区域</w:t>
      </w:r>
      <w:r>
        <w:rPr>
          <w:rFonts w:hint="eastAsia" w:ascii="Arial" w:hAnsi="Arial" w:eastAsia="宋体" w:cs="Arial"/>
          <w:sz w:val="26"/>
          <w:szCs w:val="26"/>
          <w:lang w:val="en-US" w:eastAsia="zh-CN"/>
        </w:rPr>
        <w:t>”</w:t>
      </w:r>
      <w:r>
        <w:rPr>
          <w:rFonts w:hint="default" w:ascii="Arial" w:hAnsi="Arial" w:eastAsia="宋体" w:cs="Arial"/>
          <w:sz w:val="26"/>
          <w:szCs w:val="26"/>
          <w:lang w:val="en-US" w:eastAsia="zh-CN"/>
        </w:rPr>
        <w:t>标准，详见表 1.</w:t>
      </w:r>
      <w:r>
        <w:rPr>
          <w:rFonts w:hint="eastAsia" w:ascii="Arial" w:hAnsi="Arial" w:cs="Arial"/>
          <w:sz w:val="26"/>
          <w:szCs w:val="26"/>
          <w:lang w:val="en-US" w:eastAsia="zh-CN"/>
        </w:rPr>
        <w:t>5</w:t>
      </w:r>
      <w:r>
        <w:rPr>
          <w:rFonts w:hint="default" w:ascii="Arial" w:hAnsi="Arial" w:eastAsia="宋体" w:cs="Arial"/>
          <w:sz w:val="26"/>
          <w:szCs w:val="26"/>
          <w:lang w:val="en-US" w:eastAsia="zh-CN"/>
        </w:rPr>
        <w:t>-</w:t>
      </w:r>
      <w:r>
        <w:rPr>
          <w:rFonts w:hint="eastAsia" w:ascii="Arial" w:hAnsi="Arial" w:cs="Arial"/>
          <w:sz w:val="26"/>
          <w:szCs w:val="26"/>
          <w:lang w:val="en-US" w:eastAsia="zh-CN"/>
        </w:rPr>
        <w:t>8</w:t>
      </w:r>
      <w:r>
        <w:rPr>
          <w:rFonts w:hint="eastAsia" w:ascii="Arial" w:hAnsi="Arial" w:eastAsia="宋体" w:cs="Arial"/>
          <w:sz w:val="26"/>
          <w:szCs w:val="26"/>
          <w:lang w:val="en-US" w:eastAsia="zh-CN"/>
        </w:rPr>
        <w:t>所示。</w:t>
      </w:r>
      <w:r>
        <w:rPr>
          <w:rFonts w:hint="default" w:ascii="Arial" w:hAnsi="Arial" w:eastAsia="宋体" w:cs="Arial"/>
          <w:sz w:val="26"/>
          <w:szCs w:val="26"/>
          <w:lang w:val="en-US" w:eastAsia="zh-CN"/>
        </w:rPr>
        <w:t xml:space="preserve"> </w:t>
      </w:r>
    </w:p>
    <w:p w14:paraId="2E40488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sz w:val="26"/>
          <w:szCs w:val="26"/>
          <w:lang w:val="en-US" w:eastAsia="zh-CN"/>
        </w:rPr>
      </w:pPr>
      <w:r>
        <w:rPr>
          <w:rFonts w:hint="eastAsia" w:ascii="Arial" w:hAnsi="Arial" w:cs="Arial"/>
          <w:sz w:val="26"/>
          <w:szCs w:val="26"/>
          <w:lang w:val="en-US" w:eastAsia="zh-CN"/>
        </w:rPr>
        <w:t>本项目为水库工程，运营期管理站房内不设食堂，员工自带工作餐，故本项目运营期无废气产生。</w:t>
      </w:r>
    </w:p>
    <w:p w14:paraId="45520B8B">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Arial" w:hAnsi="Arial" w:eastAsia="宋体" w:cs="Arial"/>
          <w:b/>
          <w:bCs/>
          <w:color w:val="000000"/>
          <w:kern w:val="0"/>
          <w:sz w:val="26"/>
          <w:szCs w:val="26"/>
          <w:lang w:val="en-US" w:eastAsia="zh-CN" w:bidi="ar-SA"/>
        </w:rPr>
      </w:pPr>
      <w:r>
        <w:rPr>
          <w:rFonts w:hint="eastAsia" w:ascii="Arial" w:hAnsi="Arial" w:eastAsia="宋体" w:cs="Arial"/>
          <w:b/>
          <w:bCs/>
          <w:color w:val="000000"/>
          <w:kern w:val="0"/>
          <w:sz w:val="26"/>
          <w:szCs w:val="26"/>
          <w:lang w:val="en-US" w:eastAsia="zh-CN" w:bidi="ar-SA"/>
        </w:rPr>
        <w:t>表1.</w:t>
      </w:r>
      <w:r>
        <w:rPr>
          <w:rFonts w:hint="eastAsia" w:ascii="Arial" w:hAnsi="Arial" w:cs="Arial"/>
          <w:b/>
          <w:bCs/>
          <w:color w:val="000000"/>
          <w:kern w:val="0"/>
          <w:sz w:val="26"/>
          <w:szCs w:val="26"/>
          <w:lang w:val="en-US" w:eastAsia="zh-CN" w:bidi="ar-SA"/>
        </w:rPr>
        <w:t>5</w:t>
      </w:r>
      <w:r>
        <w:rPr>
          <w:rFonts w:hint="eastAsia" w:ascii="Arial" w:hAnsi="Arial" w:eastAsia="宋体" w:cs="Arial"/>
          <w:b/>
          <w:bCs/>
          <w:color w:val="000000"/>
          <w:kern w:val="0"/>
          <w:sz w:val="26"/>
          <w:szCs w:val="26"/>
          <w:lang w:val="en-US" w:eastAsia="zh-CN" w:bidi="ar-SA"/>
        </w:rPr>
        <w:t>-</w:t>
      </w:r>
      <w:r>
        <w:rPr>
          <w:rFonts w:hint="eastAsia" w:ascii="Arial" w:hAnsi="Arial" w:cs="Arial"/>
          <w:b/>
          <w:bCs/>
          <w:color w:val="000000"/>
          <w:kern w:val="0"/>
          <w:sz w:val="26"/>
          <w:szCs w:val="26"/>
          <w:lang w:val="en-US" w:eastAsia="zh-CN" w:bidi="ar-SA"/>
        </w:rPr>
        <w:t>7</w:t>
      </w:r>
      <w:r>
        <w:rPr>
          <w:rFonts w:hint="eastAsia" w:ascii="Arial" w:hAnsi="Arial" w:eastAsia="宋体" w:cs="Arial"/>
          <w:b/>
          <w:bCs/>
          <w:color w:val="000000"/>
          <w:kern w:val="0"/>
          <w:sz w:val="26"/>
          <w:szCs w:val="26"/>
          <w:lang w:val="en-US" w:eastAsia="zh-CN" w:bidi="ar-SA"/>
        </w:rPr>
        <w:t xml:space="preserve"> </w:t>
      </w:r>
      <w:r>
        <w:rPr>
          <w:rFonts w:hint="eastAsia" w:ascii="Arial" w:hAnsi="Arial" w:cs="Arial"/>
          <w:b/>
          <w:bCs/>
          <w:color w:val="000000"/>
          <w:kern w:val="0"/>
          <w:sz w:val="26"/>
          <w:szCs w:val="26"/>
          <w:lang w:val="en-US" w:eastAsia="zh-CN" w:bidi="ar-SA"/>
        </w:rPr>
        <w:t xml:space="preserve"> 重庆市</w:t>
      </w:r>
      <w:r>
        <w:rPr>
          <w:rFonts w:hint="eastAsia" w:ascii="Arial" w:hAnsi="Arial" w:eastAsia="宋体" w:cs="Arial"/>
          <w:b/>
          <w:bCs/>
          <w:color w:val="000000"/>
          <w:kern w:val="0"/>
          <w:sz w:val="26"/>
          <w:szCs w:val="26"/>
          <w:lang w:val="en-US" w:eastAsia="zh-CN" w:bidi="ar-SA"/>
        </w:rPr>
        <w:t>水泥工业大气污染物排放标准</w:t>
      </w:r>
    </w:p>
    <w:tbl>
      <w:tblPr>
        <w:tblStyle w:val="78"/>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6"/>
        <w:gridCol w:w="997"/>
        <w:gridCol w:w="968"/>
        <w:gridCol w:w="734"/>
        <w:gridCol w:w="1516"/>
        <w:gridCol w:w="1184"/>
        <w:gridCol w:w="1233"/>
        <w:gridCol w:w="983"/>
        <w:gridCol w:w="460"/>
      </w:tblGrid>
      <w:tr w14:paraId="5B3931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6" w:type="dxa"/>
            <w:tcBorders>
              <w:tl2br w:val="nil"/>
              <w:tr2bl w:val="nil"/>
            </w:tcBorders>
            <w:vAlign w:val="center"/>
          </w:tcPr>
          <w:p w14:paraId="66241094">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val="0"/>
                <w:color w:val="auto"/>
                <w:kern w:val="2"/>
                <w:sz w:val="22"/>
                <w:szCs w:val="22"/>
                <w:u w:color="000000"/>
                <w:lang w:val="en-US" w:eastAsia="zh-CN" w:bidi="ar-SA"/>
              </w:rPr>
            </w:pPr>
            <w:r>
              <w:rPr>
                <w:rFonts w:hint="default" w:ascii="Arial" w:hAnsi="Arial" w:eastAsia="宋体" w:cs="Arial"/>
                <w:b w:val="0"/>
                <w:color w:val="auto"/>
                <w:kern w:val="2"/>
                <w:sz w:val="22"/>
                <w:szCs w:val="22"/>
                <w:u w:color="000000"/>
                <w:lang w:val="en-US" w:eastAsia="zh-CN" w:bidi="ar-SA"/>
              </w:rPr>
              <w:t>生产</w:t>
            </w:r>
          </w:p>
          <w:p w14:paraId="3A97D87C">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default" w:ascii="Arial" w:hAnsi="Arial" w:eastAsia="宋体" w:cs="Arial"/>
                <w:b w:val="0"/>
                <w:color w:val="auto"/>
                <w:kern w:val="2"/>
                <w:sz w:val="22"/>
                <w:szCs w:val="22"/>
                <w:u w:color="000000"/>
                <w:lang w:val="en-US" w:eastAsia="zh-CN" w:bidi="ar-SA"/>
              </w:rPr>
              <w:t>过程</w:t>
            </w:r>
          </w:p>
        </w:tc>
        <w:tc>
          <w:tcPr>
            <w:tcW w:w="1965" w:type="dxa"/>
            <w:gridSpan w:val="2"/>
            <w:tcBorders>
              <w:tl2br w:val="nil"/>
              <w:tr2bl w:val="nil"/>
            </w:tcBorders>
            <w:vAlign w:val="center"/>
          </w:tcPr>
          <w:p w14:paraId="3279662E">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default" w:ascii="Arial" w:hAnsi="Arial" w:eastAsia="宋体" w:cs="Arial"/>
                <w:b w:val="0"/>
                <w:color w:val="auto"/>
                <w:kern w:val="2"/>
                <w:sz w:val="22"/>
                <w:szCs w:val="22"/>
                <w:u w:color="000000"/>
                <w:lang w:val="en-US" w:eastAsia="zh-CN" w:bidi="ar-SA"/>
              </w:rPr>
              <w:t>生产设备</w:t>
            </w:r>
          </w:p>
        </w:tc>
        <w:tc>
          <w:tcPr>
            <w:tcW w:w="734" w:type="dxa"/>
            <w:tcBorders>
              <w:tl2br w:val="nil"/>
              <w:tr2bl w:val="nil"/>
            </w:tcBorders>
            <w:vAlign w:val="center"/>
          </w:tcPr>
          <w:p w14:paraId="342BA29B">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val="0"/>
                <w:color w:val="auto"/>
                <w:kern w:val="2"/>
                <w:sz w:val="22"/>
                <w:szCs w:val="22"/>
                <w:u w:color="000000"/>
                <w:lang w:val="en-US" w:eastAsia="zh-CN" w:bidi="ar-SA"/>
              </w:rPr>
            </w:pPr>
            <w:r>
              <w:rPr>
                <w:rFonts w:hint="default" w:ascii="Arial" w:hAnsi="Arial" w:eastAsia="宋体" w:cs="Arial"/>
                <w:b w:val="0"/>
                <w:color w:val="auto"/>
                <w:kern w:val="2"/>
                <w:sz w:val="22"/>
                <w:szCs w:val="22"/>
                <w:u w:color="000000"/>
                <w:lang w:val="en-US" w:eastAsia="zh-CN" w:bidi="ar-SA"/>
              </w:rPr>
              <w:t>二氧</w:t>
            </w:r>
          </w:p>
          <w:p w14:paraId="7270839B">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color w:val="auto"/>
                <w:kern w:val="2"/>
                <w:sz w:val="22"/>
                <w:szCs w:val="22"/>
                <w:vertAlign w:val="baseline"/>
                <w:lang w:val="en-US" w:eastAsia="zh-CN" w:bidi="ar-SA"/>
              </w:rPr>
            </w:pPr>
            <w:r>
              <w:rPr>
                <w:rFonts w:hint="default" w:ascii="Arial" w:hAnsi="Arial" w:eastAsia="宋体" w:cs="Arial"/>
                <w:b w:val="0"/>
                <w:color w:val="auto"/>
                <w:kern w:val="2"/>
                <w:sz w:val="22"/>
                <w:szCs w:val="22"/>
                <w:u w:color="000000"/>
                <w:lang w:val="en-US" w:eastAsia="zh-CN" w:bidi="ar-SA"/>
              </w:rPr>
              <w:t>化硫</w:t>
            </w:r>
          </w:p>
        </w:tc>
        <w:tc>
          <w:tcPr>
            <w:tcW w:w="1516" w:type="dxa"/>
            <w:tcBorders>
              <w:tl2br w:val="nil"/>
              <w:tr2bl w:val="nil"/>
            </w:tcBorders>
            <w:vAlign w:val="center"/>
          </w:tcPr>
          <w:p w14:paraId="601695E0">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color w:val="auto"/>
                <w:kern w:val="2"/>
                <w:sz w:val="22"/>
                <w:szCs w:val="22"/>
                <w:vertAlign w:val="baseline"/>
                <w:lang w:val="en-US" w:eastAsia="zh-CN" w:bidi="ar-SA"/>
              </w:rPr>
            </w:pPr>
            <w:r>
              <w:rPr>
                <w:rFonts w:hint="default" w:ascii="Arial" w:hAnsi="Arial" w:eastAsia="宋体" w:cs="Arial"/>
                <w:b w:val="0"/>
                <w:color w:val="auto"/>
                <w:kern w:val="2"/>
                <w:sz w:val="22"/>
                <w:szCs w:val="22"/>
                <w:u w:color="000000"/>
                <w:lang w:val="en-US" w:eastAsia="zh-CN" w:bidi="ar-SA"/>
              </w:rPr>
              <w:t>氮氧化物（以NO</w:t>
            </w:r>
            <w:r>
              <w:rPr>
                <w:rFonts w:hint="default" w:ascii="Arial" w:hAnsi="Arial" w:eastAsia="宋体" w:cs="Arial"/>
                <w:b w:val="0"/>
                <w:color w:val="auto"/>
                <w:kern w:val="2"/>
                <w:sz w:val="22"/>
                <w:szCs w:val="22"/>
                <w:u w:color="000000"/>
                <w:vertAlign w:val="subscript"/>
                <w:lang w:val="en-US" w:eastAsia="zh-CN" w:bidi="ar-SA"/>
              </w:rPr>
              <w:t>2</w:t>
            </w:r>
            <w:r>
              <w:rPr>
                <w:rFonts w:hint="default" w:ascii="Arial" w:hAnsi="Arial" w:eastAsia="宋体" w:cs="Arial"/>
                <w:b w:val="0"/>
                <w:color w:val="auto"/>
                <w:kern w:val="2"/>
                <w:sz w:val="22"/>
                <w:szCs w:val="22"/>
                <w:u w:color="000000"/>
                <w:lang w:val="en-US" w:eastAsia="zh-CN" w:bidi="ar-SA"/>
              </w:rPr>
              <w:t>计）</w:t>
            </w:r>
          </w:p>
        </w:tc>
        <w:tc>
          <w:tcPr>
            <w:tcW w:w="1184" w:type="dxa"/>
            <w:tcBorders>
              <w:tl2br w:val="nil"/>
              <w:tr2bl w:val="nil"/>
            </w:tcBorders>
            <w:vAlign w:val="center"/>
          </w:tcPr>
          <w:p w14:paraId="3D65C1A9">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val="0"/>
                <w:color w:val="auto"/>
                <w:kern w:val="2"/>
                <w:sz w:val="22"/>
                <w:szCs w:val="22"/>
                <w:u w:color="000000"/>
                <w:lang w:val="en-US" w:eastAsia="zh-CN" w:bidi="ar-SA"/>
              </w:rPr>
            </w:pPr>
            <w:r>
              <w:rPr>
                <w:rFonts w:hint="default" w:ascii="Arial" w:hAnsi="Arial" w:eastAsia="宋体" w:cs="Arial"/>
                <w:b w:val="0"/>
                <w:color w:val="auto"/>
                <w:kern w:val="2"/>
                <w:sz w:val="22"/>
                <w:szCs w:val="22"/>
                <w:u w:color="000000"/>
                <w:lang w:val="en-US" w:eastAsia="zh-CN" w:bidi="ar-SA"/>
              </w:rPr>
              <w:t>颗粒物</w:t>
            </w:r>
          </w:p>
        </w:tc>
        <w:tc>
          <w:tcPr>
            <w:tcW w:w="1233" w:type="dxa"/>
            <w:tcBorders>
              <w:tl2br w:val="nil"/>
              <w:tr2bl w:val="nil"/>
            </w:tcBorders>
            <w:vAlign w:val="center"/>
          </w:tcPr>
          <w:p w14:paraId="68779048">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val="0"/>
                <w:color w:val="auto"/>
                <w:kern w:val="2"/>
                <w:sz w:val="22"/>
                <w:szCs w:val="22"/>
                <w:u w:color="000000"/>
                <w:lang w:val="en-US" w:eastAsia="zh-CN" w:bidi="ar-SA"/>
              </w:rPr>
            </w:pPr>
            <w:r>
              <w:rPr>
                <w:rFonts w:hint="default" w:ascii="Arial" w:hAnsi="Arial" w:eastAsia="宋体" w:cs="Arial"/>
                <w:b w:val="0"/>
                <w:color w:val="auto"/>
                <w:kern w:val="2"/>
                <w:sz w:val="22"/>
                <w:szCs w:val="22"/>
                <w:u w:color="000000"/>
                <w:lang w:val="en-US" w:eastAsia="zh-CN" w:bidi="ar-SA"/>
              </w:rPr>
              <w:t>氟化物（以总F计）</w:t>
            </w:r>
          </w:p>
        </w:tc>
        <w:tc>
          <w:tcPr>
            <w:tcW w:w="983" w:type="dxa"/>
            <w:tcBorders>
              <w:tl2br w:val="nil"/>
              <w:tr2bl w:val="nil"/>
            </w:tcBorders>
            <w:vAlign w:val="center"/>
          </w:tcPr>
          <w:p w14:paraId="5017C1B7">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val="0"/>
                <w:color w:val="auto"/>
                <w:kern w:val="2"/>
                <w:sz w:val="22"/>
                <w:szCs w:val="22"/>
                <w:u w:color="000000"/>
                <w:lang w:val="en-US" w:eastAsia="zh-CN" w:bidi="ar-SA"/>
              </w:rPr>
            </w:pPr>
            <w:r>
              <w:rPr>
                <w:rFonts w:hint="default" w:ascii="Arial" w:hAnsi="Arial" w:eastAsia="宋体" w:cs="Arial"/>
                <w:b w:val="0"/>
                <w:color w:val="auto"/>
                <w:kern w:val="2"/>
                <w:sz w:val="22"/>
                <w:szCs w:val="22"/>
                <w:u w:color="000000"/>
                <w:lang w:val="en-US" w:eastAsia="zh-CN" w:bidi="ar-SA"/>
              </w:rPr>
              <w:t>汞及其化合物</w:t>
            </w:r>
          </w:p>
        </w:tc>
        <w:tc>
          <w:tcPr>
            <w:tcW w:w="460" w:type="dxa"/>
            <w:tcBorders>
              <w:tl2br w:val="nil"/>
              <w:tr2bl w:val="nil"/>
            </w:tcBorders>
            <w:vAlign w:val="center"/>
          </w:tcPr>
          <w:p w14:paraId="018B8269">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val="0"/>
                <w:color w:val="auto"/>
                <w:kern w:val="2"/>
                <w:sz w:val="22"/>
                <w:szCs w:val="22"/>
                <w:u w:color="000000"/>
                <w:lang w:val="en-US" w:eastAsia="zh-CN" w:bidi="ar-SA"/>
              </w:rPr>
            </w:pPr>
            <w:r>
              <w:rPr>
                <w:rFonts w:hint="default" w:ascii="Arial" w:hAnsi="Arial" w:eastAsia="宋体" w:cs="Arial"/>
                <w:b w:val="0"/>
                <w:color w:val="auto"/>
                <w:kern w:val="2"/>
                <w:sz w:val="22"/>
                <w:szCs w:val="22"/>
                <w:u w:color="000000"/>
                <w:lang w:val="en-US" w:eastAsia="zh-CN" w:bidi="ar-SA"/>
              </w:rPr>
              <w:t>氨</w:t>
            </w:r>
          </w:p>
        </w:tc>
      </w:tr>
      <w:tr w14:paraId="587CF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6" w:type="dxa"/>
            <w:tcBorders>
              <w:tl2br w:val="nil"/>
              <w:tr2bl w:val="nil"/>
            </w:tcBorders>
            <w:vAlign w:val="center"/>
          </w:tcPr>
          <w:p w14:paraId="72D7FAE3">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cs="Arial"/>
                <w:sz w:val="22"/>
                <w:szCs w:val="22"/>
              </w:rPr>
            </w:pPr>
            <w:r>
              <w:rPr>
                <w:rFonts w:hint="default" w:ascii="Arial" w:hAnsi="Arial" w:eastAsia="宋体" w:cs="Arial"/>
                <w:color w:val="000000"/>
                <w:kern w:val="0"/>
                <w:sz w:val="22"/>
                <w:szCs w:val="22"/>
                <w:lang w:val="en-US" w:eastAsia="zh-CN" w:bidi="ar"/>
              </w:rPr>
              <w:t>散装水</w:t>
            </w:r>
          </w:p>
          <w:p w14:paraId="2E466F99">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cs="Arial"/>
                <w:sz w:val="22"/>
                <w:szCs w:val="22"/>
              </w:rPr>
            </w:pPr>
            <w:r>
              <w:rPr>
                <w:rFonts w:hint="default" w:ascii="Arial" w:hAnsi="Arial" w:eastAsia="宋体" w:cs="Arial"/>
                <w:color w:val="000000"/>
                <w:kern w:val="0"/>
                <w:sz w:val="22"/>
                <w:szCs w:val="22"/>
                <w:lang w:val="en-US" w:eastAsia="zh-CN" w:bidi="ar"/>
              </w:rPr>
              <w:t>泥中转</w:t>
            </w:r>
          </w:p>
          <w:p w14:paraId="02225FE3">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default" w:ascii="Arial" w:hAnsi="Arial" w:eastAsia="宋体" w:cs="Arial"/>
                <w:color w:val="000000"/>
                <w:kern w:val="0"/>
                <w:sz w:val="22"/>
                <w:szCs w:val="22"/>
                <w:lang w:val="en-US" w:eastAsia="zh-CN" w:bidi="ar"/>
              </w:rPr>
              <w:t>站及水泥制品生产</w:t>
            </w:r>
          </w:p>
        </w:tc>
        <w:tc>
          <w:tcPr>
            <w:tcW w:w="997" w:type="dxa"/>
            <w:tcBorders>
              <w:tl2br w:val="nil"/>
              <w:tr2bl w:val="nil"/>
            </w:tcBorders>
            <w:vAlign w:val="center"/>
          </w:tcPr>
          <w:p w14:paraId="13649C1A">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default" w:ascii="Arial" w:hAnsi="Arial" w:eastAsia="宋体" w:cs="Arial"/>
                <w:color w:val="000000"/>
                <w:kern w:val="0"/>
                <w:sz w:val="22"/>
                <w:szCs w:val="22"/>
                <w:lang w:val="en-US" w:eastAsia="zh-CN" w:bidi="ar"/>
              </w:rPr>
              <w:t>水泥仓及其它通风生产设备</w:t>
            </w:r>
          </w:p>
        </w:tc>
        <w:tc>
          <w:tcPr>
            <w:tcW w:w="968" w:type="dxa"/>
            <w:tcBorders>
              <w:tl2br w:val="nil"/>
              <w:tr2bl w:val="nil"/>
            </w:tcBorders>
            <w:vAlign w:val="center"/>
          </w:tcPr>
          <w:p w14:paraId="345574B1">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eastAsia" w:ascii="Arial" w:hAnsi="Arial" w:cs="Arial"/>
                <w:color w:val="auto"/>
                <w:sz w:val="22"/>
                <w:szCs w:val="22"/>
                <w:vertAlign w:val="baseline"/>
                <w:lang w:val="en-US" w:eastAsia="zh-CN"/>
              </w:rPr>
              <w:t>重庆市</w:t>
            </w:r>
          </w:p>
        </w:tc>
        <w:tc>
          <w:tcPr>
            <w:tcW w:w="734" w:type="dxa"/>
            <w:tcBorders>
              <w:tl2br w:val="nil"/>
              <w:tr2bl w:val="nil"/>
            </w:tcBorders>
            <w:vAlign w:val="center"/>
          </w:tcPr>
          <w:p w14:paraId="31957E7D">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w:t>
            </w:r>
          </w:p>
        </w:tc>
        <w:tc>
          <w:tcPr>
            <w:tcW w:w="1516" w:type="dxa"/>
            <w:tcBorders>
              <w:tl2br w:val="nil"/>
              <w:tr2bl w:val="nil"/>
            </w:tcBorders>
            <w:vAlign w:val="center"/>
          </w:tcPr>
          <w:p w14:paraId="39979A69">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w:t>
            </w:r>
          </w:p>
        </w:tc>
        <w:tc>
          <w:tcPr>
            <w:tcW w:w="1184" w:type="dxa"/>
            <w:tcBorders>
              <w:tl2br w:val="nil"/>
              <w:tr2bl w:val="nil"/>
            </w:tcBorders>
            <w:vAlign w:val="center"/>
          </w:tcPr>
          <w:p w14:paraId="6243A5F4">
            <w:pPr>
              <w:pStyle w:val="2013"/>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eastAsia" w:ascii="Arial" w:hAnsi="Arial" w:cs="Arial"/>
                <w:b w:val="0"/>
                <w:bCs/>
                <w:color w:val="auto"/>
                <w:sz w:val="22"/>
                <w:szCs w:val="22"/>
                <w:vertAlign w:val="baseline"/>
                <w:lang w:val="en-US" w:eastAsia="zh-CN"/>
              </w:rPr>
              <w:t>1</w:t>
            </w:r>
            <w:r>
              <w:rPr>
                <w:rFonts w:hint="default" w:ascii="Arial" w:hAnsi="Arial" w:cs="Arial"/>
                <w:b w:val="0"/>
                <w:bCs/>
                <w:color w:val="auto"/>
                <w:sz w:val="22"/>
                <w:szCs w:val="22"/>
                <w:vertAlign w:val="baseline"/>
                <w:lang w:val="en-US" w:eastAsia="zh-CN"/>
              </w:rPr>
              <w:t>0mg/m</w:t>
            </w:r>
            <w:r>
              <w:rPr>
                <w:rFonts w:hint="default" w:ascii="Arial" w:hAnsi="Arial" w:cs="Arial"/>
                <w:b w:val="0"/>
                <w:bCs/>
                <w:color w:val="auto"/>
                <w:sz w:val="22"/>
                <w:szCs w:val="22"/>
                <w:vertAlign w:val="superscript"/>
                <w:lang w:val="en-US" w:eastAsia="zh-CN"/>
              </w:rPr>
              <w:t>3</w:t>
            </w:r>
          </w:p>
        </w:tc>
        <w:tc>
          <w:tcPr>
            <w:tcW w:w="1233" w:type="dxa"/>
            <w:tcBorders>
              <w:tl2br w:val="nil"/>
              <w:tr2bl w:val="nil"/>
            </w:tcBorders>
            <w:vAlign w:val="center"/>
          </w:tcPr>
          <w:p w14:paraId="34A7FA06">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w:t>
            </w:r>
          </w:p>
        </w:tc>
        <w:tc>
          <w:tcPr>
            <w:tcW w:w="983" w:type="dxa"/>
            <w:tcBorders>
              <w:tl2br w:val="nil"/>
              <w:tr2bl w:val="nil"/>
            </w:tcBorders>
            <w:vAlign w:val="center"/>
          </w:tcPr>
          <w:p w14:paraId="4CC83BE4">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w:t>
            </w:r>
          </w:p>
        </w:tc>
        <w:tc>
          <w:tcPr>
            <w:tcW w:w="460" w:type="dxa"/>
            <w:tcBorders>
              <w:tl2br w:val="nil"/>
              <w:tr2bl w:val="nil"/>
            </w:tcBorders>
            <w:vAlign w:val="center"/>
          </w:tcPr>
          <w:p w14:paraId="289DF1DE">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w:t>
            </w:r>
          </w:p>
        </w:tc>
      </w:tr>
    </w:tbl>
    <w:p w14:paraId="589FAE0B">
      <w:pPr>
        <w:pStyle w:val="2013"/>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rPr>
      </w:pPr>
    </w:p>
    <w:p w14:paraId="624FE85A">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default" w:ascii="Arial" w:hAnsi="Arial" w:eastAsia="宋体" w:cs="Arial"/>
          <w:b/>
          <w:bCs/>
          <w:color w:val="000000"/>
          <w:kern w:val="0"/>
          <w:sz w:val="26"/>
          <w:szCs w:val="26"/>
          <w:lang w:val="en-US" w:eastAsia="zh-CN" w:bidi="ar-SA"/>
        </w:rPr>
      </w:pPr>
      <w:r>
        <w:rPr>
          <w:rFonts w:hint="eastAsia" w:ascii="Arial" w:hAnsi="Arial" w:eastAsia="宋体" w:cs="Arial"/>
          <w:b/>
          <w:bCs/>
          <w:color w:val="000000"/>
          <w:kern w:val="0"/>
          <w:sz w:val="26"/>
          <w:szCs w:val="26"/>
          <w:lang w:val="en-US" w:eastAsia="zh-CN" w:bidi="ar-SA"/>
        </w:rPr>
        <w:t>表1.</w:t>
      </w:r>
      <w:r>
        <w:rPr>
          <w:rFonts w:hint="eastAsia" w:ascii="Arial" w:hAnsi="Arial" w:cs="Arial"/>
          <w:b/>
          <w:bCs/>
          <w:color w:val="000000"/>
          <w:kern w:val="0"/>
          <w:sz w:val="26"/>
          <w:szCs w:val="26"/>
          <w:lang w:val="en-US" w:eastAsia="zh-CN" w:bidi="ar-SA"/>
        </w:rPr>
        <w:t>5</w:t>
      </w:r>
      <w:r>
        <w:rPr>
          <w:rFonts w:hint="eastAsia" w:ascii="Arial" w:hAnsi="Arial" w:eastAsia="宋体" w:cs="Arial"/>
          <w:b/>
          <w:bCs/>
          <w:color w:val="000000"/>
          <w:kern w:val="0"/>
          <w:sz w:val="26"/>
          <w:szCs w:val="26"/>
          <w:lang w:val="en-US" w:eastAsia="zh-CN" w:bidi="ar-SA"/>
        </w:rPr>
        <w:t>-</w:t>
      </w:r>
      <w:r>
        <w:rPr>
          <w:rFonts w:hint="eastAsia" w:ascii="Arial" w:hAnsi="Arial" w:cs="Arial"/>
          <w:b/>
          <w:bCs/>
          <w:color w:val="000000"/>
          <w:kern w:val="0"/>
          <w:sz w:val="26"/>
          <w:szCs w:val="26"/>
          <w:lang w:val="en-US" w:eastAsia="zh-CN" w:bidi="ar-SA"/>
        </w:rPr>
        <w:t xml:space="preserve">8 </w:t>
      </w:r>
      <w:r>
        <w:rPr>
          <w:rFonts w:hint="eastAsia" w:ascii="Arial" w:hAnsi="Arial" w:eastAsia="宋体" w:cs="Arial"/>
          <w:b/>
          <w:bCs/>
          <w:color w:val="000000"/>
          <w:kern w:val="0"/>
          <w:sz w:val="26"/>
          <w:szCs w:val="26"/>
          <w:lang w:val="en-US" w:eastAsia="zh-CN" w:bidi="ar-SA"/>
        </w:rPr>
        <w:t xml:space="preserve"> 重庆市大气污染物综合排放标准</w:t>
      </w:r>
      <w:r>
        <w:rPr>
          <w:rFonts w:hint="eastAsia" w:ascii="Arial" w:hAnsi="Arial" w:cs="Arial"/>
          <w:b/>
          <w:bCs/>
          <w:color w:val="000000"/>
          <w:kern w:val="0"/>
          <w:sz w:val="26"/>
          <w:szCs w:val="26"/>
          <w:lang w:val="en-US" w:eastAsia="zh-CN" w:bidi="ar-SA"/>
        </w:rPr>
        <w:t xml:space="preserve"> </w:t>
      </w:r>
      <w:r>
        <w:rPr>
          <w:rFonts w:hint="eastAsia" w:ascii="Arial" w:hAnsi="Arial" w:eastAsia="宋体" w:cs="Arial"/>
          <w:b/>
          <w:bCs/>
          <w:color w:val="000000"/>
          <w:kern w:val="0"/>
          <w:sz w:val="26"/>
          <w:szCs w:val="26"/>
          <w:lang w:val="en-US" w:eastAsia="zh-CN" w:bidi="ar-SA"/>
        </w:rPr>
        <w:t>单位：mg/m</w:t>
      </w:r>
      <w:r>
        <w:rPr>
          <w:rFonts w:hint="eastAsia" w:ascii="Arial" w:hAnsi="Arial" w:eastAsia="宋体" w:cs="Arial"/>
          <w:b/>
          <w:bCs/>
          <w:color w:val="000000"/>
          <w:kern w:val="0"/>
          <w:sz w:val="26"/>
          <w:szCs w:val="26"/>
          <w:vertAlign w:val="superscript"/>
          <w:lang w:val="en-US" w:eastAsia="zh-CN" w:bidi="ar-SA"/>
        </w:rPr>
        <w:t>3</w:t>
      </w:r>
    </w:p>
    <w:tbl>
      <w:tblPr>
        <w:tblStyle w:val="77"/>
        <w:tblW w:w="90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52"/>
        <w:gridCol w:w="1253"/>
        <w:gridCol w:w="2918"/>
        <w:gridCol w:w="3648"/>
      </w:tblGrid>
      <w:tr w14:paraId="256C9D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5" w:type="dxa"/>
            <w:gridSpan w:val="2"/>
            <w:vMerge w:val="restart"/>
            <w:tcBorders>
              <w:bottom w:val="single" w:color="auto" w:sz="4" w:space="0"/>
              <w:right w:val="single" w:color="auto" w:sz="4" w:space="0"/>
            </w:tcBorders>
            <w:vAlign w:val="center"/>
          </w:tcPr>
          <w:p w14:paraId="430C4896">
            <w:pPr>
              <w:pStyle w:val="558"/>
              <w:keepNext w:val="0"/>
              <w:keepLines w:val="0"/>
              <w:pageBreakBefore w:val="0"/>
              <w:kinsoku/>
              <w:wordWrap/>
              <w:overflowPunct/>
              <w:topLinePunct w:val="0"/>
              <w:autoSpaceDE/>
              <w:autoSpaceDN/>
              <w:bidi w:val="0"/>
              <w:adjustRightInd/>
              <w:snapToGrid/>
              <w:spacing w:line="300" w:lineRule="exact"/>
              <w:rPr>
                <w:rFonts w:hint="default" w:ascii="Arial" w:hAnsi="Arial" w:cs="Arial"/>
                <w:color w:val="auto"/>
                <w:kern w:val="2"/>
                <w:sz w:val="22"/>
                <w:szCs w:val="22"/>
              </w:rPr>
            </w:pPr>
            <w:r>
              <w:rPr>
                <w:rFonts w:hint="default" w:ascii="Arial" w:hAnsi="Arial" w:cs="Arial"/>
                <w:color w:val="auto"/>
                <w:kern w:val="2"/>
                <w:sz w:val="22"/>
                <w:szCs w:val="22"/>
              </w:rPr>
              <w:t>污染物</w:t>
            </w:r>
          </w:p>
        </w:tc>
        <w:tc>
          <w:tcPr>
            <w:tcW w:w="6566" w:type="dxa"/>
            <w:gridSpan w:val="2"/>
            <w:tcBorders>
              <w:left w:val="single" w:color="auto" w:sz="4" w:space="0"/>
              <w:bottom w:val="single" w:color="auto" w:sz="4" w:space="0"/>
            </w:tcBorders>
            <w:vAlign w:val="center"/>
          </w:tcPr>
          <w:p w14:paraId="02CC7B01">
            <w:pPr>
              <w:keepNext w:val="0"/>
              <w:keepLines w:val="0"/>
              <w:pageBreakBefore w:val="0"/>
              <w:kinsoku/>
              <w:wordWrap/>
              <w:overflowPunct/>
              <w:topLinePunct w:val="0"/>
              <w:autoSpaceDE/>
              <w:autoSpaceDN/>
              <w:bidi w:val="0"/>
              <w:adjustRightInd/>
              <w:snapToGrid/>
              <w:spacing w:line="300" w:lineRule="exact"/>
              <w:jc w:val="center"/>
              <w:rPr>
                <w:rFonts w:hint="default" w:ascii="Arial" w:hAnsi="Arial" w:cs="Arial"/>
                <w:sz w:val="22"/>
                <w:szCs w:val="22"/>
                <w:u w:color="000000"/>
              </w:rPr>
            </w:pPr>
            <w:r>
              <w:rPr>
                <w:rFonts w:hint="default" w:ascii="Arial" w:hAnsi="Arial" w:cs="Arial"/>
                <w:sz w:val="22"/>
                <w:szCs w:val="22"/>
                <w:u w:color="000000"/>
              </w:rPr>
              <w:t>无组织排放监控浓度限值</w:t>
            </w:r>
          </w:p>
        </w:tc>
      </w:tr>
      <w:tr w14:paraId="411558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5" w:type="dxa"/>
            <w:gridSpan w:val="2"/>
            <w:vMerge w:val="continue"/>
            <w:tcBorders>
              <w:top w:val="single" w:color="auto" w:sz="4" w:space="0"/>
              <w:bottom w:val="single" w:color="auto" w:sz="4" w:space="0"/>
              <w:right w:val="single" w:color="auto" w:sz="4" w:space="0"/>
            </w:tcBorders>
            <w:vAlign w:val="center"/>
          </w:tcPr>
          <w:p w14:paraId="79734AD0">
            <w:pPr>
              <w:pStyle w:val="558"/>
              <w:keepNext w:val="0"/>
              <w:keepLines w:val="0"/>
              <w:pageBreakBefore w:val="0"/>
              <w:kinsoku/>
              <w:wordWrap/>
              <w:overflowPunct/>
              <w:topLinePunct w:val="0"/>
              <w:autoSpaceDE/>
              <w:autoSpaceDN/>
              <w:bidi w:val="0"/>
              <w:adjustRightInd/>
              <w:snapToGrid/>
              <w:spacing w:line="300" w:lineRule="exact"/>
              <w:rPr>
                <w:rFonts w:hint="default" w:ascii="Arial" w:hAnsi="Arial" w:eastAsia="宋体" w:cs="Arial"/>
                <w:color w:val="auto"/>
                <w:kern w:val="2"/>
                <w:sz w:val="22"/>
                <w:szCs w:val="22"/>
                <w:lang w:val="en-US" w:eastAsia="zh-CN"/>
              </w:rPr>
            </w:pPr>
          </w:p>
        </w:tc>
        <w:tc>
          <w:tcPr>
            <w:tcW w:w="2918" w:type="dxa"/>
            <w:tcBorders>
              <w:top w:val="single" w:color="auto" w:sz="4" w:space="0"/>
              <w:left w:val="single" w:color="auto" w:sz="4" w:space="0"/>
              <w:bottom w:val="single" w:color="auto" w:sz="4" w:space="0"/>
              <w:right w:val="single" w:color="auto" w:sz="4" w:space="0"/>
            </w:tcBorders>
            <w:vAlign w:val="center"/>
          </w:tcPr>
          <w:p w14:paraId="73E5A27C">
            <w:pPr>
              <w:pStyle w:val="558"/>
              <w:keepNext w:val="0"/>
              <w:keepLines w:val="0"/>
              <w:pageBreakBefore w:val="0"/>
              <w:kinsoku/>
              <w:wordWrap/>
              <w:overflowPunct/>
              <w:topLinePunct w:val="0"/>
              <w:autoSpaceDE/>
              <w:autoSpaceDN/>
              <w:bidi w:val="0"/>
              <w:adjustRightInd/>
              <w:snapToGrid/>
              <w:spacing w:line="300" w:lineRule="exact"/>
              <w:rPr>
                <w:rFonts w:hint="default" w:ascii="Arial" w:hAnsi="Arial" w:eastAsia="宋体" w:cs="Arial"/>
                <w:color w:val="auto"/>
                <w:kern w:val="2"/>
                <w:sz w:val="22"/>
                <w:szCs w:val="22"/>
                <w:lang w:val="en-US" w:eastAsia="zh-CN"/>
              </w:rPr>
            </w:pPr>
            <w:r>
              <w:rPr>
                <w:rFonts w:hint="default" w:ascii="Arial" w:hAnsi="Arial" w:cs="Arial"/>
                <w:color w:val="auto"/>
                <w:kern w:val="2"/>
                <w:sz w:val="22"/>
                <w:szCs w:val="22"/>
                <w:lang w:val="en-US" w:eastAsia="zh-CN"/>
              </w:rPr>
              <w:t>监控点</w:t>
            </w:r>
          </w:p>
        </w:tc>
        <w:tc>
          <w:tcPr>
            <w:tcW w:w="3648" w:type="dxa"/>
            <w:tcBorders>
              <w:top w:val="single" w:color="auto" w:sz="4" w:space="0"/>
              <w:left w:val="single" w:color="auto" w:sz="4" w:space="0"/>
              <w:bottom w:val="single" w:color="auto" w:sz="4" w:space="0"/>
            </w:tcBorders>
            <w:vAlign w:val="center"/>
          </w:tcPr>
          <w:p w14:paraId="168D8863">
            <w:pPr>
              <w:keepNext w:val="0"/>
              <w:keepLines w:val="0"/>
              <w:pageBreakBefore w:val="0"/>
              <w:kinsoku/>
              <w:wordWrap/>
              <w:overflowPunct/>
              <w:topLinePunct w:val="0"/>
              <w:autoSpaceDE/>
              <w:autoSpaceDN/>
              <w:bidi w:val="0"/>
              <w:adjustRightInd/>
              <w:snapToGrid/>
              <w:spacing w:line="300" w:lineRule="exact"/>
              <w:jc w:val="center"/>
              <w:rPr>
                <w:rFonts w:hint="default" w:ascii="Arial" w:hAnsi="Arial" w:eastAsia="宋体" w:cs="Arial"/>
                <w:sz w:val="22"/>
                <w:szCs w:val="22"/>
                <w:u w:color="000000"/>
                <w:lang w:val="en-US" w:eastAsia="zh-CN"/>
              </w:rPr>
            </w:pPr>
            <w:r>
              <w:rPr>
                <w:rFonts w:hint="default" w:ascii="Arial" w:hAnsi="Arial" w:cs="Arial"/>
                <w:sz w:val="22"/>
                <w:szCs w:val="22"/>
                <w:u w:color="000000"/>
                <w:lang w:val="en-US" w:eastAsia="zh-CN"/>
              </w:rPr>
              <w:t>浓度</w:t>
            </w:r>
          </w:p>
        </w:tc>
      </w:tr>
      <w:tr w14:paraId="1B0D31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2" w:type="dxa"/>
            <w:tcBorders>
              <w:top w:val="single" w:color="auto" w:sz="4" w:space="0"/>
              <w:bottom w:val="single" w:color="auto" w:sz="4" w:space="0"/>
              <w:right w:val="single" w:color="auto" w:sz="4" w:space="0"/>
            </w:tcBorders>
            <w:vAlign w:val="center"/>
          </w:tcPr>
          <w:p w14:paraId="2E4EDE06">
            <w:pPr>
              <w:pStyle w:val="558"/>
              <w:keepNext w:val="0"/>
              <w:keepLines w:val="0"/>
              <w:pageBreakBefore w:val="0"/>
              <w:kinsoku/>
              <w:wordWrap/>
              <w:overflowPunct/>
              <w:topLinePunct w:val="0"/>
              <w:autoSpaceDE/>
              <w:autoSpaceDN/>
              <w:bidi w:val="0"/>
              <w:adjustRightInd/>
              <w:snapToGrid/>
              <w:spacing w:line="300" w:lineRule="exact"/>
              <w:rPr>
                <w:rFonts w:hint="default" w:ascii="Arial" w:hAnsi="Arial" w:eastAsia="宋体" w:cs="Arial"/>
                <w:color w:val="auto"/>
                <w:kern w:val="2"/>
                <w:sz w:val="22"/>
                <w:szCs w:val="22"/>
                <w:u w:color="000000"/>
                <w:lang w:val="en-US" w:eastAsia="zh-CN" w:bidi="ar-SA"/>
              </w:rPr>
            </w:pPr>
            <w:r>
              <w:rPr>
                <w:rFonts w:hint="default" w:ascii="Arial" w:hAnsi="Arial" w:cs="Arial"/>
                <w:color w:val="auto"/>
                <w:kern w:val="2"/>
                <w:sz w:val="22"/>
                <w:szCs w:val="22"/>
                <w:lang w:val="en-US" w:eastAsia="zh-CN"/>
              </w:rPr>
              <w:t>颗粒物</w:t>
            </w:r>
          </w:p>
        </w:tc>
        <w:tc>
          <w:tcPr>
            <w:tcW w:w="1253" w:type="dxa"/>
            <w:tcBorders>
              <w:top w:val="single" w:color="auto" w:sz="4" w:space="0"/>
              <w:left w:val="single" w:color="auto" w:sz="4" w:space="0"/>
              <w:bottom w:val="single" w:color="auto" w:sz="4" w:space="0"/>
              <w:right w:val="single" w:color="auto" w:sz="4" w:space="0"/>
            </w:tcBorders>
            <w:vAlign w:val="center"/>
          </w:tcPr>
          <w:p w14:paraId="0399943B">
            <w:pPr>
              <w:pStyle w:val="558"/>
              <w:keepNext w:val="0"/>
              <w:keepLines w:val="0"/>
              <w:pageBreakBefore w:val="0"/>
              <w:kinsoku/>
              <w:wordWrap/>
              <w:overflowPunct/>
              <w:topLinePunct w:val="0"/>
              <w:autoSpaceDE/>
              <w:autoSpaceDN/>
              <w:bidi w:val="0"/>
              <w:adjustRightInd/>
              <w:snapToGrid/>
              <w:spacing w:line="300" w:lineRule="exact"/>
              <w:rPr>
                <w:rFonts w:hint="default" w:ascii="Arial" w:hAnsi="Arial" w:cs="Arial"/>
                <w:color w:val="auto"/>
                <w:kern w:val="2"/>
                <w:sz w:val="22"/>
                <w:szCs w:val="22"/>
                <w:lang w:val="en-US" w:eastAsia="zh-CN"/>
              </w:rPr>
            </w:pPr>
            <w:r>
              <w:rPr>
                <w:rFonts w:hint="default" w:ascii="Arial" w:hAnsi="Arial" w:cs="Arial"/>
                <w:color w:val="auto"/>
                <w:kern w:val="2"/>
                <w:sz w:val="22"/>
                <w:szCs w:val="22"/>
                <w:lang w:val="en-US" w:eastAsia="zh-CN"/>
              </w:rPr>
              <w:t>其他区域</w:t>
            </w:r>
          </w:p>
        </w:tc>
        <w:tc>
          <w:tcPr>
            <w:tcW w:w="2918" w:type="dxa"/>
            <w:tcBorders>
              <w:top w:val="single" w:color="auto" w:sz="4" w:space="0"/>
              <w:left w:val="single" w:color="auto" w:sz="4" w:space="0"/>
              <w:bottom w:val="single" w:color="auto" w:sz="4" w:space="0"/>
              <w:right w:val="single" w:color="auto" w:sz="4" w:space="0"/>
            </w:tcBorders>
            <w:vAlign w:val="center"/>
          </w:tcPr>
          <w:p w14:paraId="34135BF2">
            <w:pPr>
              <w:pStyle w:val="558"/>
              <w:keepNext w:val="0"/>
              <w:keepLines w:val="0"/>
              <w:pageBreakBefore w:val="0"/>
              <w:kinsoku/>
              <w:wordWrap/>
              <w:overflowPunct/>
              <w:topLinePunct w:val="0"/>
              <w:autoSpaceDE/>
              <w:autoSpaceDN/>
              <w:bidi w:val="0"/>
              <w:adjustRightInd/>
              <w:snapToGrid/>
              <w:spacing w:line="300" w:lineRule="exact"/>
              <w:rPr>
                <w:rFonts w:hint="default" w:ascii="Arial" w:hAnsi="Arial" w:eastAsia="宋体" w:cs="Arial"/>
                <w:color w:val="auto"/>
                <w:kern w:val="2"/>
                <w:sz w:val="22"/>
                <w:szCs w:val="22"/>
                <w:lang w:val="en-US" w:eastAsia="zh-CN"/>
              </w:rPr>
            </w:pPr>
            <w:r>
              <w:rPr>
                <w:rFonts w:hint="default" w:ascii="Arial" w:hAnsi="Arial" w:cs="Arial"/>
                <w:color w:val="auto"/>
                <w:kern w:val="2"/>
                <w:sz w:val="22"/>
                <w:szCs w:val="22"/>
                <w:lang w:val="en-US" w:eastAsia="zh-CN"/>
              </w:rPr>
              <w:t>周界外浓度最高点</w:t>
            </w:r>
          </w:p>
        </w:tc>
        <w:tc>
          <w:tcPr>
            <w:tcW w:w="3648" w:type="dxa"/>
            <w:tcBorders>
              <w:top w:val="single" w:color="auto" w:sz="4" w:space="0"/>
              <w:left w:val="single" w:color="auto" w:sz="4" w:space="0"/>
              <w:bottom w:val="single" w:color="auto" w:sz="4" w:space="0"/>
            </w:tcBorders>
            <w:vAlign w:val="center"/>
          </w:tcPr>
          <w:p w14:paraId="43483025">
            <w:pPr>
              <w:pStyle w:val="185"/>
              <w:keepNext w:val="0"/>
              <w:keepLines w:val="0"/>
              <w:pageBreakBefore w:val="0"/>
              <w:kinsoku/>
              <w:wordWrap/>
              <w:overflowPunct/>
              <w:topLinePunct w:val="0"/>
              <w:autoSpaceDE/>
              <w:autoSpaceDN/>
              <w:bidi w:val="0"/>
              <w:adjustRightInd/>
              <w:snapToGrid/>
              <w:spacing w:line="300" w:lineRule="exact"/>
              <w:rPr>
                <w:rFonts w:hint="default" w:ascii="Arial" w:hAnsi="Arial" w:cs="Arial"/>
                <w:b w:val="0"/>
                <w:color w:val="auto"/>
                <w:sz w:val="22"/>
                <w:szCs w:val="22"/>
                <w:u w:color="000000"/>
              </w:rPr>
            </w:pPr>
            <w:r>
              <w:rPr>
                <w:rFonts w:hint="default" w:ascii="Arial" w:hAnsi="Arial" w:cs="Arial"/>
                <w:b w:val="0"/>
                <w:color w:val="auto"/>
                <w:sz w:val="22"/>
                <w:szCs w:val="22"/>
                <w:u w:color="000000"/>
              </w:rPr>
              <w:t>1.0</w:t>
            </w:r>
          </w:p>
        </w:tc>
      </w:tr>
    </w:tbl>
    <w:p w14:paraId="60F6AD6E">
      <w:pPr>
        <w:pStyle w:val="2082"/>
        <w:keepNext w:val="0"/>
        <w:keepLines w:val="0"/>
        <w:pageBreakBefore w:val="0"/>
        <w:widowControl w:val="0"/>
        <w:kinsoku/>
        <w:wordWrap/>
        <w:overflowPunct/>
        <w:topLinePunct w:val="0"/>
        <w:autoSpaceDE/>
        <w:autoSpaceDN/>
        <w:bidi w:val="0"/>
        <w:adjustRightInd w:val="0"/>
        <w:snapToGrid w:val="0"/>
        <w:spacing w:line="240" w:lineRule="exact"/>
        <w:ind w:firstLine="560"/>
        <w:textAlignment w:val="auto"/>
        <w:rPr>
          <w:rFonts w:hint="eastAsia" w:eastAsia="宋体"/>
          <w:sz w:val="24"/>
          <w:szCs w:val="24"/>
          <w:lang w:val="en-US" w:eastAsia="zh-CN"/>
        </w:rPr>
      </w:pPr>
    </w:p>
    <w:p w14:paraId="73697697">
      <w:pPr>
        <w:spacing w:line="460" w:lineRule="exact"/>
        <w:ind w:firstLine="384" w:firstLineChars="147"/>
        <w:jc w:val="both"/>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 xml:space="preserve">（2）废水排放标准 </w:t>
      </w:r>
    </w:p>
    <w:p w14:paraId="277816D5">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cs="Arial"/>
          <w:color w:val="auto"/>
          <w:spacing w:val="-4"/>
          <w:sz w:val="26"/>
          <w:szCs w:val="26"/>
          <w:lang w:eastAsia="zh-CN"/>
        </w:rPr>
      </w:pPr>
      <w:r>
        <w:rPr>
          <w:rFonts w:hint="eastAsia" w:ascii="Arial" w:hAnsi="Arial" w:cs="Arial"/>
          <w:sz w:val="26"/>
          <w:szCs w:val="26"/>
          <w:lang w:val="en-US" w:eastAsia="zh-CN"/>
        </w:rPr>
        <w:t>本项目施工期施工人员生活污水经租赁民房内已有的旱厕收集处理后，交附近居民作农肥，不外排；混凝土拌合系统、施工机械及运输车辆冲洗产生的废水经截排水沟、沉淀池、隔油池等收集处理后，循环利用或回用作抑尘洒水、施工用水，不外排；设置施工围堰，基坑废水</w:t>
      </w:r>
      <w:r>
        <w:rPr>
          <w:rFonts w:hint="eastAsia" w:ascii="Arial" w:cs="Arial"/>
          <w:bCs/>
          <w:color w:val="auto"/>
          <w:sz w:val="26"/>
          <w:szCs w:val="26"/>
        </w:rPr>
        <w:t>经围堰、集水坑收集沉淀处理后，尽可能回用</w:t>
      </w:r>
      <w:r>
        <w:rPr>
          <w:rFonts w:hint="eastAsia" w:ascii="Arial" w:cs="Arial"/>
          <w:bCs/>
          <w:color w:val="auto"/>
          <w:sz w:val="26"/>
          <w:szCs w:val="26"/>
          <w:lang w:eastAsia="zh-CN"/>
        </w:rPr>
        <w:t>作施工用水、抑尘</w:t>
      </w:r>
      <w:r>
        <w:rPr>
          <w:rFonts w:hint="eastAsia" w:ascii="Arial" w:cs="Arial"/>
          <w:bCs/>
          <w:color w:val="auto"/>
          <w:sz w:val="26"/>
          <w:szCs w:val="26"/>
        </w:rPr>
        <w:t>洒水</w:t>
      </w:r>
      <w:r>
        <w:rPr>
          <w:rFonts w:hint="eastAsia" w:ascii="Arial" w:cs="Arial"/>
          <w:bCs/>
          <w:color w:val="auto"/>
          <w:sz w:val="26"/>
          <w:szCs w:val="26"/>
          <w:lang w:eastAsia="zh-CN"/>
        </w:rPr>
        <w:t>等</w:t>
      </w:r>
      <w:r>
        <w:rPr>
          <w:rFonts w:hint="eastAsia" w:ascii="Arial" w:cs="Arial"/>
          <w:bCs/>
          <w:color w:val="auto"/>
          <w:sz w:val="26"/>
          <w:szCs w:val="26"/>
        </w:rPr>
        <w:t>，</w:t>
      </w:r>
      <w:r>
        <w:rPr>
          <w:rFonts w:hint="eastAsia" w:ascii="Arial" w:hAnsi="宋体" w:cs="Arial"/>
          <w:color w:val="auto"/>
          <w:spacing w:val="-4"/>
          <w:sz w:val="26"/>
          <w:szCs w:val="26"/>
        </w:rPr>
        <w:t>多余部分</w:t>
      </w:r>
      <w:r>
        <w:rPr>
          <w:rFonts w:hint="eastAsia" w:ascii="Arial" w:hAnsi="宋体" w:cs="Arial"/>
          <w:color w:val="auto"/>
          <w:spacing w:val="-4"/>
          <w:sz w:val="26"/>
          <w:szCs w:val="26"/>
          <w:lang w:eastAsia="zh-CN"/>
        </w:rPr>
        <w:t>引至下游河道</w:t>
      </w:r>
      <w:r>
        <w:rPr>
          <w:rFonts w:hint="eastAsia" w:ascii="Arial" w:hAnsi="宋体" w:cs="Arial"/>
          <w:color w:val="auto"/>
          <w:spacing w:val="-4"/>
          <w:sz w:val="26"/>
          <w:szCs w:val="26"/>
        </w:rPr>
        <w:t>排放</w:t>
      </w:r>
      <w:r>
        <w:rPr>
          <w:rFonts w:hint="eastAsia" w:ascii="Arial" w:hAnsi="宋体" w:cs="Arial"/>
          <w:color w:val="auto"/>
          <w:spacing w:val="-4"/>
          <w:sz w:val="26"/>
          <w:szCs w:val="26"/>
          <w:lang w:eastAsia="zh-CN"/>
        </w:rPr>
        <w:t>。</w:t>
      </w:r>
    </w:p>
    <w:p w14:paraId="5231DFC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eastAsia="宋体" w:cs="Arial"/>
          <w:sz w:val="26"/>
          <w:szCs w:val="26"/>
          <w:lang w:val="en-US" w:eastAsia="zh-CN"/>
        </w:rPr>
      </w:pPr>
      <w:r>
        <w:rPr>
          <w:rFonts w:hint="eastAsia" w:ascii="Arial" w:hAnsi="Arial" w:cs="Arial"/>
          <w:sz w:val="26"/>
          <w:szCs w:val="26"/>
          <w:lang w:val="en-US" w:eastAsia="zh-CN"/>
        </w:rPr>
        <w:t>运营期管理站房内仅4名管理人员值守，产生的少量生活污水经设置的化粪池收集处理后，交附近居民作农肥，不外排。</w:t>
      </w:r>
    </w:p>
    <w:p w14:paraId="71F65283">
      <w:pPr>
        <w:spacing w:line="460" w:lineRule="exact"/>
        <w:ind w:firstLine="384" w:firstLineChars="147"/>
        <w:jc w:val="both"/>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（3）噪声排放标准</w:t>
      </w:r>
    </w:p>
    <w:p w14:paraId="4F5BFE6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施工期噪声排放执行《建筑施工场界环境噪声排放标准》</w:t>
      </w:r>
      <w:r>
        <w:rPr>
          <w:rFonts w:hint="eastAsia" w:ascii="Arial" w:hAnsi="Arial" w:cs="Arial"/>
          <w:sz w:val="26"/>
          <w:szCs w:val="26"/>
          <w:lang w:val="en-US" w:eastAsia="zh-CN"/>
        </w:rPr>
        <w:t>（</w:t>
      </w:r>
      <w:r>
        <w:rPr>
          <w:rFonts w:hint="eastAsia" w:ascii="Arial" w:hAnsi="Arial" w:eastAsia="宋体" w:cs="Arial"/>
          <w:sz w:val="26"/>
          <w:szCs w:val="26"/>
          <w:lang w:val="en-US" w:eastAsia="zh-CN"/>
        </w:rPr>
        <w:t>GB12523</w:t>
      </w:r>
      <w:r>
        <w:rPr>
          <w:rFonts w:hint="eastAsia" w:ascii="Arial" w:hAnsi="Arial" w:cs="Arial"/>
          <w:sz w:val="26"/>
          <w:szCs w:val="26"/>
          <w:lang w:val="en-US" w:eastAsia="zh-CN"/>
        </w:rPr>
        <w:t>-</w:t>
      </w:r>
      <w:r>
        <w:rPr>
          <w:rFonts w:hint="eastAsia" w:ascii="Arial" w:hAnsi="Arial" w:eastAsia="宋体" w:cs="Arial"/>
          <w:sz w:val="26"/>
          <w:szCs w:val="26"/>
          <w:lang w:val="en-US" w:eastAsia="zh-CN"/>
        </w:rPr>
        <w:t>2011</w:t>
      </w:r>
      <w:r>
        <w:rPr>
          <w:rFonts w:hint="eastAsia" w:ascii="Arial" w:hAnsi="Arial" w:cs="Arial"/>
          <w:sz w:val="26"/>
          <w:szCs w:val="26"/>
          <w:lang w:val="en-US" w:eastAsia="zh-CN"/>
        </w:rPr>
        <w:t>）</w:t>
      </w:r>
      <w:r>
        <w:rPr>
          <w:rFonts w:hint="eastAsia" w:ascii="Arial" w:hAnsi="Arial" w:eastAsia="宋体" w:cs="Arial"/>
          <w:sz w:val="26"/>
          <w:szCs w:val="26"/>
          <w:lang w:val="en-US" w:eastAsia="zh-CN"/>
        </w:rPr>
        <w:t>，即昼间≤70dB（A），夜间≤55dB（A）。</w:t>
      </w:r>
    </w:p>
    <w:p w14:paraId="0EC3DB6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运营期场界执行《工业企业厂界环境噪声排放标准》</w:t>
      </w:r>
      <w:r>
        <w:rPr>
          <w:rFonts w:hint="eastAsia" w:ascii="Arial" w:hAnsi="Arial" w:cs="Arial"/>
          <w:sz w:val="26"/>
          <w:szCs w:val="26"/>
          <w:lang w:val="en-US" w:eastAsia="zh-CN"/>
        </w:rPr>
        <w:t>（</w:t>
      </w:r>
      <w:r>
        <w:rPr>
          <w:rFonts w:hint="eastAsia" w:ascii="Arial" w:hAnsi="Arial" w:eastAsia="宋体" w:cs="Arial"/>
          <w:sz w:val="26"/>
          <w:szCs w:val="26"/>
          <w:lang w:val="en-US" w:eastAsia="zh-CN"/>
        </w:rPr>
        <w:t>GB12348-2008</w:t>
      </w:r>
      <w:r>
        <w:rPr>
          <w:rFonts w:hint="eastAsia" w:ascii="Arial" w:hAnsi="Arial" w:cs="Arial"/>
          <w:sz w:val="26"/>
          <w:szCs w:val="26"/>
          <w:lang w:val="en-US" w:eastAsia="zh-CN"/>
        </w:rPr>
        <w:t>）中1</w:t>
      </w:r>
      <w:r>
        <w:rPr>
          <w:rFonts w:hint="eastAsia" w:ascii="Arial" w:hAnsi="Arial" w:eastAsia="宋体" w:cs="Arial"/>
          <w:sz w:val="26"/>
          <w:szCs w:val="26"/>
          <w:lang w:val="en-US" w:eastAsia="zh-CN"/>
        </w:rPr>
        <w:t>类标准，即昼间</w:t>
      </w:r>
      <w:r>
        <w:rPr>
          <w:rFonts w:hint="eastAsia" w:ascii="Arial" w:hAnsi="Arial" w:cs="Arial"/>
          <w:sz w:val="26"/>
          <w:szCs w:val="26"/>
          <w:lang w:val="en-US" w:eastAsia="zh-CN"/>
        </w:rPr>
        <w:t>55</w:t>
      </w:r>
      <w:r>
        <w:rPr>
          <w:rFonts w:hint="eastAsia" w:ascii="Arial" w:hAnsi="Arial" w:eastAsia="宋体" w:cs="Arial"/>
          <w:sz w:val="26"/>
          <w:szCs w:val="26"/>
          <w:lang w:val="en-US" w:eastAsia="zh-CN"/>
        </w:rPr>
        <w:t>≤dB（A）、夜间</w:t>
      </w:r>
      <w:r>
        <w:rPr>
          <w:rFonts w:hint="eastAsia" w:ascii="Arial" w:hAnsi="Arial" w:cs="Arial"/>
          <w:sz w:val="26"/>
          <w:szCs w:val="26"/>
          <w:lang w:val="en-US" w:eastAsia="zh-CN"/>
        </w:rPr>
        <w:t>45</w:t>
      </w:r>
      <w:r>
        <w:rPr>
          <w:rFonts w:hint="eastAsia" w:ascii="Arial" w:hAnsi="Arial" w:eastAsia="宋体" w:cs="Arial"/>
          <w:sz w:val="26"/>
          <w:szCs w:val="26"/>
          <w:lang w:val="en-US" w:eastAsia="zh-CN"/>
        </w:rPr>
        <w:t>≤dB（A）。</w:t>
      </w:r>
    </w:p>
    <w:p w14:paraId="2821F07D">
      <w:pPr>
        <w:keepNext w:val="0"/>
        <w:keepLines w:val="0"/>
        <w:pageBreakBefore w:val="0"/>
        <w:widowControl w:val="0"/>
        <w:kinsoku/>
        <w:wordWrap/>
        <w:overflowPunct/>
        <w:topLinePunct w:val="0"/>
        <w:autoSpaceDE/>
        <w:autoSpaceDN/>
        <w:bidi w:val="0"/>
        <w:spacing w:line="480" w:lineRule="exact"/>
        <w:ind w:firstLine="522" w:firstLineChars="200"/>
        <w:textAlignment w:val="auto"/>
        <w:outlineLvl w:val="1"/>
        <w:rPr>
          <w:rFonts w:ascii="Arial" w:hAnsi="Arial" w:eastAsia="宋体" w:cs="Arial"/>
          <w:b/>
          <w:color w:val="auto"/>
          <w:kern w:val="0"/>
          <w:sz w:val="26"/>
          <w:szCs w:val="26"/>
          <w:highlight w:val="none"/>
          <w:lang w:val="en-US" w:eastAsia="zh-CN"/>
        </w:rPr>
      </w:pPr>
      <w:bookmarkStart w:id="55" w:name="_Toc28390"/>
      <w:r>
        <w:rPr>
          <w:rFonts w:ascii="Arial" w:hAnsi="Arial" w:eastAsia="宋体" w:cs="Arial"/>
          <w:b/>
          <w:color w:val="auto"/>
          <w:kern w:val="0"/>
          <w:sz w:val="26"/>
          <w:szCs w:val="26"/>
          <w:highlight w:val="none"/>
          <w:lang w:val="en-US" w:eastAsia="zh-CN"/>
        </w:rPr>
        <w:t>1.</w:t>
      </w:r>
      <w:r>
        <w:rPr>
          <w:rFonts w:hint="eastAsia" w:ascii="Arial" w:hAnsi="Arial" w:cs="Arial"/>
          <w:b/>
          <w:color w:val="auto"/>
          <w:kern w:val="0"/>
          <w:sz w:val="26"/>
          <w:szCs w:val="26"/>
          <w:highlight w:val="none"/>
          <w:lang w:val="en-US" w:eastAsia="zh-CN"/>
        </w:rPr>
        <w:t>6</w:t>
      </w:r>
      <w:r>
        <w:rPr>
          <w:rFonts w:hint="eastAsia" w:ascii="Arial" w:hAnsi="Arial" w:eastAsia="宋体" w:cs="Arial"/>
          <w:b/>
          <w:color w:val="auto"/>
          <w:kern w:val="0"/>
          <w:sz w:val="26"/>
          <w:szCs w:val="26"/>
          <w:highlight w:val="none"/>
          <w:lang w:val="en-US" w:eastAsia="zh-CN"/>
        </w:rPr>
        <w:t>评价工作等级、范围</w:t>
      </w:r>
      <w:bookmarkEnd w:id="55"/>
    </w:p>
    <w:p w14:paraId="0539FA90">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eastAsia" w:ascii="Arial" w:hAnsi="Arial" w:eastAsia="宋体" w:cs="Arial"/>
          <w:b/>
          <w:color w:val="auto"/>
          <w:kern w:val="0"/>
          <w:sz w:val="26"/>
          <w:szCs w:val="20"/>
          <w:highlight w:val="none"/>
          <w:lang w:val="en-US" w:eastAsia="zh-CN"/>
        </w:rPr>
      </w:pPr>
      <w:bookmarkStart w:id="56" w:name="_Toc36040993"/>
      <w:bookmarkStart w:id="57" w:name="_Toc34987794"/>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6</w:t>
      </w:r>
      <w:r>
        <w:rPr>
          <w:rFonts w:hint="eastAsia" w:ascii="Arial" w:hAnsi="Arial" w:eastAsia="宋体" w:cs="Arial"/>
          <w:b/>
          <w:color w:val="auto"/>
          <w:kern w:val="0"/>
          <w:sz w:val="26"/>
          <w:szCs w:val="20"/>
          <w:highlight w:val="none"/>
          <w:lang w:val="en-US" w:eastAsia="zh-CN"/>
        </w:rPr>
        <w:t>.1 评价工作等级</w:t>
      </w:r>
      <w:bookmarkEnd w:id="56"/>
      <w:bookmarkEnd w:id="57"/>
    </w:p>
    <w:p w14:paraId="2395BB3B">
      <w:pPr>
        <w:spacing w:line="460" w:lineRule="exact"/>
        <w:ind w:firstLine="384" w:firstLineChars="147"/>
        <w:jc w:val="both"/>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（1）声环境</w:t>
      </w:r>
    </w:p>
    <w:p w14:paraId="21EAD0A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color w:val="auto"/>
          <w:sz w:val="26"/>
          <w:szCs w:val="26"/>
          <w:lang w:val="en-US" w:eastAsia="zh-CN"/>
        </w:rPr>
      </w:pPr>
      <w:r>
        <w:rPr>
          <w:rFonts w:hint="eastAsia" w:ascii="Arial" w:hAnsi="Arial" w:cs="Arial"/>
          <w:sz w:val="26"/>
          <w:szCs w:val="26"/>
          <w:lang w:val="en-US" w:eastAsia="zh-CN"/>
        </w:rPr>
        <w:t>本项目</w:t>
      </w:r>
      <w:r>
        <w:rPr>
          <w:rFonts w:hint="eastAsia" w:ascii="Arial" w:hAnsi="Arial" w:cs="Arial"/>
          <w:color w:val="auto"/>
          <w:sz w:val="26"/>
          <w:szCs w:val="26"/>
          <w:lang w:val="en-US" w:eastAsia="zh-CN"/>
        </w:rPr>
        <w:t>位于双龙镇田家山村，属于乡村区域，为《声环境质量标准》（GB3096-2008）中1类区；且本项目建成前后敏感目标噪声级增高量小于5dB（A），受噪声影响人口数量变化不大。</w:t>
      </w:r>
    </w:p>
    <w:p w14:paraId="77B12E5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eastAsia="宋体" w:cs="Arial"/>
          <w:sz w:val="26"/>
          <w:szCs w:val="26"/>
          <w:lang w:val="en-US" w:eastAsia="zh-CN"/>
        </w:rPr>
      </w:pPr>
      <w:r>
        <w:rPr>
          <w:rFonts w:hint="eastAsia" w:ascii="Arial" w:hAnsi="Arial" w:cs="Arial"/>
          <w:color w:val="auto"/>
          <w:sz w:val="26"/>
          <w:szCs w:val="26"/>
          <w:lang w:val="en-US" w:eastAsia="zh-CN"/>
        </w:rPr>
        <w:t>故根据</w:t>
      </w:r>
      <w:r>
        <w:rPr>
          <w:rFonts w:hint="eastAsia" w:ascii="Arial" w:hAnsi="Arial" w:eastAsia="宋体" w:cs="Arial"/>
          <w:sz w:val="26"/>
          <w:szCs w:val="26"/>
          <w:lang w:val="en-US" w:eastAsia="zh-CN"/>
        </w:rPr>
        <w:t>《环境影响评价技术导则</w:t>
      </w:r>
      <w:r>
        <w:rPr>
          <w:rFonts w:hint="default" w:ascii="Arial" w:hAnsi="Arial" w:eastAsia="宋体" w:cs="Arial"/>
          <w:sz w:val="26"/>
          <w:szCs w:val="26"/>
          <w:lang w:val="en-US" w:eastAsia="zh-CN"/>
        </w:rPr>
        <w:t xml:space="preserve"> </w:t>
      </w:r>
      <w:r>
        <w:rPr>
          <w:rFonts w:hint="eastAsia" w:ascii="Arial" w:hAnsi="Arial" w:eastAsia="宋体" w:cs="Arial"/>
          <w:sz w:val="26"/>
          <w:szCs w:val="26"/>
          <w:lang w:val="en-US" w:eastAsia="zh-CN"/>
        </w:rPr>
        <w:t>声环境》（</w:t>
      </w:r>
      <w:r>
        <w:rPr>
          <w:rFonts w:hint="default" w:ascii="Arial" w:hAnsi="Arial" w:eastAsia="宋体" w:cs="Arial"/>
          <w:sz w:val="26"/>
          <w:szCs w:val="26"/>
          <w:lang w:val="en-US" w:eastAsia="zh-CN"/>
        </w:rPr>
        <w:t>HJ2.4</w:t>
      </w:r>
      <w:r>
        <w:rPr>
          <w:rFonts w:hint="eastAsia" w:ascii="Arial" w:hAnsi="Arial" w:eastAsia="宋体" w:cs="Arial"/>
          <w:sz w:val="26"/>
          <w:szCs w:val="26"/>
          <w:lang w:val="en-US" w:eastAsia="zh-CN"/>
        </w:rPr>
        <w:t>-</w:t>
      </w:r>
      <w:r>
        <w:rPr>
          <w:rFonts w:hint="default" w:ascii="Arial" w:hAnsi="Arial" w:eastAsia="宋体" w:cs="Arial"/>
          <w:sz w:val="26"/>
          <w:szCs w:val="26"/>
          <w:lang w:val="en-US" w:eastAsia="zh-CN"/>
        </w:rPr>
        <w:t>2021</w:t>
      </w:r>
      <w:r>
        <w:rPr>
          <w:rFonts w:hint="eastAsia" w:ascii="Arial" w:hAnsi="Arial" w:eastAsia="宋体" w:cs="Arial"/>
          <w:sz w:val="26"/>
          <w:szCs w:val="26"/>
          <w:lang w:val="en-US" w:eastAsia="zh-CN"/>
        </w:rPr>
        <w:t>）</w:t>
      </w:r>
      <w:r>
        <w:rPr>
          <w:rFonts w:hint="eastAsia" w:ascii="Arial" w:hAnsi="Arial" w:cs="Arial"/>
          <w:sz w:val="26"/>
          <w:szCs w:val="26"/>
          <w:lang w:val="en-US" w:eastAsia="zh-CN"/>
        </w:rPr>
        <w:t>，本</w:t>
      </w:r>
      <w:r>
        <w:rPr>
          <w:rFonts w:hint="eastAsia" w:ascii="Arial" w:hAnsi="Arial" w:eastAsia="宋体" w:cs="Arial"/>
          <w:sz w:val="26"/>
          <w:szCs w:val="26"/>
          <w:lang w:val="en-US" w:eastAsia="zh-CN"/>
        </w:rPr>
        <w:t>项目的声</w:t>
      </w:r>
      <w:r>
        <w:rPr>
          <w:rFonts w:hint="eastAsia" w:ascii="Arial" w:hAnsi="Arial" w:cs="Arial"/>
          <w:sz w:val="26"/>
          <w:szCs w:val="26"/>
          <w:lang w:val="en-US" w:eastAsia="zh-CN"/>
        </w:rPr>
        <w:t>环境影响</w:t>
      </w:r>
      <w:r>
        <w:rPr>
          <w:rFonts w:hint="eastAsia" w:ascii="Arial" w:hAnsi="Arial" w:eastAsia="宋体" w:cs="Arial"/>
          <w:sz w:val="26"/>
          <w:szCs w:val="26"/>
          <w:lang w:val="en-US" w:eastAsia="zh-CN"/>
        </w:rPr>
        <w:t>评价</w:t>
      </w:r>
      <w:r>
        <w:rPr>
          <w:rFonts w:hint="eastAsia" w:ascii="Arial" w:hAnsi="Arial" w:cs="Arial"/>
          <w:sz w:val="26"/>
          <w:szCs w:val="26"/>
          <w:lang w:val="en-US" w:eastAsia="zh-CN"/>
        </w:rPr>
        <w:t>工作</w:t>
      </w:r>
      <w:r>
        <w:rPr>
          <w:rFonts w:hint="eastAsia" w:ascii="Arial" w:hAnsi="Arial" w:eastAsia="宋体" w:cs="Arial"/>
          <w:sz w:val="26"/>
          <w:szCs w:val="26"/>
          <w:lang w:val="en-US" w:eastAsia="zh-CN"/>
        </w:rPr>
        <w:t>等级为</w:t>
      </w:r>
      <w:r>
        <w:rPr>
          <w:rFonts w:hint="eastAsia" w:ascii="Arial" w:hAnsi="Arial" w:cs="Arial"/>
          <w:sz w:val="26"/>
          <w:szCs w:val="26"/>
          <w:lang w:val="en-US" w:eastAsia="zh-CN"/>
        </w:rPr>
        <w:t>二</w:t>
      </w:r>
      <w:r>
        <w:rPr>
          <w:rFonts w:hint="eastAsia" w:ascii="Arial" w:hAnsi="Arial" w:eastAsia="宋体" w:cs="Arial"/>
          <w:sz w:val="26"/>
          <w:szCs w:val="26"/>
          <w:lang w:val="en-US" w:eastAsia="zh-CN"/>
        </w:rPr>
        <w:t>级。</w:t>
      </w:r>
    </w:p>
    <w:p w14:paraId="096C39BC">
      <w:pPr>
        <w:spacing w:line="460" w:lineRule="exact"/>
        <w:ind w:firstLine="384" w:firstLineChars="147"/>
        <w:jc w:val="both"/>
        <w:rPr>
          <w:rFonts w:hint="default"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（2）大气环境</w:t>
      </w:r>
    </w:p>
    <w:p w14:paraId="064033C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本项目</w:t>
      </w:r>
      <w:r>
        <w:rPr>
          <w:rFonts w:hint="eastAsia" w:ascii="Arial" w:hAnsi="Arial" w:cs="Arial"/>
          <w:sz w:val="26"/>
          <w:szCs w:val="26"/>
          <w:lang w:val="en-US" w:eastAsia="zh-CN"/>
        </w:rPr>
        <w:t>属于水源工程</w:t>
      </w:r>
      <w:r>
        <w:rPr>
          <w:rFonts w:hint="eastAsia" w:ascii="Arial" w:hAnsi="Arial" w:eastAsia="宋体" w:cs="Arial"/>
          <w:sz w:val="26"/>
          <w:szCs w:val="26"/>
          <w:lang w:val="en-US" w:eastAsia="zh-CN"/>
        </w:rPr>
        <w:t>，</w:t>
      </w:r>
      <w:r>
        <w:rPr>
          <w:rFonts w:hint="default" w:ascii="Arial" w:hAnsi="Arial" w:eastAsia="宋体" w:cs="Arial"/>
          <w:sz w:val="26"/>
          <w:szCs w:val="26"/>
          <w:lang w:val="en-US" w:eastAsia="zh-CN"/>
        </w:rPr>
        <w:t>运营期自身无</w:t>
      </w:r>
      <w:r>
        <w:rPr>
          <w:rFonts w:hint="eastAsia" w:ascii="Arial" w:hAnsi="Arial" w:cs="Arial"/>
          <w:sz w:val="26"/>
          <w:szCs w:val="26"/>
          <w:lang w:val="en-US" w:eastAsia="zh-CN"/>
        </w:rPr>
        <w:t>工艺</w:t>
      </w:r>
      <w:r>
        <w:rPr>
          <w:rFonts w:hint="default" w:ascii="Arial" w:hAnsi="Arial" w:eastAsia="宋体" w:cs="Arial"/>
          <w:sz w:val="26"/>
          <w:szCs w:val="26"/>
          <w:lang w:val="en-US" w:eastAsia="zh-CN"/>
        </w:rPr>
        <w:t>废气产生，</w:t>
      </w:r>
      <w:r>
        <w:rPr>
          <w:rFonts w:hint="eastAsia" w:ascii="Arial" w:hAnsi="Arial" w:eastAsia="宋体" w:cs="Arial"/>
          <w:sz w:val="26"/>
          <w:szCs w:val="26"/>
          <w:lang w:val="en-US" w:eastAsia="zh-CN"/>
        </w:rPr>
        <w:t xml:space="preserve">根据《环境影响评价技术导则 大气环境》 </w:t>
      </w:r>
      <w:r>
        <w:rPr>
          <w:rFonts w:hint="default" w:ascii="Arial" w:hAnsi="Arial" w:eastAsia="宋体" w:cs="Arial"/>
          <w:sz w:val="26"/>
          <w:szCs w:val="26"/>
          <w:lang w:val="en-US" w:eastAsia="zh-CN"/>
        </w:rPr>
        <w:t>（HJ2.2-2018），确定</w:t>
      </w:r>
      <w:r>
        <w:rPr>
          <w:rFonts w:hint="eastAsia" w:ascii="Arial" w:hAnsi="Arial" w:cs="Arial"/>
          <w:sz w:val="26"/>
          <w:szCs w:val="26"/>
          <w:lang w:val="en-US" w:eastAsia="zh-CN"/>
        </w:rPr>
        <w:t>本</w:t>
      </w:r>
      <w:r>
        <w:rPr>
          <w:rFonts w:hint="default" w:ascii="Arial" w:hAnsi="Arial" w:eastAsia="宋体" w:cs="Arial"/>
          <w:sz w:val="26"/>
          <w:szCs w:val="26"/>
          <w:lang w:val="en-US" w:eastAsia="zh-CN"/>
        </w:rPr>
        <w:t>项目大气环境影响评价</w:t>
      </w:r>
      <w:r>
        <w:rPr>
          <w:rFonts w:hint="eastAsia" w:ascii="Arial" w:hAnsi="Arial" w:cs="Arial"/>
          <w:sz w:val="26"/>
          <w:szCs w:val="26"/>
          <w:lang w:val="en-US" w:eastAsia="zh-CN"/>
        </w:rPr>
        <w:t>工作</w:t>
      </w:r>
      <w:r>
        <w:rPr>
          <w:rFonts w:hint="default" w:ascii="Arial" w:hAnsi="Arial" w:eastAsia="宋体" w:cs="Arial"/>
          <w:sz w:val="26"/>
          <w:szCs w:val="26"/>
          <w:lang w:val="en-US" w:eastAsia="zh-CN"/>
        </w:rPr>
        <w:t xml:space="preserve">等级为三级。 </w:t>
      </w:r>
    </w:p>
    <w:p w14:paraId="3F5CDAEC">
      <w:pPr>
        <w:spacing w:line="460" w:lineRule="exact"/>
        <w:ind w:firstLine="384" w:firstLineChars="147"/>
        <w:jc w:val="both"/>
        <w:rPr>
          <w:rFonts w:hint="eastAsia" w:ascii="Arial" w:hAnsi="Arial" w:eastAsia="宋体" w:cs="Arial"/>
          <w:b/>
          <w:bCs/>
          <w:kern w:val="0"/>
          <w:sz w:val="26"/>
          <w:szCs w:val="26"/>
          <w:lang w:val="en-US" w:eastAsia="zh-CN" w:bidi="ar-SA"/>
        </w:rPr>
      </w:pPr>
      <w:r>
        <w:rPr>
          <w:rFonts w:hint="eastAsia" w:ascii="Arial" w:hAnsi="Arial" w:eastAsia="宋体" w:cs="Arial"/>
          <w:b/>
          <w:bCs/>
          <w:kern w:val="0"/>
          <w:sz w:val="26"/>
          <w:szCs w:val="26"/>
          <w:lang w:val="en-US" w:eastAsia="zh-CN" w:bidi="ar-SA"/>
        </w:rPr>
        <w:t>（3）地表水环境</w:t>
      </w:r>
    </w:p>
    <w:p w14:paraId="6FD196A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sz w:val="26"/>
          <w:szCs w:val="26"/>
          <w:lang w:val="en-US" w:eastAsia="zh-CN"/>
        </w:rPr>
      </w:pPr>
      <w:r>
        <w:rPr>
          <w:rFonts w:hint="eastAsia" w:ascii="Arial" w:hAnsi="Arial" w:cs="Arial"/>
          <w:sz w:val="26"/>
          <w:szCs w:val="26"/>
          <w:lang w:val="en-US" w:eastAsia="zh-CN"/>
        </w:rPr>
        <w:t>本项目运营期值班人员生活污水经处理后，交附近居民作农肥，不外排；运营期主要为拦河蓄水、取水。故根据</w:t>
      </w:r>
      <w:r>
        <w:rPr>
          <w:rFonts w:hint="eastAsia" w:ascii="Arial" w:hAnsi="Arial" w:eastAsia="宋体" w:cs="Arial"/>
          <w:sz w:val="26"/>
          <w:szCs w:val="26"/>
          <w:lang w:val="en-US" w:eastAsia="zh-CN"/>
        </w:rPr>
        <w:t>《环境影响评价技术导则 地表水环境》（HJ2.3-2018）和本项目的建设内容，</w:t>
      </w:r>
      <w:r>
        <w:rPr>
          <w:rFonts w:hint="eastAsia" w:ascii="Arial" w:hAnsi="Arial" w:cs="Arial"/>
          <w:sz w:val="26"/>
          <w:szCs w:val="26"/>
          <w:lang w:val="en-US" w:eastAsia="zh-CN"/>
        </w:rPr>
        <w:t>确定本项目属于水文要素影响型建设项目。地表水环境评价等级判定情况如下：</w:t>
      </w:r>
    </w:p>
    <w:p w14:paraId="3DE18369">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cs="Arial"/>
          <w:b/>
          <w:bCs/>
          <w:color w:val="auto"/>
          <w:sz w:val="26"/>
          <w:szCs w:val="26"/>
          <w:lang w:val="en-US" w:eastAsia="zh-CN"/>
        </w:rPr>
      </w:pPr>
      <w:r>
        <w:rPr>
          <w:rFonts w:hint="eastAsia" w:ascii="Arial" w:hAnsi="Arial" w:cs="Arial"/>
          <w:b/>
          <w:bCs/>
          <w:color w:val="auto"/>
          <w:sz w:val="26"/>
          <w:szCs w:val="26"/>
          <w:lang w:val="en-US" w:eastAsia="zh-CN"/>
        </w:rPr>
        <w:t>表1.6-1 水文要素影响型地表水环境评价等级判定表</w:t>
      </w:r>
    </w:p>
    <w:tbl>
      <w:tblPr>
        <w:tblStyle w:val="78"/>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149"/>
        <w:gridCol w:w="1221"/>
        <w:gridCol w:w="908"/>
        <w:gridCol w:w="1742"/>
        <w:gridCol w:w="1846"/>
        <w:gridCol w:w="1850"/>
      </w:tblGrid>
      <w:tr w14:paraId="39306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02" w:type="dxa"/>
            <w:vMerge w:val="restart"/>
            <w:vAlign w:val="center"/>
          </w:tcPr>
          <w:p w14:paraId="51EC71E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评价等级</w:t>
            </w:r>
          </w:p>
        </w:tc>
        <w:tc>
          <w:tcPr>
            <w:tcW w:w="1149" w:type="dxa"/>
            <w:vAlign w:val="center"/>
          </w:tcPr>
          <w:p w14:paraId="669DB75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水温</w:t>
            </w:r>
          </w:p>
        </w:tc>
        <w:tc>
          <w:tcPr>
            <w:tcW w:w="2129" w:type="dxa"/>
            <w:gridSpan w:val="2"/>
            <w:vAlign w:val="center"/>
          </w:tcPr>
          <w:p w14:paraId="4A53CBD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径流</w:t>
            </w:r>
          </w:p>
        </w:tc>
        <w:tc>
          <w:tcPr>
            <w:tcW w:w="5438" w:type="dxa"/>
            <w:gridSpan w:val="3"/>
            <w:vAlign w:val="center"/>
          </w:tcPr>
          <w:p w14:paraId="41B7648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受影响地表水域</w:t>
            </w:r>
          </w:p>
        </w:tc>
      </w:tr>
      <w:tr w14:paraId="6E2B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802" w:type="dxa"/>
            <w:vMerge w:val="continue"/>
            <w:vAlign w:val="center"/>
          </w:tcPr>
          <w:p w14:paraId="527A7B59">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p>
        </w:tc>
        <w:tc>
          <w:tcPr>
            <w:tcW w:w="1149" w:type="dxa"/>
            <w:vMerge w:val="restart"/>
            <w:vAlign w:val="center"/>
          </w:tcPr>
          <w:p w14:paraId="6E86373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年径流量与总库容之比α</w:t>
            </w:r>
          </w:p>
        </w:tc>
        <w:tc>
          <w:tcPr>
            <w:tcW w:w="1221" w:type="dxa"/>
            <w:vMerge w:val="restart"/>
            <w:vAlign w:val="center"/>
          </w:tcPr>
          <w:p w14:paraId="655603A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兴利库容占年径流量百分比β/%</w:t>
            </w:r>
          </w:p>
        </w:tc>
        <w:tc>
          <w:tcPr>
            <w:tcW w:w="908" w:type="dxa"/>
            <w:vMerge w:val="restart"/>
            <w:vAlign w:val="center"/>
          </w:tcPr>
          <w:p w14:paraId="3E3136B4">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取水量占多年平均径流量百分比γ/%</w:t>
            </w:r>
          </w:p>
        </w:tc>
        <w:tc>
          <w:tcPr>
            <w:tcW w:w="3588" w:type="dxa"/>
            <w:gridSpan w:val="2"/>
            <w:vAlign w:val="center"/>
          </w:tcPr>
          <w:p w14:paraId="627E081B">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eastAsia="宋体" w:cs="Arial"/>
                <w:color w:val="auto"/>
                <w:sz w:val="22"/>
                <w:szCs w:val="22"/>
                <w:vertAlign w:val="baseline"/>
                <w:lang w:val="en-US" w:eastAsia="zh-CN"/>
              </w:rPr>
              <w:t>工程垂直投影面积及外扩范围A</w:t>
            </w:r>
            <w:r>
              <w:rPr>
                <w:rFonts w:hint="default" w:ascii="Arial" w:hAnsi="Arial" w:cs="Arial"/>
                <w:color w:val="auto"/>
                <w:sz w:val="22"/>
                <w:szCs w:val="22"/>
                <w:vertAlign w:val="subscript"/>
                <w:lang w:val="en-US" w:eastAsia="zh-CN"/>
              </w:rPr>
              <w:t>1</w:t>
            </w:r>
            <w:r>
              <w:rPr>
                <w:rFonts w:hint="default" w:ascii="Arial" w:hAnsi="Arial" w:eastAsia="宋体" w:cs="Arial"/>
                <w:color w:val="auto"/>
                <w:sz w:val="22"/>
                <w:szCs w:val="22"/>
                <w:vertAlign w:val="baseline"/>
                <w:lang w:val="en-US" w:eastAsia="zh-CN"/>
              </w:rPr>
              <w:t>/km</w:t>
            </w:r>
            <w:r>
              <w:rPr>
                <w:rFonts w:hint="default" w:ascii="Arial" w:hAnsi="Arial" w:eastAsia="宋体" w:cs="Arial"/>
                <w:color w:val="auto"/>
                <w:sz w:val="22"/>
                <w:szCs w:val="22"/>
                <w:vertAlign w:val="superscript"/>
                <w:lang w:val="en-US" w:eastAsia="zh-CN"/>
              </w:rPr>
              <w:t>2</w:t>
            </w:r>
            <w:r>
              <w:rPr>
                <w:rFonts w:hint="default" w:ascii="Arial" w:hAnsi="Arial" w:cs="Arial"/>
                <w:color w:val="auto"/>
                <w:sz w:val="22"/>
                <w:szCs w:val="22"/>
                <w:vertAlign w:val="baseline"/>
                <w:lang w:val="en-US" w:eastAsia="zh-CN"/>
              </w:rPr>
              <w:t>；</w:t>
            </w:r>
            <w:r>
              <w:rPr>
                <w:rFonts w:hint="default" w:ascii="Arial" w:hAnsi="Arial" w:eastAsia="宋体" w:cs="Arial"/>
                <w:color w:val="auto"/>
                <w:sz w:val="22"/>
                <w:szCs w:val="22"/>
                <w:vertAlign w:val="baseline"/>
                <w:lang w:val="en-US" w:eastAsia="zh-CN"/>
              </w:rPr>
              <w:t>工程扰动水底面积A</w:t>
            </w:r>
            <w:r>
              <w:rPr>
                <w:rFonts w:hint="default" w:ascii="Arial" w:hAnsi="Arial" w:eastAsia="宋体" w:cs="Arial"/>
                <w:color w:val="auto"/>
                <w:sz w:val="22"/>
                <w:szCs w:val="22"/>
                <w:vertAlign w:val="subscript"/>
                <w:lang w:val="en-US" w:eastAsia="zh-CN"/>
              </w:rPr>
              <w:t>2</w:t>
            </w:r>
            <w:r>
              <w:rPr>
                <w:rFonts w:hint="default" w:ascii="Arial" w:hAnsi="Arial" w:eastAsia="宋体" w:cs="Arial"/>
                <w:color w:val="auto"/>
                <w:sz w:val="22"/>
                <w:szCs w:val="22"/>
                <w:vertAlign w:val="baseline"/>
                <w:lang w:val="en-US" w:eastAsia="zh-CN"/>
              </w:rPr>
              <w:t>/km</w:t>
            </w:r>
            <w:r>
              <w:rPr>
                <w:rFonts w:hint="default" w:ascii="Arial" w:hAnsi="Arial" w:eastAsia="宋体" w:cs="Arial"/>
                <w:color w:val="auto"/>
                <w:sz w:val="22"/>
                <w:szCs w:val="22"/>
                <w:vertAlign w:val="superscript"/>
                <w:lang w:val="en-US" w:eastAsia="zh-CN"/>
              </w:rPr>
              <w:t>2</w:t>
            </w:r>
            <w:r>
              <w:rPr>
                <w:rFonts w:hint="default" w:ascii="Arial" w:hAnsi="Arial" w:cs="Arial"/>
                <w:color w:val="auto"/>
                <w:sz w:val="22"/>
                <w:szCs w:val="22"/>
                <w:vertAlign w:val="baseline"/>
                <w:lang w:val="en-US" w:eastAsia="zh-CN"/>
              </w:rPr>
              <w:t>；</w:t>
            </w:r>
            <w:r>
              <w:rPr>
                <w:rFonts w:hint="default" w:ascii="Arial" w:hAnsi="Arial" w:eastAsia="宋体" w:cs="Arial"/>
                <w:color w:val="auto"/>
                <w:sz w:val="22"/>
                <w:szCs w:val="22"/>
                <w:vertAlign w:val="baseline"/>
                <w:lang w:val="en-US" w:eastAsia="zh-CN"/>
              </w:rPr>
              <w:t xml:space="preserve"> 过水断面宽度占用比例或占用水域面积比例R/%</w:t>
            </w:r>
          </w:p>
          <w:p w14:paraId="6A20D73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p>
        </w:tc>
        <w:tc>
          <w:tcPr>
            <w:tcW w:w="1850" w:type="dxa"/>
            <w:vAlign w:val="center"/>
          </w:tcPr>
          <w:p w14:paraId="47140D1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eastAsia="宋体" w:cs="Arial"/>
                <w:color w:val="auto"/>
                <w:sz w:val="22"/>
                <w:szCs w:val="22"/>
                <w:vertAlign w:val="baseline"/>
                <w:lang w:val="en-US" w:eastAsia="zh-CN"/>
              </w:rPr>
              <w:t>工程垂直投影面积及外扩范围A</w:t>
            </w:r>
            <w:r>
              <w:rPr>
                <w:rFonts w:hint="default" w:ascii="Arial" w:hAnsi="Arial" w:cs="Arial"/>
                <w:color w:val="auto"/>
                <w:sz w:val="22"/>
                <w:szCs w:val="22"/>
                <w:vertAlign w:val="subscript"/>
                <w:lang w:val="en-US" w:eastAsia="zh-CN"/>
              </w:rPr>
              <w:t>1</w:t>
            </w:r>
            <w:r>
              <w:rPr>
                <w:rFonts w:hint="default" w:ascii="Arial" w:hAnsi="Arial" w:eastAsia="宋体" w:cs="Arial"/>
                <w:color w:val="auto"/>
                <w:sz w:val="22"/>
                <w:szCs w:val="22"/>
                <w:vertAlign w:val="baseline"/>
                <w:lang w:val="en-US" w:eastAsia="zh-CN"/>
              </w:rPr>
              <w:t>/km</w:t>
            </w:r>
            <w:r>
              <w:rPr>
                <w:rFonts w:hint="default" w:ascii="Arial" w:hAnsi="Arial" w:eastAsia="宋体" w:cs="Arial"/>
                <w:color w:val="auto"/>
                <w:sz w:val="22"/>
                <w:szCs w:val="22"/>
                <w:vertAlign w:val="superscript"/>
                <w:lang w:val="en-US" w:eastAsia="zh-CN"/>
              </w:rPr>
              <w:t>2</w:t>
            </w:r>
            <w:r>
              <w:rPr>
                <w:rFonts w:hint="default" w:ascii="Arial" w:hAnsi="Arial" w:cs="Arial"/>
                <w:color w:val="auto"/>
                <w:sz w:val="22"/>
                <w:szCs w:val="22"/>
                <w:vertAlign w:val="baseline"/>
                <w:lang w:val="en-US" w:eastAsia="zh-CN"/>
              </w:rPr>
              <w:t>；</w:t>
            </w:r>
            <w:r>
              <w:rPr>
                <w:rFonts w:hint="default" w:ascii="Arial" w:hAnsi="Arial" w:eastAsia="宋体" w:cs="Arial"/>
                <w:color w:val="auto"/>
                <w:sz w:val="22"/>
                <w:szCs w:val="22"/>
                <w:vertAlign w:val="baseline"/>
                <w:lang w:val="en-US" w:eastAsia="zh-CN"/>
              </w:rPr>
              <w:t>工程扰动水底面积A</w:t>
            </w:r>
            <w:r>
              <w:rPr>
                <w:rFonts w:hint="default" w:ascii="Arial" w:hAnsi="Arial" w:eastAsia="宋体" w:cs="Arial"/>
                <w:color w:val="auto"/>
                <w:sz w:val="22"/>
                <w:szCs w:val="22"/>
                <w:vertAlign w:val="subscript"/>
                <w:lang w:val="en-US" w:eastAsia="zh-CN"/>
              </w:rPr>
              <w:t>2</w:t>
            </w:r>
            <w:r>
              <w:rPr>
                <w:rFonts w:hint="default" w:ascii="Arial" w:hAnsi="Arial" w:eastAsia="宋体" w:cs="Arial"/>
                <w:color w:val="auto"/>
                <w:sz w:val="22"/>
                <w:szCs w:val="22"/>
                <w:vertAlign w:val="baseline"/>
                <w:lang w:val="en-US" w:eastAsia="zh-CN"/>
              </w:rPr>
              <w:t>/km</w:t>
            </w:r>
            <w:r>
              <w:rPr>
                <w:rFonts w:hint="default" w:ascii="Arial" w:hAnsi="Arial" w:eastAsia="宋体" w:cs="Arial"/>
                <w:color w:val="auto"/>
                <w:sz w:val="22"/>
                <w:szCs w:val="22"/>
                <w:vertAlign w:val="superscript"/>
                <w:lang w:val="en-US" w:eastAsia="zh-CN"/>
              </w:rPr>
              <w:t>2</w:t>
            </w:r>
          </w:p>
        </w:tc>
      </w:tr>
      <w:tr w14:paraId="62CE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continue"/>
            <w:vAlign w:val="center"/>
          </w:tcPr>
          <w:p w14:paraId="2EAC875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p>
        </w:tc>
        <w:tc>
          <w:tcPr>
            <w:tcW w:w="1149" w:type="dxa"/>
            <w:vMerge w:val="continue"/>
            <w:vAlign w:val="center"/>
          </w:tcPr>
          <w:p w14:paraId="7F654A3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p>
        </w:tc>
        <w:tc>
          <w:tcPr>
            <w:tcW w:w="1221" w:type="dxa"/>
            <w:vMerge w:val="continue"/>
            <w:vAlign w:val="center"/>
          </w:tcPr>
          <w:p w14:paraId="4D8A2EA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p>
        </w:tc>
        <w:tc>
          <w:tcPr>
            <w:tcW w:w="908" w:type="dxa"/>
            <w:vMerge w:val="continue"/>
            <w:vAlign w:val="center"/>
          </w:tcPr>
          <w:p w14:paraId="6D1F9D4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p>
        </w:tc>
        <w:tc>
          <w:tcPr>
            <w:tcW w:w="1742" w:type="dxa"/>
            <w:vAlign w:val="center"/>
          </w:tcPr>
          <w:p w14:paraId="3BAD5E95">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河流</w:t>
            </w:r>
          </w:p>
        </w:tc>
        <w:tc>
          <w:tcPr>
            <w:tcW w:w="1846" w:type="dxa"/>
            <w:vAlign w:val="center"/>
          </w:tcPr>
          <w:p w14:paraId="4A6DAE7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湖库</w:t>
            </w:r>
          </w:p>
        </w:tc>
        <w:tc>
          <w:tcPr>
            <w:tcW w:w="1850" w:type="dxa"/>
            <w:vAlign w:val="center"/>
          </w:tcPr>
          <w:p w14:paraId="72E7038A">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入海河口、近岸海域</w:t>
            </w:r>
          </w:p>
        </w:tc>
      </w:tr>
      <w:tr w14:paraId="3CE69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Align w:val="center"/>
          </w:tcPr>
          <w:p w14:paraId="4E438F6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eastAsia" w:ascii="Arial" w:hAnsi="Arial" w:cs="Arial"/>
                <w:color w:val="auto"/>
                <w:sz w:val="22"/>
                <w:szCs w:val="22"/>
                <w:vertAlign w:val="baseline"/>
                <w:lang w:val="en-US" w:eastAsia="zh-CN"/>
              </w:rPr>
              <w:t>一级</w:t>
            </w:r>
          </w:p>
        </w:tc>
        <w:tc>
          <w:tcPr>
            <w:tcW w:w="1149" w:type="dxa"/>
            <w:vAlign w:val="center"/>
          </w:tcPr>
          <w:p w14:paraId="36B30C2C">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α</w:t>
            </w:r>
            <w:r>
              <w:rPr>
                <w:rFonts w:hint="eastAsia" w:ascii="宋体" w:hAnsi="宋体" w:eastAsia="宋体" w:cs="宋体"/>
                <w:color w:val="auto"/>
                <w:sz w:val="22"/>
                <w:szCs w:val="22"/>
                <w:vertAlign w:val="baseline"/>
                <w:lang w:val="en-US" w:eastAsia="zh-CN"/>
              </w:rPr>
              <w:t>≤</w:t>
            </w:r>
            <w:r>
              <w:rPr>
                <w:rFonts w:hint="default" w:ascii="Arial" w:hAnsi="Arial" w:cs="Arial"/>
                <w:color w:val="auto"/>
                <w:sz w:val="22"/>
                <w:szCs w:val="22"/>
                <w:vertAlign w:val="baseline"/>
                <w:lang w:val="en-US" w:eastAsia="zh-CN"/>
              </w:rPr>
              <w:t>10；或稳定分层</w:t>
            </w:r>
          </w:p>
        </w:tc>
        <w:tc>
          <w:tcPr>
            <w:tcW w:w="1221" w:type="dxa"/>
            <w:shd w:val="clear" w:color="auto" w:fill="auto"/>
            <w:vAlign w:val="center"/>
          </w:tcPr>
          <w:p w14:paraId="3A72352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color w:val="auto"/>
                <w:sz w:val="22"/>
                <w:szCs w:val="22"/>
              </w:rPr>
            </w:pPr>
            <w:r>
              <w:rPr>
                <w:rFonts w:hint="default" w:ascii="Arial" w:hAnsi="Arial" w:cs="Arial"/>
                <w:color w:val="auto"/>
                <w:spacing w:val="-23"/>
                <w:sz w:val="22"/>
                <w:szCs w:val="22"/>
              </w:rPr>
              <w:t>β</w:t>
            </w:r>
            <w:r>
              <w:rPr>
                <w:rFonts w:hint="eastAsia" w:ascii="宋体" w:hAnsi="宋体" w:eastAsia="宋体" w:cs="宋体"/>
                <w:color w:val="auto"/>
                <w:spacing w:val="-23"/>
                <w:sz w:val="22"/>
                <w:szCs w:val="22"/>
              </w:rPr>
              <w:t>≥</w:t>
            </w:r>
            <w:r>
              <w:rPr>
                <w:rFonts w:hint="default" w:ascii="Arial" w:hAnsi="Arial" w:cs="Arial"/>
                <w:color w:val="auto"/>
                <w:spacing w:val="-23"/>
                <w:sz w:val="22"/>
                <w:szCs w:val="22"/>
              </w:rPr>
              <w:t>2</w:t>
            </w:r>
            <w:r>
              <w:rPr>
                <w:rFonts w:hint="default" w:ascii="Arial" w:hAnsi="Arial" w:cs="Arial"/>
                <w:color w:val="auto"/>
                <w:spacing w:val="-22"/>
                <w:sz w:val="22"/>
                <w:szCs w:val="22"/>
              </w:rPr>
              <w:t>0</w:t>
            </w:r>
            <w:r>
              <w:rPr>
                <w:rFonts w:hint="default" w:ascii="Arial" w:hAnsi="Arial" w:cs="Arial"/>
                <w:color w:val="auto"/>
                <w:spacing w:val="-22"/>
                <w:sz w:val="22"/>
                <w:szCs w:val="22"/>
                <w:lang w:eastAsia="zh-CN"/>
              </w:rPr>
              <w:t>；</w:t>
            </w:r>
            <w:r>
              <w:rPr>
                <w:rFonts w:hint="default" w:ascii="Arial" w:hAnsi="Arial" w:cs="Arial"/>
                <w:color w:val="auto"/>
                <w:spacing w:val="-22"/>
                <w:sz w:val="22"/>
                <w:szCs w:val="22"/>
              </w:rPr>
              <w:t>或完</w:t>
            </w:r>
          </w:p>
          <w:p w14:paraId="16B52AC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4"/>
                <w:sz w:val="22"/>
                <w:szCs w:val="22"/>
              </w:rPr>
              <w:t>年调节与多</w:t>
            </w:r>
            <w:r>
              <w:rPr>
                <w:rFonts w:hint="default" w:ascii="Arial" w:hAnsi="Arial" w:cs="Arial"/>
                <w:color w:val="auto"/>
                <w:spacing w:val="3"/>
                <w:sz w:val="22"/>
                <w:szCs w:val="22"/>
              </w:rPr>
              <w:t>年调节</w:t>
            </w:r>
          </w:p>
        </w:tc>
        <w:tc>
          <w:tcPr>
            <w:tcW w:w="908" w:type="dxa"/>
            <w:shd w:val="clear" w:color="auto" w:fill="auto"/>
            <w:vAlign w:val="center"/>
          </w:tcPr>
          <w:p w14:paraId="7B14089F">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color w:val="auto"/>
                <w:sz w:val="22"/>
                <w:szCs w:val="22"/>
              </w:rPr>
            </w:pPr>
          </w:p>
          <w:p w14:paraId="01FD9E87">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firstLine="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z w:val="22"/>
                <w:szCs w:val="22"/>
                <w:vertAlign w:val="baseline"/>
                <w:lang w:val="en-US" w:eastAsia="zh-CN"/>
              </w:rPr>
              <w:t>γ</w:t>
            </w:r>
            <w:r>
              <w:rPr>
                <w:rFonts w:hint="eastAsia" w:ascii="宋体" w:hAnsi="宋体" w:eastAsia="宋体" w:cs="宋体"/>
                <w:color w:val="auto"/>
                <w:spacing w:val="-2"/>
                <w:sz w:val="22"/>
                <w:szCs w:val="22"/>
              </w:rPr>
              <w:t>≥</w:t>
            </w:r>
            <w:r>
              <w:rPr>
                <w:rFonts w:hint="default" w:ascii="Arial" w:hAnsi="Arial" w:cs="Arial"/>
                <w:color w:val="auto"/>
                <w:spacing w:val="-2"/>
                <w:sz w:val="22"/>
                <w:szCs w:val="22"/>
              </w:rPr>
              <w:t>30</w:t>
            </w:r>
          </w:p>
        </w:tc>
        <w:tc>
          <w:tcPr>
            <w:tcW w:w="1742" w:type="dxa"/>
            <w:shd w:val="clear" w:color="auto" w:fill="auto"/>
            <w:vAlign w:val="center"/>
          </w:tcPr>
          <w:p w14:paraId="6AB72A4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eastAsia" w:ascii="Arial" w:hAnsi="Arial" w:eastAsia="宋体" w:cs="Arial"/>
                <w:color w:val="auto"/>
                <w:sz w:val="22"/>
                <w:szCs w:val="22"/>
                <w:lang w:eastAsia="zh-CN"/>
              </w:rPr>
            </w:pPr>
            <w:r>
              <w:rPr>
                <w:rFonts w:hint="default" w:ascii="Arial" w:hAnsi="Arial" w:cs="Arial"/>
                <w:color w:val="auto"/>
                <w:spacing w:val="-1"/>
                <w:sz w:val="22"/>
                <w:szCs w:val="22"/>
              </w:rPr>
              <w:t>A</w:t>
            </w:r>
            <w:r>
              <w:rPr>
                <w:rFonts w:hint="default" w:ascii="Arial" w:hAnsi="Arial" w:cs="Arial"/>
                <w:color w:val="auto"/>
                <w:spacing w:val="-1"/>
                <w:sz w:val="22"/>
                <w:szCs w:val="22"/>
                <w:vertAlign w:val="subscript"/>
                <w:lang w:val="en-US" w:eastAsia="zh-CN"/>
              </w:rPr>
              <w:t>1</w:t>
            </w:r>
            <w:r>
              <w:rPr>
                <w:rFonts w:hint="eastAsia" w:ascii="宋体" w:hAnsi="宋体" w:eastAsia="宋体" w:cs="宋体"/>
                <w:color w:val="auto"/>
                <w:spacing w:val="-1"/>
                <w:sz w:val="22"/>
                <w:szCs w:val="22"/>
              </w:rPr>
              <w:t>≥</w:t>
            </w:r>
            <w:r>
              <w:rPr>
                <w:rFonts w:hint="default" w:ascii="Arial" w:hAnsi="Arial" w:cs="Arial"/>
                <w:color w:val="auto"/>
                <w:spacing w:val="-1"/>
                <w:sz w:val="22"/>
                <w:szCs w:val="22"/>
              </w:rPr>
              <w:t>0.3</w:t>
            </w:r>
            <w:r>
              <w:rPr>
                <w:rFonts w:hint="default" w:ascii="Arial" w:hAnsi="Arial" w:cs="Arial"/>
                <w:color w:val="auto"/>
                <w:spacing w:val="-1"/>
                <w:sz w:val="22"/>
                <w:szCs w:val="22"/>
                <w:lang w:eastAsia="zh-CN"/>
              </w:rPr>
              <w:t>；</w:t>
            </w:r>
            <w:r>
              <w:rPr>
                <w:rFonts w:hint="default" w:ascii="Arial" w:hAnsi="Arial" w:cs="Arial"/>
                <w:color w:val="auto"/>
                <w:spacing w:val="13"/>
                <w:sz w:val="22"/>
                <w:szCs w:val="22"/>
              </w:rPr>
              <w:t>或</w:t>
            </w:r>
            <w:r>
              <w:rPr>
                <w:rFonts w:hint="eastAsia" w:ascii="Arial" w:hAnsi="Arial" w:cs="Arial"/>
                <w:color w:val="auto"/>
                <w:spacing w:val="13"/>
                <w:sz w:val="22"/>
                <w:szCs w:val="22"/>
                <w:lang w:val="en-US" w:eastAsia="zh-CN"/>
              </w:rPr>
              <w:t>A</w:t>
            </w:r>
            <w:r>
              <w:rPr>
                <w:rFonts w:hint="eastAsia" w:ascii="Arial" w:hAnsi="Arial" w:cs="Arial"/>
                <w:color w:val="auto"/>
                <w:spacing w:val="13"/>
                <w:sz w:val="22"/>
                <w:szCs w:val="22"/>
                <w:vertAlign w:val="subscript"/>
                <w:lang w:val="en-US" w:eastAsia="zh-CN"/>
              </w:rPr>
              <w:t>2</w:t>
            </w:r>
            <w:r>
              <w:rPr>
                <w:rFonts w:hint="eastAsia" w:ascii="宋体" w:hAnsi="宋体" w:eastAsia="宋体" w:cs="宋体"/>
                <w:color w:val="auto"/>
                <w:spacing w:val="13"/>
                <w:sz w:val="22"/>
                <w:szCs w:val="22"/>
              </w:rPr>
              <w:t>≥</w:t>
            </w:r>
            <w:r>
              <w:rPr>
                <w:rFonts w:hint="default" w:ascii="Arial" w:hAnsi="Arial" w:cs="Arial"/>
                <w:color w:val="auto"/>
                <w:spacing w:val="13"/>
                <w:sz w:val="22"/>
                <w:szCs w:val="22"/>
              </w:rPr>
              <w:t>1.5</w:t>
            </w:r>
            <w:r>
              <w:rPr>
                <w:rFonts w:hint="eastAsia" w:ascii="Arial" w:hAnsi="Arial" w:cs="Arial"/>
                <w:color w:val="auto"/>
                <w:spacing w:val="13"/>
                <w:sz w:val="22"/>
                <w:szCs w:val="22"/>
                <w:lang w:eastAsia="zh-CN"/>
              </w:rPr>
              <w:t>；</w:t>
            </w:r>
          </w:p>
          <w:p w14:paraId="01BA5DBA">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firstLine="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2"/>
                <w:sz w:val="22"/>
                <w:szCs w:val="22"/>
              </w:rPr>
              <w:t>或R</w:t>
            </w:r>
            <w:r>
              <w:rPr>
                <w:rFonts w:hint="eastAsia" w:ascii="宋体" w:hAnsi="宋体" w:eastAsia="宋体" w:cs="宋体"/>
                <w:color w:val="auto"/>
                <w:spacing w:val="2"/>
                <w:sz w:val="22"/>
                <w:szCs w:val="22"/>
              </w:rPr>
              <w:t>≥</w:t>
            </w:r>
            <w:r>
              <w:rPr>
                <w:rFonts w:hint="default" w:ascii="Arial" w:hAnsi="Arial" w:cs="Arial"/>
                <w:color w:val="auto"/>
                <w:spacing w:val="2"/>
                <w:sz w:val="22"/>
                <w:szCs w:val="22"/>
              </w:rPr>
              <w:t>10</w:t>
            </w:r>
          </w:p>
        </w:tc>
        <w:tc>
          <w:tcPr>
            <w:tcW w:w="1846" w:type="dxa"/>
            <w:shd w:val="clear" w:color="auto" w:fill="auto"/>
            <w:vAlign w:val="center"/>
          </w:tcPr>
          <w:p w14:paraId="3451BB3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eastAsia" w:ascii="Arial" w:hAnsi="Arial" w:eastAsia="宋体" w:cs="Arial"/>
                <w:color w:val="auto"/>
                <w:sz w:val="22"/>
                <w:szCs w:val="22"/>
                <w:lang w:eastAsia="zh-CN"/>
              </w:rPr>
            </w:pPr>
            <w:r>
              <w:rPr>
                <w:rFonts w:hint="default" w:ascii="Arial" w:hAnsi="Arial" w:cs="Arial"/>
                <w:color w:val="auto"/>
                <w:sz w:val="22"/>
                <w:szCs w:val="22"/>
              </w:rPr>
              <w:t>A</w:t>
            </w:r>
            <w:r>
              <w:rPr>
                <w:rFonts w:hint="eastAsia" w:ascii="Arial" w:hAnsi="Arial" w:cs="Arial"/>
                <w:color w:val="auto"/>
                <w:sz w:val="22"/>
                <w:szCs w:val="22"/>
                <w:vertAlign w:val="subscript"/>
                <w:lang w:val="en-US" w:eastAsia="zh-CN"/>
              </w:rPr>
              <w:t>1</w:t>
            </w:r>
            <w:r>
              <w:rPr>
                <w:rFonts w:hint="eastAsia" w:ascii="宋体" w:hAnsi="宋体" w:eastAsia="宋体" w:cs="宋体"/>
                <w:color w:val="auto"/>
                <w:sz w:val="22"/>
                <w:szCs w:val="22"/>
              </w:rPr>
              <w:t>≥</w:t>
            </w:r>
            <w:r>
              <w:rPr>
                <w:rFonts w:hint="default" w:ascii="Arial" w:hAnsi="Arial" w:cs="Arial"/>
                <w:color w:val="auto"/>
                <w:sz w:val="22"/>
                <w:szCs w:val="22"/>
              </w:rPr>
              <w:t>0.3</w:t>
            </w:r>
            <w:r>
              <w:rPr>
                <w:rFonts w:hint="eastAsia" w:ascii="Arial" w:hAnsi="Arial" w:cs="Arial"/>
                <w:color w:val="auto"/>
                <w:sz w:val="22"/>
                <w:szCs w:val="22"/>
                <w:lang w:eastAsia="zh-CN"/>
              </w:rPr>
              <w:t>；</w:t>
            </w:r>
          </w:p>
          <w:p w14:paraId="79A48FD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eastAsia" w:ascii="Arial" w:hAnsi="Arial" w:eastAsia="宋体" w:cs="Arial"/>
                <w:color w:val="auto"/>
                <w:sz w:val="22"/>
                <w:szCs w:val="22"/>
                <w:lang w:eastAsia="zh-CN"/>
              </w:rPr>
            </w:pPr>
            <w:r>
              <w:rPr>
                <w:rFonts w:hint="default" w:ascii="Arial" w:hAnsi="Arial" w:cs="Arial"/>
                <w:color w:val="auto"/>
                <w:spacing w:val="6"/>
                <w:sz w:val="22"/>
                <w:szCs w:val="22"/>
              </w:rPr>
              <w:t>或A</w:t>
            </w:r>
            <w:r>
              <w:rPr>
                <w:rFonts w:hint="default" w:ascii="Arial" w:hAnsi="Arial" w:cs="Arial"/>
                <w:color w:val="auto"/>
                <w:spacing w:val="6"/>
                <w:sz w:val="22"/>
                <w:szCs w:val="22"/>
                <w:vertAlign w:val="subscript"/>
              </w:rPr>
              <w:t>2</w:t>
            </w:r>
            <w:r>
              <w:rPr>
                <w:rFonts w:hint="eastAsia" w:ascii="宋体" w:hAnsi="宋体" w:eastAsia="宋体" w:cs="宋体"/>
                <w:color w:val="auto"/>
                <w:spacing w:val="6"/>
                <w:sz w:val="22"/>
                <w:szCs w:val="22"/>
              </w:rPr>
              <w:t>≥</w:t>
            </w:r>
            <w:r>
              <w:rPr>
                <w:rFonts w:hint="default" w:ascii="Arial" w:hAnsi="Arial" w:cs="Arial"/>
                <w:color w:val="auto"/>
                <w:spacing w:val="6"/>
                <w:sz w:val="22"/>
                <w:szCs w:val="22"/>
              </w:rPr>
              <w:t>1.5</w:t>
            </w:r>
            <w:r>
              <w:rPr>
                <w:rFonts w:hint="eastAsia" w:ascii="Arial" w:hAnsi="Arial" w:cs="Arial"/>
                <w:color w:val="auto"/>
                <w:spacing w:val="6"/>
                <w:sz w:val="22"/>
                <w:szCs w:val="22"/>
                <w:lang w:eastAsia="zh-CN"/>
              </w:rPr>
              <w:t>；</w:t>
            </w:r>
          </w:p>
          <w:p w14:paraId="140E392D">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firstLine="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2"/>
                <w:sz w:val="22"/>
                <w:szCs w:val="22"/>
              </w:rPr>
              <w:t>或R</w:t>
            </w:r>
            <w:r>
              <w:rPr>
                <w:rFonts w:hint="eastAsia" w:ascii="宋体" w:hAnsi="宋体" w:eastAsia="宋体" w:cs="宋体"/>
                <w:color w:val="auto"/>
                <w:spacing w:val="2"/>
                <w:sz w:val="22"/>
                <w:szCs w:val="22"/>
              </w:rPr>
              <w:t>≥</w:t>
            </w:r>
            <w:r>
              <w:rPr>
                <w:rFonts w:hint="default" w:ascii="Arial" w:hAnsi="Arial" w:cs="Arial"/>
                <w:color w:val="auto"/>
                <w:spacing w:val="2"/>
                <w:sz w:val="22"/>
                <w:szCs w:val="22"/>
              </w:rPr>
              <w:t>20</w:t>
            </w:r>
          </w:p>
        </w:tc>
        <w:tc>
          <w:tcPr>
            <w:tcW w:w="1850" w:type="dxa"/>
            <w:shd w:val="clear" w:color="auto" w:fill="auto"/>
            <w:vAlign w:val="center"/>
          </w:tcPr>
          <w:p w14:paraId="6482BFDA">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1"/>
                <w:sz w:val="22"/>
                <w:szCs w:val="22"/>
              </w:rPr>
              <w:t>A</w:t>
            </w:r>
            <w:r>
              <w:rPr>
                <w:rFonts w:hint="eastAsia" w:ascii="Arial" w:hAnsi="Arial" w:cs="Arial"/>
                <w:color w:val="auto"/>
                <w:spacing w:val="-1"/>
                <w:sz w:val="22"/>
                <w:szCs w:val="22"/>
                <w:vertAlign w:val="subscript"/>
                <w:lang w:val="en-US" w:eastAsia="zh-CN"/>
              </w:rPr>
              <w:t>1</w:t>
            </w:r>
            <w:r>
              <w:rPr>
                <w:rFonts w:hint="eastAsia" w:ascii="宋体" w:hAnsi="宋体" w:eastAsia="宋体" w:cs="宋体"/>
                <w:color w:val="auto"/>
                <w:spacing w:val="-1"/>
                <w:sz w:val="22"/>
                <w:szCs w:val="22"/>
              </w:rPr>
              <w:t>≥</w:t>
            </w:r>
            <w:r>
              <w:rPr>
                <w:rFonts w:hint="default" w:ascii="Arial" w:hAnsi="Arial" w:cs="Arial"/>
                <w:color w:val="auto"/>
                <w:spacing w:val="-1"/>
                <w:sz w:val="22"/>
                <w:szCs w:val="22"/>
              </w:rPr>
              <w:t>0.5</w:t>
            </w:r>
            <w:r>
              <w:rPr>
                <w:rFonts w:hint="eastAsia" w:ascii="Arial" w:hAnsi="Arial" w:cs="Arial"/>
                <w:color w:val="auto"/>
                <w:spacing w:val="-1"/>
                <w:sz w:val="22"/>
                <w:szCs w:val="22"/>
                <w:lang w:eastAsia="zh-CN"/>
              </w:rPr>
              <w:t>；</w:t>
            </w:r>
            <w:r>
              <w:rPr>
                <w:rFonts w:hint="default" w:ascii="Arial" w:hAnsi="Arial" w:cs="Arial"/>
                <w:color w:val="auto"/>
                <w:spacing w:val="3"/>
                <w:sz w:val="22"/>
                <w:szCs w:val="22"/>
              </w:rPr>
              <w:t>或A</w:t>
            </w:r>
            <w:r>
              <w:rPr>
                <w:rFonts w:hint="eastAsia" w:ascii="Arial" w:hAnsi="Arial" w:cs="Arial"/>
                <w:color w:val="auto"/>
                <w:spacing w:val="3"/>
                <w:sz w:val="22"/>
                <w:szCs w:val="22"/>
                <w:vertAlign w:val="subscript"/>
                <w:lang w:val="en-US" w:eastAsia="zh-CN"/>
              </w:rPr>
              <w:t>2</w:t>
            </w:r>
            <w:r>
              <w:rPr>
                <w:rFonts w:hint="eastAsia" w:ascii="宋体" w:hAnsi="宋体" w:eastAsia="宋体" w:cs="宋体"/>
                <w:color w:val="auto"/>
                <w:spacing w:val="3"/>
                <w:sz w:val="22"/>
                <w:szCs w:val="22"/>
              </w:rPr>
              <w:t>≥</w:t>
            </w:r>
            <w:r>
              <w:rPr>
                <w:rFonts w:hint="default" w:ascii="Arial" w:hAnsi="Arial" w:cs="Arial"/>
                <w:color w:val="auto"/>
                <w:spacing w:val="3"/>
                <w:sz w:val="22"/>
                <w:szCs w:val="22"/>
              </w:rPr>
              <w:t>3</w:t>
            </w:r>
          </w:p>
        </w:tc>
      </w:tr>
      <w:tr w14:paraId="5FE2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Align w:val="center"/>
          </w:tcPr>
          <w:p w14:paraId="383ED0E7">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eastAsia" w:ascii="Arial" w:hAnsi="Arial" w:cs="Arial"/>
                <w:color w:val="auto"/>
                <w:sz w:val="22"/>
                <w:szCs w:val="22"/>
                <w:vertAlign w:val="baseline"/>
                <w:lang w:val="en-US" w:eastAsia="zh-CN"/>
              </w:rPr>
              <w:t>二级</w:t>
            </w:r>
          </w:p>
        </w:tc>
        <w:tc>
          <w:tcPr>
            <w:tcW w:w="1149" w:type="dxa"/>
            <w:vAlign w:val="center"/>
          </w:tcPr>
          <w:p w14:paraId="56894453">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20&gt;α&gt;10；或不稳定分层</w:t>
            </w:r>
          </w:p>
        </w:tc>
        <w:tc>
          <w:tcPr>
            <w:tcW w:w="1221" w:type="dxa"/>
            <w:shd w:val="clear" w:color="auto" w:fill="auto"/>
            <w:vAlign w:val="center"/>
          </w:tcPr>
          <w:p w14:paraId="173909D7">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1"/>
                <w:sz w:val="22"/>
                <w:szCs w:val="22"/>
              </w:rPr>
              <w:t>20&gt;β&gt;2</w:t>
            </w:r>
            <w:r>
              <w:rPr>
                <w:rFonts w:hint="default" w:ascii="Arial" w:hAnsi="Arial" w:cs="Arial"/>
                <w:color w:val="auto"/>
                <w:spacing w:val="1"/>
                <w:sz w:val="22"/>
                <w:szCs w:val="22"/>
                <w:lang w:eastAsia="zh-CN"/>
              </w:rPr>
              <w:t>；</w:t>
            </w:r>
            <w:r>
              <w:rPr>
                <w:rFonts w:hint="default" w:ascii="Arial" w:hAnsi="Arial" w:cs="Arial"/>
                <w:color w:val="auto"/>
                <w:spacing w:val="1"/>
                <w:sz w:val="22"/>
                <w:szCs w:val="22"/>
              </w:rPr>
              <w:t>或</w:t>
            </w:r>
            <w:r>
              <w:rPr>
                <w:rFonts w:hint="default" w:ascii="Arial" w:hAnsi="Arial" w:cs="Arial"/>
                <w:color w:val="auto"/>
                <w:spacing w:val="2"/>
                <w:sz w:val="22"/>
                <w:szCs w:val="22"/>
              </w:rPr>
              <w:t>季调节与不完全年调节</w:t>
            </w:r>
          </w:p>
        </w:tc>
        <w:tc>
          <w:tcPr>
            <w:tcW w:w="908" w:type="dxa"/>
            <w:shd w:val="clear" w:color="auto" w:fill="auto"/>
            <w:vAlign w:val="center"/>
          </w:tcPr>
          <w:p w14:paraId="578DF2B0">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3"/>
                <w:sz w:val="22"/>
                <w:szCs w:val="22"/>
              </w:rPr>
              <w:t>30&gt;γ&gt;</w:t>
            </w:r>
            <w:r>
              <w:rPr>
                <w:rFonts w:hint="default" w:ascii="Arial" w:hAnsi="Arial" w:cs="Arial"/>
                <w:color w:val="auto"/>
                <w:spacing w:val="1"/>
                <w:sz w:val="22"/>
                <w:szCs w:val="22"/>
              </w:rPr>
              <w:t xml:space="preserve"> </w:t>
            </w:r>
            <w:r>
              <w:rPr>
                <w:rFonts w:hint="default" w:ascii="Arial" w:hAnsi="Arial" w:cs="Arial"/>
                <w:color w:val="auto"/>
                <w:spacing w:val="-7"/>
                <w:sz w:val="22"/>
                <w:szCs w:val="22"/>
              </w:rPr>
              <w:t>10</w:t>
            </w:r>
          </w:p>
        </w:tc>
        <w:tc>
          <w:tcPr>
            <w:tcW w:w="1742" w:type="dxa"/>
            <w:shd w:val="clear" w:color="auto" w:fill="auto"/>
            <w:vAlign w:val="center"/>
          </w:tcPr>
          <w:p w14:paraId="501A26E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eastAsia" w:ascii="Arial" w:hAnsi="Arial" w:eastAsia="宋体" w:cs="Arial"/>
                <w:color w:val="auto"/>
                <w:sz w:val="22"/>
                <w:szCs w:val="22"/>
                <w:lang w:eastAsia="zh-CN"/>
              </w:rPr>
            </w:pPr>
            <w:r>
              <w:rPr>
                <w:rFonts w:hint="default" w:ascii="Arial" w:hAnsi="Arial" w:cs="Arial"/>
                <w:color w:val="auto"/>
                <w:spacing w:val="-1"/>
                <w:sz w:val="22"/>
                <w:szCs w:val="22"/>
              </w:rPr>
              <w:t>0.3&gt;A</w:t>
            </w:r>
            <w:r>
              <w:rPr>
                <w:rFonts w:hint="eastAsia" w:ascii="Arial" w:hAnsi="Arial" w:cs="Arial"/>
                <w:color w:val="auto"/>
                <w:spacing w:val="-1"/>
                <w:sz w:val="22"/>
                <w:szCs w:val="22"/>
                <w:vertAlign w:val="subscript"/>
                <w:lang w:val="en-US" w:eastAsia="zh-CN"/>
              </w:rPr>
              <w:t>1</w:t>
            </w:r>
            <w:r>
              <w:rPr>
                <w:rFonts w:hint="default" w:ascii="Arial" w:hAnsi="Arial" w:cs="Arial"/>
                <w:color w:val="auto"/>
                <w:spacing w:val="-1"/>
                <w:sz w:val="22"/>
                <w:szCs w:val="22"/>
              </w:rPr>
              <w:t>&gt;0.05</w:t>
            </w:r>
            <w:r>
              <w:rPr>
                <w:rFonts w:hint="eastAsia" w:ascii="Arial" w:hAnsi="Arial" w:cs="Arial"/>
                <w:color w:val="auto"/>
                <w:spacing w:val="-1"/>
                <w:sz w:val="22"/>
                <w:szCs w:val="22"/>
                <w:lang w:eastAsia="zh-CN"/>
              </w:rPr>
              <w:t>；</w:t>
            </w:r>
          </w:p>
          <w:p w14:paraId="0969FD4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eastAsia" w:ascii="Arial" w:hAnsi="Arial" w:eastAsia="宋体" w:cs="Arial"/>
                <w:color w:val="auto"/>
                <w:sz w:val="22"/>
                <w:szCs w:val="22"/>
                <w:lang w:eastAsia="zh-CN"/>
              </w:rPr>
            </w:pPr>
            <w:r>
              <w:rPr>
                <w:rFonts w:hint="default" w:ascii="Arial" w:hAnsi="Arial" w:cs="Arial"/>
                <w:color w:val="auto"/>
                <w:spacing w:val="12"/>
                <w:sz w:val="22"/>
                <w:szCs w:val="22"/>
              </w:rPr>
              <w:t>或</w:t>
            </w:r>
            <w:r>
              <w:rPr>
                <w:rFonts w:hint="eastAsia" w:ascii="Arial" w:hAnsi="Arial" w:cs="Arial"/>
                <w:color w:val="auto"/>
                <w:spacing w:val="12"/>
                <w:sz w:val="22"/>
                <w:szCs w:val="22"/>
                <w:lang w:val="en-US" w:eastAsia="zh-CN"/>
              </w:rPr>
              <w:t>1</w:t>
            </w:r>
            <w:r>
              <w:rPr>
                <w:rFonts w:hint="default" w:ascii="Arial" w:hAnsi="Arial" w:cs="Arial"/>
                <w:color w:val="auto"/>
                <w:spacing w:val="12"/>
                <w:sz w:val="22"/>
                <w:szCs w:val="22"/>
              </w:rPr>
              <w:t>.5&gt;A</w:t>
            </w:r>
            <w:r>
              <w:rPr>
                <w:rFonts w:hint="eastAsia" w:ascii="Arial" w:hAnsi="Arial" w:eastAsia="宋体" w:cs="Arial"/>
                <w:color w:val="auto"/>
                <w:spacing w:val="12"/>
                <w:sz w:val="22"/>
                <w:szCs w:val="22"/>
                <w:vertAlign w:val="subscript"/>
                <w:lang w:val="en-US" w:eastAsia="zh-CN"/>
              </w:rPr>
              <w:t>2</w:t>
            </w:r>
            <w:r>
              <w:rPr>
                <w:rFonts w:hint="default" w:ascii="Arial" w:hAnsi="Arial" w:cs="Arial"/>
                <w:color w:val="auto"/>
                <w:spacing w:val="12"/>
                <w:sz w:val="22"/>
                <w:szCs w:val="22"/>
              </w:rPr>
              <w:t>&gt;0.2</w:t>
            </w:r>
            <w:r>
              <w:rPr>
                <w:rFonts w:hint="eastAsia" w:ascii="Arial" w:hAnsi="Arial" w:cs="Arial"/>
                <w:color w:val="auto"/>
                <w:spacing w:val="12"/>
                <w:sz w:val="22"/>
                <w:szCs w:val="22"/>
                <w:lang w:eastAsia="zh-CN"/>
              </w:rPr>
              <w:t>；</w:t>
            </w:r>
          </w:p>
          <w:p w14:paraId="36B73E83">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firstLine="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12"/>
                <w:sz w:val="22"/>
                <w:szCs w:val="22"/>
              </w:rPr>
              <w:t>或</w:t>
            </w:r>
            <w:r>
              <w:rPr>
                <w:rFonts w:hint="default" w:ascii="Arial" w:hAnsi="Arial" w:cs="Arial"/>
                <w:color w:val="auto"/>
                <w:spacing w:val="-34"/>
                <w:sz w:val="22"/>
                <w:szCs w:val="22"/>
              </w:rPr>
              <w:t xml:space="preserve"> </w:t>
            </w:r>
            <w:r>
              <w:rPr>
                <w:rFonts w:hint="default" w:ascii="Arial" w:hAnsi="Arial" w:cs="Arial"/>
                <w:color w:val="auto"/>
                <w:spacing w:val="-12"/>
                <w:sz w:val="22"/>
                <w:szCs w:val="22"/>
              </w:rPr>
              <w:t>1</w:t>
            </w:r>
            <w:r>
              <w:rPr>
                <w:rFonts w:hint="default" w:ascii="Arial" w:hAnsi="Arial" w:cs="Arial"/>
                <w:color w:val="auto"/>
                <w:spacing w:val="-49"/>
                <w:sz w:val="22"/>
                <w:szCs w:val="22"/>
              </w:rPr>
              <w:t xml:space="preserve"> </w:t>
            </w:r>
            <w:r>
              <w:rPr>
                <w:rFonts w:hint="default" w:ascii="Arial" w:hAnsi="Arial" w:cs="Arial"/>
                <w:color w:val="auto"/>
                <w:spacing w:val="-12"/>
                <w:sz w:val="22"/>
                <w:szCs w:val="22"/>
              </w:rPr>
              <w:t>0</w:t>
            </w:r>
            <w:r>
              <w:rPr>
                <w:rFonts w:hint="default" w:ascii="Arial" w:hAnsi="Arial" w:cs="Arial"/>
                <w:color w:val="auto"/>
                <w:spacing w:val="-45"/>
                <w:sz w:val="22"/>
                <w:szCs w:val="22"/>
              </w:rPr>
              <w:t xml:space="preserve"> </w:t>
            </w:r>
            <w:r>
              <w:rPr>
                <w:rFonts w:hint="default" w:ascii="Arial" w:hAnsi="Arial" w:cs="Arial"/>
                <w:color w:val="auto"/>
                <w:spacing w:val="-12"/>
                <w:sz w:val="22"/>
                <w:szCs w:val="22"/>
              </w:rPr>
              <w:t>&gt;</w:t>
            </w:r>
            <w:r>
              <w:rPr>
                <w:rFonts w:hint="default" w:ascii="Arial" w:hAnsi="Arial" w:cs="Arial"/>
                <w:color w:val="auto"/>
                <w:spacing w:val="-52"/>
                <w:sz w:val="22"/>
                <w:szCs w:val="22"/>
              </w:rPr>
              <w:t xml:space="preserve"> </w:t>
            </w:r>
            <w:r>
              <w:rPr>
                <w:rFonts w:hint="default" w:ascii="Arial" w:hAnsi="Arial" w:cs="Arial"/>
                <w:color w:val="auto"/>
                <w:spacing w:val="-12"/>
                <w:sz w:val="22"/>
                <w:szCs w:val="22"/>
              </w:rPr>
              <w:t>R</w:t>
            </w:r>
            <w:r>
              <w:rPr>
                <w:rFonts w:hint="default" w:ascii="Arial" w:hAnsi="Arial" w:cs="Arial"/>
                <w:color w:val="auto"/>
                <w:spacing w:val="-45"/>
                <w:sz w:val="22"/>
                <w:szCs w:val="22"/>
              </w:rPr>
              <w:t xml:space="preserve"> </w:t>
            </w:r>
            <w:r>
              <w:rPr>
                <w:rFonts w:hint="default" w:ascii="Arial" w:hAnsi="Arial" w:cs="Arial"/>
                <w:color w:val="auto"/>
                <w:spacing w:val="-12"/>
                <w:sz w:val="22"/>
                <w:szCs w:val="22"/>
              </w:rPr>
              <w:t>&gt;</w:t>
            </w:r>
            <w:r>
              <w:rPr>
                <w:rFonts w:hint="default" w:ascii="Arial" w:hAnsi="Arial" w:cs="Arial"/>
                <w:color w:val="auto"/>
                <w:spacing w:val="-46"/>
                <w:sz w:val="22"/>
                <w:szCs w:val="22"/>
              </w:rPr>
              <w:t xml:space="preserve"> </w:t>
            </w:r>
            <w:r>
              <w:rPr>
                <w:rFonts w:hint="default" w:ascii="Arial" w:hAnsi="Arial" w:cs="Arial"/>
                <w:color w:val="auto"/>
                <w:spacing w:val="-12"/>
                <w:sz w:val="22"/>
                <w:szCs w:val="22"/>
              </w:rPr>
              <w:t>5</w:t>
            </w:r>
          </w:p>
        </w:tc>
        <w:tc>
          <w:tcPr>
            <w:tcW w:w="1846" w:type="dxa"/>
            <w:shd w:val="clear" w:color="auto" w:fill="auto"/>
            <w:vAlign w:val="center"/>
          </w:tcPr>
          <w:p w14:paraId="37B7BCA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color w:val="auto"/>
                <w:sz w:val="22"/>
                <w:szCs w:val="22"/>
              </w:rPr>
            </w:pPr>
            <w:r>
              <w:rPr>
                <w:rFonts w:hint="default" w:ascii="Arial" w:hAnsi="Arial" w:cs="Arial"/>
                <w:color w:val="auto"/>
                <w:spacing w:val="-1"/>
                <w:sz w:val="22"/>
                <w:szCs w:val="22"/>
              </w:rPr>
              <w:t>0.3&gt;A</w:t>
            </w:r>
            <w:r>
              <w:rPr>
                <w:rFonts w:hint="eastAsia" w:ascii="Arial" w:hAnsi="Arial" w:cs="Arial"/>
                <w:color w:val="auto"/>
                <w:spacing w:val="-1"/>
                <w:sz w:val="22"/>
                <w:szCs w:val="22"/>
                <w:vertAlign w:val="subscript"/>
                <w:lang w:val="en-US" w:eastAsia="zh-CN"/>
              </w:rPr>
              <w:t>1</w:t>
            </w:r>
            <w:r>
              <w:rPr>
                <w:rFonts w:hint="default" w:ascii="Arial" w:hAnsi="Arial" w:cs="Arial"/>
                <w:color w:val="auto"/>
                <w:spacing w:val="-1"/>
                <w:sz w:val="22"/>
                <w:szCs w:val="22"/>
              </w:rPr>
              <w:t>&gt;0.05</w:t>
            </w:r>
          </w:p>
          <w:p w14:paraId="777427C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eastAsia" w:ascii="Arial" w:hAnsi="Arial" w:eastAsia="宋体" w:cs="Arial"/>
                <w:color w:val="auto"/>
                <w:sz w:val="22"/>
                <w:szCs w:val="22"/>
                <w:lang w:eastAsia="zh-CN"/>
              </w:rPr>
            </w:pPr>
            <w:r>
              <w:rPr>
                <w:rFonts w:hint="default" w:ascii="Arial" w:hAnsi="Arial" w:cs="Arial"/>
                <w:color w:val="auto"/>
                <w:spacing w:val="12"/>
                <w:sz w:val="22"/>
                <w:szCs w:val="22"/>
              </w:rPr>
              <w:t>或1.5&gt;A</w:t>
            </w:r>
            <w:r>
              <w:rPr>
                <w:rFonts w:hint="eastAsia" w:ascii="Arial" w:hAnsi="Arial" w:eastAsia="宋体" w:cs="Arial"/>
                <w:color w:val="auto"/>
                <w:spacing w:val="12"/>
                <w:sz w:val="22"/>
                <w:szCs w:val="22"/>
                <w:vertAlign w:val="subscript"/>
                <w:lang w:val="en-US" w:eastAsia="zh-CN"/>
              </w:rPr>
              <w:t>2</w:t>
            </w:r>
            <w:r>
              <w:rPr>
                <w:rFonts w:hint="default" w:ascii="Arial" w:hAnsi="Arial" w:cs="Arial"/>
                <w:color w:val="auto"/>
                <w:spacing w:val="12"/>
                <w:sz w:val="22"/>
                <w:szCs w:val="22"/>
              </w:rPr>
              <w:t>&gt;0.2</w:t>
            </w:r>
            <w:r>
              <w:rPr>
                <w:rFonts w:hint="eastAsia" w:ascii="Arial" w:hAnsi="Arial" w:cs="Arial"/>
                <w:color w:val="auto"/>
                <w:spacing w:val="12"/>
                <w:sz w:val="22"/>
                <w:szCs w:val="22"/>
                <w:lang w:eastAsia="zh-CN"/>
              </w:rPr>
              <w:t>；</w:t>
            </w:r>
          </w:p>
          <w:p w14:paraId="0BF2CE4D">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firstLine="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10"/>
                <w:sz w:val="22"/>
                <w:szCs w:val="22"/>
              </w:rPr>
              <w:t>或</w:t>
            </w:r>
            <w:r>
              <w:rPr>
                <w:rFonts w:hint="default" w:ascii="Arial" w:hAnsi="Arial" w:cs="Arial"/>
                <w:color w:val="auto"/>
                <w:spacing w:val="-48"/>
                <w:sz w:val="22"/>
                <w:szCs w:val="22"/>
              </w:rPr>
              <w:t xml:space="preserve"> </w:t>
            </w:r>
            <w:r>
              <w:rPr>
                <w:rFonts w:hint="default" w:ascii="Arial" w:hAnsi="Arial" w:cs="Arial"/>
                <w:color w:val="auto"/>
                <w:spacing w:val="-10"/>
                <w:sz w:val="22"/>
                <w:szCs w:val="22"/>
              </w:rPr>
              <w:t>2</w:t>
            </w:r>
            <w:r>
              <w:rPr>
                <w:rFonts w:hint="default" w:ascii="Arial" w:hAnsi="Arial" w:cs="Arial"/>
                <w:color w:val="auto"/>
                <w:spacing w:val="-49"/>
                <w:sz w:val="22"/>
                <w:szCs w:val="22"/>
              </w:rPr>
              <w:t xml:space="preserve"> </w:t>
            </w:r>
            <w:r>
              <w:rPr>
                <w:rFonts w:hint="default" w:ascii="Arial" w:hAnsi="Arial" w:cs="Arial"/>
                <w:color w:val="auto"/>
                <w:spacing w:val="-10"/>
                <w:sz w:val="22"/>
                <w:szCs w:val="22"/>
              </w:rPr>
              <w:t>0</w:t>
            </w:r>
            <w:r>
              <w:rPr>
                <w:rFonts w:hint="default" w:ascii="Arial" w:hAnsi="Arial" w:cs="Arial"/>
                <w:color w:val="auto"/>
                <w:spacing w:val="-45"/>
                <w:sz w:val="22"/>
                <w:szCs w:val="22"/>
              </w:rPr>
              <w:t xml:space="preserve"> </w:t>
            </w:r>
            <w:r>
              <w:rPr>
                <w:rFonts w:hint="default" w:ascii="Arial" w:hAnsi="Arial" w:cs="Arial"/>
                <w:color w:val="auto"/>
                <w:spacing w:val="-10"/>
                <w:sz w:val="22"/>
                <w:szCs w:val="22"/>
              </w:rPr>
              <w:t>&gt;</w:t>
            </w:r>
            <w:r>
              <w:rPr>
                <w:rFonts w:hint="default" w:ascii="Arial" w:hAnsi="Arial" w:cs="Arial"/>
                <w:color w:val="auto"/>
                <w:spacing w:val="-52"/>
                <w:sz w:val="22"/>
                <w:szCs w:val="22"/>
              </w:rPr>
              <w:t xml:space="preserve"> </w:t>
            </w:r>
            <w:r>
              <w:rPr>
                <w:rFonts w:hint="default" w:ascii="Arial" w:hAnsi="Arial" w:cs="Arial"/>
                <w:color w:val="auto"/>
                <w:spacing w:val="-10"/>
                <w:sz w:val="22"/>
                <w:szCs w:val="22"/>
              </w:rPr>
              <w:t>R</w:t>
            </w:r>
            <w:r>
              <w:rPr>
                <w:rFonts w:hint="default" w:ascii="Arial" w:hAnsi="Arial" w:cs="Arial"/>
                <w:color w:val="auto"/>
                <w:spacing w:val="-45"/>
                <w:sz w:val="22"/>
                <w:szCs w:val="22"/>
              </w:rPr>
              <w:t xml:space="preserve"> </w:t>
            </w:r>
            <w:r>
              <w:rPr>
                <w:rFonts w:hint="default" w:ascii="Arial" w:hAnsi="Arial" w:cs="Arial"/>
                <w:color w:val="auto"/>
                <w:spacing w:val="-10"/>
                <w:sz w:val="22"/>
                <w:szCs w:val="22"/>
              </w:rPr>
              <w:t>&gt;</w:t>
            </w:r>
            <w:r>
              <w:rPr>
                <w:rFonts w:hint="default" w:ascii="Arial" w:hAnsi="Arial" w:cs="Arial"/>
                <w:color w:val="auto"/>
                <w:spacing w:val="-46"/>
                <w:sz w:val="22"/>
                <w:szCs w:val="22"/>
              </w:rPr>
              <w:t xml:space="preserve"> </w:t>
            </w:r>
            <w:r>
              <w:rPr>
                <w:rFonts w:hint="default" w:ascii="Arial" w:hAnsi="Arial" w:cs="Arial"/>
                <w:color w:val="auto"/>
                <w:spacing w:val="-10"/>
                <w:sz w:val="22"/>
                <w:szCs w:val="22"/>
              </w:rPr>
              <w:t>5</w:t>
            </w:r>
          </w:p>
        </w:tc>
        <w:tc>
          <w:tcPr>
            <w:tcW w:w="1850" w:type="dxa"/>
            <w:shd w:val="clear" w:color="auto" w:fill="auto"/>
            <w:vAlign w:val="center"/>
          </w:tcPr>
          <w:p w14:paraId="5F3E7528">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1"/>
                <w:sz w:val="22"/>
                <w:szCs w:val="22"/>
              </w:rPr>
              <w:t>0.5&gt;A</w:t>
            </w:r>
            <w:r>
              <w:rPr>
                <w:rFonts w:hint="eastAsia" w:ascii="Arial" w:hAnsi="Arial" w:eastAsia="宋体" w:cs="Arial"/>
                <w:color w:val="auto"/>
                <w:spacing w:val="-1"/>
                <w:sz w:val="22"/>
                <w:szCs w:val="22"/>
                <w:vertAlign w:val="subscript"/>
                <w:lang w:val="en-US" w:eastAsia="zh-CN"/>
              </w:rPr>
              <w:t>1</w:t>
            </w:r>
            <w:r>
              <w:rPr>
                <w:rFonts w:hint="default" w:ascii="Arial" w:hAnsi="Arial" w:cs="Arial"/>
                <w:color w:val="auto"/>
                <w:spacing w:val="-1"/>
                <w:sz w:val="22"/>
                <w:szCs w:val="22"/>
              </w:rPr>
              <w:t>&gt;0.15</w:t>
            </w:r>
            <w:r>
              <w:rPr>
                <w:rFonts w:hint="eastAsia" w:ascii="Arial" w:hAnsi="Arial" w:cs="Arial"/>
                <w:color w:val="auto"/>
                <w:spacing w:val="-1"/>
                <w:sz w:val="22"/>
                <w:szCs w:val="22"/>
                <w:lang w:eastAsia="zh-CN"/>
              </w:rPr>
              <w:t>；</w:t>
            </w:r>
            <w:r>
              <w:rPr>
                <w:rFonts w:hint="default" w:ascii="Arial" w:hAnsi="Arial" w:cs="Arial"/>
                <w:color w:val="auto"/>
                <w:spacing w:val="14"/>
                <w:sz w:val="22"/>
                <w:szCs w:val="22"/>
              </w:rPr>
              <w:t>或3&gt;A</w:t>
            </w:r>
            <w:r>
              <w:rPr>
                <w:rFonts w:hint="eastAsia" w:ascii="Arial" w:hAnsi="Arial" w:eastAsia="宋体" w:cs="Arial"/>
                <w:color w:val="auto"/>
                <w:spacing w:val="14"/>
                <w:sz w:val="22"/>
                <w:szCs w:val="22"/>
                <w:vertAlign w:val="subscript"/>
                <w:lang w:val="en-US" w:eastAsia="zh-CN"/>
              </w:rPr>
              <w:t>2</w:t>
            </w:r>
            <w:r>
              <w:rPr>
                <w:rFonts w:hint="default" w:ascii="Arial" w:hAnsi="Arial" w:cs="Arial"/>
                <w:color w:val="auto"/>
                <w:spacing w:val="14"/>
                <w:sz w:val="22"/>
                <w:szCs w:val="22"/>
              </w:rPr>
              <w:t>&gt;0.5</w:t>
            </w:r>
          </w:p>
        </w:tc>
      </w:tr>
      <w:tr w14:paraId="3149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Align w:val="center"/>
          </w:tcPr>
          <w:p w14:paraId="0E6D323E">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eastAsia" w:ascii="Arial" w:hAnsi="Arial" w:cs="Arial"/>
                <w:color w:val="auto"/>
                <w:sz w:val="22"/>
                <w:szCs w:val="22"/>
                <w:vertAlign w:val="baseline"/>
                <w:lang w:val="en-US" w:eastAsia="zh-CN"/>
              </w:rPr>
              <w:t>三级</w:t>
            </w:r>
          </w:p>
        </w:tc>
        <w:tc>
          <w:tcPr>
            <w:tcW w:w="1149" w:type="dxa"/>
            <w:vAlign w:val="center"/>
          </w:tcPr>
          <w:p w14:paraId="26E5361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vertAlign w:val="baseline"/>
                <w:lang w:val="en-US" w:eastAsia="zh-CN"/>
              </w:rPr>
            </w:pPr>
            <w:r>
              <w:rPr>
                <w:rFonts w:hint="default" w:ascii="Arial" w:hAnsi="Arial" w:cs="Arial"/>
                <w:color w:val="auto"/>
                <w:sz w:val="22"/>
                <w:szCs w:val="22"/>
                <w:vertAlign w:val="baseline"/>
                <w:lang w:val="en-US" w:eastAsia="zh-CN"/>
              </w:rPr>
              <w:t>α</w:t>
            </w:r>
            <w:r>
              <w:rPr>
                <w:rFonts w:hint="eastAsia" w:ascii="宋体" w:hAnsi="宋体" w:eastAsia="宋体" w:cs="宋体"/>
                <w:color w:val="auto"/>
                <w:sz w:val="22"/>
                <w:szCs w:val="22"/>
                <w:vertAlign w:val="baseline"/>
                <w:lang w:val="en-US" w:eastAsia="zh-CN"/>
              </w:rPr>
              <w:t>≥</w:t>
            </w:r>
            <w:r>
              <w:rPr>
                <w:rFonts w:hint="default" w:ascii="Arial" w:hAnsi="Arial" w:cs="Arial"/>
                <w:color w:val="auto"/>
                <w:sz w:val="22"/>
                <w:szCs w:val="22"/>
                <w:vertAlign w:val="baseline"/>
                <w:lang w:val="en-US" w:eastAsia="zh-CN"/>
              </w:rPr>
              <w:t>20；或混合型</w:t>
            </w:r>
          </w:p>
        </w:tc>
        <w:tc>
          <w:tcPr>
            <w:tcW w:w="1221" w:type="dxa"/>
            <w:shd w:val="clear" w:color="auto" w:fill="auto"/>
            <w:vAlign w:val="center"/>
          </w:tcPr>
          <w:p w14:paraId="24E93C28">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8"/>
                <w:sz w:val="22"/>
                <w:szCs w:val="22"/>
              </w:rPr>
              <w:t>β</w:t>
            </w:r>
            <w:r>
              <w:rPr>
                <w:rFonts w:hint="eastAsia" w:ascii="宋体" w:hAnsi="宋体" w:eastAsia="宋体" w:cs="宋体"/>
                <w:color w:val="auto"/>
                <w:spacing w:val="-8"/>
                <w:sz w:val="22"/>
                <w:szCs w:val="22"/>
              </w:rPr>
              <w:t>≤</w:t>
            </w:r>
            <w:r>
              <w:rPr>
                <w:rFonts w:hint="default" w:ascii="Arial" w:hAnsi="Arial" w:cs="Arial"/>
                <w:color w:val="auto"/>
                <w:spacing w:val="-8"/>
                <w:sz w:val="22"/>
                <w:szCs w:val="22"/>
              </w:rPr>
              <w:t>2</w:t>
            </w:r>
            <w:r>
              <w:rPr>
                <w:rFonts w:hint="eastAsia" w:ascii="Arial" w:hAnsi="Arial" w:cs="Arial"/>
                <w:color w:val="auto"/>
                <w:spacing w:val="-8"/>
                <w:sz w:val="22"/>
                <w:szCs w:val="22"/>
                <w:lang w:eastAsia="zh-CN"/>
              </w:rPr>
              <w:t>；</w:t>
            </w:r>
            <w:r>
              <w:rPr>
                <w:rFonts w:hint="default" w:ascii="Arial" w:hAnsi="Arial" w:cs="Arial"/>
                <w:color w:val="auto"/>
                <w:spacing w:val="-8"/>
                <w:sz w:val="22"/>
                <w:szCs w:val="22"/>
              </w:rPr>
              <w:t>或无调</w:t>
            </w:r>
            <w:r>
              <w:rPr>
                <w:rFonts w:hint="default" w:ascii="Arial" w:hAnsi="Arial" w:cs="Arial"/>
                <w:color w:val="auto"/>
                <w:sz w:val="22"/>
                <w:szCs w:val="22"/>
              </w:rPr>
              <w:t xml:space="preserve"> 节</w:t>
            </w:r>
          </w:p>
        </w:tc>
        <w:tc>
          <w:tcPr>
            <w:tcW w:w="908" w:type="dxa"/>
            <w:shd w:val="clear" w:color="auto" w:fill="auto"/>
            <w:vAlign w:val="center"/>
          </w:tcPr>
          <w:p w14:paraId="519B9D0F">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firstLine="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z w:val="22"/>
                <w:szCs w:val="22"/>
                <w:vertAlign w:val="baseline"/>
                <w:lang w:val="en-US" w:eastAsia="zh-CN"/>
              </w:rPr>
              <w:t>γ</w:t>
            </w:r>
            <w:r>
              <w:rPr>
                <w:rFonts w:hint="eastAsia" w:ascii="宋体" w:hAnsi="宋体" w:eastAsia="宋体" w:cs="宋体"/>
                <w:color w:val="auto"/>
                <w:spacing w:val="-2"/>
                <w:sz w:val="22"/>
                <w:szCs w:val="22"/>
              </w:rPr>
              <w:t>≤</w:t>
            </w:r>
            <w:r>
              <w:rPr>
                <w:rFonts w:hint="default" w:ascii="Arial" w:hAnsi="Arial" w:cs="Arial"/>
                <w:color w:val="auto"/>
                <w:spacing w:val="-2"/>
                <w:sz w:val="22"/>
                <w:szCs w:val="22"/>
              </w:rPr>
              <w:t>10</w:t>
            </w:r>
          </w:p>
        </w:tc>
        <w:tc>
          <w:tcPr>
            <w:tcW w:w="1742" w:type="dxa"/>
            <w:shd w:val="clear" w:color="auto" w:fill="auto"/>
            <w:vAlign w:val="center"/>
          </w:tcPr>
          <w:p w14:paraId="1C3595BF">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11"/>
                <w:sz w:val="22"/>
                <w:szCs w:val="22"/>
              </w:rPr>
              <w:t>A</w:t>
            </w:r>
            <w:r>
              <w:rPr>
                <w:rFonts w:hint="eastAsia" w:ascii="Arial" w:hAnsi="Arial" w:eastAsia="宋体" w:cs="Arial"/>
                <w:color w:val="auto"/>
                <w:spacing w:val="11"/>
                <w:sz w:val="22"/>
                <w:szCs w:val="22"/>
                <w:vertAlign w:val="subscript"/>
                <w:lang w:val="en-US" w:eastAsia="zh-CN"/>
              </w:rPr>
              <w:t>1</w:t>
            </w:r>
            <w:r>
              <w:rPr>
                <w:rFonts w:hint="default" w:ascii="Arial" w:hAnsi="Arial" w:eastAsia="Calibri" w:cs="Arial"/>
                <w:color w:val="auto"/>
                <w:spacing w:val="-18"/>
                <w:sz w:val="22"/>
                <w:szCs w:val="22"/>
              </w:rPr>
              <w:t xml:space="preserve"> </w:t>
            </w:r>
            <w:r>
              <w:rPr>
                <w:rFonts w:hint="eastAsia" w:ascii="宋体" w:hAnsi="宋体" w:eastAsia="宋体" w:cs="宋体"/>
                <w:color w:val="auto"/>
                <w:spacing w:val="11"/>
                <w:sz w:val="22"/>
                <w:szCs w:val="22"/>
              </w:rPr>
              <w:t>≤</w:t>
            </w:r>
            <w:r>
              <w:rPr>
                <w:rFonts w:hint="default" w:ascii="Arial" w:hAnsi="Arial" w:cs="Arial"/>
                <w:color w:val="auto"/>
                <w:spacing w:val="11"/>
                <w:sz w:val="22"/>
                <w:szCs w:val="22"/>
              </w:rPr>
              <w:t>0.05</w:t>
            </w:r>
            <w:r>
              <w:rPr>
                <w:rFonts w:hint="eastAsia" w:ascii="Arial" w:hAnsi="Arial" w:cs="Arial"/>
                <w:color w:val="auto"/>
                <w:spacing w:val="11"/>
                <w:sz w:val="22"/>
                <w:szCs w:val="22"/>
                <w:lang w:eastAsia="zh-CN"/>
              </w:rPr>
              <w:t>；</w:t>
            </w:r>
            <w:r>
              <w:rPr>
                <w:rFonts w:hint="default" w:ascii="Arial" w:hAnsi="Arial" w:cs="Arial"/>
                <w:color w:val="auto"/>
                <w:spacing w:val="11"/>
                <w:sz w:val="22"/>
                <w:szCs w:val="22"/>
              </w:rPr>
              <w:t>或</w:t>
            </w:r>
            <w:r>
              <w:rPr>
                <w:rFonts w:hint="default" w:ascii="Arial" w:hAnsi="Arial" w:cs="Arial"/>
                <w:color w:val="auto"/>
                <w:sz w:val="22"/>
                <w:szCs w:val="22"/>
              </w:rPr>
              <w:t xml:space="preserve">  </w:t>
            </w:r>
            <w:r>
              <w:rPr>
                <w:rFonts w:hint="default" w:ascii="Arial" w:hAnsi="Arial" w:cs="Arial"/>
                <w:color w:val="auto"/>
                <w:spacing w:val="9"/>
                <w:sz w:val="22"/>
                <w:szCs w:val="22"/>
              </w:rPr>
              <w:t>A</w:t>
            </w:r>
            <w:r>
              <w:rPr>
                <w:rFonts w:hint="eastAsia" w:ascii="Arial" w:hAnsi="Arial" w:eastAsia="宋体" w:cs="Arial"/>
                <w:color w:val="auto"/>
                <w:spacing w:val="9"/>
                <w:sz w:val="22"/>
                <w:szCs w:val="22"/>
                <w:vertAlign w:val="subscript"/>
                <w:lang w:val="en-US" w:eastAsia="zh-CN"/>
              </w:rPr>
              <w:t>2</w:t>
            </w:r>
            <w:r>
              <w:rPr>
                <w:rFonts w:hint="default" w:ascii="Arial" w:hAnsi="Arial" w:eastAsia="Calibri" w:cs="Arial"/>
                <w:color w:val="auto"/>
                <w:spacing w:val="-23"/>
                <w:sz w:val="22"/>
                <w:szCs w:val="22"/>
              </w:rPr>
              <w:t xml:space="preserve"> </w:t>
            </w:r>
            <w:r>
              <w:rPr>
                <w:rFonts w:hint="eastAsia" w:ascii="宋体" w:hAnsi="宋体" w:eastAsia="宋体" w:cs="宋体"/>
                <w:color w:val="auto"/>
                <w:spacing w:val="9"/>
                <w:sz w:val="22"/>
                <w:szCs w:val="22"/>
              </w:rPr>
              <w:t>≤</w:t>
            </w:r>
            <w:r>
              <w:rPr>
                <w:rFonts w:hint="default" w:ascii="Arial" w:hAnsi="Arial" w:cs="Arial"/>
                <w:color w:val="auto"/>
                <w:spacing w:val="9"/>
                <w:sz w:val="22"/>
                <w:szCs w:val="22"/>
              </w:rPr>
              <w:t>0.2</w:t>
            </w:r>
            <w:r>
              <w:rPr>
                <w:rFonts w:hint="eastAsia" w:ascii="Arial" w:hAnsi="Arial" w:cs="Arial"/>
                <w:color w:val="auto"/>
                <w:spacing w:val="9"/>
                <w:sz w:val="22"/>
                <w:szCs w:val="22"/>
                <w:lang w:eastAsia="zh-CN"/>
              </w:rPr>
              <w:t>；</w:t>
            </w:r>
            <w:r>
              <w:rPr>
                <w:rFonts w:hint="default" w:ascii="Arial" w:hAnsi="Arial" w:cs="Arial"/>
                <w:color w:val="auto"/>
                <w:spacing w:val="9"/>
                <w:sz w:val="22"/>
                <w:szCs w:val="22"/>
              </w:rPr>
              <w:t>或R</w:t>
            </w:r>
            <w:r>
              <w:rPr>
                <w:rFonts w:hint="eastAsia" w:ascii="宋体" w:hAnsi="宋体" w:eastAsia="宋体" w:cs="宋体"/>
                <w:color w:val="auto"/>
                <w:spacing w:val="9"/>
                <w:sz w:val="22"/>
                <w:szCs w:val="22"/>
              </w:rPr>
              <w:t>≤</w:t>
            </w:r>
            <w:r>
              <w:rPr>
                <w:rFonts w:hint="default" w:ascii="Arial" w:hAnsi="Arial" w:cs="Arial"/>
                <w:color w:val="auto"/>
                <w:spacing w:val="9"/>
                <w:sz w:val="22"/>
                <w:szCs w:val="22"/>
              </w:rPr>
              <w:t>5</w:t>
            </w:r>
          </w:p>
        </w:tc>
        <w:tc>
          <w:tcPr>
            <w:tcW w:w="1846" w:type="dxa"/>
            <w:shd w:val="clear" w:color="auto" w:fill="auto"/>
            <w:vAlign w:val="center"/>
          </w:tcPr>
          <w:p w14:paraId="768B547B">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11"/>
                <w:sz w:val="22"/>
                <w:szCs w:val="22"/>
              </w:rPr>
              <w:t>A</w:t>
            </w:r>
            <w:r>
              <w:rPr>
                <w:rFonts w:hint="eastAsia" w:ascii="Arial" w:hAnsi="Arial" w:eastAsia="宋体" w:cs="Arial"/>
                <w:color w:val="auto"/>
                <w:spacing w:val="11"/>
                <w:sz w:val="22"/>
                <w:szCs w:val="22"/>
                <w:vertAlign w:val="subscript"/>
                <w:lang w:val="en-US" w:eastAsia="zh-CN"/>
              </w:rPr>
              <w:t>1</w:t>
            </w:r>
            <w:r>
              <w:rPr>
                <w:rFonts w:hint="default" w:ascii="Arial" w:hAnsi="Arial" w:eastAsia="Calibri" w:cs="Arial"/>
                <w:color w:val="auto"/>
                <w:spacing w:val="-18"/>
                <w:sz w:val="22"/>
                <w:szCs w:val="22"/>
              </w:rPr>
              <w:t xml:space="preserve"> </w:t>
            </w:r>
            <w:r>
              <w:rPr>
                <w:rFonts w:hint="eastAsia" w:ascii="宋体" w:hAnsi="宋体" w:eastAsia="宋体" w:cs="宋体"/>
                <w:color w:val="auto"/>
                <w:spacing w:val="11"/>
                <w:sz w:val="22"/>
                <w:szCs w:val="22"/>
              </w:rPr>
              <w:t>≤</w:t>
            </w:r>
            <w:r>
              <w:rPr>
                <w:rFonts w:hint="default" w:ascii="Arial" w:hAnsi="Arial" w:cs="Arial"/>
                <w:color w:val="auto"/>
                <w:spacing w:val="11"/>
                <w:sz w:val="22"/>
                <w:szCs w:val="22"/>
              </w:rPr>
              <w:t>0.05</w:t>
            </w:r>
            <w:r>
              <w:rPr>
                <w:rFonts w:hint="eastAsia" w:ascii="Arial" w:hAnsi="Arial" w:cs="Arial"/>
                <w:color w:val="auto"/>
                <w:spacing w:val="11"/>
                <w:sz w:val="22"/>
                <w:szCs w:val="22"/>
                <w:lang w:eastAsia="zh-CN"/>
              </w:rPr>
              <w:t>；</w:t>
            </w:r>
            <w:r>
              <w:rPr>
                <w:rFonts w:hint="default" w:ascii="Arial" w:hAnsi="Arial" w:cs="Arial"/>
                <w:color w:val="auto"/>
                <w:spacing w:val="11"/>
                <w:sz w:val="22"/>
                <w:szCs w:val="22"/>
              </w:rPr>
              <w:t>或</w:t>
            </w:r>
            <w:r>
              <w:rPr>
                <w:rFonts w:hint="default" w:ascii="Arial" w:hAnsi="Arial" w:cs="Arial"/>
                <w:color w:val="auto"/>
                <w:sz w:val="22"/>
                <w:szCs w:val="22"/>
              </w:rPr>
              <w:t xml:space="preserve">  </w:t>
            </w:r>
            <w:r>
              <w:rPr>
                <w:rFonts w:hint="default" w:ascii="Arial" w:hAnsi="Arial" w:cs="Arial"/>
                <w:color w:val="auto"/>
                <w:spacing w:val="9"/>
                <w:sz w:val="22"/>
                <w:szCs w:val="22"/>
              </w:rPr>
              <w:t>A</w:t>
            </w:r>
            <w:r>
              <w:rPr>
                <w:rFonts w:hint="eastAsia" w:ascii="Arial" w:hAnsi="Arial" w:eastAsia="宋体" w:cs="Arial"/>
                <w:color w:val="auto"/>
                <w:spacing w:val="9"/>
                <w:sz w:val="22"/>
                <w:szCs w:val="22"/>
                <w:vertAlign w:val="subscript"/>
                <w:lang w:val="en-US" w:eastAsia="zh-CN"/>
              </w:rPr>
              <w:t>2</w:t>
            </w:r>
            <w:r>
              <w:rPr>
                <w:rFonts w:hint="eastAsia" w:ascii="宋体" w:hAnsi="宋体" w:eastAsia="宋体" w:cs="宋体"/>
                <w:color w:val="auto"/>
                <w:spacing w:val="-23"/>
                <w:sz w:val="22"/>
                <w:szCs w:val="22"/>
              </w:rPr>
              <w:t xml:space="preserve"> </w:t>
            </w:r>
            <w:r>
              <w:rPr>
                <w:rFonts w:hint="eastAsia" w:ascii="宋体" w:hAnsi="宋体" w:eastAsia="宋体" w:cs="宋体"/>
                <w:color w:val="auto"/>
                <w:spacing w:val="9"/>
                <w:sz w:val="22"/>
                <w:szCs w:val="22"/>
              </w:rPr>
              <w:t>≤</w:t>
            </w:r>
            <w:r>
              <w:rPr>
                <w:rFonts w:hint="default" w:ascii="Arial" w:hAnsi="Arial" w:cs="Arial"/>
                <w:color w:val="auto"/>
                <w:spacing w:val="9"/>
                <w:sz w:val="22"/>
                <w:szCs w:val="22"/>
              </w:rPr>
              <w:t>0.2</w:t>
            </w:r>
            <w:r>
              <w:rPr>
                <w:rFonts w:hint="eastAsia" w:ascii="Arial" w:hAnsi="Arial" w:cs="Arial"/>
                <w:color w:val="auto"/>
                <w:spacing w:val="9"/>
                <w:sz w:val="22"/>
                <w:szCs w:val="22"/>
                <w:lang w:eastAsia="zh-CN"/>
              </w:rPr>
              <w:t>；</w:t>
            </w:r>
            <w:r>
              <w:rPr>
                <w:rFonts w:hint="default" w:ascii="Arial" w:hAnsi="Arial" w:cs="Arial"/>
                <w:color w:val="auto"/>
                <w:spacing w:val="9"/>
                <w:sz w:val="22"/>
                <w:szCs w:val="22"/>
              </w:rPr>
              <w:t>或R</w:t>
            </w:r>
            <w:r>
              <w:rPr>
                <w:rFonts w:hint="eastAsia" w:ascii="宋体" w:hAnsi="宋体" w:eastAsia="宋体" w:cs="宋体"/>
                <w:color w:val="auto"/>
                <w:spacing w:val="9"/>
                <w:sz w:val="22"/>
                <w:szCs w:val="22"/>
              </w:rPr>
              <w:t>≤</w:t>
            </w:r>
            <w:r>
              <w:rPr>
                <w:rFonts w:hint="default" w:ascii="Arial" w:hAnsi="Arial" w:cs="Arial"/>
                <w:color w:val="auto"/>
                <w:spacing w:val="9"/>
                <w:sz w:val="22"/>
                <w:szCs w:val="22"/>
              </w:rPr>
              <w:t>5</w:t>
            </w:r>
          </w:p>
        </w:tc>
        <w:tc>
          <w:tcPr>
            <w:tcW w:w="1850" w:type="dxa"/>
            <w:shd w:val="clear" w:color="auto" w:fill="auto"/>
            <w:vAlign w:val="center"/>
          </w:tcPr>
          <w:p w14:paraId="2CE2E7BA">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Arial" w:hAnsi="Arial" w:eastAsia="宋体" w:cs="Arial"/>
                <w:color w:val="auto"/>
                <w:kern w:val="2"/>
                <w:sz w:val="22"/>
                <w:szCs w:val="22"/>
                <w:lang w:val="en-US" w:eastAsia="zh-CN" w:bidi="ar-SA"/>
              </w:rPr>
            </w:pPr>
            <w:r>
              <w:rPr>
                <w:rFonts w:hint="default" w:ascii="Arial" w:hAnsi="Arial" w:cs="Arial"/>
                <w:color w:val="auto"/>
                <w:spacing w:val="-1"/>
                <w:sz w:val="22"/>
                <w:szCs w:val="22"/>
              </w:rPr>
              <w:t>A</w:t>
            </w:r>
            <w:r>
              <w:rPr>
                <w:rFonts w:hint="eastAsia" w:ascii="Arial" w:hAnsi="Arial" w:cs="Arial"/>
                <w:color w:val="auto"/>
                <w:spacing w:val="-1"/>
                <w:sz w:val="22"/>
                <w:szCs w:val="22"/>
                <w:vertAlign w:val="subscript"/>
                <w:lang w:val="en-US" w:eastAsia="zh-CN"/>
              </w:rPr>
              <w:t>1</w:t>
            </w:r>
            <w:r>
              <w:rPr>
                <w:rFonts w:hint="eastAsia" w:ascii="宋体" w:hAnsi="宋体" w:eastAsia="宋体" w:cs="宋体"/>
                <w:color w:val="auto"/>
                <w:spacing w:val="-1"/>
                <w:sz w:val="22"/>
                <w:szCs w:val="22"/>
              </w:rPr>
              <w:t>≥</w:t>
            </w:r>
            <w:r>
              <w:rPr>
                <w:rFonts w:hint="default" w:ascii="Arial" w:hAnsi="Arial" w:cs="Arial"/>
                <w:color w:val="auto"/>
                <w:spacing w:val="-1"/>
                <w:sz w:val="22"/>
                <w:szCs w:val="22"/>
              </w:rPr>
              <w:t>0.15</w:t>
            </w:r>
            <w:r>
              <w:rPr>
                <w:rFonts w:hint="eastAsia" w:ascii="Arial" w:hAnsi="Arial" w:cs="Arial"/>
                <w:color w:val="auto"/>
                <w:spacing w:val="-1"/>
                <w:sz w:val="22"/>
                <w:szCs w:val="22"/>
                <w:lang w:eastAsia="zh-CN"/>
              </w:rPr>
              <w:t>；</w:t>
            </w:r>
            <w:r>
              <w:rPr>
                <w:rFonts w:hint="default" w:ascii="Arial" w:hAnsi="Arial" w:cs="Arial"/>
                <w:color w:val="auto"/>
                <w:spacing w:val="-1"/>
                <w:sz w:val="22"/>
                <w:szCs w:val="22"/>
              </w:rPr>
              <w:t>或A</w:t>
            </w:r>
            <w:r>
              <w:rPr>
                <w:rFonts w:hint="eastAsia" w:ascii="Arial" w:hAnsi="Arial" w:cs="Arial"/>
                <w:color w:val="auto"/>
                <w:spacing w:val="-1"/>
                <w:sz w:val="22"/>
                <w:szCs w:val="22"/>
                <w:vertAlign w:val="subscript"/>
                <w:lang w:val="en-US" w:eastAsia="zh-CN"/>
              </w:rPr>
              <w:t>2</w:t>
            </w:r>
            <w:r>
              <w:rPr>
                <w:rFonts w:hint="eastAsia" w:ascii="宋体" w:hAnsi="宋体" w:eastAsia="宋体" w:cs="宋体"/>
                <w:color w:val="auto"/>
                <w:spacing w:val="-1"/>
                <w:sz w:val="22"/>
                <w:szCs w:val="22"/>
              </w:rPr>
              <w:t>≤</w:t>
            </w:r>
            <w:r>
              <w:rPr>
                <w:rFonts w:hint="default" w:ascii="Arial" w:hAnsi="Arial" w:cs="Arial"/>
                <w:color w:val="auto"/>
                <w:spacing w:val="-1"/>
                <w:sz w:val="22"/>
                <w:szCs w:val="22"/>
              </w:rPr>
              <w:t>0.5</w:t>
            </w:r>
          </w:p>
        </w:tc>
      </w:tr>
      <w:tr w14:paraId="075F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8" w:type="dxa"/>
            <w:gridSpan w:val="7"/>
            <w:vAlign w:val="center"/>
          </w:tcPr>
          <w:p w14:paraId="0E4D56D2">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rPr>
                <w:rFonts w:hint="default" w:ascii="Arial" w:hAnsi="Arial" w:cs="Arial"/>
                <w:color w:val="auto"/>
                <w:spacing w:val="-1"/>
                <w:sz w:val="22"/>
                <w:szCs w:val="22"/>
              </w:rPr>
            </w:pPr>
            <w:r>
              <w:rPr>
                <w:rFonts w:hint="default" w:ascii="Arial" w:hAnsi="Arial" w:cs="Arial"/>
                <w:color w:val="auto"/>
                <w:spacing w:val="-1"/>
                <w:sz w:val="22"/>
                <w:szCs w:val="22"/>
              </w:rPr>
              <w:t>注1</w:t>
            </w:r>
            <w:r>
              <w:rPr>
                <w:rFonts w:hint="eastAsia" w:ascii="Arial" w:hAnsi="Arial" w:cs="Arial"/>
                <w:color w:val="auto"/>
                <w:spacing w:val="-1"/>
                <w:sz w:val="22"/>
                <w:szCs w:val="22"/>
                <w:lang w:eastAsia="zh-CN"/>
              </w:rPr>
              <w:t>：</w:t>
            </w:r>
            <w:r>
              <w:rPr>
                <w:rFonts w:hint="default" w:ascii="Arial" w:hAnsi="Arial" w:cs="Arial"/>
                <w:color w:val="auto"/>
                <w:spacing w:val="-1"/>
                <w:sz w:val="22"/>
                <w:szCs w:val="22"/>
              </w:rPr>
              <w:t>影响范围涉及饮用水水源保护区、重点保护与珍稀水生生物的栖息地、重要水生生物的自然产卵场、自然保护区等保护目标，评价等级应不低于二级。</w:t>
            </w:r>
          </w:p>
          <w:p w14:paraId="04B6365C">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rPr>
                <w:rFonts w:hint="default" w:ascii="Arial" w:hAnsi="Arial" w:cs="Arial"/>
                <w:color w:val="auto"/>
                <w:spacing w:val="-1"/>
                <w:sz w:val="22"/>
                <w:szCs w:val="22"/>
              </w:rPr>
            </w:pPr>
            <w:r>
              <w:rPr>
                <w:rFonts w:hint="default" w:ascii="Arial" w:hAnsi="Arial" w:cs="Arial"/>
                <w:color w:val="auto"/>
                <w:spacing w:val="-1"/>
                <w:sz w:val="22"/>
                <w:szCs w:val="22"/>
              </w:rPr>
              <w:t>注2</w:t>
            </w:r>
            <w:r>
              <w:rPr>
                <w:rFonts w:hint="eastAsia" w:ascii="Arial" w:hAnsi="Arial" w:cs="Arial"/>
                <w:color w:val="auto"/>
                <w:spacing w:val="-1"/>
                <w:sz w:val="22"/>
                <w:szCs w:val="22"/>
                <w:lang w:eastAsia="zh-CN"/>
              </w:rPr>
              <w:t>：</w:t>
            </w:r>
            <w:r>
              <w:rPr>
                <w:rFonts w:hint="default" w:ascii="Arial" w:hAnsi="Arial" w:cs="Arial"/>
                <w:color w:val="auto"/>
                <w:spacing w:val="-1"/>
                <w:sz w:val="22"/>
                <w:szCs w:val="22"/>
              </w:rPr>
              <w:t>跨流域调水、引水式电站、可能受到大型河流感潮河段咸潮影响的建设项目，评价等级不低于二级。</w:t>
            </w:r>
          </w:p>
          <w:p w14:paraId="0CB95D0C">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rPr>
                <w:rFonts w:hint="default" w:ascii="Arial" w:hAnsi="Arial" w:cs="Arial"/>
                <w:color w:val="auto"/>
                <w:spacing w:val="-1"/>
                <w:sz w:val="22"/>
                <w:szCs w:val="22"/>
              </w:rPr>
            </w:pPr>
            <w:r>
              <w:rPr>
                <w:rFonts w:hint="default" w:ascii="Arial" w:hAnsi="Arial" w:cs="Arial"/>
                <w:color w:val="auto"/>
                <w:spacing w:val="-1"/>
                <w:sz w:val="22"/>
                <w:szCs w:val="22"/>
              </w:rPr>
              <w:t>注3</w:t>
            </w:r>
            <w:r>
              <w:rPr>
                <w:rFonts w:hint="eastAsia" w:ascii="Arial" w:hAnsi="Arial" w:cs="Arial"/>
                <w:color w:val="auto"/>
                <w:spacing w:val="-1"/>
                <w:sz w:val="22"/>
                <w:szCs w:val="22"/>
                <w:lang w:eastAsia="zh-CN"/>
              </w:rPr>
              <w:t>：</w:t>
            </w:r>
            <w:r>
              <w:rPr>
                <w:rFonts w:hint="default" w:ascii="Arial" w:hAnsi="Arial" w:cs="Arial"/>
                <w:color w:val="auto"/>
                <w:spacing w:val="-1"/>
                <w:sz w:val="22"/>
                <w:szCs w:val="22"/>
              </w:rPr>
              <w:t>造成入海河</w:t>
            </w:r>
            <w:r>
              <w:rPr>
                <w:rFonts w:hint="eastAsia" w:ascii="宋体" w:hAnsi="宋体" w:eastAsia="宋体" w:cs="宋体"/>
                <w:color w:val="auto"/>
                <w:spacing w:val="-1"/>
                <w:sz w:val="22"/>
                <w:szCs w:val="22"/>
              </w:rPr>
              <w:t>口(湾口)宽度束窄(束窄尺度达到原宽度的</w:t>
            </w:r>
            <w:r>
              <w:rPr>
                <w:rFonts w:hint="default" w:ascii="Arial" w:hAnsi="Arial" w:eastAsia="宋体" w:cs="Arial"/>
                <w:color w:val="auto"/>
                <w:spacing w:val="-1"/>
                <w:sz w:val="22"/>
                <w:szCs w:val="22"/>
              </w:rPr>
              <w:t>5%</w:t>
            </w:r>
            <w:r>
              <w:rPr>
                <w:rFonts w:hint="eastAsia" w:ascii="宋体" w:hAnsi="宋体" w:eastAsia="宋体" w:cs="宋体"/>
                <w:color w:val="auto"/>
                <w:spacing w:val="-1"/>
                <w:sz w:val="22"/>
                <w:szCs w:val="22"/>
              </w:rPr>
              <w:t>以上)，评</w:t>
            </w:r>
            <w:r>
              <w:rPr>
                <w:rFonts w:hint="default" w:ascii="Arial" w:hAnsi="Arial" w:cs="Arial"/>
                <w:color w:val="auto"/>
                <w:spacing w:val="-1"/>
                <w:sz w:val="22"/>
                <w:szCs w:val="22"/>
              </w:rPr>
              <w:t>价等级应不低于二级。</w:t>
            </w:r>
          </w:p>
          <w:p w14:paraId="11DBE51F">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rPr>
                <w:rFonts w:hint="default" w:ascii="Arial" w:hAnsi="Arial" w:cs="Arial"/>
                <w:color w:val="auto"/>
                <w:spacing w:val="-1"/>
                <w:sz w:val="22"/>
                <w:szCs w:val="22"/>
              </w:rPr>
            </w:pPr>
            <w:r>
              <w:rPr>
                <w:rFonts w:hint="default" w:ascii="Arial" w:hAnsi="Arial" w:cs="Arial"/>
                <w:color w:val="auto"/>
                <w:spacing w:val="-1"/>
                <w:sz w:val="22"/>
                <w:szCs w:val="22"/>
              </w:rPr>
              <w:t>注4</w:t>
            </w:r>
            <w:r>
              <w:rPr>
                <w:rFonts w:hint="eastAsia" w:ascii="Arial" w:hAnsi="Arial" w:cs="Arial"/>
                <w:color w:val="auto"/>
                <w:spacing w:val="-1"/>
                <w:sz w:val="22"/>
                <w:szCs w:val="22"/>
                <w:lang w:eastAsia="zh-CN"/>
              </w:rPr>
              <w:t>：</w:t>
            </w:r>
            <w:r>
              <w:rPr>
                <w:rFonts w:hint="default" w:ascii="Arial" w:hAnsi="Arial" w:cs="Arial"/>
                <w:color w:val="auto"/>
                <w:spacing w:val="-1"/>
                <w:sz w:val="22"/>
                <w:szCs w:val="22"/>
              </w:rPr>
              <w:t>对不透水的单方向建筑尺度较长的水工建</w:t>
            </w:r>
            <w:r>
              <w:rPr>
                <w:rFonts w:hint="eastAsia" w:ascii="宋体" w:hAnsi="宋体" w:eastAsia="宋体" w:cs="宋体"/>
                <w:color w:val="auto"/>
                <w:spacing w:val="-1"/>
                <w:sz w:val="22"/>
                <w:szCs w:val="22"/>
              </w:rPr>
              <w:t>筑物(如防波堤、导流堤等)</w:t>
            </w:r>
            <w:r>
              <w:rPr>
                <w:rFonts w:hint="default" w:ascii="Arial" w:hAnsi="Arial" w:cs="Arial"/>
                <w:color w:val="auto"/>
                <w:spacing w:val="-1"/>
                <w:sz w:val="22"/>
                <w:szCs w:val="22"/>
              </w:rPr>
              <w:t>，其与潮流或水流主流向切线垂直方向投影长度大于2km时，评价等级应不低于二级。</w:t>
            </w:r>
          </w:p>
          <w:p w14:paraId="144658AA">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rPr>
                <w:rFonts w:hint="default" w:ascii="Arial" w:hAnsi="Arial" w:cs="Arial"/>
                <w:color w:val="auto"/>
                <w:spacing w:val="-1"/>
                <w:sz w:val="22"/>
                <w:szCs w:val="22"/>
              </w:rPr>
            </w:pPr>
            <w:r>
              <w:rPr>
                <w:rFonts w:hint="default" w:ascii="Arial" w:hAnsi="Arial" w:cs="Arial"/>
                <w:color w:val="auto"/>
                <w:spacing w:val="-1"/>
                <w:sz w:val="22"/>
                <w:szCs w:val="22"/>
              </w:rPr>
              <w:t>注5</w:t>
            </w:r>
            <w:r>
              <w:rPr>
                <w:rFonts w:hint="eastAsia" w:ascii="Arial" w:hAnsi="Arial" w:cs="Arial"/>
                <w:color w:val="auto"/>
                <w:spacing w:val="-1"/>
                <w:sz w:val="22"/>
                <w:szCs w:val="22"/>
                <w:lang w:eastAsia="zh-CN"/>
              </w:rPr>
              <w:t>：</w:t>
            </w:r>
            <w:r>
              <w:rPr>
                <w:rFonts w:hint="default" w:ascii="Arial" w:hAnsi="Arial" w:cs="Arial"/>
                <w:color w:val="auto"/>
                <w:spacing w:val="-1"/>
                <w:sz w:val="22"/>
                <w:szCs w:val="22"/>
              </w:rPr>
              <w:t>允许在一类海域建设的项目，评价等级为</w:t>
            </w:r>
            <w:r>
              <w:rPr>
                <w:rFonts w:hint="eastAsia" w:ascii="Arial" w:hAnsi="Arial" w:cs="Arial"/>
                <w:color w:val="auto"/>
                <w:spacing w:val="-1"/>
                <w:sz w:val="22"/>
                <w:szCs w:val="22"/>
                <w:lang w:eastAsia="zh-CN"/>
              </w:rPr>
              <w:t>一级</w:t>
            </w:r>
            <w:r>
              <w:rPr>
                <w:rFonts w:hint="default" w:ascii="Arial" w:hAnsi="Arial" w:cs="Arial"/>
                <w:color w:val="auto"/>
                <w:spacing w:val="-1"/>
                <w:sz w:val="22"/>
                <w:szCs w:val="22"/>
              </w:rPr>
              <w:t>。</w:t>
            </w:r>
          </w:p>
          <w:p w14:paraId="4705D996">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rPr>
                <w:rFonts w:hint="default" w:ascii="Arial" w:hAnsi="Arial" w:cs="Arial"/>
                <w:color w:val="auto"/>
                <w:spacing w:val="-1"/>
                <w:sz w:val="22"/>
                <w:szCs w:val="22"/>
              </w:rPr>
            </w:pPr>
            <w:r>
              <w:rPr>
                <w:rFonts w:hint="default" w:ascii="Arial" w:hAnsi="Arial" w:cs="Arial"/>
                <w:color w:val="auto"/>
                <w:spacing w:val="-1"/>
                <w:sz w:val="22"/>
                <w:szCs w:val="22"/>
              </w:rPr>
              <w:t>注6</w:t>
            </w:r>
            <w:r>
              <w:rPr>
                <w:rFonts w:hint="eastAsia" w:ascii="Arial" w:hAnsi="Arial" w:cs="Arial"/>
                <w:color w:val="auto"/>
                <w:spacing w:val="-1"/>
                <w:sz w:val="22"/>
                <w:szCs w:val="22"/>
                <w:lang w:eastAsia="zh-CN"/>
              </w:rPr>
              <w:t>：</w:t>
            </w:r>
            <w:r>
              <w:rPr>
                <w:rFonts w:hint="default" w:ascii="Arial" w:hAnsi="Arial" w:cs="Arial"/>
                <w:color w:val="auto"/>
                <w:spacing w:val="-1"/>
                <w:sz w:val="22"/>
                <w:szCs w:val="22"/>
              </w:rPr>
              <w:t>同时存在多个水文要素影响的建设项目，分别判定各水文要素影响评价等级，并取其中最高等级作为水文要素影响型建设项目评价等级。</w:t>
            </w:r>
          </w:p>
        </w:tc>
      </w:tr>
    </w:tbl>
    <w:p w14:paraId="183E98B1">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eastAsia" w:ascii="Arial" w:hAnsi="Arial" w:eastAsia="宋体" w:cs="Arial"/>
          <w:sz w:val="26"/>
          <w:szCs w:val="26"/>
          <w:lang w:val="en-US" w:eastAsia="zh-CN"/>
        </w:rPr>
      </w:pPr>
    </w:p>
    <w:p w14:paraId="09A88BF2">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cs="Arial"/>
          <w:b/>
          <w:bCs/>
          <w:color w:val="auto"/>
          <w:sz w:val="26"/>
          <w:szCs w:val="26"/>
          <w:lang w:val="en-US" w:eastAsia="zh-CN"/>
        </w:rPr>
      </w:pPr>
      <w:r>
        <w:rPr>
          <w:rFonts w:hint="eastAsia" w:ascii="Arial" w:hAnsi="Arial" w:cs="Arial"/>
          <w:b/>
          <w:bCs/>
          <w:color w:val="auto"/>
          <w:sz w:val="26"/>
          <w:szCs w:val="26"/>
          <w:lang w:val="en-US" w:eastAsia="zh-CN"/>
        </w:rPr>
        <w:t>表1.6-2 本项目地表水环境评价工作等级判定结果一览表</w:t>
      </w:r>
    </w:p>
    <w:tbl>
      <w:tblPr>
        <w:tblStyle w:val="1893"/>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3426"/>
        <w:gridCol w:w="3686"/>
        <w:gridCol w:w="1184"/>
      </w:tblGrid>
      <w:tr w14:paraId="066FD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704" w:type="dxa"/>
            <w:vAlign w:val="center"/>
          </w:tcPr>
          <w:p w14:paraId="309F078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序号</w:t>
            </w:r>
          </w:p>
        </w:tc>
        <w:tc>
          <w:tcPr>
            <w:tcW w:w="3426" w:type="dxa"/>
            <w:vAlign w:val="center"/>
          </w:tcPr>
          <w:p w14:paraId="7774D5B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判定内容</w:t>
            </w:r>
          </w:p>
        </w:tc>
        <w:tc>
          <w:tcPr>
            <w:tcW w:w="3686" w:type="dxa"/>
            <w:vAlign w:val="center"/>
          </w:tcPr>
          <w:p w14:paraId="2F69FAB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本工程参数</w:t>
            </w:r>
          </w:p>
        </w:tc>
        <w:tc>
          <w:tcPr>
            <w:tcW w:w="1184" w:type="dxa"/>
            <w:vAlign w:val="center"/>
          </w:tcPr>
          <w:p w14:paraId="53D1D0D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4"/>
                <w:sz w:val="22"/>
                <w:szCs w:val="22"/>
              </w:rPr>
              <w:t>判定级别</w:t>
            </w:r>
          </w:p>
        </w:tc>
      </w:tr>
      <w:tr w14:paraId="0CF84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jc w:val="center"/>
        </w:trPr>
        <w:tc>
          <w:tcPr>
            <w:tcW w:w="704" w:type="dxa"/>
            <w:vAlign w:val="center"/>
          </w:tcPr>
          <w:p w14:paraId="7EFC42B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1</w:t>
            </w:r>
          </w:p>
        </w:tc>
        <w:tc>
          <w:tcPr>
            <w:tcW w:w="3426" w:type="dxa"/>
            <w:vAlign w:val="center"/>
          </w:tcPr>
          <w:p w14:paraId="76A1FCB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年径流量与总库容</w:t>
            </w:r>
            <w:r>
              <w:rPr>
                <w:rFonts w:hint="eastAsia" w:ascii="Arial" w:hAnsi="Arial" w:cs="Arial"/>
                <w:spacing w:val="-1"/>
                <w:sz w:val="22"/>
                <w:szCs w:val="22"/>
                <w:lang w:eastAsia="zh-CN"/>
              </w:rPr>
              <w:t>之比</w:t>
            </w:r>
            <w:r>
              <w:rPr>
                <w:rFonts w:hint="default" w:ascii="Arial" w:hAnsi="Arial" w:cs="Arial"/>
                <w:color w:val="auto"/>
                <w:sz w:val="22"/>
                <w:szCs w:val="22"/>
                <w:vertAlign w:val="baseline"/>
                <w:lang w:val="en-US" w:eastAsia="zh-CN"/>
              </w:rPr>
              <w:t>α</w:t>
            </w:r>
          </w:p>
        </w:tc>
        <w:tc>
          <w:tcPr>
            <w:tcW w:w="3686" w:type="dxa"/>
            <w:vAlign w:val="center"/>
          </w:tcPr>
          <w:p w14:paraId="041D0A1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pacing w:val="8"/>
                <w:sz w:val="22"/>
                <w:szCs w:val="22"/>
                <w:lang w:val="en-US" w:eastAsia="zh-CN"/>
              </w:rPr>
            </w:pPr>
            <w:r>
              <w:rPr>
                <w:rFonts w:hint="default" w:ascii="Arial" w:hAnsi="Arial" w:cs="Arial"/>
                <w:spacing w:val="8"/>
                <w:sz w:val="22"/>
                <w:szCs w:val="22"/>
              </w:rPr>
              <w:t>年径流量：</w:t>
            </w:r>
            <w:r>
              <w:rPr>
                <w:rFonts w:hint="eastAsia" w:ascii="Arial" w:hAnsi="Arial" w:cs="Arial"/>
                <w:spacing w:val="8"/>
                <w:sz w:val="22"/>
                <w:szCs w:val="22"/>
                <w:lang w:val="en-US" w:eastAsia="zh-CN"/>
              </w:rPr>
              <w:t>105</w:t>
            </w:r>
            <w:r>
              <w:rPr>
                <w:rFonts w:hint="default" w:ascii="Arial" w:hAnsi="Arial" w:cs="Arial"/>
                <w:spacing w:val="8"/>
                <w:sz w:val="22"/>
                <w:szCs w:val="22"/>
              </w:rPr>
              <w:t>万</w:t>
            </w:r>
            <w:r>
              <w:rPr>
                <w:rFonts w:hint="eastAsia" w:ascii="Arial" w:hAnsi="Arial" w:cs="Arial"/>
                <w:spacing w:val="8"/>
                <w:sz w:val="22"/>
                <w:szCs w:val="22"/>
                <w:lang w:val="en-US" w:eastAsia="zh-CN"/>
              </w:rPr>
              <w:t>m</w:t>
            </w:r>
            <w:r>
              <w:rPr>
                <w:rFonts w:hint="eastAsia" w:ascii="Arial" w:hAnsi="Arial" w:cs="Arial"/>
                <w:spacing w:val="8"/>
                <w:sz w:val="22"/>
                <w:szCs w:val="22"/>
                <w:vertAlign w:val="superscript"/>
                <w:lang w:val="en-US" w:eastAsia="zh-CN"/>
              </w:rPr>
              <w:t>3</w:t>
            </w:r>
          </w:p>
          <w:p w14:paraId="756A7D9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4"/>
                <w:sz w:val="22"/>
                <w:szCs w:val="22"/>
              </w:rPr>
              <w:t>总库容：</w:t>
            </w:r>
            <w:r>
              <w:rPr>
                <w:rFonts w:hint="eastAsia" w:ascii="Arial" w:hAnsi="Arial" w:cs="Arial"/>
                <w:spacing w:val="14"/>
                <w:sz w:val="22"/>
                <w:szCs w:val="22"/>
                <w:lang w:val="en-US" w:eastAsia="zh-CN"/>
              </w:rPr>
              <w:t>80.51</w:t>
            </w:r>
            <w:r>
              <w:rPr>
                <w:rFonts w:hint="default" w:ascii="Arial" w:hAnsi="Arial" w:cs="Arial"/>
                <w:spacing w:val="14"/>
                <w:sz w:val="22"/>
                <w:szCs w:val="22"/>
              </w:rPr>
              <w:t>万m³</w:t>
            </w:r>
          </w:p>
          <w:p w14:paraId="741AE3B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lang w:val="en-US" w:eastAsia="zh-CN"/>
              </w:rPr>
            </w:pPr>
            <w:r>
              <w:rPr>
                <w:rFonts w:hint="eastAsia" w:ascii="Arial" w:hAnsi="Arial" w:cs="Arial"/>
                <w:color w:val="auto"/>
                <w:sz w:val="22"/>
                <w:szCs w:val="22"/>
                <w:lang w:eastAsia="zh-CN"/>
              </w:rPr>
              <w:t>之</w:t>
            </w:r>
            <w:r>
              <w:rPr>
                <w:rFonts w:hint="default" w:ascii="Arial" w:hAnsi="Arial" w:cs="Arial"/>
                <w:color w:val="auto"/>
                <w:sz w:val="22"/>
                <w:szCs w:val="22"/>
              </w:rPr>
              <w:t>比：</w:t>
            </w:r>
            <w:r>
              <w:rPr>
                <w:rFonts w:hint="eastAsia" w:ascii="Arial" w:hAnsi="Arial" w:cs="Arial"/>
                <w:color w:val="auto"/>
                <w:sz w:val="22"/>
                <w:szCs w:val="22"/>
                <w:lang w:val="en-US" w:eastAsia="zh-CN"/>
              </w:rPr>
              <w:t>1.3</w:t>
            </w:r>
          </w:p>
        </w:tc>
        <w:tc>
          <w:tcPr>
            <w:tcW w:w="1184" w:type="dxa"/>
            <w:vAlign w:val="center"/>
          </w:tcPr>
          <w:p w14:paraId="661FA14D">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0A8467D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一级</w:t>
            </w:r>
          </w:p>
        </w:tc>
      </w:tr>
      <w:tr w14:paraId="6ACBF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jc w:val="center"/>
        </w:trPr>
        <w:tc>
          <w:tcPr>
            <w:tcW w:w="704" w:type="dxa"/>
            <w:vAlign w:val="center"/>
          </w:tcPr>
          <w:p w14:paraId="0E5BE11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2</w:t>
            </w:r>
          </w:p>
        </w:tc>
        <w:tc>
          <w:tcPr>
            <w:tcW w:w="3426" w:type="dxa"/>
            <w:vAlign w:val="center"/>
          </w:tcPr>
          <w:p w14:paraId="0A66D92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color w:val="auto"/>
                <w:sz w:val="22"/>
                <w:szCs w:val="22"/>
                <w:vertAlign w:val="baseline"/>
                <w:lang w:val="en-US" w:eastAsia="zh-CN"/>
              </w:rPr>
              <w:t>兴利库容占年径流量百分比</w:t>
            </w:r>
            <w:r>
              <w:rPr>
                <w:rFonts w:hint="default" w:ascii="Arial" w:hAnsi="Arial" w:cs="Arial"/>
                <w:spacing w:val="-1"/>
                <w:sz w:val="22"/>
                <w:szCs w:val="22"/>
              </w:rPr>
              <w:t>β/%</w:t>
            </w:r>
          </w:p>
        </w:tc>
        <w:tc>
          <w:tcPr>
            <w:tcW w:w="3686" w:type="dxa"/>
            <w:vAlign w:val="center"/>
          </w:tcPr>
          <w:p w14:paraId="3BBD710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color w:val="auto"/>
                <w:sz w:val="22"/>
                <w:szCs w:val="22"/>
              </w:rPr>
            </w:pPr>
            <w:r>
              <w:rPr>
                <w:rFonts w:hint="default" w:ascii="Arial" w:hAnsi="Arial" w:cs="Arial"/>
                <w:color w:val="auto"/>
                <w:spacing w:val="8"/>
                <w:sz w:val="22"/>
                <w:szCs w:val="22"/>
              </w:rPr>
              <w:t>兴利库容：</w:t>
            </w:r>
            <w:r>
              <w:rPr>
                <w:rFonts w:hint="eastAsia" w:ascii="Arial" w:hAnsi="Arial" w:cs="Arial"/>
                <w:color w:val="auto"/>
                <w:spacing w:val="8"/>
                <w:sz w:val="22"/>
                <w:szCs w:val="22"/>
                <w:lang w:val="en-US" w:eastAsia="zh-CN"/>
              </w:rPr>
              <w:t>59.74</w:t>
            </w:r>
            <w:r>
              <w:rPr>
                <w:rFonts w:hint="default" w:ascii="Arial" w:hAnsi="Arial" w:cs="Arial"/>
                <w:color w:val="auto"/>
                <w:spacing w:val="8"/>
                <w:sz w:val="22"/>
                <w:szCs w:val="22"/>
              </w:rPr>
              <w:t>万m³/a</w:t>
            </w:r>
          </w:p>
          <w:p w14:paraId="7249496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color w:val="auto"/>
                <w:sz w:val="22"/>
                <w:szCs w:val="22"/>
              </w:rPr>
            </w:pPr>
            <w:r>
              <w:rPr>
                <w:rFonts w:hint="default" w:ascii="Arial" w:hAnsi="Arial" w:cs="Arial"/>
                <w:color w:val="auto"/>
                <w:spacing w:val="8"/>
                <w:sz w:val="22"/>
                <w:szCs w:val="22"/>
              </w:rPr>
              <w:t>年径流量：</w:t>
            </w:r>
            <w:r>
              <w:rPr>
                <w:rFonts w:hint="eastAsia" w:ascii="Arial" w:hAnsi="Arial" w:cs="Arial"/>
                <w:color w:val="auto"/>
                <w:spacing w:val="8"/>
                <w:sz w:val="22"/>
                <w:szCs w:val="22"/>
                <w:lang w:val="en-US" w:eastAsia="zh-CN"/>
              </w:rPr>
              <w:t>105</w:t>
            </w:r>
            <w:r>
              <w:rPr>
                <w:rFonts w:hint="default" w:ascii="Arial" w:hAnsi="Arial" w:cs="Arial"/>
                <w:color w:val="auto"/>
                <w:spacing w:val="8"/>
                <w:sz w:val="22"/>
                <w:szCs w:val="22"/>
              </w:rPr>
              <w:t>万m³/a</w:t>
            </w:r>
          </w:p>
          <w:p w14:paraId="17A82F7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lang w:val="en-US" w:eastAsia="zh-CN"/>
              </w:rPr>
            </w:pPr>
            <w:r>
              <w:rPr>
                <w:rFonts w:hint="default" w:ascii="Arial" w:hAnsi="Arial" w:cs="Arial"/>
                <w:color w:val="auto"/>
                <w:spacing w:val="1"/>
                <w:sz w:val="22"/>
                <w:szCs w:val="22"/>
              </w:rPr>
              <w:t>百分比：</w:t>
            </w:r>
            <w:r>
              <w:rPr>
                <w:rFonts w:hint="eastAsia" w:ascii="Arial" w:hAnsi="Arial" w:cs="Arial"/>
                <w:color w:val="auto"/>
                <w:spacing w:val="1"/>
                <w:sz w:val="22"/>
                <w:szCs w:val="22"/>
                <w:lang w:val="en-US" w:eastAsia="zh-CN"/>
              </w:rPr>
              <w:t>56.90</w:t>
            </w:r>
          </w:p>
        </w:tc>
        <w:tc>
          <w:tcPr>
            <w:tcW w:w="1184" w:type="dxa"/>
            <w:vAlign w:val="center"/>
          </w:tcPr>
          <w:p w14:paraId="0B12A110">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14F1335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一级</w:t>
            </w:r>
          </w:p>
        </w:tc>
      </w:tr>
      <w:tr w14:paraId="05C6A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jc w:val="center"/>
        </w:trPr>
        <w:tc>
          <w:tcPr>
            <w:tcW w:w="704" w:type="dxa"/>
            <w:vAlign w:val="center"/>
          </w:tcPr>
          <w:p w14:paraId="53E2788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3</w:t>
            </w:r>
          </w:p>
        </w:tc>
        <w:tc>
          <w:tcPr>
            <w:tcW w:w="3426" w:type="dxa"/>
            <w:vAlign w:val="center"/>
          </w:tcPr>
          <w:p w14:paraId="137CC257">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取水量占多年平均径流量百分比γ/%</w:t>
            </w:r>
          </w:p>
        </w:tc>
        <w:tc>
          <w:tcPr>
            <w:tcW w:w="3686" w:type="dxa"/>
            <w:vAlign w:val="center"/>
          </w:tcPr>
          <w:p w14:paraId="143BCAA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color w:val="auto"/>
                <w:sz w:val="22"/>
                <w:szCs w:val="22"/>
              </w:rPr>
            </w:pPr>
            <w:r>
              <w:rPr>
                <w:rFonts w:hint="default" w:ascii="Arial" w:hAnsi="Arial" w:cs="Arial"/>
                <w:color w:val="auto"/>
                <w:spacing w:val="8"/>
                <w:sz w:val="22"/>
                <w:szCs w:val="22"/>
              </w:rPr>
              <w:t>取水量：</w:t>
            </w:r>
            <w:r>
              <w:rPr>
                <w:rFonts w:hint="eastAsia" w:ascii="Arial" w:hAnsi="Arial" w:cs="Arial"/>
                <w:color w:val="auto"/>
                <w:spacing w:val="8"/>
                <w:sz w:val="22"/>
                <w:szCs w:val="22"/>
                <w:lang w:val="en-US" w:eastAsia="zh-CN"/>
              </w:rPr>
              <w:t>76.28</w:t>
            </w:r>
            <w:r>
              <w:rPr>
                <w:rFonts w:hint="default" w:ascii="Arial" w:hAnsi="Arial" w:cs="Arial"/>
                <w:color w:val="auto"/>
                <w:spacing w:val="8"/>
                <w:sz w:val="22"/>
                <w:szCs w:val="22"/>
              </w:rPr>
              <w:t>万m³/a</w:t>
            </w:r>
          </w:p>
          <w:p w14:paraId="4C7A573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color w:val="auto"/>
                <w:sz w:val="22"/>
                <w:szCs w:val="22"/>
              </w:rPr>
            </w:pPr>
            <w:r>
              <w:rPr>
                <w:rFonts w:hint="eastAsia" w:ascii="Arial" w:hAnsi="Arial" w:cs="Arial"/>
                <w:color w:val="auto"/>
                <w:spacing w:val="12"/>
                <w:sz w:val="22"/>
                <w:szCs w:val="22"/>
                <w:lang w:eastAsia="zh-CN"/>
              </w:rPr>
              <w:t>多年平均</w:t>
            </w:r>
            <w:r>
              <w:rPr>
                <w:rFonts w:hint="default" w:ascii="Arial" w:hAnsi="Arial" w:cs="Arial"/>
                <w:color w:val="auto"/>
                <w:spacing w:val="12"/>
                <w:sz w:val="22"/>
                <w:szCs w:val="22"/>
              </w:rPr>
              <w:t>径流量：</w:t>
            </w:r>
            <w:r>
              <w:rPr>
                <w:rFonts w:hint="eastAsia" w:ascii="Arial" w:hAnsi="Arial" w:cs="Arial"/>
                <w:color w:val="auto"/>
                <w:spacing w:val="12"/>
                <w:sz w:val="22"/>
                <w:szCs w:val="22"/>
                <w:lang w:val="en-US" w:eastAsia="zh-CN"/>
              </w:rPr>
              <w:t>105</w:t>
            </w:r>
            <w:r>
              <w:rPr>
                <w:rFonts w:hint="default" w:ascii="Arial" w:hAnsi="Arial" w:cs="Arial"/>
                <w:color w:val="auto"/>
                <w:spacing w:val="12"/>
                <w:sz w:val="22"/>
                <w:szCs w:val="22"/>
              </w:rPr>
              <w:t>万m³</w:t>
            </w:r>
          </w:p>
          <w:p w14:paraId="58FC325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color w:val="auto"/>
                <w:sz w:val="22"/>
                <w:szCs w:val="22"/>
                <w:lang w:val="en-US" w:eastAsia="zh-CN"/>
              </w:rPr>
            </w:pPr>
            <w:r>
              <w:rPr>
                <w:rFonts w:hint="default" w:ascii="Arial" w:hAnsi="Arial" w:cs="Arial"/>
                <w:color w:val="auto"/>
                <w:spacing w:val="1"/>
                <w:sz w:val="22"/>
                <w:szCs w:val="22"/>
              </w:rPr>
              <w:t>百分比：</w:t>
            </w:r>
            <w:r>
              <w:rPr>
                <w:rFonts w:hint="eastAsia" w:ascii="Arial" w:hAnsi="Arial" w:cs="Arial"/>
                <w:color w:val="auto"/>
                <w:spacing w:val="1"/>
                <w:sz w:val="22"/>
                <w:szCs w:val="22"/>
                <w:lang w:val="en-US" w:eastAsia="zh-CN"/>
              </w:rPr>
              <w:t>72.65</w:t>
            </w:r>
          </w:p>
        </w:tc>
        <w:tc>
          <w:tcPr>
            <w:tcW w:w="1184" w:type="dxa"/>
            <w:vAlign w:val="center"/>
          </w:tcPr>
          <w:p w14:paraId="661A3B38">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0A229E3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一级</w:t>
            </w:r>
          </w:p>
        </w:tc>
      </w:tr>
      <w:tr w14:paraId="6375E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704" w:type="dxa"/>
            <w:vAlign w:val="center"/>
          </w:tcPr>
          <w:p w14:paraId="7BDED74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4</w:t>
            </w:r>
          </w:p>
        </w:tc>
        <w:tc>
          <w:tcPr>
            <w:tcW w:w="3426" w:type="dxa"/>
            <w:vAlign w:val="center"/>
          </w:tcPr>
          <w:p w14:paraId="5664099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9"/>
                <w:sz w:val="22"/>
                <w:szCs w:val="22"/>
              </w:rPr>
              <w:t>工程垂直投影面积及外扩范围A</w:t>
            </w:r>
            <w:r>
              <w:rPr>
                <w:rFonts w:hint="default" w:ascii="Arial" w:hAnsi="Arial" w:cs="Arial"/>
                <w:spacing w:val="9"/>
                <w:sz w:val="22"/>
                <w:szCs w:val="22"/>
                <w:vertAlign w:val="subscript"/>
              </w:rPr>
              <w:t>1</w:t>
            </w:r>
            <w:r>
              <w:rPr>
                <w:rFonts w:hint="default" w:ascii="Arial" w:hAnsi="Arial" w:cs="Arial"/>
                <w:spacing w:val="9"/>
                <w:sz w:val="22"/>
                <w:szCs w:val="22"/>
              </w:rPr>
              <w:t>/</w:t>
            </w:r>
            <w:r>
              <w:rPr>
                <w:rFonts w:hint="default" w:ascii="Arial" w:hAnsi="Arial" w:cs="Arial"/>
                <w:sz w:val="22"/>
                <w:szCs w:val="22"/>
              </w:rPr>
              <w:t>km</w:t>
            </w:r>
            <w:r>
              <w:rPr>
                <w:rFonts w:hint="default" w:ascii="Arial" w:hAnsi="Arial" w:cs="Arial"/>
                <w:spacing w:val="9"/>
                <w:sz w:val="22"/>
                <w:szCs w:val="22"/>
              </w:rPr>
              <w:t>²</w:t>
            </w:r>
          </w:p>
        </w:tc>
        <w:tc>
          <w:tcPr>
            <w:tcW w:w="3686" w:type="dxa"/>
            <w:vAlign w:val="center"/>
          </w:tcPr>
          <w:p w14:paraId="7A49C94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2"/>
                <w:sz w:val="22"/>
                <w:szCs w:val="22"/>
              </w:rPr>
              <w:t>工程总占地</w:t>
            </w:r>
            <w:r>
              <w:rPr>
                <w:rFonts w:hint="eastAsia" w:ascii="Arial" w:hAnsi="Arial" w:cs="Arial"/>
                <w:spacing w:val="12"/>
                <w:sz w:val="22"/>
                <w:szCs w:val="22"/>
                <w:lang w:val="en-US" w:eastAsia="zh-CN"/>
              </w:rPr>
              <w:t>0.2412</w:t>
            </w:r>
            <w:r>
              <w:rPr>
                <w:rFonts w:hint="default" w:ascii="Arial" w:hAnsi="Arial" w:cs="Arial"/>
                <w:sz w:val="22"/>
                <w:szCs w:val="22"/>
              </w:rPr>
              <w:t>km</w:t>
            </w:r>
            <w:r>
              <w:rPr>
                <w:rFonts w:hint="default" w:ascii="Arial" w:hAnsi="Arial" w:cs="Arial"/>
                <w:spacing w:val="12"/>
                <w:sz w:val="22"/>
                <w:szCs w:val="22"/>
              </w:rPr>
              <w:t>²</w:t>
            </w:r>
          </w:p>
        </w:tc>
        <w:tc>
          <w:tcPr>
            <w:tcW w:w="1184" w:type="dxa"/>
            <w:vAlign w:val="center"/>
          </w:tcPr>
          <w:p w14:paraId="0DC7BE67">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eastAsia" w:ascii="Arial" w:hAnsi="Arial" w:cs="Arial"/>
                <w:spacing w:val="6"/>
                <w:sz w:val="22"/>
                <w:szCs w:val="22"/>
                <w:lang w:eastAsia="zh-CN"/>
              </w:rPr>
              <w:t>二</w:t>
            </w:r>
            <w:r>
              <w:rPr>
                <w:rFonts w:hint="default" w:ascii="Arial" w:hAnsi="Arial" w:cs="Arial"/>
                <w:spacing w:val="6"/>
                <w:sz w:val="22"/>
                <w:szCs w:val="22"/>
              </w:rPr>
              <w:t>级</w:t>
            </w:r>
          </w:p>
        </w:tc>
      </w:tr>
    </w:tbl>
    <w:p w14:paraId="2B0E348E">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Arial" w:hAnsi="Arial" w:cs="Arial"/>
          <w:b/>
          <w:bCs/>
          <w:color w:val="auto"/>
          <w:sz w:val="26"/>
          <w:szCs w:val="26"/>
          <w:lang w:val="en-US" w:eastAsia="zh-CN"/>
        </w:rPr>
      </w:pPr>
    </w:p>
    <w:p w14:paraId="27693081">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eastAsia="宋体" w:cs="Arial"/>
          <w:sz w:val="26"/>
          <w:szCs w:val="26"/>
          <w:lang w:val="en-US" w:eastAsia="zh-CN"/>
        </w:rPr>
      </w:pPr>
      <w:r>
        <w:rPr>
          <w:rFonts w:hint="eastAsia" w:ascii="Arial" w:hAnsi="Arial" w:cs="Arial"/>
          <w:sz w:val="26"/>
          <w:szCs w:val="26"/>
          <w:lang w:val="en-US" w:eastAsia="zh-CN"/>
        </w:rPr>
        <w:t>由表1.6-2判定结果可知，本项目地表水环境影响评价工作等级为一级。</w:t>
      </w:r>
    </w:p>
    <w:p w14:paraId="3E2B62AF">
      <w:pPr>
        <w:spacing w:line="460" w:lineRule="exact"/>
        <w:ind w:firstLine="384" w:firstLineChars="147"/>
        <w:jc w:val="both"/>
        <w:rPr>
          <w:rFonts w:hint="eastAsia" w:ascii="Arial" w:hAnsi="Arial" w:eastAsia="宋体" w:cs="Arial"/>
          <w:b/>
          <w:bCs/>
          <w:kern w:val="0"/>
          <w:sz w:val="26"/>
          <w:szCs w:val="26"/>
          <w:lang w:val="en-US" w:eastAsia="zh-CN" w:bidi="ar-SA"/>
        </w:rPr>
      </w:pPr>
      <w:r>
        <w:rPr>
          <w:rFonts w:hint="eastAsia" w:ascii="Arial" w:hAnsi="Arial" w:cs="Arial"/>
          <w:b/>
          <w:bCs/>
          <w:kern w:val="0"/>
          <w:sz w:val="26"/>
          <w:szCs w:val="26"/>
          <w:lang w:val="en-US" w:eastAsia="zh-CN" w:bidi="ar-SA"/>
        </w:rPr>
        <w:t>（</w:t>
      </w:r>
      <w:r>
        <w:rPr>
          <w:rFonts w:hint="eastAsia" w:ascii="Arial" w:hAnsi="Arial" w:eastAsia="宋体" w:cs="Arial"/>
          <w:b/>
          <w:bCs/>
          <w:kern w:val="0"/>
          <w:sz w:val="26"/>
          <w:szCs w:val="26"/>
          <w:lang w:val="en-US" w:eastAsia="zh-CN" w:bidi="ar-SA"/>
        </w:rPr>
        <w:t>4）地下水环境</w:t>
      </w:r>
    </w:p>
    <w:p w14:paraId="44EBAAB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eastAsia="宋体" w:cs="Arial"/>
          <w:sz w:val="26"/>
          <w:szCs w:val="26"/>
          <w:lang w:val="en-US" w:eastAsia="zh-CN"/>
        </w:rPr>
        <w:t>根据《环境影响评价技术导则 地下水环境》（HJ610-2016）“附录 A 地下水环境影</w:t>
      </w:r>
      <w:r>
        <w:rPr>
          <w:rFonts w:hint="default" w:ascii="Arial" w:hAnsi="Arial" w:eastAsia="宋体" w:cs="Arial"/>
          <w:sz w:val="26"/>
          <w:szCs w:val="26"/>
          <w:lang w:val="en-US" w:eastAsia="zh-CN"/>
        </w:rPr>
        <w:t>响评价行业分类表</w:t>
      </w:r>
      <w:r>
        <w:rPr>
          <w:rFonts w:hint="eastAsia" w:ascii="宋体" w:hAnsi="宋体" w:eastAsia="宋体" w:cs="宋体"/>
          <w:sz w:val="26"/>
          <w:szCs w:val="26"/>
          <w:lang w:val="en-US" w:eastAsia="zh-CN"/>
        </w:rPr>
        <w:t>”</w:t>
      </w:r>
      <w:r>
        <w:rPr>
          <w:rFonts w:hint="default" w:ascii="Arial" w:hAnsi="Arial" w:eastAsia="宋体" w:cs="Arial"/>
          <w:sz w:val="26"/>
          <w:szCs w:val="26"/>
          <w:lang w:val="en-US" w:eastAsia="zh-CN"/>
        </w:rPr>
        <w:t>相关内容，</w:t>
      </w:r>
      <w:r>
        <w:rPr>
          <w:rFonts w:hint="eastAsia" w:ascii="Arial" w:hAnsi="Arial" w:cs="Arial"/>
          <w:sz w:val="26"/>
          <w:szCs w:val="26"/>
          <w:lang w:val="en-US" w:eastAsia="zh-CN"/>
        </w:rPr>
        <w:t>本项目为</w:t>
      </w:r>
      <w:r>
        <w:rPr>
          <w:rFonts w:hint="eastAsia" w:ascii="宋体" w:hAnsi="宋体" w:eastAsia="宋体" w:cs="宋体"/>
          <w:sz w:val="26"/>
          <w:szCs w:val="26"/>
          <w:lang w:val="en-US" w:eastAsia="zh-CN"/>
        </w:rPr>
        <w:t>Ⅲ</w:t>
      </w:r>
      <w:r>
        <w:rPr>
          <w:rFonts w:hint="eastAsia" w:ascii="Arial" w:hAnsi="Arial" w:cs="Arial"/>
          <w:sz w:val="26"/>
          <w:szCs w:val="26"/>
          <w:lang w:val="en-US" w:eastAsia="zh-CN"/>
        </w:rPr>
        <w:t>类项目；且本项目评价区内无集中式饮用水源地、分散式饮用水源地和热水、矿泉水、温泉等特殊地下水资源保护区、分布区，地下水环境不敏感。故本项目地下水环境影响评价工作等级为三级。</w:t>
      </w:r>
    </w:p>
    <w:p w14:paraId="26C17190">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cs="Arial"/>
          <w:b/>
          <w:bCs/>
          <w:color w:val="auto"/>
          <w:sz w:val="26"/>
          <w:szCs w:val="26"/>
          <w:lang w:val="en-US" w:eastAsia="zh-CN"/>
        </w:rPr>
      </w:pPr>
    </w:p>
    <w:p w14:paraId="15F1157E">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cs="Arial"/>
          <w:b/>
          <w:bCs/>
          <w:color w:val="auto"/>
          <w:sz w:val="26"/>
          <w:szCs w:val="26"/>
          <w:lang w:val="en-US" w:eastAsia="zh-CN"/>
        </w:rPr>
      </w:pPr>
    </w:p>
    <w:p w14:paraId="78B77925">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cs="Arial"/>
          <w:b/>
          <w:bCs/>
          <w:color w:val="auto"/>
          <w:sz w:val="26"/>
          <w:szCs w:val="26"/>
          <w:lang w:val="en-US" w:eastAsia="zh-CN"/>
        </w:rPr>
      </w:pPr>
      <w:r>
        <w:rPr>
          <w:rFonts w:hint="eastAsia" w:ascii="Arial" w:hAnsi="Arial" w:cs="Arial"/>
          <w:b/>
          <w:bCs/>
          <w:color w:val="auto"/>
          <w:sz w:val="26"/>
          <w:szCs w:val="26"/>
          <w:lang w:val="en-US" w:eastAsia="zh-CN"/>
        </w:rPr>
        <w:t>表1.6-3 地下水评价工作等级划分表</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2575"/>
        <w:gridCol w:w="1450"/>
        <w:gridCol w:w="1934"/>
      </w:tblGrid>
      <w:tr w14:paraId="10F2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Align w:val="center"/>
          </w:tcPr>
          <w:p w14:paraId="7C2EA9E1">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Arial" w:hAnsi="Arial" w:cs="Arial"/>
                <w:b/>
                <w:bCs/>
                <w:color w:val="auto"/>
                <w:sz w:val="22"/>
                <w:szCs w:val="22"/>
                <w:vertAlign w:val="baseline"/>
                <w:lang w:val="en-US" w:eastAsia="zh-CN"/>
              </w:rPr>
            </w:pPr>
            <w:r>
              <w:rPr>
                <w:rFonts w:hint="eastAsia" w:ascii="Arial" w:hAnsi="Arial" w:cs="Arial"/>
                <w:b/>
                <w:bCs/>
                <w:color w:val="auto"/>
                <w:sz w:val="22"/>
                <w:szCs w:val="22"/>
                <w:vertAlign w:val="baseline"/>
                <w:lang w:val="en-US" w:eastAsia="zh-CN"/>
              </w:rPr>
              <w:t>项目类别</w:t>
            </w:r>
          </w:p>
          <w:p w14:paraId="577B982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Arial" w:hAnsi="Arial" w:cs="Arial"/>
                <w:b/>
                <w:bCs/>
                <w:color w:val="auto"/>
                <w:sz w:val="22"/>
                <w:szCs w:val="22"/>
                <w:vertAlign w:val="baseline"/>
                <w:lang w:val="en-US" w:eastAsia="zh-CN"/>
              </w:rPr>
            </w:pPr>
            <w:r>
              <w:rPr>
                <w:rFonts w:hint="eastAsia" w:ascii="Arial" w:hAnsi="Arial" w:cs="Arial"/>
                <w:b/>
                <w:bCs/>
                <w:color w:val="auto"/>
                <w:sz w:val="22"/>
                <w:szCs w:val="22"/>
                <w:vertAlign w:val="baseline"/>
                <w:lang w:val="en-US" w:eastAsia="zh-CN"/>
              </w:rPr>
              <w:t>环境敏感程度</w:t>
            </w:r>
          </w:p>
        </w:tc>
        <w:tc>
          <w:tcPr>
            <w:tcW w:w="2575" w:type="dxa"/>
            <w:vAlign w:val="center"/>
          </w:tcPr>
          <w:p w14:paraId="37EE8F0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宋体" w:hAnsi="宋体" w:eastAsia="宋体" w:cs="宋体"/>
                <w:b/>
                <w:bCs/>
                <w:color w:val="auto"/>
                <w:sz w:val="22"/>
                <w:szCs w:val="22"/>
                <w:vertAlign w:val="baseline"/>
                <w:lang w:val="en-US" w:eastAsia="zh-CN"/>
              </w:rPr>
              <w:t>Ⅰ类项目</w:t>
            </w:r>
          </w:p>
        </w:tc>
        <w:tc>
          <w:tcPr>
            <w:tcW w:w="1450" w:type="dxa"/>
            <w:vAlign w:val="center"/>
          </w:tcPr>
          <w:p w14:paraId="7208055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宋体" w:hAnsi="宋体" w:eastAsia="宋体" w:cs="宋体"/>
                <w:b/>
                <w:bCs/>
                <w:color w:val="auto"/>
                <w:sz w:val="22"/>
                <w:szCs w:val="22"/>
                <w:vertAlign w:val="baseline"/>
                <w:lang w:val="en-US" w:eastAsia="zh-CN"/>
              </w:rPr>
              <w:t>Ⅱ类项目</w:t>
            </w:r>
          </w:p>
        </w:tc>
        <w:tc>
          <w:tcPr>
            <w:tcW w:w="1934" w:type="dxa"/>
            <w:vAlign w:val="center"/>
          </w:tcPr>
          <w:p w14:paraId="76DF441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宋体" w:hAnsi="宋体" w:eastAsia="宋体" w:cs="宋体"/>
                <w:b/>
                <w:bCs/>
                <w:color w:val="auto"/>
                <w:sz w:val="22"/>
                <w:szCs w:val="22"/>
                <w:vertAlign w:val="baseline"/>
                <w:lang w:val="en-US" w:eastAsia="zh-CN"/>
              </w:rPr>
              <w:t>Ⅲ类项目</w:t>
            </w:r>
          </w:p>
        </w:tc>
      </w:tr>
      <w:tr w14:paraId="75BE6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Align w:val="center"/>
          </w:tcPr>
          <w:p w14:paraId="2BD8C92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敏感</w:t>
            </w:r>
          </w:p>
        </w:tc>
        <w:tc>
          <w:tcPr>
            <w:tcW w:w="2575" w:type="dxa"/>
            <w:vAlign w:val="center"/>
          </w:tcPr>
          <w:p w14:paraId="09635BE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一</w:t>
            </w:r>
            <w:r>
              <w:rPr>
                <w:rFonts w:hint="eastAsia" w:ascii="Arial" w:hAnsi="Arial" w:cs="Arial"/>
                <w:b w:val="0"/>
                <w:bCs w:val="0"/>
                <w:color w:val="auto"/>
                <w:sz w:val="22"/>
                <w:szCs w:val="22"/>
                <w:vertAlign w:val="baseline"/>
                <w:lang w:val="en-US" w:eastAsia="zh-CN"/>
              </w:rPr>
              <w:t>级</w:t>
            </w:r>
          </w:p>
        </w:tc>
        <w:tc>
          <w:tcPr>
            <w:tcW w:w="1450" w:type="dxa"/>
            <w:vAlign w:val="center"/>
          </w:tcPr>
          <w:p w14:paraId="4C9E918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一</w:t>
            </w:r>
            <w:r>
              <w:rPr>
                <w:rFonts w:hint="eastAsia" w:ascii="Arial" w:hAnsi="Arial" w:cs="Arial"/>
                <w:b w:val="0"/>
                <w:bCs w:val="0"/>
                <w:color w:val="auto"/>
                <w:sz w:val="22"/>
                <w:szCs w:val="22"/>
                <w:vertAlign w:val="baseline"/>
                <w:lang w:val="en-US" w:eastAsia="zh-CN"/>
              </w:rPr>
              <w:t>级</w:t>
            </w:r>
          </w:p>
        </w:tc>
        <w:tc>
          <w:tcPr>
            <w:tcW w:w="1934" w:type="dxa"/>
            <w:vAlign w:val="center"/>
          </w:tcPr>
          <w:p w14:paraId="588687F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二</w:t>
            </w:r>
            <w:r>
              <w:rPr>
                <w:rFonts w:hint="eastAsia" w:ascii="Arial" w:hAnsi="Arial" w:cs="Arial"/>
                <w:b w:val="0"/>
                <w:bCs w:val="0"/>
                <w:color w:val="auto"/>
                <w:sz w:val="22"/>
                <w:szCs w:val="22"/>
                <w:vertAlign w:val="baseline"/>
                <w:lang w:val="en-US" w:eastAsia="zh-CN"/>
              </w:rPr>
              <w:t>级</w:t>
            </w:r>
          </w:p>
        </w:tc>
      </w:tr>
      <w:tr w14:paraId="3FAC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Align w:val="center"/>
          </w:tcPr>
          <w:p w14:paraId="6AAA285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较敏感</w:t>
            </w:r>
          </w:p>
        </w:tc>
        <w:tc>
          <w:tcPr>
            <w:tcW w:w="2575" w:type="dxa"/>
            <w:vAlign w:val="center"/>
          </w:tcPr>
          <w:p w14:paraId="79D858A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一</w:t>
            </w:r>
            <w:r>
              <w:rPr>
                <w:rFonts w:hint="eastAsia" w:ascii="Arial" w:hAnsi="Arial" w:cs="Arial"/>
                <w:b w:val="0"/>
                <w:bCs w:val="0"/>
                <w:color w:val="auto"/>
                <w:sz w:val="22"/>
                <w:szCs w:val="22"/>
                <w:vertAlign w:val="baseline"/>
                <w:lang w:val="en-US" w:eastAsia="zh-CN"/>
              </w:rPr>
              <w:t>级</w:t>
            </w:r>
          </w:p>
        </w:tc>
        <w:tc>
          <w:tcPr>
            <w:tcW w:w="1450" w:type="dxa"/>
            <w:vAlign w:val="center"/>
          </w:tcPr>
          <w:p w14:paraId="43A26A4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二</w:t>
            </w:r>
            <w:r>
              <w:rPr>
                <w:rFonts w:hint="eastAsia" w:ascii="Arial" w:hAnsi="Arial" w:cs="Arial"/>
                <w:b w:val="0"/>
                <w:bCs w:val="0"/>
                <w:color w:val="auto"/>
                <w:sz w:val="22"/>
                <w:szCs w:val="22"/>
                <w:vertAlign w:val="baseline"/>
                <w:lang w:val="en-US" w:eastAsia="zh-CN"/>
              </w:rPr>
              <w:t>级</w:t>
            </w:r>
          </w:p>
        </w:tc>
        <w:tc>
          <w:tcPr>
            <w:tcW w:w="1934" w:type="dxa"/>
            <w:vAlign w:val="center"/>
          </w:tcPr>
          <w:p w14:paraId="7FE28FA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三</w:t>
            </w:r>
            <w:r>
              <w:rPr>
                <w:rFonts w:hint="eastAsia" w:ascii="Arial" w:hAnsi="Arial" w:cs="Arial"/>
                <w:b w:val="0"/>
                <w:bCs w:val="0"/>
                <w:color w:val="auto"/>
                <w:sz w:val="22"/>
                <w:szCs w:val="22"/>
                <w:vertAlign w:val="baseline"/>
                <w:lang w:val="en-US" w:eastAsia="zh-CN"/>
              </w:rPr>
              <w:t>级</w:t>
            </w:r>
          </w:p>
        </w:tc>
      </w:tr>
      <w:tr w14:paraId="46E8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Align w:val="center"/>
          </w:tcPr>
          <w:p w14:paraId="087A104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不敏感</w:t>
            </w:r>
          </w:p>
        </w:tc>
        <w:tc>
          <w:tcPr>
            <w:tcW w:w="2575" w:type="dxa"/>
            <w:vAlign w:val="center"/>
          </w:tcPr>
          <w:p w14:paraId="15F9DE8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二</w:t>
            </w:r>
            <w:r>
              <w:rPr>
                <w:rFonts w:hint="eastAsia" w:ascii="Arial" w:hAnsi="Arial" w:cs="Arial"/>
                <w:b w:val="0"/>
                <w:bCs w:val="0"/>
                <w:color w:val="auto"/>
                <w:sz w:val="22"/>
                <w:szCs w:val="22"/>
                <w:vertAlign w:val="baseline"/>
                <w:lang w:val="en-US" w:eastAsia="zh-CN"/>
              </w:rPr>
              <w:t>级</w:t>
            </w:r>
          </w:p>
        </w:tc>
        <w:tc>
          <w:tcPr>
            <w:tcW w:w="1450" w:type="dxa"/>
            <w:vAlign w:val="center"/>
          </w:tcPr>
          <w:p w14:paraId="2DF4509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三</w:t>
            </w:r>
            <w:r>
              <w:rPr>
                <w:rFonts w:hint="eastAsia" w:ascii="Arial" w:hAnsi="Arial" w:cs="Arial"/>
                <w:b w:val="0"/>
                <w:bCs w:val="0"/>
                <w:color w:val="auto"/>
                <w:sz w:val="22"/>
                <w:szCs w:val="22"/>
                <w:vertAlign w:val="baseline"/>
                <w:lang w:val="en-US" w:eastAsia="zh-CN"/>
              </w:rPr>
              <w:t>级</w:t>
            </w:r>
          </w:p>
        </w:tc>
        <w:tc>
          <w:tcPr>
            <w:tcW w:w="1934" w:type="dxa"/>
            <w:vAlign w:val="center"/>
          </w:tcPr>
          <w:p w14:paraId="4D7A3B7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bCs/>
                <w:color w:val="auto"/>
                <w:sz w:val="22"/>
                <w:szCs w:val="22"/>
                <w:vertAlign w:val="baseline"/>
                <w:lang w:val="en-US" w:eastAsia="zh-CN"/>
              </w:rPr>
              <w:t>三</w:t>
            </w:r>
            <w:r>
              <w:rPr>
                <w:rFonts w:hint="eastAsia" w:ascii="Arial" w:hAnsi="Arial" w:cs="Arial"/>
                <w:b/>
                <w:bCs/>
                <w:color w:val="auto"/>
                <w:sz w:val="22"/>
                <w:szCs w:val="22"/>
                <w:vertAlign w:val="baseline"/>
                <w:lang w:val="en-US" w:eastAsia="zh-CN"/>
              </w:rPr>
              <w:t>级</w:t>
            </w:r>
          </w:p>
        </w:tc>
      </w:tr>
    </w:tbl>
    <w:p w14:paraId="59AE1256">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Arial" w:hAnsi="Arial" w:cs="Arial"/>
          <w:b/>
          <w:bCs/>
          <w:color w:val="auto"/>
          <w:kern w:val="0"/>
          <w:sz w:val="26"/>
          <w:szCs w:val="26"/>
          <w:highlight w:val="none"/>
          <w:lang w:val="en-US" w:eastAsia="zh-CN" w:bidi="ar-SA"/>
        </w:rPr>
      </w:pPr>
    </w:p>
    <w:p w14:paraId="5A1ED3DC">
      <w:pPr>
        <w:spacing w:line="460" w:lineRule="exact"/>
        <w:ind w:firstLine="384" w:firstLineChars="147"/>
        <w:jc w:val="both"/>
        <w:rPr>
          <w:rFonts w:hint="eastAsia" w:ascii="Arial" w:hAnsi="Arial" w:cs="Arial"/>
          <w:b/>
          <w:bCs/>
          <w:color w:val="auto"/>
          <w:kern w:val="0"/>
          <w:sz w:val="26"/>
          <w:szCs w:val="26"/>
          <w:highlight w:val="none"/>
          <w:lang w:val="en-US" w:eastAsia="zh-CN" w:bidi="ar-SA"/>
        </w:rPr>
      </w:pPr>
      <w:r>
        <w:rPr>
          <w:rFonts w:hint="eastAsia" w:ascii="Arial" w:hAnsi="Arial" w:cs="Arial"/>
          <w:b/>
          <w:bCs/>
          <w:color w:val="auto"/>
          <w:kern w:val="0"/>
          <w:sz w:val="26"/>
          <w:szCs w:val="26"/>
          <w:highlight w:val="none"/>
          <w:lang w:val="en-US" w:eastAsia="zh-CN" w:bidi="ar-SA"/>
        </w:rPr>
        <w:t>（5）生态环境</w:t>
      </w:r>
    </w:p>
    <w:p w14:paraId="74B8F43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color w:val="auto"/>
          <w:sz w:val="26"/>
          <w:szCs w:val="26"/>
          <w:lang w:val="en-US" w:eastAsia="zh-CN"/>
        </w:rPr>
      </w:pPr>
      <w:r>
        <w:rPr>
          <w:rFonts w:hint="eastAsia" w:ascii="Arial" w:hAnsi="Arial" w:cs="Arial"/>
          <w:color w:val="auto"/>
          <w:sz w:val="26"/>
          <w:szCs w:val="26"/>
          <w:lang w:val="en-US" w:eastAsia="zh-CN"/>
        </w:rPr>
        <w:t>本项目占地及影响范围内不涉及自然保护区、国家公园、世界自然遗产、重要生境、自然公园、生态保护红线等敏感区。</w:t>
      </w:r>
      <w:r>
        <w:rPr>
          <w:rFonts w:hint="eastAsia" w:ascii="Arial" w:hAnsi="Arial" w:eastAsia="宋体" w:cs="Arial"/>
          <w:color w:val="auto"/>
          <w:sz w:val="26"/>
          <w:szCs w:val="26"/>
          <w:lang w:val="en-US" w:eastAsia="zh-CN"/>
        </w:rPr>
        <w:t>根据《环境影响评价技术导则 生态影响》</w:t>
      </w:r>
      <w:r>
        <w:rPr>
          <w:rFonts w:hint="eastAsia" w:ascii="Arial" w:hAnsi="Arial" w:cs="Arial"/>
          <w:color w:val="auto"/>
          <w:sz w:val="26"/>
          <w:szCs w:val="26"/>
          <w:lang w:val="en-US" w:eastAsia="zh-CN"/>
        </w:rPr>
        <w:t>（</w:t>
      </w:r>
      <w:r>
        <w:rPr>
          <w:rFonts w:hint="eastAsia" w:ascii="Arial" w:hAnsi="Arial" w:eastAsia="宋体" w:cs="Arial"/>
          <w:color w:val="auto"/>
          <w:sz w:val="26"/>
          <w:szCs w:val="26"/>
          <w:lang w:val="en-US" w:eastAsia="zh-CN"/>
        </w:rPr>
        <w:t>HJ19-2022</w:t>
      </w:r>
      <w:r>
        <w:rPr>
          <w:rFonts w:hint="eastAsia" w:ascii="Arial" w:hAnsi="Arial" w:cs="Arial"/>
          <w:color w:val="auto"/>
          <w:sz w:val="26"/>
          <w:szCs w:val="26"/>
          <w:lang w:val="en-US" w:eastAsia="zh-CN"/>
        </w:rPr>
        <w:t>）中评价等级判定的条件，结合工程具体情况</w:t>
      </w:r>
      <w:r>
        <w:rPr>
          <w:rFonts w:hint="eastAsia" w:ascii="Arial" w:hAnsi="Arial" w:eastAsia="宋体" w:cs="Arial"/>
          <w:color w:val="auto"/>
          <w:sz w:val="26"/>
          <w:szCs w:val="26"/>
          <w:lang w:val="en-US" w:eastAsia="zh-CN"/>
        </w:rPr>
        <w:t>，</w:t>
      </w:r>
      <w:r>
        <w:rPr>
          <w:rFonts w:hint="eastAsia" w:ascii="Arial" w:hAnsi="Arial" w:cs="Arial"/>
          <w:color w:val="auto"/>
          <w:sz w:val="26"/>
          <w:szCs w:val="26"/>
          <w:lang w:val="en-US" w:eastAsia="zh-CN"/>
        </w:rPr>
        <w:t>确定本项目的生态环境评价等级，详见表1.6-4所示。</w:t>
      </w:r>
    </w:p>
    <w:p w14:paraId="5A771BF7">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cs="Arial"/>
          <w:b/>
          <w:bCs/>
          <w:color w:val="auto"/>
          <w:sz w:val="26"/>
          <w:szCs w:val="26"/>
          <w:lang w:val="en-US" w:eastAsia="zh-CN"/>
        </w:rPr>
      </w:pPr>
      <w:r>
        <w:rPr>
          <w:rFonts w:hint="eastAsia" w:ascii="Arial" w:hAnsi="Arial" w:cs="Arial"/>
          <w:b/>
          <w:bCs/>
          <w:color w:val="auto"/>
          <w:sz w:val="26"/>
          <w:szCs w:val="26"/>
          <w:lang w:val="en-US" w:eastAsia="zh-CN"/>
        </w:rPr>
        <w:t>表1.6-4 生态影响评价工作等级划分表</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3600"/>
        <w:gridCol w:w="1450"/>
        <w:gridCol w:w="1934"/>
        <w:gridCol w:w="1368"/>
      </w:tblGrid>
      <w:tr w14:paraId="052E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14:paraId="7E5A40A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Arial" w:hAnsi="Arial" w:cs="Arial"/>
                <w:b/>
                <w:bCs/>
                <w:color w:val="auto"/>
                <w:sz w:val="22"/>
                <w:szCs w:val="22"/>
                <w:vertAlign w:val="baseline"/>
                <w:lang w:val="en-US" w:eastAsia="zh-CN"/>
              </w:rPr>
              <w:t>序号</w:t>
            </w:r>
          </w:p>
        </w:tc>
        <w:tc>
          <w:tcPr>
            <w:tcW w:w="3600" w:type="dxa"/>
            <w:vAlign w:val="center"/>
          </w:tcPr>
          <w:p w14:paraId="5C42447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Arial" w:hAnsi="Arial" w:cs="Arial"/>
                <w:b/>
                <w:bCs/>
                <w:color w:val="auto"/>
                <w:sz w:val="22"/>
                <w:szCs w:val="22"/>
                <w:vertAlign w:val="baseline"/>
                <w:lang w:val="en-US" w:eastAsia="zh-CN"/>
              </w:rPr>
              <w:t>判定内容</w:t>
            </w:r>
          </w:p>
        </w:tc>
        <w:tc>
          <w:tcPr>
            <w:tcW w:w="1450" w:type="dxa"/>
            <w:vAlign w:val="center"/>
          </w:tcPr>
          <w:p w14:paraId="12385AB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Arial" w:hAnsi="Arial" w:cs="Arial"/>
                <w:b/>
                <w:bCs/>
                <w:color w:val="auto"/>
                <w:sz w:val="22"/>
                <w:szCs w:val="22"/>
                <w:vertAlign w:val="baseline"/>
                <w:lang w:val="en-US" w:eastAsia="zh-CN"/>
              </w:rPr>
              <w:t>等级标准</w:t>
            </w:r>
          </w:p>
        </w:tc>
        <w:tc>
          <w:tcPr>
            <w:tcW w:w="1934" w:type="dxa"/>
            <w:vAlign w:val="center"/>
          </w:tcPr>
          <w:p w14:paraId="0A62CBF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Arial" w:hAnsi="Arial" w:cs="Arial"/>
                <w:b/>
                <w:bCs/>
                <w:color w:val="auto"/>
                <w:sz w:val="22"/>
                <w:szCs w:val="22"/>
                <w:vertAlign w:val="baseline"/>
                <w:lang w:val="en-US" w:eastAsia="zh-CN"/>
              </w:rPr>
              <w:t>项目情况</w:t>
            </w:r>
          </w:p>
        </w:tc>
        <w:tc>
          <w:tcPr>
            <w:tcW w:w="1368" w:type="dxa"/>
            <w:vAlign w:val="center"/>
          </w:tcPr>
          <w:p w14:paraId="4353656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Arial" w:hAnsi="Arial" w:cs="Arial"/>
                <w:b/>
                <w:bCs/>
                <w:color w:val="auto"/>
                <w:sz w:val="22"/>
                <w:szCs w:val="22"/>
                <w:vertAlign w:val="baseline"/>
                <w:lang w:val="en-US" w:eastAsia="zh-CN"/>
              </w:rPr>
              <w:t>判定结果</w:t>
            </w:r>
          </w:p>
        </w:tc>
      </w:tr>
      <w:tr w14:paraId="6FB4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14:paraId="3A1453C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1</w:t>
            </w:r>
          </w:p>
        </w:tc>
        <w:tc>
          <w:tcPr>
            <w:tcW w:w="3600" w:type="dxa"/>
            <w:vAlign w:val="center"/>
          </w:tcPr>
          <w:p w14:paraId="0FB8940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涉及国家公园、自然保护区、世界自然遗产、重要生境</w:t>
            </w:r>
          </w:p>
        </w:tc>
        <w:tc>
          <w:tcPr>
            <w:tcW w:w="1450" w:type="dxa"/>
            <w:vAlign w:val="center"/>
          </w:tcPr>
          <w:p w14:paraId="54469F5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一级</w:t>
            </w:r>
          </w:p>
        </w:tc>
        <w:tc>
          <w:tcPr>
            <w:tcW w:w="1934" w:type="dxa"/>
            <w:vAlign w:val="center"/>
          </w:tcPr>
          <w:p w14:paraId="0B1BCC3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本项目不涉及</w:t>
            </w:r>
          </w:p>
        </w:tc>
        <w:tc>
          <w:tcPr>
            <w:tcW w:w="1368" w:type="dxa"/>
            <w:vAlign w:val="center"/>
          </w:tcPr>
          <w:p w14:paraId="2557ED3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w:t>
            </w:r>
          </w:p>
        </w:tc>
      </w:tr>
      <w:tr w14:paraId="3521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14:paraId="45A18C0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2</w:t>
            </w:r>
          </w:p>
        </w:tc>
        <w:tc>
          <w:tcPr>
            <w:tcW w:w="3600" w:type="dxa"/>
            <w:vAlign w:val="center"/>
          </w:tcPr>
          <w:p w14:paraId="4FD3015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涉及自然公园</w:t>
            </w:r>
          </w:p>
        </w:tc>
        <w:tc>
          <w:tcPr>
            <w:tcW w:w="1450" w:type="dxa"/>
            <w:vAlign w:val="center"/>
          </w:tcPr>
          <w:p w14:paraId="7C8F0E2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二级</w:t>
            </w:r>
          </w:p>
        </w:tc>
        <w:tc>
          <w:tcPr>
            <w:tcW w:w="1934" w:type="dxa"/>
            <w:vAlign w:val="center"/>
          </w:tcPr>
          <w:p w14:paraId="4737AF2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本项目不涉及</w:t>
            </w:r>
          </w:p>
        </w:tc>
        <w:tc>
          <w:tcPr>
            <w:tcW w:w="1368" w:type="dxa"/>
            <w:vAlign w:val="center"/>
          </w:tcPr>
          <w:p w14:paraId="0834E90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w:t>
            </w:r>
          </w:p>
        </w:tc>
      </w:tr>
      <w:tr w14:paraId="5C83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14:paraId="74D2CB9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3</w:t>
            </w:r>
          </w:p>
        </w:tc>
        <w:tc>
          <w:tcPr>
            <w:tcW w:w="3600" w:type="dxa"/>
            <w:vAlign w:val="center"/>
          </w:tcPr>
          <w:p w14:paraId="7B86489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涉及生态保护红线</w:t>
            </w:r>
          </w:p>
        </w:tc>
        <w:tc>
          <w:tcPr>
            <w:tcW w:w="1450" w:type="dxa"/>
            <w:vAlign w:val="center"/>
          </w:tcPr>
          <w:p w14:paraId="749D617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不低于二级</w:t>
            </w:r>
          </w:p>
        </w:tc>
        <w:tc>
          <w:tcPr>
            <w:tcW w:w="1934" w:type="dxa"/>
            <w:vAlign w:val="center"/>
          </w:tcPr>
          <w:p w14:paraId="6D3AE36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本项目不涉及</w:t>
            </w:r>
          </w:p>
        </w:tc>
        <w:tc>
          <w:tcPr>
            <w:tcW w:w="1368" w:type="dxa"/>
            <w:vAlign w:val="center"/>
          </w:tcPr>
          <w:p w14:paraId="78C82CD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w:t>
            </w:r>
          </w:p>
        </w:tc>
      </w:tr>
      <w:tr w14:paraId="1A34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702" w:type="dxa"/>
            <w:vAlign w:val="center"/>
          </w:tcPr>
          <w:p w14:paraId="0DBB4B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4</w:t>
            </w:r>
          </w:p>
        </w:tc>
        <w:tc>
          <w:tcPr>
            <w:tcW w:w="3600" w:type="dxa"/>
            <w:vAlign w:val="center"/>
          </w:tcPr>
          <w:p w14:paraId="05A8D61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根据HJ2.3判定属于水文要素影响型且地表水评价等级不低于二级的建设项目</w:t>
            </w:r>
          </w:p>
        </w:tc>
        <w:tc>
          <w:tcPr>
            <w:tcW w:w="1450" w:type="dxa"/>
            <w:vAlign w:val="center"/>
          </w:tcPr>
          <w:p w14:paraId="593574E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不低于二级</w:t>
            </w:r>
          </w:p>
        </w:tc>
        <w:tc>
          <w:tcPr>
            <w:tcW w:w="1934" w:type="dxa"/>
            <w:vAlign w:val="center"/>
          </w:tcPr>
          <w:p w14:paraId="57F40A3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本项目属于水文要素影响型项目，且地表水环境评价等级为一级。</w:t>
            </w:r>
          </w:p>
        </w:tc>
        <w:tc>
          <w:tcPr>
            <w:tcW w:w="1368" w:type="dxa"/>
            <w:vAlign w:val="center"/>
          </w:tcPr>
          <w:p w14:paraId="621F77D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不低于二级</w:t>
            </w:r>
          </w:p>
        </w:tc>
      </w:tr>
      <w:tr w14:paraId="2AFB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14:paraId="35C44C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5</w:t>
            </w:r>
          </w:p>
        </w:tc>
        <w:tc>
          <w:tcPr>
            <w:tcW w:w="3600" w:type="dxa"/>
            <w:vAlign w:val="center"/>
          </w:tcPr>
          <w:p w14:paraId="63B6933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根据HJ610、HJ964判断地下水水位或土壤影响范围内分布有天然林、公益林、湿地等生态保护目标的建设项目</w:t>
            </w:r>
          </w:p>
        </w:tc>
        <w:tc>
          <w:tcPr>
            <w:tcW w:w="1450" w:type="dxa"/>
            <w:vAlign w:val="center"/>
          </w:tcPr>
          <w:p w14:paraId="3279581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不低于二级</w:t>
            </w:r>
          </w:p>
        </w:tc>
        <w:tc>
          <w:tcPr>
            <w:tcW w:w="1934" w:type="dxa"/>
            <w:vAlign w:val="center"/>
          </w:tcPr>
          <w:p w14:paraId="3283F06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本项目占地范围内涉及公益林</w:t>
            </w:r>
          </w:p>
        </w:tc>
        <w:tc>
          <w:tcPr>
            <w:tcW w:w="1368" w:type="dxa"/>
            <w:vAlign w:val="center"/>
          </w:tcPr>
          <w:p w14:paraId="5921A44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不低于二级</w:t>
            </w:r>
          </w:p>
        </w:tc>
      </w:tr>
      <w:tr w14:paraId="5029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14:paraId="6A6315A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6</w:t>
            </w:r>
          </w:p>
        </w:tc>
        <w:tc>
          <w:tcPr>
            <w:tcW w:w="3600" w:type="dxa"/>
            <w:vAlign w:val="center"/>
          </w:tcPr>
          <w:p w14:paraId="17B8CA5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当工程占地规模大于20km</w:t>
            </w:r>
            <w:r>
              <w:rPr>
                <w:rFonts w:hint="eastAsia" w:ascii="Arial" w:hAnsi="Arial" w:cs="Arial"/>
                <w:b w:val="0"/>
                <w:bCs w:val="0"/>
                <w:color w:val="auto"/>
                <w:sz w:val="22"/>
                <w:szCs w:val="22"/>
                <w:vertAlign w:val="superscript"/>
                <w:lang w:val="en-US" w:eastAsia="zh-CN"/>
              </w:rPr>
              <w:t>2</w:t>
            </w:r>
            <w:r>
              <w:rPr>
                <w:rFonts w:hint="eastAsia" w:ascii="Arial" w:hAnsi="Arial" w:cs="Arial"/>
                <w:b w:val="0"/>
                <w:bCs w:val="0"/>
                <w:color w:val="auto"/>
                <w:sz w:val="22"/>
                <w:szCs w:val="22"/>
                <w:vertAlign w:val="baseline"/>
                <w:lang w:val="en-US" w:eastAsia="zh-CN"/>
              </w:rPr>
              <w:t>时（包括永久和临时占用陆域和水域）；改扩建项目的占地范围以新增占地（包括陆域和水域）确定。</w:t>
            </w:r>
          </w:p>
        </w:tc>
        <w:tc>
          <w:tcPr>
            <w:tcW w:w="1450" w:type="dxa"/>
            <w:vAlign w:val="center"/>
          </w:tcPr>
          <w:p w14:paraId="1B1F71C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不低于二级</w:t>
            </w:r>
          </w:p>
        </w:tc>
        <w:tc>
          <w:tcPr>
            <w:tcW w:w="1934" w:type="dxa"/>
            <w:vAlign w:val="center"/>
          </w:tcPr>
          <w:p w14:paraId="55B3010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本项目总占地面积为0.2412km</w:t>
            </w:r>
            <w:r>
              <w:rPr>
                <w:rFonts w:hint="eastAsia" w:ascii="Arial" w:hAnsi="Arial" w:cs="Arial"/>
                <w:b w:val="0"/>
                <w:bCs w:val="0"/>
                <w:color w:val="auto"/>
                <w:sz w:val="22"/>
                <w:szCs w:val="22"/>
                <w:vertAlign w:val="superscript"/>
                <w:lang w:val="en-US" w:eastAsia="zh-CN"/>
              </w:rPr>
              <w:t>2</w:t>
            </w:r>
          </w:p>
        </w:tc>
        <w:tc>
          <w:tcPr>
            <w:tcW w:w="1368" w:type="dxa"/>
            <w:vAlign w:val="center"/>
          </w:tcPr>
          <w:p w14:paraId="2F44066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w:t>
            </w:r>
          </w:p>
        </w:tc>
      </w:tr>
      <w:tr w14:paraId="4B18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14:paraId="692FB33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7</w:t>
            </w:r>
          </w:p>
        </w:tc>
        <w:tc>
          <w:tcPr>
            <w:tcW w:w="3600" w:type="dxa"/>
            <w:vAlign w:val="center"/>
          </w:tcPr>
          <w:p w14:paraId="147453D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除上述条款以为的情况</w:t>
            </w:r>
          </w:p>
        </w:tc>
        <w:tc>
          <w:tcPr>
            <w:tcW w:w="1450" w:type="dxa"/>
            <w:vAlign w:val="center"/>
          </w:tcPr>
          <w:p w14:paraId="1D8BBEC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三级</w:t>
            </w:r>
          </w:p>
        </w:tc>
        <w:tc>
          <w:tcPr>
            <w:tcW w:w="1934" w:type="dxa"/>
            <w:vAlign w:val="center"/>
          </w:tcPr>
          <w:p w14:paraId="6B97EA7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w:t>
            </w:r>
          </w:p>
        </w:tc>
        <w:tc>
          <w:tcPr>
            <w:tcW w:w="1368" w:type="dxa"/>
            <w:vAlign w:val="center"/>
          </w:tcPr>
          <w:p w14:paraId="1811399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w:t>
            </w:r>
          </w:p>
        </w:tc>
      </w:tr>
    </w:tbl>
    <w:p w14:paraId="2D97B03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Arial" w:hAnsi="Arial" w:cs="Arial"/>
          <w:b/>
          <w:bCs/>
          <w:color w:val="auto"/>
          <w:sz w:val="26"/>
          <w:szCs w:val="26"/>
          <w:lang w:val="en-US" w:eastAsia="zh-CN"/>
        </w:rPr>
      </w:pPr>
    </w:p>
    <w:p w14:paraId="405FBE71">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color w:val="auto"/>
          <w:sz w:val="26"/>
          <w:szCs w:val="26"/>
          <w:lang w:val="en-US" w:eastAsia="zh-CN"/>
        </w:rPr>
      </w:pPr>
      <w:r>
        <w:rPr>
          <w:rFonts w:hint="eastAsia" w:ascii="Arial" w:hAnsi="Arial" w:cs="Arial"/>
          <w:color w:val="auto"/>
          <w:sz w:val="26"/>
          <w:szCs w:val="26"/>
          <w:lang w:val="en-US" w:eastAsia="zh-CN"/>
        </w:rPr>
        <w:t>同时，本项目拦河闸坝建设会导致流域水文情势明显改变，故水生生态评价等级上调一级，为一级评价；陆生生态为二级评价。</w:t>
      </w:r>
    </w:p>
    <w:p w14:paraId="0FD2C12C">
      <w:pPr>
        <w:spacing w:line="460" w:lineRule="exact"/>
        <w:ind w:firstLine="384" w:firstLineChars="147"/>
        <w:jc w:val="both"/>
        <w:rPr>
          <w:rFonts w:hint="eastAsia" w:ascii="Arial" w:hAnsi="Arial" w:cs="Arial"/>
          <w:b/>
          <w:bCs/>
          <w:kern w:val="0"/>
          <w:sz w:val="26"/>
          <w:szCs w:val="26"/>
          <w:lang w:val="en-US" w:eastAsia="zh-CN" w:bidi="ar-SA"/>
        </w:rPr>
      </w:pPr>
      <w:r>
        <w:rPr>
          <w:rFonts w:hint="eastAsia" w:ascii="Arial" w:hAnsi="Arial" w:cs="Arial"/>
          <w:b/>
          <w:bCs/>
          <w:kern w:val="0"/>
          <w:sz w:val="26"/>
          <w:szCs w:val="26"/>
          <w:lang w:val="en-US" w:eastAsia="zh-CN" w:bidi="ar-SA"/>
        </w:rPr>
        <w:t>（6）土壤环境</w:t>
      </w:r>
    </w:p>
    <w:p w14:paraId="123B614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lang w:val="en-US" w:eastAsia="zh-CN"/>
        </w:rPr>
        <w:t>根据《环境影响评价技术导则 土壤环境（试行）》（HJ964-2018），本项目属于其附录A中的“水利”，库容80.51万m</w:t>
      </w:r>
      <w:r>
        <w:rPr>
          <w:rFonts w:hint="eastAsia" w:ascii="Arial" w:hAnsi="Arial" w:cs="Arial"/>
          <w:sz w:val="26"/>
          <w:szCs w:val="26"/>
          <w:vertAlign w:val="superscript"/>
          <w:lang w:val="en-US" w:eastAsia="zh-CN"/>
        </w:rPr>
        <w:t>3</w:t>
      </w:r>
      <w:r>
        <w:rPr>
          <w:rFonts w:hint="eastAsia" w:ascii="Arial" w:hAnsi="Arial" w:cs="Arial"/>
          <w:sz w:val="26"/>
          <w:szCs w:val="26"/>
          <w:lang w:val="en-US" w:eastAsia="zh-CN"/>
        </w:rPr>
        <w:t>，且不涉及跨流域调水，故为</w:t>
      </w:r>
      <w:r>
        <w:rPr>
          <w:rFonts w:hint="eastAsia" w:ascii="宋体" w:hAnsi="宋体" w:eastAsia="宋体" w:cs="宋体"/>
          <w:sz w:val="26"/>
          <w:szCs w:val="26"/>
          <w:lang w:val="en-US" w:eastAsia="zh-CN"/>
        </w:rPr>
        <w:t>Ⅲ</w:t>
      </w:r>
      <w:r>
        <w:rPr>
          <w:rFonts w:hint="eastAsia" w:ascii="Arial" w:hAnsi="Arial" w:cs="Arial"/>
          <w:sz w:val="26"/>
          <w:szCs w:val="26"/>
          <w:lang w:val="en-US" w:eastAsia="zh-CN"/>
        </w:rPr>
        <w:t>类项目；根据土壤环境质量现状监测结果可知，项目所在区pH为7.44、含盐量为0.8g/kg，未出现盐化、酸化和碱化现象，土壤环境不敏感。因此本项目可不进行土壤环境影响评价。</w:t>
      </w:r>
    </w:p>
    <w:p w14:paraId="46411148">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cs="Arial"/>
          <w:b/>
          <w:bCs/>
          <w:color w:val="auto"/>
          <w:sz w:val="26"/>
          <w:szCs w:val="26"/>
          <w:lang w:val="en-US" w:eastAsia="zh-CN"/>
        </w:rPr>
      </w:pPr>
      <w:r>
        <w:rPr>
          <w:rFonts w:hint="eastAsia" w:ascii="Arial" w:hAnsi="Arial" w:cs="Arial"/>
          <w:b/>
          <w:bCs/>
          <w:color w:val="auto"/>
          <w:sz w:val="26"/>
          <w:szCs w:val="26"/>
          <w:lang w:val="en-US" w:eastAsia="zh-CN"/>
        </w:rPr>
        <w:t>表1.6-5 土壤环境影响评价工作等级划分表</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2575"/>
        <w:gridCol w:w="1450"/>
        <w:gridCol w:w="1934"/>
      </w:tblGrid>
      <w:tr w14:paraId="5E963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Align w:val="center"/>
          </w:tcPr>
          <w:p w14:paraId="6F2DCC9B">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Arial" w:hAnsi="Arial" w:cs="Arial"/>
                <w:b/>
                <w:bCs/>
                <w:color w:val="auto"/>
                <w:sz w:val="22"/>
                <w:szCs w:val="22"/>
                <w:vertAlign w:val="baseline"/>
                <w:lang w:val="en-US" w:eastAsia="zh-CN"/>
              </w:rPr>
            </w:pPr>
            <w:r>
              <w:rPr>
                <w:rFonts w:hint="eastAsia" w:ascii="Arial" w:hAnsi="Arial" w:cs="Arial"/>
                <w:b/>
                <w:bCs/>
                <w:color w:val="auto"/>
                <w:sz w:val="22"/>
                <w:szCs w:val="22"/>
                <w:vertAlign w:val="baseline"/>
                <w:lang w:val="en-US" w:eastAsia="zh-CN"/>
              </w:rPr>
              <w:t>项目类别</w:t>
            </w:r>
          </w:p>
          <w:p w14:paraId="3679226D">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Arial" w:hAnsi="Arial" w:cs="Arial"/>
                <w:b/>
                <w:bCs/>
                <w:color w:val="auto"/>
                <w:sz w:val="22"/>
                <w:szCs w:val="22"/>
                <w:vertAlign w:val="baseline"/>
                <w:lang w:val="en-US" w:eastAsia="zh-CN"/>
              </w:rPr>
            </w:pPr>
            <w:r>
              <w:rPr>
                <w:rFonts w:hint="eastAsia" w:ascii="Arial" w:hAnsi="Arial" w:cs="Arial"/>
                <w:b/>
                <w:bCs/>
                <w:color w:val="auto"/>
                <w:sz w:val="22"/>
                <w:szCs w:val="22"/>
                <w:vertAlign w:val="baseline"/>
                <w:lang w:val="en-US" w:eastAsia="zh-CN"/>
              </w:rPr>
              <w:t>环境敏感程度</w:t>
            </w:r>
          </w:p>
        </w:tc>
        <w:tc>
          <w:tcPr>
            <w:tcW w:w="2575" w:type="dxa"/>
            <w:vAlign w:val="center"/>
          </w:tcPr>
          <w:p w14:paraId="40067EB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宋体" w:hAnsi="宋体" w:eastAsia="宋体" w:cs="宋体"/>
                <w:b/>
                <w:bCs/>
                <w:color w:val="auto"/>
                <w:sz w:val="22"/>
                <w:szCs w:val="22"/>
                <w:vertAlign w:val="baseline"/>
                <w:lang w:val="en-US" w:eastAsia="zh-CN"/>
              </w:rPr>
              <w:t>Ⅰ类项目</w:t>
            </w:r>
          </w:p>
        </w:tc>
        <w:tc>
          <w:tcPr>
            <w:tcW w:w="1450" w:type="dxa"/>
            <w:vAlign w:val="center"/>
          </w:tcPr>
          <w:p w14:paraId="5AE5C44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宋体" w:hAnsi="宋体" w:eastAsia="宋体" w:cs="宋体"/>
                <w:b/>
                <w:bCs/>
                <w:color w:val="auto"/>
                <w:sz w:val="22"/>
                <w:szCs w:val="22"/>
                <w:vertAlign w:val="baseline"/>
                <w:lang w:val="en-US" w:eastAsia="zh-CN"/>
              </w:rPr>
              <w:t>Ⅱ类项目</w:t>
            </w:r>
          </w:p>
        </w:tc>
        <w:tc>
          <w:tcPr>
            <w:tcW w:w="1934" w:type="dxa"/>
            <w:vAlign w:val="center"/>
          </w:tcPr>
          <w:p w14:paraId="5B7646A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bCs/>
                <w:color w:val="auto"/>
                <w:sz w:val="22"/>
                <w:szCs w:val="22"/>
                <w:vertAlign w:val="baseline"/>
                <w:lang w:val="en-US" w:eastAsia="zh-CN"/>
              </w:rPr>
            </w:pPr>
            <w:r>
              <w:rPr>
                <w:rFonts w:hint="eastAsia" w:ascii="宋体" w:hAnsi="宋体" w:eastAsia="宋体" w:cs="宋体"/>
                <w:b/>
                <w:bCs/>
                <w:color w:val="auto"/>
                <w:sz w:val="22"/>
                <w:szCs w:val="22"/>
                <w:vertAlign w:val="baseline"/>
                <w:lang w:val="en-US" w:eastAsia="zh-CN"/>
              </w:rPr>
              <w:t>Ⅲ类项目</w:t>
            </w:r>
          </w:p>
        </w:tc>
      </w:tr>
      <w:tr w14:paraId="50E5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Align w:val="center"/>
          </w:tcPr>
          <w:p w14:paraId="0FCE6C2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敏感</w:t>
            </w:r>
          </w:p>
        </w:tc>
        <w:tc>
          <w:tcPr>
            <w:tcW w:w="2575" w:type="dxa"/>
            <w:vAlign w:val="center"/>
          </w:tcPr>
          <w:p w14:paraId="5829A80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一</w:t>
            </w:r>
            <w:r>
              <w:rPr>
                <w:rFonts w:hint="eastAsia" w:ascii="Arial" w:hAnsi="Arial" w:cs="Arial"/>
                <w:b w:val="0"/>
                <w:bCs w:val="0"/>
                <w:color w:val="auto"/>
                <w:sz w:val="22"/>
                <w:szCs w:val="22"/>
                <w:vertAlign w:val="baseline"/>
                <w:lang w:val="en-US" w:eastAsia="zh-CN"/>
              </w:rPr>
              <w:t>级</w:t>
            </w:r>
          </w:p>
        </w:tc>
        <w:tc>
          <w:tcPr>
            <w:tcW w:w="1450" w:type="dxa"/>
            <w:vAlign w:val="center"/>
          </w:tcPr>
          <w:p w14:paraId="27060A4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二级</w:t>
            </w:r>
          </w:p>
        </w:tc>
        <w:tc>
          <w:tcPr>
            <w:tcW w:w="1934" w:type="dxa"/>
            <w:vAlign w:val="center"/>
          </w:tcPr>
          <w:p w14:paraId="1D3A732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三级</w:t>
            </w:r>
          </w:p>
        </w:tc>
      </w:tr>
      <w:tr w14:paraId="61E15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Align w:val="center"/>
          </w:tcPr>
          <w:p w14:paraId="4B354CE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较敏感</w:t>
            </w:r>
          </w:p>
        </w:tc>
        <w:tc>
          <w:tcPr>
            <w:tcW w:w="2575" w:type="dxa"/>
            <w:vAlign w:val="center"/>
          </w:tcPr>
          <w:p w14:paraId="2E52F75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二级</w:t>
            </w:r>
          </w:p>
        </w:tc>
        <w:tc>
          <w:tcPr>
            <w:tcW w:w="1450" w:type="dxa"/>
            <w:vAlign w:val="center"/>
          </w:tcPr>
          <w:p w14:paraId="71F465C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二级</w:t>
            </w:r>
          </w:p>
        </w:tc>
        <w:tc>
          <w:tcPr>
            <w:tcW w:w="1934" w:type="dxa"/>
            <w:vAlign w:val="center"/>
          </w:tcPr>
          <w:p w14:paraId="7AA65CD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三级</w:t>
            </w:r>
          </w:p>
        </w:tc>
      </w:tr>
      <w:tr w14:paraId="2148A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vAlign w:val="center"/>
          </w:tcPr>
          <w:p w14:paraId="14B516D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不敏感</w:t>
            </w:r>
          </w:p>
        </w:tc>
        <w:tc>
          <w:tcPr>
            <w:tcW w:w="2575" w:type="dxa"/>
            <w:vAlign w:val="center"/>
          </w:tcPr>
          <w:p w14:paraId="2495799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default" w:ascii="Arial" w:hAnsi="Arial" w:cs="Arial"/>
                <w:b w:val="0"/>
                <w:bCs w:val="0"/>
                <w:color w:val="auto"/>
                <w:sz w:val="22"/>
                <w:szCs w:val="22"/>
                <w:vertAlign w:val="baseline"/>
                <w:lang w:val="en-US" w:eastAsia="zh-CN"/>
              </w:rPr>
              <w:t>二</w:t>
            </w:r>
            <w:r>
              <w:rPr>
                <w:rFonts w:hint="eastAsia" w:ascii="Arial" w:hAnsi="Arial" w:cs="Arial"/>
                <w:b w:val="0"/>
                <w:bCs w:val="0"/>
                <w:color w:val="auto"/>
                <w:sz w:val="22"/>
                <w:szCs w:val="22"/>
                <w:vertAlign w:val="baseline"/>
                <w:lang w:val="en-US" w:eastAsia="zh-CN"/>
              </w:rPr>
              <w:t>级</w:t>
            </w:r>
          </w:p>
        </w:tc>
        <w:tc>
          <w:tcPr>
            <w:tcW w:w="1450" w:type="dxa"/>
            <w:vAlign w:val="center"/>
          </w:tcPr>
          <w:p w14:paraId="2AB96EC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三级</w:t>
            </w:r>
          </w:p>
        </w:tc>
        <w:tc>
          <w:tcPr>
            <w:tcW w:w="1934" w:type="dxa"/>
            <w:vAlign w:val="center"/>
          </w:tcPr>
          <w:p w14:paraId="44C6631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color w:val="auto"/>
                <w:sz w:val="22"/>
                <w:szCs w:val="22"/>
                <w:vertAlign w:val="baseline"/>
                <w:lang w:val="en-US" w:eastAsia="zh-CN"/>
              </w:rPr>
            </w:pPr>
            <w:r>
              <w:rPr>
                <w:rFonts w:hint="eastAsia" w:ascii="Arial" w:hAnsi="Arial" w:cs="Arial"/>
                <w:b w:val="0"/>
                <w:bCs w:val="0"/>
                <w:color w:val="auto"/>
                <w:sz w:val="22"/>
                <w:szCs w:val="22"/>
                <w:vertAlign w:val="baseline"/>
                <w:lang w:val="en-US" w:eastAsia="zh-CN"/>
              </w:rPr>
              <w:t>/</w:t>
            </w:r>
          </w:p>
        </w:tc>
      </w:tr>
    </w:tbl>
    <w:p w14:paraId="73ECAB8A">
      <w:pPr>
        <w:pStyle w:val="19"/>
        <w:keepNext w:val="0"/>
        <w:keepLines w:val="0"/>
        <w:pageBreakBefore w:val="0"/>
        <w:widowControl w:val="0"/>
        <w:kinsoku/>
        <w:wordWrap/>
        <w:overflowPunct/>
        <w:topLinePunct w:val="0"/>
        <w:autoSpaceDE/>
        <w:autoSpaceDN/>
        <w:bidi w:val="0"/>
        <w:adjustRightInd w:val="0"/>
        <w:snapToGrid w:val="0"/>
        <w:spacing w:line="240" w:lineRule="exact"/>
        <w:ind w:firstLine="522"/>
        <w:textAlignment w:val="auto"/>
        <w:outlineLvl w:val="2"/>
        <w:rPr>
          <w:rFonts w:hint="eastAsia" w:ascii="Arial" w:hAnsi="Arial" w:eastAsia="宋体" w:cs="Arial"/>
          <w:b/>
          <w:color w:val="auto"/>
          <w:kern w:val="0"/>
          <w:sz w:val="26"/>
          <w:szCs w:val="20"/>
          <w:highlight w:val="none"/>
          <w:lang w:val="en-US" w:eastAsia="zh-CN"/>
        </w:rPr>
      </w:pPr>
      <w:bookmarkStart w:id="58" w:name="_Toc34987795"/>
      <w:bookmarkStart w:id="59" w:name="_Toc36040994"/>
    </w:p>
    <w:p w14:paraId="2FDD9D35">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6</w:t>
      </w:r>
      <w:r>
        <w:rPr>
          <w:rFonts w:hint="eastAsia" w:ascii="Arial" w:hAnsi="Arial" w:eastAsia="宋体" w:cs="Arial"/>
          <w:b/>
          <w:color w:val="auto"/>
          <w:kern w:val="0"/>
          <w:sz w:val="26"/>
          <w:szCs w:val="20"/>
          <w:highlight w:val="none"/>
          <w:lang w:val="en-US" w:eastAsia="zh-CN"/>
        </w:rPr>
        <w:t>.2 评价范围</w:t>
      </w:r>
      <w:bookmarkEnd w:id="58"/>
      <w:bookmarkEnd w:id="59"/>
    </w:p>
    <w:p w14:paraId="606D71A0">
      <w:pPr>
        <w:spacing w:line="460" w:lineRule="exact"/>
        <w:ind w:firstLine="384" w:firstLineChars="147"/>
        <w:jc w:val="both"/>
        <w:rPr>
          <w:rFonts w:hint="eastAsia" w:ascii="Arial" w:hAnsi="Arial" w:cs="Arial"/>
          <w:b/>
          <w:bCs/>
          <w:kern w:val="0"/>
          <w:sz w:val="26"/>
          <w:szCs w:val="26"/>
          <w:highlight w:val="none"/>
          <w:lang w:val="en-US" w:eastAsia="zh-CN" w:bidi="ar-SA"/>
        </w:rPr>
      </w:pPr>
      <w:r>
        <w:rPr>
          <w:rFonts w:hint="eastAsia" w:ascii="Arial" w:hAnsi="Arial" w:cs="Arial"/>
          <w:b/>
          <w:bCs/>
          <w:kern w:val="0"/>
          <w:sz w:val="26"/>
          <w:szCs w:val="26"/>
          <w:highlight w:val="none"/>
          <w:lang w:val="en-US" w:eastAsia="zh-CN" w:bidi="ar-SA"/>
        </w:rPr>
        <w:t>（1）声环境</w:t>
      </w:r>
    </w:p>
    <w:p w14:paraId="16F6244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lang w:val="en-US" w:eastAsia="zh-CN"/>
        </w:rPr>
        <w:t>项目施工期的声环境范围为项目施工场界周边200m范围内以及施工便道两侧200m范围。</w:t>
      </w:r>
    </w:p>
    <w:p w14:paraId="457A6120">
      <w:pPr>
        <w:spacing w:line="460" w:lineRule="exact"/>
        <w:ind w:firstLine="384" w:firstLineChars="147"/>
        <w:jc w:val="both"/>
        <w:rPr>
          <w:rFonts w:hint="default" w:ascii="Arial" w:hAnsi="Arial" w:cs="Arial"/>
          <w:b/>
          <w:bCs/>
          <w:kern w:val="0"/>
          <w:sz w:val="26"/>
          <w:szCs w:val="26"/>
          <w:lang w:val="en-US" w:eastAsia="zh-CN" w:bidi="ar-SA"/>
        </w:rPr>
      </w:pPr>
      <w:r>
        <w:rPr>
          <w:rFonts w:hint="eastAsia" w:ascii="Arial" w:hAnsi="Arial" w:cs="Arial"/>
          <w:b/>
          <w:bCs/>
          <w:kern w:val="0"/>
          <w:sz w:val="26"/>
          <w:szCs w:val="26"/>
          <w:lang w:val="en-US" w:eastAsia="zh-CN" w:bidi="ar-SA"/>
        </w:rPr>
        <w:t>（2）大气环境</w:t>
      </w:r>
    </w:p>
    <w:p w14:paraId="342F7BD7">
      <w:pPr>
        <w:pStyle w:val="2082"/>
        <w:keepNext w:val="0"/>
        <w:keepLines w:val="0"/>
        <w:pageBreakBefore w:val="0"/>
        <w:widowControl w:val="0"/>
        <w:kinsoku/>
        <w:wordWrap/>
        <w:overflowPunct/>
        <w:topLinePunct w:val="0"/>
        <w:autoSpaceDE/>
        <w:autoSpaceDN/>
        <w:bidi w:val="0"/>
        <w:adjustRightInd w:val="0"/>
        <w:snapToGrid w:val="0"/>
        <w:spacing w:line="480" w:lineRule="exact"/>
        <w:ind w:firstLine="560"/>
        <w:textAlignment w:val="auto"/>
        <w:rPr>
          <w:rFonts w:hint="default" w:ascii="Arial" w:hAnsi="Arial" w:eastAsia="宋体" w:cs="Arial"/>
          <w:kern w:val="2"/>
          <w:sz w:val="26"/>
          <w:szCs w:val="26"/>
          <w:lang w:val="en-US" w:eastAsia="zh-CN" w:bidi="ar-SA"/>
        </w:rPr>
      </w:pPr>
      <w:r>
        <w:rPr>
          <w:rFonts w:hint="default" w:ascii="Arial" w:hAnsi="Arial" w:eastAsia="宋体" w:cs="Arial"/>
          <w:kern w:val="2"/>
          <w:sz w:val="26"/>
          <w:szCs w:val="26"/>
          <w:lang w:val="en-US" w:eastAsia="zh-CN" w:bidi="ar-SA"/>
        </w:rPr>
        <w:t>拟建项目大气环境影响评价等级为三级</w:t>
      </w:r>
      <w:r>
        <w:rPr>
          <w:rFonts w:hint="eastAsia" w:ascii="Arial" w:hAnsi="Arial" w:eastAsia="宋体" w:cs="Arial"/>
          <w:kern w:val="2"/>
          <w:sz w:val="26"/>
          <w:szCs w:val="26"/>
          <w:lang w:val="en-US" w:eastAsia="zh-CN" w:bidi="ar-SA"/>
        </w:rPr>
        <w:t>，不需</w:t>
      </w:r>
      <w:r>
        <w:rPr>
          <w:rFonts w:hint="default" w:ascii="Arial" w:hAnsi="Arial" w:eastAsia="宋体" w:cs="Arial"/>
          <w:kern w:val="2"/>
          <w:sz w:val="26"/>
          <w:szCs w:val="26"/>
          <w:lang w:val="en-US" w:eastAsia="zh-CN" w:bidi="ar-SA"/>
        </w:rPr>
        <w:t>设置大气环境影响评价范围</w:t>
      </w:r>
      <w:r>
        <w:rPr>
          <w:rFonts w:hint="eastAsia" w:ascii="Arial" w:hAnsi="Arial" w:eastAsia="宋体" w:cs="Arial"/>
          <w:kern w:val="2"/>
          <w:sz w:val="26"/>
          <w:szCs w:val="26"/>
          <w:lang w:val="en-US" w:eastAsia="zh-CN" w:bidi="ar-SA"/>
        </w:rPr>
        <w:t>。但考虑到工程建设内容较多，将枢纽工程、弃渣场四周200m范围及施工便道、输水管线两侧200m作为施工期环境空气评价范围。</w:t>
      </w:r>
    </w:p>
    <w:p w14:paraId="00E0CDA9">
      <w:pPr>
        <w:spacing w:line="460" w:lineRule="exact"/>
        <w:ind w:firstLine="384" w:firstLineChars="147"/>
        <w:jc w:val="both"/>
        <w:rPr>
          <w:rFonts w:hint="eastAsia" w:ascii="Arial" w:hAnsi="Arial" w:cs="Arial"/>
          <w:b/>
          <w:bCs/>
          <w:kern w:val="0"/>
          <w:sz w:val="26"/>
          <w:szCs w:val="26"/>
          <w:lang w:val="en-US" w:eastAsia="zh-CN" w:bidi="ar-SA"/>
        </w:rPr>
      </w:pPr>
      <w:r>
        <w:rPr>
          <w:rFonts w:hint="eastAsia" w:ascii="Arial" w:hAnsi="Arial" w:cs="Arial"/>
          <w:b/>
          <w:bCs/>
          <w:kern w:val="0"/>
          <w:sz w:val="26"/>
          <w:szCs w:val="26"/>
          <w:lang w:val="en-US" w:eastAsia="zh-CN" w:bidi="ar-SA"/>
        </w:rPr>
        <w:t>（3）地表水环境</w:t>
      </w:r>
    </w:p>
    <w:p w14:paraId="08B2420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lang w:val="en-US" w:eastAsia="zh-CN"/>
        </w:rPr>
      </w:pPr>
      <w:r>
        <w:rPr>
          <w:rFonts w:hint="eastAsia" w:ascii="Arial" w:hAnsi="Arial" w:cs="Arial"/>
          <w:sz w:val="26"/>
          <w:szCs w:val="26"/>
          <w:lang w:val="en-US" w:eastAsia="zh-CN"/>
        </w:rPr>
        <w:t>海螺沟：枢纽库区回水河段长0.55km，坝后减水河段1.54km。</w:t>
      </w:r>
    </w:p>
    <w:p w14:paraId="0E74078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lang w:val="en-US" w:eastAsia="zh-CN"/>
        </w:rPr>
        <w:t>高洞桥河：灌溉及人饮退水影响河段长约5.71km。</w:t>
      </w:r>
    </w:p>
    <w:p w14:paraId="26055B7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lang w:val="en-US" w:eastAsia="zh-CN"/>
        </w:rPr>
      </w:pPr>
      <w:r>
        <w:rPr>
          <w:rFonts w:hint="eastAsia" w:ascii="Arial" w:hAnsi="Arial" w:cs="Arial"/>
          <w:sz w:val="26"/>
          <w:szCs w:val="26"/>
          <w:lang w:val="en-US" w:eastAsia="zh-CN"/>
        </w:rPr>
        <w:t>双龙河：灌溉及人饮退水影响河段长约0.68km。</w:t>
      </w:r>
    </w:p>
    <w:p w14:paraId="56CF1DDD">
      <w:pPr>
        <w:spacing w:line="460" w:lineRule="exact"/>
        <w:ind w:firstLine="384" w:firstLineChars="147"/>
        <w:jc w:val="both"/>
        <w:rPr>
          <w:rFonts w:hint="eastAsia" w:ascii="Arial" w:hAnsi="Arial" w:cs="Arial"/>
          <w:b/>
          <w:bCs/>
          <w:kern w:val="0"/>
          <w:sz w:val="26"/>
          <w:szCs w:val="26"/>
          <w:lang w:val="en-US" w:eastAsia="zh-CN" w:bidi="ar-SA"/>
        </w:rPr>
      </w:pPr>
      <w:r>
        <w:rPr>
          <w:rFonts w:hint="eastAsia" w:ascii="Arial" w:hAnsi="Arial" w:cs="Arial"/>
          <w:b/>
          <w:bCs/>
          <w:kern w:val="0"/>
          <w:sz w:val="26"/>
          <w:szCs w:val="26"/>
          <w:lang w:val="en-US" w:eastAsia="zh-CN" w:bidi="ar-SA"/>
        </w:rPr>
        <w:t>（4）地下水</w:t>
      </w:r>
    </w:p>
    <w:p w14:paraId="27FC05E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lang w:val="en-US" w:eastAsia="zh-CN"/>
        </w:rPr>
      </w:pPr>
      <w:r>
        <w:rPr>
          <w:rFonts w:hint="eastAsia" w:ascii="Arial" w:hAnsi="Arial" w:cs="Arial"/>
          <w:sz w:val="26"/>
          <w:szCs w:val="26"/>
          <w:lang w:val="en-US" w:eastAsia="zh-CN"/>
        </w:rPr>
        <w:t>库区两岸山脊线以内及灌区，面积合计约3.37km</w:t>
      </w:r>
      <w:r>
        <w:rPr>
          <w:rFonts w:hint="eastAsia" w:ascii="Arial" w:hAnsi="Arial" w:cs="Arial"/>
          <w:sz w:val="26"/>
          <w:szCs w:val="26"/>
          <w:vertAlign w:val="superscript"/>
          <w:lang w:val="en-US" w:eastAsia="zh-CN"/>
        </w:rPr>
        <w:t>2</w:t>
      </w:r>
      <w:r>
        <w:rPr>
          <w:rFonts w:hint="eastAsia" w:ascii="Arial" w:hAnsi="Arial" w:cs="Arial"/>
          <w:sz w:val="26"/>
          <w:szCs w:val="26"/>
          <w:lang w:val="en-US" w:eastAsia="zh-CN"/>
        </w:rPr>
        <w:t>。</w:t>
      </w:r>
    </w:p>
    <w:p w14:paraId="1A33454D">
      <w:pPr>
        <w:spacing w:line="460" w:lineRule="exact"/>
        <w:ind w:firstLine="384" w:firstLineChars="147"/>
        <w:jc w:val="both"/>
        <w:rPr>
          <w:rFonts w:hint="eastAsia" w:ascii="Arial" w:hAnsi="Arial" w:cs="Arial"/>
          <w:b/>
          <w:bCs/>
          <w:kern w:val="0"/>
          <w:sz w:val="26"/>
          <w:szCs w:val="26"/>
          <w:lang w:val="en-US" w:eastAsia="zh-CN" w:bidi="ar-SA"/>
        </w:rPr>
      </w:pPr>
      <w:r>
        <w:rPr>
          <w:rFonts w:hint="eastAsia" w:ascii="Arial" w:hAnsi="Arial" w:cs="Arial"/>
          <w:b/>
          <w:bCs/>
          <w:kern w:val="0"/>
          <w:sz w:val="26"/>
          <w:szCs w:val="26"/>
          <w:lang w:val="en-US" w:eastAsia="zh-CN" w:bidi="ar-SA"/>
        </w:rPr>
        <w:t>（5）生态环境</w:t>
      </w:r>
    </w:p>
    <w:p w14:paraId="2F6C804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color w:val="auto"/>
          <w:sz w:val="26"/>
          <w:szCs w:val="26"/>
          <w:lang w:val="en-US" w:eastAsia="zh-CN"/>
        </w:rPr>
      </w:pPr>
      <w:r>
        <w:rPr>
          <w:rFonts w:hint="eastAsia" w:ascii="Arial" w:hAnsi="Arial" w:cs="Arial"/>
          <w:color w:val="auto"/>
          <w:sz w:val="26"/>
          <w:szCs w:val="26"/>
          <w:lang w:val="en-US" w:eastAsia="zh-CN"/>
        </w:rPr>
        <w:t>水生生态：库区海螺沟水域约0.55km、坝后海螺沟减水河段1.54km、灌溉及人饮退水影响高洞桥河河段5.71km、双龙河河段0.68km。</w:t>
      </w:r>
    </w:p>
    <w:p w14:paraId="04C9A68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color w:val="auto"/>
          <w:sz w:val="26"/>
          <w:szCs w:val="26"/>
          <w:highlight w:val="none"/>
          <w:lang w:val="en-US" w:eastAsia="zh-CN"/>
        </w:rPr>
      </w:pPr>
      <w:r>
        <w:rPr>
          <w:rFonts w:hint="eastAsia" w:ascii="Arial" w:hAnsi="Arial" w:cs="Arial"/>
          <w:color w:val="auto"/>
          <w:sz w:val="26"/>
          <w:szCs w:val="26"/>
          <w:highlight w:val="none"/>
          <w:lang w:val="en-US" w:eastAsia="zh-CN"/>
        </w:rPr>
        <w:t>陆生生态：水库枢纽及库区两岸山脊线以内的陆域坡面，约</w:t>
      </w:r>
      <w:r>
        <w:rPr>
          <w:rFonts w:hint="eastAsia" w:ascii="Arial" w:hAnsi="Arial" w:eastAsia="宋体" w:cs="Arial"/>
          <w:color w:val="auto"/>
          <w:kern w:val="0"/>
          <w:sz w:val="26"/>
          <w:szCs w:val="26"/>
          <w:highlight w:val="none"/>
          <w:lang w:val="en-US" w:eastAsia="zh-CN"/>
        </w:rPr>
        <w:t>2.04km</w:t>
      </w:r>
      <w:r>
        <w:rPr>
          <w:rFonts w:hint="eastAsia" w:ascii="Arial" w:hAnsi="Arial" w:eastAsia="宋体" w:cs="Arial"/>
          <w:color w:val="auto"/>
          <w:kern w:val="0"/>
          <w:sz w:val="26"/>
          <w:szCs w:val="26"/>
          <w:highlight w:val="none"/>
          <w:vertAlign w:val="superscript"/>
          <w:lang w:val="en-US" w:eastAsia="zh-CN"/>
        </w:rPr>
        <w:t>2</w:t>
      </w:r>
      <w:r>
        <w:rPr>
          <w:rFonts w:hint="eastAsia" w:ascii="Arial" w:hAnsi="Arial" w:cs="Arial"/>
          <w:color w:val="auto"/>
          <w:kern w:val="0"/>
          <w:sz w:val="26"/>
          <w:szCs w:val="26"/>
          <w:highlight w:val="none"/>
          <w:lang w:val="en-US" w:eastAsia="zh-CN"/>
        </w:rPr>
        <w:t>。</w:t>
      </w:r>
    </w:p>
    <w:p w14:paraId="7F64C161">
      <w:pPr>
        <w:spacing w:line="460" w:lineRule="exact"/>
        <w:ind w:firstLine="384" w:firstLineChars="147"/>
        <w:jc w:val="both"/>
        <w:rPr>
          <w:rFonts w:hint="eastAsia" w:ascii="Arial" w:hAnsi="Arial" w:cs="Arial"/>
          <w:b/>
          <w:bCs/>
          <w:kern w:val="0"/>
          <w:sz w:val="26"/>
          <w:szCs w:val="26"/>
          <w:lang w:val="en-US" w:eastAsia="zh-CN" w:bidi="ar-SA"/>
        </w:rPr>
      </w:pPr>
      <w:r>
        <w:rPr>
          <w:rFonts w:hint="eastAsia" w:ascii="Arial" w:hAnsi="Arial" w:cs="Arial"/>
          <w:b/>
          <w:bCs/>
          <w:kern w:val="0"/>
          <w:sz w:val="26"/>
          <w:szCs w:val="26"/>
          <w:lang w:val="en-US" w:eastAsia="zh-CN" w:bidi="ar-SA"/>
        </w:rPr>
        <w:t>（6）土壤环境</w:t>
      </w:r>
    </w:p>
    <w:p w14:paraId="0D35CC3A">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bCs w:val="0"/>
          <w:kern w:val="0"/>
          <w:sz w:val="26"/>
          <w:szCs w:val="26"/>
          <w:lang w:val="en-US" w:eastAsia="zh-CN" w:bidi="ar-SA"/>
        </w:rPr>
      </w:pPr>
      <w:r>
        <w:rPr>
          <w:rFonts w:hint="eastAsia" w:ascii="Arial" w:hAnsi="Arial" w:cs="Arial"/>
          <w:b w:val="0"/>
          <w:bCs w:val="0"/>
          <w:kern w:val="0"/>
          <w:sz w:val="26"/>
          <w:szCs w:val="26"/>
          <w:lang w:val="en-US" w:eastAsia="zh-CN" w:bidi="ar-SA"/>
        </w:rPr>
        <w:t>根据《环境影响评价技术导则 土壤环境（试行）》（HJ964-2018），本项目可不开展土壤环境影响评价，故不设土壤环境评价范围。</w:t>
      </w:r>
    </w:p>
    <w:p w14:paraId="3290A14B">
      <w:pPr>
        <w:keepNext w:val="0"/>
        <w:keepLines w:val="0"/>
        <w:pageBreakBefore w:val="0"/>
        <w:widowControl w:val="0"/>
        <w:kinsoku/>
        <w:wordWrap/>
        <w:overflowPunct/>
        <w:topLinePunct w:val="0"/>
        <w:autoSpaceDE/>
        <w:autoSpaceDN/>
        <w:bidi w:val="0"/>
        <w:spacing w:line="480" w:lineRule="exact"/>
        <w:ind w:firstLine="522" w:firstLineChars="200"/>
        <w:textAlignment w:val="auto"/>
        <w:outlineLvl w:val="1"/>
        <w:rPr>
          <w:rFonts w:hint="eastAsia" w:ascii="Arial" w:hAnsi="Arial" w:cs="Arial"/>
          <w:b/>
          <w:color w:val="auto"/>
          <w:kern w:val="0"/>
          <w:sz w:val="26"/>
          <w:szCs w:val="26"/>
          <w:highlight w:val="none"/>
          <w:lang w:val="en-US" w:eastAsia="zh-CN"/>
        </w:rPr>
      </w:pPr>
      <w:bookmarkStart w:id="60" w:name="_Toc17468"/>
      <w:r>
        <w:rPr>
          <w:rFonts w:ascii="Arial" w:hAnsi="Arial" w:eastAsia="宋体" w:cs="Arial"/>
          <w:b/>
          <w:color w:val="auto"/>
          <w:kern w:val="0"/>
          <w:sz w:val="26"/>
          <w:szCs w:val="26"/>
          <w:highlight w:val="none"/>
          <w:lang w:val="en-US" w:eastAsia="zh-CN"/>
        </w:rPr>
        <w:t>1.</w:t>
      </w:r>
      <w:r>
        <w:rPr>
          <w:rFonts w:hint="eastAsia" w:ascii="Arial" w:hAnsi="Arial" w:cs="Arial"/>
          <w:b/>
          <w:color w:val="auto"/>
          <w:kern w:val="0"/>
          <w:sz w:val="26"/>
          <w:szCs w:val="26"/>
          <w:highlight w:val="none"/>
          <w:lang w:val="en-US" w:eastAsia="zh-CN"/>
        </w:rPr>
        <w:t>7评价重点及时段</w:t>
      </w:r>
    </w:p>
    <w:p w14:paraId="00C16C72">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9"/>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7</w:t>
      </w: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评价重点</w:t>
      </w:r>
    </w:p>
    <w:p w14:paraId="48CE114B">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outlineLvl w:val="9"/>
        <w:rPr>
          <w:rFonts w:hint="eastAsia" w:ascii="Arial" w:hAnsi="Arial" w:cs="Arial"/>
          <w:b w:val="0"/>
          <w:bCs w:val="0"/>
          <w:kern w:val="0"/>
          <w:sz w:val="26"/>
          <w:szCs w:val="26"/>
          <w:lang w:val="en-US" w:eastAsia="zh-CN" w:bidi="ar-SA"/>
        </w:rPr>
      </w:pPr>
      <w:r>
        <w:rPr>
          <w:rFonts w:hint="eastAsia" w:ascii="Arial" w:hAnsi="Arial" w:cs="Arial"/>
          <w:b w:val="0"/>
          <w:bCs w:val="0"/>
          <w:kern w:val="0"/>
          <w:sz w:val="26"/>
          <w:szCs w:val="26"/>
          <w:lang w:val="en-US" w:eastAsia="zh-CN" w:bidi="ar-SA"/>
        </w:rPr>
        <w:t>本评价以工程分析、地表水环境影响评价、生态环境影响评价、生态保护及环境 保护措施等为重点。</w:t>
      </w:r>
    </w:p>
    <w:p w14:paraId="287C4DE2">
      <w:pPr>
        <w:keepNext w:val="0"/>
        <w:keepLines w:val="0"/>
        <w:pageBreakBefore w:val="0"/>
        <w:widowControl w:val="0"/>
        <w:kinsoku/>
        <w:wordWrap/>
        <w:overflowPunct/>
        <w:topLinePunct w:val="0"/>
        <w:autoSpaceDE/>
        <w:autoSpaceDN/>
        <w:bidi w:val="0"/>
        <w:spacing w:line="460" w:lineRule="exact"/>
        <w:ind w:firstLine="522" w:firstLineChars="200"/>
        <w:textAlignment w:val="auto"/>
        <w:outlineLvl w:val="9"/>
        <w:rPr>
          <w:rFonts w:hint="eastAsia" w:ascii="Arial" w:hAnsi="Arial" w:eastAsia="宋体" w:cs="Arial"/>
          <w:b/>
          <w:color w:val="auto"/>
          <w:kern w:val="0"/>
          <w:sz w:val="26"/>
          <w:szCs w:val="26"/>
          <w:highlight w:val="none"/>
          <w:lang w:val="en-US" w:eastAsia="zh-CN"/>
        </w:rPr>
      </w:pP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7</w:t>
      </w:r>
      <w:r>
        <w:rPr>
          <w:rFonts w:hint="eastAsia" w:ascii="Arial" w:hAnsi="Arial" w:eastAsia="宋体" w:cs="Arial"/>
          <w:b/>
          <w:color w:val="auto"/>
          <w:kern w:val="0"/>
          <w:sz w:val="26"/>
          <w:szCs w:val="20"/>
          <w:highlight w:val="none"/>
          <w:lang w:val="en-US" w:eastAsia="zh-CN"/>
        </w:rPr>
        <w:t>.</w:t>
      </w:r>
      <w:r>
        <w:rPr>
          <w:rFonts w:hint="eastAsia" w:ascii="Arial" w:hAnsi="Arial" w:cs="Arial"/>
          <w:b/>
          <w:color w:val="auto"/>
          <w:kern w:val="0"/>
          <w:sz w:val="26"/>
          <w:szCs w:val="20"/>
          <w:highlight w:val="none"/>
          <w:lang w:val="en-US" w:eastAsia="zh-CN"/>
        </w:rPr>
        <w:t>2评价时段</w:t>
      </w:r>
    </w:p>
    <w:p w14:paraId="744335E1">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outlineLvl w:val="9"/>
        <w:rPr>
          <w:rFonts w:hint="eastAsia" w:ascii="Arial" w:hAnsi="Arial" w:cs="Arial"/>
          <w:b w:val="0"/>
          <w:bCs w:val="0"/>
          <w:kern w:val="0"/>
          <w:sz w:val="26"/>
          <w:szCs w:val="26"/>
          <w:lang w:val="en-US" w:eastAsia="zh-CN" w:bidi="ar-SA"/>
        </w:rPr>
      </w:pPr>
      <w:r>
        <w:rPr>
          <w:rFonts w:hint="eastAsia" w:ascii="Arial" w:hAnsi="Arial" w:cs="Arial"/>
          <w:b w:val="0"/>
          <w:bCs w:val="0"/>
          <w:kern w:val="0"/>
          <w:sz w:val="26"/>
          <w:szCs w:val="26"/>
          <w:lang w:val="en-US" w:eastAsia="zh-CN" w:bidi="ar-SA"/>
        </w:rPr>
        <w:t>环境影响评价时段包括施工期和运行期。</w:t>
      </w:r>
    </w:p>
    <w:p w14:paraId="3DDC1B87">
      <w:pPr>
        <w:keepNext w:val="0"/>
        <w:keepLines w:val="0"/>
        <w:pageBreakBefore w:val="0"/>
        <w:widowControl w:val="0"/>
        <w:kinsoku/>
        <w:wordWrap/>
        <w:overflowPunct/>
        <w:topLinePunct w:val="0"/>
        <w:autoSpaceDE/>
        <w:autoSpaceDN/>
        <w:bidi w:val="0"/>
        <w:spacing w:line="480" w:lineRule="exact"/>
        <w:ind w:firstLine="522" w:firstLineChars="200"/>
        <w:textAlignment w:val="auto"/>
        <w:outlineLvl w:val="1"/>
        <w:rPr>
          <w:rFonts w:ascii="Arial" w:hAnsi="Arial" w:eastAsia="宋体" w:cs="Arial"/>
          <w:b/>
          <w:color w:val="auto"/>
          <w:kern w:val="0"/>
          <w:sz w:val="26"/>
          <w:szCs w:val="26"/>
          <w:highlight w:val="none"/>
          <w:lang w:val="en-US" w:eastAsia="zh-CN"/>
        </w:rPr>
      </w:pPr>
      <w:r>
        <w:rPr>
          <w:rFonts w:hint="eastAsia" w:ascii="Arial" w:hAnsi="Arial" w:cs="Arial"/>
          <w:b/>
          <w:color w:val="auto"/>
          <w:kern w:val="0"/>
          <w:sz w:val="26"/>
          <w:szCs w:val="26"/>
          <w:highlight w:val="none"/>
          <w:lang w:val="en-US" w:eastAsia="zh-CN"/>
        </w:rPr>
        <w:t>1.8</w:t>
      </w:r>
      <w:r>
        <w:rPr>
          <w:rFonts w:hint="eastAsia" w:ascii="Arial" w:hAnsi="Arial" w:eastAsia="宋体" w:cs="Arial"/>
          <w:b/>
          <w:color w:val="auto"/>
          <w:kern w:val="0"/>
          <w:sz w:val="26"/>
          <w:szCs w:val="26"/>
          <w:highlight w:val="none"/>
          <w:lang w:val="en-US" w:eastAsia="zh-CN"/>
        </w:rPr>
        <w:t>环境保护目标</w:t>
      </w:r>
      <w:bookmarkEnd w:id="60"/>
    </w:p>
    <w:p w14:paraId="23BDBBE9">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eastAsia" w:ascii="Arial" w:hAnsi="Arial" w:eastAsia="宋体" w:cs="Arial"/>
          <w:b/>
          <w:color w:val="auto"/>
          <w:kern w:val="0"/>
          <w:sz w:val="26"/>
          <w:szCs w:val="20"/>
          <w:highlight w:val="none"/>
          <w:lang w:val="en-US" w:eastAsia="zh-CN"/>
        </w:rPr>
      </w:pPr>
      <w:bookmarkStart w:id="61" w:name="_Toc34987798"/>
      <w:bookmarkStart w:id="62" w:name="_Toc36040997"/>
      <w:r>
        <w:rPr>
          <w:rFonts w:hint="eastAsia" w:ascii="Arial" w:hAnsi="Arial" w:eastAsia="宋体" w:cs="Arial"/>
          <w:b/>
          <w:color w:val="auto"/>
          <w:kern w:val="0"/>
          <w:sz w:val="26"/>
          <w:szCs w:val="20"/>
          <w:highlight w:val="none"/>
          <w:lang w:val="en-US" w:eastAsia="zh-CN"/>
        </w:rPr>
        <w:t>1.8.1声及大气环境保护目标</w:t>
      </w:r>
      <w:bookmarkEnd w:id="61"/>
      <w:bookmarkEnd w:id="62"/>
    </w:p>
    <w:p w14:paraId="58C2660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lang w:val="en-US" w:eastAsia="zh-CN"/>
        </w:rPr>
        <w:t>根据现场调查，本项目环境空气、声环境敏感对象主要为坝枢四周、输送管线两侧分布的农村居民点，详见表1.</w:t>
      </w:r>
      <w:r>
        <w:rPr>
          <w:rFonts w:hint="eastAsia" w:ascii="Arial" w:hAnsi="Arial" w:cs="Arial"/>
          <w:sz w:val="26"/>
          <w:szCs w:val="26"/>
          <w:highlight w:val="none"/>
          <w:lang w:val="en-US" w:eastAsia="zh-CN"/>
        </w:rPr>
        <w:t>8-1和附图11所示。</w:t>
      </w:r>
    </w:p>
    <w:p w14:paraId="717466B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p>
    <w:p w14:paraId="14E1E54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sectPr>
          <w:pgSz w:w="12240" w:h="15840"/>
          <w:pgMar w:top="1440" w:right="1701" w:bottom="1276" w:left="1701" w:header="794" w:footer="720" w:gutter="0"/>
          <w:pgBorders>
            <w:top w:val="none" w:sz="0" w:space="0"/>
            <w:left w:val="none" w:sz="0" w:space="0"/>
            <w:bottom w:val="none" w:sz="0" w:space="0"/>
            <w:right w:val="none" w:sz="0" w:space="0"/>
          </w:pgBorders>
          <w:pgNumType w:fmt="decimal"/>
          <w:cols w:space="720" w:num="1"/>
        </w:sectPr>
      </w:pPr>
      <w:r>
        <w:rPr>
          <w:rFonts w:hint="eastAsia" w:ascii="Arial" w:hAnsi="Arial" w:cs="Arial"/>
          <w:sz w:val="26"/>
          <w:szCs w:val="26"/>
          <w:lang w:val="en-US" w:eastAsia="zh-CN"/>
        </w:rPr>
        <w:t xml:space="preserve"> </w:t>
      </w:r>
    </w:p>
    <w:p w14:paraId="6900981C">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hint="eastAsia" w:ascii="Arial" w:hAnsi="Arial" w:cs="Arial"/>
          <w:b/>
          <w:spacing w:val="-11"/>
          <w:sz w:val="26"/>
          <w:szCs w:val="26"/>
          <w:highlight w:val="none"/>
        </w:rPr>
      </w:pPr>
      <w:r>
        <w:rPr>
          <w:rFonts w:hint="eastAsia" w:ascii="Arial" w:hAnsi="Arial" w:cs="Arial"/>
          <w:b/>
          <w:spacing w:val="-11"/>
          <w:sz w:val="26"/>
          <w:szCs w:val="26"/>
          <w:highlight w:val="none"/>
        </w:rPr>
        <w:t>表</w:t>
      </w:r>
      <w:r>
        <w:rPr>
          <w:rFonts w:hint="default" w:ascii="Arial" w:hAnsi="Arial" w:cs="Arial"/>
          <w:b/>
          <w:spacing w:val="-11"/>
          <w:sz w:val="26"/>
          <w:szCs w:val="26"/>
          <w:highlight w:val="none"/>
        </w:rPr>
        <w:t>1.</w:t>
      </w:r>
      <w:r>
        <w:rPr>
          <w:rFonts w:hint="eastAsia" w:ascii="Arial" w:hAnsi="Arial" w:cs="Arial"/>
          <w:b/>
          <w:spacing w:val="-11"/>
          <w:sz w:val="26"/>
          <w:szCs w:val="26"/>
          <w:highlight w:val="none"/>
          <w:lang w:val="en-US" w:eastAsia="zh-CN"/>
        </w:rPr>
        <w:t>8-1</w:t>
      </w:r>
      <w:r>
        <w:rPr>
          <w:rFonts w:hint="default" w:ascii="Arial" w:hAnsi="Arial" w:cs="Arial"/>
          <w:b/>
          <w:spacing w:val="-11"/>
          <w:sz w:val="26"/>
          <w:szCs w:val="26"/>
          <w:highlight w:val="none"/>
        </w:rPr>
        <w:t xml:space="preserve">  </w:t>
      </w:r>
      <w:r>
        <w:rPr>
          <w:rFonts w:hint="eastAsia" w:ascii="Arial" w:hAnsi="Arial" w:cs="Arial"/>
          <w:b/>
          <w:spacing w:val="-11"/>
          <w:sz w:val="26"/>
          <w:szCs w:val="26"/>
          <w:highlight w:val="none"/>
        </w:rPr>
        <w:t>项目</w:t>
      </w:r>
      <w:r>
        <w:rPr>
          <w:rFonts w:hint="eastAsia" w:ascii="Arial" w:hAnsi="Arial" w:cs="Arial"/>
          <w:b/>
          <w:spacing w:val="-11"/>
          <w:sz w:val="26"/>
          <w:szCs w:val="26"/>
          <w:highlight w:val="none"/>
          <w:lang w:val="en-US" w:eastAsia="zh-CN"/>
        </w:rPr>
        <w:t>评价范围内环境空气、声环境保护目标</w:t>
      </w:r>
      <w:r>
        <w:rPr>
          <w:rFonts w:hint="eastAsia" w:ascii="Arial" w:hAnsi="Arial" w:cs="Arial"/>
          <w:b/>
          <w:spacing w:val="-11"/>
          <w:sz w:val="26"/>
          <w:szCs w:val="26"/>
          <w:highlight w:val="none"/>
        </w:rPr>
        <w:t>一览表</w:t>
      </w:r>
    </w:p>
    <w:tbl>
      <w:tblPr>
        <w:tblStyle w:val="77"/>
        <w:tblW w:w="2034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
        <w:gridCol w:w="1587"/>
        <w:gridCol w:w="6"/>
        <w:gridCol w:w="711"/>
        <w:gridCol w:w="1916"/>
        <w:gridCol w:w="5591"/>
        <w:gridCol w:w="3678"/>
        <w:gridCol w:w="3"/>
        <w:gridCol w:w="2585"/>
        <w:gridCol w:w="6"/>
        <w:gridCol w:w="2123"/>
        <w:gridCol w:w="2129"/>
      </w:tblGrid>
      <w:tr w14:paraId="606608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1601" w:type="dxa"/>
            <w:gridSpan w:val="3"/>
            <w:noWrap w:val="0"/>
            <w:vAlign w:val="center"/>
          </w:tcPr>
          <w:p w14:paraId="02EFD831">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Arial" w:hAnsi="Arial" w:cs="Arial"/>
                <w:b/>
                <w:spacing w:val="0"/>
                <w:sz w:val="22"/>
                <w:szCs w:val="22"/>
                <w:highlight w:val="none"/>
              </w:rPr>
            </w:pPr>
            <w:r>
              <w:rPr>
                <w:rFonts w:hint="eastAsia" w:ascii="Arial" w:hAnsi="Arial" w:cs="Arial"/>
                <w:b/>
                <w:spacing w:val="0"/>
                <w:sz w:val="22"/>
                <w:szCs w:val="22"/>
                <w:highlight w:val="none"/>
              </w:rPr>
              <w:t>类别</w:t>
            </w:r>
          </w:p>
        </w:tc>
        <w:tc>
          <w:tcPr>
            <w:tcW w:w="2627" w:type="dxa"/>
            <w:gridSpan w:val="2"/>
            <w:noWrap w:val="0"/>
            <w:vAlign w:val="center"/>
          </w:tcPr>
          <w:p w14:paraId="27225F97">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Arial" w:hAnsi="Arial" w:cs="Arial"/>
                <w:b/>
                <w:spacing w:val="0"/>
                <w:sz w:val="22"/>
                <w:szCs w:val="22"/>
                <w:highlight w:val="none"/>
              </w:rPr>
            </w:pPr>
            <w:r>
              <w:rPr>
                <w:rFonts w:hint="eastAsia" w:ascii="Arial" w:hAnsi="Arial" w:cs="Arial"/>
                <w:b/>
                <w:spacing w:val="0"/>
                <w:sz w:val="22"/>
                <w:szCs w:val="22"/>
                <w:highlight w:val="none"/>
              </w:rPr>
              <w:t>名称</w:t>
            </w:r>
          </w:p>
        </w:tc>
        <w:tc>
          <w:tcPr>
            <w:tcW w:w="5591" w:type="dxa"/>
            <w:noWrap w:val="0"/>
            <w:vAlign w:val="center"/>
          </w:tcPr>
          <w:p w14:paraId="19945874">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Arial" w:hAnsi="Arial" w:cs="Arial"/>
                <w:b/>
                <w:spacing w:val="0"/>
                <w:sz w:val="22"/>
                <w:szCs w:val="22"/>
                <w:highlight w:val="none"/>
              </w:rPr>
            </w:pPr>
            <w:r>
              <w:rPr>
                <w:rFonts w:hint="eastAsia" w:ascii="Arial" w:hAnsi="Arial" w:cs="Arial"/>
                <w:b/>
                <w:spacing w:val="0"/>
                <w:sz w:val="22"/>
                <w:szCs w:val="22"/>
                <w:highlight w:val="none"/>
              </w:rPr>
              <w:t>与工程的区位关系</w:t>
            </w:r>
          </w:p>
        </w:tc>
        <w:tc>
          <w:tcPr>
            <w:tcW w:w="3678" w:type="dxa"/>
            <w:noWrap w:val="0"/>
            <w:vAlign w:val="center"/>
          </w:tcPr>
          <w:p w14:paraId="6AB5F230">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Arial" w:hAnsi="Arial" w:cs="Arial"/>
                <w:b/>
                <w:spacing w:val="0"/>
                <w:sz w:val="22"/>
                <w:szCs w:val="22"/>
                <w:highlight w:val="none"/>
              </w:rPr>
            </w:pPr>
            <w:r>
              <w:rPr>
                <w:rFonts w:hint="eastAsia" w:ascii="Arial" w:hAnsi="Arial" w:cs="Arial"/>
                <w:b/>
                <w:spacing w:val="0"/>
                <w:sz w:val="22"/>
                <w:szCs w:val="22"/>
                <w:highlight w:val="none"/>
              </w:rPr>
              <w:t>环境特征</w:t>
            </w:r>
          </w:p>
        </w:tc>
        <w:tc>
          <w:tcPr>
            <w:tcW w:w="2588" w:type="dxa"/>
            <w:gridSpan w:val="2"/>
            <w:noWrap w:val="0"/>
            <w:vAlign w:val="center"/>
          </w:tcPr>
          <w:p w14:paraId="75E05B58">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Arial" w:hAnsi="Arial" w:cs="Arial"/>
                <w:b/>
                <w:spacing w:val="0"/>
                <w:sz w:val="22"/>
                <w:szCs w:val="22"/>
                <w:highlight w:val="none"/>
              </w:rPr>
            </w:pPr>
            <w:r>
              <w:rPr>
                <w:rFonts w:hint="eastAsia" w:ascii="Arial" w:hAnsi="Arial" w:cs="Arial"/>
                <w:b/>
                <w:spacing w:val="0"/>
                <w:sz w:val="22"/>
                <w:szCs w:val="22"/>
                <w:highlight w:val="none"/>
              </w:rPr>
              <w:t>影响时段</w:t>
            </w:r>
          </w:p>
        </w:tc>
        <w:tc>
          <w:tcPr>
            <w:tcW w:w="2129" w:type="dxa"/>
            <w:gridSpan w:val="2"/>
            <w:noWrap w:val="0"/>
            <w:vAlign w:val="center"/>
          </w:tcPr>
          <w:p w14:paraId="3E9ED77D">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Arial" w:hAnsi="Arial" w:cs="Arial"/>
                <w:b/>
                <w:spacing w:val="0"/>
                <w:sz w:val="22"/>
                <w:szCs w:val="22"/>
                <w:highlight w:val="none"/>
              </w:rPr>
            </w:pPr>
            <w:r>
              <w:rPr>
                <w:rFonts w:hint="eastAsia" w:ascii="Arial" w:hAnsi="Arial" w:cs="Arial"/>
                <w:b/>
                <w:spacing w:val="0"/>
                <w:sz w:val="22"/>
                <w:szCs w:val="22"/>
                <w:highlight w:val="none"/>
              </w:rPr>
              <w:t>可能的影响因素</w:t>
            </w:r>
          </w:p>
        </w:tc>
        <w:tc>
          <w:tcPr>
            <w:tcW w:w="2129" w:type="dxa"/>
            <w:noWrap w:val="0"/>
            <w:vAlign w:val="center"/>
          </w:tcPr>
          <w:p w14:paraId="4D2E3DB2">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Arial" w:hAnsi="Arial" w:eastAsia="宋体" w:cs="Arial"/>
                <w:b/>
                <w:spacing w:val="0"/>
                <w:sz w:val="22"/>
                <w:szCs w:val="22"/>
                <w:highlight w:val="none"/>
                <w:lang w:eastAsia="zh-CN"/>
              </w:rPr>
            </w:pPr>
            <w:r>
              <w:rPr>
                <w:rFonts w:hint="eastAsia" w:ascii="Arial" w:hAnsi="Arial" w:cs="Arial"/>
                <w:b/>
                <w:spacing w:val="0"/>
                <w:sz w:val="22"/>
                <w:szCs w:val="22"/>
                <w:highlight w:val="none"/>
                <w:lang w:eastAsia="zh-CN"/>
              </w:rPr>
              <w:t>保护要求</w:t>
            </w:r>
          </w:p>
        </w:tc>
      </w:tr>
      <w:tr w14:paraId="24F9A3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99" w:hRule="atLeast"/>
          <w:jc w:val="center"/>
        </w:trPr>
        <w:tc>
          <w:tcPr>
            <w:tcW w:w="1587" w:type="dxa"/>
            <w:vMerge w:val="restart"/>
            <w:noWrap w:val="0"/>
            <w:vAlign w:val="center"/>
          </w:tcPr>
          <w:p w14:paraId="6C42F35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大气和声环境</w:t>
            </w:r>
          </w:p>
        </w:tc>
        <w:tc>
          <w:tcPr>
            <w:tcW w:w="717" w:type="dxa"/>
            <w:gridSpan w:val="2"/>
            <w:vMerge w:val="restart"/>
            <w:noWrap w:val="0"/>
            <w:vAlign w:val="center"/>
          </w:tcPr>
          <w:p w14:paraId="0025381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枢纽</w:t>
            </w:r>
          </w:p>
          <w:p w14:paraId="2243913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工程</w:t>
            </w:r>
          </w:p>
        </w:tc>
        <w:tc>
          <w:tcPr>
            <w:tcW w:w="1916" w:type="dxa"/>
            <w:noWrap w:val="0"/>
            <w:vAlign w:val="center"/>
          </w:tcPr>
          <w:p w14:paraId="2626B8C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1#</w:t>
            </w:r>
            <w:r>
              <w:rPr>
                <w:rFonts w:hint="eastAsia" w:ascii="Arial" w:hAnsi="Arial" w:cs="Arial"/>
                <w:spacing w:val="0"/>
                <w:sz w:val="22"/>
                <w:szCs w:val="22"/>
                <w:lang w:eastAsia="zh-CN"/>
              </w:rPr>
              <w:t>田家山村</w:t>
            </w:r>
            <w:r>
              <w:rPr>
                <w:rFonts w:hint="eastAsia" w:ascii="Arial" w:hAnsi="Arial" w:cs="Arial"/>
                <w:spacing w:val="0"/>
                <w:sz w:val="22"/>
                <w:szCs w:val="22"/>
              </w:rPr>
              <w:t>民</w:t>
            </w:r>
          </w:p>
        </w:tc>
        <w:tc>
          <w:tcPr>
            <w:tcW w:w="5591" w:type="dxa"/>
            <w:noWrap w:val="0"/>
            <w:vAlign w:val="center"/>
          </w:tcPr>
          <w:p w14:paraId="6B026D3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rPr>
              <w:t>库区</w:t>
            </w:r>
            <w:r>
              <w:rPr>
                <w:rFonts w:hint="eastAsia" w:ascii="Arial" w:hAnsi="Arial" w:cs="Arial"/>
                <w:spacing w:val="0"/>
                <w:sz w:val="22"/>
                <w:szCs w:val="22"/>
                <w:lang w:eastAsia="zh-CN"/>
              </w:rPr>
              <w:t>东侧，</w:t>
            </w:r>
            <w:r>
              <w:rPr>
                <w:rFonts w:hint="eastAsia" w:ascii="Arial" w:hAnsi="Arial" w:cs="Arial"/>
                <w:spacing w:val="0"/>
                <w:sz w:val="22"/>
                <w:szCs w:val="22"/>
              </w:rPr>
              <w:t>最近距离</w:t>
            </w:r>
            <w:r>
              <w:rPr>
                <w:rFonts w:hint="eastAsia" w:ascii="Arial" w:hAnsi="Arial" w:cs="Arial"/>
                <w:spacing w:val="0"/>
                <w:sz w:val="22"/>
                <w:szCs w:val="22"/>
                <w:lang w:val="en-US" w:eastAsia="zh-CN"/>
              </w:rPr>
              <w:t>20</w:t>
            </w:r>
            <w:r>
              <w:rPr>
                <w:rFonts w:hint="eastAsia" w:ascii="Arial" w:hAnsi="Arial" w:cs="Arial"/>
                <w:spacing w:val="0"/>
                <w:sz w:val="22"/>
                <w:szCs w:val="22"/>
              </w:rPr>
              <w:t>m</w:t>
            </w:r>
          </w:p>
          <w:p w14:paraId="6D10A7E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环库巡检步道东侧</w:t>
            </w:r>
            <w:r>
              <w:rPr>
                <w:rFonts w:hint="eastAsia" w:ascii="Arial" w:hAnsi="Arial" w:cs="Arial"/>
                <w:spacing w:val="0"/>
                <w:sz w:val="22"/>
                <w:szCs w:val="22"/>
              </w:rPr>
              <w:t>，最近距离</w:t>
            </w:r>
            <w:r>
              <w:rPr>
                <w:rFonts w:hint="eastAsia" w:ascii="Arial" w:hAnsi="Arial" w:cs="Arial"/>
                <w:spacing w:val="0"/>
                <w:sz w:val="22"/>
                <w:szCs w:val="22"/>
                <w:lang w:val="en-US" w:eastAsia="zh-CN"/>
              </w:rPr>
              <w:t>7</w:t>
            </w:r>
            <w:r>
              <w:rPr>
                <w:rFonts w:hint="eastAsia" w:ascii="Arial" w:hAnsi="Arial" w:cs="Arial"/>
                <w:spacing w:val="0"/>
                <w:sz w:val="22"/>
                <w:szCs w:val="22"/>
              </w:rPr>
              <w:t>m</w:t>
            </w:r>
          </w:p>
        </w:tc>
        <w:tc>
          <w:tcPr>
            <w:tcW w:w="3681" w:type="dxa"/>
            <w:gridSpan w:val="2"/>
            <w:noWrap w:val="0"/>
            <w:vAlign w:val="center"/>
          </w:tcPr>
          <w:p w14:paraId="62F3E1F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12</w:t>
            </w:r>
            <w:r>
              <w:rPr>
                <w:rFonts w:hint="eastAsia" w:ascii="Arial" w:hAnsi="Arial" w:cs="Arial"/>
                <w:spacing w:val="0"/>
                <w:sz w:val="22"/>
                <w:szCs w:val="22"/>
              </w:rPr>
              <w:t>户约</w:t>
            </w:r>
            <w:r>
              <w:rPr>
                <w:rFonts w:hint="eastAsia" w:ascii="Arial" w:hAnsi="Arial" w:cs="Arial"/>
                <w:spacing w:val="0"/>
                <w:sz w:val="22"/>
                <w:szCs w:val="22"/>
                <w:lang w:val="en-US" w:eastAsia="zh-CN"/>
              </w:rPr>
              <w:t>44</w:t>
            </w:r>
            <w:r>
              <w:rPr>
                <w:rFonts w:hint="eastAsia" w:ascii="Arial" w:hAnsi="Arial" w:cs="Arial"/>
                <w:spacing w:val="0"/>
                <w:sz w:val="22"/>
                <w:szCs w:val="22"/>
              </w:rPr>
              <w:t>人</w:t>
            </w:r>
          </w:p>
        </w:tc>
        <w:tc>
          <w:tcPr>
            <w:tcW w:w="2591" w:type="dxa"/>
            <w:gridSpan w:val="2"/>
            <w:noWrap w:val="0"/>
            <w:vAlign w:val="center"/>
          </w:tcPr>
          <w:p w14:paraId="056EA87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施工期</w:t>
            </w:r>
          </w:p>
        </w:tc>
        <w:tc>
          <w:tcPr>
            <w:tcW w:w="2123" w:type="dxa"/>
            <w:noWrap w:val="0"/>
            <w:vAlign w:val="center"/>
          </w:tcPr>
          <w:p w14:paraId="56E6A5B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噪声、扬尘</w:t>
            </w:r>
          </w:p>
        </w:tc>
        <w:tc>
          <w:tcPr>
            <w:tcW w:w="2129" w:type="dxa"/>
            <w:vMerge w:val="restart"/>
            <w:noWrap w:val="0"/>
            <w:vAlign w:val="center"/>
          </w:tcPr>
          <w:p w14:paraId="19C95C7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val="en-US" w:eastAsia="zh-CN"/>
              </w:rPr>
            </w:pPr>
            <w:r>
              <w:rPr>
                <w:rFonts w:hint="eastAsia" w:ascii="Arial" w:hAnsi="Arial" w:cs="Arial"/>
                <w:spacing w:val="0"/>
                <w:sz w:val="22"/>
                <w:szCs w:val="22"/>
                <w:lang w:val="en-US" w:eastAsia="zh-CN"/>
              </w:rPr>
              <w:t>2类声环境功能区，二类环境空气功能区</w:t>
            </w:r>
          </w:p>
        </w:tc>
      </w:tr>
      <w:tr w14:paraId="2DBBCB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483" w:hRule="atLeast"/>
          <w:jc w:val="center"/>
        </w:trPr>
        <w:tc>
          <w:tcPr>
            <w:tcW w:w="1587" w:type="dxa"/>
            <w:vMerge w:val="continue"/>
            <w:noWrap w:val="0"/>
            <w:vAlign w:val="center"/>
          </w:tcPr>
          <w:p w14:paraId="6014C92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36E1E5D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vMerge w:val="restart"/>
            <w:noWrap w:val="0"/>
            <w:vAlign w:val="center"/>
          </w:tcPr>
          <w:p w14:paraId="44282AD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w:t>
            </w:r>
            <w:r>
              <w:rPr>
                <w:rFonts w:hint="eastAsia" w:ascii="Arial" w:hAnsi="Arial" w:cs="Arial"/>
                <w:spacing w:val="0"/>
                <w:sz w:val="22"/>
                <w:szCs w:val="22"/>
                <w:lang w:eastAsia="zh-CN"/>
              </w:rPr>
              <w:t>田家山村</w:t>
            </w:r>
            <w:r>
              <w:rPr>
                <w:rFonts w:hint="eastAsia" w:ascii="Arial" w:hAnsi="Arial" w:cs="Arial"/>
                <w:spacing w:val="0"/>
                <w:sz w:val="22"/>
                <w:szCs w:val="22"/>
              </w:rPr>
              <w:t>民</w:t>
            </w:r>
          </w:p>
        </w:tc>
        <w:tc>
          <w:tcPr>
            <w:tcW w:w="5591" w:type="dxa"/>
            <w:vMerge w:val="restart"/>
            <w:noWrap w:val="0"/>
            <w:vAlign w:val="center"/>
          </w:tcPr>
          <w:p w14:paraId="46F4904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库区东侧</w:t>
            </w:r>
            <w:r>
              <w:rPr>
                <w:rFonts w:hint="eastAsia" w:ascii="Arial" w:hAnsi="Arial" w:cs="Arial"/>
                <w:spacing w:val="0"/>
                <w:sz w:val="22"/>
                <w:szCs w:val="22"/>
              </w:rPr>
              <w:t>，最近距离</w:t>
            </w:r>
            <w:r>
              <w:rPr>
                <w:rFonts w:hint="eastAsia" w:ascii="Arial" w:hAnsi="Arial" w:cs="Arial"/>
                <w:spacing w:val="0"/>
                <w:sz w:val="22"/>
                <w:szCs w:val="22"/>
                <w:lang w:val="en-US" w:eastAsia="zh-CN"/>
              </w:rPr>
              <w:t>142</w:t>
            </w:r>
            <w:r>
              <w:rPr>
                <w:rFonts w:hint="eastAsia" w:ascii="Arial" w:hAnsi="Arial" w:cs="Arial"/>
                <w:spacing w:val="0"/>
                <w:sz w:val="22"/>
                <w:szCs w:val="22"/>
              </w:rPr>
              <w:t>m</w:t>
            </w:r>
          </w:p>
          <w:p w14:paraId="371D487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lang w:val="en-US" w:eastAsia="zh-CN"/>
              </w:rPr>
            </w:pPr>
            <w:r>
              <w:rPr>
                <w:rFonts w:hint="eastAsia" w:ascii="Arial" w:hAnsi="Arial" w:cs="Arial"/>
                <w:spacing w:val="0"/>
                <w:sz w:val="22"/>
                <w:szCs w:val="22"/>
                <w:lang w:eastAsia="zh-CN"/>
              </w:rPr>
              <w:t>生产便道东侧，最近距离</w:t>
            </w:r>
            <w:r>
              <w:rPr>
                <w:rFonts w:hint="eastAsia" w:ascii="Arial" w:hAnsi="Arial" w:cs="Arial"/>
                <w:spacing w:val="0"/>
                <w:sz w:val="22"/>
                <w:szCs w:val="22"/>
                <w:lang w:val="en-US" w:eastAsia="zh-CN"/>
              </w:rPr>
              <w:t>131m</w:t>
            </w:r>
          </w:p>
          <w:p w14:paraId="120E4A3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cs="Arial"/>
                <w:spacing w:val="0"/>
                <w:sz w:val="22"/>
                <w:szCs w:val="22"/>
                <w:lang w:val="en-US" w:eastAsia="zh-CN"/>
              </w:rPr>
            </w:pPr>
            <w:r>
              <w:rPr>
                <w:rFonts w:hint="eastAsia" w:ascii="Arial" w:hAnsi="Arial" w:cs="Arial"/>
                <w:spacing w:val="0"/>
                <w:sz w:val="22"/>
                <w:szCs w:val="22"/>
                <w:lang w:eastAsia="zh-CN"/>
              </w:rPr>
              <w:t>环库巡检步道</w:t>
            </w:r>
            <w:r>
              <w:rPr>
                <w:rFonts w:hint="eastAsia" w:ascii="Arial" w:hAnsi="Arial" w:cs="Arial"/>
                <w:spacing w:val="0"/>
                <w:sz w:val="22"/>
                <w:szCs w:val="22"/>
                <w:lang w:val="en-US" w:eastAsia="zh-CN"/>
              </w:rPr>
              <w:t>西侧，</w:t>
            </w:r>
            <w:r>
              <w:rPr>
                <w:rFonts w:hint="eastAsia" w:ascii="Arial" w:hAnsi="Arial" w:cs="Arial"/>
                <w:spacing w:val="0"/>
                <w:sz w:val="22"/>
                <w:szCs w:val="22"/>
                <w:lang w:eastAsia="zh-CN"/>
              </w:rPr>
              <w:t>最近距离</w:t>
            </w:r>
            <w:r>
              <w:rPr>
                <w:rFonts w:hint="eastAsia" w:ascii="Arial" w:hAnsi="Arial" w:cs="Arial"/>
                <w:spacing w:val="0"/>
                <w:sz w:val="22"/>
                <w:szCs w:val="22"/>
                <w:lang w:val="en-US" w:eastAsia="zh-CN"/>
              </w:rPr>
              <w:t>12m</w:t>
            </w:r>
          </w:p>
        </w:tc>
        <w:tc>
          <w:tcPr>
            <w:tcW w:w="3681" w:type="dxa"/>
            <w:gridSpan w:val="2"/>
            <w:vMerge w:val="restart"/>
            <w:noWrap w:val="0"/>
            <w:vAlign w:val="center"/>
          </w:tcPr>
          <w:p w14:paraId="12A2F23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11</w:t>
            </w:r>
            <w:r>
              <w:rPr>
                <w:rFonts w:hint="eastAsia" w:ascii="Arial" w:hAnsi="Arial" w:cs="Arial"/>
                <w:spacing w:val="0"/>
                <w:sz w:val="22"/>
                <w:szCs w:val="22"/>
              </w:rPr>
              <w:t>户约</w:t>
            </w:r>
            <w:r>
              <w:rPr>
                <w:rFonts w:hint="eastAsia" w:ascii="Arial" w:hAnsi="Arial" w:cs="Arial"/>
                <w:spacing w:val="0"/>
                <w:sz w:val="22"/>
                <w:szCs w:val="22"/>
                <w:lang w:val="en-US" w:eastAsia="zh-CN"/>
              </w:rPr>
              <w:t>36</w:t>
            </w:r>
            <w:r>
              <w:rPr>
                <w:rFonts w:hint="eastAsia" w:ascii="Arial" w:hAnsi="Arial" w:cs="Arial"/>
                <w:spacing w:val="0"/>
                <w:sz w:val="22"/>
                <w:szCs w:val="22"/>
              </w:rPr>
              <w:t>人</w:t>
            </w:r>
          </w:p>
        </w:tc>
        <w:tc>
          <w:tcPr>
            <w:tcW w:w="2591" w:type="dxa"/>
            <w:gridSpan w:val="2"/>
            <w:noWrap w:val="0"/>
            <w:vAlign w:val="center"/>
          </w:tcPr>
          <w:p w14:paraId="7BDD95E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r>
              <w:rPr>
                <w:rFonts w:hint="eastAsia" w:ascii="Arial" w:hAnsi="Arial" w:cs="Arial"/>
                <w:spacing w:val="0"/>
                <w:sz w:val="22"/>
                <w:szCs w:val="22"/>
              </w:rPr>
              <w:t>营运期</w:t>
            </w:r>
          </w:p>
        </w:tc>
        <w:tc>
          <w:tcPr>
            <w:tcW w:w="2123" w:type="dxa"/>
            <w:noWrap w:val="0"/>
            <w:vAlign w:val="center"/>
          </w:tcPr>
          <w:p w14:paraId="08FE855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rPr>
              <w:t>噪声、扬尘</w:t>
            </w:r>
          </w:p>
        </w:tc>
        <w:tc>
          <w:tcPr>
            <w:tcW w:w="2129" w:type="dxa"/>
            <w:vMerge w:val="continue"/>
            <w:noWrap w:val="0"/>
            <w:vAlign w:val="center"/>
          </w:tcPr>
          <w:p w14:paraId="537E424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r>
      <w:tr w14:paraId="025172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17" w:hRule="atLeast"/>
          <w:jc w:val="center"/>
        </w:trPr>
        <w:tc>
          <w:tcPr>
            <w:tcW w:w="1587" w:type="dxa"/>
            <w:vMerge w:val="continue"/>
            <w:noWrap w:val="0"/>
            <w:vAlign w:val="center"/>
          </w:tcPr>
          <w:p w14:paraId="7724E13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2"/>
                <w:szCs w:val="22"/>
              </w:rPr>
            </w:pPr>
          </w:p>
        </w:tc>
        <w:tc>
          <w:tcPr>
            <w:tcW w:w="717" w:type="dxa"/>
            <w:gridSpan w:val="2"/>
            <w:vMerge w:val="continue"/>
            <w:noWrap w:val="0"/>
            <w:vAlign w:val="center"/>
          </w:tcPr>
          <w:p w14:paraId="07D98A0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2"/>
                <w:szCs w:val="22"/>
              </w:rPr>
            </w:pPr>
          </w:p>
        </w:tc>
        <w:tc>
          <w:tcPr>
            <w:tcW w:w="1916" w:type="dxa"/>
            <w:vMerge w:val="continue"/>
            <w:noWrap w:val="0"/>
            <w:vAlign w:val="center"/>
          </w:tcPr>
          <w:p w14:paraId="35F8FBD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2"/>
                <w:szCs w:val="22"/>
              </w:rPr>
            </w:pPr>
          </w:p>
        </w:tc>
        <w:tc>
          <w:tcPr>
            <w:tcW w:w="5591" w:type="dxa"/>
            <w:vMerge w:val="continue"/>
            <w:noWrap w:val="0"/>
            <w:vAlign w:val="center"/>
          </w:tcPr>
          <w:p w14:paraId="39A91F3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2"/>
                <w:szCs w:val="22"/>
              </w:rPr>
            </w:pPr>
          </w:p>
        </w:tc>
        <w:tc>
          <w:tcPr>
            <w:tcW w:w="3681" w:type="dxa"/>
            <w:gridSpan w:val="2"/>
            <w:vMerge w:val="continue"/>
            <w:noWrap w:val="0"/>
            <w:vAlign w:val="center"/>
          </w:tcPr>
          <w:p w14:paraId="0D53C61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2"/>
                <w:szCs w:val="22"/>
              </w:rPr>
            </w:pPr>
          </w:p>
        </w:tc>
        <w:tc>
          <w:tcPr>
            <w:tcW w:w="2591" w:type="dxa"/>
            <w:gridSpan w:val="2"/>
            <w:noWrap w:val="0"/>
            <w:vAlign w:val="center"/>
          </w:tcPr>
          <w:p w14:paraId="68ACD3A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施工期</w:t>
            </w:r>
          </w:p>
        </w:tc>
        <w:tc>
          <w:tcPr>
            <w:tcW w:w="2123" w:type="dxa"/>
            <w:noWrap w:val="0"/>
            <w:vAlign w:val="center"/>
          </w:tcPr>
          <w:p w14:paraId="28CED76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eastAsia="zh-CN"/>
              </w:rPr>
              <w:t>噪声</w:t>
            </w:r>
          </w:p>
        </w:tc>
        <w:tc>
          <w:tcPr>
            <w:tcW w:w="2129" w:type="dxa"/>
            <w:vMerge w:val="continue"/>
            <w:noWrap w:val="0"/>
            <w:vAlign w:val="center"/>
          </w:tcPr>
          <w:p w14:paraId="1F87F4B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197F3E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462" w:hRule="atLeast"/>
          <w:jc w:val="center"/>
        </w:trPr>
        <w:tc>
          <w:tcPr>
            <w:tcW w:w="1587" w:type="dxa"/>
            <w:vMerge w:val="continue"/>
            <w:noWrap w:val="0"/>
            <w:vAlign w:val="center"/>
          </w:tcPr>
          <w:p w14:paraId="5E4636D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2D299C2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vMerge w:val="restart"/>
            <w:noWrap w:val="0"/>
            <w:vAlign w:val="center"/>
          </w:tcPr>
          <w:p w14:paraId="1AC4B64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val="en-US" w:eastAsia="zh-CN"/>
              </w:rPr>
              <w:t>3#小田家</w:t>
            </w:r>
            <w:r>
              <w:rPr>
                <w:rFonts w:hint="eastAsia" w:ascii="Arial" w:hAnsi="Arial" w:cs="Arial"/>
                <w:spacing w:val="0"/>
                <w:sz w:val="22"/>
                <w:szCs w:val="22"/>
                <w:lang w:eastAsia="zh-CN"/>
              </w:rPr>
              <w:t>村民</w:t>
            </w:r>
          </w:p>
        </w:tc>
        <w:tc>
          <w:tcPr>
            <w:tcW w:w="5591" w:type="dxa"/>
            <w:vMerge w:val="restart"/>
            <w:noWrap w:val="0"/>
            <w:vAlign w:val="center"/>
          </w:tcPr>
          <w:p w14:paraId="48EBF6A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库区东侧</w:t>
            </w:r>
            <w:r>
              <w:rPr>
                <w:rFonts w:hint="eastAsia" w:ascii="Arial" w:hAnsi="Arial" w:cs="Arial"/>
                <w:spacing w:val="0"/>
                <w:sz w:val="22"/>
                <w:szCs w:val="22"/>
              </w:rPr>
              <w:t>，最近距离</w:t>
            </w:r>
            <w:r>
              <w:rPr>
                <w:rFonts w:hint="eastAsia" w:ascii="Arial" w:hAnsi="Arial" w:cs="Arial"/>
                <w:spacing w:val="0"/>
                <w:sz w:val="22"/>
                <w:szCs w:val="22"/>
                <w:lang w:val="en-US" w:eastAsia="zh-CN"/>
              </w:rPr>
              <w:t>350</w:t>
            </w:r>
            <w:r>
              <w:rPr>
                <w:rFonts w:hint="eastAsia" w:ascii="Arial" w:hAnsi="Arial" w:cs="Arial"/>
                <w:spacing w:val="0"/>
                <w:sz w:val="22"/>
                <w:szCs w:val="22"/>
              </w:rPr>
              <w:t>m</w:t>
            </w:r>
          </w:p>
          <w:p w14:paraId="553D0A2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lang w:val="en-US" w:eastAsia="zh-CN"/>
              </w:rPr>
            </w:pPr>
            <w:r>
              <w:rPr>
                <w:rFonts w:hint="eastAsia" w:ascii="Arial" w:hAnsi="Arial" w:cs="Arial"/>
                <w:spacing w:val="0"/>
                <w:sz w:val="22"/>
                <w:szCs w:val="22"/>
                <w:lang w:eastAsia="zh-CN"/>
              </w:rPr>
              <w:t>环库巡检步道东侧，最近距离</w:t>
            </w:r>
            <w:r>
              <w:rPr>
                <w:rFonts w:hint="eastAsia" w:ascii="Arial" w:hAnsi="Arial" w:cs="Arial"/>
                <w:spacing w:val="0"/>
                <w:sz w:val="22"/>
                <w:szCs w:val="22"/>
                <w:lang w:val="en-US" w:eastAsia="zh-CN"/>
              </w:rPr>
              <w:t>336m</w:t>
            </w:r>
          </w:p>
          <w:p w14:paraId="59ADD51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cs="Arial"/>
                <w:spacing w:val="0"/>
                <w:sz w:val="22"/>
                <w:szCs w:val="22"/>
                <w:lang w:val="en-US" w:eastAsia="zh-CN"/>
              </w:rPr>
            </w:pPr>
            <w:r>
              <w:rPr>
                <w:rFonts w:hint="eastAsia" w:ascii="Arial" w:hAnsi="Arial" w:cs="Arial"/>
                <w:spacing w:val="0"/>
                <w:sz w:val="22"/>
                <w:szCs w:val="22"/>
                <w:lang w:val="en-US" w:eastAsia="zh-CN"/>
              </w:rPr>
              <w:t>上坝道路东南侧，最近距离103m</w:t>
            </w:r>
          </w:p>
        </w:tc>
        <w:tc>
          <w:tcPr>
            <w:tcW w:w="3681" w:type="dxa"/>
            <w:gridSpan w:val="2"/>
            <w:vMerge w:val="restart"/>
            <w:noWrap w:val="0"/>
            <w:vAlign w:val="center"/>
          </w:tcPr>
          <w:p w14:paraId="08770E6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37</w:t>
            </w:r>
            <w:r>
              <w:rPr>
                <w:rFonts w:hint="eastAsia" w:ascii="Arial" w:hAnsi="Arial" w:cs="Arial"/>
                <w:spacing w:val="0"/>
                <w:sz w:val="22"/>
                <w:szCs w:val="22"/>
              </w:rPr>
              <w:t>户约</w:t>
            </w:r>
            <w:r>
              <w:rPr>
                <w:rFonts w:hint="eastAsia" w:ascii="Arial" w:hAnsi="Arial" w:cs="Arial"/>
                <w:spacing w:val="0"/>
                <w:sz w:val="22"/>
                <w:szCs w:val="22"/>
                <w:lang w:val="en-US" w:eastAsia="zh-CN"/>
              </w:rPr>
              <w:t>119</w:t>
            </w:r>
            <w:r>
              <w:rPr>
                <w:rFonts w:hint="eastAsia" w:ascii="Arial" w:hAnsi="Arial" w:cs="Arial"/>
                <w:spacing w:val="0"/>
                <w:sz w:val="22"/>
                <w:szCs w:val="22"/>
              </w:rPr>
              <w:t>人</w:t>
            </w:r>
          </w:p>
        </w:tc>
        <w:tc>
          <w:tcPr>
            <w:tcW w:w="2591" w:type="dxa"/>
            <w:gridSpan w:val="2"/>
            <w:noWrap w:val="0"/>
            <w:vAlign w:val="center"/>
          </w:tcPr>
          <w:p w14:paraId="0C30AEA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施工期</w:t>
            </w:r>
          </w:p>
        </w:tc>
        <w:tc>
          <w:tcPr>
            <w:tcW w:w="2123" w:type="dxa"/>
            <w:shd w:val="clear" w:color="auto" w:fill="auto"/>
            <w:noWrap w:val="0"/>
            <w:vAlign w:val="center"/>
          </w:tcPr>
          <w:p w14:paraId="0A1CC46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kern w:val="2"/>
                <w:sz w:val="22"/>
                <w:szCs w:val="22"/>
                <w:lang w:val="en-US" w:eastAsia="zh-CN" w:bidi="ar-SA"/>
              </w:rPr>
            </w:pPr>
            <w:r>
              <w:rPr>
                <w:rFonts w:hint="eastAsia" w:ascii="Arial" w:hAnsi="Arial" w:cs="Arial"/>
                <w:spacing w:val="0"/>
                <w:sz w:val="22"/>
                <w:szCs w:val="22"/>
              </w:rPr>
              <w:t>噪声、扬尘</w:t>
            </w:r>
          </w:p>
        </w:tc>
        <w:tc>
          <w:tcPr>
            <w:tcW w:w="2129" w:type="dxa"/>
            <w:vMerge w:val="continue"/>
            <w:noWrap w:val="0"/>
            <w:vAlign w:val="center"/>
          </w:tcPr>
          <w:p w14:paraId="1EC6ED2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190D3F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4" w:hRule="atLeast"/>
          <w:jc w:val="center"/>
        </w:trPr>
        <w:tc>
          <w:tcPr>
            <w:tcW w:w="1587" w:type="dxa"/>
            <w:vMerge w:val="continue"/>
            <w:noWrap w:val="0"/>
            <w:vAlign w:val="center"/>
          </w:tcPr>
          <w:p w14:paraId="331DB19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2"/>
                <w:szCs w:val="22"/>
              </w:rPr>
            </w:pPr>
          </w:p>
        </w:tc>
        <w:tc>
          <w:tcPr>
            <w:tcW w:w="717" w:type="dxa"/>
            <w:gridSpan w:val="2"/>
            <w:vMerge w:val="continue"/>
            <w:noWrap w:val="0"/>
            <w:vAlign w:val="center"/>
          </w:tcPr>
          <w:p w14:paraId="5046159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2"/>
                <w:szCs w:val="22"/>
              </w:rPr>
            </w:pPr>
          </w:p>
        </w:tc>
        <w:tc>
          <w:tcPr>
            <w:tcW w:w="1916" w:type="dxa"/>
            <w:vMerge w:val="continue"/>
            <w:noWrap w:val="0"/>
            <w:vAlign w:val="center"/>
          </w:tcPr>
          <w:p w14:paraId="1CACB1A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2"/>
                <w:szCs w:val="22"/>
              </w:rPr>
            </w:pPr>
          </w:p>
        </w:tc>
        <w:tc>
          <w:tcPr>
            <w:tcW w:w="5591" w:type="dxa"/>
            <w:vMerge w:val="continue"/>
            <w:noWrap w:val="0"/>
            <w:vAlign w:val="center"/>
          </w:tcPr>
          <w:p w14:paraId="09C3A23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2"/>
                <w:szCs w:val="22"/>
              </w:rPr>
            </w:pPr>
          </w:p>
        </w:tc>
        <w:tc>
          <w:tcPr>
            <w:tcW w:w="3681" w:type="dxa"/>
            <w:gridSpan w:val="2"/>
            <w:vMerge w:val="continue"/>
            <w:noWrap w:val="0"/>
            <w:vAlign w:val="center"/>
          </w:tcPr>
          <w:p w14:paraId="4C0A178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2"/>
                <w:szCs w:val="22"/>
              </w:rPr>
            </w:pPr>
          </w:p>
        </w:tc>
        <w:tc>
          <w:tcPr>
            <w:tcW w:w="2591" w:type="dxa"/>
            <w:gridSpan w:val="2"/>
            <w:noWrap w:val="0"/>
            <w:vAlign w:val="center"/>
          </w:tcPr>
          <w:p w14:paraId="2BFB3B0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营运期</w:t>
            </w:r>
          </w:p>
        </w:tc>
        <w:tc>
          <w:tcPr>
            <w:tcW w:w="2123" w:type="dxa"/>
            <w:shd w:val="clear" w:color="auto" w:fill="auto"/>
            <w:noWrap w:val="0"/>
            <w:vAlign w:val="center"/>
          </w:tcPr>
          <w:p w14:paraId="27FFFFB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kern w:val="2"/>
                <w:sz w:val="22"/>
                <w:szCs w:val="22"/>
                <w:lang w:val="en-US" w:eastAsia="zh-CN" w:bidi="ar-SA"/>
              </w:rPr>
            </w:pPr>
            <w:r>
              <w:rPr>
                <w:rFonts w:hint="eastAsia" w:ascii="Arial" w:hAnsi="Arial" w:cs="Arial"/>
                <w:spacing w:val="0"/>
                <w:sz w:val="22"/>
                <w:szCs w:val="22"/>
                <w:lang w:eastAsia="zh-CN"/>
              </w:rPr>
              <w:t>噪声</w:t>
            </w:r>
          </w:p>
        </w:tc>
        <w:tc>
          <w:tcPr>
            <w:tcW w:w="2129" w:type="dxa"/>
            <w:vMerge w:val="continue"/>
            <w:noWrap w:val="0"/>
            <w:vAlign w:val="center"/>
          </w:tcPr>
          <w:p w14:paraId="7A4A3C6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5D4861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99" w:hRule="atLeast"/>
          <w:jc w:val="center"/>
        </w:trPr>
        <w:tc>
          <w:tcPr>
            <w:tcW w:w="1587" w:type="dxa"/>
            <w:vMerge w:val="continue"/>
            <w:noWrap w:val="0"/>
            <w:vAlign w:val="center"/>
          </w:tcPr>
          <w:p w14:paraId="69EEDC5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0B10F11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5964F1D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eastAsia="宋体" w:cs="Arial"/>
                <w:spacing w:val="0"/>
                <w:sz w:val="22"/>
                <w:szCs w:val="22"/>
                <w:lang w:val="en-US" w:eastAsia="zh-CN"/>
              </w:rPr>
            </w:pPr>
            <w:r>
              <w:rPr>
                <w:rFonts w:hint="eastAsia" w:ascii="Arial" w:hAnsi="Arial" w:cs="Arial"/>
                <w:spacing w:val="0"/>
                <w:sz w:val="22"/>
                <w:szCs w:val="22"/>
                <w:lang w:val="en-US" w:eastAsia="zh-CN"/>
              </w:rPr>
              <w:t>4#邹家冲村民</w:t>
            </w:r>
          </w:p>
        </w:tc>
        <w:tc>
          <w:tcPr>
            <w:tcW w:w="5591" w:type="dxa"/>
            <w:noWrap w:val="0"/>
            <w:vAlign w:val="center"/>
          </w:tcPr>
          <w:p w14:paraId="0D22468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rPr>
              <w:t>库区</w:t>
            </w:r>
            <w:r>
              <w:rPr>
                <w:rFonts w:hint="eastAsia" w:ascii="Arial" w:hAnsi="Arial" w:cs="Arial"/>
                <w:spacing w:val="0"/>
                <w:sz w:val="22"/>
                <w:szCs w:val="22"/>
                <w:lang w:eastAsia="zh-CN"/>
              </w:rPr>
              <w:t>东南侧，</w:t>
            </w:r>
            <w:r>
              <w:rPr>
                <w:rFonts w:hint="eastAsia" w:ascii="Arial" w:hAnsi="Arial" w:cs="Arial"/>
                <w:spacing w:val="0"/>
                <w:sz w:val="22"/>
                <w:szCs w:val="22"/>
              </w:rPr>
              <w:t>最近距离</w:t>
            </w:r>
            <w:r>
              <w:rPr>
                <w:rFonts w:hint="eastAsia" w:ascii="Arial" w:hAnsi="Arial" w:cs="Arial"/>
                <w:spacing w:val="0"/>
                <w:sz w:val="22"/>
                <w:szCs w:val="22"/>
                <w:lang w:val="en-US" w:eastAsia="zh-CN"/>
              </w:rPr>
              <w:t>436</w:t>
            </w:r>
            <w:r>
              <w:rPr>
                <w:rFonts w:hint="eastAsia" w:ascii="Arial" w:hAnsi="Arial" w:cs="Arial"/>
                <w:spacing w:val="0"/>
                <w:sz w:val="22"/>
                <w:szCs w:val="22"/>
              </w:rPr>
              <w:t>m</w:t>
            </w:r>
          </w:p>
          <w:p w14:paraId="2365E0C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环库巡检步道东南侧</w:t>
            </w:r>
            <w:r>
              <w:rPr>
                <w:rFonts w:hint="eastAsia" w:ascii="Arial" w:hAnsi="Arial" w:cs="Arial"/>
                <w:spacing w:val="0"/>
                <w:sz w:val="22"/>
                <w:szCs w:val="22"/>
              </w:rPr>
              <w:t>，最近距离</w:t>
            </w:r>
            <w:r>
              <w:rPr>
                <w:rFonts w:hint="eastAsia" w:ascii="Arial" w:hAnsi="Arial" w:cs="Arial"/>
                <w:spacing w:val="0"/>
                <w:sz w:val="22"/>
                <w:szCs w:val="22"/>
                <w:lang w:val="en-US" w:eastAsia="zh-CN"/>
              </w:rPr>
              <w:t>423</w:t>
            </w:r>
            <w:r>
              <w:rPr>
                <w:rFonts w:hint="eastAsia" w:ascii="Arial" w:hAnsi="Arial" w:cs="Arial"/>
                <w:spacing w:val="0"/>
                <w:sz w:val="22"/>
                <w:szCs w:val="22"/>
              </w:rPr>
              <w:t>m</w:t>
            </w:r>
          </w:p>
        </w:tc>
        <w:tc>
          <w:tcPr>
            <w:tcW w:w="3681" w:type="dxa"/>
            <w:gridSpan w:val="2"/>
            <w:noWrap w:val="0"/>
            <w:vAlign w:val="center"/>
          </w:tcPr>
          <w:p w14:paraId="1E9905C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48户约</w:t>
            </w:r>
            <w:r>
              <w:rPr>
                <w:rFonts w:hint="eastAsia" w:ascii="Arial" w:hAnsi="Arial" w:cs="Arial"/>
                <w:spacing w:val="0"/>
                <w:sz w:val="22"/>
                <w:szCs w:val="22"/>
                <w:lang w:val="en-US" w:eastAsia="zh-CN"/>
              </w:rPr>
              <w:t>154</w:t>
            </w:r>
            <w:r>
              <w:rPr>
                <w:rFonts w:hint="eastAsia" w:ascii="Arial" w:hAnsi="Arial" w:cs="Arial"/>
                <w:spacing w:val="0"/>
                <w:sz w:val="22"/>
                <w:szCs w:val="22"/>
              </w:rPr>
              <w:t>人</w:t>
            </w:r>
          </w:p>
        </w:tc>
        <w:tc>
          <w:tcPr>
            <w:tcW w:w="2591" w:type="dxa"/>
            <w:gridSpan w:val="2"/>
            <w:noWrap w:val="0"/>
            <w:vAlign w:val="center"/>
          </w:tcPr>
          <w:p w14:paraId="40ADC71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r>
              <w:rPr>
                <w:rFonts w:hint="eastAsia" w:ascii="Arial" w:hAnsi="Arial" w:cs="Arial"/>
                <w:spacing w:val="0"/>
                <w:sz w:val="22"/>
                <w:szCs w:val="22"/>
              </w:rPr>
              <w:t>施工期</w:t>
            </w:r>
          </w:p>
        </w:tc>
        <w:tc>
          <w:tcPr>
            <w:tcW w:w="2123" w:type="dxa"/>
            <w:noWrap w:val="0"/>
            <w:vAlign w:val="center"/>
          </w:tcPr>
          <w:p w14:paraId="10E32E7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r>
              <w:rPr>
                <w:rFonts w:hint="eastAsia" w:ascii="Arial" w:hAnsi="Arial" w:cs="Arial"/>
                <w:spacing w:val="0"/>
                <w:sz w:val="22"/>
                <w:szCs w:val="22"/>
              </w:rPr>
              <w:t>噪声、扬尘</w:t>
            </w:r>
          </w:p>
        </w:tc>
        <w:tc>
          <w:tcPr>
            <w:tcW w:w="2129" w:type="dxa"/>
            <w:vMerge w:val="continue"/>
            <w:noWrap w:val="0"/>
            <w:vAlign w:val="center"/>
          </w:tcPr>
          <w:p w14:paraId="0969BD8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r>
      <w:tr w14:paraId="3FCA3F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99" w:hRule="atLeast"/>
          <w:jc w:val="center"/>
        </w:trPr>
        <w:tc>
          <w:tcPr>
            <w:tcW w:w="1587" w:type="dxa"/>
            <w:vMerge w:val="continue"/>
            <w:noWrap w:val="0"/>
            <w:vAlign w:val="center"/>
          </w:tcPr>
          <w:p w14:paraId="646B94A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42C7E0B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1EB4400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cs="Arial"/>
                <w:spacing w:val="0"/>
                <w:sz w:val="22"/>
                <w:szCs w:val="22"/>
                <w:lang w:val="en-US" w:eastAsia="zh-CN"/>
              </w:rPr>
            </w:pPr>
            <w:r>
              <w:rPr>
                <w:rFonts w:hint="eastAsia" w:ascii="Arial" w:hAnsi="Arial" w:cs="Arial"/>
                <w:spacing w:val="0"/>
                <w:sz w:val="22"/>
                <w:szCs w:val="22"/>
                <w:lang w:val="en-US" w:eastAsia="zh-CN"/>
              </w:rPr>
              <w:t>5#新房子村民</w:t>
            </w:r>
          </w:p>
        </w:tc>
        <w:tc>
          <w:tcPr>
            <w:tcW w:w="5591" w:type="dxa"/>
            <w:noWrap w:val="0"/>
            <w:vAlign w:val="center"/>
          </w:tcPr>
          <w:p w14:paraId="7F537A8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库区东侧</w:t>
            </w:r>
            <w:r>
              <w:rPr>
                <w:rFonts w:hint="eastAsia" w:ascii="Arial" w:hAnsi="Arial" w:cs="Arial"/>
                <w:spacing w:val="0"/>
                <w:sz w:val="22"/>
                <w:szCs w:val="22"/>
              </w:rPr>
              <w:t>，最近距离</w:t>
            </w:r>
            <w:r>
              <w:rPr>
                <w:rFonts w:hint="eastAsia" w:ascii="Arial" w:hAnsi="Arial" w:cs="Arial"/>
                <w:spacing w:val="0"/>
                <w:sz w:val="22"/>
                <w:szCs w:val="22"/>
                <w:lang w:val="en-US" w:eastAsia="zh-CN"/>
              </w:rPr>
              <w:t>272</w:t>
            </w:r>
            <w:r>
              <w:rPr>
                <w:rFonts w:hint="eastAsia" w:ascii="Arial" w:hAnsi="Arial" w:cs="Arial"/>
                <w:spacing w:val="0"/>
                <w:sz w:val="22"/>
                <w:szCs w:val="22"/>
              </w:rPr>
              <w:t>m</w:t>
            </w:r>
          </w:p>
          <w:p w14:paraId="6924113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lang w:eastAsia="zh-CN"/>
              </w:rPr>
            </w:pPr>
            <w:r>
              <w:rPr>
                <w:rFonts w:hint="eastAsia" w:ascii="Arial" w:hAnsi="Arial" w:cs="Arial"/>
                <w:spacing w:val="0"/>
                <w:sz w:val="22"/>
                <w:szCs w:val="22"/>
                <w:lang w:eastAsia="zh-CN"/>
              </w:rPr>
              <w:t>环库巡检步道东侧，最近距离</w:t>
            </w:r>
            <w:r>
              <w:rPr>
                <w:rFonts w:hint="eastAsia" w:ascii="Arial" w:hAnsi="Arial" w:cs="Arial"/>
                <w:spacing w:val="0"/>
                <w:sz w:val="22"/>
                <w:szCs w:val="22"/>
                <w:lang w:val="en-US" w:eastAsia="zh-CN"/>
              </w:rPr>
              <w:t>262m</w:t>
            </w:r>
          </w:p>
        </w:tc>
        <w:tc>
          <w:tcPr>
            <w:tcW w:w="3681" w:type="dxa"/>
            <w:gridSpan w:val="2"/>
            <w:noWrap w:val="0"/>
            <w:vAlign w:val="center"/>
          </w:tcPr>
          <w:p w14:paraId="3016D27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25</w:t>
            </w:r>
            <w:r>
              <w:rPr>
                <w:rFonts w:hint="eastAsia" w:ascii="Arial" w:hAnsi="Arial" w:cs="Arial"/>
                <w:spacing w:val="0"/>
                <w:sz w:val="22"/>
                <w:szCs w:val="22"/>
              </w:rPr>
              <w:t>户约</w:t>
            </w:r>
            <w:r>
              <w:rPr>
                <w:rFonts w:hint="eastAsia" w:ascii="Arial" w:hAnsi="Arial" w:cs="Arial"/>
                <w:spacing w:val="0"/>
                <w:sz w:val="22"/>
                <w:szCs w:val="22"/>
                <w:lang w:val="en-US" w:eastAsia="zh-CN"/>
              </w:rPr>
              <w:t>80</w:t>
            </w:r>
            <w:r>
              <w:rPr>
                <w:rFonts w:hint="eastAsia" w:ascii="Arial" w:hAnsi="Arial" w:cs="Arial"/>
                <w:spacing w:val="0"/>
                <w:sz w:val="22"/>
                <w:szCs w:val="22"/>
              </w:rPr>
              <w:t>人</w:t>
            </w:r>
          </w:p>
        </w:tc>
        <w:tc>
          <w:tcPr>
            <w:tcW w:w="2591" w:type="dxa"/>
            <w:gridSpan w:val="2"/>
            <w:shd w:val="clear" w:color="auto" w:fill="auto"/>
            <w:noWrap w:val="0"/>
            <w:vAlign w:val="center"/>
          </w:tcPr>
          <w:p w14:paraId="087A3C3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kern w:val="2"/>
                <w:sz w:val="22"/>
                <w:szCs w:val="22"/>
                <w:lang w:val="en-US" w:eastAsia="zh-CN" w:bidi="ar-SA"/>
              </w:rPr>
            </w:pPr>
            <w:r>
              <w:rPr>
                <w:rFonts w:hint="eastAsia" w:ascii="Arial" w:hAnsi="Arial" w:cs="Arial"/>
                <w:spacing w:val="0"/>
                <w:sz w:val="22"/>
                <w:szCs w:val="22"/>
              </w:rPr>
              <w:t>施工期</w:t>
            </w:r>
          </w:p>
        </w:tc>
        <w:tc>
          <w:tcPr>
            <w:tcW w:w="2123" w:type="dxa"/>
            <w:shd w:val="clear" w:color="auto" w:fill="auto"/>
            <w:noWrap w:val="0"/>
            <w:vAlign w:val="center"/>
          </w:tcPr>
          <w:p w14:paraId="54EF15C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kern w:val="2"/>
                <w:sz w:val="22"/>
                <w:szCs w:val="22"/>
                <w:lang w:val="en-US" w:eastAsia="zh-CN" w:bidi="ar-SA"/>
              </w:rPr>
            </w:pPr>
            <w:r>
              <w:rPr>
                <w:rFonts w:hint="eastAsia" w:ascii="Arial" w:hAnsi="Arial" w:cs="Arial"/>
                <w:spacing w:val="0"/>
                <w:sz w:val="22"/>
                <w:szCs w:val="22"/>
              </w:rPr>
              <w:t>噪声、扬尘</w:t>
            </w:r>
          </w:p>
        </w:tc>
        <w:tc>
          <w:tcPr>
            <w:tcW w:w="2129" w:type="dxa"/>
            <w:vMerge w:val="continue"/>
            <w:noWrap w:val="0"/>
            <w:vAlign w:val="center"/>
          </w:tcPr>
          <w:p w14:paraId="6089760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r>
      <w:tr w14:paraId="752D8E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99" w:hRule="atLeast"/>
          <w:jc w:val="center"/>
        </w:trPr>
        <w:tc>
          <w:tcPr>
            <w:tcW w:w="1587" w:type="dxa"/>
            <w:vMerge w:val="continue"/>
            <w:noWrap w:val="0"/>
            <w:vAlign w:val="center"/>
          </w:tcPr>
          <w:p w14:paraId="7B6696A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restart"/>
            <w:noWrap w:val="0"/>
            <w:vAlign w:val="center"/>
          </w:tcPr>
          <w:p w14:paraId="241E1A6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输水管线</w:t>
            </w:r>
          </w:p>
        </w:tc>
        <w:tc>
          <w:tcPr>
            <w:tcW w:w="1916" w:type="dxa"/>
            <w:noWrap w:val="0"/>
            <w:vAlign w:val="center"/>
          </w:tcPr>
          <w:p w14:paraId="7F35405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val="en-US" w:eastAsia="zh-CN"/>
              </w:rPr>
            </w:pPr>
            <w:r>
              <w:rPr>
                <w:rFonts w:hint="eastAsia" w:ascii="Arial" w:hAnsi="Arial" w:cs="Arial"/>
                <w:spacing w:val="0"/>
                <w:sz w:val="22"/>
                <w:szCs w:val="22"/>
                <w:lang w:val="en-US" w:eastAsia="zh-CN"/>
              </w:rPr>
              <w:t>6#散居村民</w:t>
            </w:r>
          </w:p>
        </w:tc>
        <w:tc>
          <w:tcPr>
            <w:tcW w:w="5591" w:type="dxa"/>
            <w:noWrap w:val="0"/>
            <w:vAlign w:val="center"/>
          </w:tcPr>
          <w:p w14:paraId="0938D90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双龙干管</w:t>
            </w:r>
            <w:r>
              <w:rPr>
                <w:rFonts w:hint="eastAsia" w:ascii="Arial" w:hAnsi="Arial" w:cs="Arial"/>
                <w:spacing w:val="0"/>
                <w:sz w:val="22"/>
                <w:szCs w:val="22"/>
              </w:rPr>
              <w:t>K</w:t>
            </w:r>
            <w:r>
              <w:rPr>
                <w:rFonts w:hint="eastAsia" w:ascii="Arial" w:hAnsi="Arial" w:cs="Arial"/>
                <w:spacing w:val="0"/>
                <w:sz w:val="22"/>
                <w:szCs w:val="22"/>
                <w:lang w:val="en-US" w:eastAsia="zh-CN"/>
              </w:rPr>
              <w:t>1</w:t>
            </w:r>
            <w:r>
              <w:rPr>
                <w:rFonts w:hint="eastAsia" w:ascii="Arial" w:hAnsi="Arial" w:cs="Arial"/>
                <w:spacing w:val="0"/>
                <w:sz w:val="22"/>
                <w:szCs w:val="22"/>
              </w:rPr>
              <w:t>+</w:t>
            </w:r>
            <w:r>
              <w:rPr>
                <w:rFonts w:hint="eastAsia" w:ascii="Arial" w:hAnsi="Arial" w:cs="Arial"/>
                <w:spacing w:val="0"/>
                <w:sz w:val="22"/>
                <w:szCs w:val="22"/>
                <w:lang w:val="en-US" w:eastAsia="zh-CN"/>
              </w:rPr>
              <w:t>269</w:t>
            </w:r>
            <w:r>
              <w:rPr>
                <w:rFonts w:hint="eastAsia" w:ascii="Arial" w:hAnsi="Arial" w:cs="Arial"/>
                <w:spacing w:val="0"/>
                <w:sz w:val="22"/>
                <w:szCs w:val="22"/>
              </w:rPr>
              <w:t>~K</w:t>
            </w:r>
            <w:r>
              <w:rPr>
                <w:rFonts w:hint="eastAsia" w:ascii="Arial" w:hAnsi="Arial" w:cs="Arial"/>
                <w:spacing w:val="0"/>
                <w:sz w:val="22"/>
                <w:szCs w:val="22"/>
                <w:lang w:val="en-US" w:eastAsia="zh-CN"/>
              </w:rPr>
              <w:t>2</w:t>
            </w:r>
            <w:r>
              <w:rPr>
                <w:rFonts w:hint="eastAsia" w:ascii="Arial" w:hAnsi="Arial" w:cs="Arial"/>
                <w:spacing w:val="0"/>
                <w:sz w:val="22"/>
                <w:szCs w:val="22"/>
              </w:rPr>
              <w:t>+</w:t>
            </w:r>
            <w:r>
              <w:rPr>
                <w:rFonts w:hint="eastAsia" w:ascii="Arial" w:hAnsi="Arial" w:cs="Arial"/>
                <w:spacing w:val="0"/>
                <w:sz w:val="22"/>
                <w:szCs w:val="22"/>
                <w:lang w:val="en-US" w:eastAsia="zh-CN"/>
              </w:rPr>
              <w:t>026</w:t>
            </w:r>
            <w:r>
              <w:rPr>
                <w:rFonts w:hint="eastAsia" w:ascii="Arial" w:hAnsi="Arial" w:cs="Arial"/>
                <w:spacing w:val="0"/>
                <w:sz w:val="22"/>
                <w:szCs w:val="22"/>
                <w:lang w:eastAsia="zh-CN"/>
              </w:rPr>
              <w:t>左侧，</w:t>
            </w:r>
            <w:r>
              <w:rPr>
                <w:rFonts w:hint="eastAsia" w:ascii="Arial" w:hAnsi="Arial" w:cs="Arial"/>
                <w:spacing w:val="0"/>
                <w:sz w:val="22"/>
                <w:szCs w:val="22"/>
              </w:rPr>
              <w:t>最近距离</w:t>
            </w:r>
            <w:r>
              <w:rPr>
                <w:rFonts w:hint="eastAsia" w:ascii="Arial" w:hAnsi="Arial" w:cs="Arial"/>
                <w:spacing w:val="0"/>
                <w:sz w:val="22"/>
                <w:szCs w:val="22"/>
                <w:lang w:val="en-US" w:eastAsia="zh-CN"/>
              </w:rPr>
              <w:t>14</w:t>
            </w:r>
            <w:r>
              <w:rPr>
                <w:rFonts w:hint="eastAsia" w:ascii="Arial" w:hAnsi="Arial" w:cs="Arial"/>
                <w:spacing w:val="0"/>
                <w:sz w:val="22"/>
                <w:szCs w:val="22"/>
              </w:rPr>
              <w:t>m</w:t>
            </w:r>
          </w:p>
          <w:p w14:paraId="4AA0149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eastAsia="宋体" w:cs="Arial"/>
                <w:spacing w:val="0"/>
                <w:sz w:val="22"/>
                <w:szCs w:val="22"/>
                <w:lang w:val="en-US" w:eastAsia="zh-CN"/>
              </w:rPr>
            </w:pPr>
            <w:r>
              <w:rPr>
                <w:rFonts w:hint="eastAsia" w:ascii="Arial" w:hAnsi="Arial" w:cs="Arial"/>
                <w:spacing w:val="0"/>
                <w:sz w:val="22"/>
                <w:szCs w:val="22"/>
                <w:lang w:eastAsia="zh-CN"/>
              </w:rPr>
              <w:t>新华支管</w:t>
            </w:r>
            <w:r>
              <w:rPr>
                <w:rFonts w:hint="eastAsia" w:ascii="Arial" w:hAnsi="Arial" w:cs="Arial"/>
                <w:spacing w:val="0"/>
                <w:sz w:val="22"/>
                <w:szCs w:val="22"/>
                <w:lang w:val="en-US" w:eastAsia="zh-CN"/>
              </w:rPr>
              <w:t>XZ0+160右侧，</w:t>
            </w:r>
            <w:r>
              <w:rPr>
                <w:rFonts w:hint="eastAsia" w:ascii="Arial" w:hAnsi="Arial" w:cs="Arial"/>
                <w:spacing w:val="0"/>
                <w:sz w:val="22"/>
                <w:szCs w:val="22"/>
              </w:rPr>
              <w:t>最近距离</w:t>
            </w:r>
            <w:r>
              <w:rPr>
                <w:rFonts w:hint="eastAsia" w:ascii="Arial" w:hAnsi="Arial" w:cs="Arial"/>
                <w:spacing w:val="0"/>
                <w:sz w:val="22"/>
                <w:szCs w:val="22"/>
                <w:lang w:val="en-US" w:eastAsia="zh-CN"/>
              </w:rPr>
              <w:t>98</w:t>
            </w:r>
            <w:r>
              <w:rPr>
                <w:rFonts w:hint="eastAsia" w:ascii="Arial" w:hAnsi="Arial" w:cs="Arial"/>
                <w:spacing w:val="0"/>
                <w:sz w:val="22"/>
                <w:szCs w:val="22"/>
              </w:rPr>
              <w:t>m</w:t>
            </w:r>
          </w:p>
        </w:tc>
        <w:tc>
          <w:tcPr>
            <w:tcW w:w="3681" w:type="dxa"/>
            <w:gridSpan w:val="2"/>
            <w:noWrap w:val="0"/>
            <w:vAlign w:val="center"/>
          </w:tcPr>
          <w:p w14:paraId="14E2A71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31</w:t>
            </w:r>
            <w:r>
              <w:rPr>
                <w:rFonts w:hint="eastAsia" w:ascii="Arial" w:hAnsi="Arial" w:cs="Arial"/>
                <w:spacing w:val="0"/>
                <w:sz w:val="22"/>
                <w:szCs w:val="22"/>
              </w:rPr>
              <w:t>户约</w:t>
            </w:r>
            <w:r>
              <w:rPr>
                <w:rFonts w:hint="eastAsia" w:ascii="Arial" w:hAnsi="Arial" w:cs="Arial"/>
                <w:spacing w:val="0"/>
                <w:sz w:val="22"/>
                <w:szCs w:val="22"/>
                <w:lang w:val="en-US" w:eastAsia="zh-CN"/>
              </w:rPr>
              <w:t>100</w:t>
            </w:r>
            <w:r>
              <w:rPr>
                <w:rFonts w:hint="eastAsia" w:ascii="Arial" w:hAnsi="Arial" w:cs="Arial"/>
                <w:spacing w:val="0"/>
                <w:sz w:val="22"/>
                <w:szCs w:val="22"/>
              </w:rPr>
              <w:t>人</w:t>
            </w:r>
          </w:p>
        </w:tc>
        <w:tc>
          <w:tcPr>
            <w:tcW w:w="2591" w:type="dxa"/>
            <w:gridSpan w:val="2"/>
            <w:vMerge w:val="restart"/>
            <w:noWrap w:val="0"/>
            <w:vAlign w:val="center"/>
          </w:tcPr>
          <w:p w14:paraId="27B5E81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施工期</w:t>
            </w:r>
          </w:p>
        </w:tc>
        <w:tc>
          <w:tcPr>
            <w:tcW w:w="2123" w:type="dxa"/>
            <w:vMerge w:val="restart"/>
            <w:noWrap w:val="0"/>
            <w:vAlign w:val="center"/>
          </w:tcPr>
          <w:p w14:paraId="0212B3E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施工扬尘、噪声</w:t>
            </w:r>
          </w:p>
        </w:tc>
        <w:tc>
          <w:tcPr>
            <w:tcW w:w="2129" w:type="dxa"/>
            <w:vMerge w:val="continue"/>
            <w:noWrap w:val="0"/>
            <w:vAlign w:val="center"/>
          </w:tcPr>
          <w:p w14:paraId="053F541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621459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16A4DE3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35E264E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36E4BF1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eastAsia="宋体" w:cs="Arial"/>
                <w:spacing w:val="0"/>
                <w:sz w:val="22"/>
                <w:szCs w:val="22"/>
                <w:lang w:val="en-US" w:eastAsia="zh-CN"/>
              </w:rPr>
            </w:pPr>
            <w:r>
              <w:rPr>
                <w:rFonts w:hint="eastAsia" w:ascii="Arial" w:hAnsi="Arial" w:cs="Arial"/>
                <w:spacing w:val="0"/>
                <w:sz w:val="22"/>
                <w:szCs w:val="22"/>
                <w:lang w:val="en-US" w:eastAsia="zh-CN"/>
              </w:rPr>
              <w:t>7#散居村民</w:t>
            </w:r>
          </w:p>
        </w:tc>
        <w:tc>
          <w:tcPr>
            <w:tcW w:w="5591" w:type="dxa"/>
            <w:noWrap w:val="0"/>
            <w:vAlign w:val="center"/>
          </w:tcPr>
          <w:p w14:paraId="6C6440E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双龙干管</w:t>
            </w:r>
            <w:r>
              <w:rPr>
                <w:rFonts w:hint="eastAsia" w:ascii="Arial" w:hAnsi="Arial" w:cs="Arial"/>
                <w:spacing w:val="0"/>
                <w:sz w:val="22"/>
                <w:szCs w:val="22"/>
              </w:rPr>
              <w:t>K</w:t>
            </w:r>
            <w:r>
              <w:rPr>
                <w:rFonts w:hint="eastAsia" w:ascii="Arial" w:hAnsi="Arial" w:cs="Arial"/>
                <w:spacing w:val="0"/>
                <w:sz w:val="22"/>
                <w:szCs w:val="22"/>
                <w:lang w:val="en-US" w:eastAsia="zh-CN"/>
              </w:rPr>
              <w:t>1</w:t>
            </w:r>
            <w:r>
              <w:rPr>
                <w:rFonts w:hint="eastAsia" w:ascii="Arial" w:hAnsi="Arial" w:cs="Arial"/>
                <w:spacing w:val="0"/>
                <w:sz w:val="22"/>
                <w:szCs w:val="22"/>
              </w:rPr>
              <w:t>+</w:t>
            </w:r>
            <w:r>
              <w:rPr>
                <w:rFonts w:hint="eastAsia" w:ascii="Arial" w:hAnsi="Arial" w:cs="Arial"/>
                <w:spacing w:val="0"/>
                <w:sz w:val="22"/>
                <w:szCs w:val="22"/>
                <w:lang w:val="en-US" w:eastAsia="zh-CN"/>
              </w:rPr>
              <w:t>587</w:t>
            </w:r>
            <w:r>
              <w:rPr>
                <w:rFonts w:hint="eastAsia" w:ascii="Arial" w:hAnsi="Arial" w:cs="Arial"/>
                <w:spacing w:val="0"/>
                <w:sz w:val="22"/>
                <w:szCs w:val="22"/>
              </w:rPr>
              <w:t>~K</w:t>
            </w:r>
            <w:r>
              <w:rPr>
                <w:rFonts w:hint="eastAsia" w:ascii="Arial" w:hAnsi="Arial" w:cs="Arial"/>
                <w:spacing w:val="0"/>
                <w:sz w:val="22"/>
                <w:szCs w:val="22"/>
                <w:lang w:val="en-US" w:eastAsia="zh-CN"/>
              </w:rPr>
              <w:t>1</w:t>
            </w:r>
            <w:r>
              <w:rPr>
                <w:rFonts w:hint="eastAsia" w:ascii="Arial" w:hAnsi="Arial" w:cs="Arial"/>
                <w:spacing w:val="0"/>
                <w:sz w:val="22"/>
                <w:szCs w:val="22"/>
              </w:rPr>
              <w:t>+</w:t>
            </w:r>
            <w:r>
              <w:rPr>
                <w:rFonts w:hint="eastAsia" w:ascii="Arial" w:hAnsi="Arial" w:cs="Arial"/>
                <w:spacing w:val="0"/>
                <w:sz w:val="22"/>
                <w:szCs w:val="22"/>
                <w:lang w:val="en-US" w:eastAsia="zh-CN"/>
              </w:rPr>
              <w:t>948</w:t>
            </w:r>
            <w:r>
              <w:rPr>
                <w:rFonts w:hint="eastAsia" w:ascii="Arial" w:hAnsi="Arial" w:cs="Arial"/>
                <w:spacing w:val="0"/>
                <w:sz w:val="22"/>
                <w:szCs w:val="22"/>
                <w:lang w:eastAsia="zh-CN"/>
              </w:rPr>
              <w:t>右侧，</w:t>
            </w:r>
            <w:r>
              <w:rPr>
                <w:rFonts w:hint="eastAsia" w:ascii="Arial" w:hAnsi="Arial" w:cs="Arial"/>
                <w:spacing w:val="0"/>
                <w:sz w:val="22"/>
                <w:szCs w:val="22"/>
              </w:rPr>
              <w:t>最近距离</w:t>
            </w:r>
            <w:r>
              <w:rPr>
                <w:rFonts w:hint="eastAsia" w:ascii="Arial" w:hAnsi="Arial" w:cs="Arial"/>
                <w:spacing w:val="0"/>
                <w:sz w:val="22"/>
                <w:szCs w:val="22"/>
                <w:lang w:val="en-US" w:eastAsia="zh-CN"/>
              </w:rPr>
              <w:t>7</w:t>
            </w:r>
            <w:r>
              <w:rPr>
                <w:rFonts w:hint="eastAsia" w:ascii="Arial" w:hAnsi="Arial" w:cs="Arial"/>
                <w:spacing w:val="0"/>
                <w:sz w:val="22"/>
                <w:szCs w:val="22"/>
              </w:rPr>
              <w:t>m</w:t>
            </w:r>
          </w:p>
        </w:tc>
        <w:tc>
          <w:tcPr>
            <w:tcW w:w="3681" w:type="dxa"/>
            <w:gridSpan w:val="2"/>
            <w:noWrap w:val="0"/>
            <w:vAlign w:val="center"/>
          </w:tcPr>
          <w:p w14:paraId="6EA2C6F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41</w:t>
            </w:r>
            <w:r>
              <w:rPr>
                <w:rFonts w:hint="eastAsia" w:ascii="Arial" w:hAnsi="Arial" w:cs="Arial"/>
                <w:spacing w:val="0"/>
                <w:sz w:val="22"/>
                <w:szCs w:val="22"/>
              </w:rPr>
              <w:t>户约</w:t>
            </w:r>
            <w:r>
              <w:rPr>
                <w:rFonts w:hint="eastAsia" w:ascii="Arial" w:hAnsi="Arial" w:cs="Arial"/>
                <w:spacing w:val="0"/>
                <w:sz w:val="22"/>
                <w:szCs w:val="22"/>
                <w:lang w:val="en-US" w:eastAsia="zh-CN"/>
              </w:rPr>
              <w:t>132</w:t>
            </w:r>
            <w:r>
              <w:rPr>
                <w:rFonts w:hint="eastAsia" w:ascii="Arial" w:hAnsi="Arial" w:cs="Arial"/>
                <w:spacing w:val="0"/>
                <w:sz w:val="22"/>
                <w:szCs w:val="22"/>
              </w:rPr>
              <w:t>人</w:t>
            </w:r>
          </w:p>
        </w:tc>
        <w:tc>
          <w:tcPr>
            <w:tcW w:w="2591" w:type="dxa"/>
            <w:gridSpan w:val="2"/>
            <w:vMerge w:val="continue"/>
            <w:noWrap w:val="0"/>
            <w:vAlign w:val="center"/>
          </w:tcPr>
          <w:p w14:paraId="4462C73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4476833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5F6F3F5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54D91E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222C17B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0AA8DDA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13DA298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eastAsia="宋体" w:cs="Arial"/>
                <w:spacing w:val="0"/>
                <w:sz w:val="22"/>
                <w:szCs w:val="22"/>
                <w:lang w:val="en-US" w:eastAsia="zh-CN"/>
              </w:rPr>
            </w:pPr>
            <w:r>
              <w:rPr>
                <w:rFonts w:hint="eastAsia" w:ascii="Arial" w:hAnsi="Arial" w:cs="Arial"/>
                <w:spacing w:val="0"/>
                <w:sz w:val="22"/>
                <w:szCs w:val="22"/>
                <w:lang w:val="en-US" w:eastAsia="zh-CN"/>
              </w:rPr>
              <w:t>8#散居村民</w:t>
            </w:r>
          </w:p>
        </w:tc>
        <w:tc>
          <w:tcPr>
            <w:tcW w:w="5591" w:type="dxa"/>
            <w:noWrap w:val="0"/>
            <w:vAlign w:val="center"/>
          </w:tcPr>
          <w:p w14:paraId="142A42C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双龙干管</w:t>
            </w:r>
            <w:r>
              <w:rPr>
                <w:rFonts w:hint="eastAsia" w:ascii="Arial" w:hAnsi="Arial" w:cs="Arial"/>
                <w:spacing w:val="0"/>
                <w:sz w:val="22"/>
                <w:szCs w:val="22"/>
              </w:rPr>
              <w:t>K</w:t>
            </w:r>
            <w:r>
              <w:rPr>
                <w:rFonts w:hint="eastAsia" w:ascii="Arial" w:hAnsi="Arial" w:cs="Arial"/>
                <w:spacing w:val="0"/>
                <w:sz w:val="22"/>
                <w:szCs w:val="22"/>
                <w:lang w:val="en-US" w:eastAsia="zh-CN"/>
              </w:rPr>
              <w:t>2</w:t>
            </w:r>
            <w:r>
              <w:rPr>
                <w:rFonts w:hint="eastAsia" w:ascii="Arial" w:hAnsi="Arial" w:cs="Arial"/>
                <w:spacing w:val="0"/>
                <w:sz w:val="22"/>
                <w:szCs w:val="22"/>
              </w:rPr>
              <w:t>+</w:t>
            </w:r>
            <w:r>
              <w:rPr>
                <w:rFonts w:hint="eastAsia" w:ascii="Arial" w:hAnsi="Arial" w:cs="Arial"/>
                <w:spacing w:val="0"/>
                <w:sz w:val="22"/>
                <w:szCs w:val="22"/>
                <w:lang w:val="en-US" w:eastAsia="zh-CN"/>
              </w:rPr>
              <w:t>476</w:t>
            </w:r>
            <w:r>
              <w:rPr>
                <w:rFonts w:hint="eastAsia" w:ascii="Arial" w:hAnsi="Arial" w:cs="Arial"/>
                <w:spacing w:val="0"/>
                <w:sz w:val="22"/>
                <w:szCs w:val="22"/>
              </w:rPr>
              <w:t>~K</w:t>
            </w:r>
            <w:r>
              <w:rPr>
                <w:rFonts w:hint="eastAsia" w:ascii="Arial" w:hAnsi="Arial" w:cs="Arial"/>
                <w:spacing w:val="0"/>
                <w:sz w:val="22"/>
                <w:szCs w:val="22"/>
                <w:lang w:val="en-US" w:eastAsia="zh-CN"/>
              </w:rPr>
              <w:t>2</w:t>
            </w:r>
            <w:r>
              <w:rPr>
                <w:rFonts w:hint="eastAsia" w:ascii="Arial" w:hAnsi="Arial" w:cs="Arial"/>
                <w:spacing w:val="0"/>
                <w:sz w:val="22"/>
                <w:szCs w:val="22"/>
              </w:rPr>
              <w:t>+</w:t>
            </w:r>
            <w:r>
              <w:rPr>
                <w:rFonts w:hint="eastAsia" w:ascii="Arial" w:hAnsi="Arial" w:cs="Arial"/>
                <w:spacing w:val="0"/>
                <w:sz w:val="22"/>
                <w:szCs w:val="22"/>
                <w:lang w:val="en-US" w:eastAsia="zh-CN"/>
              </w:rPr>
              <w:t>734</w:t>
            </w:r>
            <w:r>
              <w:rPr>
                <w:rFonts w:hint="eastAsia" w:ascii="Arial" w:hAnsi="Arial" w:cs="Arial"/>
                <w:spacing w:val="0"/>
                <w:sz w:val="22"/>
                <w:szCs w:val="22"/>
                <w:lang w:eastAsia="zh-CN"/>
              </w:rPr>
              <w:t>左侧，</w:t>
            </w:r>
            <w:r>
              <w:rPr>
                <w:rFonts w:hint="eastAsia" w:ascii="Arial" w:hAnsi="Arial" w:cs="Arial"/>
                <w:spacing w:val="0"/>
                <w:sz w:val="22"/>
                <w:szCs w:val="22"/>
              </w:rPr>
              <w:t>最近距离</w:t>
            </w:r>
            <w:r>
              <w:rPr>
                <w:rFonts w:hint="eastAsia" w:ascii="Arial" w:hAnsi="Arial" w:cs="Arial"/>
                <w:spacing w:val="0"/>
                <w:sz w:val="22"/>
                <w:szCs w:val="22"/>
                <w:lang w:val="en-US" w:eastAsia="zh-CN"/>
              </w:rPr>
              <w:t>47</w:t>
            </w:r>
            <w:r>
              <w:rPr>
                <w:rFonts w:hint="eastAsia" w:ascii="Arial" w:hAnsi="Arial" w:cs="Arial"/>
                <w:spacing w:val="0"/>
                <w:sz w:val="22"/>
                <w:szCs w:val="22"/>
              </w:rPr>
              <w:t>m</w:t>
            </w:r>
          </w:p>
        </w:tc>
        <w:tc>
          <w:tcPr>
            <w:tcW w:w="3681" w:type="dxa"/>
            <w:gridSpan w:val="2"/>
            <w:noWrap w:val="0"/>
            <w:vAlign w:val="center"/>
          </w:tcPr>
          <w:p w14:paraId="3778A6C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6</w:t>
            </w:r>
            <w:r>
              <w:rPr>
                <w:rFonts w:hint="eastAsia" w:ascii="Arial" w:hAnsi="Arial" w:cs="Arial"/>
                <w:spacing w:val="0"/>
                <w:sz w:val="22"/>
                <w:szCs w:val="22"/>
              </w:rPr>
              <w:t>户约</w:t>
            </w:r>
            <w:r>
              <w:rPr>
                <w:rFonts w:hint="eastAsia" w:ascii="Arial" w:hAnsi="Arial" w:cs="Arial"/>
                <w:spacing w:val="0"/>
                <w:sz w:val="22"/>
                <w:szCs w:val="22"/>
                <w:lang w:val="en-US" w:eastAsia="zh-CN"/>
              </w:rPr>
              <w:t>20</w:t>
            </w:r>
            <w:r>
              <w:rPr>
                <w:rFonts w:hint="eastAsia" w:ascii="Arial" w:hAnsi="Arial" w:cs="Arial"/>
                <w:spacing w:val="0"/>
                <w:sz w:val="22"/>
                <w:szCs w:val="22"/>
              </w:rPr>
              <w:t>人</w:t>
            </w:r>
          </w:p>
        </w:tc>
        <w:tc>
          <w:tcPr>
            <w:tcW w:w="2591" w:type="dxa"/>
            <w:gridSpan w:val="2"/>
            <w:vMerge w:val="continue"/>
            <w:noWrap w:val="0"/>
            <w:vAlign w:val="center"/>
          </w:tcPr>
          <w:p w14:paraId="18C05C4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1451BAA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7678ABC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7FA3BD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458FA57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4677E4D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7138C55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eastAsia="宋体" w:cs="Arial"/>
                <w:spacing w:val="0"/>
                <w:sz w:val="22"/>
                <w:szCs w:val="22"/>
                <w:lang w:val="en-US" w:eastAsia="zh-CN"/>
              </w:rPr>
            </w:pPr>
            <w:r>
              <w:rPr>
                <w:rFonts w:hint="eastAsia" w:ascii="Arial" w:hAnsi="Arial" w:cs="Arial"/>
                <w:spacing w:val="0"/>
                <w:sz w:val="22"/>
                <w:szCs w:val="22"/>
                <w:lang w:val="en-US" w:eastAsia="zh-CN"/>
              </w:rPr>
              <w:t>9#散居村民</w:t>
            </w:r>
          </w:p>
        </w:tc>
        <w:tc>
          <w:tcPr>
            <w:tcW w:w="5591" w:type="dxa"/>
            <w:noWrap w:val="0"/>
            <w:vAlign w:val="center"/>
          </w:tcPr>
          <w:p w14:paraId="463A561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双龙干管</w:t>
            </w:r>
            <w:r>
              <w:rPr>
                <w:rFonts w:hint="eastAsia" w:ascii="Arial" w:hAnsi="Arial" w:cs="Arial"/>
                <w:spacing w:val="0"/>
                <w:sz w:val="22"/>
                <w:szCs w:val="22"/>
              </w:rPr>
              <w:t>K</w:t>
            </w:r>
            <w:r>
              <w:rPr>
                <w:rFonts w:hint="eastAsia" w:ascii="Arial" w:hAnsi="Arial" w:cs="Arial"/>
                <w:spacing w:val="0"/>
                <w:sz w:val="22"/>
                <w:szCs w:val="22"/>
                <w:lang w:val="en-US" w:eastAsia="zh-CN"/>
              </w:rPr>
              <w:t>2</w:t>
            </w:r>
            <w:r>
              <w:rPr>
                <w:rFonts w:hint="eastAsia" w:ascii="Arial" w:hAnsi="Arial" w:cs="Arial"/>
                <w:spacing w:val="0"/>
                <w:sz w:val="22"/>
                <w:szCs w:val="22"/>
              </w:rPr>
              <w:t>+</w:t>
            </w:r>
            <w:r>
              <w:rPr>
                <w:rFonts w:hint="eastAsia" w:ascii="Arial" w:hAnsi="Arial" w:cs="Arial"/>
                <w:spacing w:val="0"/>
                <w:sz w:val="22"/>
                <w:szCs w:val="22"/>
                <w:lang w:val="en-US" w:eastAsia="zh-CN"/>
              </w:rPr>
              <w:t>832</w:t>
            </w:r>
            <w:r>
              <w:rPr>
                <w:rFonts w:hint="eastAsia" w:ascii="Arial" w:hAnsi="Arial" w:cs="Arial"/>
                <w:spacing w:val="0"/>
                <w:sz w:val="22"/>
                <w:szCs w:val="22"/>
              </w:rPr>
              <w:t>~K</w:t>
            </w:r>
            <w:r>
              <w:rPr>
                <w:rFonts w:hint="eastAsia" w:ascii="Arial" w:hAnsi="Arial" w:cs="Arial"/>
                <w:spacing w:val="0"/>
                <w:sz w:val="22"/>
                <w:szCs w:val="22"/>
                <w:lang w:val="en-US" w:eastAsia="zh-CN"/>
              </w:rPr>
              <w:t>3</w:t>
            </w:r>
            <w:r>
              <w:rPr>
                <w:rFonts w:hint="eastAsia" w:ascii="Arial" w:hAnsi="Arial" w:cs="Arial"/>
                <w:spacing w:val="0"/>
                <w:sz w:val="22"/>
                <w:szCs w:val="22"/>
              </w:rPr>
              <w:t>+</w:t>
            </w:r>
            <w:r>
              <w:rPr>
                <w:rFonts w:hint="eastAsia" w:ascii="Arial" w:hAnsi="Arial" w:cs="Arial"/>
                <w:spacing w:val="0"/>
                <w:sz w:val="22"/>
                <w:szCs w:val="22"/>
                <w:lang w:val="en-US" w:eastAsia="zh-CN"/>
              </w:rPr>
              <w:t>160</w:t>
            </w:r>
            <w:r>
              <w:rPr>
                <w:rFonts w:hint="eastAsia" w:ascii="Arial" w:hAnsi="Arial" w:cs="Arial"/>
                <w:spacing w:val="0"/>
                <w:sz w:val="22"/>
                <w:szCs w:val="22"/>
                <w:lang w:eastAsia="zh-CN"/>
              </w:rPr>
              <w:t>右侧，</w:t>
            </w:r>
            <w:r>
              <w:rPr>
                <w:rFonts w:hint="eastAsia" w:ascii="Arial" w:hAnsi="Arial" w:cs="Arial"/>
                <w:spacing w:val="0"/>
                <w:sz w:val="22"/>
                <w:szCs w:val="22"/>
              </w:rPr>
              <w:t>最近距离</w:t>
            </w:r>
            <w:r>
              <w:rPr>
                <w:rFonts w:hint="eastAsia" w:ascii="Arial" w:hAnsi="Arial" w:cs="Arial"/>
                <w:spacing w:val="0"/>
                <w:sz w:val="22"/>
                <w:szCs w:val="22"/>
                <w:lang w:val="en-US" w:eastAsia="zh-CN"/>
              </w:rPr>
              <w:t>44</w:t>
            </w:r>
            <w:r>
              <w:rPr>
                <w:rFonts w:hint="eastAsia" w:ascii="Arial" w:hAnsi="Arial" w:cs="Arial"/>
                <w:spacing w:val="0"/>
                <w:sz w:val="22"/>
                <w:szCs w:val="22"/>
              </w:rPr>
              <w:t>m</w:t>
            </w:r>
          </w:p>
        </w:tc>
        <w:tc>
          <w:tcPr>
            <w:tcW w:w="3681" w:type="dxa"/>
            <w:gridSpan w:val="2"/>
            <w:noWrap w:val="0"/>
            <w:vAlign w:val="center"/>
          </w:tcPr>
          <w:p w14:paraId="58D1E67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20</w:t>
            </w:r>
            <w:r>
              <w:rPr>
                <w:rFonts w:hint="eastAsia" w:ascii="Arial" w:hAnsi="Arial" w:cs="Arial"/>
                <w:spacing w:val="0"/>
                <w:sz w:val="22"/>
                <w:szCs w:val="22"/>
              </w:rPr>
              <w:t>户约</w:t>
            </w:r>
            <w:r>
              <w:rPr>
                <w:rFonts w:hint="eastAsia" w:ascii="Arial" w:hAnsi="Arial" w:cs="Arial"/>
                <w:spacing w:val="0"/>
                <w:sz w:val="22"/>
                <w:szCs w:val="22"/>
                <w:lang w:val="en-US" w:eastAsia="zh-CN"/>
              </w:rPr>
              <w:t>64</w:t>
            </w:r>
            <w:r>
              <w:rPr>
                <w:rFonts w:hint="eastAsia" w:ascii="Arial" w:hAnsi="Arial" w:cs="Arial"/>
                <w:spacing w:val="0"/>
                <w:sz w:val="22"/>
                <w:szCs w:val="22"/>
              </w:rPr>
              <w:t>人</w:t>
            </w:r>
          </w:p>
        </w:tc>
        <w:tc>
          <w:tcPr>
            <w:tcW w:w="2591" w:type="dxa"/>
            <w:gridSpan w:val="2"/>
            <w:vMerge w:val="continue"/>
            <w:noWrap w:val="0"/>
            <w:vAlign w:val="center"/>
          </w:tcPr>
          <w:p w14:paraId="03FFC1C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6BB9F64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7BED723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1A35E0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4706562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77600D4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3CE8396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val="en-US" w:eastAsia="zh-CN"/>
              </w:rPr>
              <w:t>10</w:t>
            </w:r>
            <w:r>
              <w:rPr>
                <w:rFonts w:hint="eastAsia" w:ascii="Arial" w:hAnsi="Arial" w:cs="Arial"/>
                <w:spacing w:val="0"/>
                <w:sz w:val="22"/>
                <w:szCs w:val="22"/>
              </w:rPr>
              <w:t>#散居</w:t>
            </w:r>
            <w:r>
              <w:rPr>
                <w:rFonts w:hint="eastAsia" w:ascii="Arial" w:hAnsi="Arial" w:cs="Arial"/>
                <w:spacing w:val="0"/>
                <w:sz w:val="22"/>
                <w:szCs w:val="22"/>
                <w:lang w:eastAsia="zh-CN"/>
              </w:rPr>
              <w:t>村民</w:t>
            </w:r>
          </w:p>
        </w:tc>
        <w:tc>
          <w:tcPr>
            <w:tcW w:w="5591" w:type="dxa"/>
            <w:noWrap w:val="0"/>
            <w:vAlign w:val="center"/>
          </w:tcPr>
          <w:p w14:paraId="6E6A45B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双龙干管</w:t>
            </w:r>
            <w:r>
              <w:rPr>
                <w:rFonts w:hint="eastAsia" w:ascii="Arial" w:hAnsi="Arial" w:cs="Arial"/>
                <w:spacing w:val="0"/>
                <w:sz w:val="22"/>
                <w:szCs w:val="22"/>
              </w:rPr>
              <w:t>K</w:t>
            </w:r>
            <w:r>
              <w:rPr>
                <w:rFonts w:hint="eastAsia" w:ascii="Arial" w:hAnsi="Arial" w:cs="Arial"/>
                <w:spacing w:val="0"/>
                <w:sz w:val="22"/>
                <w:szCs w:val="22"/>
                <w:lang w:val="en-US" w:eastAsia="zh-CN"/>
              </w:rPr>
              <w:t>3</w:t>
            </w:r>
            <w:r>
              <w:rPr>
                <w:rFonts w:hint="eastAsia" w:ascii="Arial" w:hAnsi="Arial" w:cs="Arial"/>
                <w:spacing w:val="0"/>
                <w:sz w:val="22"/>
                <w:szCs w:val="22"/>
              </w:rPr>
              <w:t>+</w:t>
            </w:r>
            <w:r>
              <w:rPr>
                <w:rFonts w:hint="eastAsia" w:ascii="Arial" w:hAnsi="Arial" w:cs="Arial"/>
                <w:spacing w:val="0"/>
                <w:sz w:val="22"/>
                <w:szCs w:val="22"/>
                <w:lang w:val="en-US" w:eastAsia="zh-CN"/>
              </w:rPr>
              <w:t>368</w:t>
            </w:r>
            <w:r>
              <w:rPr>
                <w:rFonts w:hint="eastAsia" w:ascii="Arial" w:hAnsi="Arial" w:cs="Arial"/>
                <w:spacing w:val="0"/>
                <w:sz w:val="22"/>
                <w:szCs w:val="22"/>
              </w:rPr>
              <w:t>~K</w:t>
            </w:r>
            <w:r>
              <w:rPr>
                <w:rFonts w:hint="eastAsia" w:ascii="Arial" w:hAnsi="Arial" w:cs="Arial"/>
                <w:spacing w:val="0"/>
                <w:sz w:val="22"/>
                <w:szCs w:val="22"/>
                <w:lang w:val="en-US" w:eastAsia="zh-CN"/>
              </w:rPr>
              <w:t>3</w:t>
            </w:r>
            <w:r>
              <w:rPr>
                <w:rFonts w:hint="eastAsia" w:ascii="Arial" w:hAnsi="Arial" w:cs="Arial"/>
                <w:spacing w:val="0"/>
                <w:sz w:val="22"/>
                <w:szCs w:val="22"/>
              </w:rPr>
              <w:t>+</w:t>
            </w:r>
            <w:r>
              <w:rPr>
                <w:rFonts w:hint="eastAsia" w:ascii="Arial" w:hAnsi="Arial" w:cs="Arial"/>
                <w:spacing w:val="0"/>
                <w:sz w:val="22"/>
                <w:szCs w:val="22"/>
                <w:lang w:val="en-US" w:eastAsia="zh-CN"/>
              </w:rPr>
              <w:t>649</w:t>
            </w:r>
            <w:r>
              <w:rPr>
                <w:rFonts w:hint="eastAsia" w:ascii="Arial" w:hAnsi="Arial" w:cs="Arial"/>
                <w:spacing w:val="0"/>
                <w:sz w:val="22"/>
                <w:szCs w:val="22"/>
                <w:lang w:eastAsia="zh-CN"/>
              </w:rPr>
              <w:t>右侧，</w:t>
            </w:r>
            <w:r>
              <w:rPr>
                <w:rFonts w:hint="eastAsia" w:ascii="Arial" w:hAnsi="Arial" w:cs="Arial"/>
                <w:spacing w:val="0"/>
                <w:sz w:val="22"/>
                <w:szCs w:val="22"/>
              </w:rPr>
              <w:t>最近距离</w:t>
            </w:r>
            <w:r>
              <w:rPr>
                <w:rFonts w:hint="eastAsia" w:ascii="Arial" w:hAnsi="Arial" w:cs="Arial"/>
                <w:spacing w:val="0"/>
                <w:sz w:val="22"/>
                <w:szCs w:val="22"/>
                <w:lang w:val="en-US" w:eastAsia="zh-CN"/>
              </w:rPr>
              <w:t>160</w:t>
            </w:r>
            <w:r>
              <w:rPr>
                <w:rFonts w:hint="eastAsia" w:ascii="Arial" w:hAnsi="Arial" w:cs="Arial"/>
                <w:spacing w:val="0"/>
                <w:sz w:val="22"/>
                <w:szCs w:val="22"/>
              </w:rPr>
              <w:t>m</w:t>
            </w:r>
          </w:p>
        </w:tc>
        <w:tc>
          <w:tcPr>
            <w:tcW w:w="3681" w:type="dxa"/>
            <w:gridSpan w:val="2"/>
            <w:noWrap w:val="0"/>
            <w:vAlign w:val="center"/>
          </w:tcPr>
          <w:p w14:paraId="031C1AC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7</w:t>
            </w:r>
            <w:r>
              <w:rPr>
                <w:rFonts w:hint="eastAsia" w:ascii="Arial" w:hAnsi="Arial" w:cs="Arial"/>
                <w:spacing w:val="0"/>
                <w:sz w:val="22"/>
                <w:szCs w:val="22"/>
              </w:rPr>
              <w:t>户约</w:t>
            </w:r>
            <w:r>
              <w:rPr>
                <w:rFonts w:hint="eastAsia" w:ascii="Arial" w:hAnsi="Arial" w:cs="Arial"/>
                <w:spacing w:val="0"/>
                <w:sz w:val="22"/>
                <w:szCs w:val="22"/>
                <w:lang w:val="en-US" w:eastAsia="zh-CN"/>
              </w:rPr>
              <w:t>23</w:t>
            </w:r>
            <w:r>
              <w:rPr>
                <w:rFonts w:hint="eastAsia" w:ascii="Arial" w:hAnsi="Arial" w:cs="Arial"/>
                <w:spacing w:val="0"/>
                <w:sz w:val="22"/>
                <w:szCs w:val="22"/>
              </w:rPr>
              <w:t>人</w:t>
            </w:r>
          </w:p>
        </w:tc>
        <w:tc>
          <w:tcPr>
            <w:tcW w:w="2591" w:type="dxa"/>
            <w:gridSpan w:val="2"/>
            <w:vMerge w:val="continue"/>
            <w:noWrap w:val="0"/>
            <w:vAlign w:val="center"/>
          </w:tcPr>
          <w:p w14:paraId="554FFA4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3265AD2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37148FB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305A41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18AC400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0A197F7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2A229EE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val="en-US" w:eastAsia="zh-CN"/>
              </w:rPr>
              <w:t>11</w:t>
            </w:r>
            <w:r>
              <w:rPr>
                <w:rFonts w:hint="eastAsia" w:ascii="Arial" w:hAnsi="Arial" w:cs="Arial"/>
                <w:spacing w:val="0"/>
                <w:sz w:val="22"/>
                <w:szCs w:val="22"/>
              </w:rPr>
              <w:t>#散居</w:t>
            </w:r>
            <w:r>
              <w:rPr>
                <w:rFonts w:hint="eastAsia" w:ascii="Arial" w:hAnsi="Arial" w:cs="Arial"/>
                <w:spacing w:val="0"/>
                <w:sz w:val="22"/>
                <w:szCs w:val="22"/>
                <w:lang w:eastAsia="zh-CN"/>
              </w:rPr>
              <w:t>村民</w:t>
            </w:r>
          </w:p>
        </w:tc>
        <w:tc>
          <w:tcPr>
            <w:tcW w:w="5591" w:type="dxa"/>
            <w:noWrap w:val="0"/>
            <w:vAlign w:val="center"/>
          </w:tcPr>
          <w:p w14:paraId="4B14F83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双龙干管</w:t>
            </w:r>
            <w:r>
              <w:rPr>
                <w:rFonts w:hint="eastAsia" w:ascii="Arial" w:hAnsi="Arial" w:cs="Arial"/>
                <w:spacing w:val="0"/>
                <w:sz w:val="22"/>
                <w:szCs w:val="22"/>
              </w:rPr>
              <w:t>K</w:t>
            </w:r>
            <w:r>
              <w:rPr>
                <w:rFonts w:hint="eastAsia" w:ascii="Arial" w:hAnsi="Arial" w:cs="Arial"/>
                <w:spacing w:val="0"/>
                <w:sz w:val="22"/>
                <w:szCs w:val="22"/>
                <w:lang w:val="en-US" w:eastAsia="zh-CN"/>
              </w:rPr>
              <w:t>3</w:t>
            </w:r>
            <w:r>
              <w:rPr>
                <w:rFonts w:hint="eastAsia" w:ascii="Arial" w:hAnsi="Arial" w:cs="Arial"/>
                <w:spacing w:val="0"/>
                <w:sz w:val="22"/>
                <w:szCs w:val="22"/>
              </w:rPr>
              <w:t>+</w:t>
            </w:r>
            <w:r>
              <w:rPr>
                <w:rFonts w:hint="eastAsia" w:ascii="Arial" w:hAnsi="Arial" w:cs="Arial"/>
                <w:spacing w:val="0"/>
                <w:sz w:val="22"/>
                <w:szCs w:val="22"/>
                <w:lang w:val="en-US" w:eastAsia="zh-CN"/>
              </w:rPr>
              <w:t>823</w:t>
            </w:r>
            <w:r>
              <w:rPr>
                <w:rFonts w:hint="eastAsia" w:ascii="Arial" w:hAnsi="Arial" w:cs="Arial"/>
                <w:spacing w:val="0"/>
                <w:sz w:val="22"/>
                <w:szCs w:val="22"/>
              </w:rPr>
              <w:t>~K</w:t>
            </w:r>
            <w:r>
              <w:rPr>
                <w:rFonts w:hint="eastAsia" w:ascii="Arial" w:hAnsi="Arial" w:cs="Arial"/>
                <w:spacing w:val="0"/>
                <w:sz w:val="22"/>
                <w:szCs w:val="22"/>
                <w:lang w:val="en-US" w:eastAsia="zh-CN"/>
              </w:rPr>
              <w:t>4</w:t>
            </w:r>
            <w:r>
              <w:rPr>
                <w:rFonts w:hint="eastAsia" w:ascii="Arial" w:hAnsi="Arial" w:cs="Arial"/>
                <w:spacing w:val="0"/>
                <w:sz w:val="22"/>
                <w:szCs w:val="22"/>
              </w:rPr>
              <w:t>+</w:t>
            </w:r>
            <w:r>
              <w:rPr>
                <w:rFonts w:hint="eastAsia" w:ascii="Arial" w:hAnsi="Arial" w:cs="Arial"/>
                <w:spacing w:val="0"/>
                <w:sz w:val="22"/>
                <w:szCs w:val="22"/>
                <w:lang w:val="en-US" w:eastAsia="zh-CN"/>
              </w:rPr>
              <w:t>007</w:t>
            </w:r>
            <w:r>
              <w:rPr>
                <w:rFonts w:hint="eastAsia" w:ascii="Arial" w:hAnsi="Arial" w:cs="Arial"/>
                <w:spacing w:val="0"/>
                <w:sz w:val="22"/>
                <w:szCs w:val="22"/>
                <w:lang w:eastAsia="zh-CN"/>
              </w:rPr>
              <w:t>左侧，</w:t>
            </w:r>
            <w:r>
              <w:rPr>
                <w:rFonts w:hint="eastAsia" w:ascii="Arial" w:hAnsi="Arial" w:cs="Arial"/>
                <w:spacing w:val="0"/>
                <w:sz w:val="22"/>
                <w:szCs w:val="22"/>
              </w:rPr>
              <w:t>最近距离</w:t>
            </w:r>
            <w:r>
              <w:rPr>
                <w:rFonts w:hint="eastAsia" w:ascii="Arial" w:hAnsi="Arial" w:cs="Arial"/>
                <w:spacing w:val="0"/>
                <w:sz w:val="22"/>
                <w:szCs w:val="22"/>
                <w:lang w:val="en-US" w:eastAsia="zh-CN"/>
              </w:rPr>
              <w:t>15</w:t>
            </w:r>
            <w:r>
              <w:rPr>
                <w:rFonts w:hint="eastAsia" w:ascii="Arial" w:hAnsi="Arial" w:cs="Arial"/>
                <w:spacing w:val="0"/>
                <w:sz w:val="22"/>
                <w:szCs w:val="22"/>
              </w:rPr>
              <w:t>m</w:t>
            </w:r>
          </w:p>
        </w:tc>
        <w:tc>
          <w:tcPr>
            <w:tcW w:w="3681" w:type="dxa"/>
            <w:gridSpan w:val="2"/>
            <w:noWrap w:val="0"/>
            <w:vAlign w:val="center"/>
          </w:tcPr>
          <w:p w14:paraId="0A03CF6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13</w:t>
            </w:r>
            <w:r>
              <w:rPr>
                <w:rFonts w:hint="eastAsia" w:ascii="Arial" w:hAnsi="Arial" w:cs="Arial"/>
                <w:spacing w:val="0"/>
                <w:sz w:val="22"/>
                <w:szCs w:val="22"/>
              </w:rPr>
              <w:t>户约</w:t>
            </w:r>
            <w:r>
              <w:rPr>
                <w:rFonts w:hint="eastAsia" w:ascii="Arial" w:hAnsi="Arial" w:cs="Arial"/>
                <w:spacing w:val="0"/>
                <w:sz w:val="22"/>
                <w:szCs w:val="22"/>
                <w:lang w:val="en-US" w:eastAsia="zh-CN"/>
              </w:rPr>
              <w:t>42</w:t>
            </w:r>
            <w:r>
              <w:rPr>
                <w:rFonts w:hint="eastAsia" w:ascii="Arial" w:hAnsi="Arial" w:cs="Arial"/>
                <w:spacing w:val="0"/>
                <w:sz w:val="22"/>
                <w:szCs w:val="22"/>
              </w:rPr>
              <w:t>人</w:t>
            </w:r>
          </w:p>
        </w:tc>
        <w:tc>
          <w:tcPr>
            <w:tcW w:w="2591" w:type="dxa"/>
            <w:gridSpan w:val="2"/>
            <w:vMerge w:val="continue"/>
            <w:noWrap w:val="0"/>
            <w:vAlign w:val="center"/>
          </w:tcPr>
          <w:p w14:paraId="37DEABB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4072342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50B1D24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2ABCB1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22" w:hRule="atLeast"/>
          <w:jc w:val="center"/>
        </w:trPr>
        <w:tc>
          <w:tcPr>
            <w:tcW w:w="1587" w:type="dxa"/>
            <w:vMerge w:val="continue"/>
            <w:noWrap w:val="0"/>
            <w:vAlign w:val="center"/>
          </w:tcPr>
          <w:p w14:paraId="57C56B5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24B0085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5C18C86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val="en-US" w:eastAsia="zh-CN"/>
              </w:rPr>
              <w:t>12</w:t>
            </w:r>
            <w:r>
              <w:rPr>
                <w:rFonts w:hint="eastAsia" w:ascii="Arial" w:hAnsi="Arial" w:cs="Arial"/>
                <w:spacing w:val="0"/>
                <w:sz w:val="22"/>
                <w:szCs w:val="22"/>
              </w:rPr>
              <w:t>#散居</w:t>
            </w:r>
            <w:r>
              <w:rPr>
                <w:rFonts w:hint="eastAsia" w:ascii="Arial" w:hAnsi="Arial" w:cs="Arial"/>
                <w:spacing w:val="0"/>
                <w:sz w:val="22"/>
                <w:szCs w:val="22"/>
                <w:lang w:eastAsia="zh-CN"/>
              </w:rPr>
              <w:t>村民</w:t>
            </w:r>
          </w:p>
        </w:tc>
        <w:tc>
          <w:tcPr>
            <w:tcW w:w="5591" w:type="dxa"/>
            <w:noWrap w:val="0"/>
            <w:vAlign w:val="center"/>
          </w:tcPr>
          <w:p w14:paraId="03144A1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双龙干管</w:t>
            </w:r>
            <w:r>
              <w:rPr>
                <w:rFonts w:hint="eastAsia" w:ascii="Arial" w:hAnsi="Arial" w:cs="Arial"/>
                <w:spacing w:val="0"/>
                <w:sz w:val="22"/>
                <w:szCs w:val="22"/>
              </w:rPr>
              <w:t>K</w:t>
            </w:r>
            <w:r>
              <w:rPr>
                <w:rFonts w:hint="eastAsia" w:ascii="Arial" w:hAnsi="Arial" w:cs="Arial"/>
                <w:spacing w:val="0"/>
                <w:sz w:val="22"/>
                <w:szCs w:val="22"/>
                <w:lang w:val="en-US" w:eastAsia="zh-CN"/>
              </w:rPr>
              <w:t>3</w:t>
            </w:r>
            <w:r>
              <w:rPr>
                <w:rFonts w:hint="eastAsia" w:ascii="Arial" w:hAnsi="Arial" w:cs="Arial"/>
                <w:spacing w:val="0"/>
                <w:sz w:val="22"/>
                <w:szCs w:val="22"/>
              </w:rPr>
              <w:t>+</w:t>
            </w:r>
            <w:r>
              <w:rPr>
                <w:rFonts w:hint="eastAsia" w:ascii="Arial" w:hAnsi="Arial" w:cs="Arial"/>
                <w:spacing w:val="0"/>
                <w:sz w:val="22"/>
                <w:szCs w:val="22"/>
                <w:lang w:val="en-US" w:eastAsia="zh-CN"/>
              </w:rPr>
              <w:t>823</w:t>
            </w:r>
            <w:r>
              <w:rPr>
                <w:rFonts w:hint="eastAsia" w:ascii="Arial" w:hAnsi="Arial" w:cs="Arial"/>
                <w:spacing w:val="0"/>
                <w:sz w:val="22"/>
                <w:szCs w:val="22"/>
              </w:rPr>
              <w:t>~K</w:t>
            </w:r>
            <w:r>
              <w:rPr>
                <w:rFonts w:hint="eastAsia" w:ascii="Arial" w:hAnsi="Arial" w:cs="Arial"/>
                <w:spacing w:val="0"/>
                <w:sz w:val="22"/>
                <w:szCs w:val="22"/>
                <w:lang w:val="en-US" w:eastAsia="zh-CN"/>
              </w:rPr>
              <w:t>4</w:t>
            </w:r>
            <w:r>
              <w:rPr>
                <w:rFonts w:hint="eastAsia" w:ascii="Arial" w:hAnsi="Arial" w:cs="Arial"/>
                <w:spacing w:val="0"/>
                <w:sz w:val="22"/>
                <w:szCs w:val="22"/>
              </w:rPr>
              <w:t>+</w:t>
            </w:r>
            <w:r>
              <w:rPr>
                <w:rFonts w:hint="eastAsia" w:ascii="Arial" w:hAnsi="Arial" w:cs="Arial"/>
                <w:spacing w:val="0"/>
                <w:sz w:val="22"/>
                <w:szCs w:val="22"/>
                <w:lang w:val="en-US" w:eastAsia="zh-CN"/>
              </w:rPr>
              <w:t>046右侧</w:t>
            </w:r>
            <w:r>
              <w:rPr>
                <w:rFonts w:hint="eastAsia" w:ascii="Arial" w:hAnsi="Arial" w:cs="Arial"/>
                <w:spacing w:val="0"/>
                <w:sz w:val="22"/>
                <w:szCs w:val="22"/>
                <w:lang w:eastAsia="zh-CN"/>
              </w:rPr>
              <w:t>，</w:t>
            </w:r>
            <w:r>
              <w:rPr>
                <w:rFonts w:hint="eastAsia" w:ascii="Arial" w:hAnsi="Arial" w:cs="Arial"/>
                <w:spacing w:val="0"/>
                <w:sz w:val="22"/>
                <w:szCs w:val="22"/>
              </w:rPr>
              <w:t>最近距离</w:t>
            </w:r>
            <w:r>
              <w:rPr>
                <w:rFonts w:hint="eastAsia" w:ascii="Arial" w:hAnsi="Arial" w:cs="Arial"/>
                <w:spacing w:val="0"/>
                <w:sz w:val="22"/>
                <w:szCs w:val="22"/>
                <w:lang w:val="en-US" w:eastAsia="zh-CN"/>
              </w:rPr>
              <w:t>123</w:t>
            </w:r>
            <w:r>
              <w:rPr>
                <w:rFonts w:hint="eastAsia" w:ascii="Arial" w:hAnsi="Arial" w:cs="Arial"/>
                <w:spacing w:val="0"/>
                <w:sz w:val="22"/>
                <w:szCs w:val="22"/>
              </w:rPr>
              <w:t>m</w:t>
            </w:r>
          </w:p>
        </w:tc>
        <w:tc>
          <w:tcPr>
            <w:tcW w:w="3681" w:type="dxa"/>
            <w:gridSpan w:val="2"/>
            <w:noWrap w:val="0"/>
            <w:vAlign w:val="center"/>
          </w:tcPr>
          <w:p w14:paraId="431BEB8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9</w:t>
            </w:r>
            <w:r>
              <w:rPr>
                <w:rFonts w:hint="eastAsia" w:ascii="Arial" w:hAnsi="Arial" w:cs="Arial"/>
                <w:spacing w:val="0"/>
                <w:sz w:val="22"/>
                <w:szCs w:val="22"/>
              </w:rPr>
              <w:t>户约</w:t>
            </w:r>
            <w:r>
              <w:rPr>
                <w:rFonts w:hint="eastAsia" w:ascii="Arial" w:hAnsi="Arial" w:cs="Arial"/>
                <w:spacing w:val="0"/>
                <w:sz w:val="22"/>
                <w:szCs w:val="22"/>
                <w:lang w:val="en-US" w:eastAsia="zh-CN"/>
              </w:rPr>
              <w:t>29</w:t>
            </w:r>
            <w:r>
              <w:rPr>
                <w:rFonts w:hint="eastAsia" w:ascii="Arial" w:hAnsi="Arial" w:cs="Arial"/>
                <w:spacing w:val="0"/>
                <w:sz w:val="22"/>
                <w:szCs w:val="22"/>
              </w:rPr>
              <w:t>人</w:t>
            </w:r>
          </w:p>
        </w:tc>
        <w:tc>
          <w:tcPr>
            <w:tcW w:w="2591" w:type="dxa"/>
            <w:gridSpan w:val="2"/>
            <w:vMerge w:val="continue"/>
            <w:noWrap w:val="0"/>
            <w:vAlign w:val="center"/>
          </w:tcPr>
          <w:p w14:paraId="49C42EE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20428F8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671FC93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1DB3BF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99" w:hRule="atLeast"/>
          <w:jc w:val="center"/>
        </w:trPr>
        <w:tc>
          <w:tcPr>
            <w:tcW w:w="1587" w:type="dxa"/>
            <w:vMerge w:val="continue"/>
            <w:noWrap w:val="0"/>
            <w:vAlign w:val="center"/>
          </w:tcPr>
          <w:p w14:paraId="32BE1A7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71F5BFF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64BB9C9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val="en-US" w:eastAsia="zh-CN"/>
              </w:rPr>
              <w:t>13</w:t>
            </w:r>
            <w:r>
              <w:rPr>
                <w:rFonts w:hint="eastAsia" w:ascii="Arial" w:hAnsi="Arial" w:cs="Arial"/>
                <w:spacing w:val="0"/>
                <w:sz w:val="22"/>
                <w:szCs w:val="22"/>
              </w:rPr>
              <w:t>#散居</w:t>
            </w:r>
            <w:r>
              <w:rPr>
                <w:rFonts w:hint="eastAsia" w:ascii="Arial" w:hAnsi="Arial" w:cs="Arial"/>
                <w:spacing w:val="0"/>
                <w:sz w:val="22"/>
                <w:szCs w:val="22"/>
                <w:lang w:eastAsia="zh-CN"/>
              </w:rPr>
              <w:t>村民</w:t>
            </w:r>
          </w:p>
        </w:tc>
        <w:tc>
          <w:tcPr>
            <w:tcW w:w="5591" w:type="dxa"/>
            <w:noWrap w:val="0"/>
            <w:vAlign w:val="center"/>
          </w:tcPr>
          <w:p w14:paraId="7162C7A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双龙干管</w:t>
            </w:r>
            <w:r>
              <w:rPr>
                <w:rFonts w:hint="eastAsia" w:ascii="Arial" w:hAnsi="Arial" w:cs="Arial"/>
                <w:spacing w:val="0"/>
                <w:sz w:val="22"/>
                <w:szCs w:val="22"/>
              </w:rPr>
              <w:t>K</w:t>
            </w:r>
            <w:r>
              <w:rPr>
                <w:rFonts w:hint="eastAsia" w:ascii="Arial" w:hAnsi="Arial" w:cs="Arial"/>
                <w:spacing w:val="0"/>
                <w:sz w:val="22"/>
                <w:szCs w:val="22"/>
                <w:lang w:val="en-US" w:eastAsia="zh-CN"/>
              </w:rPr>
              <w:t>3</w:t>
            </w:r>
            <w:r>
              <w:rPr>
                <w:rFonts w:hint="eastAsia" w:ascii="Arial" w:hAnsi="Arial" w:cs="Arial"/>
                <w:spacing w:val="0"/>
                <w:sz w:val="22"/>
                <w:szCs w:val="22"/>
              </w:rPr>
              <w:t>+</w:t>
            </w:r>
            <w:r>
              <w:rPr>
                <w:rFonts w:hint="eastAsia" w:ascii="Arial" w:hAnsi="Arial" w:cs="Arial"/>
                <w:spacing w:val="0"/>
                <w:sz w:val="22"/>
                <w:szCs w:val="22"/>
                <w:lang w:val="en-US" w:eastAsia="zh-CN"/>
              </w:rPr>
              <w:t>046</w:t>
            </w:r>
            <w:r>
              <w:rPr>
                <w:rFonts w:hint="eastAsia" w:ascii="Arial" w:hAnsi="Arial" w:cs="Arial"/>
                <w:spacing w:val="0"/>
                <w:sz w:val="22"/>
                <w:szCs w:val="22"/>
              </w:rPr>
              <w:t>~K</w:t>
            </w:r>
            <w:r>
              <w:rPr>
                <w:rFonts w:hint="eastAsia" w:ascii="Arial" w:hAnsi="Arial" w:cs="Arial"/>
                <w:spacing w:val="0"/>
                <w:sz w:val="22"/>
                <w:szCs w:val="22"/>
                <w:lang w:val="en-US" w:eastAsia="zh-CN"/>
              </w:rPr>
              <w:t>4</w:t>
            </w:r>
            <w:r>
              <w:rPr>
                <w:rFonts w:hint="eastAsia" w:ascii="Arial" w:hAnsi="Arial" w:cs="Arial"/>
                <w:spacing w:val="0"/>
                <w:sz w:val="22"/>
                <w:szCs w:val="22"/>
              </w:rPr>
              <w:t>+</w:t>
            </w:r>
            <w:r>
              <w:rPr>
                <w:rFonts w:hint="eastAsia" w:ascii="Arial" w:hAnsi="Arial" w:cs="Arial"/>
                <w:spacing w:val="0"/>
                <w:sz w:val="22"/>
                <w:szCs w:val="22"/>
                <w:lang w:val="en-US" w:eastAsia="zh-CN"/>
              </w:rPr>
              <w:t>227右侧</w:t>
            </w:r>
            <w:r>
              <w:rPr>
                <w:rFonts w:hint="eastAsia" w:ascii="Arial" w:hAnsi="Arial" w:cs="Arial"/>
                <w:spacing w:val="0"/>
                <w:sz w:val="22"/>
                <w:szCs w:val="22"/>
                <w:lang w:eastAsia="zh-CN"/>
              </w:rPr>
              <w:t>，</w:t>
            </w:r>
            <w:r>
              <w:rPr>
                <w:rFonts w:hint="eastAsia" w:ascii="Arial" w:hAnsi="Arial" w:cs="Arial"/>
                <w:spacing w:val="0"/>
                <w:sz w:val="22"/>
                <w:szCs w:val="22"/>
              </w:rPr>
              <w:t>最近距离</w:t>
            </w:r>
            <w:r>
              <w:rPr>
                <w:rFonts w:hint="eastAsia" w:ascii="Arial" w:hAnsi="Arial" w:cs="Arial"/>
                <w:spacing w:val="0"/>
                <w:sz w:val="22"/>
                <w:szCs w:val="22"/>
                <w:lang w:val="en-US" w:eastAsia="zh-CN"/>
              </w:rPr>
              <w:t>159</w:t>
            </w:r>
            <w:r>
              <w:rPr>
                <w:rFonts w:hint="eastAsia" w:ascii="Arial" w:hAnsi="Arial" w:cs="Arial"/>
                <w:spacing w:val="0"/>
                <w:sz w:val="22"/>
                <w:szCs w:val="22"/>
              </w:rPr>
              <w:t>m</w:t>
            </w:r>
          </w:p>
          <w:p w14:paraId="2690331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eastAsia="zh-CN"/>
              </w:rPr>
              <w:t>鸦雀湾支管</w:t>
            </w:r>
            <w:r>
              <w:rPr>
                <w:rFonts w:hint="eastAsia" w:ascii="Arial" w:hAnsi="Arial" w:cs="Arial"/>
                <w:spacing w:val="0"/>
                <w:sz w:val="22"/>
                <w:szCs w:val="22"/>
                <w:lang w:val="en-US" w:eastAsia="zh-CN"/>
              </w:rPr>
              <w:t>YZ0+054~YZ0+610右侧，</w:t>
            </w:r>
            <w:r>
              <w:rPr>
                <w:rFonts w:hint="eastAsia" w:ascii="Arial" w:hAnsi="Arial" w:cs="Arial"/>
                <w:spacing w:val="0"/>
                <w:sz w:val="22"/>
                <w:szCs w:val="22"/>
              </w:rPr>
              <w:t>最近距离</w:t>
            </w:r>
            <w:r>
              <w:rPr>
                <w:rFonts w:hint="eastAsia" w:ascii="Arial" w:hAnsi="Arial" w:cs="Arial"/>
                <w:spacing w:val="0"/>
                <w:sz w:val="22"/>
                <w:szCs w:val="22"/>
                <w:lang w:val="en-US" w:eastAsia="zh-CN"/>
              </w:rPr>
              <w:t>18</w:t>
            </w:r>
            <w:r>
              <w:rPr>
                <w:rFonts w:hint="eastAsia" w:ascii="Arial" w:hAnsi="Arial" w:cs="Arial"/>
                <w:spacing w:val="0"/>
                <w:sz w:val="22"/>
                <w:szCs w:val="22"/>
              </w:rPr>
              <w:t>m</w:t>
            </w:r>
          </w:p>
        </w:tc>
        <w:tc>
          <w:tcPr>
            <w:tcW w:w="3681" w:type="dxa"/>
            <w:gridSpan w:val="2"/>
            <w:noWrap w:val="0"/>
            <w:vAlign w:val="center"/>
          </w:tcPr>
          <w:p w14:paraId="4A11AE7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11</w:t>
            </w:r>
            <w:r>
              <w:rPr>
                <w:rFonts w:hint="eastAsia" w:ascii="Arial" w:hAnsi="Arial" w:cs="Arial"/>
                <w:spacing w:val="0"/>
                <w:sz w:val="22"/>
                <w:szCs w:val="22"/>
              </w:rPr>
              <w:t>户约</w:t>
            </w:r>
            <w:r>
              <w:rPr>
                <w:rFonts w:hint="eastAsia" w:ascii="Arial" w:hAnsi="Arial" w:cs="Arial"/>
                <w:spacing w:val="0"/>
                <w:sz w:val="22"/>
                <w:szCs w:val="22"/>
                <w:lang w:val="en-US" w:eastAsia="zh-CN"/>
              </w:rPr>
              <w:t>36</w:t>
            </w:r>
            <w:r>
              <w:rPr>
                <w:rFonts w:hint="eastAsia" w:ascii="Arial" w:hAnsi="Arial" w:cs="Arial"/>
                <w:spacing w:val="0"/>
                <w:sz w:val="22"/>
                <w:szCs w:val="22"/>
              </w:rPr>
              <w:t>人</w:t>
            </w:r>
          </w:p>
        </w:tc>
        <w:tc>
          <w:tcPr>
            <w:tcW w:w="2591" w:type="dxa"/>
            <w:gridSpan w:val="2"/>
            <w:vMerge w:val="continue"/>
            <w:noWrap w:val="0"/>
            <w:vAlign w:val="center"/>
          </w:tcPr>
          <w:p w14:paraId="0420E10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4D83111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006CC7B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158F68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3A5F5FB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0DD6EA6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340D494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val="en-US" w:eastAsia="zh-CN"/>
              </w:rPr>
              <w:t>14</w:t>
            </w:r>
            <w:r>
              <w:rPr>
                <w:rFonts w:hint="eastAsia" w:ascii="Arial" w:hAnsi="Arial" w:cs="Arial"/>
                <w:spacing w:val="0"/>
                <w:sz w:val="22"/>
                <w:szCs w:val="22"/>
              </w:rPr>
              <w:t>#散居</w:t>
            </w:r>
            <w:r>
              <w:rPr>
                <w:rFonts w:hint="eastAsia" w:ascii="Arial" w:hAnsi="Arial" w:cs="Arial"/>
                <w:spacing w:val="0"/>
                <w:sz w:val="22"/>
                <w:szCs w:val="22"/>
                <w:lang w:eastAsia="zh-CN"/>
              </w:rPr>
              <w:t>村民</w:t>
            </w:r>
          </w:p>
        </w:tc>
        <w:tc>
          <w:tcPr>
            <w:tcW w:w="5591" w:type="dxa"/>
            <w:noWrap w:val="0"/>
            <w:vAlign w:val="center"/>
          </w:tcPr>
          <w:p w14:paraId="4AFEF9D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鸦雀湾支管</w:t>
            </w:r>
            <w:r>
              <w:rPr>
                <w:rFonts w:hint="eastAsia" w:ascii="Arial" w:hAnsi="Arial" w:cs="Arial"/>
                <w:spacing w:val="0"/>
                <w:sz w:val="22"/>
                <w:szCs w:val="22"/>
                <w:lang w:val="en-US" w:eastAsia="zh-CN"/>
              </w:rPr>
              <w:t>YZ0+365~YZ0+610左侧，</w:t>
            </w:r>
            <w:r>
              <w:rPr>
                <w:rFonts w:hint="eastAsia" w:ascii="Arial" w:hAnsi="Arial" w:cs="Arial"/>
                <w:spacing w:val="0"/>
                <w:sz w:val="22"/>
                <w:szCs w:val="22"/>
              </w:rPr>
              <w:t>最近距离</w:t>
            </w:r>
            <w:r>
              <w:rPr>
                <w:rFonts w:hint="eastAsia" w:ascii="Arial" w:hAnsi="Arial" w:cs="Arial"/>
                <w:spacing w:val="0"/>
                <w:sz w:val="22"/>
                <w:szCs w:val="22"/>
                <w:lang w:val="en-US" w:eastAsia="zh-CN"/>
              </w:rPr>
              <w:t>3</w:t>
            </w:r>
            <w:r>
              <w:rPr>
                <w:rFonts w:hint="eastAsia" w:ascii="Arial" w:hAnsi="Arial" w:cs="Arial"/>
                <w:spacing w:val="0"/>
                <w:sz w:val="22"/>
                <w:szCs w:val="22"/>
              </w:rPr>
              <w:t>m</w:t>
            </w:r>
          </w:p>
        </w:tc>
        <w:tc>
          <w:tcPr>
            <w:tcW w:w="3681" w:type="dxa"/>
            <w:gridSpan w:val="2"/>
            <w:noWrap w:val="0"/>
            <w:vAlign w:val="center"/>
          </w:tcPr>
          <w:p w14:paraId="13EC1C5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9</w:t>
            </w:r>
            <w:r>
              <w:rPr>
                <w:rFonts w:hint="eastAsia" w:ascii="Arial" w:hAnsi="Arial" w:cs="Arial"/>
                <w:spacing w:val="0"/>
                <w:sz w:val="22"/>
                <w:szCs w:val="22"/>
              </w:rPr>
              <w:t>户约</w:t>
            </w:r>
            <w:r>
              <w:rPr>
                <w:rFonts w:hint="eastAsia" w:ascii="Arial" w:hAnsi="Arial" w:cs="Arial"/>
                <w:spacing w:val="0"/>
                <w:sz w:val="22"/>
                <w:szCs w:val="22"/>
                <w:lang w:val="en-US" w:eastAsia="zh-CN"/>
              </w:rPr>
              <w:t>29</w:t>
            </w:r>
            <w:r>
              <w:rPr>
                <w:rFonts w:hint="eastAsia" w:ascii="Arial" w:hAnsi="Arial" w:cs="Arial"/>
                <w:spacing w:val="0"/>
                <w:sz w:val="22"/>
                <w:szCs w:val="22"/>
              </w:rPr>
              <w:t>人</w:t>
            </w:r>
          </w:p>
        </w:tc>
        <w:tc>
          <w:tcPr>
            <w:tcW w:w="2591" w:type="dxa"/>
            <w:gridSpan w:val="2"/>
            <w:vMerge w:val="continue"/>
            <w:noWrap w:val="0"/>
            <w:vAlign w:val="center"/>
          </w:tcPr>
          <w:p w14:paraId="55A9845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4FA2F22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70042BC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725516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1C35F3C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2892E32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1898B2C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eastAsia="宋体" w:cs="Arial"/>
                <w:spacing w:val="0"/>
                <w:sz w:val="22"/>
                <w:szCs w:val="22"/>
                <w:lang w:val="en-US" w:eastAsia="zh-CN"/>
              </w:rPr>
            </w:pPr>
            <w:r>
              <w:rPr>
                <w:rFonts w:hint="eastAsia" w:ascii="Arial" w:hAnsi="Arial" w:cs="Arial"/>
                <w:spacing w:val="0"/>
                <w:sz w:val="22"/>
                <w:szCs w:val="22"/>
                <w:lang w:val="en-US" w:eastAsia="zh-CN"/>
              </w:rPr>
              <w:t>15#散居村民</w:t>
            </w:r>
          </w:p>
        </w:tc>
        <w:tc>
          <w:tcPr>
            <w:tcW w:w="5591" w:type="dxa"/>
            <w:noWrap w:val="0"/>
            <w:vAlign w:val="center"/>
          </w:tcPr>
          <w:p w14:paraId="1818FBA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双龙干管</w:t>
            </w:r>
            <w:r>
              <w:rPr>
                <w:rFonts w:hint="eastAsia" w:ascii="Arial" w:hAnsi="Arial" w:cs="Arial"/>
                <w:spacing w:val="0"/>
                <w:sz w:val="22"/>
                <w:szCs w:val="22"/>
              </w:rPr>
              <w:t>K</w:t>
            </w:r>
            <w:r>
              <w:rPr>
                <w:rFonts w:hint="eastAsia" w:ascii="Arial" w:hAnsi="Arial" w:cs="Arial"/>
                <w:spacing w:val="0"/>
                <w:sz w:val="22"/>
                <w:szCs w:val="22"/>
                <w:lang w:val="en-US" w:eastAsia="zh-CN"/>
              </w:rPr>
              <w:t>4</w:t>
            </w:r>
            <w:r>
              <w:rPr>
                <w:rFonts w:hint="eastAsia" w:ascii="Arial" w:hAnsi="Arial" w:cs="Arial"/>
                <w:spacing w:val="0"/>
                <w:sz w:val="22"/>
                <w:szCs w:val="22"/>
              </w:rPr>
              <w:t>+</w:t>
            </w:r>
            <w:r>
              <w:rPr>
                <w:rFonts w:hint="eastAsia" w:ascii="Arial" w:hAnsi="Arial" w:cs="Arial"/>
                <w:spacing w:val="0"/>
                <w:sz w:val="22"/>
                <w:szCs w:val="22"/>
                <w:lang w:val="en-US" w:eastAsia="zh-CN"/>
              </w:rPr>
              <w:t>066</w:t>
            </w:r>
            <w:r>
              <w:rPr>
                <w:rFonts w:hint="eastAsia" w:ascii="Arial" w:hAnsi="Arial" w:cs="Arial"/>
                <w:spacing w:val="0"/>
                <w:sz w:val="22"/>
                <w:szCs w:val="22"/>
              </w:rPr>
              <w:t>~K</w:t>
            </w:r>
            <w:r>
              <w:rPr>
                <w:rFonts w:hint="eastAsia" w:ascii="Arial" w:hAnsi="Arial" w:cs="Arial"/>
                <w:spacing w:val="0"/>
                <w:sz w:val="22"/>
                <w:szCs w:val="22"/>
                <w:lang w:val="en-US" w:eastAsia="zh-CN"/>
              </w:rPr>
              <w:t>4</w:t>
            </w:r>
            <w:r>
              <w:rPr>
                <w:rFonts w:hint="eastAsia" w:ascii="Arial" w:hAnsi="Arial" w:cs="Arial"/>
                <w:spacing w:val="0"/>
                <w:sz w:val="22"/>
                <w:szCs w:val="22"/>
              </w:rPr>
              <w:t>+</w:t>
            </w:r>
            <w:r>
              <w:rPr>
                <w:rFonts w:hint="eastAsia" w:ascii="Arial" w:hAnsi="Arial" w:cs="Arial"/>
                <w:spacing w:val="0"/>
                <w:sz w:val="22"/>
                <w:szCs w:val="22"/>
                <w:lang w:val="en-US" w:eastAsia="zh-CN"/>
              </w:rPr>
              <w:t>420左侧</w:t>
            </w:r>
            <w:r>
              <w:rPr>
                <w:rFonts w:hint="eastAsia" w:ascii="Arial" w:hAnsi="Arial" w:cs="Arial"/>
                <w:spacing w:val="0"/>
                <w:sz w:val="22"/>
                <w:szCs w:val="22"/>
                <w:lang w:eastAsia="zh-CN"/>
              </w:rPr>
              <w:t>，</w:t>
            </w:r>
            <w:r>
              <w:rPr>
                <w:rFonts w:hint="eastAsia" w:ascii="Arial" w:hAnsi="Arial" w:cs="Arial"/>
                <w:spacing w:val="0"/>
                <w:sz w:val="22"/>
                <w:szCs w:val="22"/>
              </w:rPr>
              <w:t>最近距离</w:t>
            </w:r>
            <w:r>
              <w:rPr>
                <w:rFonts w:hint="eastAsia" w:ascii="Arial" w:hAnsi="Arial" w:cs="Arial"/>
                <w:spacing w:val="0"/>
                <w:sz w:val="22"/>
                <w:szCs w:val="22"/>
                <w:lang w:val="en-US" w:eastAsia="zh-CN"/>
              </w:rPr>
              <w:t>12</w:t>
            </w:r>
            <w:r>
              <w:rPr>
                <w:rFonts w:hint="eastAsia" w:ascii="Arial" w:hAnsi="Arial" w:cs="Arial"/>
                <w:spacing w:val="0"/>
                <w:sz w:val="22"/>
                <w:szCs w:val="22"/>
              </w:rPr>
              <w:t>m</w:t>
            </w:r>
          </w:p>
        </w:tc>
        <w:tc>
          <w:tcPr>
            <w:tcW w:w="3681" w:type="dxa"/>
            <w:gridSpan w:val="2"/>
            <w:noWrap w:val="0"/>
            <w:vAlign w:val="center"/>
          </w:tcPr>
          <w:p w14:paraId="29786B4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8</w:t>
            </w:r>
            <w:r>
              <w:rPr>
                <w:rFonts w:hint="eastAsia" w:ascii="Arial" w:hAnsi="Arial" w:cs="Arial"/>
                <w:spacing w:val="0"/>
                <w:sz w:val="22"/>
                <w:szCs w:val="22"/>
              </w:rPr>
              <w:t>户约</w:t>
            </w:r>
            <w:r>
              <w:rPr>
                <w:rFonts w:hint="eastAsia" w:ascii="Arial" w:hAnsi="Arial" w:cs="Arial"/>
                <w:spacing w:val="0"/>
                <w:sz w:val="22"/>
                <w:szCs w:val="22"/>
                <w:lang w:val="en-US" w:eastAsia="zh-CN"/>
              </w:rPr>
              <w:t>26</w:t>
            </w:r>
            <w:r>
              <w:rPr>
                <w:rFonts w:hint="eastAsia" w:ascii="Arial" w:hAnsi="Arial" w:cs="Arial"/>
                <w:spacing w:val="0"/>
                <w:sz w:val="22"/>
                <w:szCs w:val="22"/>
              </w:rPr>
              <w:t>人</w:t>
            </w:r>
          </w:p>
        </w:tc>
        <w:tc>
          <w:tcPr>
            <w:tcW w:w="2591" w:type="dxa"/>
            <w:gridSpan w:val="2"/>
            <w:vMerge w:val="continue"/>
            <w:noWrap w:val="0"/>
            <w:vAlign w:val="center"/>
          </w:tcPr>
          <w:p w14:paraId="7A81F9E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6302DD8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1C8E3D0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1E56FE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77F291C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13959AC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311F71A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val="en-US" w:eastAsia="zh-CN"/>
              </w:rPr>
              <w:t>1</w:t>
            </w:r>
            <w:r>
              <w:rPr>
                <w:rFonts w:hint="eastAsia" w:ascii="Arial" w:hAnsi="Arial" w:cs="Arial"/>
                <w:spacing w:val="0"/>
                <w:sz w:val="22"/>
                <w:szCs w:val="22"/>
              </w:rPr>
              <w:t>6#</w:t>
            </w:r>
            <w:r>
              <w:rPr>
                <w:rFonts w:hint="eastAsia" w:ascii="Arial" w:hAnsi="Arial" w:cs="Arial"/>
                <w:spacing w:val="0"/>
                <w:sz w:val="22"/>
                <w:szCs w:val="22"/>
                <w:lang w:eastAsia="zh-CN"/>
              </w:rPr>
              <w:t>双龙镇居民</w:t>
            </w:r>
          </w:p>
        </w:tc>
        <w:tc>
          <w:tcPr>
            <w:tcW w:w="5591" w:type="dxa"/>
            <w:noWrap w:val="0"/>
            <w:vAlign w:val="center"/>
          </w:tcPr>
          <w:p w14:paraId="79101D2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eastAsia="zh-CN"/>
              </w:rPr>
              <w:t>双龙干管</w:t>
            </w:r>
            <w:r>
              <w:rPr>
                <w:rFonts w:hint="eastAsia" w:ascii="Arial" w:hAnsi="Arial" w:cs="Arial"/>
                <w:spacing w:val="0"/>
                <w:sz w:val="22"/>
                <w:szCs w:val="22"/>
              </w:rPr>
              <w:t>K</w:t>
            </w:r>
            <w:r>
              <w:rPr>
                <w:rFonts w:hint="eastAsia" w:ascii="Arial" w:hAnsi="Arial" w:cs="Arial"/>
                <w:spacing w:val="0"/>
                <w:sz w:val="22"/>
                <w:szCs w:val="22"/>
                <w:lang w:val="en-US" w:eastAsia="zh-CN"/>
              </w:rPr>
              <w:t>4</w:t>
            </w:r>
            <w:r>
              <w:rPr>
                <w:rFonts w:hint="eastAsia" w:ascii="Arial" w:hAnsi="Arial" w:cs="Arial"/>
                <w:spacing w:val="0"/>
                <w:sz w:val="22"/>
                <w:szCs w:val="22"/>
              </w:rPr>
              <w:t>+</w:t>
            </w:r>
            <w:r>
              <w:rPr>
                <w:rFonts w:hint="eastAsia" w:ascii="Arial" w:hAnsi="Arial" w:cs="Arial"/>
                <w:spacing w:val="0"/>
                <w:sz w:val="22"/>
                <w:szCs w:val="22"/>
                <w:lang w:val="en-US" w:eastAsia="zh-CN"/>
              </w:rPr>
              <w:t>978</w:t>
            </w:r>
            <w:r>
              <w:rPr>
                <w:rFonts w:hint="eastAsia" w:ascii="Arial" w:hAnsi="Arial" w:cs="Arial"/>
                <w:spacing w:val="0"/>
                <w:sz w:val="22"/>
                <w:szCs w:val="22"/>
              </w:rPr>
              <w:t>~K</w:t>
            </w:r>
            <w:r>
              <w:rPr>
                <w:rFonts w:hint="eastAsia" w:ascii="Arial" w:hAnsi="Arial" w:cs="Arial"/>
                <w:spacing w:val="0"/>
                <w:sz w:val="22"/>
                <w:szCs w:val="22"/>
                <w:lang w:val="en-US" w:eastAsia="zh-CN"/>
              </w:rPr>
              <w:t>5</w:t>
            </w:r>
            <w:r>
              <w:rPr>
                <w:rFonts w:hint="eastAsia" w:ascii="Arial" w:hAnsi="Arial" w:cs="Arial"/>
                <w:spacing w:val="0"/>
                <w:sz w:val="22"/>
                <w:szCs w:val="22"/>
              </w:rPr>
              <w:t>+</w:t>
            </w:r>
            <w:r>
              <w:rPr>
                <w:rFonts w:hint="eastAsia" w:ascii="Arial" w:hAnsi="Arial" w:cs="Arial"/>
                <w:spacing w:val="0"/>
                <w:sz w:val="22"/>
                <w:szCs w:val="22"/>
                <w:lang w:val="en-US" w:eastAsia="zh-CN"/>
              </w:rPr>
              <w:t>270右侧</w:t>
            </w:r>
            <w:r>
              <w:rPr>
                <w:rFonts w:hint="eastAsia" w:ascii="Arial" w:hAnsi="Arial" w:cs="Arial"/>
                <w:spacing w:val="0"/>
                <w:sz w:val="22"/>
                <w:szCs w:val="22"/>
                <w:lang w:eastAsia="zh-CN"/>
              </w:rPr>
              <w:t>，</w:t>
            </w:r>
            <w:r>
              <w:rPr>
                <w:rFonts w:hint="eastAsia" w:ascii="Arial" w:hAnsi="Arial" w:cs="Arial"/>
                <w:spacing w:val="0"/>
                <w:sz w:val="22"/>
                <w:szCs w:val="22"/>
              </w:rPr>
              <w:t>最近距离</w:t>
            </w:r>
            <w:r>
              <w:rPr>
                <w:rFonts w:hint="eastAsia" w:ascii="Arial" w:hAnsi="Arial" w:cs="Arial"/>
                <w:spacing w:val="0"/>
                <w:sz w:val="22"/>
                <w:szCs w:val="22"/>
                <w:lang w:val="en-US" w:eastAsia="zh-CN"/>
              </w:rPr>
              <w:t>55</w:t>
            </w:r>
            <w:r>
              <w:rPr>
                <w:rFonts w:hint="eastAsia" w:ascii="Arial" w:hAnsi="Arial" w:cs="Arial"/>
                <w:spacing w:val="0"/>
                <w:sz w:val="22"/>
                <w:szCs w:val="22"/>
              </w:rPr>
              <w:t>m</w:t>
            </w:r>
          </w:p>
        </w:tc>
        <w:tc>
          <w:tcPr>
            <w:tcW w:w="3681" w:type="dxa"/>
            <w:gridSpan w:val="2"/>
            <w:noWrap w:val="0"/>
            <w:vAlign w:val="center"/>
          </w:tcPr>
          <w:p w14:paraId="59A227B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56</w:t>
            </w:r>
            <w:r>
              <w:rPr>
                <w:rFonts w:hint="eastAsia" w:ascii="Arial" w:hAnsi="Arial" w:cs="Arial"/>
                <w:spacing w:val="0"/>
                <w:sz w:val="22"/>
                <w:szCs w:val="22"/>
              </w:rPr>
              <w:t>户约</w:t>
            </w:r>
            <w:r>
              <w:rPr>
                <w:rFonts w:hint="eastAsia" w:ascii="Arial" w:hAnsi="Arial" w:cs="Arial"/>
                <w:spacing w:val="0"/>
                <w:sz w:val="22"/>
                <w:szCs w:val="22"/>
                <w:lang w:val="en-US" w:eastAsia="zh-CN"/>
              </w:rPr>
              <w:t>180</w:t>
            </w:r>
            <w:r>
              <w:rPr>
                <w:rFonts w:hint="eastAsia" w:ascii="Arial" w:hAnsi="Arial" w:cs="Arial"/>
                <w:spacing w:val="0"/>
                <w:sz w:val="22"/>
                <w:szCs w:val="22"/>
              </w:rPr>
              <w:t>人</w:t>
            </w:r>
          </w:p>
        </w:tc>
        <w:tc>
          <w:tcPr>
            <w:tcW w:w="2591" w:type="dxa"/>
            <w:gridSpan w:val="2"/>
            <w:vMerge w:val="continue"/>
            <w:noWrap w:val="0"/>
            <w:vAlign w:val="center"/>
          </w:tcPr>
          <w:p w14:paraId="7578972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3EB3468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3996E3E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1F5BAA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99" w:hRule="atLeast"/>
          <w:jc w:val="center"/>
        </w:trPr>
        <w:tc>
          <w:tcPr>
            <w:tcW w:w="1587" w:type="dxa"/>
            <w:vMerge w:val="continue"/>
            <w:noWrap w:val="0"/>
            <w:vAlign w:val="center"/>
          </w:tcPr>
          <w:p w14:paraId="4649851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6378807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337824B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val="en-US" w:eastAsia="zh-CN"/>
              </w:rPr>
              <w:t>1</w:t>
            </w:r>
            <w:r>
              <w:rPr>
                <w:rFonts w:hint="eastAsia" w:ascii="Arial" w:hAnsi="Arial" w:cs="Arial"/>
                <w:spacing w:val="0"/>
                <w:sz w:val="22"/>
                <w:szCs w:val="22"/>
              </w:rPr>
              <w:t>7#散居</w:t>
            </w:r>
            <w:r>
              <w:rPr>
                <w:rFonts w:hint="eastAsia" w:ascii="Arial" w:hAnsi="Arial" w:cs="Arial"/>
                <w:spacing w:val="0"/>
                <w:sz w:val="22"/>
                <w:szCs w:val="22"/>
                <w:lang w:eastAsia="zh-CN"/>
              </w:rPr>
              <w:t>村民</w:t>
            </w:r>
          </w:p>
        </w:tc>
        <w:tc>
          <w:tcPr>
            <w:tcW w:w="5591" w:type="dxa"/>
            <w:noWrap w:val="0"/>
            <w:vAlign w:val="center"/>
          </w:tcPr>
          <w:p w14:paraId="6E19793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樊家湾支管</w:t>
            </w:r>
            <w:r>
              <w:rPr>
                <w:rFonts w:hint="eastAsia" w:ascii="Arial" w:hAnsi="Arial" w:cs="Arial"/>
                <w:spacing w:val="0"/>
                <w:sz w:val="22"/>
                <w:szCs w:val="22"/>
                <w:lang w:val="en-US" w:eastAsia="zh-CN"/>
              </w:rPr>
              <w:t>FZ0+282~FZ0+710右侧，</w:t>
            </w:r>
            <w:r>
              <w:rPr>
                <w:rFonts w:hint="eastAsia" w:ascii="Arial" w:hAnsi="Arial" w:cs="Arial"/>
                <w:spacing w:val="0"/>
                <w:sz w:val="22"/>
                <w:szCs w:val="22"/>
              </w:rPr>
              <w:t>最近距离</w:t>
            </w:r>
            <w:r>
              <w:rPr>
                <w:rFonts w:hint="eastAsia" w:ascii="Arial" w:hAnsi="Arial" w:cs="Arial"/>
                <w:spacing w:val="0"/>
                <w:sz w:val="22"/>
                <w:szCs w:val="22"/>
                <w:lang w:val="en-US" w:eastAsia="zh-CN"/>
              </w:rPr>
              <w:t>55</w:t>
            </w:r>
            <w:r>
              <w:rPr>
                <w:rFonts w:hint="eastAsia" w:ascii="Arial" w:hAnsi="Arial" w:cs="Arial"/>
                <w:spacing w:val="0"/>
                <w:sz w:val="22"/>
                <w:szCs w:val="22"/>
              </w:rPr>
              <w:t>m</w:t>
            </w:r>
          </w:p>
          <w:p w14:paraId="4B20740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cs="Arial"/>
                <w:spacing w:val="0"/>
                <w:sz w:val="22"/>
                <w:szCs w:val="22"/>
                <w:lang w:val="en-US" w:eastAsia="zh-CN"/>
              </w:rPr>
            </w:pPr>
            <w:r>
              <w:rPr>
                <w:sz w:val="22"/>
                <w:szCs w:val="22"/>
              </w:rPr>
              <w:t>三角冲支管</w:t>
            </w:r>
            <w:r>
              <w:rPr>
                <w:rFonts w:hint="eastAsia" w:ascii="Arial" w:hAnsi="Arial" w:cs="Arial"/>
                <w:spacing w:val="0"/>
                <w:sz w:val="22"/>
                <w:szCs w:val="22"/>
                <w:lang w:val="en-US" w:eastAsia="zh-CN"/>
              </w:rPr>
              <w:t>SZ0+000~SZ0+310右侧，</w:t>
            </w:r>
            <w:r>
              <w:rPr>
                <w:rFonts w:hint="eastAsia" w:ascii="Arial" w:hAnsi="Arial" w:cs="Arial"/>
                <w:spacing w:val="0"/>
                <w:sz w:val="22"/>
                <w:szCs w:val="22"/>
              </w:rPr>
              <w:t>最近距离</w:t>
            </w:r>
            <w:r>
              <w:rPr>
                <w:rFonts w:hint="eastAsia" w:ascii="Arial" w:hAnsi="Arial" w:cs="Arial"/>
                <w:spacing w:val="0"/>
                <w:sz w:val="22"/>
                <w:szCs w:val="22"/>
                <w:lang w:val="en-US" w:eastAsia="zh-CN"/>
              </w:rPr>
              <w:t>49</w:t>
            </w:r>
            <w:r>
              <w:rPr>
                <w:rFonts w:hint="eastAsia" w:ascii="Arial" w:hAnsi="Arial" w:cs="Arial"/>
                <w:spacing w:val="0"/>
                <w:sz w:val="22"/>
                <w:szCs w:val="22"/>
              </w:rPr>
              <w:t>m</w:t>
            </w:r>
          </w:p>
        </w:tc>
        <w:tc>
          <w:tcPr>
            <w:tcW w:w="3681" w:type="dxa"/>
            <w:gridSpan w:val="2"/>
            <w:noWrap w:val="0"/>
            <w:vAlign w:val="center"/>
          </w:tcPr>
          <w:p w14:paraId="19B4EB5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19</w:t>
            </w:r>
            <w:r>
              <w:rPr>
                <w:rFonts w:hint="eastAsia" w:ascii="Arial" w:hAnsi="Arial" w:cs="Arial"/>
                <w:spacing w:val="0"/>
                <w:sz w:val="22"/>
                <w:szCs w:val="22"/>
              </w:rPr>
              <w:t>户约</w:t>
            </w:r>
            <w:r>
              <w:rPr>
                <w:rFonts w:hint="eastAsia" w:ascii="Arial" w:hAnsi="Arial" w:cs="Arial"/>
                <w:spacing w:val="0"/>
                <w:sz w:val="22"/>
                <w:szCs w:val="22"/>
                <w:lang w:val="en-US" w:eastAsia="zh-CN"/>
              </w:rPr>
              <w:t>61</w:t>
            </w:r>
            <w:r>
              <w:rPr>
                <w:rFonts w:hint="eastAsia" w:ascii="Arial" w:hAnsi="Arial" w:cs="Arial"/>
                <w:spacing w:val="0"/>
                <w:sz w:val="22"/>
                <w:szCs w:val="22"/>
              </w:rPr>
              <w:t>人</w:t>
            </w:r>
          </w:p>
        </w:tc>
        <w:tc>
          <w:tcPr>
            <w:tcW w:w="2591" w:type="dxa"/>
            <w:gridSpan w:val="2"/>
            <w:vMerge w:val="continue"/>
            <w:noWrap w:val="0"/>
            <w:vAlign w:val="center"/>
          </w:tcPr>
          <w:p w14:paraId="659016D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6301721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0613397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06967B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5ABE9EA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1CBDDA7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6B53A65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eastAsia="宋体" w:cs="Arial"/>
                <w:spacing w:val="0"/>
                <w:sz w:val="22"/>
                <w:szCs w:val="22"/>
                <w:lang w:eastAsia="zh-CN"/>
              </w:rPr>
            </w:pPr>
            <w:r>
              <w:rPr>
                <w:rFonts w:hint="eastAsia" w:ascii="Arial" w:hAnsi="Arial" w:cs="Arial"/>
                <w:spacing w:val="0"/>
                <w:sz w:val="22"/>
                <w:szCs w:val="22"/>
                <w:lang w:val="en-US" w:eastAsia="zh-CN"/>
              </w:rPr>
              <w:t>1</w:t>
            </w:r>
            <w:r>
              <w:rPr>
                <w:rFonts w:hint="eastAsia" w:ascii="Arial" w:hAnsi="Arial" w:cs="Arial"/>
                <w:spacing w:val="0"/>
                <w:sz w:val="22"/>
                <w:szCs w:val="22"/>
              </w:rPr>
              <w:t>8#散居</w:t>
            </w:r>
            <w:r>
              <w:rPr>
                <w:rFonts w:hint="eastAsia" w:ascii="Arial" w:hAnsi="Arial" w:cs="Arial"/>
                <w:spacing w:val="0"/>
                <w:sz w:val="22"/>
                <w:szCs w:val="22"/>
                <w:lang w:eastAsia="zh-CN"/>
              </w:rPr>
              <w:t>村民</w:t>
            </w:r>
          </w:p>
        </w:tc>
        <w:tc>
          <w:tcPr>
            <w:tcW w:w="5591" w:type="dxa"/>
            <w:noWrap w:val="0"/>
            <w:vAlign w:val="center"/>
          </w:tcPr>
          <w:p w14:paraId="5E44650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Arial" w:hAnsi="Arial" w:eastAsia="宋体" w:cs="Arial"/>
                <w:spacing w:val="0"/>
                <w:sz w:val="22"/>
                <w:szCs w:val="22"/>
                <w:lang w:val="en-US" w:eastAsia="zh-CN"/>
              </w:rPr>
            </w:pPr>
            <w:r>
              <w:rPr>
                <w:rFonts w:hint="eastAsia" w:ascii="Arial" w:hAnsi="Arial" w:cs="Arial"/>
                <w:spacing w:val="0"/>
                <w:sz w:val="22"/>
                <w:szCs w:val="22"/>
              </w:rPr>
              <w:t>范家湾</w:t>
            </w:r>
            <w:r>
              <w:rPr>
                <w:rFonts w:hint="eastAsia" w:ascii="Arial" w:hAnsi="Arial" w:cs="Arial"/>
                <w:spacing w:val="0"/>
                <w:sz w:val="22"/>
                <w:szCs w:val="22"/>
                <w:lang w:eastAsia="zh-CN"/>
              </w:rPr>
              <w:t>支管</w:t>
            </w:r>
            <w:r>
              <w:rPr>
                <w:rFonts w:hint="eastAsia" w:ascii="Arial" w:hAnsi="Arial" w:cs="Arial"/>
                <w:spacing w:val="0"/>
                <w:sz w:val="22"/>
                <w:szCs w:val="22"/>
                <w:lang w:val="en-US" w:eastAsia="zh-CN"/>
              </w:rPr>
              <w:t>FZ0+030~FZ0+355右侧，最近距离13m</w:t>
            </w:r>
          </w:p>
        </w:tc>
        <w:tc>
          <w:tcPr>
            <w:tcW w:w="3681" w:type="dxa"/>
            <w:gridSpan w:val="2"/>
            <w:noWrap w:val="0"/>
            <w:vAlign w:val="center"/>
          </w:tcPr>
          <w:p w14:paraId="7D9CED3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11</w:t>
            </w:r>
            <w:r>
              <w:rPr>
                <w:rFonts w:hint="eastAsia" w:ascii="Arial" w:hAnsi="Arial" w:cs="Arial"/>
                <w:spacing w:val="0"/>
                <w:sz w:val="22"/>
                <w:szCs w:val="22"/>
              </w:rPr>
              <w:t>户约</w:t>
            </w:r>
            <w:r>
              <w:rPr>
                <w:rFonts w:hint="eastAsia" w:ascii="Arial" w:hAnsi="Arial" w:cs="Arial"/>
                <w:spacing w:val="0"/>
                <w:sz w:val="22"/>
                <w:szCs w:val="22"/>
                <w:lang w:val="en-US" w:eastAsia="zh-CN"/>
              </w:rPr>
              <w:t>36</w:t>
            </w:r>
            <w:r>
              <w:rPr>
                <w:rFonts w:hint="eastAsia" w:ascii="Arial" w:hAnsi="Arial" w:cs="Arial"/>
                <w:spacing w:val="0"/>
                <w:sz w:val="22"/>
                <w:szCs w:val="22"/>
              </w:rPr>
              <w:t>人</w:t>
            </w:r>
          </w:p>
        </w:tc>
        <w:tc>
          <w:tcPr>
            <w:tcW w:w="2591" w:type="dxa"/>
            <w:gridSpan w:val="2"/>
            <w:vMerge w:val="continue"/>
            <w:noWrap w:val="0"/>
            <w:vAlign w:val="center"/>
          </w:tcPr>
          <w:p w14:paraId="6BD3332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04AF9FF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046356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2D0186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75BC4D0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5590154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0D3DC9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1</w:t>
            </w:r>
            <w:r>
              <w:rPr>
                <w:rFonts w:hint="eastAsia" w:ascii="Arial" w:hAnsi="Arial" w:cs="Arial"/>
                <w:spacing w:val="0"/>
                <w:sz w:val="22"/>
                <w:szCs w:val="22"/>
              </w:rPr>
              <w:t>9#散居</w:t>
            </w:r>
            <w:r>
              <w:rPr>
                <w:rFonts w:hint="eastAsia" w:ascii="Arial" w:hAnsi="Arial" w:cs="Arial"/>
                <w:spacing w:val="0"/>
                <w:sz w:val="22"/>
                <w:szCs w:val="22"/>
                <w:lang w:eastAsia="zh-CN"/>
              </w:rPr>
              <w:t>村</w:t>
            </w:r>
            <w:r>
              <w:rPr>
                <w:rFonts w:hint="eastAsia" w:ascii="Arial" w:hAnsi="Arial" w:cs="Arial"/>
                <w:spacing w:val="0"/>
                <w:sz w:val="22"/>
                <w:szCs w:val="22"/>
              </w:rPr>
              <w:t>民</w:t>
            </w:r>
          </w:p>
        </w:tc>
        <w:tc>
          <w:tcPr>
            <w:tcW w:w="5591" w:type="dxa"/>
            <w:noWrap w:val="0"/>
            <w:vAlign w:val="center"/>
          </w:tcPr>
          <w:p w14:paraId="292CD11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范家湾</w:t>
            </w:r>
            <w:r>
              <w:rPr>
                <w:rFonts w:hint="eastAsia" w:ascii="Arial" w:hAnsi="Arial" w:cs="Arial"/>
                <w:spacing w:val="0"/>
                <w:sz w:val="22"/>
                <w:szCs w:val="22"/>
                <w:lang w:eastAsia="zh-CN"/>
              </w:rPr>
              <w:t>支管</w:t>
            </w:r>
            <w:r>
              <w:rPr>
                <w:rFonts w:hint="eastAsia" w:ascii="Arial" w:hAnsi="Arial" w:cs="Arial"/>
                <w:spacing w:val="0"/>
                <w:sz w:val="22"/>
                <w:szCs w:val="22"/>
                <w:lang w:val="en-US" w:eastAsia="zh-CN"/>
              </w:rPr>
              <w:t>FZ0+355~FZ0+921左侧，最近距离17m</w:t>
            </w:r>
          </w:p>
        </w:tc>
        <w:tc>
          <w:tcPr>
            <w:tcW w:w="3681" w:type="dxa"/>
            <w:gridSpan w:val="2"/>
            <w:noWrap w:val="0"/>
            <w:vAlign w:val="center"/>
          </w:tcPr>
          <w:p w14:paraId="79A4965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14</w:t>
            </w:r>
            <w:r>
              <w:rPr>
                <w:rFonts w:hint="eastAsia" w:ascii="Arial" w:hAnsi="Arial" w:cs="Arial"/>
                <w:spacing w:val="0"/>
                <w:sz w:val="22"/>
                <w:szCs w:val="22"/>
              </w:rPr>
              <w:t>户约</w:t>
            </w:r>
            <w:r>
              <w:rPr>
                <w:rFonts w:hint="eastAsia" w:ascii="Arial" w:hAnsi="Arial" w:cs="Arial"/>
                <w:spacing w:val="0"/>
                <w:sz w:val="22"/>
                <w:szCs w:val="22"/>
                <w:lang w:val="en-US" w:eastAsia="zh-CN"/>
              </w:rPr>
              <w:t>45</w:t>
            </w:r>
            <w:r>
              <w:rPr>
                <w:rFonts w:hint="eastAsia" w:ascii="Arial" w:hAnsi="Arial" w:cs="Arial"/>
                <w:spacing w:val="0"/>
                <w:sz w:val="22"/>
                <w:szCs w:val="22"/>
              </w:rPr>
              <w:t>人</w:t>
            </w:r>
          </w:p>
        </w:tc>
        <w:tc>
          <w:tcPr>
            <w:tcW w:w="2591" w:type="dxa"/>
            <w:gridSpan w:val="2"/>
            <w:vMerge w:val="continue"/>
            <w:noWrap w:val="0"/>
            <w:vAlign w:val="center"/>
          </w:tcPr>
          <w:p w14:paraId="05DE995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7D990E2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77BDCFE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774A5D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2301705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71E07F3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5DD6198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w:t>
            </w:r>
            <w:r>
              <w:rPr>
                <w:rFonts w:hint="eastAsia" w:ascii="Arial" w:hAnsi="Arial" w:cs="Arial"/>
                <w:spacing w:val="0"/>
                <w:sz w:val="22"/>
                <w:szCs w:val="22"/>
              </w:rPr>
              <w:t>0#散居</w:t>
            </w:r>
            <w:r>
              <w:rPr>
                <w:rFonts w:hint="eastAsia" w:ascii="Arial" w:hAnsi="Arial" w:cs="Arial"/>
                <w:spacing w:val="0"/>
                <w:sz w:val="22"/>
                <w:szCs w:val="22"/>
                <w:lang w:eastAsia="zh-CN"/>
              </w:rPr>
              <w:t>村</w:t>
            </w:r>
            <w:r>
              <w:rPr>
                <w:rFonts w:hint="eastAsia" w:ascii="Arial" w:hAnsi="Arial" w:cs="Arial"/>
                <w:spacing w:val="0"/>
                <w:sz w:val="22"/>
                <w:szCs w:val="22"/>
              </w:rPr>
              <w:t>民</w:t>
            </w:r>
          </w:p>
        </w:tc>
        <w:tc>
          <w:tcPr>
            <w:tcW w:w="5591" w:type="dxa"/>
            <w:noWrap w:val="0"/>
            <w:vAlign w:val="center"/>
          </w:tcPr>
          <w:p w14:paraId="25D3FF2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范家湾</w:t>
            </w:r>
            <w:r>
              <w:rPr>
                <w:rFonts w:hint="eastAsia" w:ascii="Arial" w:hAnsi="Arial" w:cs="Arial"/>
                <w:spacing w:val="0"/>
                <w:sz w:val="22"/>
                <w:szCs w:val="22"/>
                <w:lang w:eastAsia="zh-CN"/>
              </w:rPr>
              <w:t>支管</w:t>
            </w:r>
            <w:r>
              <w:rPr>
                <w:rFonts w:hint="eastAsia" w:ascii="Arial" w:hAnsi="Arial" w:cs="Arial"/>
                <w:spacing w:val="0"/>
                <w:sz w:val="22"/>
                <w:szCs w:val="22"/>
                <w:lang w:val="en-US" w:eastAsia="zh-CN"/>
              </w:rPr>
              <w:t>FZ0+489~FZ0+810右侧，最近距离20m</w:t>
            </w:r>
          </w:p>
        </w:tc>
        <w:tc>
          <w:tcPr>
            <w:tcW w:w="3681" w:type="dxa"/>
            <w:gridSpan w:val="2"/>
            <w:noWrap w:val="0"/>
            <w:vAlign w:val="center"/>
          </w:tcPr>
          <w:p w14:paraId="2F1E119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4</w:t>
            </w:r>
            <w:r>
              <w:rPr>
                <w:rFonts w:hint="eastAsia" w:ascii="Arial" w:hAnsi="Arial" w:cs="Arial"/>
                <w:spacing w:val="0"/>
                <w:sz w:val="22"/>
                <w:szCs w:val="22"/>
              </w:rPr>
              <w:t>户约</w:t>
            </w:r>
            <w:r>
              <w:rPr>
                <w:rFonts w:hint="eastAsia" w:ascii="Arial" w:hAnsi="Arial" w:cs="Arial"/>
                <w:spacing w:val="0"/>
                <w:sz w:val="22"/>
                <w:szCs w:val="22"/>
                <w:lang w:val="en-US" w:eastAsia="zh-CN"/>
              </w:rPr>
              <w:t>13</w:t>
            </w:r>
            <w:r>
              <w:rPr>
                <w:rFonts w:hint="eastAsia" w:ascii="Arial" w:hAnsi="Arial" w:cs="Arial"/>
                <w:spacing w:val="0"/>
                <w:sz w:val="22"/>
                <w:szCs w:val="22"/>
              </w:rPr>
              <w:t>人</w:t>
            </w:r>
          </w:p>
        </w:tc>
        <w:tc>
          <w:tcPr>
            <w:tcW w:w="2591" w:type="dxa"/>
            <w:gridSpan w:val="2"/>
            <w:vMerge w:val="continue"/>
            <w:noWrap w:val="0"/>
            <w:vAlign w:val="center"/>
          </w:tcPr>
          <w:p w14:paraId="1894685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0A7BB22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53E0564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4062E4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1FFEF8F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5CF8429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054A560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w:t>
            </w:r>
            <w:r>
              <w:rPr>
                <w:rFonts w:hint="eastAsia" w:ascii="Arial" w:hAnsi="Arial" w:cs="Arial"/>
                <w:spacing w:val="0"/>
                <w:sz w:val="22"/>
                <w:szCs w:val="22"/>
              </w:rPr>
              <w:t>1#散居</w:t>
            </w:r>
            <w:r>
              <w:rPr>
                <w:rFonts w:hint="eastAsia" w:ascii="Arial" w:hAnsi="Arial" w:cs="Arial"/>
                <w:spacing w:val="0"/>
                <w:sz w:val="22"/>
                <w:szCs w:val="22"/>
                <w:lang w:eastAsia="zh-CN"/>
              </w:rPr>
              <w:t>村</w:t>
            </w:r>
            <w:r>
              <w:rPr>
                <w:rFonts w:hint="eastAsia" w:ascii="Arial" w:hAnsi="Arial" w:cs="Arial"/>
                <w:spacing w:val="0"/>
                <w:sz w:val="22"/>
                <w:szCs w:val="22"/>
              </w:rPr>
              <w:t>民</w:t>
            </w:r>
          </w:p>
        </w:tc>
        <w:tc>
          <w:tcPr>
            <w:tcW w:w="5591" w:type="dxa"/>
            <w:noWrap w:val="0"/>
            <w:vAlign w:val="center"/>
          </w:tcPr>
          <w:p w14:paraId="6F5C7E3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范家湾</w:t>
            </w:r>
            <w:r>
              <w:rPr>
                <w:rFonts w:hint="eastAsia" w:ascii="Arial" w:hAnsi="Arial" w:cs="Arial"/>
                <w:spacing w:val="0"/>
                <w:sz w:val="22"/>
                <w:szCs w:val="22"/>
                <w:lang w:eastAsia="zh-CN"/>
              </w:rPr>
              <w:t>支管</w:t>
            </w:r>
            <w:r>
              <w:rPr>
                <w:rFonts w:hint="eastAsia" w:ascii="Arial" w:hAnsi="Arial" w:cs="Arial"/>
                <w:spacing w:val="0"/>
                <w:sz w:val="22"/>
                <w:szCs w:val="22"/>
                <w:lang w:val="en-US" w:eastAsia="zh-CN"/>
              </w:rPr>
              <w:t>FZ0+810~FZ0+921右侧，最近距离16m</w:t>
            </w:r>
          </w:p>
        </w:tc>
        <w:tc>
          <w:tcPr>
            <w:tcW w:w="3681" w:type="dxa"/>
            <w:gridSpan w:val="2"/>
            <w:noWrap w:val="0"/>
            <w:vAlign w:val="center"/>
          </w:tcPr>
          <w:p w14:paraId="19CC42E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22</w:t>
            </w:r>
            <w:r>
              <w:rPr>
                <w:rFonts w:hint="eastAsia" w:ascii="Arial" w:hAnsi="Arial" w:cs="Arial"/>
                <w:spacing w:val="0"/>
                <w:sz w:val="22"/>
                <w:szCs w:val="22"/>
              </w:rPr>
              <w:t>户约</w:t>
            </w:r>
            <w:r>
              <w:rPr>
                <w:rFonts w:hint="eastAsia" w:ascii="Arial" w:hAnsi="Arial" w:cs="Arial"/>
                <w:spacing w:val="0"/>
                <w:sz w:val="22"/>
                <w:szCs w:val="22"/>
                <w:lang w:val="en-US" w:eastAsia="zh-CN"/>
              </w:rPr>
              <w:t>71</w:t>
            </w:r>
            <w:r>
              <w:rPr>
                <w:rFonts w:hint="eastAsia" w:ascii="Arial" w:hAnsi="Arial" w:cs="Arial"/>
                <w:spacing w:val="0"/>
                <w:sz w:val="22"/>
                <w:szCs w:val="22"/>
              </w:rPr>
              <w:t>人</w:t>
            </w:r>
          </w:p>
        </w:tc>
        <w:tc>
          <w:tcPr>
            <w:tcW w:w="2591" w:type="dxa"/>
            <w:gridSpan w:val="2"/>
            <w:vMerge w:val="continue"/>
            <w:noWrap w:val="0"/>
            <w:vAlign w:val="center"/>
          </w:tcPr>
          <w:p w14:paraId="492C279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3619E6B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419185A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615A39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43" w:hRule="atLeast"/>
          <w:jc w:val="center"/>
        </w:trPr>
        <w:tc>
          <w:tcPr>
            <w:tcW w:w="1587" w:type="dxa"/>
            <w:vMerge w:val="continue"/>
            <w:noWrap w:val="0"/>
            <w:vAlign w:val="center"/>
          </w:tcPr>
          <w:p w14:paraId="3A66C5C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7A7B8BA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3DCE673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w:t>
            </w:r>
            <w:r>
              <w:rPr>
                <w:rFonts w:hint="eastAsia" w:ascii="Arial" w:hAnsi="Arial" w:cs="Arial"/>
                <w:spacing w:val="0"/>
                <w:sz w:val="22"/>
                <w:szCs w:val="22"/>
              </w:rPr>
              <w:t>2#散居</w:t>
            </w:r>
            <w:r>
              <w:rPr>
                <w:rFonts w:hint="eastAsia" w:ascii="Arial" w:hAnsi="Arial" w:cs="Arial"/>
                <w:spacing w:val="0"/>
                <w:sz w:val="22"/>
                <w:szCs w:val="22"/>
                <w:lang w:eastAsia="zh-CN"/>
              </w:rPr>
              <w:t>村</w:t>
            </w:r>
            <w:r>
              <w:rPr>
                <w:rFonts w:hint="eastAsia" w:ascii="Arial" w:hAnsi="Arial" w:cs="Arial"/>
                <w:spacing w:val="0"/>
                <w:sz w:val="22"/>
                <w:szCs w:val="22"/>
              </w:rPr>
              <w:t>民</w:t>
            </w:r>
          </w:p>
        </w:tc>
        <w:tc>
          <w:tcPr>
            <w:tcW w:w="5591" w:type="dxa"/>
            <w:noWrap w:val="0"/>
            <w:vAlign w:val="center"/>
          </w:tcPr>
          <w:p w14:paraId="16EE3C4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范家湾</w:t>
            </w:r>
            <w:r>
              <w:rPr>
                <w:rFonts w:hint="eastAsia" w:ascii="Arial" w:hAnsi="Arial" w:cs="Arial"/>
                <w:spacing w:val="0"/>
                <w:sz w:val="22"/>
                <w:szCs w:val="22"/>
                <w:lang w:eastAsia="zh-CN"/>
              </w:rPr>
              <w:t>支管</w:t>
            </w:r>
            <w:r>
              <w:rPr>
                <w:rFonts w:hint="eastAsia" w:ascii="Arial" w:hAnsi="Arial" w:cs="Arial"/>
                <w:spacing w:val="0"/>
                <w:sz w:val="22"/>
                <w:szCs w:val="22"/>
                <w:lang w:val="en-US" w:eastAsia="zh-CN"/>
              </w:rPr>
              <w:t>FZ0+960~FZ1+014左侧，最近距离32m</w:t>
            </w:r>
          </w:p>
        </w:tc>
        <w:tc>
          <w:tcPr>
            <w:tcW w:w="3681" w:type="dxa"/>
            <w:gridSpan w:val="2"/>
            <w:noWrap w:val="0"/>
            <w:vAlign w:val="center"/>
          </w:tcPr>
          <w:p w14:paraId="6E60DA6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9</w:t>
            </w:r>
            <w:r>
              <w:rPr>
                <w:rFonts w:hint="eastAsia" w:ascii="Arial" w:hAnsi="Arial" w:cs="Arial"/>
                <w:spacing w:val="0"/>
                <w:sz w:val="22"/>
                <w:szCs w:val="22"/>
              </w:rPr>
              <w:t>户约</w:t>
            </w:r>
            <w:r>
              <w:rPr>
                <w:rFonts w:hint="eastAsia" w:ascii="Arial" w:hAnsi="Arial" w:cs="Arial"/>
                <w:spacing w:val="0"/>
                <w:sz w:val="22"/>
                <w:szCs w:val="22"/>
                <w:lang w:val="en-US" w:eastAsia="zh-CN"/>
              </w:rPr>
              <w:t>29</w:t>
            </w:r>
            <w:r>
              <w:rPr>
                <w:rFonts w:hint="eastAsia" w:ascii="Arial" w:hAnsi="Arial" w:cs="Arial"/>
                <w:spacing w:val="0"/>
                <w:sz w:val="22"/>
                <w:szCs w:val="22"/>
              </w:rPr>
              <w:t>人</w:t>
            </w:r>
          </w:p>
        </w:tc>
        <w:tc>
          <w:tcPr>
            <w:tcW w:w="2591" w:type="dxa"/>
            <w:gridSpan w:val="2"/>
            <w:vMerge w:val="continue"/>
            <w:noWrap w:val="0"/>
            <w:vAlign w:val="center"/>
          </w:tcPr>
          <w:p w14:paraId="65DBE60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4982241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58A5D2B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143B09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5B79823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4A05E89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07704AE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w:t>
            </w:r>
            <w:r>
              <w:rPr>
                <w:rFonts w:hint="eastAsia" w:ascii="Arial" w:hAnsi="Arial" w:cs="Arial"/>
                <w:spacing w:val="0"/>
                <w:sz w:val="22"/>
                <w:szCs w:val="22"/>
              </w:rPr>
              <w:t>3#散居</w:t>
            </w:r>
            <w:r>
              <w:rPr>
                <w:rFonts w:hint="eastAsia" w:ascii="Arial" w:hAnsi="Arial" w:cs="Arial"/>
                <w:spacing w:val="0"/>
                <w:sz w:val="22"/>
                <w:szCs w:val="22"/>
                <w:lang w:eastAsia="zh-CN"/>
              </w:rPr>
              <w:t>村</w:t>
            </w:r>
            <w:r>
              <w:rPr>
                <w:rFonts w:hint="eastAsia" w:ascii="Arial" w:hAnsi="Arial" w:cs="Arial"/>
                <w:spacing w:val="0"/>
                <w:sz w:val="22"/>
                <w:szCs w:val="22"/>
              </w:rPr>
              <w:t>民</w:t>
            </w:r>
          </w:p>
        </w:tc>
        <w:tc>
          <w:tcPr>
            <w:tcW w:w="5591" w:type="dxa"/>
            <w:noWrap w:val="0"/>
            <w:vAlign w:val="center"/>
          </w:tcPr>
          <w:p w14:paraId="63E89C0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范家湾</w:t>
            </w:r>
            <w:r>
              <w:rPr>
                <w:rFonts w:hint="eastAsia" w:ascii="Arial" w:hAnsi="Arial" w:cs="Arial"/>
                <w:spacing w:val="0"/>
                <w:sz w:val="22"/>
                <w:szCs w:val="22"/>
                <w:lang w:eastAsia="zh-CN"/>
              </w:rPr>
              <w:t>支管</w:t>
            </w:r>
            <w:r>
              <w:rPr>
                <w:rFonts w:hint="eastAsia" w:ascii="Arial" w:hAnsi="Arial" w:cs="Arial"/>
                <w:spacing w:val="0"/>
                <w:sz w:val="22"/>
                <w:szCs w:val="22"/>
                <w:lang w:val="en-US" w:eastAsia="zh-CN"/>
              </w:rPr>
              <w:t>FZ1+061~FZ1+223右侧，最近距离32m</w:t>
            </w:r>
          </w:p>
        </w:tc>
        <w:tc>
          <w:tcPr>
            <w:tcW w:w="3681" w:type="dxa"/>
            <w:gridSpan w:val="2"/>
            <w:noWrap w:val="0"/>
            <w:vAlign w:val="center"/>
          </w:tcPr>
          <w:p w14:paraId="7F24F3A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5</w:t>
            </w:r>
            <w:r>
              <w:rPr>
                <w:rFonts w:hint="eastAsia" w:ascii="Arial" w:hAnsi="Arial" w:cs="Arial"/>
                <w:spacing w:val="0"/>
                <w:sz w:val="22"/>
                <w:szCs w:val="22"/>
              </w:rPr>
              <w:t>户约</w:t>
            </w:r>
            <w:r>
              <w:rPr>
                <w:rFonts w:hint="eastAsia" w:ascii="Arial" w:hAnsi="Arial" w:cs="Arial"/>
                <w:spacing w:val="0"/>
                <w:sz w:val="22"/>
                <w:szCs w:val="22"/>
                <w:lang w:val="en-US" w:eastAsia="zh-CN"/>
              </w:rPr>
              <w:t>16</w:t>
            </w:r>
            <w:r>
              <w:rPr>
                <w:rFonts w:hint="eastAsia" w:ascii="Arial" w:hAnsi="Arial" w:cs="Arial"/>
                <w:spacing w:val="0"/>
                <w:sz w:val="22"/>
                <w:szCs w:val="22"/>
              </w:rPr>
              <w:t>人</w:t>
            </w:r>
          </w:p>
        </w:tc>
        <w:tc>
          <w:tcPr>
            <w:tcW w:w="2591" w:type="dxa"/>
            <w:gridSpan w:val="2"/>
            <w:vMerge w:val="continue"/>
            <w:noWrap w:val="0"/>
            <w:vAlign w:val="center"/>
          </w:tcPr>
          <w:p w14:paraId="0F9EEBE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255D7C4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30DC1BB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1CF266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38" w:hRule="atLeast"/>
          <w:jc w:val="center"/>
        </w:trPr>
        <w:tc>
          <w:tcPr>
            <w:tcW w:w="1587" w:type="dxa"/>
            <w:vMerge w:val="continue"/>
            <w:noWrap w:val="0"/>
            <w:vAlign w:val="center"/>
          </w:tcPr>
          <w:p w14:paraId="6A79A03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6932168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563DF40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w:t>
            </w:r>
            <w:r>
              <w:rPr>
                <w:rFonts w:hint="eastAsia" w:ascii="Arial" w:hAnsi="Arial" w:cs="Arial"/>
                <w:spacing w:val="0"/>
                <w:sz w:val="22"/>
                <w:szCs w:val="22"/>
              </w:rPr>
              <w:t>4#</w:t>
            </w:r>
            <w:r>
              <w:rPr>
                <w:rFonts w:hint="eastAsia" w:ascii="Arial" w:hAnsi="Arial" w:cs="Arial"/>
                <w:spacing w:val="0"/>
                <w:sz w:val="22"/>
                <w:szCs w:val="22"/>
                <w:lang w:eastAsia="zh-CN"/>
              </w:rPr>
              <w:t>大河坝村</w:t>
            </w:r>
            <w:r>
              <w:rPr>
                <w:rFonts w:hint="eastAsia" w:ascii="Arial" w:hAnsi="Arial" w:cs="Arial"/>
                <w:spacing w:val="0"/>
                <w:sz w:val="22"/>
                <w:szCs w:val="22"/>
              </w:rPr>
              <w:t>民</w:t>
            </w:r>
          </w:p>
        </w:tc>
        <w:tc>
          <w:tcPr>
            <w:tcW w:w="5591" w:type="dxa"/>
            <w:noWrap w:val="0"/>
            <w:vAlign w:val="center"/>
          </w:tcPr>
          <w:p w14:paraId="3A0C639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范家湾</w:t>
            </w:r>
            <w:r>
              <w:rPr>
                <w:rFonts w:hint="eastAsia" w:ascii="Arial" w:hAnsi="Arial" w:cs="Arial"/>
                <w:spacing w:val="0"/>
                <w:sz w:val="22"/>
                <w:szCs w:val="22"/>
                <w:lang w:eastAsia="zh-CN"/>
              </w:rPr>
              <w:t>支管</w:t>
            </w:r>
            <w:r>
              <w:rPr>
                <w:rFonts w:hint="eastAsia" w:ascii="Arial" w:hAnsi="Arial" w:cs="Arial"/>
                <w:spacing w:val="0"/>
                <w:sz w:val="22"/>
                <w:szCs w:val="22"/>
                <w:lang w:val="en-US" w:eastAsia="zh-CN"/>
              </w:rPr>
              <w:t>FZ1+223~FZ1+275右侧，最近距离103m</w:t>
            </w:r>
          </w:p>
        </w:tc>
        <w:tc>
          <w:tcPr>
            <w:tcW w:w="3681" w:type="dxa"/>
            <w:gridSpan w:val="2"/>
            <w:noWrap w:val="0"/>
            <w:vAlign w:val="center"/>
          </w:tcPr>
          <w:p w14:paraId="5E1D6D4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1</w:t>
            </w:r>
            <w:r>
              <w:rPr>
                <w:rFonts w:hint="eastAsia" w:ascii="Arial" w:hAnsi="Arial" w:cs="Arial"/>
                <w:spacing w:val="0"/>
                <w:sz w:val="22"/>
                <w:szCs w:val="22"/>
                <w:lang w:val="en-US" w:eastAsia="zh-CN"/>
              </w:rPr>
              <w:t>6</w:t>
            </w:r>
            <w:r>
              <w:rPr>
                <w:rFonts w:hint="eastAsia" w:ascii="Arial" w:hAnsi="Arial" w:cs="Arial"/>
                <w:spacing w:val="0"/>
                <w:sz w:val="22"/>
                <w:szCs w:val="22"/>
              </w:rPr>
              <w:t>户约</w:t>
            </w:r>
            <w:r>
              <w:rPr>
                <w:rFonts w:hint="eastAsia" w:ascii="Arial" w:hAnsi="Arial" w:cs="Arial"/>
                <w:spacing w:val="0"/>
                <w:sz w:val="22"/>
                <w:szCs w:val="22"/>
                <w:lang w:val="en-US" w:eastAsia="zh-CN"/>
              </w:rPr>
              <w:t>5</w:t>
            </w:r>
            <w:r>
              <w:rPr>
                <w:rFonts w:hint="eastAsia" w:ascii="Arial" w:hAnsi="Arial" w:cs="Arial"/>
                <w:spacing w:val="0"/>
                <w:sz w:val="22"/>
                <w:szCs w:val="22"/>
              </w:rPr>
              <w:t>2人</w:t>
            </w:r>
          </w:p>
        </w:tc>
        <w:tc>
          <w:tcPr>
            <w:tcW w:w="2591" w:type="dxa"/>
            <w:gridSpan w:val="2"/>
            <w:vMerge w:val="continue"/>
            <w:noWrap w:val="0"/>
            <w:vAlign w:val="center"/>
          </w:tcPr>
          <w:p w14:paraId="2BB2F82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2AC3D17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6527B1C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4C4897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45" w:hRule="atLeast"/>
          <w:jc w:val="center"/>
        </w:trPr>
        <w:tc>
          <w:tcPr>
            <w:tcW w:w="1587" w:type="dxa"/>
            <w:vMerge w:val="continue"/>
            <w:noWrap w:val="0"/>
            <w:vAlign w:val="center"/>
          </w:tcPr>
          <w:p w14:paraId="7D045AD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02F4A57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326CD62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w:t>
            </w:r>
            <w:r>
              <w:rPr>
                <w:rFonts w:hint="eastAsia" w:ascii="Arial" w:hAnsi="Arial" w:cs="Arial"/>
                <w:spacing w:val="0"/>
                <w:sz w:val="22"/>
                <w:szCs w:val="22"/>
              </w:rPr>
              <w:t>5#散居</w:t>
            </w:r>
            <w:r>
              <w:rPr>
                <w:rFonts w:hint="eastAsia" w:ascii="Arial" w:hAnsi="Arial" w:cs="Arial"/>
                <w:spacing w:val="0"/>
                <w:sz w:val="22"/>
                <w:szCs w:val="22"/>
                <w:lang w:eastAsia="zh-CN"/>
              </w:rPr>
              <w:t>村</w:t>
            </w:r>
            <w:r>
              <w:rPr>
                <w:rFonts w:hint="eastAsia" w:ascii="Arial" w:hAnsi="Arial" w:cs="Arial"/>
                <w:spacing w:val="0"/>
                <w:sz w:val="22"/>
                <w:szCs w:val="22"/>
              </w:rPr>
              <w:t>民</w:t>
            </w:r>
          </w:p>
        </w:tc>
        <w:tc>
          <w:tcPr>
            <w:tcW w:w="5591" w:type="dxa"/>
            <w:noWrap w:val="0"/>
            <w:vAlign w:val="center"/>
          </w:tcPr>
          <w:p w14:paraId="78FED0D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范家湾</w:t>
            </w:r>
            <w:r>
              <w:rPr>
                <w:rFonts w:hint="eastAsia" w:ascii="Arial" w:hAnsi="Arial" w:cs="Arial"/>
                <w:spacing w:val="0"/>
                <w:sz w:val="22"/>
                <w:szCs w:val="22"/>
                <w:lang w:eastAsia="zh-CN"/>
              </w:rPr>
              <w:t>支管</w:t>
            </w:r>
            <w:r>
              <w:rPr>
                <w:rFonts w:hint="eastAsia" w:ascii="Arial" w:hAnsi="Arial" w:cs="Arial"/>
                <w:spacing w:val="0"/>
                <w:sz w:val="22"/>
                <w:szCs w:val="22"/>
                <w:lang w:val="en-US" w:eastAsia="zh-CN"/>
              </w:rPr>
              <w:t>FZ1+298~FZ1+695右侧，最近距离14m</w:t>
            </w:r>
          </w:p>
        </w:tc>
        <w:tc>
          <w:tcPr>
            <w:tcW w:w="3681" w:type="dxa"/>
            <w:gridSpan w:val="2"/>
            <w:noWrap w:val="0"/>
            <w:vAlign w:val="center"/>
          </w:tcPr>
          <w:p w14:paraId="5522113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13</w:t>
            </w:r>
            <w:r>
              <w:rPr>
                <w:rFonts w:hint="eastAsia" w:ascii="Arial" w:hAnsi="Arial" w:cs="Arial"/>
                <w:spacing w:val="0"/>
                <w:sz w:val="22"/>
                <w:szCs w:val="22"/>
              </w:rPr>
              <w:t>户约</w:t>
            </w:r>
            <w:r>
              <w:rPr>
                <w:rFonts w:hint="eastAsia" w:ascii="Arial" w:hAnsi="Arial" w:cs="Arial"/>
                <w:spacing w:val="0"/>
                <w:sz w:val="22"/>
                <w:szCs w:val="22"/>
                <w:lang w:val="en-US" w:eastAsia="zh-CN"/>
              </w:rPr>
              <w:t>42</w:t>
            </w:r>
            <w:r>
              <w:rPr>
                <w:rFonts w:hint="eastAsia" w:ascii="Arial" w:hAnsi="Arial" w:cs="Arial"/>
                <w:spacing w:val="0"/>
                <w:sz w:val="22"/>
                <w:szCs w:val="22"/>
              </w:rPr>
              <w:t>人</w:t>
            </w:r>
          </w:p>
        </w:tc>
        <w:tc>
          <w:tcPr>
            <w:tcW w:w="2591" w:type="dxa"/>
            <w:gridSpan w:val="2"/>
            <w:vMerge w:val="continue"/>
            <w:noWrap w:val="0"/>
            <w:vAlign w:val="center"/>
          </w:tcPr>
          <w:p w14:paraId="5D1E632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027083A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76910A7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r w14:paraId="7E2771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8" w:type="dxa"/>
          <w:trHeight w:val="252" w:hRule="atLeast"/>
          <w:jc w:val="center"/>
        </w:trPr>
        <w:tc>
          <w:tcPr>
            <w:tcW w:w="1587" w:type="dxa"/>
            <w:vMerge w:val="continue"/>
            <w:noWrap w:val="0"/>
            <w:vAlign w:val="center"/>
          </w:tcPr>
          <w:p w14:paraId="383012C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717" w:type="dxa"/>
            <w:gridSpan w:val="2"/>
            <w:vMerge w:val="continue"/>
            <w:noWrap w:val="0"/>
            <w:vAlign w:val="center"/>
          </w:tcPr>
          <w:p w14:paraId="0BBCD7C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Arial" w:hAnsi="Arial" w:cs="Arial"/>
                <w:spacing w:val="0"/>
                <w:sz w:val="22"/>
                <w:szCs w:val="22"/>
              </w:rPr>
            </w:pPr>
          </w:p>
        </w:tc>
        <w:tc>
          <w:tcPr>
            <w:tcW w:w="1916" w:type="dxa"/>
            <w:noWrap w:val="0"/>
            <w:vAlign w:val="center"/>
          </w:tcPr>
          <w:p w14:paraId="5ACA7F9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2</w:t>
            </w:r>
            <w:r>
              <w:rPr>
                <w:rFonts w:hint="eastAsia" w:ascii="Arial" w:hAnsi="Arial" w:cs="Arial"/>
                <w:spacing w:val="0"/>
                <w:sz w:val="22"/>
                <w:szCs w:val="22"/>
              </w:rPr>
              <w:t>6#散居</w:t>
            </w:r>
            <w:r>
              <w:rPr>
                <w:rFonts w:hint="eastAsia" w:ascii="Arial" w:hAnsi="Arial" w:cs="Arial"/>
                <w:spacing w:val="0"/>
                <w:sz w:val="22"/>
                <w:szCs w:val="22"/>
                <w:lang w:eastAsia="zh-CN"/>
              </w:rPr>
              <w:t>村</w:t>
            </w:r>
            <w:r>
              <w:rPr>
                <w:rFonts w:hint="eastAsia" w:ascii="Arial" w:hAnsi="Arial" w:cs="Arial"/>
                <w:spacing w:val="0"/>
                <w:sz w:val="22"/>
                <w:szCs w:val="22"/>
              </w:rPr>
              <w:t>民</w:t>
            </w:r>
          </w:p>
        </w:tc>
        <w:tc>
          <w:tcPr>
            <w:tcW w:w="5591" w:type="dxa"/>
            <w:noWrap w:val="0"/>
            <w:vAlign w:val="center"/>
          </w:tcPr>
          <w:p w14:paraId="1F39893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rPr>
              <w:t>范家湾</w:t>
            </w:r>
            <w:r>
              <w:rPr>
                <w:rFonts w:hint="eastAsia" w:ascii="Arial" w:hAnsi="Arial" w:cs="Arial"/>
                <w:spacing w:val="0"/>
                <w:sz w:val="22"/>
                <w:szCs w:val="22"/>
                <w:lang w:eastAsia="zh-CN"/>
              </w:rPr>
              <w:t>支管</w:t>
            </w:r>
            <w:r>
              <w:rPr>
                <w:rFonts w:hint="eastAsia" w:ascii="Arial" w:hAnsi="Arial" w:cs="Arial"/>
                <w:spacing w:val="0"/>
                <w:sz w:val="22"/>
                <w:szCs w:val="22"/>
                <w:lang w:val="en-US" w:eastAsia="zh-CN"/>
              </w:rPr>
              <w:t>FZ1+417~FZ1+695左侧，最近距离14m</w:t>
            </w:r>
          </w:p>
        </w:tc>
        <w:tc>
          <w:tcPr>
            <w:tcW w:w="3681" w:type="dxa"/>
            <w:gridSpan w:val="2"/>
            <w:noWrap w:val="0"/>
            <w:vAlign w:val="center"/>
          </w:tcPr>
          <w:p w14:paraId="40F70EF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r>
              <w:rPr>
                <w:rFonts w:hint="eastAsia" w:ascii="Arial" w:hAnsi="Arial" w:cs="Arial"/>
                <w:spacing w:val="0"/>
                <w:sz w:val="22"/>
                <w:szCs w:val="22"/>
                <w:lang w:val="en-US" w:eastAsia="zh-CN"/>
              </w:rPr>
              <w:t>7</w:t>
            </w:r>
            <w:r>
              <w:rPr>
                <w:rFonts w:hint="eastAsia" w:ascii="Arial" w:hAnsi="Arial" w:cs="Arial"/>
                <w:spacing w:val="0"/>
                <w:sz w:val="22"/>
                <w:szCs w:val="22"/>
              </w:rPr>
              <w:t>户约</w:t>
            </w:r>
            <w:r>
              <w:rPr>
                <w:rFonts w:hint="eastAsia" w:ascii="Arial" w:hAnsi="Arial" w:cs="Arial"/>
                <w:spacing w:val="0"/>
                <w:sz w:val="22"/>
                <w:szCs w:val="22"/>
                <w:lang w:val="en-US" w:eastAsia="zh-CN"/>
              </w:rPr>
              <w:t>23</w:t>
            </w:r>
            <w:r>
              <w:rPr>
                <w:rFonts w:hint="eastAsia" w:ascii="Arial" w:hAnsi="Arial" w:cs="Arial"/>
                <w:spacing w:val="0"/>
                <w:sz w:val="22"/>
                <w:szCs w:val="22"/>
              </w:rPr>
              <w:t>人</w:t>
            </w:r>
          </w:p>
        </w:tc>
        <w:tc>
          <w:tcPr>
            <w:tcW w:w="2591" w:type="dxa"/>
            <w:gridSpan w:val="2"/>
            <w:vMerge w:val="continue"/>
            <w:noWrap w:val="0"/>
            <w:vAlign w:val="center"/>
          </w:tcPr>
          <w:p w14:paraId="7C5AD91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3" w:type="dxa"/>
            <w:vMerge w:val="continue"/>
            <w:noWrap w:val="0"/>
            <w:vAlign w:val="center"/>
          </w:tcPr>
          <w:p w14:paraId="372A07B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c>
          <w:tcPr>
            <w:tcW w:w="2129" w:type="dxa"/>
            <w:vMerge w:val="continue"/>
            <w:noWrap w:val="0"/>
            <w:vAlign w:val="center"/>
          </w:tcPr>
          <w:p w14:paraId="46F3E97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Arial" w:hAnsi="Arial" w:cs="Arial"/>
                <w:spacing w:val="0"/>
                <w:sz w:val="22"/>
                <w:szCs w:val="22"/>
              </w:rPr>
            </w:pPr>
          </w:p>
        </w:tc>
      </w:tr>
    </w:tbl>
    <w:p w14:paraId="5CAD3091">
      <w:pPr>
        <w:spacing w:line="440" w:lineRule="exact"/>
        <w:ind w:firstLine="500"/>
        <w:rPr>
          <w:rFonts w:hint="eastAsia"/>
          <w:sz w:val="26"/>
          <w:szCs w:val="26"/>
        </w:rPr>
      </w:pPr>
    </w:p>
    <w:p w14:paraId="26C5BB81">
      <w:pPr>
        <w:pStyle w:val="7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eastAsia="宋体"/>
          <w:b/>
          <w:color w:val="FF0000"/>
          <w:sz w:val="22"/>
          <w:szCs w:val="22"/>
          <w:highlight w:val="none"/>
          <w:lang w:val="en-US" w:eastAsia="zh-CN"/>
        </w:rPr>
      </w:pPr>
    </w:p>
    <w:p w14:paraId="5D60A564">
      <w:pPr>
        <w:pStyle w:val="76"/>
        <w:rPr>
          <w:rFonts w:hint="eastAsia"/>
          <w:b/>
          <w:sz w:val="24"/>
          <w:szCs w:val="24"/>
          <w:highlight w:val="none"/>
        </w:rPr>
      </w:pPr>
    </w:p>
    <w:p w14:paraId="6447F012">
      <w:pPr>
        <w:pStyle w:val="76"/>
        <w:rPr>
          <w:rFonts w:hint="eastAsia"/>
          <w:b/>
          <w:sz w:val="24"/>
          <w:szCs w:val="24"/>
          <w:highlight w:val="none"/>
        </w:rPr>
      </w:pPr>
    </w:p>
    <w:p w14:paraId="6ECBC68C">
      <w:pPr>
        <w:snapToGrid w:val="0"/>
        <w:spacing w:line="348" w:lineRule="auto"/>
        <w:jc w:val="both"/>
        <w:rPr>
          <w:b/>
          <w:sz w:val="24"/>
          <w:szCs w:val="24"/>
        </w:rPr>
        <w:sectPr>
          <w:headerReference r:id="rId16" w:type="default"/>
          <w:pgSz w:w="23811" w:h="16838" w:orient="landscape"/>
          <w:pgMar w:top="1134" w:right="1701" w:bottom="1134" w:left="1701" w:header="720" w:footer="720" w:gutter="0"/>
          <w:pgBorders>
            <w:top w:val="none" w:sz="0" w:space="0"/>
            <w:left w:val="none" w:sz="0" w:space="0"/>
            <w:bottom w:val="none" w:sz="0" w:space="0"/>
            <w:right w:val="none" w:sz="0" w:space="0"/>
          </w:pgBorders>
          <w:pgNumType w:fmt="decimal"/>
          <w:cols w:space="720" w:num="1"/>
          <w:docGrid w:linePitch="286" w:charSpace="0"/>
        </w:sectPr>
      </w:pPr>
    </w:p>
    <w:p w14:paraId="203F4BCE">
      <w:pPr>
        <w:pStyle w:val="19"/>
        <w:keepNext w:val="0"/>
        <w:keepLines w:val="0"/>
        <w:pageBreakBefore w:val="0"/>
        <w:widowControl w:val="0"/>
        <w:kinsoku/>
        <w:wordWrap/>
        <w:overflowPunct/>
        <w:topLinePunct w:val="0"/>
        <w:autoSpaceDE/>
        <w:autoSpaceDN/>
        <w:bidi w:val="0"/>
        <w:adjustRightInd w:val="0"/>
        <w:snapToGrid w:val="0"/>
        <w:spacing w:line="480" w:lineRule="exact"/>
        <w:ind w:firstLine="522"/>
        <w:textAlignment w:val="auto"/>
        <w:outlineLvl w:val="2"/>
        <w:rPr>
          <w:rFonts w:hint="eastAsia" w:ascii="Arial" w:hAnsi="Arial" w:eastAsia="宋体" w:cs="Arial"/>
          <w:b/>
          <w:color w:val="auto"/>
          <w:kern w:val="0"/>
          <w:sz w:val="26"/>
          <w:szCs w:val="20"/>
          <w:highlight w:val="none"/>
          <w:lang w:val="en-US" w:eastAsia="zh-CN"/>
        </w:rPr>
      </w:pPr>
      <w:bookmarkStart w:id="63" w:name="_Toc36040999"/>
      <w:bookmarkStart w:id="64" w:name="_Toc34987800"/>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8</w:t>
      </w:r>
      <w:r>
        <w:rPr>
          <w:rFonts w:hint="eastAsia" w:ascii="Arial" w:hAnsi="Arial" w:eastAsia="宋体" w:cs="Arial"/>
          <w:b/>
          <w:color w:val="auto"/>
          <w:kern w:val="0"/>
          <w:sz w:val="26"/>
          <w:szCs w:val="20"/>
          <w:highlight w:val="none"/>
          <w:lang w:val="en-US" w:eastAsia="zh-CN"/>
        </w:rPr>
        <w:t>.2 地表水环境保护目标</w:t>
      </w:r>
      <w:bookmarkEnd w:id="63"/>
      <w:bookmarkEnd w:id="64"/>
    </w:p>
    <w:p w14:paraId="63ED2588">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kern w:val="0"/>
          <w:sz w:val="26"/>
          <w:szCs w:val="26"/>
          <w:lang w:val="en-US" w:eastAsia="zh-CN" w:bidi="ar-SA"/>
        </w:rPr>
      </w:pPr>
      <w:r>
        <w:rPr>
          <w:rFonts w:hint="eastAsia" w:ascii="Arial" w:hAnsi="Arial" w:eastAsia="宋体" w:cs="Arial"/>
          <w:kern w:val="0"/>
          <w:sz w:val="26"/>
          <w:szCs w:val="26"/>
          <w:lang w:val="fr-FR" w:eastAsia="zh-CN" w:bidi="ar-SA"/>
        </w:rPr>
        <w:t>根据《重庆市人民政府批转重庆市地表水环境功能类别调整方案的通知》（渝府发〔2012〕4号），本项目所在海螺沟无水域功能，下游汇入高洞桥河、双龙河也无水域功能；双龙河汇入渠溪河，渠溪河为</w:t>
      </w:r>
      <w:r>
        <w:rPr>
          <w:rFonts w:hint="eastAsia" w:ascii="Arial" w:hAnsi="Arial" w:eastAsia="宋体" w:cs="Arial"/>
          <w:kern w:val="0"/>
          <w:sz w:val="26"/>
          <w:szCs w:val="26"/>
          <w:lang w:val="en-US" w:eastAsia="zh-CN" w:bidi="ar-SA"/>
        </w:rPr>
        <w:t>Ⅲ类水体，故海螺沟参照渠溪河执行Ⅲ类水域功能。</w:t>
      </w:r>
    </w:p>
    <w:p w14:paraId="0592B563">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kern w:val="0"/>
          <w:sz w:val="26"/>
          <w:szCs w:val="26"/>
          <w:lang w:val="fr-FR" w:eastAsia="zh-CN" w:bidi="ar-SA"/>
        </w:rPr>
      </w:pPr>
      <w:r>
        <w:rPr>
          <w:rFonts w:hint="eastAsia" w:ascii="Arial" w:hAnsi="Arial" w:eastAsia="宋体" w:cs="Arial"/>
          <w:kern w:val="0"/>
          <w:sz w:val="26"/>
          <w:szCs w:val="26"/>
          <w:lang w:val="fr-FR" w:eastAsia="zh-CN" w:bidi="ar-SA"/>
        </w:rPr>
        <w:t>根据丰都县人民政府网站公布的“丰都县集中式饮用水水源保护区”、重庆市人民政府办公厅关于调整万州区等31个区县（自治县）集中式饮用水源保护区的通知》（渝府办〔2013〕40号）、《关于调整万州区等36个区县（自治县）集中式饮用水水源保护区的通知》（渝府办</w:t>
      </w:r>
      <w:r>
        <w:rPr>
          <w:rFonts w:hint="eastAsia" w:ascii="宋体" w:hAnsi="宋体" w:eastAsia="宋体" w:cs="宋体"/>
          <w:kern w:val="0"/>
          <w:sz w:val="26"/>
          <w:szCs w:val="26"/>
          <w:lang w:val="fr-FR" w:eastAsia="zh-CN" w:bidi="ar-SA"/>
        </w:rPr>
        <w:t>〔</w:t>
      </w:r>
      <w:r>
        <w:rPr>
          <w:rFonts w:hint="eastAsia" w:ascii="Arial" w:hAnsi="Arial" w:eastAsia="宋体" w:cs="Arial"/>
          <w:kern w:val="0"/>
          <w:sz w:val="26"/>
          <w:szCs w:val="26"/>
          <w:lang w:val="fr-FR" w:eastAsia="zh-CN" w:bidi="ar-SA"/>
        </w:rPr>
        <w:t>2016</w:t>
      </w:r>
      <w:r>
        <w:rPr>
          <w:rFonts w:hint="eastAsia" w:ascii="宋体" w:hAnsi="宋体" w:eastAsia="宋体" w:cs="宋体"/>
          <w:kern w:val="0"/>
          <w:sz w:val="26"/>
          <w:szCs w:val="26"/>
          <w:lang w:val="fr-FR" w:eastAsia="zh-CN" w:bidi="ar-SA"/>
        </w:rPr>
        <w:t>〕</w:t>
      </w:r>
      <w:r>
        <w:rPr>
          <w:rFonts w:hint="eastAsia" w:ascii="Arial" w:hAnsi="Arial" w:eastAsia="宋体" w:cs="Arial"/>
          <w:kern w:val="0"/>
          <w:sz w:val="26"/>
          <w:szCs w:val="26"/>
          <w:lang w:val="fr-FR" w:eastAsia="zh-CN" w:bidi="ar-SA"/>
        </w:rPr>
        <w:t>19号）、《重庆市人民政府办公厅关于印发万州区等18个区县（开发区）集中式饮用水水源地保护区划分及调整方案的通知》（渝府办</w:t>
      </w:r>
      <w:r>
        <w:rPr>
          <w:rFonts w:hint="eastAsia" w:ascii="宋体" w:hAnsi="宋体" w:eastAsia="宋体" w:cs="宋体"/>
          <w:kern w:val="0"/>
          <w:sz w:val="26"/>
          <w:szCs w:val="26"/>
          <w:lang w:val="fr-FR" w:eastAsia="zh-CN" w:bidi="ar-SA"/>
        </w:rPr>
        <w:t>〔</w:t>
      </w:r>
      <w:r>
        <w:rPr>
          <w:rFonts w:hint="eastAsia" w:ascii="Arial" w:hAnsi="Arial" w:eastAsia="宋体" w:cs="Arial"/>
          <w:kern w:val="0"/>
          <w:sz w:val="26"/>
          <w:szCs w:val="26"/>
          <w:lang w:val="fr-FR" w:eastAsia="zh-CN" w:bidi="ar-SA"/>
        </w:rPr>
        <w:t>2017</w:t>
      </w:r>
      <w:r>
        <w:rPr>
          <w:rFonts w:hint="eastAsia" w:ascii="宋体" w:hAnsi="宋体" w:eastAsia="宋体" w:cs="宋体"/>
          <w:kern w:val="0"/>
          <w:sz w:val="26"/>
          <w:szCs w:val="26"/>
          <w:lang w:val="fr-FR" w:eastAsia="zh-CN" w:bidi="ar-SA"/>
        </w:rPr>
        <w:t>〕</w:t>
      </w:r>
      <w:r>
        <w:rPr>
          <w:rFonts w:hint="eastAsia" w:ascii="Arial" w:hAnsi="Arial" w:eastAsia="宋体" w:cs="Arial"/>
          <w:kern w:val="0"/>
          <w:sz w:val="26"/>
          <w:szCs w:val="26"/>
          <w:lang w:val="fr-FR" w:eastAsia="zh-CN" w:bidi="ar-SA"/>
        </w:rPr>
        <w:t xml:space="preserve"> 21号）、《重庆市人民政府办公厅关于印发万州区等区</w:t>
      </w:r>
      <w:r>
        <w:rPr>
          <w:rFonts w:hint="eastAsia" w:ascii="宋体" w:hAnsi="宋体" w:eastAsia="宋体" w:cs="宋体"/>
          <w:kern w:val="0"/>
          <w:sz w:val="26"/>
          <w:szCs w:val="26"/>
          <w:lang w:val="fr-FR" w:eastAsia="zh-CN" w:bidi="ar-SA"/>
        </w:rPr>
        <w:t>县(开发区)集中</w:t>
      </w:r>
      <w:r>
        <w:rPr>
          <w:rFonts w:hint="eastAsia" w:ascii="Arial" w:hAnsi="Arial" w:eastAsia="宋体" w:cs="Arial"/>
          <w:kern w:val="0"/>
          <w:sz w:val="26"/>
          <w:szCs w:val="26"/>
          <w:lang w:val="fr-FR" w:eastAsia="zh-CN" w:bidi="ar-SA"/>
        </w:rPr>
        <w:t>式饮用水源地保护区划分及调整方案的通知》</w:t>
      </w:r>
      <w:r>
        <w:rPr>
          <w:rFonts w:hint="eastAsia" w:ascii="宋体" w:hAnsi="宋体" w:eastAsia="宋体" w:cs="宋体"/>
          <w:kern w:val="0"/>
          <w:sz w:val="26"/>
          <w:szCs w:val="26"/>
          <w:lang w:val="fr-FR" w:eastAsia="zh-CN" w:bidi="ar-SA"/>
        </w:rPr>
        <w:t>(</w:t>
      </w:r>
      <w:r>
        <w:rPr>
          <w:rFonts w:hint="eastAsia" w:ascii="Arial" w:hAnsi="Arial" w:eastAsia="宋体" w:cs="Arial"/>
          <w:kern w:val="0"/>
          <w:sz w:val="26"/>
          <w:szCs w:val="26"/>
          <w:lang w:val="fr-FR" w:eastAsia="zh-CN" w:bidi="ar-SA"/>
        </w:rPr>
        <w:t>渝府办〔2018</w:t>
      </w:r>
      <w:r>
        <w:rPr>
          <w:rFonts w:hint="eastAsia" w:ascii="宋体" w:hAnsi="宋体" w:eastAsia="宋体" w:cs="宋体"/>
          <w:kern w:val="0"/>
          <w:sz w:val="26"/>
          <w:szCs w:val="26"/>
          <w:lang w:val="fr-FR" w:eastAsia="zh-CN" w:bidi="ar-SA"/>
        </w:rPr>
        <w:t>〕</w:t>
      </w:r>
      <w:r>
        <w:rPr>
          <w:rFonts w:hint="eastAsia" w:ascii="Arial" w:hAnsi="Arial" w:eastAsia="宋体" w:cs="Arial"/>
          <w:kern w:val="0"/>
          <w:sz w:val="26"/>
          <w:szCs w:val="26"/>
          <w:lang w:val="fr-FR" w:eastAsia="zh-CN" w:bidi="ar-SA"/>
        </w:rPr>
        <w:t>7号</w:t>
      </w:r>
      <w:r>
        <w:rPr>
          <w:rFonts w:hint="eastAsia" w:ascii="宋体" w:hAnsi="宋体" w:eastAsia="宋体" w:cs="宋体"/>
          <w:kern w:val="0"/>
          <w:sz w:val="26"/>
          <w:szCs w:val="26"/>
          <w:lang w:val="fr-FR" w:eastAsia="zh-CN" w:bidi="ar-SA"/>
        </w:rPr>
        <w:t>)</w:t>
      </w:r>
      <w:r>
        <w:rPr>
          <w:rFonts w:hint="eastAsia" w:ascii="Arial" w:hAnsi="Arial" w:eastAsia="宋体" w:cs="Arial"/>
          <w:kern w:val="0"/>
          <w:sz w:val="26"/>
          <w:szCs w:val="26"/>
          <w:lang w:val="fr-FR" w:eastAsia="zh-CN" w:bidi="ar-SA"/>
        </w:rPr>
        <w:t>，经叠图分析，海螺沟水库</w:t>
      </w:r>
      <w:r>
        <w:rPr>
          <w:rFonts w:hint="eastAsia" w:ascii="Arial" w:hAnsi="Arial" w:eastAsia="宋体" w:cs="Arial"/>
          <w:color w:val="auto"/>
          <w:kern w:val="0"/>
          <w:sz w:val="26"/>
          <w:szCs w:val="26"/>
          <w:highlight w:val="none"/>
          <w:lang w:val="en-US" w:eastAsia="zh-CN"/>
        </w:rPr>
        <w:t>枢纽工程、输水工程和附属设施工程均不涉及饮用水水域保护区，地表水评价河段内不涉及水源保护区、饮用水取水口。</w:t>
      </w:r>
    </w:p>
    <w:p w14:paraId="409716CB">
      <w:pPr>
        <w:pStyle w:val="2013"/>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eastAsia" w:ascii="Arial" w:hAnsi="Arial" w:cs="Arial"/>
          <w:b w:val="0"/>
          <w:color w:val="auto"/>
          <w:sz w:val="26"/>
          <w:szCs w:val="26"/>
          <w:lang w:val="en-US" w:eastAsia="zh-CN"/>
        </w:rPr>
        <w:sectPr>
          <w:headerReference r:id="rId17" w:type="default"/>
          <w:footerReference r:id="rId18" w:type="default"/>
          <w:pgSz w:w="11906" w:h="16838"/>
          <w:pgMar w:top="1701" w:right="1800" w:bottom="1701" w:left="1800" w:header="1077" w:footer="1077" w:gutter="0"/>
          <w:pgBorders>
            <w:top w:val="none" w:sz="0" w:space="0"/>
            <w:left w:val="none" w:sz="0" w:space="0"/>
            <w:bottom w:val="none" w:sz="0" w:space="0"/>
            <w:right w:val="none" w:sz="0" w:space="0"/>
          </w:pgBorders>
          <w:pgNumType w:fmt="decimal"/>
          <w:cols w:space="425" w:num="1"/>
          <w:docGrid w:linePitch="312" w:charSpace="0"/>
        </w:sectPr>
      </w:pPr>
      <w:r>
        <w:rPr>
          <w:rFonts w:hint="eastAsia" w:ascii="Arial" w:hAnsi="Arial" w:cs="Arial"/>
          <w:b w:val="0"/>
          <w:color w:val="auto"/>
          <w:sz w:val="26"/>
          <w:szCs w:val="26"/>
          <w:lang w:val="fr-FR" w:eastAsia="zh-CN"/>
        </w:rPr>
        <w:t>拟建项目沿线地表水环境保护目标分布详见表</w:t>
      </w:r>
      <w:r>
        <w:rPr>
          <w:rFonts w:hint="eastAsia" w:ascii="Arial" w:hAnsi="Arial" w:cs="Arial"/>
          <w:b w:val="0"/>
          <w:color w:val="auto"/>
          <w:sz w:val="26"/>
          <w:szCs w:val="26"/>
          <w:lang w:val="en-US" w:eastAsia="zh-CN"/>
        </w:rPr>
        <w:t>1.8-3所示。</w:t>
      </w:r>
    </w:p>
    <w:p w14:paraId="5409327E">
      <w:pPr>
        <w:pStyle w:val="2013"/>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color w:val="auto"/>
          <w:sz w:val="26"/>
          <w:szCs w:val="26"/>
          <w:lang w:val="en-US" w:eastAsia="zh-CN"/>
        </w:rPr>
      </w:pPr>
      <w:r>
        <w:rPr>
          <w:rFonts w:hint="eastAsia" w:ascii="Arial" w:hAnsi="Arial" w:cs="Arial"/>
          <w:b/>
          <w:bCs/>
          <w:color w:val="auto"/>
          <w:sz w:val="26"/>
          <w:szCs w:val="26"/>
          <w:lang w:val="en-US" w:eastAsia="zh-CN"/>
        </w:rPr>
        <w:t>表1.8-3 拟建项目沿线地表水保护目标一览表</w:t>
      </w:r>
    </w:p>
    <w:tbl>
      <w:tblPr>
        <w:tblStyle w:val="1893"/>
        <w:tblW w:w="141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7"/>
        <w:gridCol w:w="934"/>
        <w:gridCol w:w="3240"/>
        <w:gridCol w:w="3105"/>
        <w:gridCol w:w="1250"/>
        <w:gridCol w:w="4593"/>
      </w:tblGrid>
      <w:tr w14:paraId="68A83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1027" w:type="dxa"/>
            <w:tcBorders>
              <w:tl2br w:val="nil"/>
              <w:tr2bl w:val="nil"/>
            </w:tcBorders>
            <w:vAlign w:val="center"/>
          </w:tcPr>
          <w:p w14:paraId="051C53F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7"/>
                <w:sz w:val="22"/>
                <w:szCs w:val="22"/>
              </w:rPr>
              <w:t>类别</w:t>
            </w:r>
          </w:p>
        </w:tc>
        <w:tc>
          <w:tcPr>
            <w:tcW w:w="934" w:type="dxa"/>
            <w:tcBorders>
              <w:tl2br w:val="nil"/>
              <w:tr2bl w:val="nil"/>
            </w:tcBorders>
            <w:vAlign w:val="center"/>
          </w:tcPr>
          <w:p w14:paraId="0299A5A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名称</w:t>
            </w:r>
          </w:p>
        </w:tc>
        <w:tc>
          <w:tcPr>
            <w:tcW w:w="3240" w:type="dxa"/>
            <w:tcBorders>
              <w:tl2br w:val="nil"/>
              <w:tr2bl w:val="nil"/>
            </w:tcBorders>
            <w:vAlign w:val="center"/>
          </w:tcPr>
          <w:p w14:paraId="31BD29F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
                <w:sz w:val="22"/>
                <w:szCs w:val="22"/>
              </w:rPr>
              <w:t>与拟建项目相互关系</w:t>
            </w:r>
          </w:p>
        </w:tc>
        <w:tc>
          <w:tcPr>
            <w:tcW w:w="3105" w:type="dxa"/>
            <w:tcBorders>
              <w:tl2br w:val="nil"/>
              <w:tr2bl w:val="nil"/>
            </w:tcBorders>
            <w:vAlign w:val="center"/>
          </w:tcPr>
          <w:p w14:paraId="53FAD3B9">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环境特征</w:t>
            </w:r>
          </w:p>
        </w:tc>
        <w:tc>
          <w:tcPr>
            <w:tcW w:w="1250" w:type="dxa"/>
            <w:tcBorders>
              <w:tl2br w:val="nil"/>
              <w:tr2bl w:val="nil"/>
            </w:tcBorders>
            <w:vAlign w:val="center"/>
          </w:tcPr>
          <w:p w14:paraId="2710763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影响时段</w:t>
            </w:r>
          </w:p>
        </w:tc>
        <w:tc>
          <w:tcPr>
            <w:tcW w:w="4593" w:type="dxa"/>
            <w:tcBorders>
              <w:tl2br w:val="nil"/>
              <w:tr2bl w:val="nil"/>
            </w:tcBorders>
            <w:vAlign w:val="center"/>
          </w:tcPr>
          <w:p w14:paraId="4B0792C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影响因素</w:t>
            </w:r>
          </w:p>
        </w:tc>
      </w:tr>
      <w:tr w14:paraId="4EDE3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027" w:type="dxa"/>
            <w:vMerge w:val="restart"/>
            <w:tcBorders>
              <w:tl2br w:val="nil"/>
              <w:tr2bl w:val="nil"/>
            </w:tcBorders>
            <w:vAlign w:val="center"/>
          </w:tcPr>
          <w:p w14:paraId="48F93EB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outlineLvl w:val="2"/>
              <w:rPr>
                <w:rFonts w:hint="default" w:ascii="Arial" w:hAnsi="Arial" w:cs="Arial"/>
                <w:spacing w:val="-3"/>
                <w:sz w:val="22"/>
                <w:szCs w:val="22"/>
              </w:rPr>
            </w:pPr>
            <w:bookmarkStart w:id="65" w:name="bookmark36"/>
            <w:bookmarkEnd w:id="65"/>
            <w:r>
              <w:rPr>
                <w:rFonts w:hint="default" w:ascii="Arial" w:hAnsi="Arial" w:cs="Arial"/>
                <w:spacing w:val="-3"/>
                <w:sz w:val="22"/>
                <w:szCs w:val="22"/>
              </w:rPr>
              <w:t>地表水</w:t>
            </w:r>
            <w:bookmarkStart w:id="66" w:name="bookmark36"/>
            <w:bookmarkEnd w:id="66"/>
          </w:p>
          <w:p w14:paraId="6CC22BD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outlineLvl w:val="2"/>
              <w:rPr>
                <w:rFonts w:hint="default" w:ascii="Arial" w:hAnsi="Arial" w:cs="Arial"/>
                <w:sz w:val="22"/>
                <w:szCs w:val="22"/>
              </w:rPr>
            </w:pPr>
            <w:r>
              <w:rPr>
                <w:rFonts w:hint="default" w:ascii="Arial" w:hAnsi="Arial" w:cs="Arial"/>
                <w:spacing w:val="-2"/>
                <w:sz w:val="22"/>
                <w:szCs w:val="22"/>
              </w:rPr>
              <w:t>环境</w:t>
            </w:r>
          </w:p>
        </w:tc>
        <w:tc>
          <w:tcPr>
            <w:tcW w:w="934" w:type="dxa"/>
            <w:vMerge w:val="restart"/>
            <w:tcBorders>
              <w:tl2br w:val="nil"/>
              <w:tr2bl w:val="nil"/>
            </w:tcBorders>
            <w:vAlign w:val="center"/>
          </w:tcPr>
          <w:p w14:paraId="6C21BCF9">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sz w:val="22"/>
                <w:szCs w:val="22"/>
                <w:lang w:eastAsia="zh-CN"/>
              </w:rPr>
            </w:pPr>
            <w:r>
              <w:rPr>
                <w:rFonts w:hint="eastAsia" w:ascii="Arial" w:hAnsi="Arial" w:cs="Arial"/>
                <w:spacing w:val="-2"/>
                <w:sz w:val="22"/>
                <w:szCs w:val="22"/>
                <w:lang w:eastAsia="zh-CN"/>
              </w:rPr>
              <w:t>海螺沟</w:t>
            </w:r>
          </w:p>
        </w:tc>
        <w:tc>
          <w:tcPr>
            <w:tcW w:w="3240" w:type="dxa"/>
            <w:tcBorders>
              <w:tl2br w:val="nil"/>
              <w:tr2bl w:val="nil"/>
            </w:tcBorders>
            <w:vAlign w:val="center"/>
          </w:tcPr>
          <w:p w14:paraId="7D5DEFA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lang w:val="en-US" w:eastAsia="zh-CN"/>
              </w:rPr>
            </w:pPr>
            <w:r>
              <w:rPr>
                <w:rFonts w:hint="eastAsia" w:ascii="Arial" w:hAnsi="Arial" w:cs="Arial"/>
                <w:sz w:val="22"/>
                <w:szCs w:val="22"/>
                <w:lang w:eastAsia="zh-CN"/>
              </w:rPr>
              <w:t>坝址上游约</w:t>
            </w:r>
            <w:r>
              <w:rPr>
                <w:rFonts w:hint="eastAsia" w:ascii="Arial" w:hAnsi="Arial" w:cs="Arial"/>
                <w:sz w:val="22"/>
                <w:szCs w:val="22"/>
                <w:lang w:val="en-US" w:eastAsia="zh-CN"/>
              </w:rPr>
              <w:t>0.55km的回水河段</w:t>
            </w:r>
          </w:p>
        </w:tc>
        <w:tc>
          <w:tcPr>
            <w:tcW w:w="3105" w:type="dxa"/>
            <w:vMerge w:val="restart"/>
            <w:tcBorders>
              <w:tl2br w:val="nil"/>
              <w:tr2bl w:val="nil"/>
            </w:tcBorders>
            <w:vAlign w:val="center"/>
          </w:tcPr>
          <w:p w14:paraId="749808A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eastAsia" w:ascii="Arial" w:hAnsi="Arial" w:cs="Arial"/>
                <w:spacing w:val="1"/>
                <w:sz w:val="22"/>
                <w:szCs w:val="22"/>
                <w:lang w:eastAsia="zh-CN"/>
              </w:rPr>
              <w:t>海螺沟</w:t>
            </w:r>
            <w:r>
              <w:rPr>
                <w:rFonts w:hint="default" w:ascii="Arial" w:hAnsi="Arial" w:cs="Arial"/>
                <w:spacing w:val="1"/>
                <w:sz w:val="22"/>
                <w:szCs w:val="22"/>
              </w:rPr>
              <w:t>，</w:t>
            </w:r>
            <w:r>
              <w:rPr>
                <w:rFonts w:hint="eastAsia" w:ascii="宋体" w:hAnsi="宋体" w:eastAsia="宋体" w:cs="宋体"/>
                <w:sz w:val="22"/>
                <w:szCs w:val="22"/>
              </w:rPr>
              <w:t>Ⅲ</w:t>
            </w:r>
            <w:r>
              <w:rPr>
                <w:rFonts w:hint="eastAsia" w:ascii="Arial" w:hAnsi="Arial" w:eastAsia="宋体" w:cs="Arial"/>
                <w:sz w:val="22"/>
                <w:szCs w:val="22"/>
                <w:lang w:eastAsia="zh-CN"/>
              </w:rPr>
              <w:t>类</w:t>
            </w:r>
            <w:r>
              <w:rPr>
                <w:rFonts w:hint="default" w:ascii="Arial" w:hAnsi="Arial" w:cs="Arial"/>
                <w:spacing w:val="1"/>
                <w:sz w:val="22"/>
                <w:szCs w:val="22"/>
              </w:rPr>
              <w:t>水域</w:t>
            </w:r>
            <w:r>
              <w:rPr>
                <w:rFonts w:hint="eastAsia" w:ascii="Arial" w:hAnsi="Arial" w:cs="Arial"/>
                <w:spacing w:val="1"/>
                <w:sz w:val="22"/>
                <w:szCs w:val="22"/>
                <w:lang w:eastAsia="zh-CN"/>
              </w:rPr>
              <w:t>，</w:t>
            </w:r>
            <w:r>
              <w:rPr>
                <w:rFonts w:hint="default" w:ascii="Arial" w:hAnsi="Arial" w:cs="Arial"/>
                <w:spacing w:val="1"/>
                <w:sz w:val="22"/>
                <w:szCs w:val="22"/>
              </w:rPr>
              <w:t>不涉及饮用水源保护区、取水口</w:t>
            </w:r>
          </w:p>
        </w:tc>
        <w:tc>
          <w:tcPr>
            <w:tcW w:w="1250" w:type="dxa"/>
            <w:tcBorders>
              <w:tl2br w:val="nil"/>
              <w:tr2bl w:val="nil"/>
            </w:tcBorders>
            <w:vAlign w:val="center"/>
          </w:tcPr>
          <w:p w14:paraId="499FFA2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2"/>
                <w:sz w:val="22"/>
                <w:szCs w:val="22"/>
              </w:rPr>
              <w:t>施工期、</w:t>
            </w:r>
          </w:p>
          <w:p w14:paraId="4B3DB95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3"/>
                <w:sz w:val="22"/>
                <w:szCs w:val="22"/>
              </w:rPr>
              <w:t>营运期</w:t>
            </w:r>
          </w:p>
        </w:tc>
        <w:tc>
          <w:tcPr>
            <w:tcW w:w="4593" w:type="dxa"/>
            <w:tcBorders>
              <w:tl2br w:val="nil"/>
              <w:tr2bl w:val="nil"/>
            </w:tcBorders>
            <w:vAlign w:val="center"/>
          </w:tcPr>
          <w:p w14:paraId="6BA7691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坝体砌筑、清库、初期蓄水、成库后运行调节的</w:t>
            </w:r>
            <w:r>
              <w:rPr>
                <w:rFonts w:hint="default" w:ascii="Arial" w:hAnsi="Arial" w:cs="Arial"/>
                <w:spacing w:val="7"/>
                <w:sz w:val="22"/>
                <w:szCs w:val="22"/>
              </w:rPr>
              <w:t>影响</w:t>
            </w:r>
          </w:p>
        </w:tc>
      </w:tr>
      <w:tr w14:paraId="67FFD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jc w:val="center"/>
        </w:trPr>
        <w:tc>
          <w:tcPr>
            <w:tcW w:w="1027" w:type="dxa"/>
            <w:vMerge w:val="continue"/>
            <w:tcBorders>
              <w:tl2br w:val="nil"/>
              <w:tr2bl w:val="nil"/>
            </w:tcBorders>
            <w:vAlign w:val="center"/>
          </w:tcPr>
          <w:p w14:paraId="5E5CF854">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34" w:type="dxa"/>
            <w:vMerge w:val="continue"/>
            <w:tcBorders>
              <w:tl2br w:val="nil"/>
              <w:tr2bl w:val="nil"/>
            </w:tcBorders>
            <w:vAlign w:val="center"/>
          </w:tcPr>
          <w:p w14:paraId="2875DBFA">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3240" w:type="dxa"/>
            <w:vMerge w:val="restart"/>
            <w:tcBorders>
              <w:tl2br w:val="nil"/>
              <w:tr2bl w:val="nil"/>
            </w:tcBorders>
            <w:vAlign w:val="center"/>
          </w:tcPr>
          <w:p w14:paraId="217981D4">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
                <w:sz w:val="22"/>
                <w:szCs w:val="22"/>
              </w:rPr>
              <w:t>坝后</w:t>
            </w:r>
            <w:r>
              <w:rPr>
                <w:rFonts w:hint="eastAsia" w:ascii="Arial" w:hAnsi="Arial" w:cs="Arial"/>
                <w:spacing w:val="-1"/>
                <w:sz w:val="22"/>
                <w:szCs w:val="22"/>
                <w:lang w:val="en-US" w:eastAsia="zh-CN"/>
              </w:rPr>
              <w:t>1.54</w:t>
            </w:r>
            <w:r>
              <w:rPr>
                <w:rFonts w:hint="default" w:ascii="Arial" w:hAnsi="Arial" w:cs="Arial"/>
                <w:spacing w:val="-1"/>
                <w:sz w:val="22"/>
                <w:szCs w:val="22"/>
              </w:rPr>
              <w:t>km</w:t>
            </w:r>
            <w:r>
              <w:rPr>
                <w:rFonts w:hint="eastAsia" w:ascii="Arial" w:hAnsi="Arial" w:cs="Arial"/>
                <w:spacing w:val="-1"/>
                <w:sz w:val="22"/>
                <w:szCs w:val="22"/>
                <w:lang w:eastAsia="zh-CN"/>
              </w:rPr>
              <w:t>的</w:t>
            </w:r>
            <w:r>
              <w:rPr>
                <w:rFonts w:hint="default" w:ascii="Arial" w:hAnsi="Arial" w:cs="Arial"/>
                <w:spacing w:val="-1"/>
                <w:sz w:val="22"/>
                <w:szCs w:val="22"/>
              </w:rPr>
              <w:t>减水河段</w:t>
            </w:r>
          </w:p>
        </w:tc>
        <w:tc>
          <w:tcPr>
            <w:tcW w:w="3105" w:type="dxa"/>
            <w:vMerge w:val="continue"/>
            <w:tcBorders>
              <w:tl2br w:val="nil"/>
              <w:tr2bl w:val="nil"/>
            </w:tcBorders>
            <w:vAlign w:val="center"/>
          </w:tcPr>
          <w:p w14:paraId="7ADB9F0D">
            <w:pPr>
              <w:pStyle w:val="2102"/>
              <w:keepNext w:val="0"/>
              <w:keepLines w:val="0"/>
              <w:pageBreakBefore w:val="0"/>
              <w:widowControl w:val="0"/>
              <w:kinsoku/>
              <w:wordWrap/>
              <w:overflowPunct/>
              <w:topLinePunct w:val="0"/>
              <w:autoSpaceDE/>
              <w:autoSpaceDN/>
              <w:bidi w:val="0"/>
              <w:adjustRightInd/>
              <w:snapToGrid/>
              <w:spacing w:line="300" w:lineRule="exact"/>
              <w:ind w:left="0" w:hanging="1823"/>
              <w:jc w:val="center"/>
              <w:textAlignment w:val="auto"/>
              <w:rPr>
                <w:rFonts w:hint="default" w:ascii="Arial" w:hAnsi="Arial" w:cs="Arial"/>
                <w:sz w:val="22"/>
                <w:szCs w:val="22"/>
              </w:rPr>
            </w:pPr>
          </w:p>
        </w:tc>
        <w:tc>
          <w:tcPr>
            <w:tcW w:w="1250" w:type="dxa"/>
            <w:tcBorders>
              <w:tl2br w:val="nil"/>
              <w:tr2bl w:val="nil"/>
            </w:tcBorders>
            <w:vAlign w:val="center"/>
          </w:tcPr>
          <w:p w14:paraId="3C5380BC">
            <w:pPr>
              <w:pStyle w:val="2102"/>
              <w:keepNext w:val="0"/>
              <w:keepLines w:val="0"/>
              <w:pageBreakBefore w:val="0"/>
              <w:widowControl w:val="0"/>
              <w:kinsoku/>
              <w:wordWrap/>
              <w:overflowPunct/>
              <w:topLinePunct w:val="0"/>
              <w:autoSpaceDE/>
              <w:autoSpaceDN/>
              <w:bidi w:val="0"/>
              <w:adjustRightInd/>
              <w:snapToGrid/>
              <w:spacing w:line="300" w:lineRule="exact"/>
              <w:ind w:left="0" w:firstLine="0"/>
              <w:jc w:val="center"/>
              <w:textAlignment w:val="auto"/>
              <w:rPr>
                <w:rFonts w:hint="default" w:ascii="Arial" w:hAnsi="Arial" w:cs="Arial"/>
                <w:sz w:val="22"/>
                <w:szCs w:val="22"/>
              </w:rPr>
            </w:pPr>
            <w:r>
              <w:rPr>
                <w:rFonts w:hint="default" w:ascii="Arial" w:hAnsi="Arial" w:cs="Arial"/>
                <w:spacing w:val="-2"/>
                <w:sz w:val="22"/>
                <w:szCs w:val="22"/>
              </w:rPr>
              <w:t>施工期</w:t>
            </w:r>
          </w:p>
        </w:tc>
        <w:tc>
          <w:tcPr>
            <w:tcW w:w="4593" w:type="dxa"/>
            <w:tcBorders>
              <w:tl2br w:val="nil"/>
              <w:tr2bl w:val="nil"/>
            </w:tcBorders>
            <w:vAlign w:val="center"/>
          </w:tcPr>
          <w:p w14:paraId="0FC4B5C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施工废水、水土流失造成河段泥沙淤积，施工期</w:t>
            </w:r>
            <w:r>
              <w:rPr>
                <w:rFonts w:hint="default" w:ascii="Arial" w:hAnsi="Arial" w:cs="Arial"/>
                <w:spacing w:val="1"/>
                <w:sz w:val="22"/>
                <w:szCs w:val="22"/>
              </w:rPr>
              <w:t>管线跨河拦河施工</w:t>
            </w:r>
          </w:p>
        </w:tc>
      </w:tr>
      <w:tr w14:paraId="0CEC1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027" w:type="dxa"/>
            <w:vMerge w:val="continue"/>
            <w:tcBorders>
              <w:tl2br w:val="nil"/>
              <w:tr2bl w:val="nil"/>
            </w:tcBorders>
            <w:vAlign w:val="center"/>
          </w:tcPr>
          <w:p w14:paraId="5131D495">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34" w:type="dxa"/>
            <w:vMerge w:val="continue"/>
            <w:tcBorders>
              <w:tl2br w:val="nil"/>
              <w:tr2bl w:val="nil"/>
            </w:tcBorders>
            <w:vAlign w:val="center"/>
          </w:tcPr>
          <w:p w14:paraId="115AA0E8">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3240" w:type="dxa"/>
            <w:vMerge w:val="continue"/>
            <w:tcBorders>
              <w:tl2br w:val="nil"/>
              <w:tr2bl w:val="nil"/>
            </w:tcBorders>
            <w:vAlign w:val="center"/>
          </w:tcPr>
          <w:p w14:paraId="1EA085F9">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3105" w:type="dxa"/>
            <w:vMerge w:val="continue"/>
            <w:tcBorders>
              <w:tl2br w:val="nil"/>
              <w:tr2bl w:val="nil"/>
            </w:tcBorders>
            <w:vAlign w:val="center"/>
          </w:tcPr>
          <w:p w14:paraId="5080FBDB">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1250" w:type="dxa"/>
            <w:tcBorders>
              <w:tl2br w:val="nil"/>
              <w:tr2bl w:val="nil"/>
            </w:tcBorders>
            <w:vAlign w:val="center"/>
          </w:tcPr>
          <w:p w14:paraId="45D7160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营运期</w:t>
            </w:r>
          </w:p>
        </w:tc>
        <w:tc>
          <w:tcPr>
            <w:tcW w:w="4593" w:type="dxa"/>
            <w:tcBorders>
              <w:tl2br w:val="nil"/>
              <w:tr2bl w:val="nil"/>
            </w:tcBorders>
            <w:vAlign w:val="center"/>
          </w:tcPr>
          <w:p w14:paraId="4F4C71B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减水及</w:t>
            </w:r>
            <w:r>
              <w:rPr>
                <w:rFonts w:hint="eastAsia" w:ascii="Arial" w:hAnsi="Arial" w:cs="Arial"/>
                <w:sz w:val="22"/>
                <w:szCs w:val="22"/>
                <w:lang w:eastAsia="zh-CN"/>
              </w:rPr>
              <w:t>人饮、灌区</w:t>
            </w:r>
            <w:r>
              <w:rPr>
                <w:rFonts w:hint="default" w:ascii="Arial" w:hAnsi="Arial" w:cs="Arial"/>
                <w:sz w:val="22"/>
                <w:szCs w:val="22"/>
              </w:rPr>
              <w:t>回水影响，水资源配置影响</w:t>
            </w:r>
          </w:p>
        </w:tc>
      </w:tr>
      <w:tr w14:paraId="0EB97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027" w:type="dxa"/>
            <w:vMerge w:val="continue"/>
            <w:tcBorders>
              <w:tl2br w:val="nil"/>
              <w:tr2bl w:val="nil"/>
            </w:tcBorders>
            <w:vAlign w:val="center"/>
          </w:tcPr>
          <w:p w14:paraId="3E04F041">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34" w:type="dxa"/>
            <w:vMerge w:val="restart"/>
            <w:tcBorders>
              <w:tl2br w:val="nil"/>
              <w:tr2bl w:val="nil"/>
            </w:tcBorders>
            <w:vAlign w:val="center"/>
          </w:tcPr>
          <w:p w14:paraId="6EF63430">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高洞桥河</w:t>
            </w:r>
          </w:p>
        </w:tc>
        <w:tc>
          <w:tcPr>
            <w:tcW w:w="3240" w:type="dxa"/>
            <w:vMerge w:val="restart"/>
            <w:tcBorders>
              <w:tl2br w:val="nil"/>
              <w:tr2bl w:val="nil"/>
            </w:tcBorders>
            <w:vAlign w:val="center"/>
          </w:tcPr>
          <w:p w14:paraId="0C925185">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sz w:val="22"/>
                <w:szCs w:val="22"/>
                <w:lang w:val="en-US" w:eastAsia="zh-CN"/>
              </w:rPr>
            </w:pPr>
            <w:r>
              <w:rPr>
                <w:rFonts w:hint="eastAsia" w:ascii="Arial" w:hAnsi="Arial" w:cs="Arial"/>
                <w:sz w:val="22"/>
                <w:szCs w:val="22"/>
                <w:lang w:eastAsia="zh-CN"/>
              </w:rPr>
              <w:t>坝后</w:t>
            </w:r>
            <w:r>
              <w:rPr>
                <w:rFonts w:hint="eastAsia" w:ascii="Arial" w:hAnsi="Arial" w:cs="Arial"/>
                <w:sz w:val="22"/>
                <w:szCs w:val="22"/>
                <w:lang w:val="en-US" w:eastAsia="zh-CN"/>
              </w:rPr>
              <w:t>灌溉及人饮退水影响河段长5.27km</w:t>
            </w:r>
          </w:p>
        </w:tc>
        <w:tc>
          <w:tcPr>
            <w:tcW w:w="3105" w:type="dxa"/>
            <w:vMerge w:val="restart"/>
            <w:tcBorders>
              <w:tl2br w:val="nil"/>
              <w:tr2bl w:val="nil"/>
            </w:tcBorders>
            <w:vAlign w:val="center"/>
          </w:tcPr>
          <w:p w14:paraId="05742477">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高洞桥河，</w:t>
            </w:r>
            <w:r>
              <w:rPr>
                <w:rFonts w:hint="eastAsia" w:ascii="宋体" w:hAnsi="宋体" w:eastAsia="宋体" w:cs="宋体"/>
                <w:sz w:val="22"/>
                <w:szCs w:val="22"/>
              </w:rPr>
              <w:t>Ⅲ</w:t>
            </w:r>
            <w:r>
              <w:rPr>
                <w:rFonts w:hint="eastAsia" w:ascii="Arial" w:hAnsi="Arial" w:eastAsia="宋体" w:cs="Arial"/>
                <w:sz w:val="22"/>
                <w:szCs w:val="22"/>
                <w:lang w:eastAsia="zh-CN"/>
              </w:rPr>
              <w:t>类</w:t>
            </w:r>
            <w:r>
              <w:rPr>
                <w:rFonts w:hint="default" w:ascii="Arial" w:hAnsi="Arial" w:cs="Arial"/>
                <w:spacing w:val="1"/>
                <w:sz w:val="22"/>
                <w:szCs w:val="22"/>
              </w:rPr>
              <w:t>水域</w:t>
            </w:r>
            <w:r>
              <w:rPr>
                <w:rFonts w:hint="eastAsia" w:ascii="Arial" w:hAnsi="Arial" w:cs="Arial"/>
                <w:spacing w:val="1"/>
                <w:sz w:val="22"/>
                <w:szCs w:val="22"/>
                <w:lang w:eastAsia="zh-CN"/>
              </w:rPr>
              <w:t>，</w:t>
            </w:r>
            <w:r>
              <w:rPr>
                <w:rFonts w:hint="default" w:ascii="Arial" w:hAnsi="Arial" w:cs="Arial"/>
                <w:spacing w:val="1"/>
                <w:sz w:val="22"/>
                <w:szCs w:val="22"/>
              </w:rPr>
              <w:t>不涉及饮用水源保护区、取水口</w:t>
            </w:r>
          </w:p>
        </w:tc>
        <w:tc>
          <w:tcPr>
            <w:tcW w:w="1250" w:type="dxa"/>
            <w:tcBorders>
              <w:tl2br w:val="nil"/>
              <w:tr2bl w:val="nil"/>
            </w:tcBorders>
            <w:shd w:val="clear" w:color="auto" w:fill="auto"/>
            <w:vAlign w:val="center"/>
          </w:tcPr>
          <w:p w14:paraId="5039D52F">
            <w:pPr>
              <w:pStyle w:val="2102"/>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kern w:val="2"/>
                <w:sz w:val="22"/>
                <w:szCs w:val="22"/>
                <w:lang w:val="en-US" w:eastAsia="en-US" w:bidi="ar-SA"/>
              </w:rPr>
            </w:pPr>
            <w:r>
              <w:rPr>
                <w:rFonts w:hint="default" w:ascii="Arial" w:hAnsi="Arial" w:cs="Arial"/>
                <w:spacing w:val="-2"/>
                <w:sz w:val="22"/>
                <w:szCs w:val="22"/>
              </w:rPr>
              <w:t>施工期</w:t>
            </w:r>
          </w:p>
        </w:tc>
        <w:tc>
          <w:tcPr>
            <w:tcW w:w="4593" w:type="dxa"/>
            <w:tcBorders>
              <w:tl2br w:val="nil"/>
              <w:tr2bl w:val="nil"/>
            </w:tcBorders>
            <w:shd w:val="clear" w:color="auto" w:fill="auto"/>
            <w:vAlign w:val="center"/>
          </w:tcPr>
          <w:p w14:paraId="28D0FA2E">
            <w:pPr>
              <w:pStyle w:val="2102"/>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Arial" w:hAnsi="Arial" w:eastAsia="宋体" w:cs="Arial"/>
                <w:kern w:val="2"/>
                <w:sz w:val="22"/>
                <w:szCs w:val="22"/>
                <w:lang w:val="en-US" w:eastAsia="en-US" w:bidi="ar-SA"/>
              </w:rPr>
            </w:pPr>
            <w:r>
              <w:rPr>
                <w:rFonts w:hint="default" w:ascii="Arial" w:hAnsi="Arial" w:cs="Arial"/>
                <w:spacing w:val="-1"/>
                <w:sz w:val="22"/>
                <w:szCs w:val="22"/>
              </w:rPr>
              <w:t>施工废水、水土流失造成河段泥沙淤积，施工期</w:t>
            </w:r>
            <w:r>
              <w:rPr>
                <w:rFonts w:hint="default" w:ascii="Arial" w:hAnsi="Arial" w:cs="Arial"/>
                <w:spacing w:val="1"/>
                <w:sz w:val="22"/>
                <w:szCs w:val="22"/>
              </w:rPr>
              <w:t>管线跨河拦河施工</w:t>
            </w:r>
          </w:p>
        </w:tc>
      </w:tr>
      <w:tr w14:paraId="6209C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027" w:type="dxa"/>
            <w:vMerge w:val="continue"/>
            <w:vAlign w:val="center"/>
          </w:tcPr>
          <w:p w14:paraId="1843E48A">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34" w:type="dxa"/>
            <w:vMerge w:val="continue"/>
            <w:vAlign w:val="center"/>
          </w:tcPr>
          <w:p w14:paraId="2C0EBD6F">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sz w:val="22"/>
                <w:szCs w:val="22"/>
                <w:lang w:eastAsia="zh-CN"/>
              </w:rPr>
            </w:pPr>
          </w:p>
        </w:tc>
        <w:tc>
          <w:tcPr>
            <w:tcW w:w="3240" w:type="dxa"/>
            <w:vMerge w:val="continue"/>
            <w:vAlign w:val="center"/>
          </w:tcPr>
          <w:p w14:paraId="44B14A37">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sz w:val="22"/>
                <w:szCs w:val="22"/>
                <w:lang w:val="en-US" w:eastAsia="zh-CN"/>
              </w:rPr>
            </w:pPr>
          </w:p>
        </w:tc>
        <w:tc>
          <w:tcPr>
            <w:tcW w:w="3105" w:type="dxa"/>
            <w:vMerge w:val="continue"/>
            <w:vAlign w:val="center"/>
          </w:tcPr>
          <w:p w14:paraId="79FB67C6">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sz w:val="22"/>
                <w:szCs w:val="22"/>
                <w:lang w:eastAsia="zh-CN"/>
              </w:rPr>
            </w:pPr>
          </w:p>
        </w:tc>
        <w:tc>
          <w:tcPr>
            <w:tcW w:w="0" w:type="auto"/>
            <w:shd w:val="clear" w:color="auto" w:fill="auto"/>
            <w:vAlign w:val="center"/>
          </w:tcPr>
          <w:p w14:paraId="1B38903F">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kern w:val="2"/>
                <w:sz w:val="22"/>
                <w:szCs w:val="22"/>
                <w:lang w:val="en-US" w:eastAsia="en-US" w:bidi="ar-SA"/>
              </w:rPr>
            </w:pPr>
            <w:r>
              <w:rPr>
                <w:rFonts w:hint="default" w:ascii="Arial" w:hAnsi="Arial" w:cs="Arial"/>
                <w:spacing w:val="3"/>
                <w:sz w:val="22"/>
                <w:szCs w:val="22"/>
              </w:rPr>
              <w:t>营运期</w:t>
            </w:r>
          </w:p>
        </w:tc>
        <w:tc>
          <w:tcPr>
            <w:tcW w:w="0" w:type="auto"/>
            <w:shd w:val="clear" w:color="auto" w:fill="auto"/>
            <w:vAlign w:val="center"/>
          </w:tcPr>
          <w:p w14:paraId="50E34E72">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kern w:val="2"/>
                <w:sz w:val="22"/>
                <w:szCs w:val="22"/>
                <w:lang w:val="en-US" w:eastAsia="en-US" w:bidi="ar-SA"/>
              </w:rPr>
            </w:pPr>
            <w:r>
              <w:rPr>
                <w:rFonts w:hint="default" w:ascii="Arial" w:hAnsi="Arial" w:cs="Arial"/>
                <w:sz w:val="22"/>
                <w:szCs w:val="22"/>
              </w:rPr>
              <w:t>减水及</w:t>
            </w:r>
            <w:r>
              <w:rPr>
                <w:rFonts w:hint="eastAsia" w:ascii="Arial" w:hAnsi="Arial" w:cs="Arial"/>
                <w:sz w:val="22"/>
                <w:szCs w:val="22"/>
                <w:lang w:eastAsia="zh-CN"/>
              </w:rPr>
              <w:t>人饮、灌区</w:t>
            </w:r>
            <w:r>
              <w:rPr>
                <w:rFonts w:hint="default" w:ascii="Arial" w:hAnsi="Arial" w:cs="Arial"/>
                <w:sz w:val="22"/>
                <w:szCs w:val="22"/>
              </w:rPr>
              <w:t>回水影响，水资源配置影响</w:t>
            </w:r>
          </w:p>
        </w:tc>
      </w:tr>
      <w:tr w14:paraId="5C2E8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027" w:type="dxa"/>
            <w:vMerge w:val="continue"/>
            <w:vAlign w:val="center"/>
          </w:tcPr>
          <w:p w14:paraId="4F3A5D88">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p>
        </w:tc>
        <w:tc>
          <w:tcPr>
            <w:tcW w:w="934" w:type="dxa"/>
            <w:vAlign w:val="center"/>
          </w:tcPr>
          <w:p w14:paraId="6611994D">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双龙河</w:t>
            </w:r>
          </w:p>
        </w:tc>
        <w:tc>
          <w:tcPr>
            <w:tcW w:w="3240" w:type="dxa"/>
            <w:vAlign w:val="center"/>
          </w:tcPr>
          <w:p w14:paraId="68CE3854">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sz w:val="22"/>
                <w:szCs w:val="22"/>
                <w:lang w:val="en-US" w:eastAsia="zh-CN"/>
              </w:rPr>
            </w:pPr>
            <w:r>
              <w:rPr>
                <w:rFonts w:hint="eastAsia" w:ascii="Arial" w:hAnsi="Arial" w:cs="Arial"/>
                <w:sz w:val="22"/>
                <w:szCs w:val="22"/>
                <w:lang w:eastAsia="zh-CN"/>
              </w:rPr>
              <w:t>坝后</w:t>
            </w:r>
            <w:r>
              <w:rPr>
                <w:rFonts w:hint="eastAsia" w:ascii="Arial" w:hAnsi="Arial" w:cs="Arial"/>
                <w:sz w:val="22"/>
                <w:szCs w:val="22"/>
                <w:lang w:val="en-US" w:eastAsia="zh-CN"/>
              </w:rPr>
              <w:t>灌溉及人饮退水影响河段长0.68km</w:t>
            </w:r>
          </w:p>
        </w:tc>
        <w:tc>
          <w:tcPr>
            <w:tcW w:w="3105" w:type="dxa"/>
            <w:vAlign w:val="center"/>
          </w:tcPr>
          <w:p w14:paraId="1B71E890">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双龙河，</w:t>
            </w:r>
            <w:r>
              <w:rPr>
                <w:rFonts w:hint="eastAsia" w:ascii="宋体" w:hAnsi="宋体" w:eastAsia="宋体" w:cs="宋体"/>
                <w:sz w:val="22"/>
                <w:szCs w:val="22"/>
              </w:rPr>
              <w:t>Ⅲ</w:t>
            </w:r>
            <w:r>
              <w:rPr>
                <w:rFonts w:hint="eastAsia" w:ascii="Arial" w:hAnsi="Arial" w:eastAsia="宋体" w:cs="Arial"/>
                <w:sz w:val="22"/>
                <w:szCs w:val="22"/>
                <w:lang w:eastAsia="zh-CN"/>
              </w:rPr>
              <w:t>类</w:t>
            </w:r>
            <w:r>
              <w:rPr>
                <w:rFonts w:hint="default" w:ascii="Arial" w:hAnsi="Arial" w:cs="Arial"/>
                <w:spacing w:val="1"/>
                <w:sz w:val="22"/>
                <w:szCs w:val="22"/>
              </w:rPr>
              <w:t>水域</w:t>
            </w:r>
            <w:r>
              <w:rPr>
                <w:rFonts w:hint="eastAsia" w:ascii="Arial" w:hAnsi="Arial" w:cs="Arial"/>
                <w:spacing w:val="1"/>
                <w:sz w:val="22"/>
                <w:szCs w:val="22"/>
                <w:lang w:eastAsia="zh-CN"/>
              </w:rPr>
              <w:t>，</w:t>
            </w:r>
            <w:r>
              <w:rPr>
                <w:rFonts w:hint="default" w:ascii="Arial" w:hAnsi="Arial" w:cs="Arial"/>
                <w:spacing w:val="1"/>
                <w:sz w:val="22"/>
                <w:szCs w:val="22"/>
              </w:rPr>
              <w:t>不涉及饮用水源保护区、取水口</w:t>
            </w:r>
          </w:p>
        </w:tc>
        <w:tc>
          <w:tcPr>
            <w:tcW w:w="0" w:type="auto"/>
            <w:shd w:val="clear" w:color="auto" w:fill="auto"/>
            <w:vAlign w:val="center"/>
          </w:tcPr>
          <w:p w14:paraId="23C561DA">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kern w:val="2"/>
                <w:sz w:val="22"/>
                <w:szCs w:val="22"/>
                <w:lang w:val="en-US" w:eastAsia="en-US" w:bidi="ar-SA"/>
              </w:rPr>
            </w:pPr>
            <w:r>
              <w:rPr>
                <w:rFonts w:hint="default" w:ascii="Arial" w:hAnsi="Arial" w:cs="Arial"/>
                <w:spacing w:val="3"/>
                <w:sz w:val="22"/>
                <w:szCs w:val="22"/>
              </w:rPr>
              <w:t>营运期</w:t>
            </w:r>
          </w:p>
        </w:tc>
        <w:tc>
          <w:tcPr>
            <w:tcW w:w="0" w:type="auto"/>
            <w:shd w:val="clear" w:color="auto" w:fill="auto"/>
            <w:vAlign w:val="center"/>
          </w:tcPr>
          <w:p w14:paraId="1523B88D">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kern w:val="2"/>
                <w:sz w:val="22"/>
                <w:szCs w:val="22"/>
                <w:lang w:val="en-US" w:eastAsia="en-US" w:bidi="ar-SA"/>
              </w:rPr>
            </w:pPr>
            <w:r>
              <w:rPr>
                <w:rFonts w:hint="eastAsia" w:ascii="Arial" w:hAnsi="Arial" w:cs="Arial"/>
                <w:sz w:val="22"/>
                <w:szCs w:val="22"/>
                <w:lang w:eastAsia="zh-CN"/>
              </w:rPr>
              <w:t>人饮、灌区</w:t>
            </w:r>
            <w:r>
              <w:rPr>
                <w:rFonts w:hint="default" w:ascii="Arial" w:hAnsi="Arial" w:cs="Arial"/>
                <w:sz w:val="22"/>
                <w:szCs w:val="22"/>
              </w:rPr>
              <w:t>回水影响</w:t>
            </w:r>
          </w:p>
        </w:tc>
      </w:tr>
    </w:tbl>
    <w:p w14:paraId="325B75DB">
      <w:pPr>
        <w:pStyle w:val="2013"/>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default" w:ascii="Arial" w:hAnsi="Arial" w:cs="Arial"/>
          <w:b w:val="0"/>
          <w:bCs w:val="0"/>
          <w:color w:val="auto"/>
          <w:sz w:val="26"/>
          <w:szCs w:val="26"/>
          <w:lang w:val="en-US" w:eastAsia="zh-CN"/>
        </w:rPr>
        <w:sectPr>
          <w:pgSz w:w="16838" w:h="11906" w:orient="landscape"/>
          <w:pgMar w:top="1800" w:right="1701" w:bottom="1800" w:left="1701" w:header="1134" w:footer="1134" w:gutter="0"/>
          <w:pgBorders>
            <w:top w:val="none" w:sz="0" w:space="0"/>
            <w:left w:val="none" w:sz="0" w:space="0"/>
            <w:bottom w:val="none" w:sz="0" w:space="0"/>
            <w:right w:val="none" w:sz="0" w:space="0"/>
          </w:pgBorders>
          <w:pgNumType w:fmt="decimal"/>
          <w:cols w:space="425" w:num="1"/>
          <w:docGrid w:linePitch="312" w:charSpace="0"/>
        </w:sectPr>
      </w:pPr>
    </w:p>
    <w:p w14:paraId="6C747163">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eastAsia" w:ascii="Arial" w:hAnsi="Arial" w:eastAsia="宋体" w:cs="Arial"/>
          <w:b/>
          <w:color w:val="auto"/>
          <w:kern w:val="0"/>
          <w:sz w:val="26"/>
          <w:szCs w:val="20"/>
          <w:highlight w:val="yellow"/>
          <w:lang w:val="en-US" w:eastAsia="zh-CN"/>
        </w:rPr>
      </w:pPr>
      <w:bookmarkStart w:id="67" w:name="_Toc34987801"/>
      <w:bookmarkStart w:id="68" w:name="_Toc36041000"/>
      <w:r>
        <w:rPr>
          <w:rFonts w:hint="eastAsia" w:ascii="Arial" w:hAnsi="Arial" w:eastAsia="宋体" w:cs="Arial"/>
          <w:b/>
          <w:color w:val="auto"/>
          <w:kern w:val="0"/>
          <w:sz w:val="26"/>
          <w:szCs w:val="20"/>
          <w:highlight w:val="none"/>
          <w:lang w:val="en-US" w:eastAsia="zh-CN"/>
        </w:rPr>
        <w:t>1.8.3 生态保护目标</w:t>
      </w:r>
      <w:bookmarkEnd w:id="67"/>
      <w:bookmarkEnd w:id="68"/>
    </w:p>
    <w:p w14:paraId="17347F9A">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cs="Arial"/>
          <w:b w:val="0"/>
          <w:color w:val="auto"/>
          <w:kern w:val="2"/>
          <w:sz w:val="26"/>
          <w:szCs w:val="26"/>
          <w:lang w:val="fr-FR" w:eastAsia="zh-CN" w:bidi="ar-SA"/>
        </w:rPr>
      </w:pPr>
      <w:bookmarkStart w:id="69" w:name="_Toc34987802"/>
      <w:bookmarkStart w:id="70" w:name="_Toc36041001"/>
      <w:r>
        <w:rPr>
          <w:rFonts w:hint="eastAsia" w:ascii="Arial" w:hAnsi="Arial" w:cs="Arial"/>
          <w:b w:val="0"/>
          <w:color w:val="auto"/>
          <w:kern w:val="2"/>
          <w:sz w:val="26"/>
          <w:szCs w:val="26"/>
          <w:lang w:val="fr-FR" w:eastAsia="zh-CN" w:bidi="ar-SA"/>
        </w:rPr>
        <w:t>经核实，本项目占地及影响范围内不涉及国家公园、自然保护区、世界自然遗产地、生态保护红线、饮用水水源保护区、自然公园、城镇开发边界及重要水生生物的自然产卵场、索饵场、越冬场和洄游通道等，涉及的生态保护目标主要为基本农田、公益林地。具体情况如下：</w:t>
      </w:r>
    </w:p>
    <w:p w14:paraId="168CDFAB">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default" w:ascii="Arial" w:hAnsi="Arial" w:eastAsia="宋体" w:cs="Arial"/>
          <w:b/>
          <w:color w:val="auto"/>
          <w:kern w:val="0"/>
          <w:sz w:val="26"/>
          <w:szCs w:val="20"/>
          <w:highlight w:val="none"/>
          <w:lang w:val="en-US" w:eastAsia="zh-CN" w:bidi="ar-SA"/>
        </w:rPr>
      </w:pPr>
      <w:r>
        <w:rPr>
          <w:rFonts w:hint="eastAsia" w:ascii="Arial" w:hAnsi="Arial" w:eastAsia="宋体" w:cs="Arial"/>
          <w:b/>
          <w:color w:val="auto"/>
          <w:kern w:val="0"/>
          <w:sz w:val="26"/>
          <w:szCs w:val="20"/>
          <w:highlight w:val="none"/>
          <w:lang w:val="fr-FR" w:eastAsia="zh-CN" w:bidi="ar-SA"/>
        </w:rPr>
        <w:t>（</w:t>
      </w:r>
      <w:r>
        <w:rPr>
          <w:rFonts w:hint="eastAsia" w:ascii="Arial" w:hAnsi="Arial" w:eastAsia="宋体" w:cs="Arial"/>
          <w:b/>
          <w:color w:val="auto"/>
          <w:kern w:val="0"/>
          <w:sz w:val="26"/>
          <w:szCs w:val="20"/>
          <w:highlight w:val="none"/>
          <w:lang w:val="en-US" w:eastAsia="zh-CN" w:bidi="ar-SA"/>
        </w:rPr>
        <w:t>1）公益林地</w:t>
      </w:r>
    </w:p>
    <w:p w14:paraId="187D661D">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highlight w:val="none"/>
          <w:lang w:val="en-US" w:eastAsia="zh-CN" w:bidi="ar-SA"/>
        </w:rPr>
      </w:pPr>
      <w:r>
        <w:rPr>
          <w:rFonts w:hint="default" w:ascii="Arial" w:hAnsi="Arial" w:cs="Arial"/>
          <w:b w:val="0"/>
          <w:color w:val="auto"/>
          <w:kern w:val="2"/>
          <w:sz w:val="26"/>
          <w:szCs w:val="26"/>
          <w:lang w:val="fr-FR" w:eastAsia="zh-CN" w:bidi="ar-SA"/>
        </w:rPr>
        <w:t>根据重庆鑫和林业有限公司编制的《丰都县海螺沟水库工程拟使用林地可行性研究</w:t>
      </w:r>
      <w:r>
        <w:rPr>
          <w:rFonts w:hint="default" w:ascii="Arial" w:hAnsi="Arial" w:cs="Arial"/>
          <w:b w:val="0"/>
          <w:color w:val="auto"/>
          <w:kern w:val="2"/>
          <w:sz w:val="26"/>
          <w:szCs w:val="26"/>
          <w:highlight w:val="none"/>
          <w:lang w:val="fr-FR" w:eastAsia="zh-CN" w:bidi="ar-SA"/>
        </w:rPr>
        <w:t>报告》及批复</w:t>
      </w:r>
      <w:r>
        <w:rPr>
          <w:rFonts w:hint="eastAsia" w:ascii="Arial" w:hAnsi="Arial" w:cs="Arial"/>
          <w:b w:val="0"/>
          <w:color w:val="auto"/>
          <w:kern w:val="2"/>
          <w:sz w:val="26"/>
          <w:szCs w:val="26"/>
          <w:highlight w:val="none"/>
          <w:lang w:val="fr-FR" w:eastAsia="zh-CN" w:bidi="ar-SA"/>
        </w:rPr>
        <w:t>“</w:t>
      </w:r>
      <w:r>
        <w:rPr>
          <w:rFonts w:hint="default" w:ascii="Arial" w:hAnsi="Arial" w:cs="Arial"/>
          <w:b w:val="0"/>
          <w:color w:val="auto"/>
          <w:kern w:val="2"/>
          <w:sz w:val="26"/>
          <w:szCs w:val="26"/>
          <w:highlight w:val="none"/>
          <w:lang w:val="fr-FR" w:eastAsia="zh-CN" w:bidi="ar-SA"/>
        </w:rPr>
        <w:t>渝林许可地</w:t>
      </w:r>
      <w:r>
        <w:rPr>
          <w:rFonts w:hint="default" w:ascii="Arial" w:hAnsi="Arial" w:eastAsia="宋体" w:cs="Arial"/>
          <w:b w:val="0"/>
          <w:color w:val="auto"/>
          <w:kern w:val="2"/>
          <w:sz w:val="26"/>
          <w:szCs w:val="26"/>
          <w:highlight w:val="none"/>
          <w:lang w:val="fr-FR" w:eastAsia="zh-CN" w:bidi="ar-SA"/>
        </w:rPr>
        <w:t>〔</w:t>
      </w:r>
      <w:r>
        <w:rPr>
          <w:rFonts w:hint="default" w:ascii="Arial" w:hAnsi="Arial" w:eastAsia="宋体" w:cs="Arial"/>
          <w:b w:val="0"/>
          <w:color w:val="auto"/>
          <w:kern w:val="2"/>
          <w:sz w:val="26"/>
          <w:szCs w:val="26"/>
          <w:highlight w:val="none"/>
          <w:lang w:val="en-US" w:eastAsia="zh-CN" w:bidi="ar-SA"/>
        </w:rPr>
        <w:t>2023</w:t>
      </w:r>
      <w:r>
        <w:rPr>
          <w:rFonts w:hint="default" w:ascii="Arial" w:hAnsi="Arial" w:eastAsia="宋体" w:cs="Arial"/>
          <w:b w:val="0"/>
          <w:color w:val="auto"/>
          <w:kern w:val="2"/>
          <w:sz w:val="26"/>
          <w:szCs w:val="26"/>
          <w:highlight w:val="none"/>
          <w:lang w:val="fr-FR" w:eastAsia="zh-CN" w:bidi="ar-SA"/>
        </w:rPr>
        <w:t>〕</w:t>
      </w:r>
      <w:r>
        <w:rPr>
          <w:rFonts w:hint="default" w:ascii="Arial" w:hAnsi="Arial" w:eastAsia="宋体" w:cs="Arial"/>
          <w:b w:val="0"/>
          <w:color w:val="auto"/>
          <w:kern w:val="2"/>
          <w:sz w:val="26"/>
          <w:szCs w:val="26"/>
          <w:highlight w:val="none"/>
          <w:lang w:val="en-US" w:eastAsia="zh-CN" w:bidi="ar-SA"/>
        </w:rPr>
        <w:t>689号</w:t>
      </w:r>
      <w:r>
        <w:rPr>
          <w:rFonts w:hint="eastAsia" w:ascii="Arial" w:hAnsi="Arial" w:eastAsia="宋体" w:cs="Arial"/>
          <w:b w:val="0"/>
          <w:color w:val="auto"/>
          <w:kern w:val="2"/>
          <w:sz w:val="26"/>
          <w:szCs w:val="26"/>
          <w:highlight w:val="none"/>
          <w:lang w:val="en-US" w:eastAsia="zh-CN" w:bidi="ar-SA"/>
        </w:rPr>
        <w:t>”，本项目永久占地范围内分布有公益林地。</w:t>
      </w:r>
    </w:p>
    <w:p w14:paraId="01BBD940">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highlight w:val="none"/>
          <w:lang w:val="en-US" w:eastAsia="zh-CN" w:bidi="ar-SA"/>
        </w:rPr>
      </w:pPr>
      <w:r>
        <w:rPr>
          <w:rFonts w:hint="eastAsia" w:ascii="Arial" w:hAnsi="Arial" w:cs="Arial"/>
          <w:b w:val="0"/>
          <w:color w:val="auto"/>
          <w:kern w:val="2"/>
          <w:sz w:val="26"/>
          <w:szCs w:val="26"/>
          <w:highlight w:val="none"/>
          <w:lang w:val="fr-FR" w:eastAsia="zh-CN" w:bidi="ar-SA"/>
        </w:rPr>
        <w:t>根据丰都腾飞林业咨询有限公司编制的《</w:t>
      </w:r>
      <w:r>
        <w:rPr>
          <w:rFonts w:hint="default" w:ascii="Arial" w:hAnsi="Arial" w:cs="Arial"/>
          <w:b w:val="0"/>
          <w:color w:val="auto"/>
          <w:kern w:val="2"/>
          <w:sz w:val="26"/>
          <w:szCs w:val="26"/>
          <w:highlight w:val="none"/>
          <w:lang w:val="fr-FR" w:eastAsia="zh-CN" w:bidi="ar-SA"/>
        </w:rPr>
        <w:t>丰都县海螺沟水库</w:t>
      </w:r>
      <w:r>
        <w:rPr>
          <w:rFonts w:hint="eastAsia" w:ascii="Arial" w:hAnsi="Arial" w:cs="Arial"/>
          <w:b w:val="0"/>
          <w:color w:val="auto"/>
          <w:kern w:val="2"/>
          <w:sz w:val="26"/>
          <w:szCs w:val="26"/>
          <w:highlight w:val="none"/>
          <w:lang w:val="fr-FR" w:eastAsia="zh-CN" w:bidi="ar-SA"/>
        </w:rPr>
        <w:t>辅助施工设施项目拟临时使用林地现状调查表》及批复“</w:t>
      </w:r>
      <w:r>
        <w:rPr>
          <w:rFonts w:hint="default" w:ascii="Arial" w:hAnsi="Arial" w:cs="Arial"/>
          <w:b w:val="0"/>
          <w:color w:val="auto"/>
          <w:kern w:val="2"/>
          <w:sz w:val="26"/>
          <w:szCs w:val="26"/>
          <w:highlight w:val="none"/>
          <w:lang w:val="fr-FR" w:eastAsia="zh-CN" w:bidi="ar-SA"/>
        </w:rPr>
        <w:t>渝林许可地</w:t>
      </w:r>
      <w:r>
        <w:rPr>
          <w:rFonts w:hint="eastAsia" w:ascii="Arial" w:hAnsi="Arial" w:cs="Arial"/>
          <w:b w:val="0"/>
          <w:color w:val="auto"/>
          <w:kern w:val="2"/>
          <w:sz w:val="26"/>
          <w:szCs w:val="26"/>
          <w:highlight w:val="none"/>
          <w:lang w:val="fr-FR" w:eastAsia="zh-CN" w:bidi="ar-SA"/>
        </w:rPr>
        <w:t>临</w:t>
      </w:r>
      <w:r>
        <w:rPr>
          <w:rFonts w:hint="default" w:ascii="Arial" w:hAnsi="Arial" w:eastAsia="宋体" w:cs="Arial"/>
          <w:b w:val="0"/>
          <w:color w:val="auto"/>
          <w:kern w:val="2"/>
          <w:sz w:val="26"/>
          <w:szCs w:val="26"/>
          <w:highlight w:val="none"/>
          <w:lang w:val="fr-FR" w:eastAsia="zh-CN" w:bidi="ar-SA"/>
        </w:rPr>
        <w:t>〔</w:t>
      </w:r>
      <w:r>
        <w:rPr>
          <w:rFonts w:hint="default" w:ascii="Arial" w:hAnsi="Arial" w:eastAsia="宋体" w:cs="Arial"/>
          <w:b w:val="0"/>
          <w:color w:val="auto"/>
          <w:kern w:val="2"/>
          <w:sz w:val="26"/>
          <w:szCs w:val="26"/>
          <w:highlight w:val="none"/>
          <w:lang w:val="en-US" w:eastAsia="zh-CN" w:bidi="ar-SA"/>
        </w:rPr>
        <w:t>202</w:t>
      </w:r>
      <w:r>
        <w:rPr>
          <w:rFonts w:hint="eastAsia" w:ascii="Arial" w:hAnsi="Arial" w:cs="Arial"/>
          <w:b w:val="0"/>
          <w:color w:val="auto"/>
          <w:kern w:val="2"/>
          <w:sz w:val="26"/>
          <w:szCs w:val="26"/>
          <w:highlight w:val="none"/>
          <w:lang w:val="en-US" w:eastAsia="zh-CN" w:bidi="ar-SA"/>
        </w:rPr>
        <w:t>4</w:t>
      </w:r>
      <w:r>
        <w:rPr>
          <w:rFonts w:hint="default" w:ascii="Arial" w:hAnsi="Arial" w:eastAsia="宋体" w:cs="Arial"/>
          <w:b w:val="0"/>
          <w:color w:val="auto"/>
          <w:kern w:val="2"/>
          <w:sz w:val="26"/>
          <w:szCs w:val="26"/>
          <w:highlight w:val="none"/>
          <w:lang w:val="fr-FR" w:eastAsia="zh-CN" w:bidi="ar-SA"/>
        </w:rPr>
        <w:t>〕</w:t>
      </w:r>
      <w:r>
        <w:rPr>
          <w:rFonts w:hint="eastAsia" w:ascii="Arial" w:hAnsi="Arial" w:cs="Arial"/>
          <w:b w:val="0"/>
          <w:color w:val="auto"/>
          <w:kern w:val="2"/>
          <w:sz w:val="26"/>
          <w:szCs w:val="26"/>
          <w:highlight w:val="none"/>
          <w:lang w:val="en-US" w:eastAsia="zh-CN" w:bidi="ar-SA"/>
        </w:rPr>
        <w:t>036</w:t>
      </w:r>
      <w:r>
        <w:rPr>
          <w:rFonts w:hint="default" w:ascii="Arial" w:hAnsi="Arial" w:eastAsia="宋体" w:cs="Arial"/>
          <w:b w:val="0"/>
          <w:color w:val="auto"/>
          <w:kern w:val="2"/>
          <w:sz w:val="26"/>
          <w:szCs w:val="26"/>
          <w:highlight w:val="none"/>
          <w:lang w:val="en-US" w:eastAsia="zh-CN" w:bidi="ar-SA"/>
        </w:rPr>
        <w:t>号</w:t>
      </w:r>
      <w:r>
        <w:rPr>
          <w:rFonts w:hint="eastAsia" w:ascii="Arial" w:hAnsi="Arial" w:eastAsia="宋体" w:cs="Arial"/>
          <w:b w:val="0"/>
          <w:color w:val="auto"/>
          <w:kern w:val="2"/>
          <w:sz w:val="26"/>
          <w:szCs w:val="26"/>
          <w:highlight w:val="none"/>
          <w:lang w:val="en-US" w:eastAsia="zh-CN" w:bidi="ar-SA"/>
        </w:rPr>
        <w:t>”</w:t>
      </w:r>
      <w:r>
        <w:rPr>
          <w:rFonts w:hint="eastAsia" w:ascii="Arial" w:hAnsi="Arial" w:cs="Arial"/>
          <w:b w:val="0"/>
          <w:color w:val="auto"/>
          <w:kern w:val="2"/>
          <w:sz w:val="26"/>
          <w:szCs w:val="26"/>
          <w:highlight w:val="none"/>
          <w:lang w:val="en-US" w:eastAsia="zh-CN" w:bidi="ar-SA"/>
        </w:rPr>
        <w:t>，本项目临时占地范围内分布有</w:t>
      </w:r>
      <w:r>
        <w:rPr>
          <w:rFonts w:hint="eastAsia" w:ascii="Arial" w:hAnsi="Arial" w:eastAsia="宋体" w:cs="Arial"/>
          <w:b w:val="0"/>
          <w:color w:val="auto"/>
          <w:kern w:val="2"/>
          <w:sz w:val="26"/>
          <w:szCs w:val="26"/>
          <w:highlight w:val="none"/>
          <w:lang w:val="en-US" w:eastAsia="zh-CN" w:bidi="ar-SA"/>
        </w:rPr>
        <w:t>公益林地。</w:t>
      </w:r>
    </w:p>
    <w:p w14:paraId="0444642A">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default" w:ascii="Arial" w:hAnsi="Arial" w:eastAsia="宋体" w:cs="Arial"/>
          <w:b/>
          <w:color w:val="auto"/>
          <w:kern w:val="0"/>
          <w:sz w:val="26"/>
          <w:szCs w:val="20"/>
          <w:highlight w:val="none"/>
          <w:lang w:val="en-US" w:eastAsia="zh-CN" w:bidi="ar-SA"/>
        </w:rPr>
      </w:pPr>
      <w:r>
        <w:rPr>
          <w:rFonts w:hint="eastAsia" w:ascii="Arial" w:hAnsi="Arial" w:eastAsia="宋体" w:cs="Arial"/>
          <w:b/>
          <w:color w:val="auto"/>
          <w:kern w:val="0"/>
          <w:sz w:val="26"/>
          <w:szCs w:val="20"/>
          <w:highlight w:val="none"/>
          <w:lang w:val="fr-FR" w:eastAsia="zh-CN" w:bidi="ar-SA"/>
        </w:rPr>
        <w:t>（</w:t>
      </w:r>
      <w:r>
        <w:rPr>
          <w:rFonts w:hint="eastAsia" w:ascii="Arial" w:hAnsi="Arial" w:cs="Arial"/>
          <w:b/>
          <w:color w:val="auto"/>
          <w:kern w:val="0"/>
          <w:sz w:val="26"/>
          <w:szCs w:val="20"/>
          <w:highlight w:val="none"/>
          <w:lang w:val="en-US" w:eastAsia="zh-CN" w:bidi="ar-SA"/>
        </w:rPr>
        <w:t>2</w:t>
      </w:r>
      <w:r>
        <w:rPr>
          <w:rFonts w:hint="eastAsia" w:ascii="Arial" w:hAnsi="Arial" w:eastAsia="宋体" w:cs="Arial"/>
          <w:b/>
          <w:color w:val="auto"/>
          <w:kern w:val="0"/>
          <w:sz w:val="26"/>
          <w:szCs w:val="20"/>
          <w:highlight w:val="none"/>
          <w:lang w:val="en-US" w:eastAsia="zh-CN" w:bidi="ar-SA"/>
        </w:rPr>
        <w:t>）</w:t>
      </w:r>
      <w:r>
        <w:rPr>
          <w:rFonts w:hint="eastAsia" w:ascii="Arial" w:hAnsi="Arial" w:cs="Arial"/>
          <w:b/>
          <w:color w:val="auto"/>
          <w:kern w:val="0"/>
          <w:sz w:val="26"/>
          <w:szCs w:val="20"/>
          <w:highlight w:val="none"/>
          <w:lang w:val="en-US" w:eastAsia="zh-CN" w:bidi="ar-SA"/>
        </w:rPr>
        <w:t>基本农田</w:t>
      </w:r>
    </w:p>
    <w:p w14:paraId="3BFDF111">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fr-FR" w:eastAsia="zh-CN" w:bidi="ar-SA"/>
        </w:rPr>
        <w:t>根据叠图分析，本项目临时和永久占地范围内分布</w:t>
      </w:r>
      <w:r>
        <w:rPr>
          <w:rFonts w:hint="eastAsia" w:ascii="Arial" w:hAnsi="Arial" w:cs="Arial"/>
          <w:b w:val="0"/>
          <w:color w:val="auto"/>
          <w:kern w:val="2"/>
          <w:sz w:val="26"/>
          <w:szCs w:val="26"/>
          <w:highlight w:val="none"/>
          <w:lang w:val="fr-FR" w:eastAsia="zh-CN" w:bidi="ar-SA"/>
        </w:rPr>
        <w:t>有基本农田</w:t>
      </w:r>
      <w:r>
        <w:rPr>
          <w:rFonts w:hint="eastAsia" w:ascii="Arial" w:hAnsi="Arial" w:eastAsia="宋体" w:cs="Arial"/>
          <w:b w:val="0"/>
          <w:color w:val="auto"/>
          <w:kern w:val="2"/>
          <w:sz w:val="26"/>
          <w:szCs w:val="26"/>
          <w:highlight w:val="none"/>
          <w:lang w:val="en-US" w:eastAsia="zh-CN" w:bidi="ar-SA"/>
        </w:rPr>
        <w:t>。</w:t>
      </w:r>
    </w:p>
    <w:p w14:paraId="7856137F">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cs="Arial"/>
          <w:b w:val="0"/>
          <w:color w:val="auto"/>
          <w:kern w:val="2"/>
          <w:sz w:val="26"/>
          <w:szCs w:val="26"/>
          <w:highlight w:val="none"/>
          <w:lang w:val="en-US" w:eastAsia="zh-CN" w:bidi="ar-SA"/>
        </w:rPr>
      </w:pPr>
      <w:r>
        <w:rPr>
          <w:rFonts w:hint="eastAsia" w:ascii="Arial" w:hAnsi="Arial" w:cs="Arial"/>
          <w:b w:val="0"/>
          <w:color w:val="auto"/>
          <w:kern w:val="2"/>
          <w:sz w:val="26"/>
          <w:szCs w:val="26"/>
          <w:lang w:val="fr-FR" w:eastAsia="zh-CN" w:bidi="ar-SA"/>
        </w:rPr>
        <w:t>项目</w:t>
      </w:r>
      <w:r>
        <w:rPr>
          <w:rFonts w:hint="eastAsia" w:ascii="Arial" w:hAnsi="Arial" w:cs="Arial"/>
          <w:b w:val="0"/>
          <w:color w:val="auto"/>
          <w:kern w:val="2"/>
          <w:sz w:val="26"/>
          <w:szCs w:val="26"/>
          <w:highlight w:val="none"/>
          <w:lang w:val="fr-FR" w:eastAsia="zh-CN" w:bidi="ar-SA"/>
        </w:rPr>
        <w:t>生态环境保护目标详见表</w:t>
      </w:r>
      <w:r>
        <w:rPr>
          <w:rFonts w:hint="eastAsia" w:ascii="Arial" w:hAnsi="Arial" w:cs="Arial"/>
          <w:b w:val="0"/>
          <w:color w:val="auto"/>
          <w:kern w:val="2"/>
          <w:sz w:val="26"/>
          <w:szCs w:val="26"/>
          <w:highlight w:val="none"/>
          <w:lang w:val="en-US" w:eastAsia="zh-CN" w:bidi="ar-SA"/>
        </w:rPr>
        <w:t>1.8-2所示。</w:t>
      </w:r>
    </w:p>
    <w:p w14:paraId="02C10734">
      <w:pPr>
        <w:pStyle w:val="19"/>
        <w:keepNext w:val="0"/>
        <w:keepLines w:val="0"/>
        <w:pageBreakBefore w:val="0"/>
        <w:widowControl w:val="0"/>
        <w:kinsoku/>
        <w:wordWrap/>
        <w:overflowPunct/>
        <w:topLinePunct w:val="0"/>
        <w:autoSpaceDE/>
        <w:autoSpaceDN/>
        <w:bidi w:val="0"/>
        <w:adjustRightInd w:val="0"/>
        <w:snapToGrid w:val="0"/>
        <w:spacing w:line="440" w:lineRule="exact"/>
        <w:ind w:firstLine="522"/>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8</w:t>
      </w:r>
      <w:r>
        <w:rPr>
          <w:rFonts w:hint="eastAsia" w:ascii="Arial" w:hAnsi="Arial" w:eastAsia="宋体" w:cs="Arial"/>
          <w:b/>
          <w:color w:val="auto"/>
          <w:kern w:val="0"/>
          <w:sz w:val="26"/>
          <w:szCs w:val="20"/>
          <w:highlight w:val="none"/>
          <w:lang w:val="en-US" w:eastAsia="zh-CN"/>
        </w:rPr>
        <w:t>.4 地下水环境保护目标</w:t>
      </w:r>
    </w:p>
    <w:p w14:paraId="6A1631ED">
      <w:pPr>
        <w:pStyle w:val="1873"/>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Arial" w:hAnsi="Arial" w:cs="Arial"/>
          <w:sz w:val="26"/>
          <w:szCs w:val="26"/>
          <w:lang w:val="en-US" w:eastAsia="zh-CN"/>
        </w:rPr>
      </w:pPr>
      <w:r>
        <w:rPr>
          <w:rFonts w:hint="eastAsia" w:ascii="Arial" w:hAnsi="Arial" w:cs="Arial"/>
          <w:b w:val="0"/>
          <w:color w:val="auto"/>
          <w:kern w:val="2"/>
          <w:sz w:val="26"/>
          <w:szCs w:val="26"/>
          <w:lang w:val="fr-FR" w:eastAsia="zh-CN" w:bidi="ar-SA"/>
        </w:rPr>
        <w:t>根据现场走访调查，本项目地下水评价范围内无</w:t>
      </w:r>
      <w:r>
        <w:rPr>
          <w:rFonts w:hint="eastAsia" w:ascii="Arial" w:hAnsi="Arial" w:cs="Arial"/>
          <w:sz w:val="26"/>
          <w:szCs w:val="26"/>
          <w:lang w:val="en-US" w:eastAsia="zh-CN"/>
        </w:rPr>
        <w:t>集中式饮用水源地、分散式饮用水源地和热水、矿泉水、温泉等特殊地下水资源保护区、分布区，居民饮用水采取农村安全饮水工程供给的自来水，或收集的山涧溪水，无地下水开发利用。</w:t>
      </w:r>
    </w:p>
    <w:p w14:paraId="76F170E8">
      <w:pPr>
        <w:pStyle w:val="1873"/>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Arial" w:hAnsi="Arial" w:cs="Arial"/>
          <w:sz w:val="26"/>
          <w:szCs w:val="26"/>
          <w:lang w:val="fr-FR" w:eastAsia="zh-CN"/>
        </w:rPr>
      </w:pPr>
    </w:p>
    <w:p w14:paraId="4940DA6E">
      <w:pPr>
        <w:pStyle w:val="1873"/>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Arial" w:hAnsi="Arial" w:cs="Arial"/>
          <w:b w:val="0"/>
          <w:color w:val="auto"/>
          <w:kern w:val="2"/>
          <w:sz w:val="26"/>
          <w:szCs w:val="26"/>
          <w:highlight w:val="none"/>
          <w:lang w:val="en-US" w:eastAsia="zh-CN" w:bidi="ar-SA"/>
        </w:rPr>
        <w:sectPr>
          <w:headerReference r:id="rId19" w:type="default"/>
          <w:pgSz w:w="11906" w:h="16838"/>
          <w:pgMar w:top="1440" w:right="1701" w:bottom="1440" w:left="170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8AFFEAC">
      <w:pPr>
        <w:pStyle w:val="2013"/>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color w:val="auto"/>
          <w:sz w:val="26"/>
          <w:szCs w:val="26"/>
          <w:highlight w:val="none"/>
          <w:lang w:val="en-US" w:eastAsia="zh-CN"/>
        </w:rPr>
      </w:pPr>
      <w:r>
        <w:rPr>
          <w:rFonts w:hint="eastAsia" w:ascii="Arial" w:hAnsi="Arial" w:cs="Arial"/>
          <w:b/>
          <w:bCs/>
          <w:color w:val="auto"/>
          <w:sz w:val="26"/>
          <w:szCs w:val="26"/>
          <w:highlight w:val="none"/>
          <w:lang w:val="en-US" w:eastAsia="zh-CN"/>
        </w:rPr>
        <w:t>表1.8-2  拟建项目生态环境保护目标一览表</w:t>
      </w:r>
    </w:p>
    <w:tbl>
      <w:tblPr>
        <w:tblStyle w:val="77"/>
        <w:tblW w:w="140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58"/>
        <w:gridCol w:w="2185"/>
        <w:gridCol w:w="3323"/>
        <w:gridCol w:w="3174"/>
        <w:gridCol w:w="1890"/>
        <w:gridCol w:w="2295"/>
      </w:tblGrid>
      <w:tr w14:paraId="2D3ED9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58" w:type="dxa"/>
            <w:noWrap w:val="0"/>
            <w:vAlign w:val="center"/>
          </w:tcPr>
          <w:p w14:paraId="4316091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r>
              <w:rPr>
                <w:rFonts w:ascii="Arial" w:hAnsi="宋体" w:cs="Arial"/>
                <w:color w:val="auto"/>
                <w:sz w:val="22"/>
                <w:szCs w:val="22"/>
              </w:rPr>
              <w:t>类别</w:t>
            </w:r>
          </w:p>
        </w:tc>
        <w:tc>
          <w:tcPr>
            <w:tcW w:w="2185" w:type="dxa"/>
            <w:noWrap w:val="0"/>
            <w:vAlign w:val="center"/>
          </w:tcPr>
          <w:p w14:paraId="2823D60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r>
              <w:rPr>
                <w:rFonts w:ascii="Arial" w:hAnsi="宋体" w:cs="Arial"/>
                <w:color w:val="auto"/>
                <w:sz w:val="22"/>
                <w:szCs w:val="22"/>
              </w:rPr>
              <w:t>名称</w:t>
            </w:r>
          </w:p>
        </w:tc>
        <w:tc>
          <w:tcPr>
            <w:tcW w:w="3323" w:type="dxa"/>
            <w:noWrap w:val="0"/>
            <w:vAlign w:val="center"/>
          </w:tcPr>
          <w:p w14:paraId="15E703D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r>
              <w:rPr>
                <w:rFonts w:ascii="Arial" w:hAnsi="宋体" w:cs="Arial"/>
                <w:color w:val="auto"/>
                <w:sz w:val="22"/>
                <w:szCs w:val="22"/>
              </w:rPr>
              <w:t>与工程的区位关系</w:t>
            </w:r>
          </w:p>
        </w:tc>
        <w:tc>
          <w:tcPr>
            <w:tcW w:w="3174" w:type="dxa"/>
            <w:noWrap w:val="0"/>
            <w:vAlign w:val="center"/>
          </w:tcPr>
          <w:p w14:paraId="27BEBBD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r>
              <w:rPr>
                <w:rFonts w:ascii="Arial" w:hAnsi="宋体" w:cs="Arial"/>
                <w:color w:val="auto"/>
                <w:sz w:val="22"/>
                <w:szCs w:val="22"/>
              </w:rPr>
              <w:t>环境特征</w:t>
            </w:r>
          </w:p>
        </w:tc>
        <w:tc>
          <w:tcPr>
            <w:tcW w:w="1890" w:type="dxa"/>
            <w:noWrap w:val="0"/>
            <w:vAlign w:val="center"/>
          </w:tcPr>
          <w:p w14:paraId="5B23918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r>
              <w:rPr>
                <w:rFonts w:ascii="Arial" w:hAnsi="宋体" w:cs="Arial"/>
                <w:color w:val="auto"/>
                <w:sz w:val="22"/>
                <w:szCs w:val="22"/>
              </w:rPr>
              <w:t>影响时段</w:t>
            </w:r>
          </w:p>
        </w:tc>
        <w:tc>
          <w:tcPr>
            <w:tcW w:w="2295" w:type="dxa"/>
            <w:noWrap w:val="0"/>
            <w:vAlign w:val="center"/>
          </w:tcPr>
          <w:p w14:paraId="116ADD8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r>
              <w:rPr>
                <w:rFonts w:ascii="Arial" w:hAnsi="宋体" w:cs="Arial"/>
                <w:color w:val="auto"/>
                <w:sz w:val="22"/>
                <w:szCs w:val="22"/>
              </w:rPr>
              <w:t>可能的影响因素</w:t>
            </w:r>
          </w:p>
        </w:tc>
      </w:tr>
      <w:tr w14:paraId="0A7A91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2" w:hRule="atLeast"/>
          <w:jc w:val="center"/>
        </w:trPr>
        <w:tc>
          <w:tcPr>
            <w:tcW w:w="1158" w:type="dxa"/>
            <w:vMerge w:val="restart"/>
            <w:noWrap w:val="0"/>
            <w:vAlign w:val="center"/>
          </w:tcPr>
          <w:p w14:paraId="75809D9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color w:val="auto"/>
                <w:sz w:val="22"/>
                <w:szCs w:val="22"/>
              </w:rPr>
            </w:pPr>
            <w:r>
              <w:rPr>
                <w:rFonts w:hint="eastAsia" w:ascii="Arial" w:hAnsi="Arial" w:cs="Arial"/>
                <w:color w:val="auto"/>
                <w:sz w:val="22"/>
                <w:szCs w:val="22"/>
              </w:rPr>
              <w:t>生态环境</w:t>
            </w:r>
          </w:p>
        </w:tc>
        <w:tc>
          <w:tcPr>
            <w:tcW w:w="2185" w:type="dxa"/>
            <w:noWrap w:val="0"/>
            <w:vAlign w:val="center"/>
          </w:tcPr>
          <w:p w14:paraId="7ADA5A2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公益林地</w:t>
            </w:r>
          </w:p>
        </w:tc>
        <w:tc>
          <w:tcPr>
            <w:tcW w:w="3323" w:type="dxa"/>
            <w:noWrap w:val="0"/>
            <w:vAlign w:val="center"/>
          </w:tcPr>
          <w:p w14:paraId="7F15F21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 w:val="0"/>
                <w:color w:val="auto"/>
                <w:kern w:val="2"/>
                <w:sz w:val="22"/>
                <w:szCs w:val="22"/>
                <w:highlight w:val="none"/>
                <w:lang w:val="en-US" w:eastAsia="zh-CN" w:bidi="ar-SA"/>
              </w:rPr>
            </w:pPr>
            <w:r>
              <w:rPr>
                <w:rFonts w:hint="eastAsia" w:ascii="Arial" w:hAnsi="Arial" w:cs="Arial"/>
                <w:b w:val="0"/>
                <w:color w:val="auto"/>
                <w:kern w:val="2"/>
                <w:sz w:val="22"/>
                <w:szCs w:val="22"/>
                <w:highlight w:val="none"/>
                <w:lang w:val="en-US" w:eastAsia="zh-CN" w:bidi="ar-SA"/>
              </w:rPr>
              <w:t>为三级地方级公益林。</w:t>
            </w:r>
          </w:p>
        </w:tc>
        <w:tc>
          <w:tcPr>
            <w:tcW w:w="3174" w:type="dxa"/>
            <w:noWrap w:val="0"/>
            <w:vAlign w:val="center"/>
          </w:tcPr>
          <w:p w14:paraId="0516DEA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主要为马尾松、桉树、柏木、枫杨等。</w:t>
            </w:r>
          </w:p>
        </w:tc>
        <w:tc>
          <w:tcPr>
            <w:tcW w:w="1890" w:type="dxa"/>
            <w:noWrap w:val="0"/>
            <w:vAlign w:val="center"/>
          </w:tcPr>
          <w:p w14:paraId="6B16055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color w:val="auto"/>
                <w:sz w:val="22"/>
                <w:szCs w:val="22"/>
              </w:rPr>
            </w:pPr>
            <w:r>
              <w:rPr>
                <w:rFonts w:hint="eastAsia" w:ascii="Arial" w:hAnsi="Arial" w:cs="Arial"/>
                <w:color w:val="auto"/>
                <w:sz w:val="22"/>
                <w:szCs w:val="22"/>
              </w:rPr>
              <w:t>施工期</w:t>
            </w:r>
          </w:p>
        </w:tc>
        <w:tc>
          <w:tcPr>
            <w:tcW w:w="2295" w:type="dxa"/>
            <w:noWrap w:val="0"/>
            <w:vAlign w:val="center"/>
          </w:tcPr>
          <w:p w14:paraId="6688E84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淹没、剥离破坏</w:t>
            </w:r>
          </w:p>
        </w:tc>
      </w:tr>
      <w:tr w14:paraId="010318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58" w:type="dxa"/>
            <w:vMerge w:val="continue"/>
            <w:noWrap w:val="0"/>
            <w:vAlign w:val="center"/>
          </w:tcPr>
          <w:p w14:paraId="2DB6CC7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p>
        </w:tc>
        <w:tc>
          <w:tcPr>
            <w:tcW w:w="2185" w:type="dxa"/>
            <w:noWrap w:val="0"/>
            <w:vAlign w:val="center"/>
          </w:tcPr>
          <w:p w14:paraId="6DDF716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基本农田</w:t>
            </w:r>
          </w:p>
        </w:tc>
        <w:tc>
          <w:tcPr>
            <w:tcW w:w="3323" w:type="dxa"/>
            <w:noWrap w:val="0"/>
            <w:vAlign w:val="center"/>
          </w:tcPr>
          <w:p w14:paraId="0884545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highlight w:val="none"/>
              </w:rPr>
            </w:pPr>
            <w:r>
              <w:rPr>
                <w:rFonts w:hint="eastAsia" w:ascii="Arial" w:hAnsi="Arial" w:cs="Arial"/>
                <w:color w:val="auto"/>
                <w:sz w:val="22"/>
                <w:szCs w:val="22"/>
                <w:highlight w:val="none"/>
                <w:lang w:eastAsia="zh-CN"/>
              </w:rPr>
              <w:t>永久、临时占地范围内分布</w:t>
            </w:r>
          </w:p>
        </w:tc>
        <w:tc>
          <w:tcPr>
            <w:tcW w:w="3174" w:type="dxa"/>
            <w:noWrap w:val="0"/>
            <w:vAlign w:val="center"/>
          </w:tcPr>
          <w:p w14:paraId="0D1A3BC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主要为水田、坡耕地</w:t>
            </w:r>
          </w:p>
        </w:tc>
        <w:tc>
          <w:tcPr>
            <w:tcW w:w="1890" w:type="dxa"/>
            <w:noWrap w:val="0"/>
            <w:vAlign w:val="center"/>
          </w:tcPr>
          <w:p w14:paraId="3988764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r>
              <w:rPr>
                <w:rFonts w:hint="eastAsia" w:ascii="Arial" w:hAnsi="Arial" w:cs="Arial"/>
                <w:color w:val="auto"/>
                <w:sz w:val="22"/>
                <w:szCs w:val="22"/>
              </w:rPr>
              <w:t>施工期</w:t>
            </w:r>
          </w:p>
        </w:tc>
        <w:tc>
          <w:tcPr>
            <w:tcW w:w="2295" w:type="dxa"/>
            <w:noWrap w:val="0"/>
            <w:vAlign w:val="center"/>
          </w:tcPr>
          <w:p w14:paraId="0AE21E3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施工占用</w:t>
            </w:r>
          </w:p>
        </w:tc>
      </w:tr>
      <w:tr w14:paraId="1210C2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58" w:type="dxa"/>
            <w:vMerge w:val="continue"/>
            <w:noWrap w:val="0"/>
            <w:vAlign w:val="center"/>
          </w:tcPr>
          <w:p w14:paraId="5DDBE77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p>
        </w:tc>
        <w:tc>
          <w:tcPr>
            <w:tcW w:w="2185" w:type="dxa"/>
            <w:noWrap w:val="0"/>
            <w:vAlign w:val="center"/>
          </w:tcPr>
          <w:p w14:paraId="0EF9233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color w:val="auto"/>
                <w:sz w:val="22"/>
                <w:szCs w:val="22"/>
              </w:rPr>
            </w:pPr>
            <w:r>
              <w:rPr>
                <w:rFonts w:hint="eastAsia" w:ascii="Arial" w:hAnsi="Arial" w:cs="Arial"/>
                <w:color w:val="auto"/>
                <w:sz w:val="22"/>
                <w:szCs w:val="22"/>
              </w:rPr>
              <w:t>陆生动物</w:t>
            </w:r>
          </w:p>
        </w:tc>
        <w:tc>
          <w:tcPr>
            <w:tcW w:w="3323" w:type="dxa"/>
            <w:shd w:val="clear" w:color="auto" w:fill="auto"/>
            <w:noWrap w:val="0"/>
            <w:vAlign w:val="center"/>
          </w:tcPr>
          <w:p w14:paraId="6C45358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水库淹没区及施工影响区</w:t>
            </w:r>
          </w:p>
        </w:tc>
        <w:tc>
          <w:tcPr>
            <w:tcW w:w="3174" w:type="dxa"/>
            <w:shd w:val="clear" w:color="auto" w:fill="auto"/>
            <w:noWrap w:val="0"/>
            <w:vAlign w:val="center"/>
          </w:tcPr>
          <w:p w14:paraId="6EED4C9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常见的农田动物，如麻雀、山斑鸠、松鼠、蝙蝠、蜥蜴，家禽猪、牛、羊、鸡、鸭等，库区范围内未发现珍稀</w:t>
            </w:r>
            <w:r>
              <w:rPr>
                <w:rFonts w:hint="eastAsia" w:ascii="Arial" w:hAnsi="Arial" w:cs="Arial"/>
                <w:color w:val="auto"/>
                <w:sz w:val="22"/>
                <w:szCs w:val="22"/>
                <w:lang w:eastAsia="zh-CN"/>
              </w:rPr>
              <w:t>濒危</w:t>
            </w:r>
            <w:r>
              <w:rPr>
                <w:rFonts w:hint="eastAsia" w:ascii="Arial" w:hAnsi="Arial" w:cs="Arial"/>
                <w:color w:val="auto"/>
                <w:sz w:val="22"/>
                <w:szCs w:val="22"/>
              </w:rPr>
              <w:t>保护</w:t>
            </w:r>
            <w:r>
              <w:rPr>
                <w:rFonts w:hint="eastAsia" w:ascii="Arial" w:hAnsi="Arial" w:cs="Arial"/>
                <w:color w:val="auto"/>
                <w:sz w:val="22"/>
                <w:szCs w:val="22"/>
                <w:lang w:eastAsia="zh-CN"/>
              </w:rPr>
              <w:t>型</w:t>
            </w:r>
            <w:r>
              <w:rPr>
                <w:rFonts w:hint="eastAsia" w:ascii="Arial" w:hAnsi="Arial" w:cs="Arial"/>
                <w:color w:val="auto"/>
                <w:sz w:val="22"/>
                <w:szCs w:val="22"/>
              </w:rPr>
              <w:t>野生动物</w:t>
            </w:r>
          </w:p>
        </w:tc>
        <w:tc>
          <w:tcPr>
            <w:tcW w:w="1890" w:type="dxa"/>
            <w:shd w:val="clear" w:color="auto" w:fill="auto"/>
            <w:noWrap w:val="0"/>
            <w:vAlign w:val="center"/>
          </w:tcPr>
          <w:p w14:paraId="395DE22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eastAsia="宋体" w:cs="Arial"/>
                <w:color w:val="auto"/>
                <w:kern w:val="2"/>
                <w:sz w:val="22"/>
                <w:szCs w:val="22"/>
                <w:lang w:val="en-US" w:eastAsia="zh-CN" w:bidi="ar-SA"/>
              </w:rPr>
            </w:pPr>
            <w:r>
              <w:rPr>
                <w:rFonts w:hint="eastAsia" w:ascii="Arial" w:hAnsi="Arial" w:cs="Arial"/>
                <w:color w:val="auto"/>
                <w:sz w:val="22"/>
                <w:szCs w:val="22"/>
              </w:rPr>
              <w:t>营运期、施工期</w:t>
            </w:r>
          </w:p>
        </w:tc>
        <w:tc>
          <w:tcPr>
            <w:tcW w:w="2295" w:type="dxa"/>
            <w:shd w:val="clear" w:color="auto" w:fill="auto"/>
            <w:noWrap w:val="0"/>
            <w:vAlign w:val="center"/>
          </w:tcPr>
          <w:p w14:paraId="34BCA0E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惊扰、破坏部分栖息环境，施工阻隔，减水影响</w:t>
            </w:r>
          </w:p>
        </w:tc>
      </w:tr>
      <w:tr w14:paraId="35AB82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58" w:type="dxa"/>
            <w:vMerge w:val="continue"/>
            <w:noWrap w:val="0"/>
            <w:vAlign w:val="center"/>
          </w:tcPr>
          <w:p w14:paraId="0C022FB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p>
        </w:tc>
        <w:tc>
          <w:tcPr>
            <w:tcW w:w="2185" w:type="dxa"/>
            <w:shd w:val="clear" w:color="auto" w:fill="auto"/>
            <w:noWrap w:val="0"/>
            <w:vAlign w:val="center"/>
          </w:tcPr>
          <w:p w14:paraId="1BCEEE8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陆生植物</w:t>
            </w:r>
          </w:p>
        </w:tc>
        <w:tc>
          <w:tcPr>
            <w:tcW w:w="3323" w:type="dxa"/>
            <w:shd w:val="clear" w:color="auto" w:fill="auto"/>
            <w:noWrap w:val="0"/>
            <w:vAlign w:val="center"/>
          </w:tcPr>
          <w:p w14:paraId="06BA30A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施工影响区、水库淹没区、减水段、回水区</w:t>
            </w:r>
          </w:p>
        </w:tc>
        <w:tc>
          <w:tcPr>
            <w:tcW w:w="3174" w:type="dxa"/>
            <w:shd w:val="clear" w:color="auto" w:fill="auto"/>
            <w:noWrap w:val="0"/>
            <w:vAlign w:val="center"/>
          </w:tcPr>
          <w:p w14:paraId="33F845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人工种植农作物</w:t>
            </w:r>
            <w:r>
              <w:rPr>
                <w:rFonts w:hint="eastAsia" w:ascii="Arial" w:hAnsi="Arial" w:cs="Arial"/>
                <w:color w:val="auto"/>
                <w:sz w:val="22"/>
                <w:szCs w:val="22"/>
                <w:lang w:eastAsia="zh-CN"/>
              </w:rPr>
              <w:t>、公益林、</w:t>
            </w:r>
            <w:r>
              <w:rPr>
                <w:rFonts w:hint="eastAsia" w:ascii="Arial" w:hAnsi="Arial" w:cs="Arial"/>
                <w:color w:val="auto"/>
                <w:sz w:val="22"/>
                <w:szCs w:val="22"/>
              </w:rPr>
              <w:t>一般商品林木、河滩地草本植物，</w:t>
            </w:r>
            <w:r>
              <w:rPr>
                <w:rFonts w:hint="eastAsia" w:ascii="Arial" w:hAnsi="Arial" w:cs="Arial"/>
                <w:color w:val="auto"/>
                <w:sz w:val="22"/>
                <w:szCs w:val="22"/>
                <w:lang w:eastAsia="zh-CN"/>
              </w:rPr>
              <w:t>马尾松、桉树、枫杨、柏木、水竹、麻栎、化香、构树</w:t>
            </w:r>
            <w:r>
              <w:rPr>
                <w:rFonts w:hint="eastAsia" w:ascii="Arial" w:hAnsi="Arial" w:cs="Arial"/>
                <w:color w:val="auto"/>
                <w:sz w:val="22"/>
                <w:szCs w:val="22"/>
              </w:rPr>
              <w:t>，未发现珍稀保护</w:t>
            </w:r>
            <w:r>
              <w:rPr>
                <w:rFonts w:hint="eastAsia" w:ascii="Arial" w:hAnsi="Arial" w:cs="Arial"/>
                <w:color w:val="auto"/>
                <w:sz w:val="22"/>
                <w:szCs w:val="22"/>
                <w:lang w:eastAsia="zh-CN"/>
              </w:rPr>
              <w:t>型</w:t>
            </w:r>
            <w:r>
              <w:rPr>
                <w:rFonts w:hint="eastAsia" w:ascii="Arial" w:hAnsi="Arial" w:cs="Arial"/>
                <w:color w:val="auto"/>
                <w:sz w:val="22"/>
                <w:szCs w:val="22"/>
              </w:rPr>
              <w:t>野生植物，</w:t>
            </w:r>
            <w:r>
              <w:rPr>
                <w:rFonts w:hint="eastAsia" w:ascii="Arial" w:hAnsi="Arial" w:cs="Arial"/>
                <w:color w:val="auto"/>
                <w:sz w:val="22"/>
                <w:szCs w:val="22"/>
                <w:lang w:eastAsia="zh-CN"/>
              </w:rPr>
              <w:t>未发现</w:t>
            </w:r>
            <w:r>
              <w:rPr>
                <w:rFonts w:hint="eastAsia" w:ascii="Arial" w:hAnsi="Arial" w:cs="Arial"/>
                <w:color w:val="auto"/>
                <w:sz w:val="22"/>
                <w:szCs w:val="22"/>
              </w:rPr>
              <w:t>名木古树和其他保护物种分布。</w:t>
            </w:r>
          </w:p>
        </w:tc>
        <w:tc>
          <w:tcPr>
            <w:tcW w:w="1890" w:type="dxa"/>
            <w:shd w:val="clear" w:color="auto" w:fill="auto"/>
            <w:noWrap w:val="0"/>
            <w:vAlign w:val="center"/>
          </w:tcPr>
          <w:p w14:paraId="4B802B1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eastAsia="宋体" w:cs="Arial"/>
                <w:color w:val="auto"/>
                <w:kern w:val="2"/>
                <w:sz w:val="22"/>
                <w:szCs w:val="22"/>
                <w:lang w:val="en-US" w:eastAsia="zh-CN" w:bidi="ar-SA"/>
              </w:rPr>
            </w:pPr>
            <w:r>
              <w:rPr>
                <w:rFonts w:hint="eastAsia" w:ascii="Arial" w:hAnsi="Arial" w:cs="Arial"/>
                <w:color w:val="auto"/>
                <w:sz w:val="22"/>
                <w:szCs w:val="22"/>
              </w:rPr>
              <w:t>营运期、施工期</w:t>
            </w:r>
          </w:p>
        </w:tc>
        <w:tc>
          <w:tcPr>
            <w:tcW w:w="2295" w:type="dxa"/>
            <w:shd w:val="clear" w:color="auto" w:fill="auto"/>
            <w:noWrap w:val="0"/>
            <w:vAlign w:val="center"/>
          </w:tcPr>
          <w:p w14:paraId="6535B2C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淹没、剥离破坏，减水影响</w:t>
            </w:r>
          </w:p>
        </w:tc>
      </w:tr>
      <w:tr w14:paraId="5BC70F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58" w:type="dxa"/>
            <w:vMerge w:val="continue"/>
            <w:noWrap w:val="0"/>
            <w:vAlign w:val="center"/>
          </w:tcPr>
          <w:p w14:paraId="4463B7B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p>
        </w:tc>
        <w:tc>
          <w:tcPr>
            <w:tcW w:w="2185" w:type="dxa"/>
            <w:shd w:val="clear" w:color="auto" w:fill="auto"/>
            <w:noWrap w:val="0"/>
            <w:vAlign w:val="center"/>
          </w:tcPr>
          <w:p w14:paraId="0BFFFED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水生生态</w:t>
            </w:r>
          </w:p>
        </w:tc>
        <w:tc>
          <w:tcPr>
            <w:tcW w:w="3323" w:type="dxa"/>
            <w:shd w:val="clear" w:color="auto" w:fill="auto"/>
            <w:noWrap w:val="0"/>
            <w:vAlign w:val="center"/>
          </w:tcPr>
          <w:p w14:paraId="0133944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水库库区、减水段</w:t>
            </w:r>
          </w:p>
        </w:tc>
        <w:tc>
          <w:tcPr>
            <w:tcW w:w="3174" w:type="dxa"/>
            <w:shd w:val="clear" w:color="auto" w:fill="auto"/>
            <w:noWrap w:val="0"/>
            <w:vAlign w:val="center"/>
          </w:tcPr>
          <w:p w14:paraId="5761032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r>
              <w:rPr>
                <w:rFonts w:hint="eastAsia" w:ascii="Arial" w:hAnsi="Arial" w:cs="Arial"/>
                <w:color w:val="auto"/>
                <w:sz w:val="22"/>
                <w:szCs w:val="22"/>
              </w:rPr>
              <w:t>无鱼类“三场”、鱼泉等分布，</w:t>
            </w:r>
          </w:p>
          <w:p w14:paraId="3A81ECF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鱼类资源较少，主要为经济鱼类鲤鱼、鲫鱼、黄颡鱼、草鱼等；有少量的浮游动物和浮游植物，无国家重点保护鱼类和重庆市市级保护鱼类</w:t>
            </w:r>
            <w:r>
              <w:rPr>
                <w:rFonts w:hint="eastAsia" w:ascii="Arial" w:hAnsi="Arial" w:cs="Arial"/>
                <w:color w:val="auto"/>
                <w:sz w:val="22"/>
                <w:szCs w:val="22"/>
                <w:lang w:eastAsia="zh-CN"/>
              </w:rPr>
              <w:t>。</w:t>
            </w:r>
          </w:p>
        </w:tc>
        <w:tc>
          <w:tcPr>
            <w:tcW w:w="1890" w:type="dxa"/>
            <w:shd w:val="clear" w:color="auto" w:fill="auto"/>
            <w:noWrap w:val="0"/>
            <w:vAlign w:val="center"/>
          </w:tcPr>
          <w:p w14:paraId="1392464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eastAsia="宋体" w:cs="Arial"/>
                <w:color w:val="auto"/>
                <w:kern w:val="2"/>
                <w:sz w:val="22"/>
                <w:szCs w:val="22"/>
                <w:lang w:val="en-US" w:eastAsia="zh-CN" w:bidi="ar-SA"/>
              </w:rPr>
            </w:pPr>
            <w:r>
              <w:rPr>
                <w:rFonts w:hint="eastAsia" w:ascii="Arial" w:hAnsi="Arial" w:cs="Arial"/>
                <w:color w:val="auto"/>
                <w:sz w:val="22"/>
                <w:szCs w:val="22"/>
              </w:rPr>
              <w:t>营运期、施工期</w:t>
            </w:r>
          </w:p>
        </w:tc>
        <w:tc>
          <w:tcPr>
            <w:tcW w:w="2295" w:type="dxa"/>
            <w:shd w:val="clear" w:color="auto" w:fill="auto"/>
            <w:noWrap w:val="0"/>
            <w:vAlign w:val="center"/>
          </w:tcPr>
          <w:p w14:paraId="63FBC2D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闸坝阻隔、工程河段水文情势改变、对水生生物多样性影响</w:t>
            </w:r>
          </w:p>
        </w:tc>
      </w:tr>
      <w:tr w14:paraId="1EA345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58" w:type="dxa"/>
            <w:vMerge w:val="continue"/>
            <w:noWrap w:val="0"/>
            <w:vAlign w:val="center"/>
          </w:tcPr>
          <w:p w14:paraId="7798E6D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p>
        </w:tc>
        <w:tc>
          <w:tcPr>
            <w:tcW w:w="2185" w:type="dxa"/>
            <w:shd w:val="clear" w:color="auto" w:fill="auto"/>
            <w:noWrap w:val="0"/>
            <w:vAlign w:val="center"/>
          </w:tcPr>
          <w:p w14:paraId="3F97FE1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生态系统</w:t>
            </w:r>
          </w:p>
        </w:tc>
        <w:tc>
          <w:tcPr>
            <w:tcW w:w="3323" w:type="dxa"/>
            <w:shd w:val="clear" w:color="auto" w:fill="auto"/>
            <w:noWrap w:val="0"/>
            <w:vAlign w:val="center"/>
          </w:tcPr>
          <w:p w14:paraId="7AF98AD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工程区、水库库区、减水段</w:t>
            </w:r>
          </w:p>
        </w:tc>
        <w:tc>
          <w:tcPr>
            <w:tcW w:w="3174" w:type="dxa"/>
            <w:shd w:val="clear" w:color="auto" w:fill="auto"/>
            <w:noWrap w:val="0"/>
            <w:vAlign w:val="center"/>
          </w:tcPr>
          <w:p w14:paraId="0F50353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农田、村镇、林地及河岸生态系统等。</w:t>
            </w:r>
          </w:p>
        </w:tc>
        <w:tc>
          <w:tcPr>
            <w:tcW w:w="1890" w:type="dxa"/>
            <w:shd w:val="clear" w:color="auto" w:fill="auto"/>
            <w:noWrap w:val="0"/>
            <w:vAlign w:val="center"/>
          </w:tcPr>
          <w:p w14:paraId="0048E20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eastAsia="宋体" w:cs="Arial"/>
                <w:color w:val="auto"/>
                <w:kern w:val="2"/>
                <w:sz w:val="22"/>
                <w:szCs w:val="22"/>
                <w:lang w:val="en-US" w:eastAsia="zh-CN" w:bidi="ar-SA"/>
              </w:rPr>
            </w:pPr>
            <w:r>
              <w:rPr>
                <w:rFonts w:hint="eastAsia" w:ascii="Arial" w:hAnsi="Arial" w:cs="Arial"/>
                <w:color w:val="auto"/>
                <w:sz w:val="22"/>
                <w:szCs w:val="22"/>
              </w:rPr>
              <w:t>营运期、施工期</w:t>
            </w:r>
          </w:p>
        </w:tc>
        <w:tc>
          <w:tcPr>
            <w:tcW w:w="2295" w:type="dxa"/>
            <w:shd w:val="clear" w:color="auto" w:fill="auto"/>
            <w:noWrap w:val="0"/>
            <w:vAlign w:val="center"/>
          </w:tcPr>
          <w:p w14:paraId="7BF7ACA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eastAsia="宋体" w:cs="Arial"/>
                <w:color w:val="auto"/>
                <w:kern w:val="2"/>
                <w:sz w:val="22"/>
                <w:szCs w:val="22"/>
                <w:lang w:val="en-US" w:eastAsia="zh-CN" w:bidi="ar-SA"/>
              </w:rPr>
            </w:pPr>
            <w:r>
              <w:rPr>
                <w:rFonts w:hint="eastAsia" w:ascii="Arial" w:hAnsi="Arial" w:cs="Arial"/>
                <w:color w:val="auto"/>
                <w:sz w:val="22"/>
                <w:szCs w:val="22"/>
              </w:rPr>
              <w:t>河道形态变化改河道两侧生态系统</w:t>
            </w:r>
          </w:p>
        </w:tc>
      </w:tr>
      <w:tr w14:paraId="003E3E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58" w:type="dxa"/>
            <w:vMerge w:val="continue"/>
            <w:noWrap w:val="0"/>
            <w:vAlign w:val="center"/>
          </w:tcPr>
          <w:p w14:paraId="55E2E44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p>
        </w:tc>
        <w:tc>
          <w:tcPr>
            <w:tcW w:w="2185" w:type="dxa"/>
            <w:shd w:val="clear" w:color="auto" w:fill="auto"/>
            <w:noWrap w:val="0"/>
            <w:vAlign w:val="center"/>
          </w:tcPr>
          <w:p w14:paraId="55EC23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水土流失</w:t>
            </w:r>
          </w:p>
        </w:tc>
        <w:tc>
          <w:tcPr>
            <w:tcW w:w="3323" w:type="dxa"/>
            <w:shd w:val="clear" w:color="auto" w:fill="auto"/>
            <w:noWrap w:val="0"/>
            <w:vAlign w:val="center"/>
          </w:tcPr>
          <w:p w14:paraId="65F0F7E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开挖工作面、弃土场等</w:t>
            </w:r>
          </w:p>
        </w:tc>
        <w:tc>
          <w:tcPr>
            <w:tcW w:w="3174" w:type="dxa"/>
            <w:shd w:val="clear" w:color="auto" w:fill="auto"/>
            <w:noWrap w:val="0"/>
            <w:vAlign w:val="center"/>
          </w:tcPr>
          <w:p w14:paraId="003C522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耕地、人工植被、经济林地</w:t>
            </w:r>
          </w:p>
        </w:tc>
        <w:tc>
          <w:tcPr>
            <w:tcW w:w="1890" w:type="dxa"/>
            <w:shd w:val="clear" w:color="auto" w:fill="auto"/>
            <w:noWrap w:val="0"/>
            <w:vAlign w:val="center"/>
          </w:tcPr>
          <w:p w14:paraId="31F70DA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eastAsia="宋体" w:cs="Arial"/>
                <w:color w:val="auto"/>
                <w:kern w:val="2"/>
                <w:sz w:val="22"/>
                <w:szCs w:val="22"/>
                <w:lang w:val="en-US" w:eastAsia="zh-CN" w:bidi="ar-SA"/>
              </w:rPr>
            </w:pPr>
            <w:r>
              <w:rPr>
                <w:rFonts w:hint="eastAsia" w:ascii="Arial" w:hAnsi="Arial" w:cs="Arial"/>
                <w:color w:val="auto"/>
                <w:sz w:val="22"/>
                <w:szCs w:val="22"/>
              </w:rPr>
              <w:t>营运期、施工期</w:t>
            </w:r>
          </w:p>
        </w:tc>
        <w:tc>
          <w:tcPr>
            <w:tcW w:w="2295" w:type="dxa"/>
            <w:shd w:val="clear" w:color="auto" w:fill="auto"/>
            <w:noWrap w:val="0"/>
            <w:vAlign w:val="center"/>
          </w:tcPr>
          <w:p w14:paraId="1EADC57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开挖、扰动、弃渣等导致新增水土流失</w:t>
            </w:r>
          </w:p>
        </w:tc>
      </w:tr>
      <w:tr w14:paraId="0ACD31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58" w:type="dxa"/>
            <w:vMerge w:val="continue"/>
            <w:noWrap w:val="0"/>
            <w:vAlign w:val="center"/>
          </w:tcPr>
          <w:p w14:paraId="7600817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color w:val="auto"/>
                <w:sz w:val="22"/>
                <w:szCs w:val="22"/>
              </w:rPr>
            </w:pPr>
          </w:p>
        </w:tc>
        <w:tc>
          <w:tcPr>
            <w:tcW w:w="2185" w:type="dxa"/>
            <w:shd w:val="clear" w:color="auto" w:fill="auto"/>
            <w:noWrap w:val="0"/>
            <w:vAlign w:val="center"/>
          </w:tcPr>
          <w:p w14:paraId="6703C7A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耕地及移民安置</w:t>
            </w:r>
          </w:p>
        </w:tc>
        <w:tc>
          <w:tcPr>
            <w:tcW w:w="3323" w:type="dxa"/>
            <w:shd w:val="clear" w:color="auto" w:fill="auto"/>
            <w:noWrap w:val="0"/>
            <w:vAlign w:val="center"/>
          </w:tcPr>
          <w:p w14:paraId="591D4EB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工程占地范围内、库区</w:t>
            </w:r>
          </w:p>
        </w:tc>
        <w:tc>
          <w:tcPr>
            <w:tcW w:w="3174" w:type="dxa"/>
            <w:shd w:val="clear" w:color="auto" w:fill="auto"/>
            <w:noWrap w:val="0"/>
            <w:vAlign w:val="center"/>
          </w:tcPr>
          <w:p w14:paraId="425B764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水库淹没面积</w:t>
            </w:r>
            <w:r>
              <w:rPr>
                <w:rFonts w:hint="eastAsia" w:ascii="Arial" w:hAnsi="Arial" w:cs="Arial"/>
                <w:color w:val="auto"/>
                <w:sz w:val="22"/>
                <w:szCs w:val="22"/>
                <w:lang w:val="en-US" w:eastAsia="zh-CN"/>
              </w:rPr>
              <w:t>8.3068</w:t>
            </w:r>
            <w:r>
              <w:rPr>
                <w:rFonts w:hint="eastAsia" w:ascii="Arial" w:hAnsi="Arial" w:cs="Arial"/>
                <w:color w:val="auto"/>
                <w:sz w:val="22"/>
                <w:szCs w:val="22"/>
              </w:rPr>
              <w:t>hm</w:t>
            </w:r>
            <w:r>
              <w:rPr>
                <w:rFonts w:hint="eastAsia" w:ascii="Arial" w:hAnsi="Arial" w:cs="Arial"/>
                <w:color w:val="auto"/>
                <w:sz w:val="22"/>
                <w:szCs w:val="22"/>
                <w:vertAlign w:val="superscript"/>
              </w:rPr>
              <w:t>2</w:t>
            </w:r>
          </w:p>
        </w:tc>
        <w:tc>
          <w:tcPr>
            <w:tcW w:w="1890" w:type="dxa"/>
            <w:shd w:val="clear" w:color="auto" w:fill="auto"/>
            <w:noWrap w:val="0"/>
            <w:vAlign w:val="center"/>
          </w:tcPr>
          <w:p w14:paraId="21C05B6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eastAsia="宋体" w:cs="Arial"/>
                <w:color w:val="auto"/>
                <w:kern w:val="2"/>
                <w:sz w:val="22"/>
                <w:szCs w:val="22"/>
                <w:lang w:val="en-US" w:eastAsia="zh-CN" w:bidi="ar-SA"/>
              </w:rPr>
            </w:pPr>
            <w:r>
              <w:rPr>
                <w:rFonts w:hint="eastAsia" w:ascii="Arial" w:hAnsi="Arial" w:cs="Arial"/>
                <w:color w:val="auto"/>
                <w:sz w:val="22"/>
                <w:szCs w:val="22"/>
              </w:rPr>
              <w:t>营运期</w:t>
            </w:r>
          </w:p>
        </w:tc>
        <w:tc>
          <w:tcPr>
            <w:tcW w:w="2295" w:type="dxa"/>
            <w:shd w:val="clear" w:color="auto" w:fill="auto"/>
            <w:noWrap w:val="0"/>
            <w:vAlign w:val="center"/>
          </w:tcPr>
          <w:p w14:paraId="29E83DF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淹没、安置</w:t>
            </w:r>
          </w:p>
        </w:tc>
      </w:tr>
    </w:tbl>
    <w:p w14:paraId="7CC08ABB">
      <w:pPr>
        <w:pStyle w:val="1873"/>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Arial" w:hAnsi="Arial" w:cs="Arial"/>
          <w:b w:val="0"/>
          <w:color w:val="auto"/>
          <w:kern w:val="2"/>
          <w:sz w:val="26"/>
          <w:szCs w:val="26"/>
          <w:highlight w:val="none"/>
          <w:lang w:val="en-US" w:eastAsia="zh-CN" w:bidi="ar-SA"/>
        </w:rPr>
      </w:pPr>
    </w:p>
    <w:p w14:paraId="0A01B132">
      <w:pPr>
        <w:pStyle w:val="2013"/>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color w:val="auto"/>
          <w:sz w:val="26"/>
          <w:szCs w:val="26"/>
          <w:lang w:val="en-US" w:eastAsia="zh-CN"/>
        </w:rPr>
      </w:pPr>
    </w:p>
    <w:p w14:paraId="63864B26">
      <w:pPr>
        <w:pStyle w:val="2013"/>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color w:val="auto"/>
          <w:sz w:val="26"/>
          <w:szCs w:val="26"/>
          <w:lang w:val="en-US" w:eastAsia="zh-CN"/>
        </w:rPr>
      </w:pPr>
    </w:p>
    <w:p w14:paraId="794D95C6">
      <w:pPr>
        <w:pStyle w:val="2013"/>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color w:val="auto"/>
          <w:sz w:val="26"/>
          <w:szCs w:val="26"/>
          <w:lang w:val="en-US" w:eastAsia="zh-CN"/>
        </w:rPr>
      </w:pPr>
    </w:p>
    <w:p w14:paraId="33CE3C5E">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highlight w:val="none"/>
          <w:lang w:val="en-US" w:eastAsia="zh-CN" w:bidi="ar-SA"/>
        </w:rPr>
        <w:sectPr>
          <w:pgSz w:w="16838" w:h="11906" w:orient="landscape"/>
          <w:pgMar w:top="1701" w:right="1440" w:bottom="1701" w:left="1440" w:header="1134" w:footer="1134" w:gutter="0"/>
          <w:pgBorders>
            <w:top w:val="none" w:sz="0" w:space="0"/>
            <w:left w:val="none" w:sz="0" w:space="0"/>
            <w:bottom w:val="none" w:sz="0" w:space="0"/>
            <w:right w:val="none" w:sz="0" w:space="0"/>
          </w:pgBorders>
          <w:pgNumType w:fmt="decimal"/>
          <w:cols w:space="425" w:num="1"/>
          <w:docGrid w:type="lines" w:linePitch="312" w:charSpace="0"/>
        </w:sectPr>
      </w:pPr>
    </w:p>
    <w:bookmarkEnd w:id="69"/>
    <w:bookmarkEnd w:id="70"/>
    <w:p w14:paraId="1CFB6E15">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cs="Arial"/>
          <w:sz w:val="26"/>
          <w:szCs w:val="26"/>
        </w:rPr>
      </w:pPr>
      <w:bookmarkStart w:id="71" w:name="_Toc16285"/>
      <w:r>
        <w:rPr>
          <w:rFonts w:hint="default" w:ascii="Arial" w:hAnsi="Arial" w:cs="Arial"/>
          <w:sz w:val="26"/>
          <w:szCs w:val="26"/>
        </w:rPr>
        <w:t>1.</w:t>
      </w:r>
      <w:r>
        <w:rPr>
          <w:rFonts w:hint="default" w:ascii="Arial" w:hAnsi="Arial" w:cs="Arial"/>
          <w:sz w:val="26"/>
          <w:szCs w:val="26"/>
          <w:lang w:val="en-US" w:eastAsia="zh-CN"/>
        </w:rPr>
        <w:t>9</w:t>
      </w:r>
      <w:r>
        <w:rPr>
          <w:rFonts w:hint="default" w:ascii="Arial" w:hAnsi="Arial" w:cs="Arial"/>
          <w:sz w:val="26"/>
          <w:szCs w:val="26"/>
        </w:rPr>
        <w:t>产业政策和规划</w:t>
      </w:r>
      <w:r>
        <w:rPr>
          <w:rFonts w:hint="eastAsia" w:ascii="Arial" w:hAnsi="Arial" w:cs="Arial"/>
          <w:sz w:val="26"/>
          <w:szCs w:val="26"/>
          <w:lang w:eastAsia="zh-CN"/>
        </w:rPr>
        <w:t>等</w:t>
      </w:r>
      <w:r>
        <w:rPr>
          <w:rFonts w:hint="default" w:ascii="Arial" w:hAnsi="Arial" w:cs="Arial"/>
          <w:sz w:val="26"/>
          <w:szCs w:val="26"/>
        </w:rPr>
        <w:t>符合性分析</w:t>
      </w:r>
      <w:bookmarkEnd w:id="71"/>
    </w:p>
    <w:p w14:paraId="324C7573">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eastAsia="宋体" w:cs="Arial"/>
          <w:b/>
          <w:color w:val="auto"/>
          <w:kern w:val="0"/>
          <w:sz w:val="26"/>
          <w:szCs w:val="26"/>
          <w:highlight w:val="none"/>
          <w:lang w:val="en-US" w:eastAsia="zh-CN"/>
        </w:rPr>
      </w:pPr>
      <w:r>
        <w:rPr>
          <w:rFonts w:hint="default" w:ascii="Arial" w:hAnsi="Arial" w:eastAsia="宋体" w:cs="Arial"/>
          <w:b/>
          <w:color w:val="auto"/>
          <w:kern w:val="0"/>
          <w:sz w:val="26"/>
          <w:szCs w:val="26"/>
          <w:highlight w:val="none"/>
          <w:lang w:val="en-US" w:eastAsia="zh-CN"/>
        </w:rPr>
        <w:t>1.</w:t>
      </w:r>
      <w:r>
        <w:rPr>
          <w:rFonts w:hint="eastAsia" w:ascii="Arial" w:hAnsi="Arial" w:cs="Arial"/>
          <w:b/>
          <w:color w:val="auto"/>
          <w:kern w:val="0"/>
          <w:sz w:val="26"/>
          <w:szCs w:val="26"/>
          <w:highlight w:val="none"/>
          <w:lang w:val="en-US" w:eastAsia="zh-CN"/>
        </w:rPr>
        <w:t>9</w:t>
      </w:r>
      <w:r>
        <w:rPr>
          <w:rFonts w:hint="default" w:ascii="Arial" w:hAnsi="Arial" w:eastAsia="宋体" w:cs="Arial"/>
          <w:b/>
          <w:color w:val="auto"/>
          <w:kern w:val="0"/>
          <w:sz w:val="26"/>
          <w:szCs w:val="26"/>
          <w:highlight w:val="none"/>
          <w:lang w:val="en-US" w:eastAsia="zh-CN"/>
        </w:rPr>
        <w:t>.1与</w:t>
      </w:r>
      <w:r>
        <w:rPr>
          <w:rFonts w:hint="eastAsia" w:ascii="Arial" w:hAnsi="Arial" w:cs="Arial"/>
          <w:b/>
          <w:color w:val="auto"/>
          <w:kern w:val="0"/>
          <w:sz w:val="26"/>
          <w:szCs w:val="26"/>
          <w:highlight w:val="none"/>
          <w:lang w:val="en-US" w:eastAsia="zh-CN"/>
        </w:rPr>
        <w:t>国家</w:t>
      </w:r>
      <w:r>
        <w:rPr>
          <w:rFonts w:hint="default" w:ascii="Arial" w:hAnsi="Arial" w:eastAsia="宋体" w:cs="Arial"/>
          <w:b/>
          <w:color w:val="auto"/>
          <w:kern w:val="0"/>
          <w:sz w:val="26"/>
          <w:szCs w:val="26"/>
          <w:highlight w:val="none"/>
          <w:lang w:val="en-US" w:eastAsia="zh-CN"/>
        </w:rPr>
        <w:t>产业政策符合性分析</w:t>
      </w:r>
    </w:p>
    <w:p w14:paraId="7527BC3C">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cs="Arial"/>
          <w:b w:val="0"/>
          <w:color w:val="auto"/>
          <w:kern w:val="2"/>
          <w:sz w:val="26"/>
          <w:szCs w:val="26"/>
          <w:lang w:val="fr-FR" w:eastAsia="zh-CN" w:bidi="ar-SA"/>
        </w:rPr>
      </w:pPr>
      <w:r>
        <w:rPr>
          <w:rFonts w:hint="eastAsia" w:ascii="Arial" w:hAnsi="Arial" w:cs="Arial"/>
          <w:b w:val="0"/>
          <w:color w:val="auto"/>
          <w:kern w:val="2"/>
          <w:sz w:val="26"/>
          <w:szCs w:val="26"/>
          <w:lang w:val="fr-FR" w:eastAsia="zh-CN" w:bidi="ar-SA"/>
        </w:rPr>
        <w:t>本项目属于《产业结构调整指导目录（20</w:t>
      </w:r>
      <w:r>
        <w:rPr>
          <w:rFonts w:hint="eastAsia" w:ascii="Arial" w:hAnsi="Arial" w:cs="Arial"/>
          <w:b w:val="0"/>
          <w:color w:val="auto"/>
          <w:kern w:val="2"/>
          <w:sz w:val="26"/>
          <w:szCs w:val="26"/>
          <w:lang w:val="en-US" w:eastAsia="zh-CN" w:bidi="ar-SA"/>
        </w:rPr>
        <w:t>24</w:t>
      </w:r>
      <w:r>
        <w:rPr>
          <w:rFonts w:hint="eastAsia" w:ascii="Arial" w:hAnsi="Arial" w:cs="Arial"/>
          <w:b w:val="0"/>
          <w:color w:val="auto"/>
          <w:kern w:val="2"/>
          <w:sz w:val="26"/>
          <w:szCs w:val="26"/>
          <w:lang w:val="fr-FR" w:eastAsia="zh-CN" w:bidi="ar-SA"/>
        </w:rPr>
        <w:t>年本）》“第一类鼓励类”中“二、水利”中“</w:t>
      </w:r>
      <w:r>
        <w:rPr>
          <w:rFonts w:hint="eastAsia" w:ascii="Arial" w:hAnsi="Arial" w:cs="Arial"/>
          <w:b w:val="0"/>
          <w:color w:val="auto"/>
          <w:kern w:val="2"/>
          <w:sz w:val="26"/>
          <w:szCs w:val="26"/>
          <w:lang w:val="en-US" w:eastAsia="zh-CN" w:bidi="ar-SA"/>
        </w:rPr>
        <w:t>2、节水供水工程”</w:t>
      </w:r>
      <w:r>
        <w:rPr>
          <w:rFonts w:hint="eastAsia" w:ascii="Arial" w:hAnsi="Arial" w:cs="Arial"/>
          <w:b w:val="0"/>
          <w:color w:val="auto"/>
          <w:kern w:val="2"/>
          <w:sz w:val="26"/>
          <w:szCs w:val="26"/>
          <w:lang w:val="fr-FR" w:eastAsia="zh-CN" w:bidi="ar-SA"/>
        </w:rPr>
        <w:t>，为鼓励类建设项目，符合国家产业政策要求。</w:t>
      </w:r>
    </w:p>
    <w:p w14:paraId="76165311">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cs="Arial"/>
          <w:b w:val="0"/>
          <w:color w:val="auto"/>
          <w:kern w:val="2"/>
          <w:sz w:val="26"/>
          <w:szCs w:val="26"/>
          <w:lang w:val="fr-FR" w:eastAsia="zh-CN" w:bidi="ar-SA"/>
        </w:rPr>
      </w:pPr>
      <w:r>
        <w:rPr>
          <w:rFonts w:hint="eastAsia" w:ascii="Arial" w:hAnsi="Arial" w:cs="Arial"/>
          <w:b w:val="0"/>
          <w:color w:val="auto"/>
          <w:kern w:val="2"/>
          <w:sz w:val="26"/>
          <w:szCs w:val="26"/>
          <w:lang w:val="fr-FR" w:eastAsia="zh-CN" w:bidi="ar-SA"/>
        </w:rPr>
        <w:t>本项目已取得丰都县发展和改革委员会下发的可研批复，赋予的项目代码为</w:t>
      </w:r>
      <w:r>
        <w:rPr>
          <w:rFonts w:hint="eastAsia" w:ascii="Arial" w:hAnsi="Arial" w:cs="Arial"/>
          <w:b w:val="0"/>
          <w:color w:val="auto"/>
          <w:kern w:val="2"/>
          <w:sz w:val="26"/>
          <w:szCs w:val="26"/>
          <w:lang w:val="en-US" w:eastAsia="zh-CN" w:bidi="ar-SA"/>
        </w:rPr>
        <w:t>2206-500230-04-01-422735。</w:t>
      </w:r>
    </w:p>
    <w:p w14:paraId="7D265303">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ascii="CIDFont" w:hAnsi="CIDFont" w:eastAsia="CIDFont" w:cs="CIDFont"/>
          <w:color w:val="000000"/>
          <w:kern w:val="0"/>
          <w:sz w:val="26"/>
          <w:szCs w:val="26"/>
          <w:lang w:val="en-US" w:eastAsia="zh-CN" w:bidi="ar"/>
        </w:rPr>
      </w:pPr>
      <w:r>
        <w:rPr>
          <w:rFonts w:hint="eastAsia" w:ascii="Arial" w:hAnsi="Arial" w:cs="Arial"/>
          <w:b w:val="0"/>
          <w:color w:val="auto"/>
          <w:kern w:val="2"/>
          <w:sz w:val="26"/>
          <w:szCs w:val="26"/>
          <w:lang w:val="en-US" w:eastAsia="zh-CN" w:bidi="ar-SA"/>
        </w:rPr>
        <w:t>综上分析，拟建项目的建设符合国家和重庆市现行产业政策要求。</w:t>
      </w:r>
      <w:r>
        <w:rPr>
          <w:rFonts w:ascii="CIDFont" w:hAnsi="CIDFont" w:eastAsia="CIDFont" w:cs="CIDFont"/>
          <w:color w:val="000000"/>
          <w:kern w:val="0"/>
          <w:sz w:val="26"/>
          <w:szCs w:val="26"/>
          <w:lang w:val="en-US" w:eastAsia="zh-CN" w:bidi="ar"/>
        </w:rPr>
        <w:t xml:space="preserve"> </w:t>
      </w:r>
    </w:p>
    <w:p w14:paraId="01D688AF">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eastAsia="宋体" w:cs="Arial"/>
          <w:b/>
          <w:color w:val="auto"/>
          <w:kern w:val="0"/>
          <w:sz w:val="26"/>
          <w:szCs w:val="26"/>
          <w:highlight w:val="none"/>
          <w:lang w:val="en-US" w:eastAsia="zh-CN"/>
        </w:rPr>
      </w:pPr>
      <w:r>
        <w:rPr>
          <w:rFonts w:hint="default" w:ascii="Arial" w:hAnsi="Arial" w:eastAsia="宋体" w:cs="Arial"/>
          <w:b/>
          <w:color w:val="auto"/>
          <w:kern w:val="0"/>
          <w:sz w:val="26"/>
          <w:szCs w:val="26"/>
          <w:highlight w:val="none"/>
          <w:lang w:val="en-US" w:eastAsia="zh-CN"/>
        </w:rPr>
        <w:t>1.</w:t>
      </w:r>
      <w:r>
        <w:rPr>
          <w:rFonts w:hint="eastAsia" w:ascii="Arial" w:hAnsi="Arial" w:eastAsia="宋体" w:cs="Arial"/>
          <w:b/>
          <w:color w:val="auto"/>
          <w:kern w:val="0"/>
          <w:sz w:val="26"/>
          <w:szCs w:val="26"/>
          <w:highlight w:val="none"/>
          <w:lang w:val="en-US" w:eastAsia="zh-CN"/>
        </w:rPr>
        <w:t>9</w:t>
      </w:r>
      <w:r>
        <w:rPr>
          <w:rFonts w:hint="default" w:ascii="Arial" w:hAnsi="Arial" w:eastAsia="宋体" w:cs="Arial"/>
          <w:b/>
          <w:color w:val="auto"/>
          <w:kern w:val="0"/>
          <w:sz w:val="26"/>
          <w:szCs w:val="26"/>
          <w:highlight w:val="none"/>
          <w:lang w:val="en-US" w:eastAsia="zh-CN"/>
        </w:rPr>
        <w:t>.</w:t>
      </w:r>
      <w:r>
        <w:rPr>
          <w:rFonts w:hint="eastAsia" w:ascii="Arial" w:hAnsi="Arial" w:eastAsia="宋体" w:cs="Arial"/>
          <w:b/>
          <w:color w:val="auto"/>
          <w:kern w:val="0"/>
          <w:sz w:val="26"/>
          <w:szCs w:val="26"/>
          <w:highlight w:val="none"/>
          <w:lang w:val="en-US" w:eastAsia="zh-CN"/>
        </w:rPr>
        <w:t>2</w:t>
      </w:r>
      <w:r>
        <w:rPr>
          <w:rFonts w:hint="default" w:ascii="Arial" w:hAnsi="Arial" w:eastAsia="宋体" w:cs="Arial"/>
          <w:b/>
          <w:color w:val="auto"/>
          <w:kern w:val="0"/>
          <w:sz w:val="26"/>
          <w:szCs w:val="26"/>
          <w:highlight w:val="none"/>
          <w:lang w:val="en-US" w:eastAsia="zh-CN"/>
        </w:rPr>
        <w:t>与</w:t>
      </w:r>
      <w:bookmarkStart w:id="72" w:name="OLE_LINK5"/>
      <w:r>
        <w:rPr>
          <w:rFonts w:hint="eastAsia" w:ascii="Arial" w:hAnsi="Arial" w:eastAsia="宋体" w:cs="Arial"/>
          <w:b/>
          <w:color w:val="auto"/>
          <w:kern w:val="0"/>
          <w:sz w:val="26"/>
          <w:szCs w:val="26"/>
          <w:highlight w:val="none"/>
          <w:lang w:val="en-US" w:eastAsia="zh-CN"/>
        </w:rPr>
        <w:t>《关于印发重庆市产业投资准入工作手册的通知》（渝发改投资〔2022〕1436号）</w:t>
      </w:r>
      <w:bookmarkEnd w:id="72"/>
      <w:r>
        <w:rPr>
          <w:rFonts w:hint="eastAsia" w:ascii="Arial" w:hAnsi="Arial" w:eastAsia="宋体" w:cs="Arial"/>
          <w:b/>
          <w:color w:val="auto"/>
          <w:kern w:val="0"/>
          <w:sz w:val="26"/>
          <w:szCs w:val="26"/>
          <w:highlight w:val="none"/>
          <w:lang w:val="en-US" w:eastAsia="zh-CN"/>
        </w:rPr>
        <w:t>的</w:t>
      </w:r>
      <w:r>
        <w:rPr>
          <w:rFonts w:hint="default" w:ascii="Arial" w:hAnsi="Arial" w:eastAsia="宋体" w:cs="Arial"/>
          <w:b/>
          <w:color w:val="auto"/>
          <w:kern w:val="0"/>
          <w:sz w:val="26"/>
          <w:szCs w:val="26"/>
          <w:highlight w:val="none"/>
          <w:lang w:val="en-US" w:eastAsia="zh-CN"/>
        </w:rPr>
        <w:t>符合性分析</w:t>
      </w:r>
    </w:p>
    <w:p w14:paraId="25E1C0A7">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本项目选址位于丰都县双龙镇田家山村，属于《关于印发重庆市产业投资准入工作手册的通知》（渝发改投资〔2022〕1436号）中划分的渝东北三峡库区城镇群，符合性分析详见表1.9-1所示。</w:t>
      </w:r>
    </w:p>
    <w:p w14:paraId="57751929">
      <w:pPr>
        <w:keepNext w:val="0"/>
        <w:keepLines w:val="0"/>
        <w:pageBreakBefore w:val="0"/>
        <w:widowControl w:val="0"/>
        <w:kinsoku/>
        <w:wordWrap/>
        <w:overflowPunct/>
        <w:topLinePunct w:val="0"/>
        <w:autoSpaceDE w:val="0"/>
        <w:autoSpaceDN w:val="0"/>
        <w:bidi w:val="0"/>
        <w:adjustRightInd w:val="0"/>
        <w:snapToGrid w:val="0"/>
        <w:spacing w:line="460" w:lineRule="exact"/>
        <w:ind w:firstLine="0" w:firstLineChars="0"/>
        <w:jc w:val="center"/>
        <w:textAlignment w:val="auto"/>
        <w:rPr>
          <w:rFonts w:hint="default" w:ascii="Arial" w:hAnsi="Arial" w:eastAsia="宋体" w:cs="Arial"/>
          <w:b/>
          <w:bCs/>
          <w:color w:val="auto"/>
          <w:kern w:val="0"/>
          <w:sz w:val="26"/>
          <w:szCs w:val="26"/>
          <w:highlight w:val="none"/>
          <w:lang w:val="en-US" w:eastAsia="zh-CN"/>
        </w:rPr>
      </w:pPr>
      <w:r>
        <w:rPr>
          <w:rFonts w:hint="eastAsia" w:ascii="Arial" w:hAnsi="Arial" w:cs="Arial"/>
          <w:b/>
          <w:bCs/>
          <w:color w:val="auto"/>
          <w:kern w:val="0"/>
          <w:sz w:val="26"/>
          <w:szCs w:val="26"/>
          <w:highlight w:val="none"/>
          <w:lang w:eastAsia="zh-CN"/>
        </w:rPr>
        <w:t>表</w:t>
      </w:r>
      <w:r>
        <w:rPr>
          <w:rFonts w:hint="eastAsia" w:ascii="Arial" w:hAnsi="Arial" w:cs="Arial"/>
          <w:b/>
          <w:bCs/>
          <w:color w:val="auto"/>
          <w:kern w:val="0"/>
          <w:sz w:val="26"/>
          <w:szCs w:val="26"/>
          <w:highlight w:val="none"/>
          <w:lang w:val="en-US" w:eastAsia="zh-CN"/>
        </w:rPr>
        <w:t>1.9-1  拟建项目与</w:t>
      </w:r>
      <w:r>
        <w:rPr>
          <w:rFonts w:hint="eastAsia" w:ascii="Arial" w:hAnsi="Arial" w:cs="Arial"/>
          <w:b/>
          <w:bCs/>
          <w:color w:val="auto"/>
          <w:kern w:val="0"/>
          <w:sz w:val="26"/>
          <w:szCs w:val="26"/>
          <w:highlight w:val="none"/>
          <w:lang w:eastAsia="zh-CN"/>
        </w:rPr>
        <w:t>重庆市产业投资准入工作手册的符合性分析</w:t>
      </w:r>
    </w:p>
    <w:tbl>
      <w:tblPr>
        <w:tblStyle w:val="77"/>
        <w:tblW w:w="90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5"/>
        <w:gridCol w:w="3562"/>
        <w:gridCol w:w="3463"/>
        <w:gridCol w:w="1088"/>
      </w:tblGrid>
      <w:tr w14:paraId="0E10C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67" w:type="dxa"/>
            <w:gridSpan w:val="2"/>
            <w:noWrap w:val="0"/>
            <w:vAlign w:val="center"/>
          </w:tcPr>
          <w:p w14:paraId="61D652DF">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准入条件要求</w:t>
            </w:r>
          </w:p>
        </w:tc>
        <w:tc>
          <w:tcPr>
            <w:tcW w:w="3463" w:type="dxa"/>
            <w:noWrap w:val="0"/>
            <w:vAlign w:val="center"/>
          </w:tcPr>
          <w:p w14:paraId="5B5E6764">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本项目情况</w:t>
            </w:r>
          </w:p>
        </w:tc>
        <w:tc>
          <w:tcPr>
            <w:tcW w:w="1088" w:type="dxa"/>
            <w:noWrap w:val="0"/>
            <w:vAlign w:val="center"/>
          </w:tcPr>
          <w:p w14:paraId="0E1651F2">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符合性</w:t>
            </w:r>
          </w:p>
        </w:tc>
      </w:tr>
      <w:tr w14:paraId="620EA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restart"/>
            <w:noWrap w:val="0"/>
            <w:vAlign w:val="center"/>
          </w:tcPr>
          <w:p w14:paraId="3CFD75BE">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全市范围内</w:t>
            </w:r>
            <w:r>
              <w:rPr>
                <w:rFonts w:hint="eastAsia" w:ascii="Arial" w:hAnsi="Arial" w:cs="Arial"/>
                <w:color w:val="auto"/>
                <w:sz w:val="22"/>
                <w:szCs w:val="22"/>
                <w:highlight w:val="none"/>
                <w:lang w:eastAsia="zh-CN"/>
              </w:rPr>
              <w:t>不予</w:t>
            </w:r>
            <w:r>
              <w:rPr>
                <w:rFonts w:hint="default" w:ascii="Arial" w:hAnsi="Arial" w:cs="Arial"/>
                <w:color w:val="auto"/>
                <w:sz w:val="22"/>
                <w:szCs w:val="22"/>
                <w:highlight w:val="none"/>
              </w:rPr>
              <w:t>准入的产业</w:t>
            </w:r>
          </w:p>
        </w:tc>
        <w:tc>
          <w:tcPr>
            <w:tcW w:w="3562" w:type="dxa"/>
            <w:noWrap w:val="0"/>
            <w:vAlign w:val="center"/>
          </w:tcPr>
          <w:p w14:paraId="6AC0E289">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国家产业结构调整指导目录中的淘汰类项目。</w:t>
            </w:r>
          </w:p>
        </w:tc>
        <w:tc>
          <w:tcPr>
            <w:tcW w:w="3463" w:type="dxa"/>
            <w:noWrap w:val="0"/>
            <w:vAlign w:val="center"/>
          </w:tcPr>
          <w:p w14:paraId="7BF924E4">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本</w:t>
            </w:r>
            <w:r>
              <w:rPr>
                <w:rFonts w:hint="default" w:ascii="Arial" w:hAnsi="Arial" w:eastAsia="Times New Roman" w:cs="Arial"/>
                <w:color w:val="auto"/>
                <w:sz w:val="22"/>
                <w:szCs w:val="22"/>
                <w:highlight w:val="none"/>
              </w:rPr>
              <w:t>项目属于《产业结构调整指导目录（</w:t>
            </w:r>
            <w:r>
              <w:rPr>
                <w:rFonts w:hint="eastAsia" w:ascii="Arial" w:hAnsi="Arial" w:eastAsia="宋体" w:cs="Arial"/>
                <w:color w:val="auto"/>
                <w:sz w:val="22"/>
                <w:szCs w:val="22"/>
                <w:highlight w:val="none"/>
                <w:lang w:val="en-US" w:eastAsia="zh-CN"/>
              </w:rPr>
              <w:t>2024</w:t>
            </w:r>
            <w:r>
              <w:rPr>
                <w:rFonts w:hint="default" w:ascii="Arial" w:hAnsi="Arial" w:eastAsia="Times New Roman" w:cs="Arial"/>
                <w:color w:val="auto"/>
                <w:sz w:val="22"/>
                <w:szCs w:val="22"/>
                <w:highlight w:val="none"/>
              </w:rPr>
              <w:t>年本）》中</w:t>
            </w:r>
            <w:r>
              <w:rPr>
                <w:rFonts w:hint="eastAsia" w:ascii="Arial" w:hAnsi="Arial" w:eastAsia="宋体" w:cs="Arial"/>
                <w:color w:val="auto"/>
                <w:sz w:val="22"/>
                <w:szCs w:val="22"/>
                <w:highlight w:val="none"/>
                <w:lang w:eastAsia="zh-CN"/>
              </w:rPr>
              <w:t>鼓励</w:t>
            </w:r>
            <w:r>
              <w:rPr>
                <w:rFonts w:hint="default" w:ascii="Arial" w:hAnsi="Arial" w:cs="Arial"/>
                <w:color w:val="auto"/>
                <w:sz w:val="22"/>
                <w:szCs w:val="22"/>
                <w:highlight w:val="none"/>
              </w:rPr>
              <w:t>类</w:t>
            </w:r>
            <w:r>
              <w:rPr>
                <w:rFonts w:hint="eastAsia" w:ascii="Arial" w:hAnsi="Arial" w:cs="Arial"/>
                <w:color w:val="auto"/>
                <w:sz w:val="22"/>
                <w:szCs w:val="22"/>
                <w:highlight w:val="none"/>
                <w:lang w:eastAsia="zh-CN"/>
              </w:rPr>
              <w:t>项目</w:t>
            </w:r>
            <w:r>
              <w:rPr>
                <w:rFonts w:hint="default" w:ascii="Arial" w:hAnsi="Arial" w:eastAsia="Times New Roman" w:cs="Arial"/>
                <w:color w:val="auto"/>
                <w:sz w:val="22"/>
                <w:szCs w:val="22"/>
                <w:highlight w:val="none"/>
              </w:rPr>
              <w:t>。</w:t>
            </w:r>
          </w:p>
        </w:tc>
        <w:tc>
          <w:tcPr>
            <w:tcW w:w="1088" w:type="dxa"/>
            <w:noWrap w:val="0"/>
            <w:vAlign w:val="center"/>
          </w:tcPr>
          <w:p w14:paraId="39ECD3A4">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17476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7F1CF5DC">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1CCA548F">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天然林商业性采伐</w:t>
            </w:r>
          </w:p>
        </w:tc>
        <w:tc>
          <w:tcPr>
            <w:tcW w:w="3463" w:type="dxa"/>
            <w:noWrap w:val="0"/>
            <w:vAlign w:val="center"/>
          </w:tcPr>
          <w:p w14:paraId="560BB57A">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本项目不涉及</w:t>
            </w:r>
          </w:p>
        </w:tc>
        <w:tc>
          <w:tcPr>
            <w:tcW w:w="1088" w:type="dxa"/>
            <w:noWrap w:val="0"/>
            <w:vAlign w:val="center"/>
          </w:tcPr>
          <w:p w14:paraId="606F5778">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33812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5CF6CA8B">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744CC9D8">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法律法规和相关政策明令不予准入的其他项目。</w:t>
            </w:r>
          </w:p>
        </w:tc>
        <w:tc>
          <w:tcPr>
            <w:tcW w:w="3463" w:type="dxa"/>
            <w:noWrap w:val="0"/>
            <w:vAlign w:val="center"/>
          </w:tcPr>
          <w:p w14:paraId="0766FA09">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本项目不属于</w:t>
            </w:r>
            <w:r>
              <w:rPr>
                <w:rFonts w:hint="default" w:ascii="Arial" w:hAnsi="Arial" w:cs="Arial"/>
                <w:color w:val="auto"/>
                <w:sz w:val="22"/>
                <w:szCs w:val="22"/>
                <w:highlight w:val="none"/>
              </w:rPr>
              <w:t>法律法规和相关政策明令不予准入的项目</w:t>
            </w:r>
            <w:r>
              <w:rPr>
                <w:rFonts w:hint="eastAsia" w:ascii="Arial" w:hAnsi="Arial" w:cs="Arial"/>
                <w:color w:val="auto"/>
                <w:sz w:val="22"/>
                <w:szCs w:val="22"/>
                <w:highlight w:val="none"/>
                <w:lang w:eastAsia="zh-CN"/>
              </w:rPr>
              <w:t>。</w:t>
            </w:r>
          </w:p>
        </w:tc>
        <w:tc>
          <w:tcPr>
            <w:tcW w:w="1088" w:type="dxa"/>
            <w:noWrap w:val="0"/>
            <w:vAlign w:val="center"/>
          </w:tcPr>
          <w:p w14:paraId="7F33AC44">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2C9967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restart"/>
            <w:noWrap w:val="0"/>
            <w:vAlign w:val="center"/>
          </w:tcPr>
          <w:p w14:paraId="52B93935">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重点区域范围内不予准入的产业</w:t>
            </w:r>
          </w:p>
        </w:tc>
        <w:tc>
          <w:tcPr>
            <w:tcW w:w="3562" w:type="dxa"/>
            <w:noWrap w:val="0"/>
            <w:vAlign w:val="center"/>
          </w:tcPr>
          <w:p w14:paraId="4757465F">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外环绕城高速公路以内长江、嘉陵江水域采砂。</w:t>
            </w:r>
          </w:p>
        </w:tc>
        <w:tc>
          <w:tcPr>
            <w:tcW w:w="3463" w:type="dxa"/>
            <w:noWrap w:val="0"/>
            <w:vAlign w:val="center"/>
          </w:tcPr>
          <w:p w14:paraId="40AE184A">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本项目不涉及</w:t>
            </w:r>
          </w:p>
        </w:tc>
        <w:tc>
          <w:tcPr>
            <w:tcW w:w="1088" w:type="dxa"/>
            <w:noWrap w:val="0"/>
            <w:vAlign w:val="center"/>
          </w:tcPr>
          <w:p w14:paraId="186118DA">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2B6226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27B40198">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1C067997">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二十五度以上陡坡地开垦种植农作物。</w:t>
            </w:r>
          </w:p>
        </w:tc>
        <w:tc>
          <w:tcPr>
            <w:tcW w:w="3463" w:type="dxa"/>
            <w:noWrap w:val="0"/>
            <w:vAlign w:val="center"/>
          </w:tcPr>
          <w:p w14:paraId="1D9A6576">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本项目不涉及</w:t>
            </w:r>
          </w:p>
        </w:tc>
        <w:tc>
          <w:tcPr>
            <w:tcW w:w="1088" w:type="dxa"/>
            <w:noWrap w:val="0"/>
            <w:vAlign w:val="center"/>
          </w:tcPr>
          <w:p w14:paraId="4CC1CCE4">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1D9D7A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6BF3962D">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136A5165">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在自然保护区核心区、缓冲区的岸线和河段范围内投资建设旅游和生产经营项目。</w:t>
            </w:r>
          </w:p>
        </w:tc>
        <w:tc>
          <w:tcPr>
            <w:tcW w:w="3463" w:type="dxa"/>
            <w:vMerge w:val="restart"/>
            <w:noWrap w:val="0"/>
            <w:vAlign w:val="center"/>
          </w:tcPr>
          <w:p w14:paraId="258D68EB">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本项目</w:t>
            </w:r>
            <w:r>
              <w:rPr>
                <w:rFonts w:hint="eastAsia" w:ascii="Arial" w:hAnsi="Arial" w:cs="Arial"/>
                <w:color w:val="auto"/>
                <w:sz w:val="22"/>
                <w:szCs w:val="22"/>
                <w:highlight w:val="none"/>
                <w:lang w:eastAsia="zh-CN"/>
              </w:rPr>
              <w:t>选址位于丰都县双龙镇田家山村，占地及影响范围内不涉及风景名胜区、国家湿地公园、自然保护区、饮用水水源保护区、水产种质资源保护区，不属于</w:t>
            </w:r>
            <w:r>
              <w:rPr>
                <w:rFonts w:hint="default" w:ascii="Arial" w:hAnsi="Arial" w:cs="Arial"/>
                <w:color w:val="auto"/>
                <w:sz w:val="22"/>
                <w:szCs w:val="22"/>
                <w:highlight w:val="none"/>
              </w:rPr>
              <w:t>尾矿库、冶炼渣库和磷石膏库</w:t>
            </w:r>
            <w:r>
              <w:rPr>
                <w:rFonts w:hint="eastAsia" w:ascii="Arial" w:hAnsi="Arial" w:cs="Arial"/>
                <w:color w:val="auto"/>
                <w:sz w:val="22"/>
                <w:szCs w:val="22"/>
                <w:highlight w:val="none"/>
                <w:lang w:eastAsia="zh-CN"/>
              </w:rPr>
              <w:t>。</w:t>
            </w:r>
          </w:p>
        </w:tc>
        <w:tc>
          <w:tcPr>
            <w:tcW w:w="1088" w:type="dxa"/>
            <w:noWrap w:val="0"/>
            <w:vAlign w:val="center"/>
          </w:tcPr>
          <w:p w14:paraId="3770E550">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3AE1E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3AB1586D">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7FEEB504">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3463" w:type="dxa"/>
            <w:vMerge w:val="continue"/>
            <w:noWrap w:val="0"/>
            <w:vAlign w:val="center"/>
          </w:tcPr>
          <w:p w14:paraId="21944EB7">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p>
        </w:tc>
        <w:tc>
          <w:tcPr>
            <w:tcW w:w="1088" w:type="dxa"/>
            <w:noWrap w:val="0"/>
            <w:vAlign w:val="center"/>
          </w:tcPr>
          <w:p w14:paraId="5BFF54A9">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2B3759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3EDA3EED">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7F79D033">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长江干流岸线</w:t>
            </w:r>
            <w:r>
              <w:rPr>
                <w:rFonts w:hint="default" w:ascii="Arial" w:hAnsi="Arial" w:cs="Arial"/>
                <w:color w:val="auto"/>
                <w:sz w:val="22"/>
                <w:szCs w:val="22"/>
                <w:highlight w:val="none"/>
                <w:lang w:val="en-US" w:eastAsia="zh-CN"/>
              </w:rPr>
              <w:t>3</w:t>
            </w:r>
            <w:r>
              <w:rPr>
                <w:rFonts w:hint="default" w:ascii="Arial" w:hAnsi="Arial" w:cs="Arial"/>
                <w:color w:val="auto"/>
                <w:sz w:val="22"/>
                <w:szCs w:val="22"/>
                <w:highlight w:val="none"/>
              </w:rPr>
              <w:t>公里范围内和重要支流岸线1公里范围内新建、改建、扩建尾矿库、冶炼渣库和磷石膏库（以提升安全、生态环境保护水平为目</w:t>
            </w:r>
            <w:r>
              <w:rPr>
                <w:rFonts w:hint="eastAsia" w:ascii="Arial" w:hAnsi="Arial" w:cs="Arial"/>
                <w:color w:val="auto"/>
                <w:sz w:val="22"/>
                <w:szCs w:val="22"/>
                <w:highlight w:val="none"/>
                <w:lang w:eastAsia="zh-CN"/>
              </w:rPr>
              <w:t>的</w:t>
            </w:r>
            <w:r>
              <w:rPr>
                <w:rFonts w:hint="default" w:ascii="Arial" w:hAnsi="Arial" w:cs="Arial"/>
                <w:color w:val="auto"/>
                <w:sz w:val="22"/>
                <w:szCs w:val="22"/>
                <w:highlight w:val="none"/>
              </w:rPr>
              <w:t>改建除外）。</w:t>
            </w:r>
          </w:p>
        </w:tc>
        <w:tc>
          <w:tcPr>
            <w:tcW w:w="3463" w:type="dxa"/>
            <w:vMerge w:val="continue"/>
            <w:noWrap w:val="0"/>
            <w:vAlign w:val="center"/>
          </w:tcPr>
          <w:p w14:paraId="773376A2">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eastAsia" w:ascii="Arial" w:hAnsi="Arial" w:eastAsia="宋体" w:cs="Arial"/>
                <w:color w:val="auto"/>
                <w:sz w:val="22"/>
                <w:szCs w:val="22"/>
                <w:highlight w:val="none"/>
                <w:lang w:eastAsia="zh-CN"/>
              </w:rPr>
            </w:pPr>
          </w:p>
        </w:tc>
        <w:tc>
          <w:tcPr>
            <w:tcW w:w="1088" w:type="dxa"/>
            <w:noWrap w:val="0"/>
            <w:vAlign w:val="center"/>
          </w:tcPr>
          <w:p w14:paraId="65A49EDC">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4050D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5007D2FC">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4ECC1836">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在风景名胜区核心景区的岸线和河段范围内投资建设与风景名胜资源保护无关的项目。</w:t>
            </w:r>
          </w:p>
        </w:tc>
        <w:tc>
          <w:tcPr>
            <w:tcW w:w="3463" w:type="dxa"/>
            <w:vMerge w:val="continue"/>
            <w:noWrap w:val="0"/>
            <w:vAlign w:val="center"/>
          </w:tcPr>
          <w:p w14:paraId="553AF1B6">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p>
        </w:tc>
        <w:tc>
          <w:tcPr>
            <w:tcW w:w="1088" w:type="dxa"/>
            <w:noWrap w:val="0"/>
            <w:vAlign w:val="center"/>
          </w:tcPr>
          <w:p w14:paraId="23AE3826">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27B6D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2C6D3725">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0B2E7E76">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在国家湿地公园的岸线和河段范围内挖沙、采矿，以及任何不符合主体功能定位的投资建设项目。</w:t>
            </w:r>
          </w:p>
        </w:tc>
        <w:tc>
          <w:tcPr>
            <w:tcW w:w="3463" w:type="dxa"/>
            <w:vMerge w:val="continue"/>
            <w:noWrap w:val="0"/>
            <w:vAlign w:val="center"/>
          </w:tcPr>
          <w:p w14:paraId="7ED2EC5A">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p>
        </w:tc>
        <w:tc>
          <w:tcPr>
            <w:tcW w:w="1088" w:type="dxa"/>
            <w:noWrap w:val="0"/>
            <w:vAlign w:val="center"/>
          </w:tcPr>
          <w:p w14:paraId="0B9C527D">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1F9FF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5DF39ADA">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5057DE1C">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在《长江岸线保护和开发利用总体规划》划定的岸线保护区和保留区内投资建设除事关公共安全及公众利益的防洪护岸、河道治理、供水、生态环境保护、航道整治、国家重要基础设施以外的项目。</w:t>
            </w:r>
          </w:p>
        </w:tc>
        <w:tc>
          <w:tcPr>
            <w:tcW w:w="3463" w:type="dxa"/>
            <w:noWrap w:val="0"/>
            <w:vAlign w:val="center"/>
          </w:tcPr>
          <w:p w14:paraId="78DB0BD5">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bookmarkStart w:id="73" w:name="OLE_LINK6"/>
            <w:r>
              <w:rPr>
                <w:rFonts w:hint="eastAsia" w:ascii="Arial" w:hAnsi="Arial" w:cs="Arial"/>
                <w:color w:val="auto"/>
                <w:kern w:val="0"/>
                <w:sz w:val="22"/>
                <w:szCs w:val="22"/>
                <w:highlight w:val="none"/>
                <w:lang w:eastAsia="zh-CN"/>
              </w:rPr>
              <w:t>本项目所在河流为海螺沟，不涉及长江划定的岸线保护区和保留区。</w:t>
            </w:r>
            <w:bookmarkEnd w:id="73"/>
          </w:p>
        </w:tc>
        <w:tc>
          <w:tcPr>
            <w:tcW w:w="1088" w:type="dxa"/>
            <w:noWrap w:val="0"/>
            <w:vAlign w:val="center"/>
          </w:tcPr>
          <w:p w14:paraId="26E0FF9B">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74D59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2C2E1978">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12401B2F">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在《全国重要江河湖泊水功能区划》划定的河段及湖泊保护区、保留区内投资建设不利于水资源及自然生态保护的项目。</w:t>
            </w:r>
          </w:p>
        </w:tc>
        <w:tc>
          <w:tcPr>
            <w:tcW w:w="3463" w:type="dxa"/>
            <w:noWrap w:val="0"/>
            <w:vAlign w:val="center"/>
          </w:tcPr>
          <w:p w14:paraId="0B561C95">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kern w:val="0"/>
                <w:sz w:val="22"/>
                <w:szCs w:val="22"/>
                <w:highlight w:val="none"/>
                <w:lang w:eastAsia="zh-CN"/>
              </w:rPr>
              <w:t>本项目所在河流为海螺沟，</w:t>
            </w:r>
            <w:r>
              <w:rPr>
                <w:rFonts w:hint="eastAsia" w:ascii="Arial" w:hAnsi="Arial" w:cs="Arial"/>
                <w:color w:val="auto"/>
                <w:sz w:val="22"/>
                <w:szCs w:val="22"/>
                <w:highlight w:val="none"/>
                <w:lang w:eastAsia="zh-CN"/>
              </w:rPr>
              <w:t>不涉及</w:t>
            </w:r>
            <w:r>
              <w:rPr>
                <w:rFonts w:hint="default" w:ascii="Arial" w:hAnsi="Arial" w:cs="Arial"/>
                <w:color w:val="auto"/>
                <w:sz w:val="22"/>
                <w:szCs w:val="22"/>
                <w:highlight w:val="none"/>
              </w:rPr>
              <w:t>全国重要江河湖泊</w:t>
            </w:r>
            <w:r>
              <w:rPr>
                <w:rFonts w:hint="eastAsia" w:ascii="Arial" w:hAnsi="Arial" w:cs="Arial"/>
                <w:color w:val="auto"/>
                <w:sz w:val="22"/>
                <w:szCs w:val="22"/>
                <w:highlight w:val="none"/>
                <w:lang w:eastAsia="zh-CN"/>
              </w:rPr>
              <w:t>。</w:t>
            </w:r>
          </w:p>
        </w:tc>
        <w:tc>
          <w:tcPr>
            <w:tcW w:w="1088" w:type="dxa"/>
            <w:noWrap w:val="0"/>
            <w:vAlign w:val="center"/>
          </w:tcPr>
          <w:p w14:paraId="480151C2">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782660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restart"/>
            <w:noWrap w:val="0"/>
            <w:vAlign w:val="center"/>
          </w:tcPr>
          <w:p w14:paraId="0B38F8AD">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全市范围内限制准入类</w:t>
            </w:r>
          </w:p>
        </w:tc>
        <w:tc>
          <w:tcPr>
            <w:tcW w:w="3562" w:type="dxa"/>
            <w:noWrap w:val="0"/>
            <w:vAlign w:val="center"/>
          </w:tcPr>
          <w:p w14:paraId="5618A4AE">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新建、扩建不符合国家产能置换要求的严重过剩产能行业的项目。新建、扩建不符合要求的高耗能高排放项目。</w:t>
            </w:r>
          </w:p>
        </w:tc>
        <w:tc>
          <w:tcPr>
            <w:tcW w:w="3463" w:type="dxa"/>
            <w:noWrap w:val="0"/>
            <w:vAlign w:val="center"/>
          </w:tcPr>
          <w:p w14:paraId="01B0F28B">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本项目不涉及</w:t>
            </w:r>
          </w:p>
        </w:tc>
        <w:tc>
          <w:tcPr>
            <w:tcW w:w="1088" w:type="dxa"/>
            <w:noWrap w:val="0"/>
            <w:vAlign w:val="center"/>
          </w:tcPr>
          <w:p w14:paraId="0FA55D53">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5A8BC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46EA30F2">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0313D966">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新建、扩建不符合国家石化、现代煤化工等产业布局规划的项目。</w:t>
            </w:r>
          </w:p>
        </w:tc>
        <w:tc>
          <w:tcPr>
            <w:tcW w:w="3463" w:type="dxa"/>
            <w:noWrap w:val="0"/>
            <w:vAlign w:val="center"/>
          </w:tcPr>
          <w:p w14:paraId="1103D62F">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本项目</w:t>
            </w:r>
            <w:r>
              <w:rPr>
                <w:rFonts w:hint="eastAsia" w:ascii="Arial" w:hAnsi="Arial" w:cs="Arial"/>
                <w:color w:val="auto"/>
                <w:sz w:val="22"/>
                <w:szCs w:val="22"/>
                <w:highlight w:val="none"/>
                <w:lang w:eastAsia="zh-CN"/>
              </w:rPr>
              <w:t>不涉及</w:t>
            </w:r>
          </w:p>
        </w:tc>
        <w:tc>
          <w:tcPr>
            <w:tcW w:w="1088" w:type="dxa"/>
            <w:noWrap w:val="0"/>
            <w:vAlign w:val="center"/>
          </w:tcPr>
          <w:p w14:paraId="053995BD">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2174C4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2570E59D">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50E82880">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在合规园区外新建、扩建钢铁、石化、化工、焦化、建材、有色、制浆造纸等高污染项目。</w:t>
            </w:r>
          </w:p>
        </w:tc>
        <w:tc>
          <w:tcPr>
            <w:tcW w:w="3463" w:type="dxa"/>
            <w:noWrap w:val="0"/>
            <w:vAlign w:val="center"/>
          </w:tcPr>
          <w:p w14:paraId="592FA8E2">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本项目不涉及</w:t>
            </w:r>
          </w:p>
        </w:tc>
        <w:tc>
          <w:tcPr>
            <w:tcW w:w="1088" w:type="dxa"/>
            <w:noWrap w:val="0"/>
            <w:vAlign w:val="center"/>
          </w:tcPr>
          <w:p w14:paraId="6203F94B">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12BA1E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tcBorders>
              <w:bottom w:val="single" w:color="auto" w:sz="4" w:space="0"/>
            </w:tcBorders>
            <w:noWrap w:val="0"/>
            <w:vAlign w:val="center"/>
          </w:tcPr>
          <w:p w14:paraId="6906E114">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tcBorders>
              <w:bottom w:val="single" w:color="auto" w:sz="4" w:space="0"/>
            </w:tcBorders>
            <w:noWrap w:val="0"/>
            <w:vAlign w:val="center"/>
          </w:tcPr>
          <w:p w14:paraId="528F3BDE">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《汽车产业投资管理规定》（国家发展和改革委员会令第22号）明确禁止建设的汽车投资项目。</w:t>
            </w:r>
          </w:p>
        </w:tc>
        <w:tc>
          <w:tcPr>
            <w:tcW w:w="3463" w:type="dxa"/>
            <w:noWrap w:val="0"/>
            <w:vAlign w:val="center"/>
          </w:tcPr>
          <w:p w14:paraId="22C3CEA0">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本项目不涉及</w:t>
            </w:r>
          </w:p>
        </w:tc>
        <w:tc>
          <w:tcPr>
            <w:tcW w:w="1088" w:type="dxa"/>
            <w:noWrap w:val="0"/>
            <w:vAlign w:val="center"/>
          </w:tcPr>
          <w:p w14:paraId="134B344E">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1EABB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restart"/>
            <w:tcBorders>
              <w:top w:val="single" w:color="auto" w:sz="4" w:space="0"/>
            </w:tcBorders>
            <w:noWrap w:val="0"/>
            <w:vAlign w:val="center"/>
          </w:tcPr>
          <w:p w14:paraId="603E3056">
            <w:pPr>
              <w:pStyle w:val="1091"/>
              <w:keepNext w:val="0"/>
              <w:keepLines w:val="0"/>
              <w:pageBreakBefore w:val="0"/>
              <w:widowControl w:val="0"/>
              <w:shd w:val="clear" w:color="auto" w:fill="auto"/>
              <w:kinsoku/>
              <w:wordWrap/>
              <w:overflowPunct/>
              <w:topLinePunct w:val="0"/>
              <w:autoSpaceDE/>
              <w:autoSpaceDN/>
              <w:bidi w:val="0"/>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重点区域范围内限制准入类</w:t>
            </w:r>
          </w:p>
        </w:tc>
        <w:tc>
          <w:tcPr>
            <w:tcW w:w="3562" w:type="dxa"/>
            <w:tcBorders>
              <w:top w:val="single" w:color="auto" w:sz="4" w:space="0"/>
            </w:tcBorders>
            <w:noWrap w:val="0"/>
            <w:vAlign w:val="center"/>
          </w:tcPr>
          <w:p w14:paraId="30A16CD5">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长江干支流、重要湖泊岸线1公里范围内新建、扩建化工园区和化工项目，长江、嘉陵江、乌江岸线1公里范围内布局新建纸浆制造、印染等存在环境风险的项目。</w:t>
            </w:r>
          </w:p>
        </w:tc>
        <w:tc>
          <w:tcPr>
            <w:tcW w:w="3463" w:type="dxa"/>
            <w:noWrap w:val="0"/>
            <w:vAlign w:val="center"/>
          </w:tcPr>
          <w:p w14:paraId="001D43C2">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本项目不涉及</w:t>
            </w:r>
          </w:p>
        </w:tc>
        <w:tc>
          <w:tcPr>
            <w:tcW w:w="1088" w:type="dxa"/>
            <w:noWrap w:val="0"/>
            <w:vAlign w:val="center"/>
          </w:tcPr>
          <w:p w14:paraId="4EE912A2">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r>
              <w:rPr>
                <w:rFonts w:hint="default" w:ascii="Arial" w:hAnsi="Arial" w:cs="Arial"/>
                <w:color w:val="auto"/>
                <w:sz w:val="22"/>
                <w:szCs w:val="22"/>
                <w:highlight w:val="none"/>
              </w:rPr>
              <w:t>符合</w:t>
            </w:r>
          </w:p>
        </w:tc>
      </w:tr>
      <w:tr w14:paraId="7A7709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5" w:type="dxa"/>
            <w:vMerge w:val="continue"/>
            <w:noWrap w:val="0"/>
            <w:vAlign w:val="center"/>
          </w:tcPr>
          <w:p w14:paraId="1C7ADBF8">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color w:val="auto"/>
                <w:sz w:val="22"/>
                <w:szCs w:val="22"/>
                <w:highlight w:val="none"/>
              </w:rPr>
            </w:pPr>
          </w:p>
        </w:tc>
        <w:tc>
          <w:tcPr>
            <w:tcW w:w="3562" w:type="dxa"/>
            <w:noWrap w:val="0"/>
            <w:vAlign w:val="center"/>
          </w:tcPr>
          <w:p w14:paraId="0FDCA842">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在水产种质资源保护区的岸线和河段范围内新建围湖造田等投资建设项目。</w:t>
            </w:r>
          </w:p>
        </w:tc>
        <w:tc>
          <w:tcPr>
            <w:tcW w:w="3463" w:type="dxa"/>
            <w:noWrap w:val="0"/>
            <w:vAlign w:val="center"/>
          </w:tcPr>
          <w:p w14:paraId="2E878CA9">
            <w:pPr>
              <w:keepNext w:val="0"/>
              <w:keepLines w:val="0"/>
              <w:pageBreakBefore w:val="0"/>
              <w:widowControl w:val="0"/>
              <w:shd w:val="clear" w:color="auto" w:fill="auto"/>
              <w:kinsoku/>
              <w:wordWrap/>
              <w:overflowPunct/>
              <w:topLinePunct w:val="0"/>
              <w:autoSpaceDE/>
              <w:autoSpaceDN/>
              <w:bidi w:val="0"/>
              <w:spacing w:line="300" w:lineRule="exact"/>
              <w:ind w:left="0" w:left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本项目</w:t>
            </w:r>
            <w:r>
              <w:rPr>
                <w:rFonts w:hint="eastAsia" w:ascii="Arial" w:hAnsi="Arial" w:cs="Arial"/>
                <w:color w:val="auto"/>
                <w:kern w:val="0"/>
                <w:sz w:val="22"/>
                <w:szCs w:val="22"/>
                <w:highlight w:val="none"/>
                <w:lang w:eastAsia="zh-CN"/>
              </w:rPr>
              <w:t>所在河流为海螺沟，不涉及水产种质资源保护区。</w:t>
            </w:r>
          </w:p>
        </w:tc>
        <w:tc>
          <w:tcPr>
            <w:tcW w:w="1088" w:type="dxa"/>
            <w:noWrap w:val="0"/>
            <w:vAlign w:val="center"/>
          </w:tcPr>
          <w:p w14:paraId="6F78247C">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bl>
    <w:p w14:paraId="71934582">
      <w:pPr>
        <w:pStyle w:val="1873"/>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Arial" w:hAnsi="Arial" w:cs="Arial"/>
          <w:b w:val="0"/>
          <w:color w:val="auto"/>
          <w:kern w:val="2"/>
          <w:sz w:val="26"/>
          <w:szCs w:val="26"/>
          <w:lang w:val="en-US" w:eastAsia="zh-CN" w:bidi="ar-SA"/>
        </w:rPr>
      </w:pPr>
    </w:p>
    <w:p w14:paraId="158F6685">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由表1.9-1可知，本项目与《关于印发重庆市产业投资准入工作手册的通知》（渝发改投资〔2022〕1436号）相符。</w:t>
      </w:r>
    </w:p>
    <w:p w14:paraId="2990002E">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eastAsia" w:ascii="Arial" w:hAnsi="Arial" w:eastAsia="宋体" w:cs="Arial"/>
          <w:b/>
          <w:color w:val="auto"/>
          <w:kern w:val="0"/>
          <w:sz w:val="26"/>
          <w:szCs w:val="26"/>
          <w:highlight w:val="none"/>
          <w:lang w:val="en-US" w:eastAsia="zh-CN"/>
        </w:rPr>
      </w:pPr>
      <w:r>
        <w:rPr>
          <w:rFonts w:hint="eastAsia" w:ascii="Arial" w:hAnsi="Arial" w:eastAsia="宋体" w:cs="Arial"/>
          <w:b/>
          <w:color w:val="auto"/>
          <w:kern w:val="0"/>
          <w:sz w:val="26"/>
          <w:szCs w:val="26"/>
          <w:highlight w:val="none"/>
          <w:lang w:val="en-US" w:eastAsia="zh-CN"/>
        </w:rPr>
        <w:t>1.9.3与《长江经济带发展负面清单指南（试行，2022年版）》（长江办</w:t>
      </w:r>
      <w:r>
        <w:rPr>
          <w:rFonts w:hint="eastAsia" w:ascii="宋体" w:hAnsi="宋体" w:eastAsia="宋体" w:cs="宋体"/>
          <w:b/>
          <w:color w:val="auto"/>
          <w:kern w:val="0"/>
          <w:sz w:val="26"/>
          <w:szCs w:val="26"/>
          <w:highlight w:val="none"/>
          <w:lang w:val="en-US" w:eastAsia="zh-CN"/>
        </w:rPr>
        <w:t>〔</w:t>
      </w:r>
      <w:r>
        <w:rPr>
          <w:rFonts w:hint="eastAsia" w:ascii="Arial" w:hAnsi="Arial" w:eastAsia="宋体" w:cs="Arial"/>
          <w:b/>
          <w:color w:val="auto"/>
          <w:kern w:val="0"/>
          <w:sz w:val="26"/>
          <w:szCs w:val="26"/>
          <w:highlight w:val="none"/>
          <w:lang w:val="en-US" w:eastAsia="zh-CN"/>
        </w:rPr>
        <w:t>2022</w:t>
      </w:r>
      <w:r>
        <w:rPr>
          <w:rFonts w:hint="eastAsia" w:ascii="宋体" w:hAnsi="宋体" w:eastAsia="宋体" w:cs="宋体"/>
          <w:b/>
          <w:color w:val="auto"/>
          <w:kern w:val="0"/>
          <w:sz w:val="26"/>
          <w:szCs w:val="26"/>
          <w:highlight w:val="none"/>
          <w:lang w:val="en-US" w:eastAsia="zh-CN"/>
        </w:rPr>
        <w:t>〕</w:t>
      </w:r>
      <w:r>
        <w:rPr>
          <w:rFonts w:hint="eastAsia" w:ascii="Arial" w:hAnsi="Arial" w:eastAsia="宋体" w:cs="Arial"/>
          <w:b/>
          <w:color w:val="auto"/>
          <w:kern w:val="0"/>
          <w:sz w:val="26"/>
          <w:szCs w:val="26"/>
          <w:highlight w:val="none"/>
          <w:lang w:val="en-US" w:eastAsia="zh-CN"/>
        </w:rPr>
        <w:t>7号）的符合性分析</w:t>
      </w:r>
    </w:p>
    <w:p w14:paraId="4B2F3FC6">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jc w:val="both"/>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为深入贯彻落实习近平总书记关于推动长江经济带发展的重要讲话和指示批示精神，</w:t>
      </w:r>
      <w:r>
        <w:rPr>
          <w:rFonts w:hint="default" w:ascii="Arial" w:hAnsi="Arial" w:eastAsia="宋体" w:cs="Arial"/>
          <w:b w:val="0"/>
          <w:color w:val="auto"/>
          <w:kern w:val="2"/>
          <w:sz w:val="26"/>
          <w:szCs w:val="26"/>
          <w:lang w:val="en-US" w:eastAsia="zh-CN" w:bidi="ar-SA"/>
        </w:rPr>
        <w:t>认真落实长江保护法，进一步完善长江经济带负面清单管理制度体系，经推动长江经济带发展领导小组批准同意，印发了《长江经济带发展负面清单指南（试行，2022 年版）》</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 xml:space="preserve">本项目与其相关符合性分析详见表 </w:t>
      </w:r>
      <w:r>
        <w:rPr>
          <w:rFonts w:hint="eastAsia" w:ascii="Arial" w:hAnsi="Arial" w:eastAsia="宋体" w:cs="Arial"/>
          <w:b w:val="0"/>
          <w:color w:val="auto"/>
          <w:kern w:val="2"/>
          <w:sz w:val="26"/>
          <w:szCs w:val="26"/>
          <w:lang w:val="en-US" w:eastAsia="zh-CN" w:bidi="ar-SA"/>
        </w:rPr>
        <w:t>1.</w:t>
      </w:r>
      <w:r>
        <w:rPr>
          <w:rFonts w:hint="eastAsia" w:ascii="Arial" w:hAnsi="Arial" w:cs="Arial"/>
          <w:b w:val="0"/>
          <w:color w:val="auto"/>
          <w:kern w:val="2"/>
          <w:sz w:val="26"/>
          <w:szCs w:val="26"/>
          <w:lang w:val="en-US" w:eastAsia="zh-CN" w:bidi="ar-SA"/>
        </w:rPr>
        <w:t>9</w:t>
      </w:r>
      <w:r>
        <w:rPr>
          <w:rFonts w:hint="default" w:ascii="Arial" w:hAnsi="Arial" w:eastAsia="宋体" w:cs="Arial"/>
          <w:b w:val="0"/>
          <w:color w:val="auto"/>
          <w:kern w:val="2"/>
          <w:sz w:val="26"/>
          <w:szCs w:val="26"/>
          <w:lang w:val="en-US" w:eastAsia="zh-CN" w:bidi="ar-SA"/>
        </w:rPr>
        <w:t>-</w:t>
      </w:r>
      <w:r>
        <w:rPr>
          <w:rFonts w:hint="eastAsia" w:ascii="Arial" w:hAnsi="Arial" w:cs="Arial"/>
          <w:b w:val="0"/>
          <w:color w:val="auto"/>
          <w:kern w:val="2"/>
          <w:sz w:val="26"/>
          <w:szCs w:val="26"/>
          <w:lang w:val="en-US" w:eastAsia="zh-CN" w:bidi="ar-SA"/>
        </w:rPr>
        <w:t>2</w:t>
      </w:r>
      <w:r>
        <w:rPr>
          <w:rFonts w:hint="default" w:ascii="Arial" w:hAnsi="Arial" w:eastAsia="宋体" w:cs="Arial"/>
          <w:b w:val="0"/>
          <w:color w:val="auto"/>
          <w:kern w:val="2"/>
          <w:sz w:val="26"/>
          <w:szCs w:val="26"/>
          <w:lang w:val="en-US" w:eastAsia="zh-CN" w:bidi="ar-SA"/>
        </w:rPr>
        <w:t>。</w:t>
      </w:r>
    </w:p>
    <w:p w14:paraId="3A1DC7E1">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sz w:val="26"/>
          <w:szCs w:val="26"/>
          <w:highlight w:val="none"/>
          <w:lang w:eastAsia="zh-CN"/>
        </w:rPr>
      </w:pPr>
      <w:r>
        <w:rPr>
          <w:rFonts w:hint="eastAsia" w:ascii="Arial" w:hAnsi="Arial" w:cs="Arial"/>
          <w:b/>
          <w:sz w:val="26"/>
          <w:szCs w:val="26"/>
          <w:highlight w:val="none"/>
          <w:lang w:eastAsia="zh-CN"/>
        </w:rPr>
        <w:t>表1.</w:t>
      </w:r>
      <w:r>
        <w:rPr>
          <w:rFonts w:hint="eastAsia" w:ascii="Arial" w:hAnsi="Arial" w:cs="Arial"/>
          <w:b/>
          <w:sz w:val="26"/>
          <w:szCs w:val="26"/>
          <w:highlight w:val="none"/>
          <w:lang w:val="en-US" w:eastAsia="zh-CN"/>
        </w:rPr>
        <w:t>9-2</w:t>
      </w:r>
      <w:r>
        <w:rPr>
          <w:rFonts w:hint="eastAsia" w:ascii="Arial" w:hAnsi="Arial" w:cs="Arial"/>
          <w:b/>
          <w:sz w:val="26"/>
          <w:szCs w:val="26"/>
          <w:highlight w:val="none"/>
          <w:lang w:eastAsia="zh-CN"/>
        </w:rPr>
        <w:t xml:space="preserve">  拟建项目</w:t>
      </w:r>
      <w:r>
        <w:rPr>
          <w:rFonts w:hint="eastAsia" w:ascii="Arial" w:hAnsi="Arial" w:cs="Arial"/>
          <w:b/>
          <w:sz w:val="26"/>
          <w:szCs w:val="26"/>
          <w:highlight w:val="none"/>
          <w:lang w:val="en-US" w:eastAsia="zh-CN"/>
        </w:rPr>
        <w:t>与“长江办</w:t>
      </w:r>
      <w:r>
        <w:rPr>
          <w:rFonts w:hint="eastAsia" w:ascii="宋体" w:hAnsi="宋体" w:eastAsia="宋体" w:cs="宋体"/>
          <w:b/>
          <w:sz w:val="26"/>
          <w:szCs w:val="26"/>
          <w:highlight w:val="none"/>
          <w:lang w:val="en-US" w:eastAsia="zh-CN"/>
        </w:rPr>
        <w:t>〔</w:t>
      </w:r>
      <w:r>
        <w:rPr>
          <w:rFonts w:hint="eastAsia" w:ascii="Arial" w:hAnsi="Arial" w:cs="Arial"/>
          <w:b/>
          <w:sz w:val="26"/>
          <w:szCs w:val="26"/>
          <w:highlight w:val="none"/>
          <w:lang w:val="en-US" w:eastAsia="zh-CN"/>
        </w:rPr>
        <w:t>2022</w:t>
      </w:r>
      <w:r>
        <w:rPr>
          <w:rFonts w:hint="eastAsia" w:ascii="宋体" w:hAnsi="宋体" w:eastAsia="宋体" w:cs="宋体"/>
          <w:b/>
          <w:sz w:val="26"/>
          <w:szCs w:val="26"/>
          <w:highlight w:val="none"/>
          <w:lang w:val="en-US" w:eastAsia="zh-CN"/>
        </w:rPr>
        <w:t>〕</w:t>
      </w:r>
      <w:r>
        <w:rPr>
          <w:rFonts w:hint="eastAsia" w:ascii="Arial" w:hAnsi="Arial" w:cs="Arial"/>
          <w:b/>
          <w:sz w:val="26"/>
          <w:szCs w:val="26"/>
          <w:highlight w:val="none"/>
          <w:lang w:val="en-US" w:eastAsia="zh-CN"/>
        </w:rPr>
        <w:t xml:space="preserve">7号文”符合性分析表 </w:t>
      </w:r>
    </w:p>
    <w:tbl>
      <w:tblPr>
        <w:tblStyle w:val="78"/>
        <w:tblW w:w="93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1"/>
        <w:gridCol w:w="4703"/>
        <w:gridCol w:w="3001"/>
        <w:gridCol w:w="904"/>
      </w:tblGrid>
      <w:tr w14:paraId="0A14E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334B3240">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lang w:val="en-US" w:eastAsia="zh-CN"/>
              </w:rPr>
              <w:t>序号</w:t>
            </w:r>
          </w:p>
        </w:tc>
        <w:tc>
          <w:tcPr>
            <w:tcW w:w="4703" w:type="dxa"/>
            <w:tcBorders>
              <w:tl2br w:val="nil"/>
              <w:tr2bl w:val="nil"/>
            </w:tcBorders>
            <w:noWrap w:val="0"/>
            <w:vAlign w:val="center"/>
          </w:tcPr>
          <w:p w14:paraId="6DA4F948">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rPr>
            </w:pPr>
            <w:r>
              <w:rPr>
                <w:rFonts w:hint="default" w:ascii="Arial" w:hAnsi="Arial" w:eastAsia="宋体" w:cs="Arial"/>
                <w:color w:val="auto"/>
                <w:sz w:val="22"/>
                <w:szCs w:val="22"/>
                <w:highlight w:val="none"/>
                <w:vertAlign w:val="baseline"/>
                <w:lang w:val="en-US" w:eastAsia="zh-CN"/>
              </w:rPr>
              <w:t>负面清单实施细则</w:t>
            </w:r>
          </w:p>
        </w:tc>
        <w:tc>
          <w:tcPr>
            <w:tcW w:w="3001" w:type="dxa"/>
            <w:tcBorders>
              <w:tl2br w:val="nil"/>
              <w:tr2bl w:val="nil"/>
            </w:tcBorders>
            <w:noWrap w:val="0"/>
            <w:vAlign w:val="center"/>
          </w:tcPr>
          <w:p w14:paraId="4F7CFD4E">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color w:val="auto"/>
                <w:sz w:val="22"/>
                <w:szCs w:val="22"/>
                <w:highlight w:val="none"/>
                <w:vertAlign w:val="baseline"/>
                <w:lang w:eastAsia="zh-CN"/>
              </w:rPr>
            </w:pPr>
            <w:r>
              <w:rPr>
                <w:rFonts w:hint="default" w:ascii="Arial" w:hAnsi="Arial" w:eastAsia="宋体" w:cs="Arial"/>
                <w:color w:val="auto"/>
                <w:sz w:val="22"/>
                <w:szCs w:val="22"/>
                <w:highlight w:val="none"/>
                <w:vertAlign w:val="baseline"/>
                <w:lang w:eastAsia="zh-CN"/>
              </w:rPr>
              <w:t>本项目情况</w:t>
            </w:r>
          </w:p>
        </w:tc>
        <w:tc>
          <w:tcPr>
            <w:tcW w:w="904" w:type="dxa"/>
            <w:tcBorders>
              <w:tl2br w:val="nil"/>
              <w:tr2bl w:val="nil"/>
            </w:tcBorders>
            <w:noWrap w:val="0"/>
            <w:vAlign w:val="center"/>
          </w:tcPr>
          <w:p w14:paraId="1A569012">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rPr>
            </w:pPr>
            <w:r>
              <w:rPr>
                <w:rFonts w:hint="default" w:ascii="Arial" w:hAnsi="Arial" w:eastAsia="宋体" w:cs="Arial"/>
                <w:color w:val="auto"/>
                <w:sz w:val="22"/>
                <w:szCs w:val="22"/>
                <w:highlight w:val="none"/>
                <w:vertAlign w:val="baseline"/>
                <w:lang w:val="en-US" w:eastAsia="zh-CN"/>
              </w:rPr>
              <w:t>符合性</w:t>
            </w:r>
          </w:p>
        </w:tc>
      </w:tr>
      <w:tr w14:paraId="5F7E40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0DAA4B0C">
            <w:pPr>
              <w:pStyle w:val="1816"/>
              <w:keepNext w:val="0"/>
              <w:keepLines w:val="0"/>
              <w:pageBreakBefore w:val="0"/>
              <w:kinsoku/>
              <w:wordWrap/>
              <w:overflowPunct/>
              <w:topLinePunct w:val="0"/>
              <w:autoSpaceDE/>
              <w:autoSpaceDN/>
              <w:bidi w:val="0"/>
              <w:snapToGrid/>
              <w:spacing w:line="300" w:lineRule="exact"/>
              <w:ind w:firstLine="0" w:firstLineChars="0"/>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rPr>
              <w:t>1</w:t>
            </w:r>
          </w:p>
        </w:tc>
        <w:tc>
          <w:tcPr>
            <w:tcW w:w="4703" w:type="dxa"/>
            <w:tcBorders>
              <w:tl2br w:val="nil"/>
              <w:tr2bl w:val="nil"/>
            </w:tcBorders>
            <w:noWrap w:val="0"/>
            <w:vAlign w:val="center"/>
          </w:tcPr>
          <w:p w14:paraId="1B8024A7">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禁止建设不符合全国和省级港口布局规划以及港口总体规划的码头项目，禁止建设不符合《长江干线过江通道布局规划》的过长江通道项目。</w:t>
            </w:r>
          </w:p>
        </w:tc>
        <w:tc>
          <w:tcPr>
            <w:tcW w:w="3001" w:type="dxa"/>
            <w:tcBorders>
              <w:tl2br w:val="nil"/>
              <w:tr2bl w:val="nil"/>
            </w:tcBorders>
            <w:noWrap w:val="0"/>
            <w:vAlign w:val="center"/>
          </w:tcPr>
          <w:p w14:paraId="35AF5B47">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eastAsia" w:ascii="Arial" w:hAnsi="Arial" w:eastAsia="宋体" w:cs="Arial"/>
                <w:color w:val="auto"/>
                <w:kern w:val="0"/>
                <w:sz w:val="22"/>
                <w:szCs w:val="22"/>
                <w:vertAlign w:val="baseline"/>
                <w:lang w:val="en-US" w:eastAsia="zh-CN"/>
              </w:rPr>
              <w:t>本项目不属于码头，且不涉及长江。</w:t>
            </w:r>
          </w:p>
        </w:tc>
        <w:tc>
          <w:tcPr>
            <w:tcW w:w="904" w:type="dxa"/>
            <w:tcBorders>
              <w:tl2br w:val="nil"/>
              <w:tr2bl w:val="nil"/>
            </w:tcBorders>
            <w:noWrap w:val="0"/>
            <w:vAlign w:val="center"/>
          </w:tcPr>
          <w:p w14:paraId="39F68590">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00EB6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51D8A808">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rPr>
              <w:t>2</w:t>
            </w:r>
          </w:p>
        </w:tc>
        <w:tc>
          <w:tcPr>
            <w:tcW w:w="4703" w:type="dxa"/>
            <w:tcBorders>
              <w:tl2br w:val="nil"/>
              <w:tr2bl w:val="nil"/>
            </w:tcBorders>
            <w:noWrap w:val="0"/>
            <w:vAlign w:val="center"/>
          </w:tcPr>
          <w:p w14:paraId="7823B9EA">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禁止在自然保护区核心区、缓冲区的岸线和河段范围内投资建设旅游和生产经营项目。禁止在风景名胜区核心景区的岸线和河段范围内投资建设与风景名胜资源保护无关的项目。</w:t>
            </w:r>
          </w:p>
        </w:tc>
        <w:tc>
          <w:tcPr>
            <w:tcW w:w="3001" w:type="dxa"/>
            <w:vMerge w:val="restart"/>
            <w:tcBorders>
              <w:tl2br w:val="nil"/>
              <w:tr2bl w:val="nil"/>
            </w:tcBorders>
            <w:noWrap w:val="0"/>
            <w:vAlign w:val="center"/>
          </w:tcPr>
          <w:p w14:paraId="653A7499">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cs="Arial"/>
                <w:color w:val="auto"/>
                <w:sz w:val="22"/>
                <w:szCs w:val="22"/>
                <w:highlight w:val="none"/>
              </w:rPr>
              <w:t>本项目</w:t>
            </w:r>
            <w:r>
              <w:rPr>
                <w:rFonts w:hint="eastAsia" w:ascii="Arial" w:hAnsi="Arial" w:cs="Arial"/>
                <w:color w:val="auto"/>
                <w:sz w:val="22"/>
                <w:szCs w:val="22"/>
                <w:highlight w:val="none"/>
                <w:lang w:eastAsia="zh-CN"/>
              </w:rPr>
              <w:t>选址位于丰都县双龙镇田家山村，占地及影响范围内不涉及风景名胜区、国家湿地公园、自然保护区、饮用水水源保护区、水产种质资源保护区等生态敏感区。</w:t>
            </w:r>
          </w:p>
        </w:tc>
        <w:tc>
          <w:tcPr>
            <w:tcW w:w="904" w:type="dxa"/>
            <w:tcBorders>
              <w:tl2br w:val="nil"/>
              <w:tr2bl w:val="nil"/>
            </w:tcBorders>
            <w:noWrap w:val="0"/>
            <w:vAlign w:val="center"/>
          </w:tcPr>
          <w:p w14:paraId="42C0CDDF">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77B58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613A7F7F">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rPr>
              <w:t>3</w:t>
            </w:r>
          </w:p>
        </w:tc>
        <w:tc>
          <w:tcPr>
            <w:tcW w:w="4703" w:type="dxa"/>
            <w:tcBorders>
              <w:tl2br w:val="nil"/>
              <w:tr2bl w:val="nil"/>
            </w:tcBorders>
            <w:noWrap w:val="0"/>
            <w:vAlign w:val="center"/>
          </w:tcPr>
          <w:p w14:paraId="2973FF69">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3001" w:type="dxa"/>
            <w:vMerge w:val="continue"/>
            <w:tcBorders>
              <w:tl2br w:val="nil"/>
              <w:tr2bl w:val="nil"/>
            </w:tcBorders>
            <w:noWrap w:val="0"/>
            <w:vAlign w:val="center"/>
          </w:tcPr>
          <w:p w14:paraId="6D1EE583">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p>
        </w:tc>
        <w:tc>
          <w:tcPr>
            <w:tcW w:w="904" w:type="dxa"/>
            <w:tcBorders>
              <w:tl2br w:val="nil"/>
              <w:tr2bl w:val="nil"/>
            </w:tcBorders>
            <w:noWrap w:val="0"/>
            <w:vAlign w:val="center"/>
          </w:tcPr>
          <w:p w14:paraId="313C14E5">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07A76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13ACD6BE">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rPr>
              <w:t>4</w:t>
            </w:r>
          </w:p>
        </w:tc>
        <w:tc>
          <w:tcPr>
            <w:tcW w:w="4703" w:type="dxa"/>
            <w:tcBorders>
              <w:tl2br w:val="nil"/>
              <w:tr2bl w:val="nil"/>
            </w:tcBorders>
            <w:noWrap w:val="0"/>
            <w:vAlign w:val="center"/>
          </w:tcPr>
          <w:p w14:paraId="66B83E62">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在水产种质资源保护区的岸线和河段范围内新建排污口，以及围湖造田、围海造地或围填海等投资建设项目。禁止在国家湿地公园的岸线和河段范围内挖砂、采矿，以及任何不符合主体功能定位的投资建设项目。</w:t>
            </w:r>
          </w:p>
        </w:tc>
        <w:tc>
          <w:tcPr>
            <w:tcW w:w="3001" w:type="dxa"/>
            <w:vMerge w:val="continue"/>
            <w:tcBorders>
              <w:tl2br w:val="nil"/>
              <w:tr2bl w:val="nil"/>
            </w:tcBorders>
            <w:noWrap w:val="0"/>
            <w:vAlign w:val="center"/>
          </w:tcPr>
          <w:p w14:paraId="5E34B80A">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p>
        </w:tc>
        <w:tc>
          <w:tcPr>
            <w:tcW w:w="904" w:type="dxa"/>
            <w:tcBorders>
              <w:tl2br w:val="nil"/>
              <w:tr2bl w:val="nil"/>
            </w:tcBorders>
            <w:noWrap w:val="0"/>
            <w:vAlign w:val="center"/>
          </w:tcPr>
          <w:p w14:paraId="6F17A8F8">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0CDA7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004A9C09">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lang w:val="en-US" w:eastAsia="zh-CN"/>
              </w:rPr>
              <w:t>5</w:t>
            </w:r>
          </w:p>
        </w:tc>
        <w:tc>
          <w:tcPr>
            <w:tcW w:w="4703" w:type="dxa"/>
            <w:tcBorders>
              <w:tl2br w:val="nil"/>
              <w:tr2bl w:val="nil"/>
            </w:tcBorders>
            <w:noWrap w:val="0"/>
            <w:vAlign w:val="center"/>
          </w:tcPr>
          <w:p w14:paraId="7ED86B76">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违法利用、占用长江流域河湖岸线。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3001" w:type="dxa"/>
            <w:tcBorders>
              <w:tl2br w:val="nil"/>
              <w:tr2bl w:val="nil"/>
            </w:tcBorders>
            <w:noWrap w:val="0"/>
            <w:vAlign w:val="center"/>
          </w:tcPr>
          <w:p w14:paraId="0CFD788F">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000000"/>
                <w:kern w:val="0"/>
                <w:sz w:val="22"/>
                <w:szCs w:val="22"/>
                <w:vertAlign w:val="baseline"/>
                <w:lang w:val="en-US" w:eastAsia="zh-CN" w:bidi="ar"/>
              </w:rPr>
              <w:t>本项目所在河流为海螺沟，</w:t>
            </w:r>
            <w:bookmarkStart w:id="74" w:name="OLE_LINK7"/>
            <w:r>
              <w:rPr>
                <w:rFonts w:hint="default" w:ascii="Arial" w:hAnsi="Arial" w:eastAsia="宋体" w:cs="Arial"/>
                <w:b w:val="0"/>
                <w:bCs w:val="0"/>
                <w:color w:val="000000"/>
                <w:kern w:val="0"/>
                <w:sz w:val="22"/>
                <w:szCs w:val="22"/>
                <w:vertAlign w:val="baseline"/>
                <w:lang w:val="en-US" w:eastAsia="zh-CN" w:bidi="ar"/>
              </w:rPr>
              <w:t>不涉及长江划定的岸线保护区和保留区</w:t>
            </w:r>
            <w:r>
              <w:rPr>
                <w:rFonts w:hint="eastAsia" w:ascii="Arial" w:hAnsi="Arial" w:eastAsia="宋体" w:cs="Arial"/>
                <w:b w:val="0"/>
                <w:bCs w:val="0"/>
                <w:color w:val="000000"/>
                <w:kern w:val="0"/>
                <w:sz w:val="22"/>
                <w:szCs w:val="22"/>
                <w:vertAlign w:val="baseline"/>
                <w:lang w:val="en-US" w:eastAsia="zh-CN" w:bidi="ar"/>
              </w:rPr>
              <w:t>，不涉及</w:t>
            </w:r>
            <w:r>
              <w:rPr>
                <w:rFonts w:hint="default" w:ascii="Arial" w:hAnsi="Arial" w:eastAsia="宋体" w:cs="Arial"/>
                <w:b w:val="0"/>
                <w:bCs w:val="0"/>
                <w:color w:val="auto"/>
                <w:kern w:val="0"/>
                <w:sz w:val="22"/>
                <w:szCs w:val="22"/>
                <w:highlight w:val="none"/>
                <w:vertAlign w:val="baseline"/>
                <w:lang w:val="en-US" w:eastAsia="zh-CN" w:bidi="ar"/>
              </w:rPr>
              <w:t>全国重要江河湖泊划定的河段保护区、保留区</w:t>
            </w:r>
            <w:r>
              <w:rPr>
                <w:rFonts w:hint="eastAsia" w:ascii="Arial" w:hAnsi="Arial" w:eastAsia="宋体" w:cs="Arial"/>
                <w:b w:val="0"/>
                <w:bCs w:val="0"/>
                <w:color w:val="auto"/>
                <w:kern w:val="0"/>
                <w:sz w:val="22"/>
                <w:szCs w:val="22"/>
                <w:highlight w:val="none"/>
                <w:vertAlign w:val="baseline"/>
                <w:lang w:val="en-US" w:eastAsia="zh-CN" w:bidi="ar"/>
              </w:rPr>
              <w:t>，</w:t>
            </w:r>
            <w:bookmarkEnd w:id="74"/>
            <w:r>
              <w:rPr>
                <w:rFonts w:hint="eastAsia" w:ascii="Arial" w:hAnsi="Arial" w:eastAsia="宋体" w:cs="Arial"/>
                <w:b w:val="0"/>
                <w:bCs w:val="0"/>
                <w:color w:val="000000"/>
                <w:kern w:val="0"/>
                <w:sz w:val="22"/>
                <w:szCs w:val="22"/>
                <w:vertAlign w:val="baseline"/>
                <w:lang w:val="en-US" w:eastAsia="zh-CN" w:bidi="ar"/>
              </w:rPr>
              <w:t>且为水库项目，建成后具有人饮、灌溉供水功能。</w:t>
            </w:r>
          </w:p>
        </w:tc>
        <w:tc>
          <w:tcPr>
            <w:tcW w:w="904" w:type="dxa"/>
            <w:tcBorders>
              <w:tl2br w:val="nil"/>
              <w:tr2bl w:val="nil"/>
            </w:tcBorders>
            <w:noWrap w:val="0"/>
            <w:vAlign w:val="center"/>
          </w:tcPr>
          <w:p w14:paraId="7978B65A">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74798F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08DD9E8A">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lang w:val="en-US" w:eastAsia="zh-CN"/>
              </w:rPr>
              <w:t>6</w:t>
            </w:r>
          </w:p>
        </w:tc>
        <w:tc>
          <w:tcPr>
            <w:tcW w:w="4703" w:type="dxa"/>
            <w:tcBorders>
              <w:tl2br w:val="nil"/>
              <w:tr2bl w:val="nil"/>
            </w:tcBorders>
            <w:noWrap w:val="0"/>
            <w:vAlign w:val="center"/>
          </w:tcPr>
          <w:p w14:paraId="5C7F7BC4">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禁止未经许可在长江干支流及湖泊新设、改设或扩大排污口。</w:t>
            </w:r>
          </w:p>
        </w:tc>
        <w:tc>
          <w:tcPr>
            <w:tcW w:w="3001" w:type="dxa"/>
            <w:tcBorders>
              <w:tl2br w:val="nil"/>
              <w:tr2bl w:val="nil"/>
            </w:tcBorders>
            <w:noWrap w:val="0"/>
            <w:vAlign w:val="center"/>
          </w:tcPr>
          <w:p w14:paraId="6238CF95">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eastAsia" w:ascii="Arial" w:hAnsi="Arial" w:eastAsia="宋体" w:cs="Arial"/>
                <w:b w:val="0"/>
                <w:bCs w:val="0"/>
                <w:color w:val="000000"/>
                <w:kern w:val="0"/>
                <w:sz w:val="22"/>
                <w:szCs w:val="22"/>
                <w:vertAlign w:val="baseline"/>
                <w:lang w:val="en-US" w:eastAsia="zh-CN" w:bidi="ar"/>
              </w:rPr>
              <w:t>本项目不涉及</w:t>
            </w:r>
          </w:p>
        </w:tc>
        <w:tc>
          <w:tcPr>
            <w:tcW w:w="904" w:type="dxa"/>
            <w:tcBorders>
              <w:tl2br w:val="nil"/>
              <w:tr2bl w:val="nil"/>
            </w:tcBorders>
            <w:noWrap w:val="0"/>
            <w:vAlign w:val="center"/>
          </w:tcPr>
          <w:p w14:paraId="2D16DDFE">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35345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095FFF94">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lang w:val="en-US" w:eastAsia="zh-CN"/>
              </w:rPr>
              <w:t>7</w:t>
            </w:r>
          </w:p>
        </w:tc>
        <w:tc>
          <w:tcPr>
            <w:tcW w:w="4703" w:type="dxa"/>
            <w:tcBorders>
              <w:tl2br w:val="nil"/>
              <w:tr2bl w:val="nil"/>
            </w:tcBorders>
            <w:noWrap w:val="0"/>
            <w:vAlign w:val="center"/>
          </w:tcPr>
          <w:p w14:paraId="5517E24B">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禁止在“一江一口两湖七河”和332个水生生物保护区开展生产性捕捞。</w:t>
            </w:r>
          </w:p>
        </w:tc>
        <w:tc>
          <w:tcPr>
            <w:tcW w:w="3001" w:type="dxa"/>
            <w:tcBorders>
              <w:tl2br w:val="nil"/>
              <w:tr2bl w:val="nil"/>
            </w:tcBorders>
            <w:noWrap w:val="0"/>
            <w:vAlign w:val="center"/>
          </w:tcPr>
          <w:p w14:paraId="33792CB2">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eastAsia" w:ascii="Arial" w:hAnsi="Arial" w:eastAsia="宋体" w:cs="Arial"/>
                <w:b w:val="0"/>
                <w:bCs w:val="0"/>
                <w:color w:val="000000"/>
                <w:kern w:val="0"/>
                <w:sz w:val="22"/>
                <w:szCs w:val="22"/>
                <w:vertAlign w:val="baseline"/>
                <w:lang w:val="en-US" w:eastAsia="zh-CN" w:bidi="ar"/>
              </w:rPr>
              <w:t>本项目不涉及</w:t>
            </w:r>
          </w:p>
        </w:tc>
        <w:tc>
          <w:tcPr>
            <w:tcW w:w="904" w:type="dxa"/>
            <w:tcBorders>
              <w:tl2br w:val="nil"/>
              <w:tr2bl w:val="nil"/>
            </w:tcBorders>
            <w:noWrap w:val="0"/>
            <w:vAlign w:val="center"/>
          </w:tcPr>
          <w:p w14:paraId="0F86767A">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58B21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39A0F00C">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lang w:val="en-US" w:eastAsia="zh-CN"/>
              </w:rPr>
              <w:t>8</w:t>
            </w:r>
          </w:p>
        </w:tc>
        <w:tc>
          <w:tcPr>
            <w:tcW w:w="4703" w:type="dxa"/>
            <w:tcBorders>
              <w:tl2br w:val="nil"/>
              <w:tr2bl w:val="nil"/>
            </w:tcBorders>
            <w:noWrap w:val="0"/>
            <w:vAlign w:val="center"/>
          </w:tcPr>
          <w:p w14:paraId="3F6AE393">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在长江干支流、重要湖泊岸线一公里范围内新建、扩建化工园区和化工项目。禁止在长江岸线三公里范围内和重要支流岸线一公里范围内新建、改建、扩建尾矿库、冶炼渣库和磷石膏库，以提升安全、生态环境保护水平为目</w:t>
            </w:r>
            <w:r>
              <w:rPr>
                <w:rFonts w:hint="eastAsia" w:ascii="Arial" w:hAnsi="Arial" w:cs="Arial"/>
                <w:color w:val="auto"/>
                <w:kern w:val="0"/>
                <w:sz w:val="22"/>
                <w:szCs w:val="22"/>
                <w:highlight w:val="none"/>
                <w:vertAlign w:val="baseline"/>
                <w:lang w:val="en-US" w:eastAsia="zh-CN" w:bidi="ar"/>
              </w:rPr>
              <w:t>的</w:t>
            </w:r>
            <w:r>
              <w:rPr>
                <w:rFonts w:hint="default" w:ascii="Arial" w:hAnsi="Arial" w:eastAsia="宋体" w:cs="Arial"/>
                <w:color w:val="auto"/>
                <w:kern w:val="0"/>
                <w:sz w:val="22"/>
                <w:szCs w:val="22"/>
                <w:highlight w:val="none"/>
                <w:vertAlign w:val="baseline"/>
                <w:lang w:val="en-US" w:eastAsia="zh-CN" w:bidi="ar"/>
              </w:rPr>
              <w:t>改扩建除外。</w:t>
            </w:r>
          </w:p>
        </w:tc>
        <w:tc>
          <w:tcPr>
            <w:tcW w:w="3001" w:type="dxa"/>
            <w:tcBorders>
              <w:tl2br w:val="nil"/>
              <w:tr2bl w:val="nil"/>
            </w:tcBorders>
            <w:noWrap w:val="0"/>
            <w:vAlign w:val="center"/>
          </w:tcPr>
          <w:p w14:paraId="2E199B81">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eastAsia" w:ascii="Arial" w:hAnsi="Arial" w:eastAsia="宋体" w:cs="Arial"/>
                <w:b w:val="0"/>
                <w:bCs w:val="0"/>
                <w:color w:val="000000"/>
                <w:kern w:val="0"/>
                <w:sz w:val="22"/>
                <w:szCs w:val="22"/>
                <w:vertAlign w:val="baseline"/>
                <w:lang w:val="en-US" w:eastAsia="zh-CN" w:bidi="ar"/>
              </w:rPr>
              <w:t>本项目不涉及</w:t>
            </w:r>
          </w:p>
        </w:tc>
        <w:tc>
          <w:tcPr>
            <w:tcW w:w="904" w:type="dxa"/>
            <w:tcBorders>
              <w:tl2br w:val="nil"/>
              <w:tr2bl w:val="nil"/>
            </w:tcBorders>
            <w:noWrap w:val="0"/>
            <w:vAlign w:val="center"/>
          </w:tcPr>
          <w:p w14:paraId="75CEDFBF">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46A13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1670F7E1">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lang w:val="en-US" w:eastAsia="zh-CN"/>
              </w:rPr>
              <w:t>9</w:t>
            </w:r>
          </w:p>
        </w:tc>
        <w:tc>
          <w:tcPr>
            <w:tcW w:w="4703" w:type="dxa"/>
            <w:tcBorders>
              <w:tl2br w:val="nil"/>
              <w:tr2bl w:val="nil"/>
            </w:tcBorders>
            <w:noWrap w:val="0"/>
            <w:vAlign w:val="center"/>
          </w:tcPr>
          <w:p w14:paraId="1B289738">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禁止在合规园区外新建、扩建钢铁、石化、化工、焦化、建材、有色、制浆造纸等高污染项目。</w:t>
            </w:r>
          </w:p>
        </w:tc>
        <w:tc>
          <w:tcPr>
            <w:tcW w:w="3001" w:type="dxa"/>
            <w:tcBorders>
              <w:tl2br w:val="nil"/>
              <w:tr2bl w:val="nil"/>
            </w:tcBorders>
            <w:noWrap w:val="0"/>
            <w:vAlign w:val="center"/>
          </w:tcPr>
          <w:p w14:paraId="64C2E7E9">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eastAsia" w:ascii="Arial" w:hAnsi="Arial" w:eastAsia="宋体" w:cs="Arial"/>
                <w:b w:val="0"/>
                <w:bCs w:val="0"/>
                <w:color w:val="000000"/>
                <w:kern w:val="0"/>
                <w:sz w:val="22"/>
                <w:szCs w:val="22"/>
                <w:vertAlign w:val="baseline"/>
                <w:lang w:val="en-US" w:eastAsia="zh-CN" w:bidi="ar"/>
              </w:rPr>
              <w:t>本项目不涉及</w:t>
            </w:r>
          </w:p>
        </w:tc>
        <w:tc>
          <w:tcPr>
            <w:tcW w:w="904" w:type="dxa"/>
            <w:tcBorders>
              <w:tl2br w:val="nil"/>
              <w:tr2bl w:val="nil"/>
            </w:tcBorders>
            <w:noWrap w:val="0"/>
            <w:vAlign w:val="center"/>
          </w:tcPr>
          <w:p w14:paraId="4FCCC3C9">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076602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1F2B0F17">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lang w:val="en-US" w:eastAsia="zh-CN"/>
              </w:rPr>
              <w:t>10</w:t>
            </w:r>
          </w:p>
        </w:tc>
        <w:tc>
          <w:tcPr>
            <w:tcW w:w="4703" w:type="dxa"/>
            <w:tcBorders>
              <w:tl2br w:val="nil"/>
              <w:tr2bl w:val="nil"/>
            </w:tcBorders>
            <w:noWrap w:val="0"/>
            <w:vAlign w:val="center"/>
          </w:tcPr>
          <w:p w14:paraId="568DF2E3">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禁止新建、扩建不符合国家石化、现代煤化工等产业布局规划的项目。</w:t>
            </w:r>
          </w:p>
        </w:tc>
        <w:tc>
          <w:tcPr>
            <w:tcW w:w="3001" w:type="dxa"/>
            <w:tcBorders>
              <w:tl2br w:val="nil"/>
              <w:tr2bl w:val="nil"/>
            </w:tcBorders>
            <w:noWrap w:val="0"/>
            <w:vAlign w:val="center"/>
          </w:tcPr>
          <w:p w14:paraId="50E37D55">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eastAsia" w:ascii="Arial" w:hAnsi="Arial" w:eastAsia="宋体" w:cs="Arial"/>
                <w:b w:val="0"/>
                <w:bCs w:val="0"/>
                <w:color w:val="000000"/>
                <w:kern w:val="0"/>
                <w:sz w:val="22"/>
                <w:szCs w:val="22"/>
                <w:vertAlign w:val="baseline"/>
                <w:lang w:val="en-US" w:eastAsia="zh-CN" w:bidi="ar"/>
              </w:rPr>
              <w:t>本项目不涉及</w:t>
            </w:r>
          </w:p>
        </w:tc>
        <w:tc>
          <w:tcPr>
            <w:tcW w:w="904" w:type="dxa"/>
            <w:tcBorders>
              <w:tl2br w:val="nil"/>
              <w:tr2bl w:val="nil"/>
            </w:tcBorders>
            <w:noWrap w:val="0"/>
            <w:vAlign w:val="center"/>
          </w:tcPr>
          <w:p w14:paraId="297DDC49">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02E74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0C4F58DD">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lang w:val="en-US" w:eastAsia="zh-CN"/>
              </w:rPr>
              <w:t>11</w:t>
            </w:r>
          </w:p>
        </w:tc>
        <w:tc>
          <w:tcPr>
            <w:tcW w:w="4703" w:type="dxa"/>
            <w:tcBorders>
              <w:tl2br w:val="nil"/>
              <w:tr2bl w:val="nil"/>
            </w:tcBorders>
            <w:noWrap w:val="0"/>
            <w:vAlign w:val="center"/>
          </w:tcPr>
          <w:p w14:paraId="6D641D57">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2"/>
                <w:sz w:val="22"/>
                <w:szCs w:val="22"/>
                <w:highlight w:val="none"/>
                <w:vertAlign w:val="baseline"/>
                <w:lang w:val="en-US" w:eastAsia="zh-CN" w:bidi="ar-SA"/>
              </w:rPr>
            </w:pPr>
            <w:r>
              <w:rPr>
                <w:rFonts w:hint="default" w:ascii="Arial" w:hAnsi="Arial" w:eastAsia="宋体" w:cs="Arial"/>
                <w:color w:val="auto"/>
                <w:kern w:val="0"/>
                <w:sz w:val="22"/>
                <w:szCs w:val="22"/>
                <w:highlight w:val="none"/>
                <w:vertAlign w:val="baseline"/>
                <w:lang w:val="en-US" w:eastAsia="zh-CN" w:bidi="ar"/>
              </w:rPr>
              <w:t>禁止新建、扩建法律法规和相关政策命令禁止的落后产能项目。禁止新建、扩建不符合国家产能置换要求的严重过剩产能行业的项目。禁止新建、扩建不符合要求的高耗能高排放项目。</w:t>
            </w:r>
          </w:p>
        </w:tc>
        <w:tc>
          <w:tcPr>
            <w:tcW w:w="3001" w:type="dxa"/>
            <w:tcBorders>
              <w:tl2br w:val="nil"/>
              <w:tr2bl w:val="nil"/>
            </w:tcBorders>
            <w:shd w:val="clear" w:color="auto" w:fill="auto"/>
            <w:noWrap w:val="0"/>
            <w:vAlign w:val="center"/>
          </w:tcPr>
          <w:p w14:paraId="17323136">
            <w:pPr>
              <w:pStyle w:val="1091"/>
              <w:keepNext w:val="0"/>
              <w:keepLines w:val="0"/>
              <w:pageBreakBefore w:val="0"/>
              <w:widowControl w:val="0"/>
              <w:shd w:val="clear" w:color="auto" w:fill="auto"/>
              <w:kinsoku/>
              <w:wordWrap/>
              <w:overflowPunct/>
              <w:topLinePunct w:val="0"/>
              <w:autoSpaceDE/>
              <w:autoSpaceDN/>
              <w:bidi w:val="0"/>
              <w:adjustRightInd/>
              <w:snapToGrid/>
              <w:spacing w:beforeLines="0" w:afterLines="0" w:line="300" w:lineRule="exact"/>
              <w:ind w:left="0" w:leftChars="0"/>
              <w:jc w:val="center"/>
              <w:textAlignment w:val="auto"/>
              <w:rPr>
                <w:rFonts w:hint="default" w:ascii="Arial" w:hAnsi="Arial" w:eastAsia="Times New Roman" w:cs="Arial"/>
                <w:bCs/>
                <w:color w:val="auto"/>
                <w:kern w:val="0"/>
                <w:sz w:val="22"/>
                <w:szCs w:val="22"/>
                <w:highlight w:val="none"/>
                <w:lang w:val="en-US" w:eastAsia="zh-CN" w:bidi="ar-SA"/>
              </w:rPr>
            </w:pPr>
            <w:r>
              <w:rPr>
                <w:rFonts w:hint="default" w:ascii="Arial" w:hAnsi="Arial" w:cs="Arial"/>
                <w:color w:val="auto"/>
                <w:sz w:val="22"/>
                <w:szCs w:val="22"/>
                <w:highlight w:val="none"/>
              </w:rPr>
              <w:t>本</w:t>
            </w:r>
            <w:r>
              <w:rPr>
                <w:rFonts w:hint="default" w:ascii="Arial" w:hAnsi="Arial" w:eastAsia="Times New Roman" w:cs="Arial"/>
                <w:color w:val="auto"/>
                <w:sz w:val="22"/>
                <w:szCs w:val="22"/>
                <w:highlight w:val="none"/>
              </w:rPr>
              <w:t>项目属于《产业结构调整指导目录（</w:t>
            </w:r>
            <w:r>
              <w:rPr>
                <w:rFonts w:hint="eastAsia" w:ascii="Arial" w:hAnsi="Arial" w:eastAsia="宋体" w:cs="Arial"/>
                <w:color w:val="auto"/>
                <w:sz w:val="22"/>
                <w:szCs w:val="22"/>
                <w:highlight w:val="none"/>
                <w:lang w:val="en-US" w:eastAsia="zh-CN"/>
              </w:rPr>
              <w:t>2024</w:t>
            </w:r>
            <w:r>
              <w:rPr>
                <w:rFonts w:hint="default" w:ascii="Arial" w:hAnsi="Arial" w:eastAsia="Times New Roman" w:cs="Arial"/>
                <w:color w:val="auto"/>
                <w:sz w:val="22"/>
                <w:szCs w:val="22"/>
                <w:highlight w:val="none"/>
              </w:rPr>
              <w:t>年本）》中</w:t>
            </w:r>
            <w:r>
              <w:rPr>
                <w:rFonts w:hint="eastAsia" w:ascii="Arial" w:hAnsi="Arial" w:eastAsia="宋体" w:cs="Arial"/>
                <w:color w:val="auto"/>
                <w:sz w:val="22"/>
                <w:szCs w:val="22"/>
                <w:highlight w:val="none"/>
                <w:lang w:eastAsia="zh-CN"/>
              </w:rPr>
              <w:t>鼓励</w:t>
            </w:r>
            <w:r>
              <w:rPr>
                <w:rFonts w:hint="default" w:ascii="Arial" w:hAnsi="Arial" w:cs="Arial"/>
                <w:color w:val="auto"/>
                <w:sz w:val="22"/>
                <w:szCs w:val="22"/>
                <w:highlight w:val="none"/>
              </w:rPr>
              <w:t>类</w:t>
            </w:r>
            <w:r>
              <w:rPr>
                <w:rFonts w:hint="eastAsia" w:ascii="Arial" w:hAnsi="Arial" w:cs="Arial"/>
                <w:color w:val="auto"/>
                <w:sz w:val="22"/>
                <w:szCs w:val="22"/>
                <w:highlight w:val="none"/>
                <w:lang w:eastAsia="zh-CN"/>
              </w:rPr>
              <w:t>项目</w:t>
            </w:r>
            <w:r>
              <w:rPr>
                <w:rFonts w:hint="default" w:ascii="Arial" w:hAnsi="Arial" w:eastAsia="Times New Roman" w:cs="Arial"/>
                <w:color w:val="auto"/>
                <w:sz w:val="22"/>
                <w:szCs w:val="22"/>
                <w:highlight w:val="none"/>
              </w:rPr>
              <w:t>。</w:t>
            </w:r>
          </w:p>
        </w:tc>
        <w:tc>
          <w:tcPr>
            <w:tcW w:w="904" w:type="dxa"/>
            <w:tcBorders>
              <w:tl2br w:val="nil"/>
              <w:tr2bl w:val="nil"/>
            </w:tcBorders>
            <w:noWrap w:val="0"/>
            <w:vAlign w:val="center"/>
          </w:tcPr>
          <w:p w14:paraId="0BF0D49A">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bCs/>
                <w:color w:val="auto"/>
                <w:kern w:val="2"/>
                <w:sz w:val="22"/>
                <w:szCs w:val="22"/>
                <w:highlight w:val="none"/>
                <w:vertAlign w:val="baseline"/>
                <w:lang w:val="en-US" w:eastAsia="zh-CN" w:bidi="ar-SA"/>
              </w:rPr>
            </w:pPr>
            <w:r>
              <w:rPr>
                <w:rFonts w:hint="default" w:ascii="Arial" w:hAnsi="Arial" w:eastAsia="宋体" w:cs="Arial"/>
                <w:b w:val="0"/>
                <w:bCs w:val="0"/>
                <w:color w:val="auto"/>
                <w:kern w:val="0"/>
                <w:sz w:val="22"/>
                <w:szCs w:val="22"/>
                <w:highlight w:val="none"/>
                <w:vertAlign w:val="baseline"/>
                <w:lang w:val="en-US" w:eastAsia="zh-CN" w:bidi="ar"/>
              </w:rPr>
              <w:t>符合</w:t>
            </w:r>
          </w:p>
        </w:tc>
      </w:tr>
      <w:tr w14:paraId="518D4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1" w:type="dxa"/>
            <w:tcBorders>
              <w:tl2br w:val="nil"/>
              <w:tr2bl w:val="nil"/>
            </w:tcBorders>
            <w:noWrap w:val="0"/>
            <w:vAlign w:val="center"/>
          </w:tcPr>
          <w:p w14:paraId="1F888C38">
            <w:pPr>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color w:val="auto"/>
                <w:sz w:val="22"/>
                <w:szCs w:val="22"/>
                <w:highlight w:val="none"/>
                <w:vertAlign w:val="baseline"/>
                <w:lang w:val="en-US" w:eastAsia="zh-CN"/>
              </w:rPr>
            </w:pPr>
            <w:r>
              <w:rPr>
                <w:rFonts w:hint="default" w:ascii="Arial" w:hAnsi="Arial" w:eastAsia="宋体" w:cs="Arial"/>
                <w:color w:val="auto"/>
                <w:sz w:val="22"/>
                <w:szCs w:val="22"/>
                <w:highlight w:val="none"/>
                <w:vertAlign w:val="baseline"/>
                <w:lang w:val="en-US" w:eastAsia="zh-CN"/>
              </w:rPr>
              <w:t>12</w:t>
            </w:r>
          </w:p>
        </w:tc>
        <w:tc>
          <w:tcPr>
            <w:tcW w:w="4703" w:type="dxa"/>
            <w:tcBorders>
              <w:tl2br w:val="nil"/>
              <w:tr2bl w:val="nil"/>
            </w:tcBorders>
            <w:noWrap w:val="0"/>
            <w:vAlign w:val="center"/>
          </w:tcPr>
          <w:p w14:paraId="63823874">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0"/>
                <w:sz w:val="22"/>
                <w:szCs w:val="22"/>
                <w:highlight w:val="none"/>
                <w:vertAlign w:val="baseline"/>
                <w:lang w:val="en-US" w:eastAsia="zh-CN" w:bidi="ar"/>
              </w:rPr>
            </w:pPr>
            <w:r>
              <w:rPr>
                <w:rFonts w:hint="default" w:ascii="Arial" w:hAnsi="Arial" w:eastAsia="宋体" w:cs="Arial"/>
                <w:color w:val="000000"/>
                <w:kern w:val="0"/>
                <w:sz w:val="22"/>
                <w:szCs w:val="22"/>
                <w:vertAlign w:val="baseline"/>
                <w:lang w:val="en-US" w:eastAsia="zh-CN" w:bidi="ar"/>
              </w:rPr>
              <w:t>法律法规及相关政策文件有更加严格规定的从其规定。</w:t>
            </w:r>
          </w:p>
        </w:tc>
        <w:tc>
          <w:tcPr>
            <w:tcW w:w="3001" w:type="dxa"/>
            <w:tcBorders>
              <w:tl2br w:val="nil"/>
              <w:tr2bl w:val="nil"/>
            </w:tcBorders>
            <w:noWrap w:val="0"/>
            <w:vAlign w:val="center"/>
          </w:tcPr>
          <w:p w14:paraId="0641179B">
            <w:pPr>
              <w:keepNext w:val="0"/>
              <w:keepLines w:val="0"/>
              <w:pageBreakBefore w:val="0"/>
              <w:widowControl/>
              <w:suppressLineNumbers w:val="0"/>
              <w:kinsoku/>
              <w:wordWrap/>
              <w:overflowPunct/>
              <w:topLinePunct w:val="0"/>
              <w:autoSpaceDE/>
              <w:autoSpaceDN/>
              <w:bidi w:val="0"/>
              <w:spacing w:line="300" w:lineRule="exact"/>
              <w:jc w:val="center"/>
              <w:textAlignment w:val="auto"/>
              <w:rPr>
                <w:rFonts w:hint="default" w:ascii="Arial" w:hAnsi="Arial" w:eastAsia="宋体" w:cs="Arial"/>
                <w:color w:val="auto"/>
                <w:kern w:val="0"/>
                <w:sz w:val="22"/>
                <w:szCs w:val="22"/>
                <w:highlight w:val="none"/>
                <w:vertAlign w:val="baseline"/>
                <w:lang w:val="en-US" w:eastAsia="zh-CN" w:bidi="ar"/>
              </w:rPr>
            </w:pPr>
            <w:r>
              <w:rPr>
                <w:rFonts w:hint="default" w:ascii="Arial" w:hAnsi="Arial" w:eastAsia="宋体" w:cs="Arial"/>
                <w:color w:val="000000"/>
                <w:kern w:val="0"/>
                <w:sz w:val="22"/>
                <w:szCs w:val="22"/>
                <w:vertAlign w:val="baseline"/>
                <w:lang w:val="en-US" w:eastAsia="zh-CN" w:bidi="ar"/>
              </w:rPr>
              <w:t>本项目严格执行法律法规及相关政策文件。</w:t>
            </w:r>
          </w:p>
        </w:tc>
        <w:tc>
          <w:tcPr>
            <w:tcW w:w="904" w:type="dxa"/>
            <w:tcBorders>
              <w:tl2br w:val="nil"/>
              <w:tr2bl w:val="nil"/>
            </w:tcBorders>
            <w:noWrap w:val="0"/>
            <w:vAlign w:val="center"/>
          </w:tcPr>
          <w:p w14:paraId="2F94E7FD">
            <w:pPr>
              <w:pStyle w:val="2095"/>
              <w:keepNext w:val="0"/>
              <w:keepLines w:val="0"/>
              <w:pageBreakBefore w:val="0"/>
              <w:kinsoku/>
              <w:wordWrap/>
              <w:overflowPunct/>
              <w:topLinePunct w:val="0"/>
              <w:autoSpaceDE/>
              <w:autoSpaceDN/>
              <w:bidi w:val="0"/>
              <w:spacing w:line="300" w:lineRule="exact"/>
              <w:jc w:val="center"/>
              <w:textAlignment w:val="auto"/>
              <w:rPr>
                <w:rFonts w:hint="default" w:ascii="Arial" w:hAnsi="Arial" w:eastAsia="宋体" w:cs="Arial"/>
                <w:b w:val="0"/>
                <w:bCs w:val="0"/>
                <w:color w:val="auto"/>
                <w:kern w:val="0"/>
                <w:sz w:val="22"/>
                <w:szCs w:val="22"/>
                <w:highlight w:val="none"/>
                <w:vertAlign w:val="baseline"/>
                <w:lang w:val="en-US" w:eastAsia="zh-CN" w:bidi="ar"/>
              </w:rPr>
            </w:pPr>
            <w:r>
              <w:rPr>
                <w:rFonts w:hint="default" w:ascii="Arial" w:hAnsi="Arial" w:eastAsia="宋体" w:cs="Arial"/>
                <w:b w:val="0"/>
                <w:bCs w:val="0"/>
                <w:color w:val="auto"/>
                <w:kern w:val="0"/>
                <w:sz w:val="22"/>
                <w:szCs w:val="22"/>
                <w:highlight w:val="none"/>
                <w:vertAlign w:val="baseline"/>
                <w:lang w:val="en-US" w:eastAsia="zh-CN" w:bidi="ar"/>
              </w:rPr>
              <w:t>符合</w:t>
            </w:r>
          </w:p>
        </w:tc>
      </w:tr>
    </w:tbl>
    <w:p w14:paraId="04384155">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rPr>
          <w:rFonts w:hint="default" w:ascii="Arial" w:hAnsi="Arial" w:cs="Arial"/>
          <w:color w:val="auto"/>
          <w:kern w:val="0"/>
          <w:szCs w:val="21"/>
        </w:rPr>
      </w:pPr>
      <w:bookmarkStart w:id="75" w:name="OLE_LINK8"/>
    </w:p>
    <w:p w14:paraId="0BBDA969">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jc w:val="both"/>
        <w:textAlignment w:val="auto"/>
        <w:rPr>
          <w:rFonts w:hint="eastAsia"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综上所述，本项目</w:t>
      </w:r>
      <w:r>
        <w:rPr>
          <w:rFonts w:hint="eastAsia" w:ascii="Arial" w:hAnsi="Arial" w:eastAsia="宋体" w:cs="Arial"/>
          <w:b w:val="0"/>
          <w:color w:val="auto"/>
          <w:kern w:val="2"/>
          <w:sz w:val="26"/>
          <w:szCs w:val="26"/>
          <w:lang w:val="en-US" w:eastAsia="zh-CN" w:bidi="ar-SA"/>
        </w:rPr>
        <w:t>为水利基础设施建设，选线不涉及饮用水水源保护区、生态保护红线、自然保护区、风景名胜区、国家湿地公园等生态敏感区，与</w:t>
      </w:r>
      <w:r>
        <w:rPr>
          <w:rFonts w:hint="default" w:ascii="Arial" w:hAnsi="Arial" w:eastAsia="宋体" w:cs="Arial"/>
          <w:b w:val="0"/>
          <w:color w:val="auto"/>
          <w:kern w:val="2"/>
          <w:sz w:val="26"/>
          <w:szCs w:val="26"/>
          <w:lang w:val="en-US" w:eastAsia="zh-CN" w:bidi="ar-SA"/>
        </w:rPr>
        <w:t>《长江经济带发展负面清单指南（试行，2022年版）》（长江办</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2022</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7号）</w:t>
      </w:r>
      <w:r>
        <w:rPr>
          <w:rFonts w:hint="eastAsia" w:ascii="Arial" w:hAnsi="Arial" w:eastAsia="宋体" w:cs="Arial"/>
          <w:b w:val="0"/>
          <w:color w:val="auto"/>
          <w:kern w:val="2"/>
          <w:sz w:val="26"/>
          <w:szCs w:val="26"/>
          <w:lang w:val="en-US" w:eastAsia="zh-CN" w:bidi="ar-SA"/>
        </w:rPr>
        <w:t>相符</w:t>
      </w:r>
      <w:r>
        <w:rPr>
          <w:rFonts w:hint="default" w:ascii="Arial" w:hAnsi="Arial" w:eastAsia="宋体" w:cs="Arial"/>
          <w:b w:val="0"/>
          <w:color w:val="auto"/>
          <w:kern w:val="2"/>
          <w:sz w:val="26"/>
          <w:szCs w:val="26"/>
          <w:lang w:val="en-US" w:eastAsia="zh-CN" w:bidi="ar-SA"/>
        </w:rPr>
        <w:t>。</w:t>
      </w:r>
      <w:bookmarkEnd w:id="75"/>
      <w:r>
        <w:rPr>
          <w:rFonts w:hint="default" w:ascii="Arial" w:hAnsi="Arial" w:eastAsia="宋体" w:cs="Arial"/>
          <w:b w:val="0"/>
          <w:color w:val="auto"/>
          <w:kern w:val="2"/>
          <w:sz w:val="26"/>
          <w:szCs w:val="26"/>
          <w:lang w:val="en-US" w:eastAsia="zh-CN" w:bidi="ar-SA"/>
        </w:rPr>
        <w:t xml:space="preserve"> </w:t>
      </w:r>
    </w:p>
    <w:p w14:paraId="7ED1E523">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eastAsia" w:ascii="Arial" w:hAnsi="Arial" w:cs="Arial"/>
          <w:b/>
          <w:color w:val="auto"/>
          <w:kern w:val="0"/>
          <w:sz w:val="26"/>
          <w:szCs w:val="20"/>
          <w:highlight w:val="none"/>
          <w:lang w:val="en-US" w:eastAsia="zh-CN"/>
        </w:rPr>
      </w:pPr>
      <w:r>
        <w:rPr>
          <w:rFonts w:hint="eastAsia" w:ascii="Arial" w:hAnsi="Arial" w:cs="Arial"/>
          <w:b/>
          <w:color w:val="auto"/>
          <w:kern w:val="0"/>
          <w:sz w:val="26"/>
          <w:szCs w:val="20"/>
          <w:highlight w:val="none"/>
          <w:lang w:val="en-US" w:eastAsia="zh-CN"/>
        </w:rPr>
        <w:t>1.9.4与《四川省、重庆市长江经济带发展负面清单实施细则（试行，2022年版）》符</w:t>
      </w:r>
      <w:r>
        <w:rPr>
          <w:rFonts w:hint="default" w:ascii="Arial" w:hAnsi="Arial" w:cs="Arial"/>
          <w:b/>
          <w:color w:val="auto"/>
          <w:kern w:val="0"/>
          <w:sz w:val="26"/>
          <w:szCs w:val="20"/>
          <w:highlight w:val="none"/>
          <w:lang w:val="en-US" w:eastAsia="zh-CN"/>
        </w:rPr>
        <w:t>合性分析</w:t>
      </w:r>
    </w:p>
    <w:p w14:paraId="751148F6">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jc w:val="both"/>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拟建项目位于丰都县双龙镇田家山村，主要为建设水库及配套输水管线，与《四川省推动长江经济带发展领导小组办公室、重庆市推动长江经济带发展领导小组办公室关于印发〈四川省、重庆市长江经济带发展负面清单实施细</w:t>
      </w:r>
      <w:r>
        <w:rPr>
          <w:rFonts w:hint="default" w:ascii="Arial" w:hAnsi="Arial" w:eastAsia="宋体" w:cs="Arial"/>
          <w:b w:val="0"/>
          <w:color w:val="auto"/>
          <w:kern w:val="2"/>
          <w:sz w:val="26"/>
          <w:szCs w:val="26"/>
          <w:lang w:val="en-US" w:eastAsia="zh-CN" w:bidi="ar-SA"/>
        </w:rPr>
        <w:t>则（试行，2022 年版）〉的通知》（川长江办</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2022</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17号）符合性分析，详见表</w:t>
      </w:r>
      <w:r>
        <w:rPr>
          <w:rFonts w:hint="eastAsia" w:ascii="Arial" w:hAnsi="Arial" w:eastAsia="宋体" w:cs="Arial"/>
          <w:b w:val="0"/>
          <w:color w:val="auto"/>
          <w:kern w:val="2"/>
          <w:sz w:val="26"/>
          <w:szCs w:val="26"/>
          <w:lang w:val="en-US" w:eastAsia="zh-CN" w:bidi="ar-SA"/>
        </w:rPr>
        <w:t>1.</w:t>
      </w:r>
      <w:r>
        <w:rPr>
          <w:rFonts w:hint="eastAsia" w:ascii="Arial" w:hAnsi="Arial" w:cs="Arial"/>
          <w:b w:val="0"/>
          <w:color w:val="auto"/>
          <w:kern w:val="2"/>
          <w:sz w:val="26"/>
          <w:szCs w:val="26"/>
          <w:lang w:val="en-US" w:eastAsia="zh-CN" w:bidi="ar-SA"/>
        </w:rPr>
        <w:t>9</w:t>
      </w:r>
      <w:r>
        <w:rPr>
          <w:rFonts w:hint="default" w:ascii="Arial" w:hAnsi="Arial" w:eastAsia="宋体" w:cs="Arial"/>
          <w:b w:val="0"/>
          <w:color w:val="auto"/>
          <w:kern w:val="2"/>
          <w:sz w:val="26"/>
          <w:szCs w:val="26"/>
          <w:lang w:val="en-US" w:eastAsia="zh-CN" w:bidi="ar-SA"/>
        </w:rPr>
        <w:t>-</w:t>
      </w:r>
      <w:r>
        <w:rPr>
          <w:rFonts w:hint="eastAsia" w:ascii="Arial" w:hAnsi="Arial" w:cs="Arial"/>
          <w:b w:val="0"/>
          <w:color w:val="auto"/>
          <w:kern w:val="2"/>
          <w:sz w:val="26"/>
          <w:szCs w:val="26"/>
          <w:lang w:val="en-US" w:eastAsia="zh-CN" w:bidi="ar-SA"/>
        </w:rPr>
        <w:t>3所示</w:t>
      </w:r>
      <w:r>
        <w:rPr>
          <w:rFonts w:hint="default" w:ascii="Arial" w:hAnsi="Arial" w:eastAsia="宋体" w:cs="Arial"/>
          <w:b w:val="0"/>
          <w:color w:val="auto"/>
          <w:kern w:val="2"/>
          <w:sz w:val="26"/>
          <w:szCs w:val="26"/>
          <w:lang w:val="en-US" w:eastAsia="zh-CN" w:bidi="ar-SA"/>
        </w:rPr>
        <w:t xml:space="preserve">。 </w:t>
      </w:r>
    </w:p>
    <w:p w14:paraId="1BAAE9BB">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val="0"/>
          <w:sz w:val="26"/>
          <w:szCs w:val="26"/>
          <w:highlight w:val="none"/>
          <w:lang w:eastAsia="zh-CN"/>
        </w:rPr>
      </w:pPr>
      <w:r>
        <w:rPr>
          <w:rFonts w:hint="eastAsia" w:ascii="Arial" w:hAnsi="Arial" w:cs="Arial"/>
          <w:b/>
          <w:bCs w:val="0"/>
          <w:sz w:val="26"/>
          <w:szCs w:val="26"/>
          <w:highlight w:val="none"/>
          <w:lang w:eastAsia="zh-CN"/>
        </w:rPr>
        <w:t>表1</w:t>
      </w:r>
      <w:r>
        <w:rPr>
          <w:rFonts w:hint="eastAsia" w:ascii="Arial" w:hAnsi="Arial" w:cs="Arial"/>
          <w:b/>
          <w:bCs w:val="0"/>
          <w:sz w:val="26"/>
          <w:szCs w:val="26"/>
          <w:highlight w:val="none"/>
          <w:lang w:val="en-US" w:eastAsia="zh-CN"/>
        </w:rPr>
        <w:t>.9-3与“</w:t>
      </w:r>
      <w:r>
        <w:rPr>
          <w:rFonts w:hint="default" w:ascii="Arial" w:hAnsi="Arial" w:eastAsia="宋体" w:cs="Arial"/>
          <w:b/>
          <w:bCs w:val="0"/>
          <w:color w:val="auto"/>
          <w:kern w:val="2"/>
          <w:sz w:val="26"/>
          <w:szCs w:val="26"/>
          <w:lang w:val="en-US" w:eastAsia="zh-CN" w:bidi="ar-SA"/>
        </w:rPr>
        <w:t>川长江办</w:t>
      </w:r>
      <w:r>
        <w:rPr>
          <w:rFonts w:hint="eastAsia" w:ascii="Arial" w:hAnsi="Arial" w:eastAsia="宋体" w:cs="Arial"/>
          <w:b/>
          <w:bCs w:val="0"/>
          <w:color w:val="auto"/>
          <w:kern w:val="2"/>
          <w:sz w:val="26"/>
          <w:szCs w:val="26"/>
          <w:lang w:val="en-US" w:eastAsia="zh-CN" w:bidi="ar-SA"/>
        </w:rPr>
        <w:t>〔</w:t>
      </w:r>
      <w:r>
        <w:rPr>
          <w:rFonts w:hint="default" w:ascii="Arial" w:hAnsi="Arial" w:eastAsia="宋体" w:cs="Arial"/>
          <w:b/>
          <w:bCs w:val="0"/>
          <w:color w:val="auto"/>
          <w:kern w:val="2"/>
          <w:sz w:val="26"/>
          <w:szCs w:val="26"/>
          <w:lang w:val="en-US" w:eastAsia="zh-CN" w:bidi="ar-SA"/>
        </w:rPr>
        <w:t>2022</w:t>
      </w:r>
      <w:r>
        <w:rPr>
          <w:rFonts w:hint="eastAsia" w:ascii="Arial" w:hAnsi="Arial" w:eastAsia="宋体" w:cs="Arial"/>
          <w:b/>
          <w:bCs w:val="0"/>
          <w:color w:val="auto"/>
          <w:kern w:val="2"/>
          <w:sz w:val="26"/>
          <w:szCs w:val="26"/>
          <w:lang w:val="en-US" w:eastAsia="zh-CN" w:bidi="ar-SA"/>
        </w:rPr>
        <w:t>〕</w:t>
      </w:r>
      <w:r>
        <w:rPr>
          <w:rFonts w:hint="default" w:ascii="Arial" w:hAnsi="Arial" w:eastAsia="宋体" w:cs="Arial"/>
          <w:b/>
          <w:bCs w:val="0"/>
          <w:color w:val="auto"/>
          <w:kern w:val="2"/>
          <w:sz w:val="26"/>
          <w:szCs w:val="26"/>
          <w:lang w:val="en-US" w:eastAsia="zh-CN" w:bidi="ar-SA"/>
        </w:rPr>
        <w:t>17号</w:t>
      </w:r>
      <w:r>
        <w:rPr>
          <w:rFonts w:hint="eastAsia" w:ascii="Arial" w:hAnsi="Arial" w:cs="Arial"/>
          <w:b/>
          <w:bCs w:val="0"/>
          <w:sz w:val="26"/>
          <w:szCs w:val="26"/>
          <w:highlight w:val="none"/>
          <w:lang w:val="en-US" w:eastAsia="zh-CN"/>
        </w:rPr>
        <w:t xml:space="preserve">”文符合性分析表 </w:t>
      </w:r>
    </w:p>
    <w:tbl>
      <w:tblPr>
        <w:tblStyle w:val="77"/>
        <w:tblW w:w="87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2"/>
        <w:gridCol w:w="4417"/>
        <w:gridCol w:w="2412"/>
        <w:gridCol w:w="1141"/>
        <w:gridCol w:w="6"/>
      </w:tblGrid>
      <w:tr w14:paraId="553907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30D2500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序号</w:t>
            </w:r>
          </w:p>
        </w:tc>
        <w:tc>
          <w:tcPr>
            <w:tcW w:w="4417" w:type="dxa"/>
            <w:tcBorders>
              <w:tl2br w:val="nil"/>
              <w:tr2bl w:val="nil"/>
            </w:tcBorders>
            <w:noWrap w:val="0"/>
            <w:vAlign w:val="center"/>
          </w:tcPr>
          <w:p w14:paraId="0D88B2E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文件要求</w:t>
            </w:r>
          </w:p>
        </w:tc>
        <w:tc>
          <w:tcPr>
            <w:tcW w:w="2412" w:type="dxa"/>
            <w:tcBorders>
              <w:tl2br w:val="nil"/>
              <w:tr2bl w:val="nil"/>
            </w:tcBorders>
            <w:noWrap w:val="0"/>
            <w:vAlign w:val="center"/>
          </w:tcPr>
          <w:p w14:paraId="233F1BD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本项目情况</w:t>
            </w:r>
          </w:p>
        </w:tc>
        <w:tc>
          <w:tcPr>
            <w:tcW w:w="1147" w:type="dxa"/>
            <w:gridSpan w:val="2"/>
            <w:tcBorders>
              <w:tl2br w:val="nil"/>
              <w:tr2bl w:val="nil"/>
            </w:tcBorders>
            <w:noWrap w:val="0"/>
            <w:vAlign w:val="center"/>
          </w:tcPr>
          <w:p w14:paraId="783A91D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符合性</w:t>
            </w:r>
          </w:p>
        </w:tc>
      </w:tr>
      <w:tr w14:paraId="5E5BC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0D1F077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w:t>
            </w:r>
          </w:p>
        </w:tc>
        <w:tc>
          <w:tcPr>
            <w:tcW w:w="4417" w:type="dxa"/>
            <w:tcBorders>
              <w:tl2br w:val="nil"/>
              <w:tr2bl w:val="nil"/>
            </w:tcBorders>
            <w:noWrap w:val="0"/>
            <w:vAlign w:val="center"/>
          </w:tcPr>
          <w:p w14:paraId="2E9AF1C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禁止新建、改建和扩建不符合全国港口布局规划以及《四川省内河水运发展规划》《泸州-宜宾-乐山港口群布局规划》《重庆港总体规划（2035年）》等省级港口布局规划及市级港口总体规划的码头项目。</w:t>
            </w:r>
          </w:p>
        </w:tc>
        <w:tc>
          <w:tcPr>
            <w:tcW w:w="2412" w:type="dxa"/>
            <w:tcBorders>
              <w:tl2br w:val="nil"/>
              <w:tr2bl w:val="nil"/>
            </w:tcBorders>
            <w:noWrap w:val="0"/>
            <w:vAlign w:val="center"/>
          </w:tcPr>
          <w:p w14:paraId="37B80D7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kern w:val="0"/>
                <w:sz w:val="22"/>
                <w:szCs w:val="22"/>
                <w:vertAlign w:val="baseline"/>
                <w:lang w:val="en-US" w:eastAsia="zh-CN"/>
              </w:rPr>
              <w:t>本项目不属于码头</w:t>
            </w:r>
          </w:p>
        </w:tc>
        <w:tc>
          <w:tcPr>
            <w:tcW w:w="1147" w:type="dxa"/>
            <w:gridSpan w:val="2"/>
            <w:tcBorders>
              <w:tl2br w:val="nil"/>
              <w:tr2bl w:val="nil"/>
            </w:tcBorders>
            <w:noWrap w:val="0"/>
            <w:vAlign w:val="center"/>
          </w:tcPr>
          <w:p w14:paraId="73E6B97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590C5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356850C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2</w:t>
            </w:r>
          </w:p>
        </w:tc>
        <w:tc>
          <w:tcPr>
            <w:tcW w:w="4417" w:type="dxa"/>
            <w:tcBorders>
              <w:tl2br w:val="nil"/>
              <w:tr2bl w:val="nil"/>
            </w:tcBorders>
            <w:noWrap w:val="0"/>
            <w:vAlign w:val="center"/>
          </w:tcPr>
          <w:p w14:paraId="616E252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禁止新建、改建和扩建不符合《长江于线过江通道布局规划2020</w:t>
            </w:r>
            <w:r>
              <w:rPr>
                <w:rFonts w:hint="eastAsia" w:ascii="Arial" w:hAnsi="Arial" w:cs="Arial"/>
                <w:color w:val="auto"/>
                <w:sz w:val="22"/>
                <w:szCs w:val="22"/>
                <w:highlight w:val="none"/>
                <w:lang w:val="en-US" w:eastAsia="zh-CN"/>
              </w:rPr>
              <w:t>~</w:t>
            </w:r>
            <w:r>
              <w:rPr>
                <w:rFonts w:hint="default" w:ascii="Arial" w:hAnsi="Arial" w:cs="Arial"/>
                <w:color w:val="auto"/>
                <w:sz w:val="22"/>
                <w:szCs w:val="22"/>
                <w:highlight w:val="none"/>
              </w:rPr>
              <w:t>2035年）》的过长江通道项目（含桥梁、隧道），国家发展改革委同意过长江通道线位调整的除外。</w:t>
            </w:r>
          </w:p>
        </w:tc>
        <w:tc>
          <w:tcPr>
            <w:tcW w:w="2412" w:type="dxa"/>
            <w:tcBorders>
              <w:tl2br w:val="nil"/>
              <w:tr2bl w:val="nil"/>
            </w:tcBorders>
            <w:noWrap w:val="0"/>
            <w:vAlign w:val="center"/>
          </w:tcPr>
          <w:p w14:paraId="4724B13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本项目</w:t>
            </w:r>
            <w:r>
              <w:rPr>
                <w:rFonts w:hint="eastAsia" w:ascii="Arial" w:hAnsi="Arial" w:cs="Arial"/>
                <w:color w:val="auto"/>
                <w:sz w:val="22"/>
                <w:szCs w:val="22"/>
                <w:highlight w:val="none"/>
                <w:lang w:eastAsia="zh-CN"/>
              </w:rPr>
              <w:t>不涉及</w:t>
            </w:r>
          </w:p>
        </w:tc>
        <w:tc>
          <w:tcPr>
            <w:tcW w:w="1147" w:type="dxa"/>
            <w:gridSpan w:val="2"/>
            <w:tcBorders>
              <w:tl2br w:val="nil"/>
              <w:tr2bl w:val="nil"/>
            </w:tcBorders>
            <w:noWrap w:val="0"/>
            <w:vAlign w:val="center"/>
          </w:tcPr>
          <w:p w14:paraId="73071F7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08BC0C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2078FB3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3</w:t>
            </w:r>
          </w:p>
        </w:tc>
        <w:tc>
          <w:tcPr>
            <w:tcW w:w="4417" w:type="dxa"/>
            <w:tcBorders>
              <w:tl2br w:val="nil"/>
              <w:tr2bl w:val="nil"/>
            </w:tcBorders>
            <w:noWrap w:val="0"/>
            <w:vAlign w:val="center"/>
          </w:tcPr>
          <w:p w14:paraId="019B1DE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禁止在自然保护区核心区、缓冲区的岸线和河段范围内投资建设旅游和生产经营项目。自然保护区的内部未分区的，依照核心区和缓冲区的规定管控。</w:t>
            </w:r>
          </w:p>
        </w:tc>
        <w:tc>
          <w:tcPr>
            <w:tcW w:w="2412" w:type="dxa"/>
            <w:vMerge w:val="restart"/>
            <w:tcBorders>
              <w:tl2br w:val="nil"/>
              <w:tr2bl w:val="nil"/>
            </w:tcBorders>
            <w:noWrap w:val="0"/>
            <w:vAlign w:val="center"/>
          </w:tcPr>
          <w:p w14:paraId="7CEA4DD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本项目</w:t>
            </w:r>
            <w:r>
              <w:rPr>
                <w:rFonts w:hint="eastAsia" w:ascii="Arial" w:hAnsi="Arial" w:cs="Arial"/>
                <w:color w:val="auto"/>
                <w:sz w:val="22"/>
                <w:szCs w:val="22"/>
                <w:highlight w:val="none"/>
                <w:lang w:eastAsia="zh-CN"/>
              </w:rPr>
              <w:t>选址位于丰都县双龙镇田家山村，占地及影响范围内不涉及风景名胜区、国家湿地公园、自然保护区、饮用水水源保护区、水产种质资源保护区等生态敏感区，</w:t>
            </w:r>
            <w:r>
              <w:rPr>
                <w:rFonts w:hint="default" w:ascii="Arial" w:hAnsi="Arial" w:eastAsia="宋体" w:cs="Arial"/>
                <w:b w:val="0"/>
                <w:bCs w:val="0"/>
                <w:color w:val="000000"/>
                <w:kern w:val="0"/>
                <w:sz w:val="22"/>
                <w:szCs w:val="22"/>
                <w:vertAlign w:val="baseline"/>
                <w:lang w:val="en-US" w:eastAsia="zh-CN" w:bidi="ar"/>
              </w:rPr>
              <w:t>不涉及长江划定的岸线保护区和保留区</w:t>
            </w:r>
            <w:r>
              <w:rPr>
                <w:rFonts w:hint="eastAsia" w:ascii="Arial" w:hAnsi="Arial" w:eastAsia="宋体" w:cs="Arial"/>
                <w:b w:val="0"/>
                <w:bCs w:val="0"/>
                <w:color w:val="000000"/>
                <w:kern w:val="0"/>
                <w:sz w:val="22"/>
                <w:szCs w:val="22"/>
                <w:vertAlign w:val="baseline"/>
                <w:lang w:val="en-US" w:eastAsia="zh-CN" w:bidi="ar"/>
              </w:rPr>
              <w:t>、</w:t>
            </w:r>
            <w:r>
              <w:rPr>
                <w:rFonts w:hint="default" w:ascii="Arial" w:hAnsi="Arial" w:eastAsia="宋体" w:cs="Arial"/>
                <w:b w:val="0"/>
                <w:bCs w:val="0"/>
                <w:color w:val="auto"/>
                <w:kern w:val="0"/>
                <w:sz w:val="22"/>
                <w:szCs w:val="22"/>
                <w:highlight w:val="none"/>
                <w:vertAlign w:val="baseline"/>
                <w:lang w:val="en-US" w:eastAsia="zh-CN" w:bidi="ar"/>
              </w:rPr>
              <w:t>全国重要江河湖泊划定的河段保护区、保留区</w:t>
            </w:r>
            <w:r>
              <w:rPr>
                <w:rFonts w:hint="eastAsia" w:ascii="Arial" w:hAnsi="Arial" w:eastAsia="宋体" w:cs="Arial"/>
                <w:b w:val="0"/>
                <w:bCs w:val="0"/>
                <w:color w:val="auto"/>
                <w:kern w:val="0"/>
                <w:sz w:val="22"/>
                <w:szCs w:val="22"/>
                <w:highlight w:val="none"/>
                <w:vertAlign w:val="baseline"/>
                <w:lang w:val="en-US" w:eastAsia="zh-CN" w:bidi="ar"/>
              </w:rPr>
              <w:t>。</w:t>
            </w:r>
          </w:p>
        </w:tc>
        <w:tc>
          <w:tcPr>
            <w:tcW w:w="1147" w:type="dxa"/>
            <w:gridSpan w:val="2"/>
            <w:vMerge w:val="restart"/>
            <w:tcBorders>
              <w:tl2br w:val="nil"/>
              <w:tr2bl w:val="nil"/>
            </w:tcBorders>
            <w:noWrap w:val="0"/>
            <w:vAlign w:val="center"/>
          </w:tcPr>
          <w:p w14:paraId="0524D8F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1955B7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5FB6D46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4</w:t>
            </w:r>
          </w:p>
        </w:tc>
        <w:tc>
          <w:tcPr>
            <w:tcW w:w="4417" w:type="dxa"/>
            <w:tcBorders>
              <w:tl2br w:val="nil"/>
              <w:tr2bl w:val="nil"/>
            </w:tcBorders>
            <w:noWrap w:val="0"/>
            <w:vAlign w:val="center"/>
          </w:tcPr>
          <w:p w14:paraId="68A9321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禁止违反风景名胜区规划，在风景名胜区内设立各类开发区。禁止在风景名胜区核心景区的岸线和河段范围内建设宾馆招待所训中心、疗养院以及与风景名胜资源保护无关的项目。</w:t>
            </w:r>
          </w:p>
        </w:tc>
        <w:tc>
          <w:tcPr>
            <w:tcW w:w="2412" w:type="dxa"/>
            <w:vMerge w:val="continue"/>
            <w:tcBorders>
              <w:tl2br w:val="nil"/>
              <w:tr2bl w:val="nil"/>
            </w:tcBorders>
            <w:noWrap w:val="0"/>
            <w:vAlign w:val="center"/>
          </w:tcPr>
          <w:p w14:paraId="31D19A6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c>
          <w:tcPr>
            <w:tcW w:w="1147" w:type="dxa"/>
            <w:gridSpan w:val="2"/>
            <w:vMerge w:val="continue"/>
            <w:tcBorders>
              <w:tl2br w:val="nil"/>
              <w:tr2bl w:val="nil"/>
            </w:tcBorders>
            <w:noWrap w:val="0"/>
            <w:vAlign w:val="center"/>
          </w:tcPr>
          <w:p w14:paraId="67CD09A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r>
      <w:tr w14:paraId="169C97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3CD95D8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5</w:t>
            </w:r>
          </w:p>
        </w:tc>
        <w:tc>
          <w:tcPr>
            <w:tcW w:w="4417" w:type="dxa"/>
            <w:tcBorders>
              <w:tl2br w:val="nil"/>
              <w:tr2bl w:val="nil"/>
            </w:tcBorders>
            <w:noWrap w:val="0"/>
            <w:vAlign w:val="center"/>
          </w:tcPr>
          <w:p w14:paraId="31672A7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禁止在饮用水水源准保护区的岸线和河段范围内新建扩建对水体污染严重的建设项目改建增加排污量的建设项目。</w:t>
            </w:r>
          </w:p>
        </w:tc>
        <w:tc>
          <w:tcPr>
            <w:tcW w:w="2412" w:type="dxa"/>
            <w:vMerge w:val="continue"/>
            <w:tcBorders>
              <w:tl2br w:val="nil"/>
              <w:tr2bl w:val="nil"/>
            </w:tcBorders>
            <w:noWrap w:val="0"/>
            <w:vAlign w:val="center"/>
          </w:tcPr>
          <w:p w14:paraId="5C26581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c>
          <w:tcPr>
            <w:tcW w:w="1147" w:type="dxa"/>
            <w:gridSpan w:val="2"/>
            <w:vMerge w:val="continue"/>
            <w:tcBorders>
              <w:tl2br w:val="nil"/>
              <w:tr2bl w:val="nil"/>
            </w:tcBorders>
            <w:noWrap w:val="0"/>
            <w:vAlign w:val="center"/>
          </w:tcPr>
          <w:p w14:paraId="16279A9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r>
      <w:tr w14:paraId="277BA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423670A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6</w:t>
            </w:r>
          </w:p>
        </w:tc>
        <w:tc>
          <w:tcPr>
            <w:tcW w:w="4417" w:type="dxa"/>
            <w:tcBorders>
              <w:tl2br w:val="nil"/>
              <w:tr2bl w:val="nil"/>
            </w:tcBorders>
            <w:noWrap w:val="0"/>
            <w:vAlign w:val="center"/>
          </w:tcPr>
          <w:p w14:paraId="6EDA6B5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饮用水水源二级保护区的岸线和河段范围内除遵守准保护区规定外禁止新建、改建、扩建排放污染物的投资建设项目；禁止从事对水体有污染的水产养殖等活动。</w:t>
            </w:r>
          </w:p>
        </w:tc>
        <w:tc>
          <w:tcPr>
            <w:tcW w:w="2412" w:type="dxa"/>
            <w:vMerge w:val="continue"/>
            <w:tcBorders>
              <w:tl2br w:val="nil"/>
              <w:tr2bl w:val="nil"/>
            </w:tcBorders>
            <w:noWrap w:val="0"/>
            <w:vAlign w:val="center"/>
          </w:tcPr>
          <w:p w14:paraId="54A1B50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c>
          <w:tcPr>
            <w:tcW w:w="1147" w:type="dxa"/>
            <w:gridSpan w:val="2"/>
            <w:vMerge w:val="continue"/>
            <w:tcBorders>
              <w:tl2br w:val="nil"/>
              <w:tr2bl w:val="nil"/>
            </w:tcBorders>
            <w:noWrap w:val="0"/>
            <w:vAlign w:val="center"/>
          </w:tcPr>
          <w:p w14:paraId="5C22690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r>
      <w:tr w14:paraId="24FF15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228F190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7</w:t>
            </w:r>
          </w:p>
        </w:tc>
        <w:tc>
          <w:tcPr>
            <w:tcW w:w="4417" w:type="dxa"/>
            <w:tcBorders>
              <w:tl2br w:val="nil"/>
              <w:tr2bl w:val="nil"/>
            </w:tcBorders>
            <w:noWrap w:val="0"/>
            <w:vAlign w:val="center"/>
          </w:tcPr>
          <w:p w14:paraId="10F79F3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2412" w:type="dxa"/>
            <w:vMerge w:val="continue"/>
            <w:tcBorders>
              <w:tl2br w:val="nil"/>
              <w:tr2bl w:val="nil"/>
            </w:tcBorders>
            <w:noWrap w:val="0"/>
            <w:vAlign w:val="center"/>
          </w:tcPr>
          <w:p w14:paraId="400FEB8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c>
          <w:tcPr>
            <w:tcW w:w="1147" w:type="dxa"/>
            <w:gridSpan w:val="2"/>
            <w:vMerge w:val="continue"/>
            <w:tcBorders>
              <w:tl2br w:val="nil"/>
              <w:tr2bl w:val="nil"/>
            </w:tcBorders>
            <w:noWrap w:val="0"/>
            <w:vAlign w:val="center"/>
          </w:tcPr>
          <w:p w14:paraId="5EECE53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r>
      <w:tr w14:paraId="67BA8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47A7D18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8</w:t>
            </w:r>
          </w:p>
        </w:tc>
        <w:tc>
          <w:tcPr>
            <w:tcW w:w="4417" w:type="dxa"/>
            <w:tcBorders>
              <w:tl2br w:val="nil"/>
              <w:tr2bl w:val="nil"/>
            </w:tcBorders>
            <w:noWrap w:val="0"/>
            <w:vAlign w:val="center"/>
          </w:tcPr>
          <w:p w14:paraId="46139D1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禁止在水产种质资源保护区岸线和河段范围内新建围湖造田、围湖造地或挖沙采石等投资建设项目。</w:t>
            </w:r>
          </w:p>
        </w:tc>
        <w:tc>
          <w:tcPr>
            <w:tcW w:w="2412" w:type="dxa"/>
            <w:vMerge w:val="continue"/>
            <w:tcBorders>
              <w:tl2br w:val="nil"/>
              <w:tr2bl w:val="nil"/>
            </w:tcBorders>
            <w:noWrap w:val="0"/>
            <w:vAlign w:val="center"/>
          </w:tcPr>
          <w:p w14:paraId="714C327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c>
          <w:tcPr>
            <w:tcW w:w="1147" w:type="dxa"/>
            <w:gridSpan w:val="2"/>
            <w:vMerge w:val="continue"/>
            <w:tcBorders>
              <w:tl2br w:val="nil"/>
              <w:tr2bl w:val="nil"/>
            </w:tcBorders>
            <w:noWrap w:val="0"/>
            <w:vAlign w:val="center"/>
          </w:tcPr>
          <w:p w14:paraId="50610BA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r>
      <w:tr w14:paraId="10AB6C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6A201A0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9</w:t>
            </w:r>
          </w:p>
        </w:tc>
        <w:tc>
          <w:tcPr>
            <w:tcW w:w="4417" w:type="dxa"/>
            <w:tcBorders>
              <w:tl2br w:val="nil"/>
              <w:tr2bl w:val="nil"/>
            </w:tcBorders>
            <w:noWrap w:val="0"/>
            <w:vAlign w:val="center"/>
          </w:tcPr>
          <w:p w14:paraId="551A34C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沺游通道。</w:t>
            </w:r>
          </w:p>
        </w:tc>
        <w:tc>
          <w:tcPr>
            <w:tcW w:w="2412" w:type="dxa"/>
            <w:vMerge w:val="continue"/>
            <w:tcBorders>
              <w:tl2br w:val="nil"/>
              <w:tr2bl w:val="nil"/>
            </w:tcBorders>
            <w:noWrap w:val="0"/>
            <w:vAlign w:val="center"/>
          </w:tcPr>
          <w:p w14:paraId="2AB0AD2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c>
          <w:tcPr>
            <w:tcW w:w="1147" w:type="dxa"/>
            <w:gridSpan w:val="2"/>
            <w:vMerge w:val="continue"/>
            <w:tcBorders>
              <w:tl2br w:val="nil"/>
              <w:tr2bl w:val="nil"/>
            </w:tcBorders>
            <w:noWrap w:val="0"/>
            <w:vAlign w:val="center"/>
          </w:tcPr>
          <w:p w14:paraId="14A5DA4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r>
      <w:tr w14:paraId="4BF88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7157FF4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10</w:t>
            </w:r>
          </w:p>
        </w:tc>
        <w:tc>
          <w:tcPr>
            <w:tcW w:w="4417" w:type="dxa"/>
            <w:tcBorders>
              <w:tl2br w:val="nil"/>
              <w:tr2bl w:val="nil"/>
            </w:tcBorders>
            <w:noWrap w:val="0"/>
            <w:vAlign w:val="center"/>
          </w:tcPr>
          <w:p w14:paraId="6C6E187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2412" w:type="dxa"/>
            <w:vMerge w:val="continue"/>
            <w:tcBorders>
              <w:tl2br w:val="nil"/>
              <w:tr2bl w:val="nil"/>
            </w:tcBorders>
            <w:noWrap w:val="0"/>
            <w:vAlign w:val="center"/>
          </w:tcPr>
          <w:p w14:paraId="736E216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c>
          <w:tcPr>
            <w:tcW w:w="1147" w:type="dxa"/>
            <w:gridSpan w:val="2"/>
            <w:vMerge w:val="continue"/>
            <w:tcBorders>
              <w:tl2br w:val="nil"/>
              <w:tr2bl w:val="nil"/>
            </w:tcBorders>
            <w:noWrap w:val="0"/>
            <w:vAlign w:val="center"/>
          </w:tcPr>
          <w:p w14:paraId="483F46D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r>
      <w:tr w14:paraId="684DB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60CC82D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11</w:t>
            </w:r>
          </w:p>
        </w:tc>
        <w:tc>
          <w:tcPr>
            <w:tcW w:w="4417" w:type="dxa"/>
            <w:tcBorders>
              <w:tl2br w:val="nil"/>
              <w:tr2bl w:val="nil"/>
            </w:tcBorders>
            <w:noWrap w:val="0"/>
            <w:vAlign w:val="center"/>
          </w:tcPr>
          <w:p w14:paraId="77E19C7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禁止在《全国重要江河湖泊水功能区划》划定的河段及湖泊保护区、保留区内投资建设不利于水资源及自然生态保护的项目。</w:t>
            </w:r>
          </w:p>
        </w:tc>
        <w:tc>
          <w:tcPr>
            <w:tcW w:w="2412" w:type="dxa"/>
            <w:vMerge w:val="continue"/>
            <w:tcBorders>
              <w:tl2br w:val="nil"/>
              <w:tr2bl w:val="nil"/>
            </w:tcBorders>
            <w:noWrap w:val="0"/>
            <w:vAlign w:val="center"/>
          </w:tcPr>
          <w:p w14:paraId="3C33A67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c>
          <w:tcPr>
            <w:tcW w:w="1147" w:type="dxa"/>
            <w:gridSpan w:val="2"/>
            <w:vMerge w:val="continue"/>
            <w:tcBorders>
              <w:tl2br w:val="nil"/>
              <w:tr2bl w:val="nil"/>
            </w:tcBorders>
            <w:noWrap w:val="0"/>
            <w:vAlign w:val="center"/>
          </w:tcPr>
          <w:p w14:paraId="0362ADA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r>
      <w:tr w14:paraId="3E00E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332A225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12</w:t>
            </w:r>
          </w:p>
        </w:tc>
        <w:tc>
          <w:tcPr>
            <w:tcW w:w="4417" w:type="dxa"/>
            <w:tcBorders>
              <w:tl2br w:val="nil"/>
              <w:tr2bl w:val="nil"/>
            </w:tcBorders>
            <w:noWrap w:val="0"/>
            <w:vAlign w:val="center"/>
          </w:tcPr>
          <w:p w14:paraId="25D0F79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禁止在长江流域江河、湖泊新设、改设或者扩大排污口，经有管辖权的生态环境主管部门或者长江流域生态环境监督管理机构同意的除外。</w:t>
            </w:r>
          </w:p>
        </w:tc>
        <w:tc>
          <w:tcPr>
            <w:tcW w:w="2412" w:type="dxa"/>
            <w:tcBorders>
              <w:tl2br w:val="nil"/>
              <w:tr2bl w:val="nil"/>
            </w:tcBorders>
            <w:noWrap w:val="0"/>
            <w:vAlign w:val="center"/>
          </w:tcPr>
          <w:p w14:paraId="54B93D8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本项目不</w:t>
            </w:r>
            <w:r>
              <w:rPr>
                <w:rFonts w:hint="eastAsia" w:ascii="Arial" w:hAnsi="Arial" w:cs="Arial"/>
                <w:color w:val="auto"/>
                <w:sz w:val="22"/>
                <w:szCs w:val="22"/>
                <w:highlight w:val="none"/>
                <w:lang w:eastAsia="zh-CN"/>
              </w:rPr>
              <w:t>涉及</w:t>
            </w:r>
          </w:p>
        </w:tc>
        <w:tc>
          <w:tcPr>
            <w:tcW w:w="1147" w:type="dxa"/>
            <w:gridSpan w:val="2"/>
            <w:tcBorders>
              <w:tl2br w:val="nil"/>
              <w:tr2bl w:val="nil"/>
            </w:tcBorders>
            <w:noWrap w:val="0"/>
            <w:vAlign w:val="center"/>
          </w:tcPr>
          <w:p w14:paraId="0552143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2613A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49C7A9D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13</w:t>
            </w:r>
          </w:p>
        </w:tc>
        <w:tc>
          <w:tcPr>
            <w:tcW w:w="4417" w:type="dxa"/>
            <w:tcBorders>
              <w:tl2br w:val="nil"/>
              <w:tr2bl w:val="nil"/>
            </w:tcBorders>
            <w:noWrap w:val="0"/>
            <w:vAlign w:val="center"/>
          </w:tcPr>
          <w:p w14:paraId="3E62179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禁止在长江干流、大渡河、峨江、赤水河、汜江、嘉陵江、乌江、汉江和51个（四川省45个、重庆市个）水生生物保护区开展生产性捕捞。</w:t>
            </w:r>
          </w:p>
        </w:tc>
        <w:tc>
          <w:tcPr>
            <w:tcW w:w="2412" w:type="dxa"/>
            <w:tcBorders>
              <w:tl2br w:val="nil"/>
              <w:tr2bl w:val="nil"/>
            </w:tcBorders>
            <w:noWrap w:val="0"/>
            <w:vAlign w:val="center"/>
          </w:tcPr>
          <w:p w14:paraId="63FD46C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本项目不</w:t>
            </w:r>
            <w:r>
              <w:rPr>
                <w:rFonts w:hint="eastAsia" w:ascii="Arial" w:hAnsi="Arial" w:cs="Arial"/>
                <w:color w:val="auto"/>
                <w:sz w:val="22"/>
                <w:szCs w:val="22"/>
                <w:highlight w:val="none"/>
                <w:lang w:eastAsia="zh-CN"/>
              </w:rPr>
              <w:t>涉及</w:t>
            </w:r>
          </w:p>
        </w:tc>
        <w:tc>
          <w:tcPr>
            <w:tcW w:w="1147" w:type="dxa"/>
            <w:gridSpan w:val="2"/>
            <w:tcBorders>
              <w:tl2br w:val="nil"/>
              <w:tr2bl w:val="nil"/>
            </w:tcBorders>
            <w:noWrap w:val="0"/>
            <w:vAlign w:val="center"/>
          </w:tcPr>
          <w:p w14:paraId="360411A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751C9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4141634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14</w:t>
            </w:r>
          </w:p>
        </w:tc>
        <w:tc>
          <w:tcPr>
            <w:tcW w:w="4417" w:type="dxa"/>
            <w:tcBorders>
              <w:tl2br w:val="nil"/>
              <w:tr2bl w:val="nil"/>
            </w:tcBorders>
            <w:noWrap w:val="0"/>
            <w:vAlign w:val="center"/>
          </w:tcPr>
          <w:p w14:paraId="09D6150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禁止在长江干支流、重要湖泊岸线一公里范围内新建、扩建化工园区和化工项目。</w:t>
            </w:r>
          </w:p>
        </w:tc>
        <w:tc>
          <w:tcPr>
            <w:tcW w:w="2412" w:type="dxa"/>
            <w:tcBorders>
              <w:tl2br w:val="nil"/>
              <w:tr2bl w:val="nil"/>
            </w:tcBorders>
            <w:noWrap w:val="0"/>
            <w:vAlign w:val="center"/>
          </w:tcPr>
          <w:p w14:paraId="3288F7E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w:t>
            </w:r>
            <w:r>
              <w:rPr>
                <w:rFonts w:hint="default" w:ascii="Arial" w:hAnsi="Arial" w:cs="Arial"/>
                <w:color w:val="auto"/>
                <w:sz w:val="22"/>
                <w:szCs w:val="22"/>
                <w:highlight w:val="none"/>
                <w:lang w:eastAsia="zh-CN"/>
              </w:rPr>
              <w:t>项目</w:t>
            </w:r>
            <w:r>
              <w:rPr>
                <w:rFonts w:hint="default" w:ascii="Arial" w:hAnsi="Arial" w:cs="Arial"/>
                <w:color w:val="auto"/>
                <w:sz w:val="22"/>
                <w:szCs w:val="22"/>
                <w:highlight w:val="none"/>
              </w:rPr>
              <w:t>不</w:t>
            </w:r>
            <w:r>
              <w:rPr>
                <w:rFonts w:hint="eastAsia" w:ascii="Arial" w:hAnsi="Arial" w:cs="Arial"/>
                <w:color w:val="auto"/>
                <w:sz w:val="22"/>
                <w:szCs w:val="22"/>
                <w:highlight w:val="none"/>
                <w:lang w:eastAsia="zh-CN"/>
              </w:rPr>
              <w:t>涉及</w:t>
            </w:r>
          </w:p>
        </w:tc>
        <w:tc>
          <w:tcPr>
            <w:tcW w:w="1147" w:type="dxa"/>
            <w:gridSpan w:val="2"/>
            <w:tcBorders>
              <w:tl2br w:val="nil"/>
              <w:tr2bl w:val="nil"/>
            </w:tcBorders>
            <w:noWrap w:val="0"/>
            <w:vAlign w:val="center"/>
          </w:tcPr>
          <w:p w14:paraId="6D762E2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2CCD6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2E9FE98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15</w:t>
            </w:r>
          </w:p>
        </w:tc>
        <w:tc>
          <w:tcPr>
            <w:tcW w:w="4417" w:type="dxa"/>
            <w:tcBorders>
              <w:tl2br w:val="nil"/>
              <w:tr2bl w:val="nil"/>
            </w:tcBorders>
            <w:noWrap w:val="0"/>
            <w:vAlign w:val="center"/>
          </w:tcPr>
          <w:p w14:paraId="392D509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禁止在长江干流岸线三公里范围内和重要支流岸线一公里范围内新建、改建扩建尾矿库、冶炼渣库、磷石膏库，以提升安全、生态环境保护水平为目</w:t>
            </w:r>
            <w:r>
              <w:rPr>
                <w:rFonts w:hint="eastAsia" w:ascii="Arial" w:hAnsi="Arial" w:cs="Arial"/>
                <w:color w:val="auto"/>
                <w:sz w:val="22"/>
                <w:szCs w:val="22"/>
                <w:highlight w:val="none"/>
                <w:lang w:eastAsia="zh-CN"/>
              </w:rPr>
              <w:t>的</w:t>
            </w:r>
            <w:r>
              <w:rPr>
                <w:rFonts w:hint="default" w:ascii="Arial" w:hAnsi="Arial" w:cs="Arial"/>
                <w:color w:val="auto"/>
                <w:sz w:val="22"/>
                <w:szCs w:val="22"/>
                <w:highlight w:val="none"/>
              </w:rPr>
              <w:t>改建除外。</w:t>
            </w:r>
          </w:p>
        </w:tc>
        <w:tc>
          <w:tcPr>
            <w:tcW w:w="2412" w:type="dxa"/>
            <w:tcBorders>
              <w:tl2br w:val="nil"/>
              <w:tr2bl w:val="nil"/>
            </w:tcBorders>
            <w:noWrap w:val="0"/>
            <w:vAlign w:val="center"/>
          </w:tcPr>
          <w:p w14:paraId="69BB8F3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本项目</w:t>
            </w:r>
            <w:r>
              <w:rPr>
                <w:rFonts w:hint="eastAsia" w:ascii="Arial" w:hAnsi="Arial" w:cs="Arial"/>
                <w:color w:val="auto"/>
                <w:sz w:val="22"/>
                <w:szCs w:val="22"/>
                <w:highlight w:val="none"/>
                <w:lang w:eastAsia="zh-CN"/>
              </w:rPr>
              <w:t>不涉及</w:t>
            </w:r>
          </w:p>
        </w:tc>
        <w:tc>
          <w:tcPr>
            <w:tcW w:w="1147" w:type="dxa"/>
            <w:gridSpan w:val="2"/>
            <w:tcBorders>
              <w:tl2br w:val="nil"/>
              <w:tr2bl w:val="nil"/>
            </w:tcBorders>
            <w:noWrap w:val="0"/>
            <w:vAlign w:val="center"/>
          </w:tcPr>
          <w:p w14:paraId="751B3B5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634773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7D46E8A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16</w:t>
            </w:r>
          </w:p>
        </w:tc>
        <w:tc>
          <w:tcPr>
            <w:tcW w:w="4417" w:type="dxa"/>
            <w:tcBorders>
              <w:tl2br w:val="nil"/>
              <w:tr2bl w:val="nil"/>
            </w:tcBorders>
            <w:noWrap w:val="0"/>
            <w:vAlign w:val="center"/>
          </w:tcPr>
          <w:p w14:paraId="1DF38FD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禁止在生态保护</w:t>
            </w:r>
            <w:r>
              <w:rPr>
                <w:rFonts w:hint="eastAsia" w:ascii="Arial" w:hAnsi="Arial" w:cs="Arial"/>
                <w:color w:val="auto"/>
                <w:sz w:val="22"/>
                <w:szCs w:val="22"/>
                <w:highlight w:val="none"/>
                <w:lang w:eastAsia="zh-CN"/>
              </w:rPr>
              <w:t>红</w:t>
            </w:r>
            <w:r>
              <w:rPr>
                <w:rFonts w:hint="default" w:ascii="Arial" w:hAnsi="Arial" w:cs="Arial"/>
                <w:color w:val="auto"/>
                <w:sz w:val="22"/>
                <w:szCs w:val="22"/>
                <w:highlight w:val="none"/>
              </w:rPr>
              <w:t>线区域、永久基本农田集中区域和其他需要特别保护的区域内选址建设尾矿库、冶炼渣库、磷石膏库。</w:t>
            </w:r>
          </w:p>
        </w:tc>
        <w:tc>
          <w:tcPr>
            <w:tcW w:w="2412" w:type="dxa"/>
            <w:tcBorders>
              <w:tl2br w:val="nil"/>
              <w:tr2bl w:val="nil"/>
            </w:tcBorders>
            <w:noWrap w:val="0"/>
            <w:vAlign w:val="center"/>
          </w:tcPr>
          <w:p w14:paraId="488F9F2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sz w:val="22"/>
                <w:szCs w:val="22"/>
                <w:highlight w:val="none"/>
                <w:lang w:val="en-US" w:eastAsia="zh-CN"/>
              </w:rPr>
            </w:pPr>
            <w:r>
              <w:rPr>
                <w:rFonts w:hint="default" w:ascii="Arial" w:hAnsi="Arial" w:cs="Arial"/>
                <w:color w:val="auto"/>
                <w:sz w:val="22"/>
                <w:szCs w:val="22"/>
                <w:highlight w:val="none"/>
              </w:rPr>
              <w:t>本项目</w:t>
            </w:r>
            <w:r>
              <w:rPr>
                <w:rFonts w:hint="eastAsia" w:ascii="Arial" w:hAnsi="Arial" w:cs="Arial"/>
                <w:color w:val="auto"/>
                <w:sz w:val="22"/>
                <w:szCs w:val="22"/>
                <w:highlight w:val="none"/>
                <w:lang w:eastAsia="zh-CN"/>
              </w:rPr>
              <w:t>不涉及丰都县划定的生态保护红线，占地范围内分布有基本农田</w:t>
            </w:r>
            <w:r>
              <w:rPr>
                <w:rFonts w:hint="eastAsia" w:ascii="Arial" w:hAnsi="Arial" w:cs="Arial"/>
                <w:color w:val="auto"/>
                <w:sz w:val="22"/>
                <w:szCs w:val="22"/>
                <w:highlight w:val="none"/>
                <w:lang w:val="en-US" w:eastAsia="zh-CN"/>
              </w:rPr>
              <w:t>，但已办理用地手续。</w:t>
            </w:r>
          </w:p>
        </w:tc>
        <w:tc>
          <w:tcPr>
            <w:tcW w:w="1147" w:type="dxa"/>
            <w:gridSpan w:val="2"/>
            <w:tcBorders>
              <w:tl2br w:val="nil"/>
              <w:tr2bl w:val="nil"/>
            </w:tcBorders>
            <w:noWrap w:val="0"/>
            <w:vAlign w:val="center"/>
          </w:tcPr>
          <w:p w14:paraId="246F0B2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14675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4602949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17</w:t>
            </w:r>
          </w:p>
        </w:tc>
        <w:tc>
          <w:tcPr>
            <w:tcW w:w="4417" w:type="dxa"/>
            <w:tcBorders>
              <w:tl2br w:val="nil"/>
              <w:tr2bl w:val="nil"/>
            </w:tcBorders>
            <w:noWrap w:val="0"/>
            <w:vAlign w:val="center"/>
          </w:tcPr>
          <w:p w14:paraId="58F6D54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禁止在合规园区外新建、扩建钢铁、石化、化工、焦化、建材、有色、制浆造纸等高污染项目。</w:t>
            </w:r>
          </w:p>
        </w:tc>
        <w:tc>
          <w:tcPr>
            <w:tcW w:w="2412" w:type="dxa"/>
            <w:tcBorders>
              <w:tl2br w:val="nil"/>
              <w:tr2bl w:val="nil"/>
            </w:tcBorders>
            <w:noWrap w:val="0"/>
            <w:vAlign w:val="center"/>
          </w:tcPr>
          <w:p w14:paraId="54748CD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本项目</w:t>
            </w:r>
            <w:r>
              <w:rPr>
                <w:rFonts w:hint="eastAsia" w:ascii="Arial" w:hAnsi="Arial" w:cs="Arial"/>
                <w:color w:val="auto"/>
                <w:sz w:val="22"/>
                <w:szCs w:val="22"/>
                <w:highlight w:val="none"/>
                <w:lang w:eastAsia="zh-CN"/>
              </w:rPr>
              <w:t>不涉及</w:t>
            </w:r>
          </w:p>
        </w:tc>
        <w:tc>
          <w:tcPr>
            <w:tcW w:w="1147" w:type="dxa"/>
            <w:gridSpan w:val="2"/>
            <w:tcBorders>
              <w:tl2br w:val="nil"/>
              <w:tr2bl w:val="nil"/>
            </w:tcBorders>
            <w:noWrap w:val="0"/>
            <w:vAlign w:val="center"/>
          </w:tcPr>
          <w:p w14:paraId="5CC866E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73937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3CDEE72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18</w:t>
            </w:r>
          </w:p>
        </w:tc>
        <w:tc>
          <w:tcPr>
            <w:tcW w:w="4417" w:type="dxa"/>
            <w:tcBorders>
              <w:tl2br w:val="nil"/>
              <w:tr2bl w:val="nil"/>
            </w:tcBorders>
            <w:noWrap w:val="0"/>
            <w:vAlign w:val="center"/>
          </w:tcPr>
          <w:p w14:paraId="03C8011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禁止新建、扩建不符合国家石化、现代煤化工等产业布局规划的项目严格控制新增炼油产能，未列入《石化产业规划布局方案（修订版）》的新增炼油产能一律不得建设）。</w:t>
            </w:r>
          </w:p>
          <w:p w14:paraId="39C3127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新建煤制烯经、煤制芳经项目必须列入《现代煤化工产业创新发展布局方案》，必须符合《现代煤化工建设项目环境准入条件（试行）》要求。</w:t>
            </w:r>
          </w:p>
        </w:tc>
        <w:tc>
          <w:tcPr>
            <w:tcW w:w="2412" w:type="dxa"/>
            <w:tcBorders>
              <w:tl2br w:val="nil"/>
              <w:tr2bl w:val="nil"/>
            </w:tcBorders>
            <w:noWrap w:val="0"/>
            <w:vAlign w:val="center"/>
          </w:tcPr>
          <w:p w14:paraId="1595D98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w:t>
            </w:r>
            <w:r>
              <w:rPr>
                <w:rFonts w:hint="default" w:ascii="Arial" w:hAnsi="Arial" w:cs="Arial"/>
                <w:color w:val="auto"/>
                <w:sz w:val="22"/>
                <w:szCs w:val="22"/>
                <w:highlight w:val="none"/>
                <w:lang w:eastAsia="zh-CN"/>
              </w:rPr>
              <w:t>项目</w:t>
            </w:r>
            <w:r>
              <w:rPr>
                <w:rFonts w:hint="default" w:ascii="Arial" w:hAnsi="Arial" w:cs="Arial"/>
                <w:color w:val="auto"/>
                <w:sz w:val="22"/>
                <w:szCs w:val="22"/>
                <w:highlight w:val="none"/>
              </w:rPr>
              <w:t>不涉及</w:t>
            </w:r>
          </w:p>
        </w:tc>
        <w:tc>
          <w:tcPr>
            <w:tcW w:w="1147" w:type="dxa"/>
            <w:gridSpan w:val="2"/>
            <w:tcBorders>
              <w:tl2br w:val="nil"/>
              <w:tr2bl w:val="nil"/>
            </w:tcBorders>
            <w:noWrap w:val="0"/>
            <w:vAlign w:val="center"/>
          </w:tcPr>
          <w:p w14:paraId="1199664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5D107E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54ADC44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19</w:t>
            </w:r>
          </w:p>
        </w:tc>
        <w:tc>
          <w:tcPr>
            <w:tcW w:w="4417" w:type="dxa"/>
            <w:tcBorders>
              <w:tl2br w:val="nil"/>
              <w:tr2bl w:val="nil"/>
            </w:tcBorders>
            <w:noWrap w:val="0"/>
            <w:vAlign w:val="center"/>
          </w:tcPr>
          <w:p w14:paraId="2E610EA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412" w:type="dxa"/>
            <w:vMerge w:val="restart"/>
            <w:tcBorders>
              <w:tl2br w:val="nil"/>
              <w:tr2bl w:val="nil"/>
            </w:tcBorders>
            <w:noWrap w:val="0"/>
            <w:vAlign w:val="center"/>
          </w:tcPr>
          <w:p w14:paraId="2EFFA03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w:t>
            </w:r>
            <w:r>
              <w:rPr>
                <w:rFonts w:hint="default" w:ascii="Arial" w:hAnsi="Arial" w:cs="Arial"/>
                <w:color w:val="auto"/>
                <w:sz w:val="22"/>
                <w:szCs w:val="22"/>
                <w:highlight w:val="none"/>
                <w:lang w:eastAsia="zh-CN"/>
              </w:rPr>
              <w:t>项目</w:t>
            </w:r>
            <w:r>
              <w:rPr>
                <w:rFonts w:hint="default" w:ascii="Arial" w:hAnsi="Arial" w:cs="Arial"/>
                <w:color w:val="auto"/>
                <w:sz w:val="22"/>
                <w:szCs w:val="22"/>
                <w:highlight w:val="none"/>
              </w:rPr>
              <w:t>属于《产业结构调整指导目录》</w:t>
            </w:r>
            <w:r>
              <w:rPr>
                <w:rFonts w:hint="eastAsia" w:ascii="Arial" w:hAnsi="Arial" w:cs="Arial"/>
                <w:color w:val="auto"/>
                <w:sz w:val="22"/>
                <w:szCs w:val="22"/>
                <w:highlight w:val="none"/>
                <w:lang w:eastAsia="zh-CN"/>
              </w:rPr>
              <w:t>（</w:t>
            </w:r>
            <w:r>
              <w:rPr>
                <w:rFonts w:hint="eastAsia" w:ascii="Arial" w:hAnsi="Arial" w:cs="Arial"/>
                <w:color w:val="auto"/>
                <w:sz w:val="22"/>
                <w:szCs w:val="22"/>
                <w:highlight w:val="none"/>
                <w:lang w:val="en-US" w:eastAsia="zh-CN"/>
              </w:rPr>
              <w:t>2024年本）中鼓励类项目</w:t>
            </w:r>
            <w:r>
              <w:rPr>
                <w:rFonts w:hint="default" w:ascii="Arial" w:hAnsi="Arial" w:cs="Arial"/>
                <w:color w:val="auto"/>
                <w:sz w:val="22"/>
                <w:szCs w:val="22"/>
                <w:highlight w:val="none"/>
              </w:rPr>
              <w:t>。</w:t>
            </w:r>
          </w:p>
        </w:tc>
        <w:tc>
          <w:tcPr>
            <w:tcW w:w="1147" w:type="dxa"/>
            <w:gridSpan w:val="2"/>
            <w:tcBorders>
              <w:tl2br w:val="nil"/>
              <w:tr2bl w:val="nil"/>
            </w:tcBorders>
            <w:noWrap w:val="0"/>
            <w:vAlign w:val="center"/>
          </w:tcPr>
          <w:p w14:paraId="6644046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4201B8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5B37D68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20</w:t>
            </w:r>
          </w:p>
        </w:tc>
        <w:tc>
          <w:tcPr>
            <w:tcW w:w="4417" w:type="dxa"/>
            <w:tcBorders>
              <w:tl2br w:val="nil"/>
              <w:tr2bl w:val="nil"/>
            </w:tcBorders>
            <w:noWrap w:val="0"/>
            <w:vAlign w:val="center"/>
          </w:tcPr>
          <w:p w14:paraId="557F4C1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禁止新建、扩建不符合国家产能置换要求的严重过剩产能行业的项目。对于不符合国家产能置换要求的严重过剩产能行业，不得以其他任何名义任何方式备案新增产能项目。</w:t>
            </w:r>
          </w:p>
        </w:tc>
        <w:tc>
          <w:tcPr>
            <w:tcW w:w="2412" w:type="dxa"/>
            <w:vMerge w:val="continue"/>
            <w:tcBorders>
              <w:tl2br w:val="nil"/>
              <w:tr2bl w:val="nil"/>
            </w:tcBorders>
            <w:noWrap w:val="0"/>
            <w:vAlign w:val="center"/>
          </w:tcPr>
          <w:p w14:paraId="12819F4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p>
        </w:tc>
        <w:tc>
          <w:tcPr>
            <w:tcW w:w="1147" w:type="dxa"/>
            <w:gridSpan w:val="2"/>
            <w:tcBorders>
              <w:tl2br w:val="nil"/>
              <w:tr2bl w:val="nil"/>
            </w:tcBorders>
            <w:noWrap w:val="0"/>
            <w:vAlign w:val="center"/>
          </w:tcPr>
          <w:p w14:paraId="70351F2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2EF529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2" w:type="dxa"/>
            <w:tcBorders>
              <w:tl2br w:val="nil"/>
              <w:tr2bl w:val="nil"/>
            </w:tcBorders>
            <w:noWrap w:val="0"/>
            <w:vAlign w:val="center"/>
          </w:tcPr>
          <w:p w14:paraId="4074352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21</w:t>
            </w:r>
          </w:p>
        </w:tc>
        <w:tc>
          <w:tcPr>
            <w:tcW w:w="4417" w:type="dxa"/>
            <w:tcBorders>
              <w:tl2br w:val="nil"/>
              <w:tr2bl w:val="nil"/>
            </w:tcBorders>
            <w:noWrap w:val="0"/>
            <w:vAlign w:val="center"/>
          </w:tcPr>
          <w:p w14:paraId="719B234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禁止建设以燃油汽车投资项目（不在中回境内销售产品的投资项目除外）：</w:t>
            </w:r>
          </w:p>
          <w:p w14:paraId="6AEDC55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①新建独立燃油汽车企业</w:t>
            </w:r>
          </w:p>
          <w:p w14:paraId="0E58F4C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②现有汽车企业跨乘用车、商用车类别建设燃油汽车生产能力）；</w:t>
            </w:r>
          </w:p>
          <w:p w14:paraId="110D58E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③外省现有燃油汽车企业整体搬迁至本省（列入国家级区域发展规划或不改变企业股权结构的项目除外）；</w:t>
            </w:r>
          </w:p>
          <w:p w14:paraId="4BBAE8E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④对行业管理部门特别公示的燃油汽车企业进行投资（企业原有股东投资或将该企业转为非独立法人的投资项目除外）。</w:t>
            </w:r>
          </w:p>
        </w:tc>
        <w:tc>
          <w:tcPr>
            <w:tcW w:w="2412" w:type="dxa"/>
            <w:tcBorders>
              <w:tl2br w:val="nil"/>
              <w:tr2bl w:val="nil"/>
            </w:tcBorders>
            <w:noWrap w:val="0"/>
            <w:vAlign w:val="center"/>
          </w:tcPr>
          <w:p w14:paraId="3AD5CF8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w:t>
            </w:r>
            <w:r>
              <w:rPr>
                <w:rFonts w:hint="default" w:ascii="Arial" w:hAnsi="Arial" w:cs="Arial"/>
                <w:color w:val="auto"/>
                <w:sz w:val="22"/>
                <w:szCs w:val="22"/>
                <w:highlight w:val="none"/>
                <w:lang w:eastAsia="zh-CN"/>
              </w:rPr>
              <w:t>项目</w:t>
            </w:r>
            <w:r>
              <w:rPr>
                <w:rFonts w:hint="eastAsia" w:ascii="Arial" w:hAnsi="Arial" w:cs="Arial"/>
                <w:color w:val="auto"/>
                <w:sz w:val="22"/>
                <w:szCs w:val="22"/>
                <w:highlight w:val="none"/>
                <w:lang w:eastAsia="zh-CN"/>
              </w:rPr>
              <w:t>不涉及</w:t>
            </w:r>
          </w:p>
        </w:tc>
        <w:tc>
          <w:tcPr>
            <w:tcW w:w="1147" w:type="dxa"/>
            <w:gridSpan w:val="2"/>
            <w:tcBorders>
              <w:tl2br w:val="nil"/>
              <w:tr2bl w:val="nil"/>
            </w:tcBorders>
            <w:noWrap w:val="0"/>
            <w:vAlign w:val="center"/>
          </w:tcPr>
          <w:p w14:paraId="1BD6392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r w14:paraId="01B62F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0" w:hRule="atLeast"/>
          <w:jc w:val="center"/>
        </w:trPr>
        <w:tc>
          <w:tcPr>
            <w:tcW w:w="782" w:type="dxa"/>
            <w:tcBorders>
              <w:tl2br w:val="nil"/>
              <w:tr2bl w:val="nil"/>
            </w:tcBorders>
            <w:noWrap w:val="0"/>
            <w:vAlign w:val="center"/>
          </w:tcPr>
          <w:p w14:paraId="625F8C9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22</w:t>
            </w:r>
          </w:p>
        </w:tc>
        <w:tc>
          <w:tcPr>
            <w:tcW w:w="4417" w:type="dxa"/>
            <w:tcBorders>
              <w:tl2br w:val="nil"/>
              <w:tr2bl w:val="nil"/>
            </w:tcBorders>
            <w:noWrap w:val="0"/>
            <w:vAlign w:val="center"/>
          </w:tcPr>
          <w:p w14:paraId="7CADFC9B">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禁止新建扩建不符合要求的高耗能、高排放、低水平项目。</w:t>
            </w:r>
          </w:p>
        </w:tc>
        <w:tc>
          <w:tcPr>
            <w:tcW w:w="2412" w:type="dxa"/>
            <w:tcBorders>
              <w:tl2br w:val="nil"/>
              <w:tr2bl w:val="nil"/>
            </w:tcBorders>
            <w:noWrap w:val="0"/>
            <w:vAlign w:val="center"/>
          </w:tcPr>
          <w:p w14:paraId="3CE9DD2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本</w:t>
            </w:r>
            <w:r>
              <w:rPr>
                <w:rFonts w:hint="default" w:ascii="Arial" w:hAnsi="Arial" w:cs="Arial"/>
                <w:color w:val="auto"/>
                <w:sz w:val="22"/>
                <w:szCs w:val="22"/>
                <w:highlight w:val="none"/>
                <w:lang w:eastAsia="zh-CN"/>
              </w:rPr>
              <w:t>项目</w:t>
            </w:r>
            <w:r>
              <w:rPr>
                <w:rFonts w:hint="default" w:ascii="Arial" w:hAnsi="Arial" w:cs="Arial"/>
                <w:color w:val="auto"/>
                <w:sz w:val="22"/>
                <w:szCs w:val="22"/>
                <w:highlight w:val="none"/>
              </w:rPr>
              <w:t>不属于高耗能、高排放、低水平项目。</w:t>
            </w:r>
          </w:p>
        </w:tc>
        <w:tc>
          <w:tcPr>
            <w:tcW w:w="1141" w:type="dxa"/>
            <w:tcBorders>
              <w:tl2br w:val="nil"/>
              <w:tr2bl w:val="nil"/>
            </w:tcBorders>
            <w:noWrap w:val="0"/>
            <w:vAlign w:val="center"/>
          </w:tcPr>
          <w:p w14:paraId="6679681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符合</w:t>
            </w:r>
          </w:p>
        </w:tc>
      </w:tr>
    </w:tbl>
    <w:p w14:paraId="4A5AF2AB">
      <w:pPr>
        <w:pStyle w:val="2082"/>
        <w:keepNext w:val="0"/>
        <w:keepLines w:val="0"/>
        <w:pageBreakBefore w:val="0"/>
        <w:widowControl w:val="0"/>
        <w:kinsoku/>
        <w:wordWrap/>
        <w:overflowPunct/>
        <w:topLinePunct w:val="0"/>
        <w:autoSpaceDE/>
        <w:autoSpaceDN/>
        <w:bidi w:val="0"/>
        <w:adjustRightInd w:val="0"/>
        <w:snapToGrid w:val="0"/>
        <w:spacing w:line="240" w:lineRule="exact"/>
        <w:ind w:firstLine="560"/>
        <w:textAlignment w:val="auto"/>
        <w:rPr>
          <w:rFonts w:hint="default" w:ascii="Arial" w:hAnsi="Arial" w:eastAsia="宋体" w:cs="Arial"/>
          <w:b w:val="0"/>
          <w:color w:val="auto"/>
          <w:kern w:val="2"/>
          <w:sz w:val="26"/>
          <w:szCs w:val="26"/>
          <w:lang w:val="en-US" w:eastAsia="zh-CN" w:bidi="ar-SA"/>
        </w:rPr>
      </w:pPr>
    </w:p>
    <w:p w14:paraId="24CB2214">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综上所述，本项目</w:t>
      </w:r>
      <w:r>
        <w:rPr>
          <w:rFonts w:hint="eastAsia" w:ascii="Arial" w:hAnsi="Arial" w:eastAsia="宋体" w:cs="Arial"/>
          <w:b w:val="0"/>
          <w:color w:val="auto"/>
          <w:kern w:val="2"/>
          <w:sz w:val="26"/>
          <w:szCs w:val="26"/>
          <w:lang w:val="en-US" w:eastAsia="zh-CN" w:bidi="ar-SA"/>
        </w:rPr>
        <w:t>为水利基础设施建设，选线不涉及饮用水水源保护区、生态保护红线、自然保护区、风景名胜区、国家湿地公园等生态敏感区，与</w:t>
      </w:r>
      <w:r>
        <w:rPr>
          <w:rFonts w:hint="default" w:ascii="Arial" w:hAnsi="Arial" w:eastAsia="宋体" w:cs="Arial"/>
          <w:b w:val="0"/>
          <w:color w:val="auto"/>
          <w:kern w:val="2"/>
          <w:sz w:val="26"/>
          <w:szCs w:val="26"/>
          <w:lang w:val="en-US" w:eastAsia="zh-CN" w:bidi="ar-SA"/>
        </w:rPr>
        <w:t>《长江经济带发展负面清单指南（试行，2022年版）》（长江办</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2022</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7号）</w:t>
      </w:r>
      <w:r>
        <w:rPr>
          <w:rFonts w:hint="eastAsia" w:ascii="Arial" w:hAnsi="Arial" w:eastAsia="宋体" w:cs="Arial"/>
          <w:b w:val="0"/>
          <w:color w:val="auto"/>
          <w:kern w:val="2"/>
          <w:sz w:val="26"/>
          <w:szCs w:val="26"/>
          <w:lang w:val="en-US" w:eastAsia="zh-CN" w:bidi="ar-SA"/>
        </w:rPr>
        <w:t>相符</w:t>
      </w:r>
      <w:r>
        <w:rPr>
          <w:rFonts w:hint="default" w:ascii="Arial" w:hAnsi="Arial" w:eastAsia="宋体" w:cs="Arial"/>
          <w:b w:val="0"/>
          <w:color w:val="auto"/>
          <w:kern w:val="2"/>
          <w:sz w:val="26"/>
          <w:szCs w:val="26"/>
          <w:lang w:val="en-US" w:eastAsia="zh-CN" w:bidi="ar-SA"/>
        </w:rPr>
        <w:t>。</w:t>
      </w:r>
    </w:p>
    <w:p w14:paraId="69DD6371">
      <w:pPr>
        <w:pStyle w:val="19"/>
        <w:keepNext w:val="0"/>
        <w:keepLines w:val="0"/>
        <w:pageBreakBefore w:val="0"/>
        <w:widowControl w:val="0"/>
        <w:kinsoku/>
        <w:wordWrap/>
        <w:overflowPunct/>
        <w:topLinePunct w:val="0"/>
        <w:autoSpaceDE/>
        <w:autoSpaceDN/>
        <w:bidi w:val="0"/>
        <w:adjustRightInd w:val="0"/>
        <w:snapToGrid w:val="0"/>
        <w:spacing w:line="440" w:lineRule="exact"/>
        <w:ind w:firstLine="522"/>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1.9.5与《</w:t>
      </w:r>
      <w:bookmarkStart w:id="76" w:name="OLE_LINK9"/>
      <w:r>
        <w:rPr>
          <w:rFonts w:hint="eastAsia" w:ascii="Arial" w:hAnsi="Arial" w:eastAsia="宋体" w:cs="Arial"/>
          <w:b/>
          <w:color w:val="auto"/>
          <w:kern w:val="0"/>
          <w:sz w:val="26"/>
          <w:szCs w:val="20"/>
          <w:highlight w:val="none"/>
          <w:lang w:val="en-US" w:eastAsia="zh-CN"/>
        </w:rPr>
        <w:t>长江经济带生态环境保护规划</w:t>
      </w:r>
      <w:bookmarkEnd w:id="76"/>
      <w:r>
        <w:rPr>
          <w:rFonts w:hint="eastAsia" w:ascii="Arial" w:hAnsi="Arial" w:eastAsia="宋体" w:cs="Arial"/>
          <w:b/>
          <w:color w:val="auto"/>
          <w:kern w:val="0"/>
          <w:sz w:val="26"/>
          <w:szCs w:val="20"/>
          <w:highlight w:val="none"/>
          <w:lang w:val="en-US" w:eastAsia="zh-CN"/>
        </w:rPr>
        <w:t>》</w:t>
      </w:r>
      <w:r>
        <w:rPr>
          <w:rFonts w:hint="eastAsia" w:ascii="Arial" w:hAnsi="Arial" w:cs="Arial"/>
          <w:b/>
          <w:color w:val="auto"/>
          <w:kern w:val="0"/>
          <w:sz w:val="26"/>
          <w:szCs w:val="20"/>
          <w:highlight w:val="none"/>
          <w:lang w:val="en-US" w:eastAsia="zh-CN"/>
        </w:rPr>
        <w:t>（环规</w:t>
      </w:r>
      <w:r>
        <w:rPr>
          <w:rFonts w:hint="default" w:ascii="Arial" w:hAnsi="Arial" w:cs="Arial"/>
          <w:b/>
          <w:color w:val="auto"/>
          <w:kern w:val="0"/>
          <w:sz w:val="26"/>
          <w:szCs w:val="20"/>
          <w:highlight w:val="none"/>
          <w:lang w:val="en-US" w:eastAsia="zh-CN"/>
        </w:rPr>
        <w:t>财</w:t>
      </w:r>
      <w:r>
        <w:rPr>
          <w:rFonts w:hint="default" w:ascii="Arial" w:hAnsi="Arial" w:eastAsia="宋体" w:cs="Arial"/>
          <w:b/>
          <w:color w:val="auto"/>
          <w:kern w:val="0"/>
          <w:sz w:val="26"/>
          <w:szCs w:val="20"/>
          <w:highlight w:val="none"/>
          <w:lang w:val="en-US" w:eastAsia="zh-CN"/>
        </w:rPr>
        <w:t>〔2017〕88号）</w:t>
      </w:r>
      <w:r>
        <w:rPr>
          <w:rFonts w:hint="eastAsia" w:ascii="Arial" w:hAnsi="Arial" w:eastAsia="宋体" w:cs="Arial"/>
          <w:b/>
          <w:color w:val="auto"/>
          <w:kern w:val="0"/>
          <w:sz w:val="26"/>
          <w:szCs w:val="20"/>
          <w:highlight w:val="none"/>
          <w:lang w:val="en-US" w:eastAsia="zh-CN"/>
        </w:rPr>
        <w:t>的符合性分析</w:t>
      </w:r>
    </w:p>
    <w:p w14:paraId="54D92392">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拟建项目位于丰都县双龙镇田家山村，主要为建设水库及配套输水管线，与《长江经济带生态环境保护规划》的符合性分析详见表1.9-4所示。</w:t>
      </w:r>
    </w:p>
    <w:p w14:paraId="54506B97">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val="0"/>
          <w:sz w:val="26"/>
          <w:szCs w:val="26"/>
          <w:highlight w:val="none"/>
          <w:lang w:eastAsia="zh-CN"/>
        </w:rPr>
      </w:pPr>
      <w:r>
        <w:rPr>
          <w:rFonts w:hint="eastAsia" w:ascii="Arial" w:hAnsi="Arial" w:cs="Arial"/>
          <w:b/>
          <w:bCs w:val="0"/>
          <w:sz w:val="26"/>
          <w:szCs w:val="26"/>
          <w:highlight w:val="none"/>
          <w:lang w:eastAsia="zh-CN"/>
        </w:rPr>
        <w:t>表1</w:t>
      </w:r>
      <w:r>
        <w:rPr>
          <w:rFonts w:hint="eastAsia" w:ascii="Arial" w:hAnsi="Arial" w:cs="Arial"/>
          <w:b/>
          <w:bCs w:val="0"/>
          <w:sz w:val="26"/>
          <w:szCs w:val="26"/>
          <w:highlight w:val="none"/>
          <w:lang w:val="en-US" w:eastAsia="zh-CN"/>
        </w:rPr>
        <w:t>.9-4 与“</w:t>
      </w:r>
      <w:r>
        <w:rPr>
          <w:rFonts w:hint="eastAsia" w:ascii="Arial" w:hAnsi="Arial" w:eastAsia="宋体" w:cs="Arial"/>
          <w:b/>
          <w:color w:val="auto"/>
          <w:kern w:val="0"/>
          <w:sz w:val="26"/>
          <w:szCs w:val="20"/>
          <w:highlight w:val="none"/>
          <w:lang w:val="en-US" w:eastAsia="zh-CN"/>
        </w:rPr>
        <w:t>长江经济带生态环境保护规划</w:t>
      </w:r>
      <w:r>
        <w:rPr>
          <w:rFonts w:hint="eastAsia" w:ascii="Arial" w:hAnsi="Arial" w:cs="Arial"/>
          <w:b/>
          <w:color w:val="auto"/>
          <w:kern w:val="0"/>
          <w:sz w:val="26"/>
          <w:szCs w:val="20"/>
          <w:highlight w:val="none"/>
          <w:lang w:val="en-US" w:eastAsia="zh-CN"/>
        </w:rPr>
        <w:t>”</w:t>
      </w:r>
      <w:r>
        <w:rPr>
          <w:rFonts w:hint="eastAsia" w:ascii="Arial" w:hAnsi="Arial" w:cs="Arial"/>
          <w:b/>
          <w:bCs w:val="0"/>
          <w:sz w:val="26"/>
          <w:szCs w:val="26"/>
          <w:highlight w:val="none"/>
          <w:lang w:val="en-US" w:eastAsia="zh-CN"/>
        </w:rPr>
        <w:t xml:space="preserve">符合性分析表 </w:t>
      </w:r>
    </w:p>
    <w:tbl>
      <w:tblPr>
        <w:tblStyle w:val="77"/>
        <w:tblW w:w="87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9"/>
        <w:gridCol w:w="4617"/>
        <w:gridCol w:w="2533"/>
        <w:gridCol w:w="949"/>
      </w:tblGrid>
      <w:tr w14:paraId="4F82B7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111DD6B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序号</w:t>
            </w:r>
          </w:p>
        </w:tc>
        <w:tc>
          <w:tcPr>
            <w:tcW w:w="4617" w:type="dxa"/>
            <w:tcBorders>
              <w:tl2br w:val="nil"/>
              <w:tr2bl w:val="nil"/>
            </w:tcBorders>
            <w:noWrap w:val="0"/>
            <w:vAlign w:val="center"/>
          </w:tcPr>
          <w:p w14:paraId="651E13F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文件要求</w:t>
            </w:r>
          </w:p>
        </w:tc>
        <w:tc>
          <w:tcPr>
            <w:tcW w:w="2533" w:type="dxa"/>
            <w:tcBorders>
              <w:tl2br w:val="nil"/>
              <w:tr2bl w:val="nil"/>
            </w:tcBorders>
            <w:noWrap w:val="0"/>
            <w:vAlign w:val="center"/>
          </w:tcPr>
          <w:p w14:paraId="62ABAC2B">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本项目情况</w:t>
            </w:r>
          </w:p>
        </w:tc>
        <w:tc>
          <w:tcPr>
            <w:tcW w:w="949" w:type="dxa"/>
            <w:tcBorders>
              <w:tl2br w:val="nil"/>
              <w:tr2bl w:val="nil"/>
            </w:tcBorders>
            <w:noWrap w:val="0"/>
            <w:vAlign w:val="center"/>
          </w:tcPr>
          <w:p w14:paraId="4CB7F7B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符合性</w:t>
            </w:r>
          </w:p>
        </w:tc>
      </w:tr>
      <w:tr w14:paraId="7CDB5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4884127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w:t>
            </w:r>
          </w:p>
        </w:tc>
        <w:tc>
          <w:tcPr>
            <w:tcW w:w="4617" w:type="dxa"/>
            <w:tcBorders>
              <w:tl2br w:val="nil"/>
              <w:tr2bl w:val="nil"/>
            </w:tcBorders>
            <w:noWrap w:val="0"/>
            <w:vAlign w:val="center"/>
          </w:tcPr>
          <w:p w14:paraId="37B2BAE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cs="Arial"/>
                <w:b/>
                <w:bCs/>
                <w:color w:val="auto"/>
                <w:sz w:val="22"/>
                <w:szCs w:val="22"/>
                <w:highlight w:val="none"/>
                <w:lang w:eastAsia="zh-CN"/>
              </w:rPr>
              <w:t>分区保护重点</w:t>
            </w:r>
            <w:r>
              <w:rPr>
                <w:rFonts w:hint="eastAsia" w:ascii="Arial" w:hAnsi="Arial" w:cs="Arial"/>
                <w:color w:val="auto"/>
                <w:sz w:val="22"/>
                <w:szCs w:val="22"/>
                <w:highlight w:val="none"/>
                <w:lang w:eastAsia="zh-CN"/>
              </w:rPr>
              <w:t>：上游区包括重庆、四川、贵州、云南等省市，区域水土流失、荒漠化严重，矿产资源开发等带来的环境污染和生态破坏问题突出，大城市及周边污染形势严峻。应重点加强水源涵养、水土保持、生物多样性维护和高原湖泊湿地保护，强化自然保护区建设和管护，合理开发利用水资源，禁止煤炭、有色金属、磷矿等资源的无序开发，加大湖库、湿地等敏感区的保护力度，加强云贵川喀斯特地区、金沙江中下游、嘉陵江流域、沱江流域、乌江中上游、三峡库区等区域水土流失治理与生态恢复，推进成渝城市群环境质量持续改善。</w:t>
            </w:r>
          </w:p>
        </w:tc>
        <w:tc>
          <w:tcPr>
            <w:tcW w:w="2533" w:type="dxa"/>
            <w:tcBorders>
              <w:tl2br w:val="nil"/>
              <w:tr2bl w:val="nil"/>
            </w:tcBorders>
            <w:noWrap w:val="0"/>
            <w:vAlign w:val="center"/>
          </w:tcPr>
          <w:p w14:paraId="424BE7DF">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本项目主要为新建水库及配套输水管线，对项目所在地水域水质有改善作用；</w:t>
            </w:r>
            <w:r>
              <w:rPr>
                <w:spacing w:val="-1"/>
                <w:sz w:val="22"/>
                <w:szCs w:val="22"/>
              </w:rPr>
              <w:t>同时</w:t>
            </w:r>
            <w:r>
              <w:rPr>
                <w:rFonts w:hint="eastAsia"/>
                <w:spacing w:val="-1"/>
                <w:sz w:val="22"/>
                <w:szCs w:val="22"/>
                <w:lang w:eastAsia="zh-CN"/>
              </w:rPr>
              <w:t>将对</w:t>
            </w:r>
            <w:r>
              <w:rPr>
                <w:spacing w:val="-1"/>
                <w:sz w:val="22"/>
                <w:szCs w:val="22"/>
              </w:rPr>
              <w:t>坝址上游及减水河段的污</w:t>
            </w:r>
            <w:r>
              <w:rPr>
                <w:spacing w:val="1"/>
                <w:sz w:val="22"/>
                <w:szCs w:val="22"/>
              </w:rPr>
              <w:t>染物减排、截留、处理均</w:t>
            </w:r>
            <w:r>
              <w:rPr>
                <w:spacing w:val="2"/>
                <w:sz w:val="22"/>
                <w:szCs w:val="22"/>
              </w:rPr>
              <w:t>提出反馈建议和要求</w:t>
            </w:r>
            <w:r>
              <w:rPr>
                <w:spacing w:val="1"/>
                <w:sz w:val="22"/>
                <w:szCs w:val="22"/>
              </w:rPr>
              <w:t>；此外，通过</w:t>
            </w:r>
            <w:r>
              <w:rPr>
                <w:rFonts w:hint="eastAsia"/>
                <w:spacing w:val="1"/>
                <w:sz w:val="22"/>
                <w:szCs w:val="22"/>
                <w:lang w:eastAsia="zh-CN"/>
              </w:rPr>
              <w:t>下泄生态流量</w:t>
            </w:r>
            <w:r>
              <w:rPr>
                <w:spacing w:val="-1"/>
                <w:sz w:val="22"/>
                <w:szCs w:val="22"/>
              </w:rPr>
              <w:t>，保护水生生</w:t>
            </w:r>
            <w:r>
              <w:rPr>
                <w:spacing w:val="-2"/>
                <w:sz w:val="22"/>
                <w:szCs w:val="22"/>
              </w:rPr>
              <w:t>态环境</w:t>
            </w:r>
            <w:r>
              <w:rPr>
                <w:rFonts w:hint="eastAsia"/>
                <w:spacing w:val="-2"/>
                <w:sz w:val="22"/>
                <w:szCs w:val="22"/>
                <w:lang w:eastAsia="zh-CN"/>
              </w:rPr>
              <w:t>。</w:t>
            </w:r>
          </w:p>
        </w:tc>
        <w:tc>
          <w:tcPr>
            <w:tcW w:w="949" w:type="dxa"/>
            <w:tcBorders>
              <w:tl2br w:val="nil"/>
              <w:tr2bl w:val="nil"/>
            </w:tcBorders>
            <w:noWrap w:val="0"/>
            <w:vAlign w:val="center"/>
          </w:tcPr>
          <w:p w14:paraId="54A98EA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39272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4421C9F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2</w:t>
            </w:r>
          </w:p>
        </w:tc>
        <w:tc>
          <w:tcPr>
            <w:tcW w:w="4617" w:type="dxa"/>
            <w:tcBorders>
              <w:tl2br w:val="nil"/>
              <w:tr2bl w:val="nil"/>
            </w:tcBorders>
            <w:noWrap w:val="0"/>
            <w:vAlign w:val="center"/>
          </w:tcPr>
          <w:p w14:paraId="03D5961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cs="Arial"/>
                <w:b/>
                <w:bCs/>
                <w:color w:val="auto"/>
                <w:sz w:val="22"/>
                <w:szCs w:val="22"/>
                <w:highlight w:val="none"/>
                <w:lang w:eastAsia="zh-CN"/>
              </w:rPr>
              <w:t>推进重点领域节水</w:t>
            </w:r>
            <w:r>
              <w:rPr>
                <w:rFonts w:hint="eastAsia" w:ascii="Arial" w:hAnsi="Arial" w:cs="Arial"/>
                <w:color w:val="auto"/>
                <w:sz w:val="22"/>
                <w:szCs w:val="22"/>
                <w:highlight w:val="none"/>
                <w:lang w:eastAsia="zh-CN"/>
              </w:rPr>
              <w:t>：大力推进农业、工业、城镇节水，建设节水型社会。强化农业节水，优化农业种植结构，加快实施大中型灌区节水改造和南方节水减排区域规模化高效节水灌溉行动。推广和普及田间节水技术，开辟抗旱水源，科学调度抗旱用水。到2020年，农田灌溉水有效利用系数达到0.529以上。强化工业节水，以南京、武汉、长沙、重庆、成都等城市为重点，实施高耗水行业生产工艺节水改造，降低单位产品用水量。</w:t>
            </w:r>
          </w:p>
        </w:tc>
        <w:tc>
          <w:tcPr>
            <w:tcW w:w="2533" w:type="dxa"/>
            <w:tcBorders>
              <w:tl2br w:val="nil"/>
              <w:tr2bl w:val="nil"/>
            </w:tcBorders>
            <w:noWrap w:val="0"/>
            <w:vAlign w:val="center"/>
          </w:tcPr>
          <w:p w14:paraId="627CAE8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vertAlign w:val="baseline"/>
                <w:lang w:val="en-US" w:eastAsia="zh-CN"/>
              </w:rPr>
            </w:pPr>
            <w:r>
              <w:rPr>
                <w:rFonts w:hint="eastAsia" w:ascii="Arial" w:hAnsi="Arial" w:cs="Arial"/>
                <w:color w:val="auto"/>
                <w:sz w:val="22"/>
                <w:szCs w:val="22"/>
                <w:highlight w:val="none"/>
                <w:lang w:eastAsia="zh-CN"/>
              </w:rPr>
              <w:t>本项目主要为新建水库及配套输水管线，建成后可解决</w:t>
            </w:r>
            <w:r>
              <w:rPr>
                <w:rFonts w:hint="eastAsia" w:ascii="Arial" w:hAnsi="Arial" w:cs="Arial"/>
                <w:color w:val="auto"/>
                <w:sz w:val="22"/>
                <w:szCs w:val="22"/>
                <w:highlight w:val="none"/>
                <w:lang w:val="en-US" w:eastAsia="zh-CN"/>
              </w:rPr>
              <w:t>2000亩耕地的灌溉用水需求，同时本评价提出采取</w:t>
            </w:r>
            <w:r>
              <w:rPr>
                <w:spacing w:val="-1"/>
                <w:sz w:val="22"/>
                <w:szCs w:val="22"/>
              </w:rPr>
              <w:t>滴灌、喷灌等方式，以提高</w:t>
            </w:r>
            <w:r>
              <w:rPr>
                <w:sz w:val="22"/>
                <w:szCs w:val="22"/>
              </w:rPr>
              <w:t>水资源利用效率</w:t>
            </w:r>
            <w:r>
              <w:rPr>
                <w:rFonts w:hint="eastAsia"/>
                <w:sz w:val="22"/>
                <w:szCs w:val="22"/>
                <w:lang w:eastAsia="zh-CN"/>
              </w:rPr>
              <w:t>，强化农业节水。</w:t>
            </w:r>
          </w:p>
        </w:tc>
        <w:tc>
          <w:tcPr>
            <w:tcW w:w="949" w:type="dxa"/>
            <w:tcBorders>
              <w:tl2br w:val="nil"/>
              <w:tr2bl w:val="nil"/>
            </w:tcBorders>
            <w:noWrap w:val="0"/>
            <w:vAlign w:val="center"/>
          </w:tcPr>
          <w:p w14:paraId="7EA0DD0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6ECE1E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152DBA9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lang w:val="en-US" w:eastAsia="zh-CN"/>
              </w:rPr>
            </w:pPr>
            <w:r>
              <w:rPr>
                <w:rFonts w:hint="eastAsia" w:ascii="Arial" w:hAnsi="Arial" w:cs="Arial"/>
                <w:color w:val="auto"/>
                <w:sz w:val="22"/>
                <w:szCs w:val="22"/>
                <w:highlight w:val="none"/>
                <w:lang w:val="en-US" w:eastAsia="zh-CN"/>
              </w:rPr>
              <w:t>3</w:t>
            </w:r>
          </w:p>
        </w:tc>
        <w:tc>
          <w:tcPr>
            <w:tcW w:w="4617" w:type="dxa"/>
            <w:tcBorders>
              <w:tl2br w:val="nil"/>
              <w:tr2bl w:val="nil"/>
            </w:tcBorders>
            <w:noWrap w:val="0"/>
            <w:vAlign w:val="center"/>
          </w:tcPr>
          <w:p w14:paraId="6A62E72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b/>
                <w:bCs/>
                <w:color w:val="auto"/>
                <w:sz w:val="22"/>
                <w:szCs w:val="22"/>
                <w:highlight w:val="none"/>
                <w:lang w:eastAsia="zh-CN"/>
              </w:rPr>
            </w:pPr>
            <w:r>
              <w:rPr>
                <w:spacing w:val="-4"/>
                <w:sz w:val="22"/>
                <w:szCs w:val="22"/>
              </w:rPr>
              <w:t>统筹流域水资源开发利用</w:t>
            </w:r>
            <w:r>
              <w:rPr>
                <w:rFonts w:hint="eastAsia"/>
                <w:spacing w:val="-4"/>
                <w:sz w:val="22"/>
                <w:szCs w:val="22"/>
                <w:lang w:eastAsia="zh-CN"/>
              </w:rPr>
              <w:t>：</w:t>
            </w:r>
            <w:r>
              <w:rPr>
                <w:spacing w:val="-4"/>
                <w:sz w:val="22"/>
                <w:szCs w:val="22"/>
              </w:rPr>
              <w:t>重庆、贵州、云南等省</w:t>
            </w:r>
            <w:r>
              <w:rPr>
                <w:spacing w:val="9"/>
                <w:sz w:val="22"/>
                <w:szCs w:val="22"/>
              </w:rPr>
              <w:t xml:space="preserve">  </w:t>
            </w:r>
            <w:r>
              <w:rPr>
                <w:spacing w:val="-3"/>
                <w:sz w:val="22"/>
                <w:szCs w:val="22"/>
              </w:rPr>
              <w:t>市水利基础设施建设要与生态环境保护相协调，落实生态环境保护措施，加快水资源配置工程建设，解</w:t>
            </w:r>
            <w:r>
              <w:rPr>
                <w:spacing w:val="-4"/>
                <w:sz w:val="22"/>
                <w:szCs w:val="22"/>
              </w:rPr>
              <w:t>决部分</w:t>
            </w:r>
            <w:r>
              <w:rPr>
                <w:spacing w:val="-3"/>
                <w:sz w:val="22"/>
                <w:szCs w:val="22"/>
              </w:rPr>
              <w:t>地区工程型缺水问题，提升城乡供水保障。努力</w:t>
            </w:r>
            <w:r>
              <w:rPr>
                <w:spacing w:val="-4"/>
                <w:sz w:val="22"/>
                <w:szCs w:val="22"/>
              </w:rPr>
              <w:t>恢复长</w:t>
            </w:r>
            <w:r>
              <w:rPr>
                <w:spacing w:val="-3"/>
                <w:sz w:val="22"/>
                <w:szCs w:val="22"/>
              </w:rPr>
              <w:t>江下游地区百湖千田万沟塘的容水纳水能力，</w:t>
            </w:r>
            <w:r>
              <w:rPr>
                <w:spacing w:val="-4"/>
                <w:sz w:val="22"/>
                <w:szCs w:val="22"/>
              </w:rPr>
              <w:t>加强污水</w:t>
            </w:r>
            <w:r>
              <w:rPr>
                <w:spacing w:val="-6"/>
                <w:sz w:val="22"/>
                <w:szCs w:val="22"/>
              </w:rPr>
              <w:t>深度处理，加大再生水开发利用力度，促进解决长江口、</w:t>
            </w:r>
            <w:r>
              <w:rPr>
                <w:spacing w:val="-4"/>
                <w:sz w:val="22"/>
                <w:szCs w:val="22"/>
              </w:rPr>
              <w:t>平原河网等局部地区缺水问题。</w:t>
            </w:r>
          </w:p>
        </w:tc>
        <w:tc>
          <w:tcPr>
            <w:tcW w:w="2533" w:type="dxa"/>
            <w:tcBorders>
              <w:tl2br w:val="nil"/>
              <w:tr2bl w:val="nil"/>
            </w:tcBorders>
            <w:noWrap w:val="0"/>
            <w:vAlign w:val="center"/>
          </w:tcPr>
          <w:p w14:paraId="138F1A7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本项目主要为新建水库及配套输水管线，建成后可解决</w:t>
            </w:r>
            <w:r>
              <w:rPr>
                <w:rFonts w:hint="eastAsia" w:ascii="Arial" w:hAnsi="Arial" w:eastAsia="宋体" w:cs="Arial"/>
                <w:color w:val="auto"/>
                <w:kern w:val="0"/>
                <w:sz w:val="22"/>
                <w:szCs w:val="22"/>
                <w:highlight w:val="none"/>
                <w:lang w:val="en-US" w:eastAsia="zh-CN"/>
              </w:rPr>
              <w:t>7000农村居民人饮</w:t>
            </w:r>
            <w:r>
              <w:rPr>
                <w:rFonts w:hint="eastAsia" w:ascii="Arial" w:hAnsi="Arial" w:cs="Arial"/>
                <w:color w:val="auto"/>
                <w:kern w:val="0"/>
                <w:sz w:val="22"/>
                <w:szCs w:val="22"/>
                <w:highlight w:val="none"/>
                <w:lang w:val="en-US" w:eastAsia="zh-CN"/>
              </w:rPr>
              <w:t>及</w:t>
            </w:r>
            <w:r>
              <w:rPr>
                <w:rFonts w:hint="eastAsia" w:ascii="Arial" w:hAnsi="Arial" w:eastAsia="宋体" w:cs="Arial"/>
                <w:color w:val="auto"/>
                <w:kern w:val="0"/>
                <w:sz w:val="22"/>
                <w:szCs w:val="22"/>
                <w:highlight w:val="none"/>
                <w:lang w:val="en-US" w:eastAsia="zh-CN"/>
              </w:rPr>
              <w:t>2000亩耕地灌溉</w:t>
            </w:r>
            <w:r>
              <w:rPr>
                <w:rFonts w:hint="eastAsia" w:ascii="Arial" w:hAnsi="Arial" w:cs="Arial"/>
                <w:color w:val="auto"/>
                <w:kern w:val="0"/>
                <w:sz w:val="22"/>
                <w:szCs w:val="22"/>
                <w:highlight w:val="none"/>
                <w:lang w:val="en-US" w:eastAsia="zh-CN"/>
              </w:rPr>
              <w:t>用水，解决区域缺水问题，提高城乡供水保障；同时将划定水源保护区、下泄生态流量等生态保护措施，保护区域生态环境。</w:t>
            </w:r>
          </w:p>
        </w:tc>
        <w:tc>
          <w:tcPr>
            <w:tcW w:w="949" w:type="dxa"/>
            <w:tcBorders>
              <w:tl2br w:val="nil"/>
              <w:tr2bl w:val="nil"/>
            </w:tcBorders>
            <w:noWrap w:val="0"/>
            <w:vAlign w:val="center"/>
          </w:tcPr>
          <w:p w14:paraId="23E9A7F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04827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572CCC6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lang w:val="en-US" w:eastAsia="zh-CN"/>
              </w:rPr>
            </w:pPr>
            <w:r>
              <w:rPr>
                <w:rFonts w:hint="eastAsia" w:ascii="Arial" w:hAnsi="Arial" w:cs="Arial"/>
                <w:color w:val="auto"/>
                <w:sz w:val="22"/>
                <w:szCs w:val="22"/>
                <w:highlight w:val="none"/>
                <w:lang w:val="en-US" w:eastAsia="zh-CN"/>
              </w:rPr>
              <w:t>4</w:t>
            </w:r>
          </w:p>
        </w:tc>
        <w:tc>
          <w:tcPr>
            <w:tcW w:w="4617" w:type="dxa"/>
            <w:tcBorders>
              <w:tl2br w:val="nil"/>
              <w:tr2bl w:val="nil"/>
            </w:tcBorders>
            <w:noWrap w:val="0"/>
            <w:vAlign w:val="center"/>
          </w:tcPr>
          <w:p w14:paraId="6263ED8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spacing w:val="-4"/>
                <w:sz w:val="22"/>
                <w:szCs w:val="22"/>
              </w:rPr>
            </w:pPr>
            <w:r>
              <w:rPr>
                <w:b/>
                <w:bCs/>
                <w:spacing w:val="-1"/>
                <w:sz w:val="22"/>
                <w:szCs w:val="22"/>
              </w:rPr>
              <w:t>开展水土流失综合治理</w:t>
            </w:r>
            <w:r>
              <w:rPr>
                <w:rFonts w:hint="eastAsia"/>
                <w:b/>
                <w:bCs/>
                <w:spacing w:val="-1"/>
                <w:sz w:val="22"/>
                <w:szCs w:val="22"/>
                <w:lang w:eastAsia="zh-CN"/>
              </w:rPr>
              <w:t>：</w:t>
            </w:r>
            <w:r>
              <w:rPr>
                <w:spacing w:val="-1"/>
                <w:sz w:val="22"/>
                <w:szCs w:val="22"/>
              </w:rPr>
              <w:t>建设沿江、沿河、环湖水</w:t>
            </w:r>
            <w:r>
              <w:rPr>
                <w:spacing w:val="1"/>
                <w:sz w:val="22"/>
                <w:szCs w:val="22"/>
              </w:rPr>
              <w:t>资源保护带和生态隔离带，增强水源涵养和水土保持能力。加强云南、贵州、四川、重庆、湖北等省市中上游地区的坡耕地水土流失治理。以金沙江中下</w:t>
            </w:r>
            <w:r>
              <w:rPr>
                <w:sz w:val="22"/>
                <w:szCs w:val="22"/>
              </w:rPr>
              <w:t>游、嘉陵江上游、乌江流域、三峡库区、丹江口库区、洞庭湖、鄱</w:t>
            </w:r>
            <w:r>
              <w:rPr>
                <w:spacing w:val="3"/>
                <w:sz w:val="22"/>
                <w:szCs w:val="22"/>
              </w:rPr>
              <w:t>阳湖等区域为重点，实施小流域综合治理和崩岗治理，</w:t>
            </w:r>
            <w:r>
              <w:rPr>
                <w:spacing w:val="1"/>
                <w:sz w:val="22"/>
                <w:szCs w:val="22"/>
              </w:rPr>
              <w:t>加快推进丹江口、三峡库区等重要水源保护</w:t>
            </w:r>
            <w:r>
              <w:rPr>
                <w:sz w:val="22"/>
                <w:szCs w:val="22"/>
              </w:rPr>
              <w:t>区生态清洁</w:t>
            </w:r>
            <w:r>
              <w:rPr>
                <w:spacing w:val="-1"/>
                <w:sz w:val="22"/>
                <w:szCs w:val="22"/>
              </w:rPr>
              <w:t>小流域建设。</w:t>
            </w:r>
          </w:p>
        </w:tc>
        <w:tc>
          <w:tcPr>
            <w:tcW w:w="2533" w:type="dxa"/>
            <w:tcBorders>
              <w:tl2br w:val="nil"/>
              <w:tr2bl w:val="nil"/>
            </w:tcBorders>
            <w:noWrap w:val="0"/>
            <w:vAlign w:val="center"/>
          </w:tcPr>
          <w:p w14:paraId="7288492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本项目建设单位委托编制了水土保持报告，并取得了批复，后续实施过程中将严格按照水土保持报告及批复落实各项水保措施。</w:t>
            </w:r>
          </w:p>
        </w:tc>
        <w:tc>
          <w:tcPr>
            <w:tcW w:w="949" w:type="dxa"/>
            <w:tcBorders>
              <w:tl2br w:val="nil"/>
              <w:tr2bl w:val="nil"/>
            </w:tcBorders>
            <w:noWrap w:val="0"/>
            <w:vAlign w:val="center"/>
          </w:tcPr>
          <w:p w14:paraId="0587F9F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bl>
    <w:p w14:paraId="358F1356">
      <w:pPr>
        <w:pStyle w:val="1873"/>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Arial" w:hAnsi="Arial" w:eastAsia="宋体" w:cs="Arial"/>
          <w:b w:val="0"/>
          <w:color w:val="auto"/>
          <w:kern w:val="2"/>
          <w:sz w:val="26"/>
          <w:szCs w:val="26"/>
          <w:lang w:val="en-US" w:eastAsia="zh-CN" w:bidi="ar-SA"/>
        </w:rPr>
      </w:pPr>
    </w:p>
    <w:p w14:paraId="61408EA5">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由表1.9-4可知，本项目建成后可解决区域缺水问题，同时在采取划定水源保护区、下泄生态流量等措施后，对区域生态环境影响小，与</w:t>
      </w:r>
      <w:r>
        <w:rPr>
          <w:rFonts w:hint="eastAsia" w:ascii="Arial" w:hAnsi="Arial" w:eastAsia="宋体" w:cs="Arial"/>
          <w:b w:val="0"/>
          <w:color w:val="auto"/>
          <w:kern w:val="2"/>
          <w:sz w:val="26"/>
          <w:szCs w:val="26"/>
          <w:lang w:val="en-US" w:eastAsia="zh-CN" w:bidi="ar-SA"/>
        </w:rPr>
        <w:t>《长江经济带生态环境保护规划》</w:t>
      </w:r>
      <w:r>
        <w:rPr>
          <w:rFonts w:hint="eastAsia" w:ascii="Arial" w:hAnsi="Arial" w:cs="Arial"/>
          <w:b w:val="0"/>
          <w:color w:val="auto"/>
          <w:kern w:val="2"/>
          <w:sz w:val="26"/>
          <w:szCs w:val="26"/>
          <w:lang w:val="en-US" w:eastAsia="zh-CN" w:bidi="ar-SA"/>
        </w:rPr>
        <w:t>相符。</w:t>
      </w:r>
    </w:p>
    <w:p w14:paraId="10A4B810">
      <w:pPr>
        <w:pStyle w:val="19"/>
        <w:keepNext w:val="0"/>
        <w:keepLines w:val="0"/>
        <w:pageBreakBefore w:val="0"/>
        <w:widowControl w:val="0"/>
        <w:kinsoku/>
        <w:wordWrap/>
        <w:overflowPunct/>
        <w:topLinePunct w:val="0"/>
        <w:autoSpaceDE/>
        <w:autoSpaceDN/>
        <w:bidi w:val="0"/>
        <w:adjustRightInd w:val="0"/>
        <w:snapToGrid w:val="0"/>
        <w:spacing w:line="440" w:lineRule="exact"/>
        <w:ind w:firstLine="522"/>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1.9.</w:t>
      </w:r>
      <w:r>
        <w:rPr>
          <w:rFonts w:hint="eastAsia" w:ascii="Arial" w:hAnsi="Arial" w:cs="Arial"/>
          <w:b/>
          <w:color w:val="auto"/>
          <w:kern w:val="0"/>
          <w:sz w:val="26"/>
          <w:szCs w:val="20"/>
          <w:highlight w:val="none"/>
          <w:lang w:val="en-US" w:eastAsia="zh-CN"/>
        </w:rPr>
        <w:t>6</w:t>
      </w:r>
      <w:r>
        <w:rPr>
          <w:rFonts w:hint="eastAsia" w:ascii="Arial" w:hAnsi="Arial" w:eastAsia="宋体" w:cs="Arial"/>
          <w:b/>
          <w:color w:val="auto"/>
          <w:kern w:val="0"/>
          <w:sz w:val="26"/>
          <w:szCs w:val="20"/>
          <w:highlight w:val="none"/>
          <w:lang w:val="en-US" w:eastAsia="zh-CN"/>
        </w:rPr>
        <w:t>与</w:t>
      </w:r>
      <w:r>
        <w:rPr>
          <w:rFonts w:hint="eastAsia" w:ascii="Arial" w:hAnsi="Arial" w:cs="Arial"/>
          <w:b/>
          <w:color w:val="auto"/>
          <w:kern w:val="0"/>
          <w:sz w:val="26"/>
          <w:szCs w:val="20"/>
          <w:highlight w:val="none"/>
          <w:lang w:val="en-US" w:eastAsia="zh-CN"/>
        </w:rPr>
        <w:t>《长江保护修复攻坚战行动计划》</w:t>
      </w:r>
      <w:r>
        <w:rPr>
          <w:rFonts w:hint="default" w:ascii="Arial" w:hAnsi="Arial" w:cs="Arial"/>
          <w:b/>
          <w:color w:val="auto"/>
          <w:kern w:val="0"/>
          <w:sz w:val="26"/>
          <w:szCs w:val="20"/>
          <w:highlight w:val="none"/>
          <w:lang w:val="en-US" w:eastAsia="zh-CN"/>
        </w:rPr>
        <w:t>（环水体</w:t>
      </w:r>
      <w:r>
        <w:rPr>
          <w:rFonts w:hint="default" w:ascii="Arial" w:hAnsi="Arial" w:eastAsia="宋体" w:cs="Arial"/>
          <w:b/>
          <w:color w:val="auto"/>
          <w:kern w:val="0"/>
          <w:sz w:val="26"/>
          <w:szCs w:val="20"/>
          <w:highlight w:val="none"/>
          <w:lang w:val="en-US" w:eastAsia="zh-CN"/>
        </w:rPr>
        <w:t>〔2018〕181号）</w:t>
      </w:r>
      <w:r>
        <w:rPr>
          <w:rFonts w:hint="default" w:ascii="Arial" w:hAnsi="Arial" w:cs="Arial"/>
          <w:b/>
          <w:color w:val="auto"/>
          <w:kern w:val="0"/>
          <w:sz w:val="26"/>
          <w:szCs w:val="20"/>
          <w:highlight w:val="none"/>
          <w:lang w:val="en-US" w:eastAsia="zh-CN"/>
        </w:rPr>
        <w:t>的符合性分析</w:t>
      </w:r>
    </w:p>
    <w:p w14:paraId="4D6C4DF6">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本项目与《长江保护修复攻坚战行动计划》</w:t>
      </w:r>
      <w:r>
        <w:rPr>
          <w:rFonts w:hint="default" w:ascii="Arial" w:hAnsi="Arial" w:cs="Arial"/>
          <w:b w:val="0"/>
          <w:bCs/>
          <w:color w:val="auto"/>
          <w:kern w:val="0"/>
          <w:sz w:val="26"/>
          <w:szCs w:val="20"/>
          <w:highlight w:val="none"/>
          <w:lang w:val="en-US" w:eastAsia="zh-CN"/>
        </w:rPr>
        <w:t>（环水体</w:t>
      </w:r>
      <w:r>
        <w:rPr>
          <w:rFonts w:hint="default" w:ascii="Arial" w:hAnsi="Arial" w:eastAsia="宋体" w:cs="Arial"/>
          <w:b w:val="0"/>
          <w:bCs/>
          <w:color w:val="auto"/>
          <w:kern w:val="0"/>
          <w:sz w:val="26"/>
          <w:szCs w:val="20"/>
          <w:highlight w:val="none"/>
          <w:lang w:val="en-US" w:eastAsia="zh-CN"/>
        </w:rPr>
        <w:t>〔2018〕181号）</w:t>
      </w:r>
      <w:r>
        <w:rPr>
          <w:rFonts w:hint="eastAsia" w:ascii="Arial" w:hAnsi="Arial" w:cs="Arial"/>
          <w:b w:val="0"/>
          <w:color w:val="auto"/>
          <w:kern w:val="2"/>
          <w:sz w:val="26"/>
          <w:szCs w:val="26"/>
          <w:lang w:val="en-US" w:eastAsia="zh-CN" w:bidi="ar-SA"/>
        </w:rPr>
        <w:t>的符合性分析详见表1.9-5所示。</w:t>
      </w:r>
    </w:p>
    <w:p w14:paraId="2944C02C">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val="0"/>
          <w:sz w:val="26"/>
          <w:szCs w:val="26"/>
          <w:highlight w:val="none"/>
          <w:lang w:eastAsia="zh-CN"/>
        </w:rPr>
      </w:pPr>
      <w:r>
        <w:rPr>
          <w:rFonts w:hint="eastAsia" w:ascii="Arial" w:hAnsi="Arial" w:cs="Arial"/>
          <w:b/>
          <w:bCs w:val="0"/>
          <w:sz w:val="26"/>
          <w:szCs w:val="26"/>
          <w:highlight w:val="none"/>
          <w:lang w:eastAsia="zh-CN"/>
        </w:rPr>
        <w:t>表1</w:t>
      </w:r>
      <w:r>
        <w:rPr>
          <w:rFonts w:hint="eastAsia" w:ascii="Arial" w:hAnsi="Arial" w:cs="Arial"/>
          <w:b/>
          <w:bCs w:val="0"/>
          <w:sz w:val="26"/>
          <w:szCs w:val="26"/>
          <w:highlight w:val="none"/>
          <w:lang w:val="en-US" w:eastAsia="zh-CN"/>
        </w:rPr>
        <w:t>.9-5与“</w:t>
      </w:r>
      <w:r>
        <w:rPr>
          <w:rFonts w:hint="eastAsia" w:ascii="Arial" w:hAnsi="Arial" w:cs="Arial"/>
          <w:b/>
          <w:color w:val="auto"/>
          <w:kern w:val="0"/>
          <w:sz w:val="26"/>
          <w:szCs w:val="20"/>
          <w:highlight w:val="none"/>
          <w:lang w:val="en-US" w:eastAsia="zh-CN"/>
        </w:rPr>
        <w:t>长江保护修复攻坚战行动计划”</w:t>
      </w:r>
      <w:r>
        <w:rPr>
          <w:rFonts w:hint="eastAsia" w:ascii="Arial" w:hAnsi="Arial" w:cs="Arial"/>
          <w:b/>
          <w:bCs w:val="0"/>
          <w:sz w:val="26"/>
          <w:szCs w:val="26"/>
          <w:highlight w:val="none"/>
          <w:lang w:val="en-US" w:eastAsia="zh-CN"/>
        </w:rPr>
        <w:t xml:space="preserve">符合性分析表 </w:t>
      </w:r>
    </w:p>
    <w:tbl>
      <w:tblPr>
        <w:tblStyle w:val="77"/>
        <w:tblW w:w="87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9"/>
        <w:gridCol w:w="4762"/>
        <w:gridCol w:w="2458"/>
        <w:gridCol w:w="879"/>
      </w:tblGrid>
      <w:tr w14:paraId="25822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29AB681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序号</w:t>
            </w:r>
          </w:p>
        </w:tc>
        <w:tc>
          <w:tcPr>
            <w:tcW w:w="4762" w:type="dxa"/>
            <w:tcBorders>
              <w:tl2br w:val="nil"/>
              <w:tr2bl w:val="nil"/>
            </w:tcBorders>
            <w:noWrap w:val="0"/>
            <w:vAlign w:val="center"/>
          </w:tcPr>
          <w:p w14:paraId="204D585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文件要求</w:t>
            </w:r>
          </w:p>
        </w:tc>
        <w:tc>
          <w:tcPr>
            <w:tcW w:w="2458" w:type="dxa"/>
            <w:tcBorders>
              <w:tl2br w:val="nil"/>
              <w:tr2bl w:val="nil"/>
            </w:tcBorders>
            <w:noWrap w:val="0"/>
            <w:vAlign w:val="center"/>
          </w:tcPr>
          <w:p w14:paraId="34458F0B">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本项目情况</w:t>
            </w:r>
          </w:p>
        </w:tc>
        <w:tc>
          <w:tcPr>
            <w:tcW w:w="879" w:type="dxa"/>
            <w:tcBorders>
              <w:tl2br w:val="nil"/>
              <w:tr2bl w:val="nil"/>
            </w:tcBorders>
            <w:noWrap w:val="0"/>
            <w:vAlign w:val="center"/>
          </w:tcPr>
          <w:p w14:paraId="5380137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符合性</w:t>
            </w:r>
          </w:p>
        </w:tc>
      </w:tr>
      <w:tr w14:paraId="00C0E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2AE3A5E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w:t>
            </w:r>
          </w:p>
        </w:tc>
        <w:tc>
          <w:tcPr>
            <w:tcW w:w="4762" w:type="dxa"/>
            <w:tcBorders>
              <w:tl2br w:val="nil"/>
              <w:tr2bl w:val="nil"/>
            </w:tcBorders>
            <w:noWrap w:val="0"/>
            <w:vAlign w:val="center"/>
          </w:tcPr>
          <w:p w14:paraId="5CB84F4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加强饮用水水源保护。推动饮用水水源地规范化建设，划定饮用水水源保护区，规范保护区标志及交通警示标志设置，建设一级保护区隔离防护工程。全面推进长江经济带饮用水水源地环境保护专项行动，重点排查和整治县级及以上城市饮用水水源保护区内的违法违规问题。</w:t>
            </w:r>
          </w:p>
        </w:tc>
        <w:tc>
          <w:tcPr>
            <w:tcW w:w="2458" w:type="dxa"/>
            <w:tcBorders>
              <w:tl2br w:val="nil"/>
              <w:tr2bl w:val="nil"/>
            </w:tcBorders>
            <w:noWrap w:val="0"/>
            <w:vAlign w:val="center"/>
          </w:tcPr>
          <w:p w14:paraId="1FFFC582">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本项目蓄水后将按规定划定饮用水水源保护区，并设置规范的</w:t>
            </w:r>
            <w:r>
              <w:rPr>
                <w:rFonts w:hint="eastAsia" w:ascii="Arial" w:hAnsi="Arial" w:eastAsia="宋体" w:cs="Arial"/>
                <w:color w:val="auto"/>
                <w:sz w:val="22"/>
                <w:szCs w:val="22"/>
                <w:highlight w:val="none"/>
                <w:lang w:eastAsia="zh-CN"/>
              </w:rPr>
              <w:t>保护区标志及交通警示标志</w:t>
            </w:r>
            <w:r>
              <w:rPr>
                <w:rFonts w:hint="eastAsia" w:ascii="Arial" w:hAnsi="Arial" w:cs="Arial"/>
                <w:color w:val="auto"/>
                <w:sz w:val="22"/>
                <w:szCs w:val="22"/>
                <w:highlight w:val="none"/>
                <w:lang w:eastAsia="zh-CN"/>
              </w:rPr>
              <w:t>，建设</w:t>
            </w:r>
            <w:r>
              <w:rPr>
                <w:rFonts w:hint="eastAsia" w:ascii="Arial" w:hAnsi="Arial" w:eastAsia="宋体" w:cs="Arial"/>
                <w:color w:val="auto"/>
                <w:sz w:val="22"/>
                <w:szCs w:val="22"/>
                <w:highlight w:val="none"/>
                <w:lang w:eastAsia="zh-CN"/>
              </w:rPr>
              <w:t>一级保护区隔离防护工程</w:t>
            </w:r>
            <w:r>
              <w:rPr>
                <w:rFonts w:hint="eastAsia" w:ascii="Arial" w:hAnsi="Arial" w:cs="Arial"/>
                <w:color w:val="auto"/>
                <w:sz w:val="22"/>
                <w:szCs w:val="22"/>
                <w:highlight w:val="none"/>
                <w:lang w:eastAsia="zh-CN"/>
              </w:rPr>
              <w:t>。</w:t>
            </w:r>
          </w:p>
        </w:tc>
        <w:tc>
          <w:tcPr>
            <w:tcW w:w="879" w:type="dxa"/>
            <w:tcBorders>
              <w:tl2br w:val="nil"/>
              <w:tr2bl w:val="nil"/>
            </w:tcBorders>
            <w:noWrap w:val="0"/>
            <w:vAlign w:val="center"/>
          </w:tcPr>
          <w:p w14:paraId="6D7C2C0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7DC08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1F68474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2</w:t>
            </w:r>
          </w:p>
        </w:tc>
        <w:tc>
          <w:tcPr>
            <w:tcW w:w="4762" w:type="dxa"/>
            <w:tcBorders>
              <w:tl2br w:val="nil"/>
              <w:tr2bl w:val="nil"/>
            </w:tcBorders>
            <w:noWrap w:val="0"/>
            <w:vAlign w:val="center"/>
          </w:tcPr>
          <w:p w14:paraId="5E3BEE6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切实保障生态流量。加强流域水量统一调度，切实保障长江干流、主要支流和重点湖库基本生态用水需求。深化河湖水系连通运行管理，实施长江上中游水库群联合调度，增加枯水期下泄流量，确保生态用水比例只增不减。</w:t>
            </w:r>
          </w:p>
        </w:tc>
        <w:tc>
          <w:tcPr>
            <w:tcW w:w="2458" w:type="dxa"/>
            <w:tcBorders>
              <w:tl2br w:val="nil"/>
              <w:tr2bl w:val="nil"/>
            </w:tcBorders>
            <w:noWrap w:val="0"/>
            <w:vAlign w:val="center"/>
          </w:tcPr>
          <w:p w14:paraId="19F65EE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本项目运营期将设置生态流量下泄装置，并设置监控装置联网运行，加强生态调度，确保下游减水河段生态用水需求。</w:t>
            </w:r>
          </w:p>
        </w:tc>
        <w:tc>
          <w:tcPr>
            <w:tcW w:w="879" w:type="dxa"/>
            <w:tcBorders>
              <w:tl2br w:val="nil"/>
              <w:tr2bl w:val="nil"/>
            </w:tcBorders>
            <w:noWrap w:val="0"/>
            <w:vAlign w:val="center"/>
          </w:tcPr>
          <w:p w14:paraId="36ECF36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22C47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0A6092E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lang w:val="en-US" w:eastAsia="zh-CN"/>
              </w:rPr>
            </w:pPr>
            <w:r>
              <w:rPr>
                <w:rFonts w:hint="eastAsia" w:ascii="Arial" w:hAnsi="Arial" w:cs="Arial"/>
                <w:color w:val="auto"/>
                <w:sz w:val="22"/>
                <w:szCs w:val="22"/>
                <w:highlight w:val="none"/>
                <w:lang w:val="en-US" w:eastAsia="zh-CN"/>
              </w:rPr>
              <w:t>3</w:t>
            </w:r>
          </w:p>
        </w:tc>
        <w:tc>
          <w:tcPr>
            <w:tcW w:w="4762" w:type="dxa"/>
            <w:tcBorders>
              <w:tl2br w:val="nil"/>
              <w:tr2bl w:val="nil"/>
            </w:tcBorders>
            <w:noWrap w:val="0"/>
            <w:vAlign w:val="center"/>
          </w:tcPr>
          <w:p w14:paraId="4D627EE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实行水资源消耗总量和强度双控。严格用水总量指标管理，健全覆盖省、市、县三级行政区域的用水总量控制指标体系，加快完成跨省江河流域水量分配，严格取用水管控。严格用水强度指标管理，建立重点用水单位监控名录，对纳入取水许可管理的单位和其他用水大户实行计划用水管理。</w:t>
            </w:r>
          </w:p>
        </w:tc>
        <w:tc>
          <w:tcPr>
            <w:tcW w:w="2458" w:type="dxa"/>
            <w:tcBorders>
              <w:tl2br w:val="nil"/>
              <w:tr2bl w:val="nil"/>
            </w:tcBorders>
            <w:noWrap w:val="0"/>
            <w:vAlign w:val="center"/>
          </w:tcPr>
          <w:p w14:paraId="4956DAC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w:t>
            </w:r>
            <w:r>
              <w:rPr>
                <w:rFonts w:hint="eastAsia" w:ascii="Arial" w:hAnsi="Arial" w:cs="Arial"/>
                <w:color w:val="auto"/>
                <w:sz w:val="22"/>
                <w:szCs w:val="22"/>
                <w:highlight w:val="none"/>
                <w:lang w:eastAsia="zh-CN"/>
              </w:rPr>
              <w:t>建成后可解决</w:t>
            </w:r>
            <w:r>
              <w:rPr>
                <w:rFonts w:hint="eastAsia" w:ascii="Arial" w:hAnsi="Arial" w:eastAsia="宋体" w:cs="Arial"/>
                <w:color w:val="auto"/>
                <w:kern w:val="0"/>
                <w:sz w:val="22"/>
                <w:szCs w:val="22"/>
                <w:highlight w:val="none"/>
                <w:lang w:val="en-US" w:eastAsia="zh-CN"/>
              </w:rPr>
              <w:t>7000农村居民人饮</w:t>
            </w:r>
            <w:r>
              <w:rPr>
                <w:rFonts w:hint="eastAsia" w:ascii="Arial" w:hAnsi="Arial" w:cs="Arial"/>
                <w:color w:val="auto"/>
                <w:kern w:val="0"/>
                <w:sz w:val="22"/>
                <w:szCs w:val="22"/>
                <w:highlight w:val="none"/>
                <w:lang w:val="en-US" w:eastAsia="zh-CN"/>
              </w:rPr>
              <w:t>及</w:t>
            </w:r>
            <w:r>
              <w:rPr>
                <w:rFonts w:hint="eastAsia" w:ascii="Arial" w:hAnsi="Arial" w:eastAsia="宋体" w:cs="Arial"/>
                <w:color w:val="auto"/>
                <w:kern w:val="0"/>
                <w:sz w:val="22"/>
                <w:szCs w:val="22"/>
                <w:highlight w:val="none"/>
                <w:lang w:val="en-US" w:eastAsia="zh-CN"/>
              </w:rPr>
              <w:t>2000亩耕地灌溉</w:t>
            </w:r>
            <w:r>
              <w:rPr>
                <w:rFonts w:hint="eastAsia" w:ascii="Arial" w:hAnsi="Arial" w:cs="Arial"/>
                <w:color w:val="auto"/>
                <w:kern w:val="0"/>
                <w:sz w:val="22"/>
                <w:szCs w:val="22"/>
                <w:highlight w:val="none"/>
                <w:lang w:val="en-US" w:eastAsia="zh-CN"/>
              </w:rPr>
              <w:t>用水，解决区域缺水问题。供水过程中严格管控供水总量，加强运行调度管控，确保合理供水。</w:t>
            </w:r>
          </w:p>
        </w:tc>
        <w:tc>
          <w:tcPr>
            <w:tcW w:w="879" w:type="dxa"/>
            <w:tcBorders>
              <w:tl2br w:val="nil"/>
              <w:tr2bl w:val="nil"/>
            </w:tcBorders>
            <w:noWrap w:val="0"/>
            <w:vAlign w:val="center"/>
          </w:tcPr>
          <w:p w14:paraId="0E86E8C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bl>
    <w:p w14:paraId="3D2819D3">
      <w:pPr>
        <w:pStyle w:val="1873"/>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Arial" w:hAnsi="Arial" w:cs="Arial"/>
          <w:b w:val="0"/>
          <w:color w:val="auto"/>
          <w:kern w:val="2"/>
          <w:sz w:val="26"/>
          <w:szCs w:val="26"/>
          <w:lang w:val="en-US" w:eastAsia="zh-CN" w:bidi="ar-SA"/>
        </w:rPr>
      </w:pPr>
    </w:p>
    <w:p w14:paraId="0E1A4D7D">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由表1.9-5可知，本项目与《长江保护修复攻坚战行动计划》</w:t>
      </w:r>
      <w:r>
        <w:rPr>
          <w:rFonts w:hint="default" w:ascii="Arial" w:hAnsi="Arial" w:cs="Arial"/>
          <w:b w:val="0"/>
          <w:bCs/>
          <w:color w:val="auto"/>
          <w:kern w:val="0"/>
          <w:sz w:val="26"/>
          <w:szCs w:val="20"/>
          <w:highlight w:val="none"/>
          <w:lang w:val="en-US" w:eastAsia="zh-CN"/>
        </w:rPr>
        <w:t>（环水体</w:t>
      </w:r>
      <w:r>
        <w:rPr>
          <w:rFonts w:hint="default" w:ascii="Arial" w:hAnsi="Arial" w:eastAsia="宋体" w:cs="Arial"/>
          <w:b w:val="0"/>
          <w:bCs/>
          <w:color w:val="auto"/>
          <w:kern w:val="0"/>
          <w:sz w:val="26"/>
          <w:szCs w:val="20"/>
          <w:highlight w:val="none"/>
          <w:lang w:val="en-US" w:eastAsia="zh-CN"/>
        </w:rPr>
        <w:t>〔2018〕181号）</w:t>
      </w:r>
      <w:r>
        <w:rPr>
          <w:rFonts w:hint="eastAsia" w:ascii="Arial" w:hAnsi="Arial" w:cs="Arial"/>
          <w:b w:val="0"/>
          <w:bCs/>
          <w:color w:val="auto"/>
          <w:kern w:val="0"/>
          <w:sz w:val="26"/>
          <w:szCs w:val="20"/>
          <w:highlight w:val="none"/>
          <w:lang w:val="en-US" w:eastAsia="zh-CN"/>
        </w:rPr>
        <w:t>相符。</w:t>
      </w:r>
    </w:p>
    <w:p w14:paraId="41873580">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cs="Arial"/>
          <w:b/>
          <w:color w:val="auto"/>
          <w:kern w:val="0"/>
          <w:sz w:val="26"/>
          <w:szCs w:val="20"/>
          <w:highlight w:val="none"/>
          <w:lang w:val="en-US" w:eastAsia="zh-CN"/>
        </w:rPr>
      </w:pPr>
      <w:r>
        <w:rPr>
          <w:rFonts w:hint="default" w:ascii="Arial" w:hAnsi="Arial" w:eastAsia="宋体" w:cs="Arial"/>
          <w:b/>
          <w:color w:val="auto"/>
          <w:kern w:val="0"/>
          <w:sz w:val="26"/>
          <w:szCs w:val="20"/>
          <w:highlight w:val="none"/>
          <w:lang w:val="en-US" w:eastAsia="zh-CN"/>
        </w:rPr>
        <w:t>1.9.7</w:t>
      </w:r>
      <w:r>
        <w:rPr>
          <w:rFonts w:hint="default" w:ascii="Arial" w:hAnsi="Arial" w:cs="Arial"/>
          <w:b/>
          <w:color w:val="auto"/>
          <w:kern w:val="0"/>
          <w:sz w:val="26"/>
          <w:szCs w:val="20"/>
          <w:highlight w:val="none"/>
          <w:lang w:val="en-US" w:eastAsia="zh-CN"/>
        </w:rPr>
        <w:t>与《重庆市深入打好长江保护修复攻坚战行动方案）《渝环规</w:t>
      </w:r>
      <w:r>
        <w:rPr>
          <w:rFonts w:hint="default" w:ascii="Arial" w:hAnsi="Arial" w:eastAsia="宋体" w:cs="Arial"/>
          <w:b/>
          <w:color w:val="auto"/>
          <w:kern w:val="0"/>
          <w:sz w:val="26"/>
          <w:szCs w:val="20"/>
          <w:highlight w:val="none"/>
          <w:lang w:val="en-US" w:eastAsia="zh-CN"/>
        </w:rPr>
        <w:t>〔2023〕1号）的符合性分析</w:t>
      </w:r>
    </w:p>
    <w:p w14:paraId="2C7A5FFC">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本项目与《重庆市深入打好长江保护修复攻坚战行动方案）《渝环规〔2023〕1号）的符合性分析详见表1.9-6所示。</w:t>
      </w:r>
    </w:p>
    <w:p w14:paraId="49CA719E">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val="0"/>
          <w:sz w:val="26"/>
          <w:szCs w:val="26"/>
          <w:highlight w:val="none"/>
          <w:lang w:eastAsia="zh-CN"/>
        </w:rPr>
      </w:pPr>
      <w:r>
        <w:rPr>
          <w:rFonts w:hint="eastAsia" w:ascii="Arial" w:hAnsi="Arial" w:cs="Arial"/>
          <w:b/>
          <w:bCs w:val="0"/>
          <w:sz w:val="26"/>
          <w:szCs w:val="26"/>
          <w:highlight w:val="none"/>
          <w:lang w:eastAsia="zh-CN"/>
        </w:rPr>
        <w:t>表1</w:t>
      </w:r>
      <w:r>
        <w:rPr>
          <w:rFonts w:hint="eastAsia" w:ascii="Arial" w:hAnsi="Arial" w:cs="Arial"/>
          <w:b/>
          <w:bCs w:val="0"/>
          <w:sz w:val="26"/>
          <w:szCs w:val="26"/>
          <w:highlight w:val="none"/>
          <w:lang w:val="en-US" w:eastAsia="zh-CN"/>
        </w:rPr>
        <w:t>.9-6 与“</w:t>
      </w:r>
      <w:r>
        <w:rPr>
          <w:rFonts w:hint="default" w:ascii="Arial" w:hAnsi="Arial" w:cs="Arial"/>
          <w:b/>
          <w:color w:val="auto"/>
          <w:kern w:val="0"/>
          <w:sz w:val="26"/>
          <w:szCs w:val="20"/>
          <w:highlight w:val="none"/>
          <w:lang w:val="en-US" w:eastAsia="zh-CN"/>
        </w:rPr>
        <w:t>渝环规</w:t>
      </w:r>
      <w:r>
        <w:rPr>
          <w:rFonts w:hint="default" w:ascii="Arial" w:hAnsi="Arial" w:eastAsia="宋体" w:cs="Arial"/>
          <w:b/>
          <w:color w:val="auto"/>
          <w:kern w:val="0"/>
          <w:sz w:val="26"/>
          <w:szCs w:val="20"/>
          <w:highlight w:val="none"/>
          <w:lang w:val="en-US" w:eastAsia="zh-CN"/>
        </w:rPr>
        <w:t>〔2023〕1号</w:t>
      </w:r>
      <w:r>
        <w:rPr>
          <w:rFonts w:hint="eastAsia" w:ascii="Arial" w:hAnsi="Arial" w:cs="Arial"/>
          <w:b/>
          <w:color w:val="auto"/>
          <w:kern w:val="0"/>
          <w:sz w:val="26"/>
          <w:szCs w:val="20"/>
          <w:highlight w:val="none"/>
          <w:lang w:val="en-US" w:eastAsia="zh-CN"/>
        </w:rPr>
        <w:t>”</w:t>
      </w:r>
      <w:r>
        <w:rPr>
          <w:rFonts w:hint="eastAsia" w:ascii="Arial" w:hAnsi="Arial" w:cs="Arial"/>
          <w:b/>
          <w:bCs w:val="0"/>
          <w:sz w:val="26"/>
          <w:szCs w:val="26"/>
          <w:highlight w:val="none"/>
          <w:lang w:val="en-US" w:eastAsia="zh-CN"/>
        </w:rPr>
        <w:t xml:space="preserve">符合性分析表 </w:t>
      </w:r>
    </w:p>
    <w:tbl>
      <w:tblPr>
        <w:tblStyle w:val="77"/>
        <w:tblW w:w="87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9"/>
        <w:gridCol w:w="4084"/>
        <w:gridCol w:w="3136"/>
        <w:gridCol w:w="879"/>
      </w:tblGrid>
      <w:tr w14:paraId="484C44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478935D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序号</w:t>
            </w:r>
          </w:p>
        </w:tc>
        <w:tc>
          <w:tcPr>
            <w:tcW w:w="4084" w:type="dxa"/>
            <w:tcBorders>
              <w:tl2br w:val="nil"/>
              <w:tr2bl w:val="nil"/>
            </w:tcBorders>
            <w:noWrap w:val="0"/>
            <w:vAlign w:val="center"/>
          </w:tcPr>
          <w:p w14:paraId="1C0EC5D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文件要求</w:t>
            </w:r>
          </w:p>
        </w:tc>
        <w:tc>
          <w:tcPr>
            <w:tcW w:w="3136" w:type="dxa"/>
            <w:tcBorders>
              <w:tl2br w:val="nil"/>
              <w:tr2bl w:val="nil"/>
            </w:tcBorders>
            <w:noWrap w:val="0"/>
            <w:vAlign w:val="center"/>
          </w:tcPr>
          <w:p w14:paraId="0CE3656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本项目情况</w:t>
            </w:r>
          </w:p>
        </w:tc>
        <w:tc>
          <w:tcPr>
            <w:tcW w:w="879" w:type="dxa"/>
            <w:tcBorders>
              <w:tl2br w:val="nil"/>
              <w:tr2bl w:val="nil"/>
            </w:tcBorders>
            <w:noWrap w:val="0"/>
            <w:vAlign w:val="center"/>
          </w:tcPr>
          <w:p w14:paraId="6682A8A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符合性</w:t>
            </w:r>
          </w:p>
        </w:tc>
      </w:tr>
      <w:tr w14:paraId="40CF79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717BAA9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w:t>
            </w:r>
          </w:p>
        </w:tc>
        <w:tc>
          <w:tcPr>
            <w:tcW w:w="4084" w:type="dxa"/>
            <w:tcBorders>
              <w:tl2br w:val="nil"/>
              <w:tr2bl w:val="nil"/>
            </w:tcBorders>
            <w:noWrap w:val="0"/>
            <w:vAlign w:val="center"/>
          </w:tcPr>
          <w:p w14:paraId="16D8B3D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加强用水总量和强度控制红线管理，建立和完善用水强度、用水总量控制指标体系。</w:t>
            </w:r>
          </w:p>
        </w:tc>
        <w:tc>
          <w:tcPr>
            <w:tcW w:w="3136" w:type="dxa"/>
            <w:tcBorders>
              <w:tl2br w:val="nil"/>
              <w:tr2bl w:val="nil"/>
            </w:tcBorders>
            <w:noWrap w:val="0"/>
            <w:vAlign w:val="center"/>
          </w:tcPr>
          <w:p w14:paraId="765A826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w:t>
            </w:r>
            <w:r>
              <w:rPr>
                <w:rFonts w:hint="eastAsia" w:ascii="Arial" w:hAnsi="Arial" w:cs="Arial"/>
                <w:color w:val="auto"/>
                <w:sz w:val="22"/>
                <w:szCs w:val="22"/>
                <w:highlight w:val="none"/>
                <w:lang w:eastAsia="zh-CN"/>
              </w:rPr>
              <w:t>建成后可解决</w:t>
            </w:r>
            <w:r>
              <w:rPr>
                <w:rFonts w:hint="eastAsia" w:ascii="Arial" w:hAnsi="Arial" w:eastAsia="宋体" w:cs="Arial"/>
                <w:color w:val="auto"/>
                <w:kern w:val="0"/>
                <w:sz w:val="22"/>
                <w:szCs w:val="22"/>
                <w:highlight w:val="none"/>
                <w:lang w:val="en-US" w:eastAsia="zh-CN"/>
              </w:rPr>
              <w:t>7000农村居民人饮</w:t>
            </w:r>
            <w:r>
              <w:rPr>
                <w:rFonts w:hint="eastAsia" w:ascii="Arial" w:hAnsi="Arial" w:cs="Arial"/>
                <w:color w:val="auto"/>
                <w:kern w:val="0"/>
                <w:sz w:val="22"/>
                <w:szCs w:val="22"/>
                <w:highlight w:val="none"/>
                <w:lang w:val="en-US" w:eastAsia="zh-CN"/>
              </w:rPr>
              <w:t>及</w:t>
            </w:r>
            <w:r>
              <w:rPr>
                <w:rFonts w:hint="eastAsia" w:ascii="Arial" w:hAnsi="Arial" w:eastAsia="宋体" w:cs="Arial"/>
                <w:color w:val="auto"/>
                <w:kern w:val="0"/>
                <w:sz w:val="22"/>
                <w:szCs w:val="22"/>
                <w:highlight w:val="none"/>
                <w:lang w:val="en-US" w:eastAsia="zh-CN"/>
              </w:rPr>
              <w:t>2000亩耕地灌溉</w:t>
            </w:r>
            <w:r>
              <w:rPr>
                <w:rFonts w:hint="eastAsia" w:ascii="Arial" w:hAnsi="Arial" w:cs="Arial"/>
                <w:color w:val="auto"/>
                <w:kern w:val="0"/>
                <w:sz w:val="22"/>
                <w:szCs w:val="22"/>
                <w:highlight w:val="none"/>
                <w:lang w:val="en-US" w:eastAsia="zh-CN"/>
              </w:rPr>
              <w:t>用水，解决区域缺水问题。供水过程中严格管控供水总量，加强运行调度管控，确保合理供水。</w:t>
            </w:r>
          </w:p>
        </w:tc>
        <w:tc>
          <w:tcPr>
            <w:tcW w:w="879" w:type="dxa"/>
            <w:tcBorders>
              <w:tl2br w:val="nil"/>
              <w:tr2bl w:val="nil"/>
            </w:tcBorders>
            <w:noWrap w:val="0"/>
            <w:vAlign w:val="center"/>
          </w:tcPr>
          <w:p w14:paraId="7650FD3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301F57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208359C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2</w:t>
            </w:r>
          </w:p>
        </w:tc>
        <w:tc>
          <w:tcPr>
            <w:tcW w:w="4084" w:type="dxa"/>
            <w:tcBorders>
              <w:tl2br w:val="nil"/>
              <w:tr2bl w:val="nil"/>
            </w:tcBorders>
            <w:noWrap w:val="0"/>
            <w:vAlign w:val="center"/>
          </w:tcPr>
          <w:p w14:paraId="50C5935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 健全河流生态流量保障机制。制定并落实河流生态流量（水位）保障实施方案，明确生态流量（水位）保障目标，加强生态流量（水位）监管，建设完善生态流量监测设施。优化控制性水工程联合调度。</w:t>
            </w:r>
          </w:p>
        </w:tc>
        <w:tc>
          <w:tcPr>
            <w:tcW w:w="3136" w:type="dxa"/>
            <w:tcBorders>
              <w:tl2br w:val="nil"/>
              <w:tr2bl w:val="nil"/>
            </w:tcBorders>
            <w:noWrap w:val="0"/>
            <w:vAlign w:val="center"/>
          </w:tcPr>
          <w:p w14:paraId="51F48657">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本项目运营期将设置生态流量下泄装置，并设置监控装置联网运行，加强生态调度，确保下游减水河段生态用水需求。</w:t>
            </w:r>
          </w:p>
        </w:tc>
        <w:tc>
          <w:tcPr>
            <w:tcW w:w="879" w:type="dxa"/>
            <w:tcBorders>
              <w:tl2br w:val="nil"/>
              <w:tr2bl w:val="nil"/>
            </w:tcBorders>
            <w:noWrap w:val="0"/>
            <w:vAlign w:val="center"/>
          </w:tcPr>
          <w:p w14:paraId="6FB9D37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631E7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29FC7A3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lang w:val="en-US" w:eastAsia="zh-CN"/>
              </w:rPr>
            </w:pPr>
            <w:r>
              <w:rPr>
                <w:rFonts w:hint="eastAsia" w:ascii="Arial" w:hAnsi="Arial" w:cs="Arial"/>
                <w:color w:val="auto"/>
                <w:sz w:val="22"/>
                <w:szCs w:val="22"/>
                <w:highlight w:val="none"/>
                <w:lang w:val="en-US" w:eastAsia="zh-CN"/>
              </w:rPr>
              <w:t>3</w:t>
            </w:r>
          </w:p>
        </w:tc>
        <w:tc>
          <w:tcPr>
            <w:tcW w:w="4084" w:type="dxa"/>
            <w:tcBorders>
              <w:tl2br w:val="nil"/>
              <w:tr2bl w:val="nil"/>
            </w:tcBorders>
            <w:noWrap w:val="0"/>
            <w:vAlign w:val="center"/>
          </w:tcPr>
          <w:p w14:paraId="3179472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巩固城市饮用水水源保护成果，加大乡镇集中式饮用水水源保护力度，基本完成乡镇集中式饮用水水源保护区划定与勘界立标，同步完善标志标牌和隔离防护设施，加强交通穿越活动管理，依法清理集中式饮用水水源保护区内排污口、规模化畜禽养殖场、工业企业，深化推进集中式饮用水水源地规范化建设。</w:t>
            </w:r>
          </w:p>
        </w:tc>
        <w:tc>
          <w:tcPr>
            <w:tcW w:w="3136" w:type="dxa"/>
            <w:tcBorders>
              <w:tl2br w:val="nil"/>
              <w:tr2bl w:val="nil"/>
            </w:tcBorders>
            <w:noWrap w:val="0"/>
            <w:vAlign w:val="center"/>
          </w:tcPr>
          <w:p w14:paraId="1276F34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本项目蓄水后将按规定划定饮用水水源保护区，并设置规范的</w:t>
            </w:r>
            <w:r>
              <w:rPr>
                <w:rFonts w:hint="eastAsia" w:ascii="Arial" w:hAnsi="Arial" w:eastAsia="宋体" w:cs="Arial"/>
                <w:color w:val="auto"/>
                <w:sz w:val="22"/>
                <w:szCs w:val="22"/>
                <w:highlight w:val="none"/>
                <w:lang w:eastAsia="zh-CN"/>
              </w:rPr>
              <w:t>保护区标志及交通警示标志</w:t>
            </w:r>
            <w:r>
              <w:rPr>
                <w:rFonts w:hint="eastAsia" w:ascii="Arial" w:hAnsi="Arial" w:cs="Arial"/>
                <w:color w:val="auto"/>
                <w:sz w:val="22"/>
                <w:szCs w:val="22"/>
                <w:highlight w:val="none"/>
                <w:lang w:eastAsia="zh-CN"/>
              </w:rPr>
              <w:t>，建设</w:t>
            </w:r>
            <w:r>
              <w:rPr>
                <w:rFonts w:hint="eastAsia" w:ascii="Arial" w:hAnsi="Arial" w:eastAsia="宋体" w:cs="Arial"/>
                <w:color w:val="auto"/>
                <w:sz w:val="22"/>
                <w:szCs w:val="22"/>
                <w:highlight w:val="none"/>
                <w:lang w:eastAsia="zh-CN"/>
              </w:rPr>
              <w:t>一级保护区隔离防护工程</w:t>
            </w:r>
            <w:r>
              <w:rPr>
                <w:rFonts w:hint="eastAsia" w:ascii="Arial" w:hAnsi="Arial" w:cs="Arial"/>
                <w:color w:val="auto"/>
                <w:sz w:val="22"/>
                <w:szCs w:val="22"/>
                <w:highlight w:val="none"/>
                <w:lang w:eastAsia="zh-CN"/>
              </w:rPr>
              <w:t>。</w:t>
            </w:r>
            <w:r>
              <w:rPr>
                <w:spacing w:val="-1"/>
                <w:sz w:val="22"/>
                <w:szCs w:val="22"/>
              </w:rPr>
              <w:t>同时</w:t>
            </w:r>
            <w:r>
              <w:rPr>
                <w:rFonts w:hint="eastAsia"/>
                <w:spacing w:val="-1"/>
                <w:sz w:val="22"/>
                <w:szCs w:val="22"/>
                <w:lang w:eastAsia="zh-CN"/>
              </w:rPr>
              <w:t>将对</w:t>
            </w:r>
            <w:r>
              <w:rPr>
                <w:spacing w:val="-1"/>
                <w:sz w:val="22"/>
                <w:szCs w:val="22"/>
              </w:rPr>
              <w:t>坝址上游及减水河段的污</w:t>
            </w:r>
            <w:r>
              <w:rPr>
                <w:spacing w:val="1"/>
                <w:sz w:val="22"/>
                <w:szCs w:val="22"/>
              </w:rPr>
              <w:t>染物减排、截留、处理均</w:t>
            </w:r>
            <w:r>
              <w:rPr>
                <w:spacing w:val="2"/>
                <w:sz w:val="22"/>
                <w:szCs w:val="22"/>
              </w:rPr>
              <w:t>提出反馈建议和要求</w:t>
            </w:r>
            <w:r>
              <w:rPr>
                <w:rFonts w:hint="eastAsia"/>
                <w:spacing w:val="2"/>
                <w:sz w:val="22"/>
                <w:szCs w:val="22"/>
                <w:lang w:eastAsia="zh-CN"/>
              </w:rPr>
              <w:t>。</w:t>
            </w:r>
          </w:p>
        </w:tc>
        <w:tc>
          <w:tcPr>
            <w:tcW w:w="879" w:type="dxa"/>
            <w:tcBorders>
              <w:tl2br w:val="nil"/>
              <w:tr2bl w:val="nil"/>
            </w:tcBorders>
            <w:noWrap w:val="0"/>
            <w:vAlign w:val="center"/>
          </w:tcPr>
          <w:p w14:paraId="559F681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符合</w:t>
            </w:r>
          </w:p>
        </w:tc>
      </w:tr>
    </w:tbl>
    <w:p w14:paraId="5067B91D">
      <w:pPr>
        <w:pStyle w:val="1873"/>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Arial" w:hAnsi="Arial" w:cs="Arial"/>
          <w:b w:val="0"/>
          <w:color w:val="auto"/>
          <w:kern w:val="2"/>
          <w:sz w:val="26"/>
          <w:szCs w:val="26"/>
          <w:lang w:val="en-US" w:eastAsia="zh-CN" w:bidi="ar-SA"/>
        </w:rPr>
      </w:pPr>
    </w:p>
    <w:p w14:paraId="674565AD">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由表1.9-6可知，本项目与《重庆市深入打好长江保护修复攻坚战行动方案）《渝环规〔2023〕1号）</w:t>
      </w:r>
      <w:r>
        <w:rPr>
          <w:rFonts w:hint="eastAsia" w:ascii="Arial" w:hAnsi="Arial" w:cs="Arial"/>
          <w:b w:val="0"/>
          <w:bCs/>
          <w:color w:val="auto"/>
          <w:kern w:val="0"/>
          <w:sz w:val="26"/>
          <w:szCs w:val="20"/>
          <w:highlight w:val="none"/>
          <w:lang w:val="en-US" w:eastAsia="zh-CN"/>
        </w:rPr>
        <w:t>相符。</w:t>
      </w:r>
    </w:p>
    <w:p w14:paraId="02CB81A9">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cs="Arial"/>
          <w:b/>
          <w:color w:val="auto"/>
          <w:kern w:val="0"/>
          <w:sz w:val="26"/>
          <w:szCs w:val="20"/>
          <w:highlight w:val="none"/>
          <w:lang w:val="en-US" w:eastAsia="zh-CN"/>
        </w:rPr>
      </w:pPr>
      <w:r>
        <w:rPr>
          <w:rFonts w:hint="eastAsia" w:ascii="Arial" w:hAnsi="Arial" w:cs="Arial"/>
          <w:b/>
          <w:color w:val="auto"/>
          <w:kern w:val="0"/>
          <w:sz w:val="26"/>
          <w:szCs w:val="20"/>
          <w:highlight w:val="none"/>
          <w:lang w:val="en-US" w:eastAsia="zh-CN"/>
        </w:rPr>
        <w:t>1.9.8与《丰都县长江保护修复攻坚战实施方案》的符合性分析</w:t>
      </w:r>
    </w:p>
    <w:p w14:paraId="1BC8E647">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本项目与</w:t>
      </w:r>
      <w:r>
        <w:rPr>
          <w:rFonts w:hint="eastAsia" w:ascii="Arial" w:hAnsi="Arial" w:cs="Arial"/>
          <w:b w:val="0"/>
          <w:bCs/>
          <w:color w:val="auto"/>
          <w:kern w:val="0"/>
          <w:sz w:val="26"/>
          <w:szCs w:val="20"/>
          <w:highlight w:val="none"/>
          <w:lang w:val="en-US" w:eastAsia="zh-CN"/>
        </w:rPr>
        <w:t>《丰都县长江保护修复攻坚战实施方案》</w:t>
      </w:r>
      <w:r>
        <w:rPr>
          <w:rFonts w:hint="eastAsia" w:ascii="Arial" w:hAnsi="Arial" w:cs="Arial"/>
          <w:b w:val="0"/>
          <w:color w:val="auto"/>
          <w:kern w:val="2"/>
          <w:sz w:val="26"/>
          <w:szCs w:val="26"/>
          <w:lang w:val="en-US" w:eastAsia="zh-CN" w:bidi="ar-SA"/>
        </w:rPr>
        <w:t>的符合性分析详见表1.9-7所示。</w:t>
      </w:r>
    </w:p>
    <w:p w14:paraId="40B790A3">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val="0"/>
          <w:sz w:val="26"/>
          <w:szCs w:val="26"/>
          <w:highlight w:val="none"/>
          <w:lang w:eastAsia="zh-CN"/>
        </w:rPr>
      </w:pPr>
      <w:r>
        <w:rPr>
          <w:rFonts w:hint="eastAsia" w:ascii="Arial" w:hAnsi="Arial" w:cs="Arial"/>
          <w:b/>
          <w:bCs w:val="0"/>
          <w:sz w:val="26"/>
          <w:szCs w:val="26"/>
          <w:highlight w:val="none"/>
          <w:lang w:eastAsia="zh-CN"/>
        </w:rPr>
        <w:t>表1</w:t>
      </w:r>
      <w:r>
        <w:rPr>
          <w:rFonts w:hint="eastAsia" w:ascii="Arial" w:hAnsi="Arial" w:cs="Arial"/>
          <w:b/>
          <w:bCs w:val="0"/>
          <w:sz w:val="26"/>
          <w:szCs w:val="26"/>
          <w:highlight w:val="none"/>
          <w:lang w:val="en-US" w:eastAsia="zh-CN"/>
        </w:rPr>
        <w:t>.9-7  与“</w:t>
      </w:r>
      <w:r>
        <w:rPr>
          <w:rFonts w:hint="eastAsia" w:ascii="Arial" w:hAnsi="Arial" w:cs="Arial"/>
          <w:b/>
          <w:color w:val="auto"/>
          <w:kern w:val="0"/>
          <w:sz w:val="26"/>
          <w:szCs w:val="20"/>
          <w:highlight w:val="none"/>
          <w:lang w:val="en-US" w:eastAsia="zh-CN"/>
        </w:rPr>
        <w:t>丰都县长江保护修复攻坚战实施方案”</w:t>
      </w:r>
      <w:r>
        <w:rPr>
          <w:rFonts w:hint="eastAsia" w:ascii="Arial" w:hAnsi="Arial" w:cs="Arial"/>
          <w:b/>
          <w:bCs w:val="0"/>
          <w:sz w:val="26"/>
          <w:szCs w:val="26"/>
          <w:highlight w:val="none"/>
          <w:lang w:val="en-US" w:eastAsia="zh-CN"/>
        </w:rPr>
        <w:t xml:space="preserve">符合性分析表 </w:t>
      </w:r>
    </w:p>
    <w:tbl>
      <w:tblPr>
        <w:tblStyle w:val="77"/>
        <w:tblW w:w="87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9"/>
        <w:gridCol w:w="4084"/>
        <w:gridCol w:w="3136"/>
        <w:gridCol w:w="879"/>
      </w:tblGrid>
      <w:tr w14:paraId="728D6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346DC03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序号</w:t>
            </w:r>
          </w:p>
        </w:tc>
        <w:tc>
          <w:tcPr>
            <w:tcW w:w="4084" w:type="dxa"/>
            <w:tcBorders>
              <w:tl2br w:val="nil"/>
              <w:tr2bl w:val="nil"/>
            </w:tcBorders>
            <w:noWrap w:val="0"/>
            <w:vAlign w:val="center"/>
          </w:tcPr>
          <w:p w14:paraId="242805E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文件要求</w:t>
            </w:r>
          </w:p>
        </w:tc>
        <w:tc>
          <w:tcPr>
            <w:tcW w:w="3136" w:type="dxa"/>
            <w:tcBorders>
              <w:tl2br w:val="nil"/>
              <w:tr2bl w:val="nil"/>
            </w:tcBorders>
            <w:noWrap w:val="0"/>
            <w:vAlign w:val="center"/>
          </w:tcPr>
          <w:p w14:paraId="39CBA20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本项目情况</w:t>
            </w:r>
          </w:p>
        </w:tc>
        <w:tc>
          <w:tcPr>
            <w:tcW w:w="879" w:type="dxa"/>
            <w:tcBorders>
              <w:tl2br w:val="nil"/>
              <w:tr2bl w:val="nil"/>
            </w:tcBorders>
            <w:noWrap w:val="0"/>
            <w:vAlign w:val="center"/>
          </w:tcPr>
          <w:p w14:paraId="3181EC4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符合性</w:t>
            </w:r>
          </w:p>
        </w:tc>
      </w:tr>
      <w:tr w14:paraId="62215B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602C933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w:t>
            </w:r>
          </w:p>
        </w:tc>
        <w:tc>
          <w:tcPr>
            <w:tcW w:w="4084" w:type="dxa"/>
            <w:tcBorders>
              <w:tl2br w:val="nil"/>
              <w:tr2bl w:val="nil"/>
            </w:tcBorders>
            <w:noWrap w:val="0"/>
            <w:vAlign w:val="center"/>
          </w:tcPr>
          <w:p w14:paraId="696C55D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加强饮用水水源保护。推动饮用水水源地规范化建设，划定饮用水水源保护区，规范保护区标志及交通警示标志设置，建设一级保护区隔离防护工程。全面推进长江经济带饮用水水源地环境保护专项行动，重点排查和整治全县城市饮用水水源保护区内的违法违规问题。</w:t>
            </w:r>
          </w:p>
        </w:tc>
        <w:tc>
          <w:tcPr>
            <w:tcW w:w="3136" w:type="dxa"/>
            <w:tcBorders>
              <w:tl2br w:val="nil"/>
              <w:tr2bl w:val="nil"/>
            </w:tcBorders>
            <w:shd w:val="clear" w:color="auto" w:fill="auto"/>
            <w:noWrap w:val="0"/>
            <w:vAlign w:val="center"/>
          </w:tcPr>
          <w:p w14:paraId="1741652F">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本项目蓄水后将按规定划定饮用水水源保护区，并设置规范的</w:t>
            </w:r>
            <w:r>
              <w:rPr>
                <w:rFonts w:hint="eastAsia" w:ascii="Arial" w:hAnsi="Arial" w:eastAsia="宋体" w:cs="Arial"/>
                <w:color w:val="auto"/>
                <w:sz w:val="22"/>
                <w:szCs w:val="22"/>
                <w:highlight w:val="none"/>
                <w:lang w:eastAsia="zh-CN"/>
              </w:rPr>
              <w:t>保护区标志及交通警示标志</w:t>
            </w:r>
            <w:r>
              <w:rPr>
                <w:rFonts w:hint="eastAsia" w:ascii="Arial" w:hAnsi="Arial" w:cs="Arial"/>
                <w:color w:val="auto"/>
                <w:sz w:val="22"/>
                <w:szCs w:val="22"/>
                <w:highlight w:val="none"/>
                <w:lang w:eastAsia="zh-CN"/>
              </w:rPr>
              <w:t>，建设</w:t>
            </w:r>
            <w:r>
              <w:rPr>
                <w:rFonts w:hint="eastAsia" w:ascii="Arial" w:hAnsi="Arial" w:eastAsia="宋体" w:cs="Arial"/>
                <w:color w:val="auto"/>
                <w:sz w:val="22"/>
                <w:szCs w:val="22"/>
                <w:highlight w:val="none"/>
                <w:lang w:eastAsia="zh-CN"/>
              </w:rPr>
              <w:t>一级保护区隔离防护工程</w:t>
            </w:r>
            <w:r>
              <w:rPr>
                <w:rFonts w:hint="eastAsia" w:ascii="Arial" w:hAnsi="Arial" w:cs="Arial"/>
                <w:color w:val="auto"/>
                <w:sz w:val="22"/>
                <w:szCs w:val="22"/>
                <w:highlight w:val="none"/>
                <w:lang w:eastAsia="zh-CN"/>
              </w:rPr>
              <w:t>。</w:t>
            </w:r>
          </w:p>
        </w:tc>
        <w:tc>
          <w:tcPr>
            <w:tcW w:w="879" w:type="dxa"/>
            <w:tcBorders>
              <w:tl2br w:val="nil"/>
              <w:tr2bl w:val="nil"/>
            </w:tcBorders>
            <w:shd w:val="clear" w:color="auto" w:fill="auto"/>
            <w:noWrap w:val="0"/>
            <w:vAlign w:val="center"/>
          </w:tcPr>
          <w:p w14:paraId="6C19D9F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kern w:val="2"/>
                <w:sz w:val="22"/>
                <w:szCs w:val="22"/>
                <w:highlight w:val="none"/>
                <w:lang w:val="en-US" w:eastAsia="zh-CN" w:bidi="ar-SA"/>
              </w:rPr>
            </w:pPr>
            <w:r>
              <w:rPr>
                <w:rFonts w:hint="eastAsia" w:ascii="Arial" w:hAnsi="Arial" w:cs="Arial"/>
                <w:color w:val="auto"/>
                <w:sz w:val="22"/>
                <w:szCs w:val="22"/>
                <w:highlight w:val="none"/>
                <w:lang w:eastAsia="zh-CN"/>
              </w:rPr>
              <w:t>符合</w:t>
            </w:r>
          </w:p>
        </w:tc>
      </w:tr>
      <w:tr w14:paraId="22848C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5A7ED05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2</w:t>
            </w:r>
          </w:p>
        </w:tc>
        <w:tc>
          <w:tcPr>
            <w:tcW w:w="4084" w:type="dxa"/>
            <w:tcBorders>
              <w:tl2br w:val="nil"/>
              <w:tr2bl w:val="nil"/>
            </w:tcBorders>
            <w:noWrap w:val="0"/>
            <w:vAlign w:val="center"/>
          </w:tcPr>
          <w:p w14:paraId="69BE7CD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实行水资源消耗总量和强度双控。严格用水总量指标管理，健全覆盖全县行政区域的用水总量控制指标体系，严格取用水管控。严格用水强度指标管理，建立重点监控取水单位名录，强化重点监控取水单位管理。</w:t>
            </w:r>
          </w:p>
        </w:tc>
        <w:tc>
          <w:tcPr>
            <w:tcW w:w="3136" w:type="dxa"/>
            <w:tcBorders>
              <w:tl2br w:val="nil"/>
              <w:tr2bl w:val="nil"/>
            </w:tcBorders>
            <w:shd w:val="clear" w:color="auto" w:fill="auto"/>
            <w:noWrap w:val="0"/>
            <w:vAlign w:val="center"/>
          </w:tcPr>
          <w:p w14:paraId="38FD0797">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w:t>
            </w:r>
            <w:r>
              <w:rPr>
                <w:rFonts w:hint="eastAsia" w:ascii="Arial" w:hAnsi="Arial" w:cs="Arial"/>
                <w:color w:val="auto"/>
                <w:sz w:val="22"/>
                <w:szCs w:val="22"/>
                <w:highlight w:val="none"/>
                <w:lang w:eastAsia="zh-CN"/>
              </w:rPr>
              <w:t>建成后可解决</w:t>
            </w:r>
            <w:r>
              <w:rPr>
                <w:rFonts w:hint="eastAsia" w:ascii="Arial" w:hAnsi="Arial" w:eastAsia="宋体" w:cs="Arial"/>
                <w:color w:val="auto"/>
                <w:kern w:val="0"/>
                <w:sz w:val="22"/>
                <w:szCs w:val="22"/>
                <w:highlight w:val="none"/>
                <w:lang w:val="en-US" w:eastAsia="zh-CN"/>
              </w:rPr>
              <w:t>7000农村居民人饮</w:t>
            </w:r>
            <w:r>
              <w:rPr>
                <w:rFonts w:hint="eastAsia" w:ascii="Arial" w:hAnsi="Arial" w:cs="Arial"/>
                <w:color w:val="auto"/>
                <w:kern w:val="0"/>
                <w:sz w:val="22"/>
                <w:szCs w:val="22"/>
                <w:highlight w:val="none"/>
                <w:lang w:val="en-US" w:eastAsia="zh-CN"/>
              </w:rPr>
              <w:t>及</w:t>
            </w:r>
            <w:r>
              <w:rPr>
                <w:rFonts w:hint="eastAsia" w:ascii="Arial" w:hAnsi="Arial" w:eastAsia="宋体" w:cs="Arial"/>
                <w:color w:val="auto"/>
                <w:kern w:val="0"/>
                <w:sz w:val="22"/>
                <w:szCs w:val="22"/>
                <w:highlight w:val="none"/>
                <w:lang w:val="en-US" w:eastAsia="zh-CN"/>
              </w:rPr>
              <w:t>2000亩耕地灌溉</w:t>
            </w:r>
            <w:r>
              <w:rPr>
                <w:rFonts w:hint="eastAsia" w:ascii="Arial" w:hAnsi="Arial" w:cs="Arial"/>
                <w:color w:val="auto"/>
                <w:kern w:val="0"/>
                <w:sz w:val="22"/>
                <w:szCs w:val="22"/>
                <w:highlight w:val="none"/>
                <w:lang w:val="en-US" w:eastAsia="zh-CN"/>
              </w:rPr>
              <w:t>用水，解决区域缺水问题。供水过程中严格管控供水总量，加强运行调度管控，确保合理供水。</w:t>
            </w:r>
          </w:p>
        </w:tc>
        <w:tc>
          <w:tcPr>
            <w:tcW w:w="879" w:type="dxa"/>
            <w:tcBorders>
              <w:tl2br w:val="nil"/>
              <w:tr2bl w:val="nil"/>
            </w:tcBorders>
            <w:shd w:val="clear" w:color="auto" w:fill="auto"/>
            <w:noWrap w:val="0"/>
            <w:vAlign w:val="center"/>
          </w:tcPr>
          <w:p w14:paraId="07DC42F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kern w:val="2"/>
                <w:sz w:val="22"/>
                <w:szCs w:val="22"/>
                <w:highlight w:val="none"/>
                <w:lang w:val="en-US" w:eastAsia="zh-CN" w:bidi="ar-SA"/>
              </w:rPr>
            </w:pPr>
            <w:r>
              <w:rPr>
                <w:rFonts w:hint="eastAsia" w:ascii="Arial" w:hAnsi="Arial" w:cs="Arial"/>
                <w:color w:val="auto"/>
                <w:sz w:val="22"/>
                <w:szCs w:val="22"/>
                <w:highlight w:val="none"/>
                <w:lang w:eastAsia="zh-CN"/>
              </w:rPr>
              <w:t>符合</w:t>
            </w:r>
          </w:p>
        </w:tc>
      </w:tr>
      <w:tr w14:paraId="2A091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4998BDD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lang w:val="en-US" w:eastAsia="zh-CN"/>
              </w:rPr>
            </w:pPr>
            <w:r>
              <w:rPr>
                <w:rFonts w:hint="eastAsia" w:ascii="Arial" w:hAnsi="Arial" w:cs="Arial"/>
                <w:color w:val="auto"/>
                <w:sz w:val="22"/>
                <w:szCs w:val="22"/>
                <w:highlight w:val="none"/>
                <w:lang w:val="en-US" w:eastAsia="zh-CN"/>
              </w:rPr>
              <w:t>3</w:t>
            </w:r>
          </w:p>
        </w:tc>
        <w:tc>
          <w:tcPr>
            <w:tcW w:w="4084" w:type="dxa"/>
            <w:tcBorders>
              <w:tl2br w:val="nil"/>
              <w:tr2bl w:val="nil"/>
            </w:tcBorders>
            <w:noWrap w:val="0"/>
            <w:vAlign w:val="center"/>
          </w:tcPr>
          <w:p w14:paraId="0FB3D96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切实保障生态流量。加强流域水量统一调度，切实保障长江干流、主要支流基本生态用水需求。深化水系连通运行管理，做好水库调度，增加枯水期下泄流量，确保生态用水比例只增不减。</w:t>
            </w:r>
          </w:p>
        </w:tc>
        <w:tc>
          <w:tcPr>
            <w:tcW w:w="3136" w:type="dxa"/>
            <w:tcBorders>
              <w:tl2br w:val="nil"/>
              <w:tr2bl w:val="nil"/>
            </w:tcBorders>
            <w:shd w:val="clear" w:color="auto" w:fill="auto"/>
            <w:noWrap w:val="0"/>
            <w:vAlign w:val="center"/>
          </w:tcPr>
          <w:p w14:paraId="00D83DE2">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本项目运营期将设置生态流量下泄装置，并设置监控装置联网运行，加强生态调度，确保下游减水河段生态用水需求。</w:t>
            </w:r>
          </w:p>
        </w:tc>
        <w:tc>
          <w:tcPr>
            <w:tcW w:w="879" w:type="dxa"/>
            <w:tcBorders>
              <w:tl2br w:val="nil"/>
              <w:tr2bl w:val="nil"/>
            </w:tcBorders>
            <w:shd w:val="clear" w:color="auto" w:fill="auto"/>
            <w:noWrap w:val="0"/>
            <w:vAlign w:val="center"/>
          </w:tcPr>
          <w:p w14:paraId="3857841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kern w:val="2"/>
                <w:sz w:val="22"/>
                <w:szCs w:val="22"/>
                <w:highlight w:val="none"/>
                <w:lang w:val="en-US" w:eastAsia="zh-CN" w:bidi="ar-SA"/>
              </w:rPr>
            </w:pPr>
            <w:r>
              <w:rPr>
                <w:rFonts w:hint="eastAsia" w:ascii="Arial" w:hAnsi="Arial" w:cs="Arial"/>
                <w:color w:val="auto"/>
                <w:sz w:val="22"/>
                <w:szCs w:val="22"/>
                <w:highlight w:val="none"/>
                <w:lang w:eastAsia="zh-CN"/>
              </w:rPr>
              <w:t>符合</w:t>
            </w:r>
          </w:p>
        </w:tc>
      </w:tr>
    </w:tbl>
    <w:p w14:paraId="484ABC70">
      <w:pPr>
        <w:pStyle w:val="1873"/>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Arial" w:hAnsi="Arial" w:cs="Arial"/>
          <w:b w:val="0"/>
          <w:color w:val="auto"/>
          <w:kern w:val="2"/>
          <w:sz w:val="26"/>
          <w:szCs w:val="26"/>
          <w:lang w:val="en-US" w:eastAsia="zh-CN" w:bidi="ar-SA"/>
        </w:rPr>
      </w:pPr>
    </w:p>
    <w:p w14:paraId="3EEADC9C">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由表1.9-7可知，本项目与</w:t>
      </w:r>
      <w:r>
        <w:rPr>
          <w:rFonts w:hint="eastAsia" w:ascii="Arial" w:hAnsi="Arial" w:cs="Arial"/>
          <w:b w:val="0"/>
          <w:bCs/>
          <w:color w:val="auto"/>
          <w:kern w:val="0"/>
          <w:sz w:val="26"/>
          <w:szCs w:val="20"/>
          <w:highlight w:val="none"/>
          <w:lang w:val="en-US" w:eastAsia="zh-CN"/>
        </w:rPr>
        <w:t>《丰都县长江保护修复攻坚战实施方案》相符。</w:t>
      </w:r>
    </w:p>
    <w:p w14:paraId="2F1AE187">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cs="Arial"/>
          <w:b/>
          <w:color w:val="auto"/>
          <w:kern w:val="0"/>
          <w:sz w:val="26"/>
          <w:szCs w:val="20"/>
          <w:highlight w:val="none"/>
          <w:lang w:val="en-US" w:eastAsia="zh-CN"/>
        </w:rPr>
        <w:t>1.9.9</w:t>
      </w:r>
      <w:r>
        <w:rPr>
          <w:rFonts w:hint="default" w:ascii="Arial" w:hAnsi="Arial" w:cs="Arial"/>
          <w:b/>
          <w:color w:val="auto"/>
          <w:kern w:val="0"/>
          <w:sz w:val="26"/>
          <w:szCs w:val="20"/>
          <w:highlight w:val="none"/>
          <w:lang w:val="en-US" w:eastAsia="zh-CN"/>
        </w:rPr>
        <w:t>《重庆市生态功能区划（修编）》（渝府</w:t>
      </w:r>
      <w:r>
        <w:rPr>
          <w:rFonts w:hint="default" w:ascii="Arial" w:hAnsi="Arial" w:eastAsia="宋体" w:cs="Arial"/>
          <w:b/>
          <w:color w:val="auto"/>
          <w:kern w:val="0"/>
          <w:sz w:val="26"/>
          <w:szCs w:val="20"/>
          <w:highlight w:val="none"/>
          <w:lang w:val="en-US" w:eastAsia="zh-CN"/>
        </w:rPr>
        <w:t>〔2008〕133号）</w:t>
      </w:r>
      <w:r>
        <w:rPr>
          <w:rFonts w:hint="eastAsia" w:ascii="宋体" w:hAnsi="宋体" w:eastAsia="宋体" w:cs="宋体"/>
          <w:b/>
          <w:color w:val="auto"/>
          <w:kern w:val="0"/>
          <w:sz w:val="26"/>
          <w:szCs w:val="20"/>
          <w:highlight w:val="none"/>
          <w:lang w:val="en-US" w:eastAsia="zh-CN"/>
        </w:rPr>
        <w:t>的符合性分析</w:t>
      </w:r>
    </w:p>
    <w:p w14:paraId="1B8F5F9A">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拟建项目位于丰都县双龙镇田家山村，</w:t>
      </w:r>
      <w:r>
        <w:rPr>
          <w:rFonts w:hint="eastAsia" w:ascii="Arial" w:hAnsi="Arial" w:cs="Arial"/>
          <w:b w:val="0"/>
          <w:color w:val="auto"/>
          <w:kern w:val="2"/>
          <w:sz w:val="26"/>
          <w:szCs w:val="26"/>
          <w:lang w:val="en-US" w:eastAsia="zh-CN" w:bidi="ar-SA"/>
        </w:rPr>
        <w:t>属于</w:t>
      </w:r>
      <w:r>
        <w:rPr>
          <w:rFonts w:hint="default" w:ascii="Arial" w:hAnsi="Arial" w:cs="Arial"/>
          <w:b w:val="0"/>
          <w:color w:val="auto"/>
          <w:kern w:val="2"/>
          <w:sz w:val="26"/>
          <w:szCs w:val="26"/>
          <w:lang w:val="en-US" w:eastAsia="zh-CN" w:bidi="ar-SA"/>
        </w:rPr>
        <w:t>《重庆市生态功能区划（修编）》（渝府〔2008〕133号）</w:t>
      </w:r>
      <w:r>
        <w:rPr>
          <w:rFonts w:hint="eastAsia" w:ascii="Arial" w:hAnsi="Arial" w:cs="Arial"/>
          <w:b w:val="0"/>
          <w:color w:val="auto"/>
          <w:kern w:val="2"/>
          <w:sz w:val="26"/>
          <w:szCs w:val="26"/>
          <w:lang w:val="en-US" w:eastAsia="zh-CN" w:bidi="ar-SA"/>
        </w:rPr>
        <w:t>中划定的“三峡库区（腹地）平行岭谷低山—丘陵生态区”，主要生态问题为：水土流失是全市面广、强度高的集中分布区，石漠化是全市面积广、强度高、分布最集中的区域之一，地质灾害是我市集中分布区，洪涝和干旱是我市频率最高的地区，次级河流水污染严重，生态系统退化趋势较明显，三峡水库消落区生态环境问题较严峻。</w:t>
      </w:r>
    </w:p>
    <w:p w14:paraId="2B248E84">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本项目在建设及运行过程中，均将严格落实本环评报告及水土保持方案提出的各项生态保护、恢复措施，降低水土流失量，减缓对区域生态环境的影响。同时，本项目建成后可解决区域缺水问题，库区预留有足够的防洪库容，可避免洪涝破坏；并将按规定下泄生态流量，确保下游减水河段水质。由此可见，本项目与</w:t>
      </w:r>
      <w:r>
        <w:rPr>
          <w:rFonts w:hint="default" w:ascii="Arial" w:hAnsi="Arial" w:cs="Arial"/>
          <w:b w:val="0"/>
          <w:color w:val="auto"/>
          <w:kern w:val="2"/>
          <w:sz w:val="26"/>
          <w:szCs w:val="26"/>
          <w:lang w:val="en-US" w:eastAsia="zh-CN" w:bidi="ar-SA"/>
        </w:rPr>
        <w:t>《重庆市生态功能区划（修编）》（渝府〔2008〕133号）</w:t>
      </w:r>
      <w:r>
        <w:rPr>
          <w:rFonts w:hint="eastAsia" w:ascii="Arial" w:hAnsi="Arial" w:cs="Arial"/>
          <w:b w:val="0"/>
          <w:color w:val="auto"/>
          <w:kern w:val="2"/>
          <w:sz w:val="26"/>
          <w:szCs w:val="26"/>
          <w:lang w:val="en-US" w:eastAsia="zh-CN" w:bidi="ar-SA"/>
        </w:rPr>
        <w:t>相符。</w:t>
      </w:r>
    </w:p>
    <w:p w14:paraId="3B6160D5">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1.9.10与</w:t>
      </w:r>
      <w:r>
        <w:rPr>
          <w:rFonts w:hint="eastAsia" w:ascii="Arial" w:hAnsi="Arial" w:cs="Arial"/>
          <w:b/>
          <w:color w:val="auto"/>
          <w:kern w:val="0"/>
          <w:sz w:val="26"/>
          <w:szCs w:val="20"/>
          <w:highlight w:val="none"/>
          <w:lang w:val="en-US" w:eastAsia="zh-CN"/>
        </w:rPr>
        <w:t>《水利建设项目（引调水工程）环境影响评价文件审批原则》的符合性分析</w:t>
      </w:r>
    </w:p>
    <w:p w14:paraId="05A113E7">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eastAsia="宋体" w:cs="Arial"/>
          <w:b w:val="0"/>
          <w:bCs/>
          <w:color w:val="auto"/>
          <w:kern w:val="0"/>
          <w:sz w:val="26"/>
          <w:szCs w:val="20"/>
          <w:highlight w:val="none"/>
          <w:lang w:val="en-US" w:eastAsia="zh-CN"/>
        </w:rPr>
      </w:pPr>
      <w:r>
        <w:rPr>
          <w:rFonts w:hint="eastAsia" w:ascii="Arial" w:hAnsi="Arial" w:cs="Arial"/>
          <w:b w:val="0"/>
          <w:bCs/>
          <w:color w:val="auto"/>
          <w:kern w:val="0"/>
          <w:sz w:val="26"/>
          <w:szCs w:val="20"/>
          <w:highlight w:val="none"/>
          <w:lang w:val="en-US" w:eastAsia="zh-CN"/>
        </w:rPr>
        <w:t>本项目与《水利建设项目（引调水工程）环境影响评价文件审批原则》的符合性分析详见表1.9-8所示。</w:t>
      </w:r>
    </w:p>
    <w:p w14:paraId="5158C189">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val="0"/>
          <w:sz w:val="26"/>
          <w:szCs w:val="26"/>
          <w:highlight w:val="none"/>
          <w:lang w:eastAsia="zh-CN"/>
        </w:rPr>
      </w:pPr>
    </w:p>
    <w:p w14:paraId="71CE42D8">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val="0"/>
          <w:sz w:val="26"/>
          <w:szCs w:val="26"/>
          <w:highlight w:val="none"/>
          <w:lang w:eastAsia="zh-CN"/>
        </w:rPr>
      </w:pPr>
      <w:r>
        <w:rPr>
          <w:rFonts w:hint="eastAsia" w:ascii="Arial" w:hAnsi="Arial" w:cs="Arial"/>
          <w:b/>
          <w:bCs w:val="0"/>
          <w:sz w:val="26"/>
          <w:szCs w:val="26"/>
          <w:highlight w:val="none"/>
          <w:lang w:eastAsia="zh-CN"/>
        </w:rPr>
        <w:t>表1</w:t>
      </w:r>
      <w:r>
        <w:rPr>
          <w:rFonts w:hint="eastAsia" w:ascii="Arial" w:hAnsi="Arial" w:cs="Arial"/>
          <w:b/>
          <w:bCs w:val="0"/>
          <w:sz w:val="26"/>
          <w:szCs w:val="26"/>
          <w:highlight w:val="none"/>
          <w:lang w:val="en-US" w:eastAsia="zh-CN"/>
        </w:rPr>
        <w:t>.9-8  与“</w:t>
      </w:r>
      <w:r>
        <w:rPr>
          <w:rFonts w:hint="eastAsia" w:ascii="Arial" w:hAnsi="Arial" w:cs="Arial"/>
          <w:b/>
          <w:color w:val="auto"/>
          <w:kern w:val="0"/>
          <w:sz w:val="26"/>
          <w:szCs w:val="20"/>
          <w:highlight w:val="none"/>
          <w:lang w:val="en-US" w:eastAsia="zh-CN"/>
        </w:rPr>
        <w:t>丰都县长江保护修复攻坚战实施方案”</w:t>
      </w:r>
      <w:r>
        <w:rPr>
          <w:rFonts w:hint="eastAsia" w:ascii="Arial" w:hAnsi="Arial" w:cs="Arial"/>
          <w:b/>
          <w:bCs w:val="0"/>
          <w:sz w:val="26"/>
          <w:szCs w:val="26"/>
          <w:highlight w:val="none"/>
          <w:lang w:val="en-US" w:eastAsia="zh-CN"/>
        </w:rPr>
        <w:t xml:space="preserve">符合性分析表 </w:t>
      </w:r>
    </w:p>
    <w:tbl>
      <w:tblPr>
        <w:tblStyle w:val="77"/>
        <w:tblW w:w="87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9"/>
        <w:gridCol w:w="4084"/>
        <w:gridCol w:w="3136"/>
        <w:gridCol w:w="879"/>
      </w:tblGrid>
      <w:tr w14:paraId="190051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19D8C9D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序号</w:t>
            </w:r>
          </w:p>
        </w:tc>
        <w:tc>
          <w:tcPr>
            <w:tcW w:w="4084" w:type="dxa"/>
            <w:tcBorders>
              <w:tl2br w:val="nil"/>
              <w:tr2bl w:val="nil"/>
            </w:tcBorders>
            <w:noWrap w:val="0"/>
            <w:vAlign w:val="center"/>
          </w:tcPr>
          <w:p w14:paraId="6C72743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文件要求</w:t>
            </w:r>
          </w:p>
        </w:tc>
        <w:tc>
          <w:tcPr>
            <w:tcW w:w="3136" w:type="dxa"/>
            <w:tcBorders>
              <w:tl2br w:val="nil"/>
              <w:tr2bl w:val="nil"/>
            </w:tcBorders>
            <w:noWrap w:val="0"/>
            <w:vAlign w:val="center"/>
          </w:tcPr>
          <w:p w14:paraId="0B30C3F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本项目情况</w:t>
            </w:r>
          </w:p>
        </w:tc>
        <w:tc>
          <w:tcPr>
            <w:tcW w:w="879" w:type="dxa"/>
            <w:tcBorders>
              <w:tl2br w:val="nil"/>
              <w:tr2bl w:val="nil"/>
            </w:tcBorders>
            <w:noWrap w:val="0"/>
            <w:vAlign w:val="center"/>
          </w:tcPr>
          <w:p w14:paraId="36C0AB5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符合性</w:t>
            </w:r>
          </w:p>
        </w:tc>
      </w:tr>
      <w:tr w14:paraId="2692D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tcBorders>
              <w:tl2br w:val="nil"/>
              <w:tr2bl w:val="nil"/>
            </w:tcBorders>
            <w:noWrap w:val="0"/>
            <w:vAlign w:val="center"/>
          </w:tcPr>
          <w:p w14:paraId="707E439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w:t>
            </w:r>
          </w:p>
        </w:tc>
        <w:tc>
          <w:tcPr>
            <w:tcW w:w="4084" w:type="dxa"/>
            <w:tcBorders>
              <w:tl2br w:val="nil"/>
              <w:tr2bl w:val="nil"/>
            </w:tcBorders>
            <w:noWrap w:val="0"/>
            <w:vAlign w:val="center"/>
          </w:tcPr>
          <w:p w14:paraId="11BF33FB">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项目符合资源与环境保护相关法律法规和政策，与主体功能区规划、生态功能区划等相协调，开发任务、供水范围及对象、调水规模、选址选线等工程主要内容总体满足流域综合规划、水资源综合规划、水资源开发利用（含供水）规划、工程规划、流域水污染防治规划、流域生态保护规划等相关规划、规划环评及审查意见要求。</w:t>
            </w:r>
          </w:p>
          <w:p w14:paraId="45C50DD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项目符合“先节水后调水、先治污后通水、先环保后用水”原则，与水资源开发利用及区域用水总量控制、用水效率控制、水（环境）功能区限制纳污控制等相协调。充分考虑调出区经济社会发展和生态环境用水需求，调水量不得超出调出区水资源利用上限，受水区水资源配置与区域水资源水环境承载能力相适应。</w:t>
            </w:r>
          </w:p>
        </w:tc>
        <w:tc>
          <w:tcPr>
            <w:tcW w:w="3136" w:type="dxa"/>
            <w:tcBorders>
              <w:tl2br w:val="nil"/>
              <w:tr2bl w:val="nil"/>
            </w:tcBorders>
            <w:shd w:val="clear" w:color="auto" w:fill="auto"/>
            <w:noWrap w:val="0"/>
            <w:vAlign w:val="center"/>
          </w:tcPr>
          <w:p w14:paraId="700F6FBE">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本项目属于《重庆市渠溪河流域综合规划环境影响报告书》中规划建设的水库，运营期通过建立合理的运行调度机制，保护水环境。</w:t>
            </w:r>
          </w:p>
        </w:tc>
        <w:tc>
          <w:tcPr>
            <w:tcW w:w="879" w:type="dxa"/>
            <w:tcBorders>
              <w:tl2br w:val="nil"/>
              <w:tr2bl w:val="nil"/>
            </w:tcBorders>
            <w:shd w:val="clear" w:color="auto" w:fill="auto"/>
            <w:noWrap w:val="0"/>
            <w:vAlign w:val="center"/>
          </w:tcPr>
          <w:p w14:paraId="6043705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kern w:val="2"/>
                <w:sz w:val="22"/>
                <w:szCs w:val="22"/>
                <w:highlight w:val="none"/>
                <w:lang w:val="en-US" w:eastAsia="zh-CN" w:bidi="ar-SA"/>
              </w:rPr>
            </w:pPr>
            <w:r>
              <w:rPr>
                <w:rFonts w:hint="eastAsia" w:ascii="Arial" w:hAnsi="Arial" w:cs="Arial"/>
                <w:color w:val="auto"/>
                <w:sz w:val="22"/>
                <w:szCs w:val="22"/>
                <w:highlight w:val="none"/>
                <w:lang w:eastAsia="zh-CN"/>
              </w:rPr>
              <w:t>符合</w:t>
            </w:r>
          </w:p>
        </w:tc>
      </w:tr>
      <w:tr w14:paraId="7F204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133C50A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2</w:t>
            </w:r>
          </w:p>
        </w:tc>
        <w:tc>
          <w:tcPr>
            <w:tcW w:w="4084" w:type="dxa"/>
            <w:tcBorders>
              <w:tl2br w:val="nil"/>
              <w:tr2bl w:val="nil"/>
            </w:tcBorders>
            <w:noWrap w:val="0"/>
            <w:vAlign w:val="center"/>
          </w:tcPr>
          <w:p w14:paraId="2404056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工程选址选线、施工布置和水库淹没原则上不得占用自然保护区、风景名胜区、生态保护红线等敏感区内法律法规禁止占用的区域和已明确作为栖息地保护区域，并与饮用水水源保护区的有关保护要求相协调。</w:t>
            </w:r>
          </w:p>
        </w:tc>
        <w:tc>
          <w:tcPr>
            <w:tcW w:w="3136" w:type="dxa"/>
            <w:tcBorders>
              <w:tl2br w:val="nil"/>
              <w:tr2bl w:val="nil"/>
            </w:tcBorders>
            <w:shd w:val="clear" w:color="auto" w:fill="auto"/>
            <w:noWrap w:val="0"/>
            <w:vAlign w:val="center"/>
          </w:tcPr>
          <w:p w14:paraId="213437F5">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本项目占地范围内不涉及自然保护区、风景名胜区、生态保护红线等敏感区域。</w:t>
            </w:r>
          </w:p>
        </w:tc>
        <w:tc>
          <w:tcPr>
            <w:tcW w:w="879" w:type="dxa"/>
            <w:tcBorders>
              <w:tl2br w:val="nil"/>
              <w:tr2bl w:val="nil"/>
            </w:tcBorders>
            <w:shd w:val="clear" w:color="auto" w:fill="auto"/>
            <w:noWrap w:val="0"/>
            <w:vAlign w:val="center"/>
          </w:tcPr>
          <w:p w14:paraId="54794CB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4F39E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0CE2561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3</w:t>
            </w:r>
          </w:p>
        </w:tc>
        <w:tc>
          <w:tcPr>
            <w:tcW w:w="4084" w:type="dxa"/>
            <w:tcBorders>
              <w:tl2br w:val="nil"/>
              <w:tr2bl w:val="nil"/>
            </w:tcBorders>
            <w:noWrap w:val="0"/>
            <w:vAlign w:val="center"/>
          </w:tcPr>
          <w:p w14:paraId="48819FE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项目调水和水库调蓄造成调出区取水枢纽下游水量减少和水文情势改变且带来不利影响的，在统筹考虑满足下游河道水生生态、水环境、景观、湿地等生态环境用水及生产、生活用水需求的基础上，提出了调水总量和过程控制、输水线路或末端调蓄能力保障、生态流量泄放、生态（联合）调度等措施，明确了生态流量泄放和在线监测设施以及管理措施等内容。针对水库下泄或调出低温水、泄洪造成的气体过饱和等导致的不利生态环境影响，提出了分层取水、优化泄洪形式或调度方式、管理等措施。根据水质管理目标要求，提出了水源区污染源治理、库底环境清理、污水处理等水质保障措施；兼顾城乡生活供水任务的，还提出了划定饮用水水源保护区、设置隔离防护带等措施。</w:t>
            </w:r>
          </w:p>
        </w:tc>
        <w:tc>
          <w:tcPr>
            <w:tcW w:w="3136" w:type="dxa"/>
            <w:tcBorders>
              <w:tl2br w:val="nil"/>
              <w:tr2bl w:val="nil"/>
            </w:tcBorders>
            <w:shd w:val="clear" w:color="auto" w:fill="auto"/>
            <w:noWrap w:val="0"/>
            <w:vAlign w:val="center"/>
          </w:tcPr>
          <w:p w14:paraId="4D435B03">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eastAsia" w:ascii="Arial" w:hAnsi="Arial" w:eastAsia="宋体" w:cs="Arial"/>
                <w:b/>
                <w:bCs/>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本项目蓄水前将进行库底清理，并给出水源保护区划定建议，并对</w:t>
            </w:r>
            <w:r>
              <w:rPr>
                <w:spacing w:val="-1"/>
                <w:sz w:val="22"/>
                <w:szCs w:val="22"/>
              </w:rPr>
              <w:t>坝址上游及减水河段的污</w:t>
            </w:r>
            <w:r>
              <w:rPr>
                <w:spacing w:val="1"/>
                <w:sz w:val="22"/>
                <w:szCs w:val="22"/>
              </w:rPr>
              <w:t>染物减排、截留、处理均</w:t>
            </w:r>
            <w:r>
              <w:rPr>
                <w:spacing w:val="2"/>
                <w:sz w:val="22"/>
                <w:szCs w:val="22"/>
              </w:rPr>
              <w:t>提出反馈建议和要求</w:t>
            </w:r>
            <w:r>
              <w:rPr>
                <w:rFonts w:hint="eastAsia"/>
                <w:spacing w:val="2"/>
                <w:sz w:val="22"/>
                <w:szCs w:val="22"/>
                <w:lang w:eastAsia="zh-CN"/>
              </w:rPr>
              <w:t>。运营期采取分层取水，避免供给低温水；建设</w:t>
            </w:r>
            <w:r>
              <w:rPr>
                <w:rFonts w:hint="eastAsia" w:ascii="Arial" w:hAnsi="Arial" w:cs="Arial"/>
                <w:color w:val="auto"/>
                <w:kern w:val="2"/>
                <w:sz w:val="22"/>
                <w:szCs w:val="22"/>
                <w:highlight w:val="none"/>
                <w:lang w:val="en-US" w:eastAsia="zh-CN" w:bidi="ar-SA"/>
              </w:rPr>
              <w:t>生态流量下泄装置，并设置监控装置联网运行，加强生态调度，确保下游减水河段生态用水需求。</w:t>
            </w:r>
          </w:p>
        </w:tc>
        <w:tc>
          <w:tcPr>
            <w:tcW w:w="879" w:type="dxa"/>
            <w:tcBorders>
              <w:tl2br w:val="nil"/>
              <w:tr2bl w:val="nil"/>
            </w:tcBorders>
            <w:shd w:val="clear" w:color="auto" w:fill="auto"/>
            <w:noWrap w:val="0"/>
            <w:vAlign w:val="center"/>
          </w:tcPr>
          <w:p w14:paraId="47E403B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2E434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6BB24CD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4</w:t>
            </w:r>
          </w:p>
        </w:tc>
        <w:tc>
          <w:tcPr>
            <w:tcW w:w="4084" w:type="dxa"/>
            <w:tcBorders>
              <w:tl2br w:val="nil"/>
              <w:tr2bl w:val="nil"/>
            </w:tcBorders>
            <w:noWrap w:val="0"/>
            <w:vAlign w:val="center"/>
          </w:tcPr>
          <w:p w14:paraId="710C80C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根据输水线路水环境保护需求，提出了划定饮用水水源保护区、源头治理、截污导流、河道清淤或建设隔离带等措施，保障输水水质达标。输水河湖具有航运、旅游等其他功能且可能对水质安全带来不利影响的，提出了不得影响输水水质的港口码头选址建设要求、制定限制或禁止运输的货物种类目录、船舶污染防治等水污染防范措施。</w:t>
            </w:r>
          </w:p>
        </w:tc>
        <w:tc>
          <w:tcPr>
            <w:tcW w:w="3136" w:type="dxa"/>
            <w:tcBorders>
              <w:tl2br w:val="nil"/>
              <w:tr2bl w:val="nil"/>
            </w:tcBorders>
            <w:shd w:val="clear" w:color="auto" w:fill="auto"/>
            <w:noWrap w:val="0"/>
            <w:vAlign w:val="center"/>
          </w:tcPr>
          <w:p w14:paraId="280FDF52">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本项目蓄水前将进行库底清理，并给出水源保护区划定建议，并对</w:t>
            </w:r>
            <w:r>
              <w:rPr>
                <w:spacing w:val="-1"/>
                <w:sz w:val="22"/>
                <w:szCs w:val="22"/>
              </w:rPr>
              <w:t>坝址上游及减水河段的污</w:t>
            </w:r>
            <w:r>
              <w:rPr>
                <w:spacing w:val="1"/>
                <w:sz w:val="22"/>
                <w:szCs w:val="22"/>
              </w:rPr>
              <w:t>染物减排、截留、处理均</w:t>
            </w:r>
            <w:r>
              <w:rPr>
                <w:spacing w:val="2"/>
                <w:sz w:val="22"/>
                <w:szCs w:val="22"/>
              </w:rPr>
              <w:t>提出反馈建议和要求</w:t>
            </w:r>
            <w:r>
              <w:rPr>
                <w:rFonts w:hint="eastAsia"/>
                <w:spacing w:val="2"/>
                <w:sz w:val="22"/>
                <w:szCs w:val="22"/>
                <w:lang w:eastAsia="zh-CN"/>
              </w:rPr>
              <w:t>。采取地埋式管道输水，可保障供水水质。</w:t>
            </w:r>
          </w:p>
        </w:tc>
        <w:tc>
          <w:tcPr>
            <w:tcW w:w="879" w:type="dxa"/>
            <w:tcBorders>
              <w:tl2br w:val="nil"/>
              <w:tr2bl w:val="nil"/>
            </w:tcBorders>
            <w:shd w:val="clear" w:color="auto" w:fill="auto"/>
            <w:noWrap w:val="0"/>
            <w:vAlign w:val="center"/>
          </w:tcPr>
          <w:p w14:paraId="7540EBEB">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28E08C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6CEB888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5</w:t>
            </w:r>
          </w:p>
        </w:tc>
        <w:tc>
          <w:tcPr>
            <w:tcW w:w="4084" w:type="dxa"/>
            <w:tcBorders>
              <w:tl2br w:val="nil"/>
              <w:tr2bl w:val="nil"/>
            </w:tcBorders>
            <w:noWrap w:val="0"/>
            <w:vAlign w:val="center"/>
          </w:tcPr>
          <w:p w14:paraId="4CC0A1E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受水区水污染治理以改善水环境质量为目标，遵循“增水不增污”或“增水减污”原则，并有经相关地方人民政府认可的 水污染防治相关规划作为支撑。</w:t>
            </w:r>
          </w:p>
        </w:tc>
        <w:tc>
          <w:tcPr>
            <w:tcW w:w="3136" w:type="dxa"/>
            <w:tcBorders>
              <w:tl2br w:val="nil"/>
              <w:tr2bl w:val="nil"/>
            </w:tcBorders>
            <w:shd w:val="clear" w:color="auto" w:fill="auto"/>
            <w:noWrap w:val="0"/>
            <w:vAlign w:val="center"/>
          </w:tcPr>
          <w:p w14:paraId="1B9014DC">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本项目受水区水污染治理由当地相关职能部门实施，本项目在运行过程中建设合理的运行调度机制，保护水环境。</w:t>
            </w:r>
          </w:p>
        </w:tc>
        <w:tc>
          <w:tcPr>
            <w:tcW w:w="879" w:type="dxa"/>
            <w:tcBorders>
              <w:tl2br w:val="nil"/>
              <w:tr2bl w:val="nil"/>
            </w:tcBorders>
            <w:shd w:val="clear" w:color="auto" w:fill="auto"/>
            <w:noWrap w:val="0"/>
            <w:vAlign w:val="center"/>
          </w:tcPr>
          <w:p w14:paraId="611D6D6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02722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3E5F129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6</w:t>
            </w:r>
          </w:p>
        </w:tc>
        <w:tc>
          <w:tcPr>
            <w:tcW w:w="4084" w:type="dxa"/>
            <w:tcBorders>
              <w:tl2br w:val="nil"/>
              <w:tr2bl w:val="nil"/>
            </w:tcBorders>
            <w:noWrap w:val="0"/>
            <w:vAlign w:val="center"/>
          </w:tcPr>
          <w:p w14:paraId="75C96BC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项目建设可能造成水库和输水沿线周边地下水位变化，引起土壤潜育化、沼泽化、盐碱化、沙化或植被退化演替等次生生态影响的，提出了封堵、导排、防护等针对性措施。</w:t>
            </w:r>
          </w:p>
        </w:tc>
        <w:tc>
          <w:tcPr>
            <w:tcW w:w="3136" w:type="dxa"/>
            <w:tcBorders>
              <w:tl2br w:val="nil"/>
              <w:tr2bl w:val="nil"/>
            </w:tcBorders>
            <w:shd w:val="clear" w:color="auto" w:fill="auto"/>
            <w:noWrap w:val="0"/>
            <w:vAlign w:val="center"/>
          </w:tcPr>
          <w:p w14:paraId="502304A2">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本项目为小（2）型水库，库容较小，不会造成周边地下水水位明显变化，不会引起</w:t>
            </w:r>
            <w:r>
              <w:rPr>
                <w:rFonts w:hint="eastAsia" w:ascii="Arial" w:hAnsi="Arial" w:eastAsia="宋体" w:cs="Arial"/>
                <w:color w:val="auto"/>
                <w:sz w:val="22"/>
                <w:szCs w:val="22"/>
                <w:highlight w:val="none"/>
                <w:lang w:eastAsia="zh-CN"/>
              </w:rPr>
              <w:t>土壤潜育化、沼泽化、盐碱化、沙化或植被退化演替等次生生态影响</w:t>
            </w:r>
            <w:r>
              <w:rPr>
                <w:rFonts w:hint="eastAsia" w:ascii="Arial" w:hAnsi="Arial" w:cs="Arial"/>
                <w:color w:val="auto"/>
                <w:sz w:val="22"/>
                <w:szCs w:val="22"/>
                <w:highlight w:val="none"/>
                <w:lang w:eastAsia="zh-CN"/>
              </w:rPr>
              <w:t>。</w:t>
            </w:r>
          </w:p>
        </w:tc>
        <w:tc>
          <w:tcPr>
            <w:tcW w:w="879" w:type="dxa"/>
            <w:tcBorders>
              <w:tl2br w:val="nil"/>
              <w:tr2bl w:val="nil"/>
            </w:tcBorders>
            <w:shd w:val="clear" w:color="auto" w:fill="auto"/>
            <w:noWrap w:val="0"/>
            <w:vAlign w:val="center"/>
          </w:tcPr>
          <w:p w14:paraId="70EAD0C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25FBB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5C57A52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7</w:t>
            </w:r>
          </w:p>
        </w:tc>
        <w:tc>
          <w:tcPr>
            <w:tcW w:w="4084" w:type="dxa"/>
            <w:tcBorders>
              <w:tl2br w:val="nil"/>
              <w:tr2bl w:val="nil"/>
            </w:tcBorders>
            <w:noWrap w:val="0"/>
            <w:vAlign w:val="center"/>
          </w:tcPr>
          <w:p w14:paraId="66B85F4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项目对鱼类等水生生物的生境、物种多样性及资源量等造成不利影响的，提出了优化工程设计及调度、栖息地保护、水生生物通道恢复、增殖放流、拦鱼等措施。栖息地保护措施包括干（支）流生境保留、生境修复（或重建）等，采用生境保留的应明确河段范围及保护措施。水生生物通道恢复措施包括鱼道、升鱼机、集运鱼系统等，在必要的水工模型试验基础上，明确了过鱼对象、主要参数、运行要求等，且满足可研阶段设计深度要求。鱼类增殖 放流措施应明确增殖站地点、增殖放流对象、放流规模、放流地点等。</w:t>
            </w:r>
          </w:p>
        </w:tc>
        <w:tc>
          <w:tcPr>
            <w:tcW w:w="3136" w:type="dxa"/>
            <w:tcBorders>
              <w:tl2br w:val="nil"/>
              <w:tr2bl w:val="nil"/>
            </w:tcBorders>
            <w:shd w:val="clear" w:color="auto" w:fill="auto"/>
            <w:noWrap w:val="0"/>
            <w:vAlign w:val="center"/>
          </w:tcPr>
          <w:p w14:paraId="53318ECD">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本项目所在流域水生生物资源匮乏，无鱼类“三场”分布，运营期将</w:t>
            </w:r>
            <w:r>
              <w:rPr>
                <w:rFonts w:hint="eastAsia"/>
                <w:spacing w:val="2"/>
                <w:sz w:val="22"/>
                <w:szCs w:val="22"/>
                <w:lang w:eastAsia="zh-CN"/>
              </w:rPr>
              <w:t>建设</w:t>
            </w:r>
            <w:r>
              <w:rPr>
                <w:rFonts w:hint="eastAsia" w:ascii="Arial" w:hAnsi="Arial" w:cs="Arial"/>
                <w:color w:val="auto"/>
                <w:kern w:val="2"/>
                <w:sz w:val="22"/>
                <w:szCs w:val="22"/>
                <w:highlight w:val="none"/>
                <w:lang w:val="en-US" w:eastAsia="zh-CN" w:bidi="ar-SA"/>
              </w:rPr>
              <w:t>生态流量下泄装置，并设置监控装置联网运行，加强生态调度，确保下游减水河段生态用水需求。</w:t>
            </w:r>
          </w:p>
        </w:tc>
        <w:tc>
          <w:tcPr>
            <w:tcW w:w="879" w:type="dxa"/>
            <w:tcBorders>
              <w:tl2br w:val="nil"/>
              <w:tr2bl w:val="nil"/>
            </w:tcBorders>
            <w:shd w:val="clear" w:color="auto" w:fill="auto"/>
            <w:noWrap w:val="0"/>
            <w:vAlign w:val="center"/>
          </w:tcPr>
          <w:p w14:paraId="62BB786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508A0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5B2EC50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8</w:t>
            </w:r>
          </w:p>
        </w:tc>
        <w:tc>
          <w:tcPr>
            <w:tcW w:w="4084" w:type="dxa"/>
            <w:tcBorders>
              <w:tl2br w:val="nil"/>
              <w:tr2bl w:val="nil"/>
            </w:tcBorders>
            <w:noWrap w:val="0"/>
            <w:vAlign w:val="center"/>
          </w:tcPr>
          <w:p w14:paraId="24AD199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项目对珍稀濒危和重点保护野生动、植物及其生境造成影响的，提出了优化工程布置和调度运行方案、合理安排工期、应急救护、建设或保留动物通道、移栽、就地保护或再造类似生境等避让、减缓和补偿措施。项目涉及风景名胜区等环境敏感区并对景观产生影响的，提出了工程方案优化、景观塑造等措施。</w:t>
            </w:r>
          </w:p>
        </w:tc>
        <w:tc>
          <w:tcPr>
            <w:tcW w:w="3136" w:type="dxa"/>
            <w:tcBorders>
              <w:tl2br w:val="nil"/>
              <w:tr2bl w:val="nil"/>
            </w:tcBorders>
            <w:shd w:val="clear" w:color="auto" w:fill="auto"/>
            <w:noWrap w:val="0"/>
            <w:vAlign w:val="center"/>
          </w:tcPr>
          <w:p w14:paraId="3F573DFD">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本项目占地及影响范围内未发现珍惜濒危保护型野生动植物，不涉及风景名胜区等特殊生态敏感区。</w:t>
            </w:r>
          </w:p>
        </w:tc>
        <w:tc>
          <w:tcPr>
            <w:tcW w:w="879" w:type="dxa"/>
            <w:tcBorders>
              <w:tl2br w:val="nil"/>
              <w:tr2bl w:val="nil"/>
            </w:tcBorders>
            <w:shd w:val="clear" w:color="auto" w:fill="auto"/>
            <w:noWrap w:val="0"/>
            <w:vAlign w:val="center"/>
          </w:tcPr>
          <w:p w14:paraId="329A29E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645169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7A30949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9</w:t>
            </w:r>
          </w:p>
        </w:tc>
        <w:tc>
          <w:tcPr>
            <w:tcW w:w="4084" w:type="dxa"/>
            <w:tcBorders>
              <w:tl2br w:val="nil"/>
              <w:tr2bl w:val="nil"/>
            </w:tcBorders>
            <w:noWrap w:val="0"/>
            <w:vAlign w:val="center"/>
          </w:tcPr>
          <w:p w14:paraId="7209C85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项目施工组织方案具有环境合理性，对料场、弃土（渣）场等施工场地提出了水土流失防治和施工迹地生态恢复等措施。根据环境保护相关标准和要求，对施工期各类废（污）水、废气、噪声、固体废物等提出防治或处置措施。</w:t>
            </w:r>
          </w:p>
        </w:tc>
        <w:tc>
          <w:tcPr>
            <w:tcW w:w="3136" w:type="dxa"/>
            <w:tcBorders>
              <w:tl2br w:val="nil"/>
              <w:tr2bl w:val="nil"/>
            </w:tcBorders>
            <w:shd w:val="clear" w:color="auto" w:fill="auto"/>
            <w:noWrap w:val="0"/>
            <w:vAlign w:val="center"/>
          </w:tcPr>
          <w:p w14:paraId="4DAA3E26">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本报告将针对项目各施工临时设施提出迹地生态恢复措施，对施工期产生的“三废”及噪声提出了切实可行的污染防治措施，同时根据水土保持方案落实各项水保措施。</w:t>
            </w:r>
          </w:p>
        </w:tc>
        <w:tc>
          <w:tcPr>
            <w:tcW w:w="879" w:type="dxa"/>
            <w:tcBorders>
              <w:tl2br w:val="nil"/>
              <w:tr2bl w:val="nil"/>
            </w:tcBorders>
            <w:shd w:val="clear" w:color="auto" w:fill="auto"/>
            <w:noWrap w:val="0"/>
            <w:vAlign w:val="center"/>
          </w:tcPr>
          <w:p w14:paraId="3DE00E6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19A6B7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50A6A7D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10</w:t>
            </w:r>
          </w:p>
        </w:tc>
        <w:tc>
          <w:tcPr>
            <w:tcW w:w="4084" w:type="dxa"/>
            <w:tcBorders>
              <w:tl2br w:val="nil"/>
              <w:tr2bl w:val="nil"/>
            </w:tcBorders>
            <w:noWrap w:val="0"/>
            <w:vAlign w:val="center"/>
          </w:tcPr>
          <w:p w14:paraId="07512EE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项目移民安置涉及的农业土地开垦、移民安置区建设、企业迁建、专业项目改复建工程等，其建设方式和选址具有环境合理性，对环境造成不利影响的，提出了生态保护、污水处理与垃圾处置等措施。针对城（集）镇迁建及配套的重大环保基础设施建设、重要交通和水利工程改复建、污染型企业迁建等重大移民安置专项工程，依法提出了单独开展环境影响评价要求。</w:t>
            </w:r>
          </w:p>
        </w:tc>
        <w:tc>
          <w:tcPr>
            <w:tcW w:w="3136" w:type="dxa"/>
            <w:tcBorders>
              <w:tl2br w:val="nil"/>
              <w:tr2bl w:val="nil"/>
            </w:tcBorders>
            <w:shd w:val="clear" w:color="auto" w:fill="auto"/>
            <w:noWrap w:val="0"/>
            <w:vAlign w:val="center"/>
          </w:tcPr>
          <w:p w14:paraId="05AF1F11">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default" w:ascii="Arial" w:hAnsi="Arial" w:cs="Arial"/>
                <w:color w:val="auto"/>
                <w:kern w:val="2"/>
                <w:sz w:val="22"/>
                <w:szCs w:val="22"/>
                <w:highlight w:val="none"/>
                <w:lang w:val="en-US" w:eastAsia="zh-CN" w:bidi="ar-SA"/>
              </w:rPr>
              <w:t>本项目移民安置规划报告已经取得丰都县人民政府下发的批复</w:t>
            </w:r>
            <w:r>
              <w:rPr>
                <w:rFonts w:hint="eastAsia" w:ascii="Arial" w:hAnsi="Arial" w:cs="Arial"/>
                <w:color w:val="auto"/>
                <w:kern w:val="2"/>
                <w:sz w:val="22"/>
                <w:szCs w:val="22"/>
                <w:highlight w:val="none"/>
                <w:lang w:val="en-US" w:eastAsia="zh-CN" w:bidi="ar-SA"/>
              </w:rPr>
              <w:t>“</w:t>
            </w:r>
            <w:r>
              <w:rPr>
                <w:rFonts w:hint="default" w:ascii="Arial" w:hAnsi="Arial" w:cs="Arial"/>
                <w:color w:val="auto"/>
                <w:kern w:val="2"/>
                <w:sz w:val="22"/>
                <w:szCs w:val="22"/>
                <w:highlight w:val="none"/>
                <w:lang w:val="en-US" w:eastAsia="zh-CN" w:bidi="ar-SA"/>
              </w:rPr>
              <w:t>丰都府</w:t>
            </w:r>
            <w:r>
              <w:rPr>
                <w:rFonts w:hint="default" w:ascii="Arial" w:hAnsi="Arial" w:eastAsia="宋体" w:cs="Arial"/>
                <w:color w:val="auto"/>
                <w:kern w:val="2"/>
                <w:sz w:val="22"/>
                <w:szCs w:val="22"/>
                <w:highlight w:val="none"/>
                <w:lang w:val="en-US" w:eastAsia="zh-CN" w:bidi="ar-SA"/>
              </w:rPr>
              <w:t>〔2024〕14号</w:t>
            </w:r>
            <w:r>
              <w:rPr>
                <w:rFonts w:hint="eastAsia" w:ascii="Arial" w:hAnsi="Arial" w:eastAsia="宋体" w:cs="Arial"/>
                <w:color w:val="auto"/>
                <w:kern w:val="2"/>
                <w:sz w:val="22"/>
                <w:szCs w:val="22"/>
                <w:highlight w:val="none"/>
                <w:lang w:val="en-US" w:eastAsia="zh-CN" w:bidi="ar-SA"/>
              </w:rPr>
              <w:t>”。</w:t>
            </w:r>
          </w:p>
        </w:tc>
        <w:tc>
          <w:tcPr>
            <w:tcW w:w="879" w:type="dxa"/>
            <w:tcBorders>
              <w:tl2br w:val="nil"/>
              <w:tr2bl w:val="nil"/>
            </w:tcBorders>
            <w:shd w:val="clear" w:color="auto" w:fill="auto"/>
            <w:noWrap w:val="0"/>
            <w:vAlign w:val="center"/>
          </w:tcPr>
          <w:p w14:paraId="4087CE4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3FFE05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2D2196F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11</w:t>
            </w:r>
          </w:p>
        </w:tc>
        <w:tc>
          <w:tcPr>
            <w:tcW w:w="4084" w:type="dxa"/>
            <w:tcBorders>
              <w:tl2br w:val="nil"/>
              <w:tr2bl w:val="nil"/>
            </w:tcBorders>
            <w:noWrap w:val="0"/>
            <w:vAlign w:val="center"/>
          </w:tcPr>
          <w:p w14:paraId="3D3EC63B">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项目存在水污染、富营养化或外来物种入侵等环境风险的，提出了针对性风险防范措施和环境应急预案编制、与地方人民政府及其相关部门和受影响单位建立应急联动机制的要求。</w:t>
            </w:r>
          </w:p>
        </w:tc>
        <w:tc>
          <w:tcPr>
            <w:tcW w:w="3136" w:type="dxa"/>
            <w:tcBorders>
              <w:tl2br w:val="nil"/>
              <w:tr2bl w:val="nil"/>
            </w:tcBorders>
            <w:shd w:val="clear" w:color="auto" w:fill="auto"/>
            <w:noWrap w:val="0"/>
            <w:vAlign w:val="center"/>
          </w:tcPr>
          <w:p w14:paraId="7EAB2271">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本报告针对项目运营期可能存在的富营养化现象，提出了预防、减缓措施。</w:t>
            </w:r>
          </w:p>
        </w:tc>
        <w:tc>
          <w:tcPr>
            <w:tcW w:w="879" w:type="dxa"/>
            <w:tcBorders>
              <w:tl2br w:val="nil"/>
              <w:tr2bl w:val="nil"/>
            </w:tcBorders>
            <w:shd w:val="clear" w:color="auto" w:fill="auto"/>
            <w:noWrap w:val="0"/>
            <w:vAlign w:val="center"/>
          </w:tcPr>
          <w:p w14:paraId="2F4F5D4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27BE5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28B26D4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12</w:t>
            </w:r>
          </w:p>
        </w:tc>
        <w:tc>
          <w:tcPr>
            <w:tcW w:w="4084" w:type="dxa"/>
            <w:tcBorders>
              <w:tl2br w:val="nil"/>
              <w:tr2bl w:val="nil"/>
            </w:tcBorders>
            <w:noWrap w:val="0"/>
            <w:vAlign w:val="center"/>
          </w:tcPr>
          <w:p w14:paraId="21AE5BA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改、扩建项目应在全面梳理与项目有关的现有工程环境问题基础上，提出了“以新带老”措施。</w:t>
            </w:r>
          </w:p>
        </w:tc>
        <w:tc>
          <w:tcPr>
            <w:tcW w:w="3136" w:type="dxa"/>
            <w:tcBorders>
              <w:tl2br w:val="nil"/>
              <w:tr2bl w:val="nil"/>
            </w:tcBorders>
            <w:shd w:val="clear" w:color="auto" w:fill="auto"/>
            <w:noWrap w:val="0"/>
            <w:vAlign w:val="center"/>
          </w:tcPr>
          <w:p w14:paraId="76B8B52F">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本项目为新建，不涉及</w:t>
            </w:r>
          </w:p>
        </w:tc>
        <w:tc>
          <w:tcPr>
            <w:tcW w:w="879" w:type="dxa"/>
            <w:tcBorders>
              <w:tl2br w:val="nil"/>
              <w:tr2bl w:val="nil"/>
            </w:tcBorders>
            <w:shd w:val="clear" w:color="auto" w:fill="auto"/>
            <w:noWrap w:val="0"/>
            <w:vAlign w:val="center"/>
          </w:tcPr>
          <w:p w14:paraId="29E84ED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lang w:val="en-US" w:eastAsia="zh-CN"/>
              </w:rPr>
            </w:pPr>
            <w:r>
              <w:rPr>
                <w:rFonts w:hint="eastAsia" w:ascii="Arial" w:hAnsi="Arial" w:cs="Arial"/>
                <w:color w:val="auto"/>
                <w:sz w:val="22"/>
                <w:szCs w:val="22"/>
                <w:highlight w:val="none"/>
                <w:lang w:val="en-US" w:eastAsia="zh-CN"/>
              </w:rPr>
              <w:t>/</w:t>
            </w:r>
          </w:p>
        </w:tc>
      </w:tr>
      <w:tr w14:paraId="12035F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3DCA71B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13</w:t>
            </w:r>
          </w:p>
        </w:tc>
        <w:tc>
          <w:tcPr>
            <w:tcW w:w="4084" w:type="dxa"/>
            <w:tcBorders>
              <w:tl2br w:val="nil"/>
              <w:tr2bl w:val="nil"/>
            </w:tcBorders>
            <w:noWrap w:val="0"/>
            <w:vAlign w:val="center"/>
          </w:tcPr>
          <w:p w14:paraId="0DD2236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按相关导则及规定要求，制定了水环境、生态、土壤、大气、噪声等环境监测计划，明确了监测网点、因子、频次等有关要求，提出了根据监测评估结果开展环境影响后评价或优化环境保护措施的要求。根据需要和相关规定，提出了环境保护设计、环境监理、开展科学研究等环境管理要求和相关保障措施。</w:t>
            </w:r>
          </w:p>
        </w:tc>
        <w:tc>
          <w:tcPr>
            <w:tcW w:w="3136" w:type="dxa"/>
            <w:tcBorders>
              <w:tl2br w:val="nil"/>
              <w:tr2bl w:val="nil"/>
            </w:tcBorders>
            <w:shd w:val="clear" w:color="auto" w:fill="auto"/>
            <w:noWrap w:val="0"/>
            <w:vAlign w:val="center"/>
          </w:tcPr>
          <w:p w14:paraId="37A2C7F8">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本次评价根据相关环境要素导则提出了水、噪声、生态环境提出了监测计划，</w:t>
            </w:r>
            <w:r>
              <w:rPr>
                <w:rFonts w:hint="eastAsia" w:ascii="Arial" w:hAnsi="Arial" w:eastAsia="宋体" w:cs="Arial"/>
                <w:color w:val="auto"/>
                <w:sz w:val="22"/>
                <w:szCs w:val="22"/>
                <w:highlight w:val="none"/>
                <w:lang w:eastAsia="zh-CN"/>
              </w:rPr>
              <w:t>明确了监测</w:t>
            </w:r>
            <w:r>
              <w:rPr>
                <w:rFonts w:hint="eastAsia" w:ascii="Arial" w:hAnsi="Arial" w:cs="Arial"/>
                <w:color w:val="auto"/>
                <w:sz w:val="22"/>
                <w:szCs w:val="22"/>
                <w:highlight w:val="none"/>
                <w:lang w:eastAsia="zh-CN"/>
              </w:rPr>
              <w:t>点位</w:t>
            </w:r>
            <w:r>
              <w:rPr>
                <w:rFonts w:hint="eastAsia" w:ascii="Arial" w:hAnsi="Arial" w:eastAsia="宋体" w:cs="Arial"/>
                <w:color w:val="auto"/>
                <w:sz w:val="22"/>
                <w:szCs w:val="22"/>
                <w:highlight w:val="none"/>
                <w:lang w:eastAsia="zh-CN"/>
              </w:rPr>
              <w:t>、因子、频次等</w:t>
            </w:r>
            <w:r>
              <w:rPr>
                <w:rFonts w:hint="eastAsia" w:ascii="Arial" w:hAnsi="Arial" w:cs="Arial"/>
                <w:color w:val="auto"/>
                <w:sz w:val="22"/>
                <w:szCs w:val="22"/>
                <w:highlight w:val="none"/>
                <w:lang w:eastAsia="zh-CN"/>
              </w:rPr>
              <w:t>。同时对环境保护、环境监理提出了建议。</w:t>
            </w:r>
          </w:p>
        </w:tc>
        <w:tc>
          <w:tcPr>
            <w:tcW w:w="879" w:type="dxa"/>
            <w:tcBorders>
              <w:tl2br w:val="nil"/>
              <w:tr2bl w:val="nil"/>
            </w:tcBorders>
            <w:shd w:val="clear" w:color="auto" w:fill="auto"/>
            <w:noWrap w:val="0"/>
            <w:vAlign w:val="center"/>
          </w:tcPr>
          <w:p w14:paraId="545904A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093A4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2883430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14</w:t>
            </w:r>
          </w:p>
        </w:tc>
        <w:tc>
          <w:tcPr>
            <w:tcW w:w="4084" w:type="dxa"/>
            <w:tcBorders>
              <w:tl2br w:val="nil"/>
              <w:tr2bl w:val="nil"/>
            </w:tcBorders>
            <w:noWrap w:val="0"/>
            <w:vAlign w:val="center"/>
          </w:tcPr>
          <w:p w14:paraId="2EF83B3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对环境保护措施进行了深入论证，具有明确的责任主体、投资、时间节点和预期效果等，确保科学有效、安全可行、绿色协调。</w:t>
            </w:r>
          </w:p>
        </w:tc>
        <w:tc>
          <w:tcPr>
            <w:tcW w:w="3136" w:type="dxa"/>
            <w:tcBorders>
              <w:tl2br w:val="nil"/>
              <w:tr2bl w:val="nil"/>
            </w:tcBorders>
            <w:shd w:val="clear" w:color="auto" w:fill="auto"/>
            <w:noWrap w:val="0"/>
            <w:vAlign w:val="center"/>
          </w:tcPr>
          <w:p w14:paraId="309C863C">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本次评价针对各</w:t>
            </w:r>
            <w:r>
              <w:rPr>
                <w:rFonts w:hint="eastAsia" w:ascii="Arial" w:hAnsi="Arial" w:eastAsia="宋体" w:cs="Arial"/>
                <w:color w:val="auto"/>
                <w:sz w:val="22"/>
                <w:szCs w:val="22"/>
                <w:highlight w:val="none"/>
                <w:lang w:eastAsia="zh-CN"/>
              </w:rPr>
              <w:t>环境保护措施</w:t>
            </w:r>
            <w:r>
              <w:rPr>
                <w:rFonts w:hint="eastAsia" w:ascii="Arial" w:hAnsi="Arial" w:cs="Arial"/>
                <w:color w:val="auto"/>
                <w:sz w:val="22"/>
                <w:szCs w:val="22"/>
                <w:highlight w:val="none"/>
                <w:lang w:eastAsia="zh-CN"/>
              </w:rPr>
              <w:t>进行了深入论证，明确了</w:t>
            </w:r>
            <w:r>
              <w:rPr>
                <w:rFonts w:hint="eastAsia" w:ascii="Arial" w:hAnsi="Arial" w:eastAsia="宋体" w:cs="Arial"/>
                <w:color w:val="auto"/>
                <w:sz w:val="22"/>
                <w:szCs w:val="22"/>
                <w:highlight w:val="none"/>
                <w:lang w:eastAsia="zh-CN"/>
              </w:rPr>
              <w:t>责任主体、投资、时间节点和预期效果等</w:t>
            </w:r>
            <w:r>
              <w:rPr>
                <w:rFonts w:hint="eastAsia" w:ascii="Arial" w:hAnsi="Arial" w:cs="Arial"/>
                <w:color w:val="auto"/>
                <w:sz w:val="22"/>
                <w:szCs w:val="22"/>
                <w:highlight w:val="none"/>
                <w:lang w:eastAsia="zh-CN"/>
              </w:rPr>
              <w:t>。</w:t>
            </w:r>
          </w:p>
        </w:tc>
        <w:tc>
          <w:tcPr>
            <w:tcW w:w="879" w:type="dxa"/>
            <w:tcBorders>
              <w:tl2br w:val="nil"/>
              <w:tr2bl w:val="nil"/>
            </w:tcBorders>
            <w:shd w:val="clear" w:color="auto" w:fill="auto"/>
            <w:noWrap w:val="0"/>
            <w:vAlign w:val="center"/>
          </w:tcPr>
          <w:p w14:paraId="52E974F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1497B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3EA90DF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15</w:t>
            </w:r>
          </w:p>
        </w:tc>
        <w:tc>
          <w:tcPr>
            <w:tcW w:w="4084" w:type="dxa"/>
            <w:tcBorders>
              <w:tl2br w:val="nil"/>
              <w:tr2bl w:val="nil"/>
            </w:tcBorders>
            <w:noWrap w:val="0"/>
            <w:vAlign w:val="center"/>
          </w:tcPr>
          <w:p w14:paraId="44985CD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Arial" w:hAnsi="Arial" w:eastAsia="宋体" w:cs="Arial"/>
                <w:color w:val="auto"/>
                <w:sz w:val="22"/>
                <w:szCs w:val="22"/>
                <w:highlight w:val="none"/>
                <w:lang w:eastAsia="zh-CN"/>
              </w:rPr>
            </w:pPr>
            <w:r>
              <w:rPr>
                <w:rFonts w:hint="eastAsia" w:ascii="Arial" w:hAnsi="Arial" w:eastAsia="宋体" w:cs="Arial"/>
                <w:color w:val="auto"/>
                <w:sz w:val="22"/>
                <w:szCs w:val="22"/>
                <w:highlight w:val="none"/>
                <w:lang w:eastAsia="zh-CN"/>
              </w:rPr>
              <w:t>按相关规定开展了信息公开和公众参与。</w:t>
            </w:r>
          </w:p>
        </w:tc>
        <w:tc>
          <w:tcPr>
            <w:tcW w:w="3136" w:type="dxa"/>
            <w:tcBorders>
              <w:tl2br w:val="nil"/>
              <w:tr2bl w:val="nil"/>
            </w:tcBorders>
            <w:shd w:val="clear" w:color="auto" w:fill="auto"/>
            <w:noWrap w:val="0"/>
            <w:vAlign w:val="center"/>
          </w:tcPr>
          <w:p w14:paraId="0633E8B4">
            <w:pPr>
              <w:pStyle w:val="2102"/>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本报告编制过程中，建设单位按规定开展了公众参与工作。</w:t>
            </w:r>
          </w:p>
        </w:tc>
        <w:tc>
          <w:tcPr>
            <w:tcW w:w="879" w:type="dxa"/>
            <w:tcBorders>
              <w:tl2br w:val="nil"/>
              <w:tr2bl w:val="nil"/>
            </w:tcBorders>
            <w:shd w:val="clear" w:color="auto" w:fill="auto"/>
            <w:noWrap w:val="0"/>
            <w:vAlign w:val="center"/>
          </w:tcPr>
          <w:p w14:paraId="59C8301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bl>
    <w:p w14:paraId="4ED4EB4D">
      <w:pPr>
        <w:pStyle w:val="1873"/>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Arial" w:hAnsi="Arial" w:cs="Arial"/>
          <w:b w:val="0"/>
          <w:color w:val="auto"/>
          <w:kern w:val="2"/>
          <w:sz w:val="26"/>
          <w:szCs w:val="26"/>
          <w:lang w:val="en-US" w:eastAsia="zh-CN" w:bidi="ar-SA"/>
        </w:rPr>
      </w:pPr>
    </w:p>
    <w:p w14:paraId="649A56A7">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由表1.9-8可知，本项目与</w:t>
      </w:r>
      <w:r>
        <w:rPr>
          <w:rFonts w:hint="eastAsia" w:ascii="Arial" w:hAnsi="Arial" w:cs="Arial"/>
          <w:b w:val="0"/>
          <w:bCs/>
          <w:color w:val="auto"/>
          <w:kern w:val="0"/>
          <w:sz w:val="26"/>
          <w:szCs w:val="20"/>
          <w:highlight w:val="none"/>
          <w:lang w:val="en-US" w:eastAsia="zh-CN"/>
        </w:rPr>
        <w:t>《水利建设项目（引调水工程）环境影响评价文件审批原则》相符。</w:t>
      </w:r>
    </w:p>
    <w:p w14:paraId="0F88C8E3">
      <w:pPr>
        <w:pStyle w:val="19"/>
        <w:keepNext w:val="0"/>
        <w:keepLines w:val="0"/>
        <w:pageBreakBefore w:val="0"/>
        <w:widowControl w:val="0"/>
        <w:kinsoku/>
        <w:wordWrap/>
        <w:overflowPunct/>
        <w:topLinePunct w:val="0"/>
        <w:autoSpaceDE/>
        <w:autoSpaceDN/>
        <w:bidi w:val="0"/>
        <w:adjustRightInd w:val="0"/>
        <w:snapToGrid w:val="0"/>
        <w:spacing w:line="440" w:lineRule="exact"/>
        <w:ind w:firstLine="522"/>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1.9.</w:t>
      </w:r>
      <w:r>
        <w:rPr>
          <w:rFonts w:hint="eastAsia" w:ascii="Arial" w:hAnsi="Arial" w:cs="Arial"/>
          <w:b/>
          <w:color w:val="auto"/>
          <w:kern w:val="0"/>
          <w:sz w:val="26"/>
          <w:szCs w:val="20"/>
          <w:highlight w:val="none"/>
          <w:lang w:val="en-US" w:eastAsia="zh-CN"/>
        </w:rPr>
        <w:t>11</w:t>
      </w:r>
      <w:r>
        <w:rPr>
          <w:rFonts w:hint="eastAsia" w:ascii="Arial" w:hAnsi="Arial" w:eastAsia="宋体" w:cs="Arial"/>
          <w:b/>
          <w:color w:val="auto"/>
          <w:kern w:val="0"/>
          <w:sz w:val="26"/>
          <w:szCs w:val="20"/>
          <w:highlight w:val="none"/>
          <w:lang w:val="en-US" w:eastAsia="zh-CN"/>
        </w:rPr>
        <w:t>与《中华人民共和国长江保护法》的符合性分析</w:t>
      </w:r>
    </w:p>
    <w:p w14:paraId="1BC0F53B">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本项目与《中华人民共和国长江保护法》的符合性分析详见表1.9-9所示。</w:t>
      </w:r>
    </w:p>
    <w:p w14:paraId="73DF5995">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val="0"/>
          <w:sz w:val="26"/>
          <w:szCs w:val="26"/>
          <w:highlight w:val="none"/>
          <w:lang w:eastAsia="zh-CN"/>
        </w:rPr>
      </w:pPr>
      <w:r>
        <w:rPr>
          <w:rFonts w:hint="eastAsia" w:ascii="Arial" w:hAnsi="Arial" w:cs="Arial"/>
          <w:b/>
          <w:bCs w:val="0"/>
          <w:sz w:val="26"/>
          <w:szCs w:val="26"/>
          <w:highlight w:val="none"/>
          <w:lang w:eastAsia="zh-CN"/>
        </w:rPr>
        <w:t>表1</w:t>
      </w:r>
      <w:r>
        <w:rPr>
          <w:rFonts w:hint="eastAsia" w:ascii="Arial" w:hAnsi="Arial" w:cs="Arial"/>
          <w:b/>
          <w:bCs w:val="0"/>
          <w:sz w:val="26"/>
          <w:szCs w:val="26"/>
          <w:highlight w:val="none"/>
          <w:lang w:val="en-US" w:eastAsia="zh-CN"/>
        </w:rPr>
        <w:t>.9-9  与“</w:t>
      </w:r>
      <w:r>
        <w:rPr>
          <w:rFonts w:hint="eastAsia" w:ascii="Arial" w:hAnsi="Arial" w:cs="Arial"/>
          <w:b/>
          <w:color w:val="auto"/>
          <w:kern w:val="0"/>
          <w:sz w:val="26"/>
          <w:szCs w:val="20"/>
          <w:highlight w:val="none"/>
          <w:lang w:val="en-US" w:eastAsia="zh-CN"/>
        </w:rPr>
        <w:t>中华人民共和国长江保护法”</w:t>
      </w:r>
      <w:r>
        <w:rPr>
          <w:rFonts w:hint="eastAsia" w:ascii="Arial" w:hAnsi="Arial" w:cs="Arial"/>
          <w:b/>
          <w:bCs w:val="0"/>
          <w:sz w:val="26"/>
          <w:szCs w:val="26"/>
          <w:highlight w:val="none"/>
          <w:lang w:val="en-US" w:eastAsia="zh-CN"/>
        </w:rPr>
        <w:t xml:space="preserve">符合性分析表 </w:t>
      </w:r>
    </w:p>
    <w:tbl>
      <w:tblPr>
        <w:tblStyle w:val="77"/>
        <w:tblW w:w="87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9"/>
        <w:gridCol w:w="4617"/>
        <w:gridCol w:w="2533"/>
        <w:gridCol w:w="949"/>
      </w:tblGrid>
      <w:tr w14:paraId="3C35F3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7D9A2F6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序号</w:t>
            </w:r>
          </w:p>
        </w:tc>
        <w:tc>
          <w:tcPr>
            <w:tcW w:w="4617" w:type="dxa"/>
            <w:tcBorders>
              <w:tl2br w:val="nil"/>
              <w:tr2bl w:val="nil"/>
            </w:tcBorders>
            <w:noWrap w:val="0"/>
            <w:vAlign w:val="center"/>
          </w:tcPr>
          <w:p w14:paraId="35F7328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文件要求</w:t>
            </w:r>
          </w:p>
        </w:tc>
        <w:tc>
          <w:tcPr>
            <w:tcW w:w="2533" w:type="dxa"/>
            <w:tcBorders>
              <w:tl2br w:val="nil"/>
              <w:tr2bl w:val="nil"/>
            </w:tcBorders>
            <w:noWrap w:val="0"/>
            <w:vAlign w:val="center"/>
          </w:tcPr>
          <w:p w14:paraId="6345032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本项目情况</w:t>
            </w:r>
          </w:p>
        </w:tc>
        <w:tc>
          <w:tcPr>
            <w:tcW w:w="949" w:type="dxa"/>
            <w:tcBorders>
              <w:tl2br w:val="nil"/>
              <w:tr2bl w:val="nil"/>
            </w:tcBorders>
            <w:noWrap w:val="0"/>
            <w:vAlign w:val="center"/>
          </w:tcPr>
          <w:p w14:paraId="5247D36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b/>
                <w:bCs/>
                <w:color w:val="auto"/>
                <w:sz w:val="22"/>
                <w:szCs w:val="22"/>
                <w:highlight w:val="none"/>
              </w:rPr>
            </w:pPr>
            <w:r>
              <w:rPr>
                <w:rFonts w:hint="default" w:ascii="Arial" w:hAnsi="Arial" w:cs="Arial"/>
                <w:b/>
                <w:bCs/>
                <w:color w:val="auto"/>
                <w:sz w:val="22"/>
                <w:szCs w:val="22"/>
                <w:highlight w:val="none"/>
              </w:rPr>
              <w:t>符合性</w:t>
            </w:r>
          </w:p>
        </w:tc>
      </w:tr>
      <w:tr w14:paraId="410FD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7C424BE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sz w:val="22"/>
                <w:szCs w:val="22"/>
                <w:highlight w:val="none"/>
              </w:rPr>
            </w:pPr>
            <w:r>
              <w:rPr>
                <w:rFonts w:hint="default" w:ascii="Arial" w:hAnsi="Arial" w:cs="Arial"/>
                <w:color w:val="auto"/>
                <w:sz w:val="22"/>
                <w:szCs w:val="22"/>
                <w:highlight w:val="none"/>
              </w:rPr>
              <w:t>1</w:t>
            </w:r>
          </w:p>
        </w:tc>
        <w:tc>
          <w:tcPr>
            <w:tcW w:w="4617" w:type="dxa"/>
            <w:tcBorders>
              <w:tl2br w:val="nil"/>
              <w:tr2bl w:val="nil"/>
            </w:tcBorders>
            <w:noWrap w:val="0"/>
            <w:vAlign w:val="center"/>
          </w:tcPr>
          <w:p w14:paraId="1D364A6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第三十一条：长江干流、重要支流和重要湖泊上游的水利水电、航运枢纽等工程应当将生态用水调度纳入日常运行调度规程，建立常规生态调度机制，保证河湖生态流量;其下泄流量不符合生态流量泄放要求的，由县级以上人民政府水行政主管部门提出整改措施并监督实施。</w:t>
            </w:r>
          </w:p>
        </w:tc>
        <w:tc>
          <w:tcPr>
            <w:tcW w:w="2533" w:type="dxa"/>
            <w:tcBorders>
              <w:tl2br w:val="nil"/>
              <w:tr2bl w:val="nil"/>
            </w:tcBorders>
            <w:noWrap w:val="0"/>
            <w:vAlign w:val="center"/>
          </w:tcPr>
          <w:p w14:paraId="64F619CB">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color w:val="auto"/>
                <w:kern w:val="2"/>
                <w:sz w:val="22"/>
                <w:szCs w:val="22"/>
                <w:highlight w:val="none"/>
                <w:lang w:val="en-US" w:eastAsia="zh-CN" w:bidi="ar-SA"/>
              </w:rPr>
            </w:pPr>
            <w:r>
              <w:rPr>
                <w:rFonts w:hint="eastAsia" w:ascii="Arial" w:hAnsi="Arial" w:eastAsia="宋体" w:cs="Arial"/>
                <w:color w:val="auto"/>
                <w:kern w:val="2"/>
                <w:sz w:val="22"/>
                <w:szCs w:val="22"/>
                <w:highlight w:val="none"/>
                <w:lang w:val="en-US" w:eastAsia="zh-CN" w:bidi="ar-SA"/>
              </w:rPr>
              <w:t>本项目所在流域为海螺沟，为长江左岸一级支流</w:t>
            </w:r>
            <w:r>
              <w:rPr>
                <w:rFonts w:hint="eastAsia" w:ascii="Arial" w:hAnsi="Arial" w:eastAsia="宋体" w:cs="Arial"/>
                <w:color w:val="auto"/>
                <w:kern w:val="0"/>
                <w:sz w:val="22"/>
                <w:szCs w:val="22"/>
                <w:highlight w:val="none"/>
                <w:lang w:val="en-US" w:eastAsia="zh-CN"/>
              </w:rPr>
              <w:t>渠溪河左岸一级支流双龙河</w:t>
            </w:r>
            <w:r>
              <w:rPr>
                <w:rFonts w:hint="eastAsia" w:ascii="Arial" w:hAnsi="Arial" w:cs="Arial"/>
                <w:color w:val="auto"/>
                <w:kern w:val="0"/>
                <w:sz w:val="22"/>
                <w:szCs w:val="22"/>
                <w:highlight w:val="none"/>
                <w:lang w:val="en-US" w:eastAsia="zh-CN"/>
              </w:rPr>
              <w:t>右岸一级支流高洞桥河左岸一级</w:t>
            </w:r>
            <w:r>
              <w:rPr>
                <w:rFonts w:hint="eastAsia" w:ascii="Arial" w:hAnsi="Arial" w:eastAsia="宋体" w:cs="Arial"/>
                <w:color w:val="auto"/>
                <w:kern w:val="0"/>
                <w:sz w:val="22"/>
                <w:szCs w:val="22"/>
                <w:highlight w:val="none"/>
                <w:lang w:val="en-US" w:eastAsia="zh-CN"/>
              </w:rPr>
              <w:t>支流</w:t>
            </w:r>
            <w:r>
              <w:rPr>
                <w:rFonts w:hint="eastAsia" w:ascii="Arial" w:hAnsi="Arial" w:eastAsia="宋体" w:cs="Arial"/>
                <w:color w:val="auto"/>
                <w:kern w:val="2"/>
                <w:sz w:val="22"/>
                <w:szCs w:val="22"/>
                <w:highlight w:val="none"/>
                <w:lang w:val="fr-FR" w:eastAsia="zh-CN" w:bidi="ar-SA"/>
              </w:rPr>
              <w:t>，运营期将建设生态流量下泄装置，</w:t>
            </w:r>
            <w:r>
              <w:rPr>
                <w:rFonts w:hint="eastAsia" w:ascii="Arial" w:hAnsi="Arial" w:cs="Arial"/>
                <w:color w:val="auto"/>
                <w:kern w:val="2"/>
                <w:sz w:val="22"/>
                <w:szCs w:val="22"/>
                <w:highlight w:val="none"/>
                <w:lang w:val="en-US" w:eastAsia="zh-CN" w:bidi="ar-SA"/>
              </w:rPr>
              <w:t>并设置监控装置联网运行，</w:t>
            </w:r>
            <w:r>
              <w:rPr>
                <w:rFonts w:hint="eastAsia" w:ascii="Arial" w:hAnsi="Arial" w:eastAsia="宋体" w:cs="Arial"/>
                <w:color w:val="auto"/>
                <w:kern w:val="2"/>
                <w:sz w:val="22"/>
                <w:szCs w:val="22"/>
                <w:highlight w:val="none"/>
                <w:lang w:val="fr-FR" w:eastAsia="zh-CN" w:bidi="ar-SA"/>
              </w:rPr>
              <w:t>同时将生态用水纳入日常运行调度中，</w:t>
            </w:r>
            <w:r>
              <w:rPr>
                <w:rFonts w:hint="eastAsia" w:ascii="Arial" w:hAnsi="Arial" w:cs="Arial"/>
                <w:color w:val="auto"/>
                <w:kern w:val="2"/>
                <w:sz w:val="22"/>
                <w:szCs w:val="22"/>
                <w:highlight w:val="none"/>
                <w:lang w:val="fr-FR" w:eastAsia="zh-CN" w:bidi="ar-SA"/>
              </w:rPr>
              <w:t>保护</w:t>
            </w:r>
            <w:r>
              <w:rPr>
                <w:rFonts w:hint="eastAsia" w:ascii="Arial" w:hAnsi="Arial" w:eastAsia="宋体" w:cs="Arial"/>
                <w:color w:val="auto"/>
                <w:kern w:val="2"/>
                <w:sz w:val="22"/>
                <w:szCs w:val="22"/>
                <w:highlight w:val="none"/>
                <w:lang w:val="fr-FR" w:eastAsia="zh-CN" w:bidi="ar-SA"/>
              </w:rPr>
              <w:t>所在流域生态环境。</w:t>
            </w:r>
          </w:p>
        </w:tc>
        <w:tc>
          <w:tcPr>
            <w:tcW w:w="949" w:type="dxa"/>
            <w:tcBorders>
              <w:tl2br w:val="nil"/>
              <w:tr2bl w:val="nil"/>
            </w:tcBorders>
            <w:noWrap w:val="0"/>
            <w:vAlign w:val="center"/>
          </w:tcPr>
          <w:p w14:paraId="5D2F42A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eastAsia="zh-CN"/>
              </w:rPr>
            </w:pPr>
            <w:r>
              <w:rPr>
                <w:rFonts w:hint="eastAsia" w:ascii="Arial" w:hAnsi="Arial" w:cs="Arial"/>
                <w:color w:val="auto"/>
                <w:sz w:val="22"/>
                <w:szCs w:val="22"/>
                <w:highlight w:val="none"/>
                <w:lang w:eastAsia="zh-CN"/>
              </w:rPr>
              <w:t>符合</w:t>
            </w:r>
          </w:p>
        </w:tc>
      </w:tr>
      <w:tr w14:paraId="1A95D9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dxa"/>
            <w:tcBorders>
              <w:tl2br w:val="nil"/>
              <w:tr2bl w:val="nil"/>
            </w:tcBorders>
            <w:noWrap w:val="0"/>
            <w:vAlign w:val="center"/>
          </w:tcPr>
          <w:p w14:paraId="069883D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sz w:val="22"/>
                <w:szCs w:val="22"/>
                <w:highlight w:val="none"/>
                <w:lang w:val="en-US" w:eastAsia="zh-CN"/>
              </w:rPr>
            </w:pPr>
            <w:r>
              <w:rPr>
                <w:rFonts w:hint="eastAsia" w:ascii="Arial" w:hAnsi="Arial" w:cs="Arial"/>
                <w:color w:val="auto"/>
                <w:sz w:val="22"/>
                <w:szCs w:val="22"/>
                <w:highlight w:val="none"/>
                <w:lang w:val="en-US" w:eastAsia="zh-CN"/>
              </w:rPr>
              <w:t>2</w:t>
            </w:r>
          </w:p>
        </w:tc>
        <w:tc>
          <w:tcPr>
            <w:tcW w:w="4617" w:type="dxa"/>
            <w:tcBorders>
              <w:tl2br w:val="nil"/>
              <w:tr2bl w:val="nil"/>
            </w:tcBorders>
            <w:noWrap w:val="0"/>
            <w:vAlign w:val="center"/>
          </w:tcPr>
          <w:p w14:paraId="6BB3B89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第五十九条：在长江流域水生生物产卵场、索饵场、越冬场和洄游通道等重要栖息地应当实施生态环境修复和其他保护措施。对鱼类等水生生物洄游产生阻隔的涉水工程应当结合实际采取建设过鱼设施、河湖连通、生态调度、灌江纳苗、基因保存、增殖放流、人工繁育等多种措施，充分满足水生生物的生态需求。</w:t>
            </w:r>
          </w:p>
        </w:tc>
        <w:tc>
          <w:tcPr>
            <w:tcW w:w="2533" w:type="dxa"/>
            <w:tcBorders>
              <w:tl2br w:val="nil"/>
              <w:tr2bl w:val="nil"/>
            </w:tcBorders>
            <w:noWrap w:val="0"/>
            <w:vAlign w:val="center"/>
          </w:tcPr>
          <w:p w14:paraId="2AFAA3A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color w:val="auto"/>
                <w:kern w:val="2"/>
                <w:sz w:val="22"/>
                <w:szCs w:val="22"/>
                <w:highlight w:val="none"/>
                <w:lang w:val="en-US" w:eastAsia="zh-CN" w:bidi="ar-SA"/>
              </w:rPr>
            </w:pPr>
            <w:r>
              <w:rPr>
                <w:rFonts w:hint="eastAsia" w:ascii="Arial" w:hAnsi="Arial" w:cs="Arial"/>
                <w:color w:val="auto"/>
                <w:kern w:val="2"/>
                <w:sz w:val="22"/>
                <w:szCs w:val="22"/>
                <w:highlight w:val="none"/>
                <w:lang w:val="en-US" w:eastAsia="zh-CN" w:bidi="ar-SA"/>
              </w:rPr>
              <w:t>根据水生生态现状调查结果，本项目所在河段无鱼类“三场”分布，</w:t>
            </w:r>
            <w:r>
              <w:rPr>
                <w:rFonts w:hint="eastAsia" w:ascii="Arial" w:hAnsi="Arial" w:eastAsia="宋体" w:cs="Arial"/>
                <w:color w:val="auto"/>
                <w:kern w:val="2"/>
                <w:sz w:val="22"/>
                <w:szCs w:val="22"/>
                <w:highlight w:val="none"/>
                <w:lang w:val="fr-FR" w:eastAsia="zh-CN" w:bidi="ar-SA"/>
              </w:rPr>
              <w:t>运营期将建设生态流量下泄装置，</w:t>
            </w:r>
            <w:r>
              <w:rPr>
                <w:rFonts w:hint="eastAsia" w:ascii="Arial" w:hAnsi="Arial" w:cs="Arial"/>
                <w:color w:val="auto"/>
                <w:kern w:val="2"/>
                <w:sz w:val="22"/>
                <w:szCs w:val="22"/>
                <w:highlight w:val="none"/>
                <w:lang w:val="en-US" w:eastAsia="zh-CN" w:bidi="ar-SA"/>
              </w:rPr>
              <w:t>并设置监控装置联网运行，</w:t>
            </w:r>
            <w:r>
              <w:rPr>
                <w:rFonts w:hint="eastAsia" w:ascii="Arial" w:hAnsi="Arial" w:cs="Arial"/>
                <w:color w:val="auto"/>
                <w:kern w:val="2"/>
                <w:sz w:val="22"/>
                <w:szCs w:val="22"/>
                <w:highlight w:val="none"/>
                <w:lang w:val="fr-FR" w:eastAsia="zh-CN" w:bidi="ar-SA"/>
              </w:rPr>
              <w:t>确保下游减水河段内水生生物用水需求。</w:t>
            </w:r>
          </w:p>
        </w:tc>
        <w:tc>
          <w:tcPr>
            <w:tcW w:w="949" w:type="dxa"/>
            <w:tcBorders>
              <w:tl2br w:val="nil"/>
              <w:tr2bl w:val="nil"/>
            </w:tcBorders>
            <w:noWrap w:val="0"/>
            <w:vAlign w:val="center"/>
          </w:tcPr>
          <w:p w14:paraId="1D7CA6B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cs="Arial"/>
                <w:color w:val="auto"/>
                <w:sz w:val="22"/>
                <w:szCs w:val="22"/>
                <w:highlight w:val="none"/>
                <w:lang w:eastAsia="zh-CN"/>
              </w:rPr>
            </w:pPr>
            <w:r>
              <w:rPr>
                <w:rFonts w:hint="eastAsia" w:ascii="Arial" w:hAnsi="Arial" w:cs="Arial"/>
                <w:color w:val="auto"/>
                <w:sz w:val="22"/>
                <w:szCs w:val="22"/>
                <w:highlight w:val="none"/>
                <w:lang w:eastAsia="zh-CN"/>
              </w:rPr>
              <w:t>符合</w:t>
            </w:r>
          </w:p>
        </w:tc>
      </w:tr>
    </w:tbl>
    <w:p w14:paraId="2AAD293B">
      <w:pPr>
        <w:pStyle w:val="1873"/>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Arial" w:hAnsi="Arial" w:cs="Arial"/>
          <w:b w:val="0"/>
          <w:color w:val="auto"/>
          <w:kern w:val="2"/>
          <w:sz w:val="26"/>
          <w:szCs w:val="26"/>
          <w:lang w:val="en-US" w:eastAsia="zh-CN" w:bidi="ar-SA"/>
        </w:rPr>
      </w:pPr>
    </w:p>
    <w:p w14:paraId="701741FB">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由表1.9-9可知，本项目与《中华人民共和国长江保护法》</w:t>
      </w:r>
      <w:r>
        <w:rPr>
          <w:rFonts w:hint="eastAsia" w:ascii="Arial" w:hAnsi="Arial" w:cs="Arial"/>
          <w:b w:val="0"/>
          <w:bCs/>
          <w:color w:val="auto"/>
          <w:kern w:val="0"/>
          <w:sz w:val="26"/>
          <w:szCs w:val="20"/>
          <w:highlight w:val="none"/>
          <w:lang w:val="en-US" w:eastAsia="zh-CN"/>
        </w:rPr>
        <w:t>相符。</w:t>
      </w:r>
    </w:p>
    <w:p w14:paraId="5CEB9395">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1.9.12与</w:t>
      </w:r>
      <w:r>
        <w:rPr>
          <w:rFonts w:hint="eastAsia" w:ascii="Arial" w:hAnsi="Arial" w:cs="Arial"/>
          <w:b/>
          <w:color w:val="auto"/>
          <w:kern w:val="0"/>
          <w:sz w:val="26"/>
          <w:szCs w:val="20"/>
          <w:highlight w:val="none"/>
          <w:lang w:val="en-US" w:eastAsia="zh-CN"/>
        </w:rPr>
        <w:t>基本农田保护相关文件的</w:t>
      </w:r>
      <w:r>
        <w:rPr>
          <w:rFonts w:hint="eastAsia" w:ascii="Arial" w:hAnsi="Arial" w:eastAsia="宋体" w:cs="Arial"/>
          <w:b/>
          <w:color w:val="auto"/>
          <w:kern w:val="0"/>
          <w:sz w:val="26"/>
          <w:szCs w:val="20"/>
          <w:highlight w:val="none"/>
          <w:lang w:val="en-US" w:eastAsia="zh-CN"/>
        </w:rPr>
        <w:t xml:space="preserve">符性分析 </w:t>
      </w:r>
    </w:p>
    <w:p w14:paraId="5CF19881">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default" w:ascii="Arial" w:hAnsi="Arial" w:eastAsia="宋体"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（1）相关文件要求</w:t>
      </w:r>
    </w:p>
    <w:p w14:paraId="68059CCC">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根据《中华人民共和国基本农田保护条例》：第十五条国家能源、交通、水利、军事设施等重点建设项目选址确实无法避开基本农田保护区，需要占用基本农田，涉及农用地转用或者征用土地的，必须经国务院批准。</w:t>
      </w:r>
    </w:p>
    <w:p w14:paraId="7D368C63">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根据《国务院关于授权和委托用地审批权的决定》</w:t>
      </w:r>
      <w:r>
        <w:rPr>
          <w:rFonts w:hint="eastAsia" w:ascii="Arial" w:hAnsi="Arial"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国发</w:t>
      </w:r>
      <w:r>
        <w:rPr>
          <w:rFonts w:hint="eastAsia" w:ascii="宋体" w:hAnsi="宋体" w:eastAsia="宋体" w:cs="宋体"/>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2020</w:t>
      </w:r>
      <w:r>
        <w:rPr>
          <w:rFonts w:hint="eastAsia" w:ascii="宋体" w:hAnsi="宋体" w:eastAsia="宋体" w:cs="宋体"/>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4号</w:t>
      </w:r>
      <w:r>
        <w:rPr>
          <w:rFonts w:hint="eastAsia" w:ascii="Arial" w:hAnsi="Arial"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、《重庆市人民政府关于印发重庆市承接国家建设用地审批权委托试点实施方案的通知》</w:t>
      </w:r>
      <w:r>
        <w:rPr>
          <w:rFonts w:hint="eastAsia" w:ascii="Arial" w:hAnsi="Arial"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渝府地</w:t>
      </w:r>
      <w:r>
        <w:rPr>
          <w:rFonts w:hint="eastAsia" w:ascii="宋体" w:hAnsi="宋体" w:eastAsia="宋体" w:cs="宋体"/>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2020</w:t>
      </w:r>
      <w:r>
        <w:rPr>
          <w:rFonts w:hint="eastAsia" w:ascii="宋体" w:hAnsi="宋体" w:eastAsia="宋体" w:cs="宋体"/>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439号</w:t>
      </w:r>
      <w:r>
        <w:rPr>
          <w:rFonts w:hint="eastAsia" w:ascii="Arial" w:hAnsi="Arial"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等文件要求，涉及占用永久基本农田的建设项目报市规划自然资 源局用地预审。</w:t>
      </w:r>
    </w:p>
    <w:p w14:paraId="4323A0E8">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根据</w:t>
      </w:r>
      <w:r>
        <w:rPr>
          <w:rFonts w:hint="default" w:ascii="Arial" w:hAnsi="Arial" w:eastAsia="宋体" w:cs="Arial"/>
          <w:b w:val="0"/>
          <w:color w:val="auto"/>
          <w:kern w:val="2"/>
          <w:sz w:val="26"/>
          <w:szCs w:val="26"/>
          <w:lang w:val="en-US" w:eastAsia="zh-CN" w:bidi="ar-SA"/>
        </w:rPr>
        <w:t>《自然资源部关于做好占用永久基本农田重大建设项目用地预审的通知》</w:t>
      </w:r>
      <w:r>
        <w:rPr>
          <w:rFonts w:hint="eastAsia" w:ascii="Arial" w:hAnsi="Arial"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自然资规</w:t>
      </w:r>
      <w:r>
        <w:rPr>
          <w:rFonts w:hint="eastAsia" w:ascii="宋体" w:hAnsi="宋体" w:eastAsia="宋体" w:cs="宋体"/>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2018</w:t>
      </w:r>
      <w:r>
        <w:rPr>
          <w:rFonts w:hint="eastAsia" w:ascii="宋体" w:hAnsi="宋体" w:eastAsia="宋体" w:cs="宋体"/>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3号</w:t>
      </w:r>
      <w:r>
        <w:rPr>
          <w:rFonts w:hint="eastAsia" w:ascii="Arial" w:hAnsi="Arial" w:cs="Arial"/>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充分发挥用地预审源头把关作用，全面落实永久基本农田特殊保护的要求。重大建设项目必须首先依据规划优化选址，避让永久基本农田；确实难以避让的，建设单位在可行性研究阶段，必须对占用永久基本农田的必要性和占用规模的合理性进行充分论证。市县级自然资源主管部门要按照法定程序，依据规划修改和永久基本农田补划的要求，认真组织编制规划修改方案暨永久基本农田补划方案，确保永久基本农田补足补优；省级自然资源主管部门负责组织对占用永久基本农田的必要性、合理性和补划方案的可行性进行踏勘论证，并在用地预审初审中进行实质性审查，对占用和补划永久基本农田的真实性、准确性和合理性负责。</w:t>
      </w:r>
    </w:p>
    <w:p w14:paraId="057AF3AF">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default" w:ascii="Arial" w:hAnsi="Arial" w:eastAsia="宋体"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（2）符合性分析</w:t>
      </w:r>
    </w:p>
    <w:p w14:paraId="46D03C22">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ascii="宋体" w:hAnsi="宋体" w:eastAsia="宋体" w:cs="宋体"/>
          <w:spacing w:val="0"/>
          <w:sz w:val="26"/>
          <w:szCs w:val="26"/>
        </w:rPr>
      </w:pPr>
      <w:r>
        <w:rPr>
          <w:rFonts w:hint="eastAsia" w:ascii="Arial" w:hAnsi="Arial" w:cs="Arial"/>
          <w:b w:val="0"/>
          <w:color w:val="auto"/>
          <w:spacing w:val="0"/>
          <w:kern w:val="2"/>
          <w:sz w:val="26"/>
          <w:szCs w:val="26"/>
          <w:lang w:val="en-US" w:eastAsia="zh-CN" w:bidi="ar-SA"/>
        </w:rPr>
        <w:t>本项目为水利基础设施建设，根据叠图分</w:t>
      </w:r>
      <w:r>
        <w:rPr>
          <w:rFonts w:hint="eastAsia" w:ascii="Arial" w:hAnsi="Arial" w:cs="Arial"/>
          <w:b w:val="0"/>
          <w:color w:val="auto"/>
          <w:spacing w:val="0"/>
          <w:kern w:val="2"/>
          <w:sz w:val="26"/>
          <w:szCs w:val="26"/>
          <w:highlight w:val="none"/>
          <w:lang w:val="en-US" w:eastAsia="zh-CN" w:bidi="ar-SA"/>
        </w:rPr>
        <w:t>析，本项目占用</w:t>
      </w:r>
      <w:r>
        <w:rPr>
          <w:rFonts w:hint="eastAsia" w:ascii="Arial" w:hAnsi="Arial" w:cs="Arial"/>
          <w:b w:val="0"/>
          <w:color w:val="auto"/>
          <w:spacing w:val="0"/>
          <w:kern w:val="2"/>
          <w:sz w:val="26"/>
          <w:szCs w:val="26"/>
          <w:lang w:val="en-US" w:eastAsia="zh-CN" w:bidi="ar-SA"/>
        </w:rPr>
        <w:t>基本农田面积较小，但</w:t>
      </w:r>
      <w:r>
        <w:rPr>
          <w:rFonts w:ascii="宋体" w:hAnsi="宋体" w:eastAsia="宋体" w:cs="宋体"/>
          <w:spacing w:val="0"/>
          <w:sz w:val="26"/>
          <w:szCs w:val="26"/>
        </w:rPr>
        <w:t>必须按照“占补平衡”的要求实行先补后补，补充数量相等和质量相当的基本农田。</w:t>
      </w:r>
    </w:p>
    <w:p w14:paraId="65DEF800">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eastAsia" w:ascii="Arial" w:hAnsi="Arial" w:cs="Arial"/>
          <w:b/>
          <w:color w:val="auto"/>
          <w:kern w:val="0"/>
          <w:sz w:val="26"/>
          <w:szCs w:val="20"/>
          <w:highlight w:val="none"/>
          <w:lang w:val="en-US" w:eastAsia="zh-CN"/>
        </w:rPr>
      </w:pPr>
      <w:r>
        <w:rPr>
          <w:rFonts w:hint="eastAsia" w:ascii="Arial" w:hAnsi="Arial" w:cs="Arial"/>
          <w:b/>
          <w:color w:val="auto"/>
          <w:kern w:val="0"/>
          <w:sz w:val="26"/>
          <w:szCs w:val="20"/>
          <w:highlight w:val="none"/>
          <w:lang w:val="en-US" w:eastAsia="zh-CN"/>
        </w:rPr>
        <w:t>1.9.13与公益林相关政策的符合性分析</w:t>
      </w:r>
    </w:p>
    <w:p w14:paraId="63CFC4DF">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default" w:ascii="Arial" w:hAnsi="Arial" w:eastAsia="宋体" w:cs="Arial"/>
          <w:b w:val="0"/>
          <w:color w:val="auto"/>
          <w:kern w:val="2"/>
          <w:sz w:val="26"/>
          <w:szCs w:val="26"/>
          <w:highlight w:val="none"/>
          <w:lang w:val="en-US" w:eastAsia="zh-CN" w:bidi="ar-SA"/>
        </w:rPr>
      </w:pPr>
      <w:r>
        <w:rPr>
          <w:rFonts w:hint="eastAsia" w:ascii="Arial" w:hAnsi="Arial" w:eastAsia="宋体" w:cs="Arial"/>
          <w:b w:val="0"/>
          <w:color w:val="auto"/>
          <w:kern w:val="2"/>
          <w:sz w:val="26"/>
          <w:szCs w:val="26"/>
          <w:highlight w:val="none"/>
          <w:lang w:val="en-US" w:eastAsia="zh-CN" w:bidi="ar-SA"/>
        </w:rPr>
        <w:t>根据叠图分析，拟建项目占用三级地方公益林</w:t>
      </w:r>
      <w:r>
        <w:rPr>
          <w:rFonts w:hint="eastAsia" w:ascii="Arial" w:hAnsi="Arial" w:cs="Arial"/>
          <w:color w:val="auto"/>
          <w:kern w:val="0"/>
          <w:sz w:val="26"/>
          <w:szCs w:val="26"/>
          <w:highlight w:val="none"/>
          <w:vertAlign w:val="baseline"/>
          <w:lang w:val="en-US" w:eastAsia="zh-CN"/>
        </w:rPr>
        <w:t>，</w:t>
      </w:r>
      <w:r>
        <w:rPr>
          <w:rFonts w:hint="eastAsia" w:ascii="Arial" w:hAnsi="Arial" w:eastAsia="宋体" w:cs="Arial"/>
          <w:b w:val="0"/>
          <w:color w:val="auto"/>
          <w:kern w:val="2"/>
          <w:sz w:val="26"/>
          <w:szCs w:val="26"/>
          <w:highlight w:val="none"/>
          <w:lang w:val="en-US" w:eastAsia="zh-CN" w:bidi="ar-SA"/>
        </w:rPr>
        <w:t>与公益林相关政策的符合性分析详见表1.9-10所示。</w:t>
      </w:r>
    </w:p>
    <w:p w14:paraId="117811B0">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bCs w:val="0"/>
          <w:sz w:val="26"/>
          <w:szCs w:val="26"/>
          <w:highlight w:val="none"/>
          <w:lang w:eastAsia="zh-CN"/>
        </w:rPr>
      </w:pPr>
      <w:r>
        <w:rPr>
          <w:rFonts w:hint="eastAsia" w:ascii="Arial" w:hAnsi="Arial" w:cs="Arial"/>
          <w:b/>
          <w:bCs w:val="0"/>
          <w:sz w:val="26"/>
          <w:szCs w:val="26"/>
          <w:highlight w:val="none"/>
          <w:lang w:eastAsia="zh-CN"/>
        </w:rPr>
        <w:t>表1.</w:t>
      </w:r>
      <w:r>
        <w:rPr>
          <w:rFonts w:hint="eastAsia" w:ascii="Arial" w:hAnsi="Arial" w:cs="Arial"/>
          <w:b/>
          <w:bCs w:val="0"/>
          <w:sz w:val="26"/>
          <w:szCs w:val="26"/>
          <w:highlight w:val="none"/>
          <w:lang w:val="en-US" w:eastAsia="zh-CN"/>
        </w:rPr>
        <w:t>910</w:t>
      </w:r>
      <w:r>
        <w:rPr>
          <w:rFonts w:hint="eastAsia" w:ascii="Arial" w:hAnsi="Arial" w:cs="Arial"/>
          <w:b/>
          <w:bCs w:val="0"/>
          <w:sz w:val="26"/>
          <w:szCs w:val="26"/>
          <w:highlight w:val="none"/>
          <w:lang w:eastAsia="zh-CN"/>
        </w:rPr>
        <w:t xml:space="preserve">  项目与公益林相关政策的符合性分析一览表</w:t>
      </w:r>
    </w:p>
    <w:tbl>
      <w:tblPr>
        <w:tblStyle w:val="77"/>
        <w:tblW w:w="91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8"/>
        <w:gridCol w:w="4178"/>
        <w:gridCol w:w="2930"/>
        <w:gridCol w:w="940"/>
      </w:tblGrid>
      <w:tr w14:paraId="66F6AA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48" w:type="dxa"/>
            <w:vAlign w:val="center"/>
          </w:tcPr>
          <w:p w14:paraId="7A9DF18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文件名称</w:t>
            </w:r>
          </w:p>
        </w:tc>
        <w:tc>
          <w:tcPr>
            <w:tcW w:w="4178" w:type="dxa"/>
            <w:vAlign w:val="center"/>
          </w:tcPr>
          <w:p w14:paraId="36207A1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保护要求</w:t>
            </w:r>
          </w:p>
        </w:tc>
        <w:tc>
          <w:tcPr>
            <w:tcW w:w="2930" w:type="dxa"/>
            <w:vAlign w:val="center"/>
          </w:tcPr>
          <w:p w14:paraId="0E76BB0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项目情况</w:t>
            </w:r>
          </w:p>
        </w:tc>
        <w:tc>
          <w:tcPr>
            <w:tcW w:w="940" w:type="dxa"/>
            <w:vAlign w:val="center"/>
          </w:tcPr>
          <w:p w14:paraId="1A4D144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符合性</w:t>
            </w:r>
          </w:p>
        </w:tc>
      </w:tr>
      <w:tr w14:paraId="3D3218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48" w:type="dxa"/>
            <w:vMerge w:val="restart"/>
            <w:vAlign w:val="center"/>
          </w:tcPr>
          <w:p w14:paraId="4E009A8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lang w:val="en-US" w:eastAsia="zh-CN"/>
              </w:rPr>
            </w:pPr>
            <w:r>
              <w:rPr>
                <w:rFonts w:hint="eastAsia" w:ascii="Arial" w:hAnsi="Arial" w:cs="Arial"/>
                <w:sz w:val="22"/>
                <w:szCs w:val="22"/>
                <w:lang w:val="en-US" w:eastAsia="zh-CN"/>
              </w:rPr>
              <w:t>《国家级公益林管理办法》</w:t>
            </w:r>
          </w:p>
        </w:tc>
        <w:tc>
          <w:tcPr>
            <w:tcW w:w="4178" w:type="dxa"/>
            <w:vAlign w:val="center"/>
          </w:tcPr>
          <w:p w14:paraId="2C8106D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禁止在国家级公益林地开垦、采石、采砂、取土，严格控制工程建设征收、征用、占用国家级公益林地。</w:t>
            </w:r>
            <w:r>
              <w:rPr>
                <w:rFonts w:hint="eastAsia" w:ascii="Arial" w:hAnsi="Arial" w:cs="Arial"/>
                <w:sz w:val="22"/>
                <w:szCs w:val="22"/>
                <w:lang w:val="en-US" w:eastAsia="zh-CN"/>
              </w:rPr>
              <w:t>确需使用的，严格按照《建设项目使用林地审核审批管理办法》有关规定办理使用林地手续。涉及林木采伐的，按相关规定依法办理林木采伐手续。</w:t>
            </w:r>
            <w:r>
              <w:rPr>
                <w:rFonts w:hint="eastAsia" w:ascii="Arial" w:hAnsi="Arial" w:cs="Arial"/>
                <w:sz w:val="22"/>
                <w:szCs w:val="22"/>
                <w:lang w:eastAsia="zh-CN"/>
              </w:rPr>
              <w:t>除国务院有关部门和省级人民政府批准的基础设施建设项目外，不得征收、征用、占用一级国家级公益林。</w:t>
            </w:r>
          </w:p>
        </w:tc>
        <w:tc>
          <w:tcPr>
            <w:tcW w:w="2930" w:type="dxa"/>
            <w:vAlign w:val="center"/>
          </w:tcPr>
          <w:p w14:paraId="2B3B2F9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color w:val="auto"/>
                <w:kern w:val="0"/>
                <w:sz w:val="22"/>
                <w:szCs w:val="22"/>
                <w:vertAlign w:val="baseline"/>
                <w:lang w:eastAsia="zh-CN"/>
              </w:rPr>
              <w:t>本项目水利基础设施建设，永久占地范围内分布有公益</w:t>
            </w:r>
            <w:r>
              <w:rPr>
                <w:rFonts w:hint="eastAsia" w:ascii="Arial" w:hAnsi="Arial" w:cs="Arial"/>
                <w:color w:val="auto"/>
                <w:kern w:val="0"/>
                <w:sz w:val="22"/>
                <w:szCs w:val="22"/>
                <w:highlight w:val="none"/>
                <w:vertAlign w:val="baseline"/>
                <w:lang w:eastAsia="zh-CN"/>
              </w:rPr>
              <w:t>林</w:t>
            </w:r>
            <w:r>
              <w:rPr>
                <w:rFonts w:hint="eastAsia" w:ascii="Arial" w:hAnsi="Arial" w:cs="Arial"/>
                <w:color w:val="auto"/>
                <w:kern w:val="0"/>
                <w:sz w:val="22"/>
                <w:szCs w:val="22"/>
                <w:highlight w:val="none"/>
                <w:vertAlign w:val="baseline"/>
                <w:lang w:val="en-US" w:eastAsia="zh-CN"/>
              </w:rPr>
              <w:t>，已于2023年12月13日取得了重庆市林业局以“渝林许可地</w:t>
            </w:r>
            <w:r>
              <w:rPr>
                <w:rFonts w:hint="default" w:ascii="Arial" w:hAnsi="Arial" w:eastAsia="宋体" w:cs="Arial"/>
                <w:color w:val="auto"/>
                <w:kern w:val="0"/>
                <w:sz w:val="22"/>
                <w:szCs w:val="22"/>
                <w:highlight w:val="none"/>
                <w:vertAlign w:val="baseline"/>
                <w:lang w:val="en-US" w:eastAsia="zh-CN"/>
              </w:rPr>
              <w:t>〔2023〕689号</w:t>
            </w:r>
            <w:r>
              <w:rPr>
                <w:rFonts w:hint="eastAsia" w:ascii="Arial" w:hAnsi="Arial" w:cs="Arial"/>
                <w:color w:val="auto"/>
                <w:kern w:val="0"/>
                <w:sz w:val="22"/>
                <w:szCs w:val="22"/>
                <w:highlight w:val="none"/>
                <w:vertAlign w:val="baseline"/>
                <w:lang w:val="en-US" w:eastAsia="zh-CN"/>
              </w:rPr>
              <w:t>”，下发的使用林地审核同意书。</w:t>
            </w:r>
          </w:p>
        </w:tc>
        <w:tc>
          <w:tcPr>
            <w:tcW w:w="940" w:type="dxa"/>
            <w:vAlign w:val="center"/>
          </w:tcPr>
          <w:p w14:paraId="33E3F10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6CC6F1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48" w:type="dxa"/>
            <w:vMerge w:val="continue"/>
            <w:vAlign w:val="center"/>
          </w:tcPr>
          <w:p w14:paraId="640025E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lang w:val="en-US" w:eastAsia="zh-CN"/>
              </w:rPr>
            </w:pPr>
          </w:p>
        </w:tc>
        <w:tc>
          <w:tcPr>
            <w:tcW w:w="4178" w:type="dxa"/>
            <w:vAlign w:val="center"/>
          </w:tcPr>
          <w:p w14:paraId="0260D7F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严禁采用炼山、全面整地等作业方式。</w:t>
            </w:r>
          </w:p>
        </w:tc>
        <w:tc>
          <w:tcPr>
            <w:tcW w:w="2930" w:type="dxa"/>
            <w:vAlign w:val="center"/>
          </w:tcPr>
          <w:p w14:paraId="51398A7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color w:val="auto"/>
                <w:sz w:val="22"/>
                <w:szCs w:val="22"/>
                <w:lang w:eastAsia="zh-CN"/>
              </w:rPr>
              <w:t>拟建项目施工前将占地范围内高大的植被进行移栽，采取分区作业，避免整体施工大开挖形成大面积裸露，造成林地破坏；</w:t>
            </w:r>
            <w:r>
              <w:rPr>
                <w:rFonts w:hint="eastAsia" w:ascii="Arial" w:hAnsi="Arial" w:cs="Arial"/>
                <w:color w:val="auto"/>
                <w:sz w:val="22"/>
                <w:szCs w:val="22"/>
                <w:highlight w:val="none"/>
                <w:lang w:eastAsia="zh-CN"/>
              </w:rPr>
              <w:t>施工结束后，将采取当地常见的植被对弃土场、施工场地、施工便道等临时占地区域进行绿化建设，减缓林地资源损失量。</w:t>
            </w:r>
          </w:p>
        </w:tc>
        <w:tc>
          <w:tcPr>
            <w:tcW w:w="940" w:type="dxa"/>
            <w:vAlign w:val="center"/>
          </w:tcPr>
          <w:p w14:paraId="04DC0E4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100C84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48" w:type="dxa"/>
            <w:vAlign w:val="center"/>
          </w:tcPr>
          <w:p w14:paraId="54A8B84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lang w:val="en-US" w:eastAsia="zh-CN"/>
              </w:rPr>
            </w:pPr>
            <w:r>
              <w:rPr>
                <w:rFonts w:hint="eastAsia" w:ascii="Arial" w:hAnsi="Arial" w:cs="Arial"/>
                <w:sz w:val="22"/>
                <w:szCs w:val="22"/>
                <w:lang w:val="en-US" w:eastAsia="zh-CN"/>
              </w:rPr>
              <w:t>《国家林业局关于加强临时占用林地监督管理的通知》</w:t>
            </w:r>
          </w:p>
        </w:tc>
        <w:tc>
          <w:tcPr>
            <w:tcW w:w="4178" w:type="dxa"/>
            <w:vAlign w:val="center"/>
          </w:tcPr>
          <w:p w14:paraId="0988A4C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val="en-US" w:eastAsia="zh-CN"/>
              </w:rPr>
              <w:t>临时占用林地选址应当符合林地保护利用规划，遵循生态保护优先、合理使用的原则。可恢复林业生产条件的临时施工设施，选址应优先选择宜林地、无立木林地，可利用质量差林地的不占用质量好的林地，尽量不占用天然林和乔木林地。不 可恢复林业生产条件对山体造成破坏的采石、取土场等附属工程临时占用林地，不得使用Ⅱ级以上保护等级林地中的有林地，不得使用一级国家级公益林地，不得使用重点国有林区内Ⅲ级以上保护等级林地中的有林地，不得在县级以上公路和铁路两侧视野范围内选址。禁止在自然保护区、森林公园、湿地公园、风景名胜区以及易发生崩塌、滑坡和泥石流区域临时占用林地进行采砂、挖沙、取土等。禁止在国家级公益林地采砂、挖沙、取土。”</w:t>
            </w:r>
          </w:p>
        </w:tc>
        <w:tc>
          <w:tcPr>
            <w:tcW w:w="2930" w:type="dxa"/>
            <w:vAlign w:val="center"/>
          </w:tcPr>
          <w:p w14:paraId="233B872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sz w:val="22"/>
                <w:szCs w:val="22"/>
                <w:lang w:val="en-US" w:eastAsia="zh-CN"/>
              </w:rPr>
            </w:pPr>
            <w:r>
              <w:rPr>
                <w:rFonts w:hint="eastAsia" w:ascii="Arial" w:hAnsi="Arial" w:cs="Arial"/>
                <w:color w:val="auto"/>
                <w:sz w:val="22"/>
                <w:szCs w:val="22"/>
                <w:lang w:eastAsia="zh-CN"/>
              </w:rPr>
              <w:t>根据叠图分析，本项目施工临时</w:t>
            </w:r>
            <w:r>
              <w:rPr>
                <w:rFonts w:hint="eastAsia" w:ascii="Arial" w:hAnsi="Arial" w:cs="Arial"/>
                <w:color w:val="auto"/>
                <w:sz w:val="22"/>
                <w:szCs w:val="22"/>
                <w:highlight w:val="none"/>
                <w:lang w:eastAsia="zh-CN"/>
              </w:rPr>
              <w:t>占用公益林</w:t>
            </w:r>
            <w:r>
              <w:rPr>
                <w:rFonts w:hint="eastAsia" w:ascii="Arial" w:hAnsi="Arial" w:cs="Arial"/>
                <w:color w:val="auto"/>
                <w:sz w:val="22"/>
                <w:szCs w:val="22"/>
                <w:highlight w:val="none"/>
                <w:lang w:val="en-US" w:eastAsia="zh-CN"/>
              </w:rPr>
              <w:t>，</w:t>
            </w:r>
            <w:r>
              <w:rPr>
                <w:rFonts w:hint="eastAsia" w:ascii="Arial" w:hAnsi="Arial" w:cs="Arial"/>
                <w:color w:val="auto"/>
                <w:sz w:val="22"/>
                <w:szCs w:val="22"/>
                <w:lang w:val="en-US" w:eastAsia="zh-CN"/>
              </w:rPr>
              <w:t>已于2024年4月1日取得了重庆市林业局以“渝林许可</w:t>
            </w:r>
            <w:r>
              <w:rPr>
                <w:rFonts w:hint="default" w:ascii="Arial" w:hAnsi="Arial" w:cs="Arial"/>
                <w:color w:val="auto"/>
                <w:sz w:val="22"/>
                <w:szCs w:val="22"/>
                <w:lang w:val="en-US" w:eastAsia="zh-CN"/>
              </w:rPr>
              <w:t>地临</w:t>
            </w:r>
            <w:r>
              <w:rPr>
                <w:rFonts w:hint="default" w:ascii="Arial" w:hAnsi="Arial" w:eastAsia="宋体" w:cs="Arial"/>
                <w:color w:val="auto"/>
                <w:sz w:val="22"/>
                <w:szCs w:val="22"/>
                <w:lang w:val="en-US" w:eastAsia="zh-CN"/>
              </w:rPr>
              <w:t>〔2024〕036号</w:t>
            </w:r>
            <w:r>
              <w:rPr>
                <w:rFonts w:hint="eastAsia" w:ascii="宋体" w:hAnsi="宋体" w:eastAsia="宋体" w:cs="宋体"/>
                <w:color w:val="auto"/>
                <w:sz w:val="22"/>
                <w:szCs w:val="22"/>
                <w:lang w:val="en-US" w:eastAsia="zh-CN"/>
              </w:rPr>
              <w:t>”下发的使用林地审核同意书，</w:t>
            </w:r>
            <w:r>
              <w:rPr>
                <w:rFonts w:hint="default" w:ascii="Arial" w:hAnsi="Arial" w:eastAsia="宋体" w:cs="Arial"/>
                <w:color w:val="auto"/>
                <w:sz w:val="22"/>
                <w:szCs w:val="22"/>
                <w:lang w:val="en-US" w:eastAsia="zh-CN"/>
              </w:rPr>
              <w:t>并于2024年5月13日取得</w:t>
            </w:r>
            <w:r>
              <w:rPr>
                <w:rFonts w:hint="eastAsia" w:ascii="宋体" w:hAnsi="宋体" w:eastAsia="宋体" w:cs="宋体"/>
                <w:color w:val="auto"/>
                <w:sz w:val="22"/>
                <w:szCs w:val="22"/>
                <w:lang w:val="en-US" w:eastAsia="zh-CN"/>
              </w:rPr>
              <w:t>了丰都县林业局以“丰都林发</w:t>
            </w:r>
            <w:r>
              <w:rPr>
                <w:rFonts w:hint="default" w:ascii="Arial" w:hAnsi="Arial" w:eastAsia="宋体" w:cs="Arial"/>
                <w:color w:val="auto"/>
                <w:sz w:val="22"/>
                <w:szCs w:val="22"/>
                <w:lang w:val="en-US" w:eastAsia="zh-CN"/>
              </w:rPr>
              <w:t>〔2024〕</w:t>
            </w:r>
            <w:r>
              <w:rPr>
                <w:rFonts w:hint="eastAsia" w:ascii="Arial" w:hAnsi="Arial" w:cs="Arial"/>
                <w:color w:val="auto"/>
                <w:sz w:val="22"/>
                <w:szCs w:val="22"/>
                <w:lang w:val="en-US" w:eastAsia="zh-CN"/>
              </w:rPr>
              <w:t>48</w:t>
            </w:r>
            <w:r>
              <w:rPr>
                <w:rFonts w:hint="default" w:ascii="Arial" w:hAnsi="Arial" w:eastAsia="宋体" w:cs="Arial"/>
                <w:color w:val="auto"/>
                <w:sz w:val="22"/>
                <w:szCs w:val="22"/>
                <w:lang w:val="en-US" w:eastAsia="zh-CN"/>
              </w:rPr>
              <w:t>号</w:t>
            </w:r>
            <w:r>
              <w:rPr>
                <w:rFonts w:hint="eastAsia" w:ascii="宋体" w:hAnsi="宋体" w:eastAsia="宋体" w:cs="宋体"/>
                <w:color w:val="auto"/>
                <w:sz w:val="22"/>
                <w:szCs w:val="22"/>
                <w:lang w:val="en-US" w:eastAsia="zh-CN"/>
              </w:rPr>
              <w:t>”下发的</w:t>
            </w:r>
            <w:r>
              <w:rPr>
                <w:rFonts w:hint="eastAsia" w:ascii="宋体" w:hAnsi="宋体" w:cs="宋体"/>
                <w:color w:val="auto"/>
                <w:sz w:val="22"/>
                <w:szCs w:val="22"/>
                <w:lang w:val="en-US" w:eastAsia="zh-CN"/>
              </w:rPr>
              <w:t>“关于丰都县海螺沟水库辅助施工设施项目拟使用林地涉及林木采伐手续办理的批复”。</w:t>
            </w:r>
          </w:p>
        </w:tc>
        <w:tc>
          <w:tcPr>
            <w:tcW w:w="940" w:type="dxa"/>
            <w:vAlign w:val="center"/>
          </w:tcPr>
          <w:p w14:paraId="696FD67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640771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48" w:type="dxa"/>
            <w:vAlign w:val="center"/>
          </w:tcPr>
          <w:p w14:paraId="464D904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val="en-US" w:eastAsia="zh-CN"/>
              </w:rPr>
            </w:pPr>
            <w:r>
              <w:rPr>
                <w:rFonts w:hint="eastAsia" w:ascii="Arial" w:hAnsi="Arial" w:cs="Arial"/>
                <w:sz w:val="22"/>
                <w:szCs w:val="22"/>
                <w:lang w:val="en-US" w:eastAsia="zh-CN"/>
              </w:rPr>
              <w:t>《重庆市公益林管理办法》</w:t>
            </w:r>
          </w:p>
        </w:tc>
        <w:tc>
          <w:tcPr>
            <w:tcW w:w="4178" w:type="dxa"/>
            <w:vAlign w:val="center"/>
          </w:tcPr>
          <w:p w14:paraId="1B92EEE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val="en-US" w:eastAsia="zh-CN"/>
              </w:rPr>
            </w:pPr>
            <w:r>
              <w:rPr>
                <w:rFonts w:hint="eastAsia" w:ascii="Arial" w:hAnsi="Arial" w:cs="Arial"/>
                <w:sz w:val="22"/>
                <w:szCs w:val="22"/>
                <w:lang w:val="en-US" w:eastAsia="zh-CN"/>
              </w:rPr>
              <w:t>建设工程应当不占或者少占公益林林地。确需占用、征收公益林林地的，应当依法办理用地审核、林木采伐审批手续。</w:t>
            </w:r>
          </w:p>
        </w:tc>
        <w:tc>
          <w:tcPr>
            <w:tcW w:w="2930" w:type="dxa"/>
            <w:vAlign w:val="center"/>
          </w:tcPr>
          <w:p w14:paraId="109FD1B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kern w:val="2"/>
                <w:sz w:val="22"/>
                <w:szCs w:val="22"/>
                <w:lang w:val="en-US" w:eastAsia="zh-CN" w:bidi="ar-SA"/>
              </w:rPr>
            </w:pPr>
            <w:r>
              <w:rPr>
                <w:rFonts w:hint="eastAsia" w:ascii="Arial" w:hAnsi="Arial" w:cs="Arial"/>
                <w:color w:val="auto"/>
                <w:kern w:val="0"/>
                <w:sz w:val="22"/>
                <w:szCs w:val="22"/>
                <w:vertAlign w:val="baseline"/>
                <w:lang w:eastAsia="zh-CN"/>
              </w:rPr>
              <w:t>本项目水利基础设施建设，在设计阶段已经多部门商议，对坝址选址进行了优化调整，尽量避免少占用公益林地。同时，建设单位已办理永久、临时占用公益林地的</w:t>
            </w:r>
            <w:r>
              <w:rPr>
                <w:rFonts w:hint="eastAsia" w:ascii="Arial" w:hAnsi="Arial" w:cs="Arial"/>
                <w:sz w:val="22"/>
                <w:szCs w:val="22"/>
                <w:lang w:val="en-US" w:eastAsia="zh-CN"/>
              </w:rPr>
              <w:t>用地审核、林木采伐审批手续</w:t>
            </w:r>
            <w:r>
              <w:rPr>
                <w:rFonts w:hint="eastAsia" w:ascii="Arial" w:hAnsi="Arial" w:cs="Arial"/>
                <w:color w:val="auto"/>
                <w:kern w:val="0"/>
                <w:sz w:val="22"/>
                <w:szCs w:val="22"/>
                <w:vertAlign w:val="baseline"/>
                <w:lang w:eastAsia="zh-CN"/>
              </w:rPr>
              <w:t>。且项目</w:t>
            </w:r>
            <w:r>
              <w:rPr>
                <w:rFonts w:hint="eastAsia" w:ascii="Arial" w:hAnsi="Arial" w:cs="Arial"/>
                <w:color w:val="auto"/>
                <w:sz w:val="22"/>
                <w:szCs w:val="22"/>
                <w:highlight w:val="none"/>
                <w:lang w:eastAsia="zh-CN"/>
              </w:rPr>
              <w:t>施工结束后，将采取当地常见的植被对弃土场、施工场地、施工便道等临时占地区域进行绿化建设，减缓林地资源损失量。</w:t>
            </w:r>
          </w:p>
        </w:tc>
        <w:tc>
          <w:tcPr>
            <w:tcW w:w="940" w:type="dxa"/>
            <w:vAlign w:val="center"/>
          </w:tcPr>
          <w:p w14:paraId="0ED633B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kern w:val="2"/>
                <w:sz w:val="22"/>
                <w:szCs w:val="22"/>
                <w:lang w:val="en-US" w:eastAsia="zh-CN" w:bidi="ar-SA"/>
              </w:rPr>
            </w:pPr>
            <w:r>
              <w:rPr>
                <w:rFonts w:hint="eastAsia" w:ascii="Arial" w:hAnsi="Arial" w:cs="Arial"/>
                <w:sz w:val="22"/>
                <w:szCs w:val="22"/>
                <w:lang w:eastAsia="zh-CN"/>
              </w:rPr>
              <w:t>符合</w:t>
            </w:r>
          </w:p>
        </w:tc>
      </w:tr>
    </w:tbl>
    <w:p w14:paraId="399A717C">
      <w:pPr>
        <w:pStyle w:val="2082"/>
        <w:keepNext w:val="0"/>
        <w:keepLines w:val="0"/>
        <w:pageBreakBefore w:val="0"/>
        <w:widowControl w:val="0"/>
        <w:kinsoku/>
        <w:wordWrap/>
        <w:overflowPunct/>
        <w:topLinePunct w:val="0"/>
        <w:autoSpaceDE/>
        <w:autoSpaceDN/>
        <w:bidi w:val="0"/>
        <w:adjustRightInd w:val="0"/>
        <w:snapToGrid w:val="0"/>
        <w:spacing w:line="240" w:lineRule="exact"/>
        <w:ind w:firstLine="560"/>
        <w:textAlignment w:val="auto"/>
        <w:rPr>
          <w:rFonts w:hint="eastAsia" w:ascii="Arial" w:hAnsi="Arial" w:eastAsia="宋体" w:cs="Arial"/>
          <w:b w:val="0"/>
          <w:color w:val="auto"/>
          <w:kern w:val="2"/>
          <w:sz w:val="26"/>
          <w:szCs w:val="26"/>
          <w:lang w:val="en-US" w:eastAsia="zh-CN" w:bidi="ar-SA"/>
        </w:rPr>
      </w:pPr>
    </w:p>
    <w:p w14:paraId="516C0AE5">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由表1.9-10可知，</w:t>
      </w:r>
      <w:r>
        <w:rPr>
          <w:rFonts w:hint="eastAsia" w:ascii="Arial" w:hAnsi="Arial" w:cs="Arial"/>
          <w:color w:val="auto"/>
          <w:kern w:val="0"/>
          <w:sz w:val="26"/>
          <w:szCs w:val="26"/>
          <w:vertAlign w:val="baseline"/>
          <w:lang w:eastAsia="zh-CN"/>
        </w:rPr>
        <w:t>建设单位已办理永久、临时占用公益林地的</w:t>
      </w:r>
      <w:r>
        <w:rPr>
          <w:rFonts w:hint="eastAsia" w:ascii="Arial" w:hAnsi="Arial" w:cs="Arial"/>
          <w:sz w:val="26"/>
          <w:szCs w:val="26"/>
          <w:lang w:val="en-US" w:eastAsia="zh-CN"/>
        </w:rPr>
        <w:t>用地审核、林木采伐审批手续</w:t>
      </w:r>
      <w:r>
        <w:rPr>
          <w:rFonts w:hint="eastAsia" w:ascii="Arial" w:hAnsi="Arial" w:eastAsia="宋体" w:cs="Arial"/>
          <w:b w:val="0"/>
          <w:color w:val="auto"/>
          <w:kern w:val="2"/>
          <w:sz w:val="26"/>
          <w:szCs w:val="26"/>
          <w:lang w:val="en-US" w:eastAsia="zh-CN" w:bidi="ar-SA"/>
        </w:rPr>
        <w:t>，与《国家级公益林管理办法》（林资发</w:t>
      </w:r>
      <w:r>
        <w:rPr>
          <w:rFonts w:hint="eastAsia" w:ascii="宋体" w:hAnsi="宋体" w:eastAsia="宋体" w:cs="宋体"/>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2013</w:t>
      </w:r>
      <w:r>
        <w:rPr>
          <w:rFonts w:hint="eastAsia" w:ascii="宋体" w:hAnsi="宋体" w:eastAsia="宋体" w:cs="宋体"/>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71号）、《国家林业局关于加强临时占用林地监督管理的通知》（林资发</w:t>
      </w:r>
      <w:r>
        <w:rPr>
          <w:rFonts w:hint="eastAsia" w:ascii="宋体" w:hAnsi="宋体" w:eastAsia="宋体" w:cs="宋体"/>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2015</w:t>
      </w:r>
      <w:r>
        <w:rPr>
          <w:rFonts w:hint="eastAsia" w:ascii="宋体" w:hAnsi="宋体" w:eastAsia="宋体" w:cs="宋体"/>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121号）、《重庆市公益林管理办法》（重庆市人民政府令第312号）等文件不相冲突。</w:t>
      </w:r>
    </w:p>
    <w:p w14:paraId="653C1521">
      <w:pPr>
        <w:pStyle w:val="19"/>
        <w:keepNext w:val="0"/>
        <w:keepLines w:val="0"/>
        <w:pageBreakBefore w:val="0"/>
        <w:widowControl w:val="0"/>
        <w:kinsoku/>
        <w:wordWrap/>
        <w:overflowPunct/>
        <w:topLinePunct w:val="0"/>
        <w:autoSpaceDE/>
        <w:autoSpaceDN/>
        <w:bidi w:val="0"/>
        <w:adjustRightInd w:val="0"/>
        <w:snapToGrid w:val="0"/>
        <w:spacing w:line="440" w:lineRule="exact"/>
        <w:ind w:firstLine="522"/>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1.9.</w:t>
      </w:r>
      <w:r>
        <w:rPr>
          <w:rFonts w:hint="eastAsia" w:ascii="Arial" w:hAnsi="Arial" w:cs="Arial"/>
          <w:b/>
          <w:color w:val="auto"/>
          <w:kern w:val="0"/>
          <w:sz w:val="26"/>
          <w:szCs w:val="20"/>
          <w:highlight w:val="none"/>
          <w:lang w:val="en-US" w:eastAsia="zh-CN"/>
        </w:rPr>
        <w:t>14</w:t>
      </w:r>
      <w:r>
        <w:rPr>
          <w:rFonts w:hint="eastAsia" w:ascii="Arial" w:hAnsi="Arial" w:eastAsia="宋体" w:cs="Arial"/>
          <w:b/>
          <w:color w:val="auto"/>
          <w:kern w:val="0"/>
          <w:sz w:val="26"/>
          <w:szCs w:val="20"/>
          <w:highlight w:val="none"/>
          <w:lang w:val="en-US" w:eastAsia="zh-CN"/>
        </w:rPr>
        <w:t>与</w:t>
      </w:r>
      <w:r>
        <w:rPr>
          <w:rFonts w:hint="eastAsia" w:ascii="Arial" w:hAnsi="Arial" w:cs="Arial"/>
          <w:b/>
          <w:color w:val="auto"/>
          <w:kern w:val="0"/>
          <w:sz w:val="26"/>
          <w:szCs w:val="20"/>
          <w:highlight w:val="none"/>
          <w:lang w:val="en-US" w:eastAsia="zh-CN"/>
        </w:rPr>
        <w:t>相关规划符合性分析</w:t>
      </w:r>
    </w:p>
    <w:p w14:paraId="33B37436">
      <w:pPr>
        <w:pStyle w:val="19"/>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eastAsia" w:ascii="Arial" w:hAnsi="Arial" w:cs="Arial"/>
          <w:b/>
          <w:color w:val="auto"/>
          <w:kern w:val="0"/>
          <w:sz w:val="26"/>
          <w:szCs w:val="20"/>
          <w:highlight w:val="none"/>
          <w:lang w:val="en-US" w:eastAsia="zh-CN"/>
        </w:rPr>
      </w:pPr>
      <w:r>
        <w:rPr>
          <w:rFonts w:hint="eastAsia" w:ascii="Arial" w:hAnsi="Arial" w:cs="Arial"/>
          <w:b/>
          <w:color w:val="auto"/>
          <w:kern w:val="0"/>
          <w:sz w:val="26"/>
          <w:szCs w:val="20"/>
          <w:highlight w:val="none"/>
          <w:lang w:val="en-US" w:eastAsia="zh-CN"/>
        </w:rPr>
        <w:t>（1）与《重庆市渠溪河流域综合规划》的符合性分析</w:t>
      </w:r>
    </w:p>
    <w:p w14:paraId="25DF8687">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default"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重庆市渠溪河流域综合规划》主要内容包括水资源评价与配置规划、防洪规划、灌溉规划、供水规划、节约用水规划、水资源保护规划、水生态保护与修复规划、水土保持规划、其他规划、重大水利工程、流域综合管理等专业规划。其中规划有重点水源工程13个，其中小型水库10个，包括龙井水库、狮子岩水库、沟耳山水库、</w:t>
      </w:r>
      <w:r>
        <w:rPr>
          <w:rFonts w:hint="eastAsia" w:ascii="Arial" w:hAnsi="Arial" w:eastAsia="宋体" w:cs="Arial"/>
          <w:b/>
          <w:bCs/>
          <w:color w:val="auto"/>
          <w:kern w:val="2"/>
          <w:sz w:val="26"/>
          <w:szCs w:val="26"/>
          <w:lang w:val="en-US" w:eastAsia="zh-CN" w:bidi="ar-SA"/>
        </w:rPr>
        <w:t>海螺沟水库</w:t>
      </w:r>
      <w:r>
        <w:rPr>
          <w:rFonts w:hint="eastAsia" w:ascii="Arial" w:hAnsi="Arial" w:eastAsia="宋体" w:cs="Arial"/>
          <w:b w:val="0"/>
          <w:color w:val="auto"/>
          <w:kern w:val="2"/>
          <w:sz w:val="26"/>
          <w:szCs w:val="26"/>
          <w:lang w:val="en-US" w:eastAsia="zh-CN" w:bidi="ar-SA"/>
        </w:rPr>
        <w:t>、灯塔水库、双河口水库、青田水库、张家坝水库、杨眉水库、双星水库，海螺沟水库主要开发功能为</w:t>
      </w:r>
      <w:r>
        <w:rPr>
          <w:rFonts w:hint="default" w:ascii="Arial" w:hAnsi="Arial" w:eastAsia="宋体" w:cs="Arial"/>
          <w:b w:val="0"/>
          <w:color w:val="auto"/>
          <w:kern w:val="2"/>
          <w:sz w:val="26"/>
          <w:szCs w:val="26"/>
          <w:lang w:val="en-US" w:eastAsia="zh-CN" w:bidi="ar-SA"/>
        </w:rPr>
        <w:t>农村人畜饮水、农业灌溉等</w:t>
      </w:r>
      <w:r>
        <w:rPr>
          <w:rFonts w:hint="eastAsia" w:ascii="Arial" w:hAnsi="Arial" w:eastAsia="宋体" w:cs="Arial"/>
          <w:b w:val="0"/>
          <w:color w:val="auto"/>
          <w:kern w:val="2"/>
          <w:sz w:val="26"/>
          <w:szCs w:val="26"/>
          <w:lang w:val="en-US" w:eastAsia="zh-CN" w:bidi="ar-SA"/>
        </w:rPr>
        <w:t>，为总库容为80.51万m</w:t>
      </w:r>
      <w:r>
        <w:rPr>
          <w:rFonts w:hint="eastAsia" w:ascii="Arial" w:hAnsi="Arial" w:eastAsia="宋体" w:cs="Arial"/>
          <w:b w:val="0"/>
          <w:color w:val="auto"/>
          <w:kern w:val="2"/>
          <w:sz w:val="26"/>
          <w:szCs w:val="26"/>
          <w:vertAlign w:val="superscript"/>
          <w:lang w:val="en-US" w:eastAsia="zh-CN" w:bidi="ar-SA"/>
        </w:rPr>
        <w:t>3</w:t>
      </w:r>
      <w:r>
        <w:rPr>
          <w:rFonts w:hint="eastAsia" w:ascii="Arial" w:hAnsi="Arial" w:eastAsia="宋体" w:cs="Arial"/>
          <w:b w:val="0"/>
          <w:color w:val="auto"/>
          <w:kern w:val="2"/>
          <w:sz w:val="26"/>
          <w:szCs w:val="26"/>
          <w:lang w:val="en-US" w:eastAsia="zh-CN" w:bidi="ar-SA"/>
        </w:rPr>
        <w:t>，设计总供水量67.84万m</w:t>
      </w:r>
      <w:r>
        <w:rPr>
          <w:rFonts w:hint="eastAsia" w:ascii="Arial" w:hAnsi="Arial" w:eastAsia="宋体" w:cs="Arial"/>
          <w:b w:val="0"/>
          <w:color w:val="auto"/>
          <w:kern w:val="2"/>
          <w:sz w:val="26"/>
          <w:szCs w:val="26"/>
          <w:vertAlign w:val="superscript"/>
          <w:lang w:val="en-US" w:eastAsia="zh-CN" w:bidi="ar-SA"/>
        </w:rPr>
        <w:t>3</w:t>
      </w:r>
      <w:r>
        <w:rPr>
          <w:rFonts w:hint="eastAsia" w:ascii="Arial" w:hAnsi="Arial" w:eastAsia="宋体" w:cs="Arial"/>
          <w:b w:val="0"/>
          <w:color w:val="auto"/>
          <w:kern w:val="2"/>
          <w:sz w:val="26"/>
          <w:szCs w:val="26"/>
          <w:lang w:val="en-US" w:eastAsia="zh-CN" w:bidi="ar-SA"/>
        </w:rPr>
        <w:t>。</w:t>
      </w:r>
    </w:p>
    <w:p w14:paraId="0F4171FD">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本次评价对象—海螺沟水库工程属于“重庆市渠溪河流域综合规划”中规划建设项目，且现该项目建设内容、工程任务内容与流域规划方案中基本一致，与《重庆市渠溪河流域综合规划》内容相符。</w:t>
      </w:r>
    </w:p>
    <w:p w14:paraId="7F6F6568">
      <w:pPr>
        <w:pStyle w:val="19"/>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eastAsia" w:ascii="Arial" w:hAnsi="Arial" w:cs="Arial"/>
          <w:b/>
          <w:color w:val="auto"/>
          <w:kern w:val="0"/>
          <w:sz w:val="26"/>
          <w:szCs w:val="20"/>
          <w:highlight w:val="none"/>
          <w:lang w:val="en-US" w:eastAsia="zh-CN"/>
        </w:rPr>
      </w:pPr>
      <w:r>
        <w:rPr>
          <w:rFonts w:hint="eastAsia" w:ascii="Arial" w:hAnsi="Arial" w:cs="Arial"/>
          <w:b/>
          <w:color w:val="auto"/>
          <w:kern w:val="0"/>
          <w:sz w:val="26"/>
          <w:szCs w:val="20"/>
          <w:highlight w:val="none"/>
          <w:lang w:val="en-US" w:eastAsia="zh-CN"/>
        </w:rPr>
        <w:t>（2）与《重庆市渠溪河流域综合规划环境影响报告书》的符合性分析</w:t>
      </w:r>
    </w:p>
    <w:p w14:paraId="3111CD93">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eastAsia="宋体" w:cs="Arial"/>
          <w:b w:val="0"/>
          <w:color w:val="auto"/>
          <w:kern w:val="2"/>
          <w:sz w:val="26"/>
          <w:szCs w:val="26"/>
          <w:lang w:val="en-US" w:eastAsia="zh-CN" w:bidi="ar-SA"/>
        </w:rPr>
        <w:t>丰都县水利工程服务中心委托重庆重大建设工程质量检测有限公司编制完成了《重庆市渠溪河流域综</w:t>
      </w:r>
      <w:r>
        <w:rPr>
          <w:rFonts w:hint="eastAsia" w:ascii="Arial" w:hAnsi="Arial" w:eastAsia="宋体" w:cs="Arial"/>
          <w:b w:val="0"/>
          <w:color w:val="auto"/>
          <w:kern w:val="2"/>
          <w:sz w:val="26"/>
          <w:szCs w:val="26"/>
          <w:highlight w:val="none"/>
          <w:lang w:val="en-US" w:eastAsia="zh-CN" w:bidi="ar-SA"/>
        </w:rPr>
        <w:t>合规划环境影响报告书》，并于202</w:t>
      </w:r>
      <w:r>
        <w:rPr>
          <w:rFonts w:hint="eastAsia" w:ascii="Arial" w:hAnsi="Arial" w:cs="Arial"/>
          <w:b w:val="0"/>
          <w:color w:val="auto"/>
          <w:kern w:val="2"/>
          <w:sz w:val="26"/>
          <w:szCs w:val="26"/>
          <w:highlight w:val="none"/>
          <w:lang w:val="en-US" w:eastAsia="zh-CN" w:bidi="ar-SA"/>
        </w:rPr>
        <w:t>5</w:t>
      </w:r>
      <w:r>
        <w:rPr>
          <w:rFonts w:hint="eastAsia" w:ascii="Arial" w:hAnsi="Arial" w:eastAsia="宋体" w:cs="Arial"/>
          <w:b w:val="0"/>
          <w:color w:val="auto"/>
          <w:kern w:val="2"/>
          <w:sz w:val="26"/>
          <w:szCs w:val="26"/>
          <w:highlight w:val="none"/>
          <w:lang w:val="en-US" w:eastAsia="zh-CN" w:bidi="ar-SA"/>
        </w:rPr>
        <w:t>年</w:t>
      </w:r>
      <w:r>
        <w:rPr>
          <w:rFonts w:hint="eastAsia" w:ascii="Arial" w:hAnsi="Arial" w:cs="Arial"/>
          <w:b w:val="0"/>
          <w:color w:val="auto"/>
          <w:kern w:val="2"/>
          <w:sz w:val="26"/>
          <w:szCs w:val="26"/>
          <w:highlight w:val="none"/>
          <w:lang w:val="en-US" w:eastAsia="zh-CN" w:bidi="ar-SA"/>
        </w:rPr>
        <w:t>1</w:t>
      </w:r>
      <w:r>
        <w:rPr>
          <w:rFonts w:hint="eastAsia" w:ascii="Arial" w:hAnsi="Arial" w:eastAsia="宋体" w:cs="Arial"/>
          <w:b w:val="0"/>
          <w:color w:val="auto"/>
          <w:kern w:val="2"/>
          <w:sz w:val="26"/>
          <w:szCs w:val="26"/>
          <w:highlight w:val="none"/>
          <w:lang w:val="en-US" w:eastAsia="zh-CN" w:bidi="ar-SA"/>
        </w:rPr>
        <w:t>月</w:t>
      </w:r>
      <w:r>
        <w:rPr>
          <w:rFonts w:hint="eastAsia" w:ascii="Arial" w:hAnsi="Arial" w:cs="Arial"/>
          <w:b w:val="0"/>
          <w:color w:val="auto"/>
          <w:kern w:val="2"/>
          <w:sz w:val="26"/>
          <w:szCs w:val="26"/>
          <w:highlight w:val="none"/>
          <w:lang w:val="en-US" w:eastAsia="zh-CN" w:bidi="ar-SA"/>
        </w:rPr>
        <w:t>13日</w:t>
      </w:r>
      <w:r>
        <w:rPr>
          <w:rFonts w:hint="eastAsia" w:ascii="Arial" w:hAnsi="Arial" w:eastAsia="宋体" w:cs="Arial"/>
          <w:b w:val="0"/>
          <w:color w:val="auto"/>
          <w:kern w:val="2"/>
          <w:sz w:val="26"/>
          <w:szCs w:val="26"/>
          <w:highlight w:val="none"/>
          <w:lang w:val="en-US" w:eastAsia="zh-CN" w:bidi="ar-SA"/>
        </w:rPr>
        <w:t>取得了重庆市</w:t>
      </w:r>
      <w:r>
        <w:rPr>
          <w:rFonts w:hint="eastAsia" w:ascii="Arial" w:hAnsi="Arial" w:cs="Arial"/>
          <w:b w:val="0"/>
          <w:color w:val="auto"/>
          <w:kern w:val="2"/>
          <w:sz w:val="26"/>
          <w:szCs w:val="26"/>
          <w:highlight w:val="none"/>
          <w:lang w:val="en-US" w:eastAsia="zh-CN" w:bidi="ar-SA"/>
        </w:rPr>
        <w:t>丰都县、涪陵区、忠县</w:t>
      </w:r>
      <w:r>
        <w:rPr>
          <w:rFonts w:hint="eastAsia" w:ascii="Arial" w:hAnsi="Arial" w:eastAsia="宋体" w:cs="Arial"/>
          <w:b w:val="0"/>
          <w:color w:val="auto"/>
          <w:kern w:val="2"/>
          <w:sz w:val="26"/>
          <w:szCs w:val="26"/>
          <w:highlight w:val="none"/>
          <w:lang w:val="en-US" w:eastAsia="zh-CN" w:bidi="ar-SA"/>
        </w:rPr>
        <w:t>生态环境局</w:t>
      </w:r>
      <w:r>
        <w:rPr>
          <w:rFonts w:hint="eastAsia" w:ascii="Arial" w:hAnsi="Arial" w:cs="Arial"/>
          <w:b w:val="0"/>
          <w:color w:val="auto"/>
          <w:kern w:val="2"/>
          <w:sz w:val="26"/>
          <w:szCs w:val="26"/>
          <w:highlight w:val="none"/>
          <w:lang w:val="en-US" w:eastAsia="zh-CN" w:bidi="ar-SA"/>
        </w:rPr>
        <w:t>联合</w:t>
      </w:r>
      <w:r>
        <w:rPr>
          <w:rFonts w:hint="eastAsia" w:ascii="Arial" w:hAnsi="Arial" w:eastAsia="宋体" w:cs="Arial"/>
          <w:b w:val="0"/>
          <w:color w:val="auto"/>
          <w:kern w:val="2"/>
          <w:sz w:val="26"/>
          <w:szCs w:val="26"/>
          <w:highlight w:val="none"/>
          <w:lang w:val="en-US" w:eastAsia="zh-CN" w:bidi="ar-SA"/>
        </w:rPr>
        <w:t>出具的审查意见“</w:t>
      </w:r>
      <w:r>
        <w:rPr>
          <w:rFonts w:hint="eastAsia" w:ascii="Arial" w:hAnsi="Arial" w:cs="Arial"/>
          <w:b w:val="0"/>
          <w:color w:val="auto"/>
          <w:kern w:val="2"/>
          <w:sz w:val="26"/>
          <w:szCs w:val="26"/>
          <w:highlight w:val="none"/>
          <w:lang w:val="en-US" w:eastAsia="zh-CN" w:bidi="ar-SA"/>
        </w:rPr>
        <w:t>丰环函</w:t>
      </w:r>
      <w:r>
        <w:rPr>
          <w:rFonts w:hint="default" w:ascii="Arial" w:hAnsi="Arial" w:eastAsia="宋体" w:cs="Arial"/>
          <w:b w:val="0"/>
          <w:color w:val="auto"/>
          <w:kern w:val="2"/>
          <w:sz w:val="26"/>
          <w:szCs w:val="26"/>
          <w:highlight w:val="none"/>
          <w:lang w:val="en-US" w:eastAsia="zh-CN" w:bidi="ar-SA"/>
        </w:rPr>
        <w:t>〔2025〕2号</w:t>
      </w:r>
      <w:r>
        <w:rPr>
          <w:rFonts w:hint="eastAsia" w:ascii="Arial" w:hAnsi="Arial" w:eastAsia="宋体" w:cs="Arial"/>
          <w:b w:val="0"/>
          <w:color w:val="auto"/>
          <w:kern w:val="2"/>
          <w:sz w:val="26"/>
          <w:szCs w:val="26"/>
          <w:highlight w:val="none"/>
          <w:lang w:val="en-US" w:eastAsia="zh-CN" w:bidi="ar-SA"/>
        </w:rPr>
        <w:t>”</w:t>
      </w:r>
      <w:r>
        <w:rPr>
          <w:rFonts w:hint="eastAsia" w:ascii="Arial" w:hAnsi="Arial" w:eastAsia="宋体" w:cs="Arial"/>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br w:type="textWrapping"/>
      </w:r>
      <w:r>
        <w:rPr>
          <w:rFonts w:hint="eastAsia" w:ascii="Arial" w:hAnsi="Arial" w:cs="Arial"/>
          <w:b w:val="0"/>
          <w:color w:val="auto"/>
          <w:kern w:val="2"/>
          <w:sz w:val="26"/>
          <w:szCs w:val="26"/>
          <w:lang w:val="en-US" w:eastAsia="zh-CN" w:bidi="ar-SA"/>
        </w:rPr>
        <w:t xml:space="preserve">    </w:t>
      </w:r>
      <w:r>
        <w:rPr>
          <w:rFonts w:hint="default" w:ascii="Arial" w:hAnsi="Arial" w:eastAsia="宋体" w:cs="Arial"/>
          <w:b/>
          <w:color w:val="auto"/>
          <w:kern w:val="0"/>
          <w:sz w:val="26"/>
          <w:szCs w:val="20"/>
          <w:highlight w:val="none"/>
          <w:lang w:val="en-US" w:eastAsia="zh-CN"/>
        </w:rPr>
        <w:t>①</w:t>
      </w:r>
      <w:r>
        <w:rPr>
          <w:rFonts w:hint="eastAsia" w:ascii="Arial" w:hAnsi="Arial" w:eastAsia="宋体" w:cs="Arial"/>
          <w:b/>
          <w:color w:val="auto"/>
          <w:kern w:val="0"/>
          <w:sz w:val="26"/>
          <w:szCs w:val="20"/>
          <w:highlight w:val="none"/>
          <w:lang w:val="en-US" w:eastAsia="zh-CN"/>
        </w:rPr>
        <w:t xml:space="preserve"> 与规划环评的符合性分析</w:t>
      </w:r>
    </w:p>
    <w:p w14:paraId="2A013B46">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规划环评针对水利工程提出了相关要求，相关符合性分析详见表1.9-11所示。</w:t>
      </w:r>
    </w:p>
    <w:p w14:paraId="3CDE75EA">
      <w:pPr>
        <w:pStyle w:val="2082"/>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default" w:ascii="Arial" w:hAnsi="Arial" w:eastAsia="宋体" w:cs="Arial"/>
          <w:b/>
          <w:bCs/>
          <w:color w:val="auto"/>
          <w:kern w:val="2"/>
          <w:sz w:val="26"/>
          <w:szCs w:val="26"/>
          <w:lang w:val="en-US" w:eastAsia="zh-CN" w:bidi="ar-SA"/>
        </w:rPr>
      </w:pPr>
      <w:r>
        <w:rPr>
          <w:rFonts w:hint="eastAsia" w:ascii="Arial" w:hAnsi="Arial" w:eastAsia="宋体" w:cs="Arial"/>
          <w:b/>
          <w:bCs/>
          <w:color w:val="auto"/>
          <w:kern w:val="2"/>
          <w:sz w:val="26"/>
          <w:szCs w:val="26"/>
          <w:lang w:val="en-US" w:eastAsia="zh-CN" w:bidi="ar-SA"/>
        </w:rPr>
        <w:t>表1.9-11 项目与</w:t>
      </w:r>
      <w:r>
        <w:rPr>
          <w:rFonts w:hint="eastAsia" w:ascii="Arial" w:hAnsi="Arial" w:cs="Arial"/>
          <w:b/>
          <w:bCs/>
          <w:color w:val="auto"/>
          <w:kern w:val="0"/>
          <w:sz w:val="26"/>
          <w:szCs w:val="20"/>
          <w:highlight w:val="none"/>
          <w:lang w:val="en-US" w:eastAsia="zh-CN"/>
        </w:rPr>
        <w:t>渠溪河流域综合规划环境影响报告书的符合性分析表</w:t>
      </w:r>
    </w:p>
    <w:tbl>
      <w:tblPr>
        <w:tblStyle w:val="77"/>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4425"/>
        <w:gridCol w:w="3050"/>
        <w:gridCol w:w="876"/>
      </w:tblGrid>
      <w:tr w14:paraId="230C3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4665B21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序号</w:t>
            </w:r>
          </w:p>
        </w:tc>
        <w:tc>
          <w:tcPr>
            <w:tcW w:w="4425" w:type="dxa"/>
            <w:tcBorders>
              <w:tl2br w:val="nil"/>
              <w:tr2bl w:val="nil"/>
            </w:tcBorders>
            <w:vAlign w:val="center"/>
          </w:tcPr>
          <w:p w14:paraId="00894A7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sz w:val="22"/>
                <w:szCs w:val="22"/>
                <w:lang w:eastAsia="zh-CN"/>
              </w:rPr>
            </w:pPr>
            <w:r>
              <w:rPr>
                <w:rFonts w:hint="default" w:ascii="Arial" w:hAnsi="Arial" w:cs="Arial"/>
                <w:sz w:val="22"/>
                <w:szCs w:val="22"/>
                <w:lang w:eastAsia="zh-CN"/>
              </w:rPr>
              <w:t>规划环评要求</w:t>
            </w:r>
          </w:p>
        </w:tc>
        <w:tc>
          <w:tcPr>
            <w:tcW w:w="3050" w:type="dxa"/>
            <w:tcBorders>
              <w:tl2br w:val="nil"/>
              <w:tr2bl w:val="nil"/>
            </w:tcBorders>
            <w:vAlign w:val="center"/>
          </w:tcPr>
          <w:p w14:paraId="4C1C75D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本项目情况</w:t>
            </w:r>
          </w:p>
        </w:tc>
        <w:tc>
          <w:tcPr>
            <w:tcW w:w="876" w:type="dxa"/>
            <w:tcBorders>
              <w:tl2br w:val="nil"/>
              <w:tr2bl w:val="nil"/>
            </w:tcBorders>
            <w:vAlign w:val="center"/>
          </w:tcPr>
          <w:p w14:paraId="5B9CE1B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符合性</w:t>
            </w:r>
          </w:p>
        </w:tc>
      </w:tr>
      <w:tr w14:paraId="23871E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056A7DE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1</w:t>
            </w:r>
          </w:p>
        </w:tc>
        <w:tc>
          <w:tcPr>
            <w:tcW w:w="4425" w:type="dxa"/>
            <w:tcBorders>
              <w:tl2br w:val="nil"/>
              <w:tr2bl w:val="nil"/>
            </w:tcBorders>
            <w:vAlign w:val="center"/>
          </w:tcPr>
          <w:p w14:paraId="2028D286">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Arial" w:hAnsi="Arial" w:cs="Arial"/>
                <w:sz w:val="22"/>
                <w:szCs w:val="22"/>
                <w:lang w:eastAsia="zh-CN"/>
              </w:rPr>
            </w:pPr>
            <w:r>
              <w:rPr>
                <w:rFonts w:hint="eastAsia" w:ascii="Arial" w:hAnsi="Arial" w:cs="Arial"/>
                <w:sz w:val="22"/>
                <w:szCs w:val="22"/>
                <w:lang w:val="en-US" w:eastAsia="zh-CN"/>
              </w:rPr>
              <w:t>结合渠溪河流域农业、灌溉发展现状以及现存问题，从渠溪河流域忠县、丰都县、涪陵区可操作性出发，</w:t>
            </w:r>
            <w:r>
              <w:rPr>
                <w:rFonts w:hint="default" w:ascii="Arial" w:hAnsi="Arial" w:cs="Arial"/>
                <w:sz w:val="22"/>
                <w:szCs w:val="22"/>
              </w:rPr>
              <w:t>本次评价建议</w:t>
            </w:r>
            <w:r>
              <w:rPr>
                <w:rFonts w:hint="eastAsia" w:ascii="Arial" w:hAnsi="Arial" w:cs="Arial"/>
                <w:sz w:val="22"/>
                <w:szCs w:val="22"/>
                <w:lang w:val="en-US" w:eastAsia="zh-CN"/>
              </w:rPr>
              <w:t>规划区</w:t>
            </w:r>
            <w:r>
              <w:rPr>
                <w:rFonts w:hint="default" w:ascii="Arial" w:hAnsi="Arial" w:cs="Arial"/>
                <w:sz w:val="22"/>
                <w:szCs w:val="22"/>
              </w:rPr>
              <w:t>加强农田水利建设</w:t>
            </w:r>
            <w:r>
              <w:rPr>
                <w:rFonts w:hint="eastAsia" w:ascii="Arial" w:hAnsi="Arial" w:cs="Arial"/>
                <w:sz w:val="22"/>
                <w:szCs w:val="22"/>
                <w:lang w:eastAsia="zh-CN"/>
              </w:rPr>
              <w:t>，加强设施维护与管理，提高灌溉保证率，加强渠系节水改造，</w:t>
            </w:r>
            <w:r>
              <w:rPr>
                <w:rFonts w:hint="eastAsia" w:ascii="Arial" w:hAnsi="Arial" w:cs="Arial"/>
                <w:sz w:val="22"/>
                <w:szCs w:val="22"/>
                <w:lang w:val="en-US" w:eastAsia="zh-CN"/>
              </w:rPr>
              <w:t>进一步优化总体目标，渠溪河流域丰都县、忠县农田灌溉水利用系数调整为0.515。</w:t>
            </w:r>
          </w:p>
        </w:tc>
        <w:tc>
          <w:tcPr>
            <w:tcW w:w="3050" w:type="dxa"/>
            <w:tcBorders>
              <w:tl2br w:val="nil"/>
              <w:tr2bl w:val="nil"/>
            </w:tcBorders>
            <w:vAlign w:val="center"/>
          </w:tcPr>
          <w:p w14:paraId="1900F26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eastAsia="zh-CN"/>
              </w:rPr>
              <w:t>本项目设计灌溉面积</w:t>
            </w:r>
            <w:r>
              <w:rPr>
                <w:rFonts w:hint="eastAsia" w:ascii="Arial" w:hAnsi="Arial" w:cs="Arial"/>
                <w:sz w:val="22"/>
                <w:szCs w:val="22"/>
                <w:lang w:val="en-US" w:eastAsia="zh-CN"/>
              </w:rPr>
              <w:t>2000亩，可提高区域农灌用水保证率，推进节水改造，提高灌溉用水利用率。</w:t>
            </w:r>
          </w:p>
        </w:tc>
        <w:tc>
          <w:tcPr>
            <w:tcW w:w="876" w:type="dxa"/>
            <w:tcBorders>
              <w:tl2br w:val="nil"/>
              <w:tr2bl w:val="nil"/>
            </w:tcBorders>
            <w:vAlign w:val="center"/>
          </w:tcPr>
          <w:p w14:paraId="5ADE839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34363F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2FBA6DF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lang w:val="en-US" w:eastAsia="zh-CN"/>
              </w:rPr>
            </w:pPr>
            <w:r>
              <w:rPr>
                <w:rFonts w:hint="eastAsia" w:ascii="Arial" w:hAnsi="Arial" w:cs="Arial"/>
                <w:sz w:val="22"/>
                <w:szCs w:val="22"/>
                <w:lang w:val="en-US" w:eastAsia="zh-CN"/>
              </w:rPr>
              <w:t>2</w:t>
            </w:r>
          </w:p>
        </w:tc>
        <w:tc>
          <w:tcPr>
            <w:tcW w:w="4425" w:type="dxa"/>
            <w:tcBorders>
              <w:tl2br w:val="nil"/>
              <w:tr2bl w:val="nil"/>
            </w:tcBorders>
            <w:vAlign w:val="center"/>
          </w:tcPr>
          <w:p w14:paraId="2176F544">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Arial" w:hAnsi="Arial" w:cs="Arial"/>
                <w:sz w:val="22"/>
                <w:szCs w:val="22"/>
                <w:lang w:val="en-US" w:eastAsia="zh-CN"/>
              </w:rPr>
            </w:pPr>
            <w:r>
              <w:rPr>
                <w:rFonts w:hint="default" w:ascii="Arial" w:hAnsi="Arial" w:cs="Arial"/>
                <w:sz w:val="22"/>
                <w:szCs w:val="22"/>
                <w:lang w:val="en-US" w:eastAsia="zh-CN"/>
              </w:rPr>
              <w:t>规划项目应优化工程布局，尽量避让永久基本农田集中分布区，减少永久基本农田的占用。确实无法避让的重大建设项目，建设单位应严格按照《自然资源部 农业农村部 国家林业和草原局关于严格耕地用途管制有关问题的通知》（自然资发〔2021〕166号）《基本农田保护条例》《重庆市规划和自然资源局关于进一步加强占用永久基本农田管理的通知》（渝规资规范〔2020〕9号）等法律法规要求办理永久基本农田占用的批准手续，协助当地土地管理部门做好土地占用的补偿工作和永久基本农田保护工作，并应做好施工结束后临时用地的复垦工作。</w:t>
            </w:r>
          </w:p>
        </w:tc>
        <w:tc>
          <w:tcPr>
            <w:tcW w:w="3050" w:type="dxa"/>
            <w:tcBorders>
              <w:tl2br w:val="nil"/>
              <w:tr2bl w:val="nil"/>
            </w:tcBorders>
            <w:vAlign w:val="center"/>
          </w:tcPr>
          <w:p w14:paraId="092A64B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本项目永久占地范围内涉及基本农田，建设单位已取得用地预审与选址意见书，和临时用地批复。施工结束后，将做好临时用地的复垦工作。</w:t>
            </w:r>
          </w:p>
        </w:tc>
        <w:tc>
          <w:tcPr>
            <w:tcW w:w="876" w:type="dxa"/>
            <w:tcBorders>
              <w:tl2br w:val="nil"/>
              <w:tr2bl w:val="nil"/>
            </w:tcBorders>
            <w:vAlign w:val="center"/>
          </w:tcPr>
          <w:p w14:paraId="3307665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符合</w:t>
            </w:r>
          </w:p>
        </w:tc>
      </w:tr>
      <w:tr w14:paraId="703FA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56E65A3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lang w:val="en-US" w:eastAsia="zh-CN"/>
              </w:rPr>
            </w:pPr>
            <w:r>
              <w:rPr>
                <w:rFonts w:hint="eastAsia" w:ascii="Arial" w:hAnsi="Arial" w:cs="Arial"/>
                <w:sz w:val="22"/>
                <w:szCs w:val="22"/>
                <w:lang w:val="en-US" w:eastAsia="zh-CN"/>
              </w:rPr>
              <w:t>3</w:t>
            </w:r>
          </w:p>
        </w:tc>
        <w:tc>
          <w:tcPr>
            <w:tcW w:w="4425" w:type="dxa"/>
            <w:tcBorders>
              <w:tl2br w:val="nil"/>
              <w:tr2bl w:val="nil"/>
            </w:tcBorders>
            <w:vAlign w:val="center"/>
          </w:tcPr>
          <w:p w14:paraId="5D279E9A">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Arial" w:hAnsi="Arial" w:cs="Arial"/>
                <w:sz w:val="22"/>
                <w:szCs w:val="22"/>
                <w:lang w:val="en-US" w:eastAsia="zh-CN"/>
              </w:rPr>
            </w:pPr>
            <w:r>
              <w:rPr>
                <w:rFonts w:hint="default" w:ascii="Arial" w:hAnsi="Arial" w:cs="Arial"/>
                <w:sz w:val="22"/>
                <w:szCs w:val="22"/>
                <w:lang w:val="en-US" w:eastAsia="zh-CN"/>
              </w:rPr>
              <w:t>规划工程实施应当按照《重庆市公益林管理办法》的要求执行，不占或者少占公益林林地。确需占用、征收公益林林地的，应当依法办理用地审核、林木采伐审批手续。</w:t>
            </w:r>
          </w:p>
        </w:tc>
        <w:tc>
          <w:tcPr>
            <w:tcW w:w="3050" w:type="dxa"/>
            <w:tcBorders>
              <w:tl2br w:val="nil"/>
              <w:tr2bl w:val="nil"/>
            </w:tcBorders>
            <w:vAlign w:val="center"/>
          </w:tcPr>
          <w:p w14:paraId="25B854B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color w:val="auto"/>
                <w:sz w:val="22"/>
                <w:szCs w:val="22"/>
                <w:lang w:eastAsia="zh-CN"/>
              </w:rPr>
              <w:t>本项目施工临时</w:t>
            </w:r>
            <w:r>
              <w:rPr>
                <w:rFonts w:hint="eastAsia" w:ascii="Arial" w:hAnsi="Arial" w:cs="Arial"/>
                <w:color w:val="auto"/>
                <w:sz w:val="22"/>
                <w:szCs w:val="22"/>
                <w:highlight w:val="none"/>
                <w:lang w:eastAsia="zh-CN"/>
              </w:rPr>
              <w:t>占用公益林</w:t>
            </w:r>
            <w:r>
              <w:rPr>
                <w:rFonts w:hint="eastAsia" w:ascii="Arial" w:hAnsi="Arial" w:cs="Arial"/>
                <w:color w:val="auto"/>
                <w:sz w:val="22"/>
                <w:szCs w:val="22"/>
                <w:highlight w:val="none"/>
                <w:lang w:val="en-US" w:eastAsia="zh-CN"/>
              </w:rPr>
              <w:t>，</w:t>
            </w:r>
            <w:r>
              <w:rPr>
                <w:rFonts w:hint="eastAsia" w:ascii="Arial" w:hAnsi="Arial" w:cs="Arial"/>
                <w:color w:val="auto"/>
                <w:sz w:val="22"/>
                <w:szCs w:val="22"/>
                <w:lang w:val="en-US" w:eastAsia="zh-CN"/>
              </w:rPr>
              <w:t>已于2024年4月1日取得了重庆市林业局以“渝林许可</w:t>
            </w:r>
            <w:r>
              <w:rPr>
                <w:rFonts w:hint="default" w:ascii="Arial" w:hAnsi="Arial" w:cs="Arial"/>
                <w:color w:val="auto"/>
                <w:sz w:val="22"/>
                <w:szCs w:val="22"/>
                <w:lang w:val="en-US" w:eastAsia="zh-CN"/>
              </w:rPr>
              <w:t>地临</w:t>
            </w:r>
            <w:r>
              <w:rPr>
                <w:rFonts w:hint="default" w:ascii="Arial" w:hAnsi="Arial" w:eastAsia="宋体" w:cs="Arial"/>
                <w:color w:val="auto"/>
                <w:sz w:val="22"/>
                <w:szCs w:val="22"/>
                <w:lang w:val="en-US" w:eastAsia="zh-CN"/>
              </w:rPr>
              <w:t>〔2024〕036号</w:t>
            </w:r>
            <w:r>
              <w:rPr>
                <w:rFonts w:hint="eastAsia" w:ascii="宋体" w:hAnsi="宋体" w:eastAsia="宋体" w:cs="宋体"/>
                <w:color w:val="auto"/>
                <w:sz w:val="22"/>
                <w:szCs w:val="22"/>
                <w:lang w:val="en-US" w:eastAsia="zh-CN"/>
              </w:rPr>
              <w:t>”下发的使用林地审核同意书，</w:t>
            </w:r>
            <w:r>
              <w:rPr>
                <w:rFonts w:hint="default" w:ascii="Arial" w:hAnsi="Arial" w:eastAsia="宋体" w:cs="Arial"/>
                <w:color w:val="auto"/>
                <w:sz w:val="22"/>
                <w:szCs w:val="22"/>
                <w:lang w:val="en-US" w:eastAsia="zh-CN"/>
              </w:rPr>
              <w:t>并于2024年5月13日取得</w:t>
            </w:r>
            <w:r>
              <w:rPr>
                <w:rFonts w:hint="eastAsia" w:ascii="宋体" w:hAnsi="宋体" w:eastAsia="宋体" w:cs="宋体"/>
                <w:color w:val="auto"/>
                <w:sz w:val="22"/>
                <w:szCs w:val="22"/>
                <w:lang w:val="en-US" w:eastAsia="zh-CN"/>
              </w:rPr>
              <w:t>了丰都县林业局以“丰都林发</w:t>
            </w:r>
            <w:r>
              <w:rPr>
                <w:rFonts w:hint="default" w:ascii="Arial" w:hAnsi="Arial" w:eastAsia="宋体" w:cs="Arial"/>
                <w:color w:val="auto"/>
                <w:sz w:val="22"/>
                <w:szCs w:val="22"/>
                <w:lang w:val="en-US" w:eastAsia="zh-CN"/>
              </w:rPr>
              <w:t>〔2024〕</w:t>
            </w:r>
            <w:r>
              <w:rPr>
                <w:rFonts w:hint="eastAsia" w:ascii="Arial" w:hAnsi="Arial" w:cs="Arial"/>
                <w:color w:val="auto"/>
                <w:sz w:val="22"/>
                <w:szCs w:val="22"/>
                <w:lang w:val="en-US" w:eastAsia="zh-CN"/>
              </w:rPr>
              <w:t>48</w:t>
            </w:r>
            <w:r>
              <w:rPr>
                <w:rFonts w:hint="default" w:ascii="Arial" w:hAnsi="Arial" w:eastAsia="宋体" w:cs="Arial"/>
                <w:color w:val="auto"/>
                <w:sz w:val="22"/>
                <w:szCs w:val="22"/>
                <w:lang w:val="en-US" w:eastAsia="zh-CN"/>
              </w:rPr>
              <w:t>号</w:t>
            </w:r>
            <w:r>
              <w:rPr>
                <w:rFonts w:hint="eastAsia" w:ascii="宋体" w:hAnsi="宋体" w:eastAsia="宋体" w:cs="宋体"/>
                <w:color w:val="auto"/>
                <w:sz w:val="22"/>
                <w:szCs w:val="22"/>
                <w:lang w:val="en-US" w:eastAsia="zh-CN"/>
              </w:rPr>
              <w:t>”下发的</w:t>
            </w:r>
            <w:r>
              <w:rPr>
                <w:rFonts w:hint="eastAsia" w:ascii="宋体" w:hAnsi="宋体" w:cs="宋体"/>
                <w:color w:val="auto"/>
                <w:sz w:val="22"/>
                <w:szCs w:val="22"/>
                <w:lang w:val="en-US" w:eastAsia="zh-CN"/>
              </w:rPr>
              <w:t>“关于丰都县海螺沟水库辅助施工设施项目拟使用林地涉及林木采伐手续办理的批复”。</w:t>
            </w:r>
            <w:r>
              <w:rPr>
                <w:rFonts w:hint="eastAsia" w:ascii="Arial" w:hAnsi="Arial" w:cs="Arial"/>
                <w:color w:val="auto"/>
                <w:kern w:val="0"/>
                <w:sz w:val="22"/>
                <w:szCs w:val="22"/>
                <w:vertAlign w:val="baseline"/>
                <w:lang w:eastAsia="zh-CN"/>
              </w:rPr>
              <w:t>本项目永久占地范围内分布有公益</w:t>
            </w:r>
            <w:r>
              <w:rPr>
                <w:rFonts w:hint="eastAsia" w:ascii="Arial" w:hAnsi="Arial" w:cs="Arial"/>
                <w:color w:val="auto"/>
                <w:kern w:val="0"/>
                <w:sz w:val="22"/>
                <w:szCs w:val="22"/>
                <w:highlight w:val="none"/>
                <w:vertAlign w:val="baseline"/>
                <w:lang w:eastAsia="zh-CN"/>
              </w:rPr>
              <w:t>林</w:t>
            </w:r>
            <w:r>
              <w:rPr>
                <w:rFonts w:hint="eastAsia" w:ascii="Arial" w:hAnsi="Arial" w:cs="Arial"/>
                <w:color w:val="auto"/>
                <w:kern w:val="0"/>
                <w:sz w:val="22"/>
                <w:szCs w:val="22"/>
                <w:highlight w:val="none"/>
                <w:vertAlign w:val="baseline"/>
                <w:lang w:val="en-US" w:eastAsia="zh-CN"/>
              </w:rPr>
              <w:t>，已于2023年12月13日取得了重庆市林业局以“渝林许可地</w:t>
            </w:r>
            <w:r>
              <w:rPr>
                <w:rFonts w:hint="default" w:ascii="Arial" w:hAnsi="Arial" w:eastAsia="宋体" w:cs="Arial"/>
                <w:color w:val="auto"/>
                <w:kern w:val="0"/>
                <w:sz w:val="22"/>
                <w:szCs w:val="22"/>
                <w:highlight w:val="none"/>
                <w:vertAlign w:val="baseline"/>
                <w:lang w:val="en-US" w:eastAsia="zh-CN"/>
              </w:rPr>
              <w:t>〔2023〕689号</w:t>
            </w:r>
            <w:r>
              <w:rPr>
                <w:rFonts w:hint="eastAsia" w:ascii="Arial" w:hAnsi="Arial" w:cs="Arial"/>
                <w:color w:val="auto"/>
                <w:kern w:val="0"/>
                <w:sz w:val="22"/>
                <w:szCs w:val="22"/>
                <w:highlight w:val="none"/>
                <w:vertAlign w:val="baseline"/>
                <w:lang w:val="en-US" w:eastAsia="zh-CN"/>
              </w:rPr>
              <w:t>”，下发的使用林地审核同意书。</w:t>
            </w:r>
          </w:p>
        </w:tc>
        <w:tc>
          <w:tcPr>
            <w:tcW w:w="876" w:type="dxa"/>
            <w:tcBorders>
              <w:tl2br w:val="nil"/>
              <w:tr2bl w:val="nil"/>
            </w:tcBorders>
            <w:vAlign w:val="center"/>
          </w:tcPr>
          <w:p w14:paraId="63FDA30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符合</w:t>
            </w:r>
          </w:p>
        </w:tc>
      </w:tr>
      <w:tr w14:paraId="25F969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3DDEBDA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lang w:val="en-US" w:eastAsia="zh-CN"/>
              </w:rPr>
            </w:pPr>
            <w:r>
              <w:rPr>
                <w:rFonts w:hint="eastAsia" w:ascii="Arial" w:hAnsi="Arial" w:cs="Arial"/>
                <w:sz w:val="22"/>
                <w:szCs w:val="22"/>
                <w:lang w:val="en-US" w:eastAsia="zh-CN"/>
              </w:rPr>
              <w:t>4</w:t>
            </w:r>
          </w:p>
        </w:tc>
        <w:tc>
          <w:tcPr>
            <w:tcW w:w="4425" w:type="dxa"/>
            <w:tcBorders>
              <w:tl2br w:val="nil"/>
              <w:tr2bl w:val="nil"/>
            </w:tcBorders>
            <w:vAlign w:val="center"/>
          </w:tcPr>
          <w:p w14:paraId="3BFB5008">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cs="Times New Roman"/>
                <w:color w:val="FF0000"/>
                <w:szCs w:val="24"/>
                <w:highlight w:val="none"/>
              </w:rPr>
            </w:pPr>
            <w:r>
              <w:rPr>
                <w:rFonts w:hint="default" w:ascii="Arial" w:hAnsi="Arial" w:cs="Arial"/>
                <w:sz w:val="22"/>
                <w:szCs w:val="22"/>
                <w:lang w:val="en-US" w:eastAsia="zh-CN"/>
              </w:rPr>
              <w:t>建议灌溉、供水、节约用水、水资源保护、水生态保护与修复、水土保持工程布局应严格按照《关于在国土空间规划中统筹划定落实三条控制线的指导意见》《自然资源部 生态环境部 国家林业和草原局关于加强生态保护红线管理的通知（试行）》《中华人民共和国土地管理法》《基本农田保护条例》《国家级公益林管理办法》《建设项目使用林地审核审批管理办法》《中华人民共和国水污染防治法》和《饮用水水源保护区污染防治管理规定》《重庆市规划和自然资源局 重庆市生态环境局 重庆市林业局 关于加强生态保护红线实施管理的通知》（渝规资〔2023〕323号）等相关法律法规要求执行，避让珍稀濒危与重点保护的野生植物、野生动物重要生境、鱼类产卵场、索饵场、越冬场等生态敏感区域，工程设计应尽可能顺应自然河势变化，保护湿地、河滩植被等陆生生态系统。</w:t>
            </w:r>
          </w:p>
        </w:tc>
        <w:tc>
          <w:tcPr>
            <w:tcW w:w="3050" w:type="dxa"/>
            <w:tcBorders>
              <w:tl2br w:val="nil"/>
              <w:tr2bl w:val="nil"/>
            </w:tcBorders>
            <w:vAlign w:val="center"/>
          </w:tcPr>
          <w:p w14:paraId="4D145AF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本项目占地及影响范围内不涉及</w:t>
            </w:r>
            <w:r>
              <w:rPr>
                <w:rFonts w:hint="default" w:ascii="Arial" w:hAnsi="Arial" w:cs="Arial"/>
                <w:sz w:val="22"/>
                <w:szCs w:val="22"/>
                <w:lang w:val="en-US" w:eastAsia="zh-CN"/>
              </w:rPr>
              <w:t>珍稀濒危与重点保护的野生植物、野生动物重要生境、鱼类产卵场、索饵场、越冬场等生态敏感区域，</w:t>
            </w:r>
            <w:r>
              <w:rPr>
                <w:rFonts w:hint="eastAsia" w:ascii="Arial" w:hAnsi="Arial" w:cs="Arial"/>
                <w:sz w:val="22"/>
                <w:szCs w:val="22"/>
                <w:lang w:val="en-US" w:eastAsia="zh-CN"/>
              </w:rPr>
              <w:t>建设过程中将做好各类污废水的收集处理工作，建设导流围堰，最大可能避免水质污染；运行后建设生态流量下泄装置，确保下游河道用水，保护</w:t>
            </w:r>
            <w:r>
              <w:rPr>
                <w:rFonts w:hint="default" w:ascii="Arial" w:hAnsi="Arial" w:cs="Arial"/>
                <w:sz w:val="22"/>
                <w:szCs w:val="22"/>
                <w:lang w:val="en-US" w:eastAsia="zh-CN"/>
              </w:rPr>
              <w:t>湿地、河滩植被等陆生生态系统。</w:t>
            </w:r>
          </w:p>
        </w:tc>
        <w:tc>
          <w:tcPr>
            <w:tcW w:w="876" w:type="dxa"/>
            <w:tcBorders>
              <w:tl2br w:val="nil"/>
              <w:tr2bl w:val="nil"/>
            </w:tcBorders>
            <w:vAlign w:val="center"/>
          </w:tcPr>
          <w:p w14:paraId="2132FB9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符合</w:t>
            </w:r>
          </w:p>
        </w:tc>
      </w:tr>
    </w:tbl>
    <w:p w14:paraId="617AEB5F">
      <w:pPr>
        <w:pStyle w:val="19"/>
        <w:keepNext w:val="0"/>
        <w:keepLines w:val="0"/>
        <w:pageBreakBefore w:val="0"/>
        <w:widowControl w:val="0"/>
        <w:kinsoku/>
        <w:wordWrap/>
        <w:overflowPunct/>
        <w:topLinePunct w:val="0"/>
        <w:autoSpaceDE/>
        <w:autoSpaceDN/>
        <w:bidi w:val="0"/>
        <w:adjustRightInd w:val="0"/>
        <w:snapToGrid w:val="0"/>
        <w:spacing w:line="240" w:lineRule="exact"/>
        <w:ind w:firstLine="522"/>
        <w:textAlignment w:val="auto"/>
        <w:outlineLvl w:val="2"/>
        <w:rPr>
          <w:rFonts w:hint="default" w:ascii="Arial" w:hAnsi="Arial" w:eastAsia="宋体" w:cs="Arial"/>
          <w:b/>
          <w:color w:val="auto"/>
          <w:kern w:val="0"/>
          <w:sz w:val="26"/>
          <w:szCs w:val="20"/>
          <w:highlight w:val="none"/>
          <w:lang w:val="en-US" w:eastAsia="zh-CN"/>
        </w:rPr>
      </w:pPr>
    </w:p>
    <w:p w14:paraId="60953C76">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textAlignment w:val="auto"/>
        <w:outlineLvl w:val="2"/>
        <w:rPr>
          <w:rFonts w:hint="default" w:ascii="Arial" w:hAnsi="Arial" w:eastAsia="宋体" w:cs="Arial"/>
          <w:b/>
          <w:color w:val="auto"/>
          <w:kern w:val="0"/>
          <w:sz w:val="26"/>
          <w:szCs w:val="20"/>
          <w:highlight w:val="none"/>
          <w:lang w:val="en-US" w:eastAsia="zh-CN"/>
        </w:rPr>
      </w:pPr>
      <w:r>
        <w:rPr>
          <w:rFonts w:hint="default" w:ascii="Arial" w:hAnsi="Arial" w:eastAsia="宋体" w:cs="Arial"/>
          <w:b/>
          <w:color w:val="auto"/>
          <w:kern w:val="0"/>
          <w:sz w:val="26"/>
          <w:szCs w:val="20"/>
          <w:highlight w:val="none"/>
          <w:lang w:val="en-US" w:eastAsia="zh-CN"/>
        </w:rPr>
        <w:t>②</w:t>
      </w:r>
      <w:r>
        <w:rPr>
          <w:rFonts w:hint="eastAsia" w:ascii="Arial" w:hAnsi="Arial" w:eastAsia="宋体" w:cs="Arial"/>
          <w:b/>
          <w:color w:val="auto"/>
          <w:kern w:val="0"/>
          <w:sz w:val="26"/>
          <w:szCs w:val="20"/>
          <w:highlight w:val="none"/>
          <w:lang w:val="en-US" w:eastAsia="zh-CN"/>
        </w:rPr>
        <w:t xml:space="preserve"> 与规划环评审查意见的符合性分析</w:t>
      </w:r>
    </w:p>
    <w:p w14:paraId="0A10252D">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default"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本项目与《重庆市渠溪河流域综合规划环境影响报告书》审查意见的符合性分析详见表1.9-12所示。</w:t>
      </w:r>
    </w:p>
    <w:p w14:paraId="6FC70F1C">
      <w:pPr>
        <w:pStyle w:val="2082"/>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default" w:ascii="Arial" w:hAnsi="Arial" w:eastAsia="宋体" w:cs="Arial"/>
          <w:b/>
          <w:bCs/>
          <w:color w:val="auto"/>
          <w:kern w:val="2"/>
          <w:sz w:val="26"/>
          <w:szCs w:val="26"/>
          <w:highlight w:val="none"/>
          <w:lang w:val="en-US" w:eastAsia="zh-CN" w:bidi="ar-SA"/>
        </w:rPr>
      </w:pPr>
      <w:r>
        <w:rPr>
          <w:rFonts w:hint="eastAsia" w:ascii="Arial" w:hAnsi="Arial" w:eastAsia="宋体" w:cs="Arial"/>
          <w:b/>
          <w:bCs/>
          <w:color w:val="auto"/>
          <w:kern w:val="2"/>
          <w:sz w:val="26"/>
          <w:szCs w:val="26"/>
          <w:highlight w:val="none"/>
          <w:lang w:val="en-US" w:eastAsia="zh-CN" w:bidi="ar-SA"/>
        </w:rPr>
        <w:t>表1.9-12 项目与</w:t>
      </w:r>
      <w:r>
        <w:rPr>
          <w:rFonts w:hint="eastAsia" w:ascii="宋体" w:hAnsi="宋体" w:eastAsia="宋体" w:cs="宋体"/>
          <w:b/>
          <w:bCs/>
          <w:color w:val="auto"/>
          <w:kern w:val="0"/>
          <w:sz w:val="26"/>
          <w:szCs w:val="20"/>
          <w:highlight w:val="none"/>
          <w:lang w:val="en-US" w:eastAsia="zh-CN"/>
        </w:rPr>
        <w:t>“</w:t>
      </w:r>
      <w:r>
        <w:rPr>
          <w:rFonts w:hint="default" w:ascii="Arial" w:hAnsi="Arial" w:eastAsia="宋体" w:cs="Arial"/>
          <w:b/>
          <w:bCs/>
          <w:color w:val="auto"/>
          <w:kern w:val="0"/>
          <w:sz w:val="26"/>
          <w:szCs w:val="20"/>
          <w:highlight w:val="none"/>
          <w:lang w:val="en-US" w:eastAsia="zh-CN"/>
        </w:rPr>
        <w:t>丰环函〔2025〕2号</w:t>
      </w:r>
      <w:r>
        <w:rPr>
          <w:rFonts w:hint="eastAsia" w:ascii="宋体" w:hAnsi="宋体" w:eastAsia="宋体" w:cs="宋体"/>
          <w:b/>
          <w:bCs/>
          <w:color w:val="auto"/>
          <w:kern w:val="0"/>
          <w:sz w:val="26"/>
          <w:szCs w:val="20"/>
          <w:highlight w:val="none"/>
          <w:lang w:val="en-US" w:eastAsia="zh-CN"/>
        </w:rPr>
        <w:t>”</w:t>
      </w:r>
      <w:r>
        <w:rPr>
          <w:rFonts w:hint="eastAsia" w:ascii="Arial" w:hAnsi="Arial" w:cs="Arial"/>
          <w:b/>
          <w:bCs/>
          <w:color w:val="auto"/>
          <w:kern w:val="0"/>
          <w:sz w:val="26"/>
          <w:szCs w:val="20"/>
          <w:highlight w:val="none"/>
          <w:lang w:val="en-US" w:eastAsia="zh-CN"/>
        </w:rPr>
        <w:t>的符合性分析</w:t>
      </w:r>
    </w:p>
    <w:tbl>
      <w:tblPr>
        <w:tblStyle w:val="77"/>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4425"/>
        <w:gridCol w:w="2925"/>
        <w:gridCol w:w="1001"/>
      </w:tblGrid>
      <w:tr w14:paraId="453A75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0B7B734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序号</w:t>
            </w:r>
          </w:p>
        </w:tc>
        <w:tc>
          <w:tcPr>
            <w:tcW w:w="4425" w:type="dxa"/>
            <w:tcBorders>
              <w:tl2br w:val="nil"/>
              <w:tr2bl w:val="nil"/>
            </w:tcBorders>
            <w:vAlign w:val="center"/>
          </w:tcPr>
          <w:p w14:paraId="61367AA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sz w:val="22"/>
                <w:szCs w:val="22"/>
                <w:lang w:eastAsia="zh-CN"/>
              </w:rPr>
            </w:pPr>
            <w:r>
              <w:rPr>
                <w:rFonts w:hint="default" w:ascii="Arial" w:hAnsi="Arial" w:cs="Arial"/>
                <w:sz w:val="22"/>
                <w:szCs w:val="22"/>
                <w:lang w:eastAsia="zh-CN"/>
              </w:rPr>
              <w:t>规划环评要求</w:t>
            </w:r>
          </w:p>
        </w:tc>
        <w:tc>
          <w:tcPr>
            <w:tcW w:w="2925" w:type="dxa"/>
            <w:tcBorders>
              <w:tl2br w:val="nil"/>
              <w:tr2bl w:val="nil"/>
            </w:tcBorders>
            <w:vAlign w:val="center"/>
          </w:tcPr>
          <w:p w14:paraId="2BF25A4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本项目情况</w:t>
            </w:r>
          </w:p>
        </w:tc>
        <w:tc>
          <w:tcPr>
            <w:tcW w:w="1001" w:type="dxa"/>
            <w:tcBorders>
              <w:tl2br w:val="nil"/>
              <w:tr2bl w:val="nil"/>
            </w:tcBorders>
            <w:vAlign w:val="center"/>
          </w:tcPr>
          <w:p w14:paraId="03E7793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r>
              <w:rPr>
                <w:rFonts w:hint="default" w:ascii="Arial" w:hAnsi="Arial" w:cs="Arial"/>
                <w:sz w:val="22"/>
                <w:szCs w:val="22"/>
              </w:rPr>
              <w:t>符合性</w:t>
            </w:r>
          </w:p>
        </w:tc>
      </w:tr>
      <w:tr w14:paraId="77D1E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092F616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1</w:t>
            </w:r>
          </w:p>
        </w:tc>
        <w:tc>
          <w:tcPr>
            <w:tcW w:w="4425" w:type="dxa"/>
            <w:tcBorders>
              <w:tl2br w:val="nil"/>
              <w:tr2bl w:val="nil"/>
            </w:tcBorders>
            <w:vAlign w:val="center"/>
          </w:tcPr>
          <w:p w14:paraId="7F0DEB73">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Arial" w:hAnsi="Arial" w:cs="Arial"/>
                <w:sz w:val="22"/>
                <w:szCs w:val="22"/>
                <w:lang w:eastAsia="zh-CN"/>
              </w:rPr>
            </w:pPr>
            <w:r>
              <w:rPr>
                <w:rFonts w:hint="eastAsia" w:ascii="Arial" w:hAnsi="Arial" w:cs="Arial"/>
                <w:sz w:val="22"/>
                <w:szCs w:val="22"/>
                <w:lang w:eastAsia="zh-CN"/>
              </w:rPr>
              <w:t>（一）坚持生态优先、绿色发展</w:t>
            </w:r>
            <w:r>
              <w:rPr>
                <w:rFonts w:hint="default" w:ascii="Arial" w:hAnsi="Arial" w:cs="Arial"/>
                <w:sz w:val="22"/>
                <w:szCs w:val="22"/>
                <w:lang w:eastAsia="zh-CN"/>
              </w:rPr>
              <w:t>的理念。规划应充分与忠县、丰都县、涪陵区生态环境分区管控成果相衔接，严禁不符合管控要求的各类开发建设活动。根据流域功能定位和环境目标，将流域生态保护和环境治理作为规划优先任务。规划具体建设工程实施涉及生态保护红线，在确定规划工程空间布局时，应重点关注规划工程与所涉生态环境敏感区、生态保护红线的位置关系，其开发建设活动应符合相应管理要求。流域范围内水库应按规定实施生态流量管控，并落实生态基流泄放和监控设施。加强规划工程建设期和运营期环境管理，严格生态环境保护和修复措施，改善流域生态环境质量，切实维护流域生物多样性、水源水质保护、水土保持等功能，确保实现生态优先、绿色发展。</w:t>
            </w:r>
          </w:p>
        </w:tc>
        <w:tc>
          <w:tcPr>
            <w:tcW w:w="2925" w:type="dxa"/>
            <w:tcBorders>
              <w:tl2br w:val="nil"/>
              <w:tr2bl w:val="nil"/>
            </w:tcBorders>
            <w:vAlign w:val="center"/>
          </w:tcPr>
          <w:p w14:paraId="5379774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eastAsia="zh-CN"/>
              </w:rPr>
              <w:t>本项目与丰都县生态环境分区管控成果相符，不涉及生态保护红线，建设、运行过程中高度重视海螺沟流域</w:t>
            </w:r>
            <w:r>
              <w:rPr>
                <w:rFonts w:hint="default" w:ascii="Arial" w:hAnsi="Arial" w:cs="Arial"/>
                <w:sz w:val="22"/>
                <w:szCs w:val="22"/>
                <w:lang w:eastAsia="zh-CN"/>
              </w:rPr>
              <w:t>生态保护和环境治理</w:t>
            </w:r>
            <w:r>
              <w:rPr>
                <w:rFonts w:hint="eastAsia" w:ascii="Arial" w:hAnsi="Arial" w:cs="Arial"/>
                <w:sz w:val="22"/>
                <w:szCs w:val="22"/>
                <w:lang w:eastAsia="zh-CN"/>
              </w:rPr>
              <w:t>，设置生态流量下泄装置，下泄流量为坝址处多年平均流量的</w:t>
            </w:r>
            <w:r>
              <w:rPr>
                <w:rFonts w:hint="eastAsia" w:ascii="Arial" w:hAnsi="Arial" w:cs="Arial"/>
                <w:sz w:val="22"/>
                <w:szCs w:val="22"/>
                <w:lang w:val="en-US" w:eastAsia="zh-CN"/>
              </w:rPr>
              <w:t>15%，加强库区及坝后减水河段环境保护，确保供水水质。</w:t>
            </w:r>
          </w:p>
        </w:tc>
        <w:tc>
          <w:tcPr>
            <w:tcW w:w="1001" w:type="dxa"/>
            <w:tcBorders>
              <w:tl2br w:val="nil"/>
              <w:tr2bl w:val="nil"/>
            </w:tcBorders>
            <w:vAlign w:val="center"/>
          </w:tcPr>
          <w:p w14:paraId="02368B6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5B08C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4B1E06D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lang w:val="en-US" w:eastAsia="zh-CN"/>
              </w:rPr>
            </w:pPr>
            <w:r>
              <w:rPr>
                <w:rFonts w:hint="eastAsia" w:ascii="Arial" w:hAnsi="Arial" w:cs="Arial"/>
                <w:sz w:val="22"/>
                <w:szCs w:val="22"/>
                <w:lang w:val="en-US" w:eastAsia="zh-CN"/>
              </w:rPr>
              <w:t>2</w:t>
            </w:r>
          </w:p>
        </w:tc>
        <w:tc>
          <w:tcPr>
            <w:tcW w:w="4425" w:type="dxa"/>
            <w:tcBorders>
              <w:tl2br w:val="nil"/>
              <w:tr2bl w:val="nil"/>
            </w:tcBorders>
            <w:vAlign w:val="center"/>
          </w:tcPr>
          <w:p w14:paraId="0E099B26">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Arial" w:hAnsi="Arial" w:cs="Arial"/>
                <w:sz w:val="22"/>
                <w:szCs w:val="22"/>
                <w:lang w:eastAsia="zh-CN"/>
              </w:rPr>
            </w:pPr>
            <w:r>
              <w:rPr>
                <w:rFonts w:hint="eastAsia" w:ascii="Arial" w:hAnsi="Arial" w:cs="Arial"/>
                <w:sz w:val="22"/>
                <w:szCs w:val="22"/>
                <w:lang w:eastAsia="zh-CN"/>
              </w:rPr>
              <w:t>（二）严格控制流域开发强度，加强流域水环境质量保护。结合规划所在区域实际需求，优先满足流域生态环境用水，避免对流域生态环境产生不良影响。严格控制流域污染物排放量，强化规划工程施工期间及运行期间水环境污染防治措施。规划飞龙水库、永丰水库、青天水库、海螺沟水库等水源工程建成后应加强库区水质管理，防范库区出现富营养化情况。深化周边农村生活污水管控，促使流域内水环境呈良性发展。强化水环境风险防范，提高水环境突发事件应急处置能力，健全水环境风险管控机制，确保流域水环境质量达标和水环境安全。在规划实施过程中若木瓜洞断面、渠溪河水华监测断面水质出现异常，应暂缓实施规划的水源工程、提水工程或进行流域跟踪评价后方可继续实施。</w:t>
            </w:r>
          </w:p>
        </w:tc>
        <w:tc>
          <w:tcPr>
            <w:tcW w:w="2925" w:type="dxa"/>
            <w:tcBorders>
              <w:tl2br w:val="nil"/>
              <w:tr2bl w:val="nil"/>
            </w:tcBorders>
            <w:vAlign w:val="center"/>
          </w:tcPr>
          <w:p w14:paraId="67CF977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本项目属于流域规划中拟建的海螺沟水库，建成后将加强库区水质管理，避免出现富营养化情况，协同当地相关职能部门做好库周农村生活面源的治理工作。设置生态流量下泄装置，下泄流量为坝址处多年平均流量的</w:t>
            </w:r>
            <w:r>
              <w:rPr>
                <w:rFonts w:hint="eastAsia" w:ascii="Arial" w:hAnsi="Arial" w:cs="Arial"/>
                <w:sz w:val="22"/>
                <w:szCs w:val="22"/>
                <w:lang w:val="en-US" w:eastAsia="zh-CN"/>
              </w:rPr>
              <w:t>15%，确保下游河道水环境呈良性发展。</w:t>
            </w:r>
          </w:p>
        </w:tc>
        <w:tc>
          <w:tcPr>
            <w:tcW w:w="1001" w:type="dxa"/>
            <w:tcBorders>
              <w:tl2br w:val="nil"/>
              <w:tr2bl w:val="nil"/>
            </w:tcBorders>
            <w:vAlign w:val="center"/>
          </w:tcPr>
          <w:p w14:paraId="0CAAA45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符合</w:t>
            </w:r>
          </w:p>
        </w:tc>
      </w:tr>
      <w:tr w14:paraId="0478A4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4280AE7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lang w:val="en-US" w:eastAsia="zh-CN"/>
              </w:rPr>
            </w:pPr>
            <w:r>
              <w:rPr>
                <w:rFonts w:hint="eastAsia" w:ascii="Arial" w:hAnsi="Arial" w:cs="Arial"/>
                <w:sz w:val="22"/>
                <w:szCs w:val="22"/>
                <w:lang w:val="en-US" w:eastAsia="zh-CN"/>
              </w:rPr>
              <w:t>3</w:t>
            </w:r>
          </w:p>
        </w:tc>
        <w:tc>
          <w:tcPr>
            <w:tcW w:w="4425" w:type="dxa"/>
            <w:tcBorders>
              <w:tl2br w:val="nil"/>
              <w:tr2bl w:val="nil"/>
            </w:tcBorders>
            <w:vAlign w:val="center"/>
          </w:tcPr>
          <w:p w14:paraId="596E55CF">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Arial" w:hAnsi="Arial" w:cs="Arial"/>
                <w:sz w:val="22"/>
                <w:szCs w:val="22"/>
                <w:lang w:eastAsia="zh-CN"/>
              </w:rPr>
            </w:pPr>
            <w:r>
              <w:rPr>
                <w:rFonts w:hint="eastAsia" w:ascii="Arial" w:hAnsi="Arial" w:cs="Arial"/>
                <w:sz w:val="22"/>
                <w:szCs w:val="22"/>
                <w:lang w:eastAsia="zh-CN"/>
              </w:rPr>
              <w:t>（三）严格落实生态环境保护措施。强化生态环境保护，减缓对野生动物、自然植被和景观的影响。规划实施过程中应注重对地表植被的保护，施工结束后对施工现场进行清理恢复，尽可能恢复到原有景观面貌，对造成的生态损失进行修复或补偿。严格按照《外来入侵物种管理办法》《重点管理外来入侵物种名录》等文件相关要求，防范外来物种入侵，植被恢复应优先推荐当地的物种。</w:t>
            </w:r>
          </w:p>
        </w:tc>
        <w:tc>
          <w:tcPr>
            <w:tcW w:w="2925" w:type="dxa"/>
            <w:tcBorders>
              <w:tl2br w:val="nil"/>
              <w:tr2bl w:val="nil"/>
            </w:tcBorders>
            <w:vAlign w:val="center"/>
          </w:tcPr>
          <w:p w14:paraId="3BC6611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本项目严格控制占地红线，尽量减少植被剥离造成的生物量损失，集中收集、暂存剥离表土，后期用于生态覆土；加强对施工人员的宣传教育，不得捕杀野生动物、水生生物；施工结束后，及时清理场地，采取当地常见植被进行生态覆土，避免外来物种入侵，不得遗留裸露地表。</w:t>
            </w:r>
          </w:p>
        </w:tc>
        <w:tc>
          <w:tcPr>
            <w:tcW w:w="1001" w:type="dxa"/>
            <w:tcBorders>
              <w:tl2br w:val="nil"/>
              <w:tr2bl w:val="nil"/>
            </w:tcBorders>
            <w:vAlign w:val="center"/>
          </w:tcPr>
          <w:p w14:paraId="64E094F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符合</w:t>
            </w:r>
          </w:p>
        </w:tc>
      </w:tr>
      <w:tr w14:paraId="14E3B3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65AF0FF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lang w:val="en-US" w:eastAsia="zh-CN"/>
              </w:rPr>
            </w:pPr>
            <w:r>
              <w:rPr>
                <w:rFonts w:hint="eastAsia" w:ascii="Arial" w:hAnsi="Arial" w:cs="Arial"/>
                <w:sz w:val="22"/>
                <w:szCs w:val="22"/>
                <w:lang w:val="en-US" w:eastAsia="zh-CN"/>
              </w:rPr>
              <w:t>4</w:t>
            </w:r>
          </w:p>
        </w:tc>
        <w:tc>
          <w:tcPr>
            <w:tcW w:w="4425" w:type="dxa"/>
            <w:tcBorders>
              <w:tl2br w:val="nil"/>
              <w:tr2bl w:val="nil"/>
            </w:tcBorders>
            <w:vAlign w:val="center"/>
          </w:tcPr>
          <w:p w14:paraId="3E9F58BB">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Arial" w:hAnsi="Arial" w:cs="Arial"/>
                <w:sz w:val="22"/>
                <w:szCs w:val="22"/>
                <w:lang w:eastAsia="zh-CN"/>
              </w:rPr>
            </w:pPr>
            <w:r>
              <w:rPr>
                <w:rFonts w:hint="eastAsia" w:ascii="Arial" w:hAnsi="Arial" w:cs="Arial"/>
                <w:sz w:val="22"/>
                <w:szCs w:val="22"/>
                <w:lang w:eastAsia="zh-CN"/>
              </w:rPr>
              <w:t>（四）规范环境管理，积极推进环境影响跟踪监测。加强日常环境监管，执行建设项目环境影响评价和固定污染源排污许可制度。适时开展地表水、生态环境跟踪监测，落实环境影响跟踪监测计划。规划的实施范围、适用期限、规模、结构和布局等方面发生重大调整或修订的，应重新或者补充进行环境影响评价。</w:t>
            </w:r>
          </w:p>
        </w:tc>
        <w:tc>
          <w:tcPr>
            <w:tcW w:w="2925" w:type="dxa"/>
            <w:tcBorders>
              <w:tl2br w:val="nil"/>
              <w:tr2bl w:val="nil"/>
            </w:tcBorders>
            <w:vAlign w:val="center"/>
          </w:tcPr>
          <w:p w14:paraId="61F6E78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本次正在针对海螺沟水库进行环境影响评价，将针对项目建设和运行制定监测计划，由建设单位实施，并加强环境监管。</w:t>
            </w:r>
          </w:p>
        </w:tc>
        <w:tc>
          <w:tcPr>
            <w:tcW w:w="1001" w:type="dxa"/>
            <w:tcBorders>
              <w:tl2br w:val="nil"/>
              <w:tr2bl w:val="nil"/>
            </w:tcBorders>
            <w:vAlign w:val="center"/>
          </w:tcPr>
          <w:p w14:paraId="279789C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符合</w:t>
            </w:r>
          </w:p>
        </w:tc>
      </w:tr>
      <w:tr w14:paraId="43588B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0" w:type="dxa"/>
            <w:tcBorders>
              <w:tl2br w:val="nil"/>
              <w:tr2bl w:val="nil"/>
            </w:tcBorders>
            <w:vAlign w:val="center"/>
          </w:tcPr>
          <w:p w14:paraId="01A46C8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lang w:val="en-US" w:eastAsia="zh-CN"/>
              </w:rPr>
            </w:pPr>
            <w:r>
              <w:rPr>
                <w:rFonts w:hint="eastAsia" w:ascii="Arial" w:hAnsi="Arial" w:cs="Arial"/>
                <w:sz w:val="22"/>
                <w:szCs w:val="22"/>
                <w:lang w:val="en-US" w:eastAsia="zh-CN"/>
              </w:rPr>
              <w:t>5</w:t>
            </w:r>
          </w:p>
        </w:tc>
        <w:tc>
          <w:tcPr>
            <w:tcW w:w="4425" w:type="dxa"/>
            <w:tcBorders>
              <w:tl2br w:val="nil"/>
              <w:tr2bl w:val="nil"/>
            </w:tcBorders>
            <w:vAlign w:val="center"/>
          </w:tcPr>
          <w:p w14:paraId="0FA9C55D">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Arial" w:hAnsi="Arial" w:cs="Arial"/>
                <w:sz w:val="22"/>
                <w:szCs w:val="22"/>
                <w:lang w:eastAsia="zh-CN"/>
              </w:rPr>
            </w:pPr>
            <w:r>
              <w:rPr>
                <w:rFonts w:hint="eastAsia" w:ascii="Arial" w:hAnsi="Arial" w:cs="Arial"/>
                <w:sz w:val="22"/>
                <w:szCs w:val="22"/>
                <w:lang w:eastAsia="zh-CN"/>
              </w:rPr>
              <w:t>（五）推进规划环评与建设项目环评的联动。规划所包含的建设项目，应结合规划环评提出的指导意见做好环境影响评价工作，加强与规划环评的联动。项目环评在落实规划优化调整建议的基础上，应深入论证项目建设可能产生的水环境、水生生态及陆生生态的影响，严格环境准入要求，制定切实可行的水污染防治措施和生态修复或补偿方案，预防或者减轻项目实施可能产生的不良环境影响。政策规划符合性分析、选址的环境合理性和可行性论证等内容可简化。</w:t>
            </w:r>
          </w:p>
        </w:tc>
        <w:tc>
          <w:tcPr>
            <w:tcW w:w="2925" w:type="dxa"/>
            <w:tcBorders>
              <w:tl2br w:val="nil"/>
              <w:tr2bl w:val="nil"/>
            </w:tcBorders>
            <w:vAlign w:val="center"/>
          </w:tcPr>
          <w:p w14:paraId="417CF46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本项目为渠溪河流域规划建设的水库，根据流域规划环评做好环境影响评价工作，深入论证项目建设可能产生的水环境、水生生态及陆生生态的影响，并制定切实可行的水污染防治措施和生态修复或补偿方案，预防或者减轻项目实施可能产生的不良环境影响。</w:t>
            </w:r>
          </w:p>
        </w:tc>
        <w:tc>
          <w:tcPr>
            <w:tcW w:w="1001" w:type="dxa"/>
            <w:tcBorders>
              <w:tl2br w:val="nil"/>
              <w:tr2bl w:val="nil"/>
            </w:tcBorders>
            <w:vAlign w:val="center"/>
          </w:tcPr>
          <w:p w14:paraId="515865F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符合</w:t>
            </w:r>
          </w:p>
        </w:tc>
      </w:tr>
    </w:tbl>
    <w:p w14:paraId="705B4DA1">
      <w:pPr>
        <w:pStyle w:val="2082"/>
        <w:keepNext w:val="0"/>
        <w:keepLines w:val="0"/>
        <w:pageBreakBefore w:val="0"/>
        <w:widowControl w:val="0"/>
        <w:kinsoku/>
        <w:wordWrap/>
        <w:overflowPunct/>
        <w:topLinePunct w:val="0"/>
        <w:autoSpaceDE/>
        <w:autoSpaceDN/>
        <w:bidi w:val="0"/>
        <w:adjustRightInd w:val="0"/>
        <w:snapToGrid w:val="0"/>
        <w:spacing w:line="240" w:lineRule="exact"/>
        <w:ind w:firstLine="560"/>
        <w:textAlignment w:val="auto"/>
        <w:rPr>
          <w:rFonts w:hint="eastAsia" w:ascii="Arial" w:hAnsi="Arial" w:eastAsia="宋体" w:cs="Arial"/>
          <w:b w:val="0"/>
          <w:color w:val="auto"/>
          <w:kern w:val="2"/>
          <w:sz w:val="26"/>
          <w:szCs w:val="26"/>
          <w:lang w:val="en-US" w:eastAsia="zh-CN" w:bidi="ar-SA"/>
        </w:rPr>
      </w:pPr>
    </w:p>
    <w:p w14:paraId="36979086">
      <w:pPr>
        <w:pStyle w:val="19"/>
        <w:keepNext w:val="0"/>
        <w:keepLines w:val="0"/>
        <w:pageBreakBefore w:val="0"/>
        <w:widowControl w:val="0"/>
        <w:kinsoku/>
        <w:wordWrap/>
        <w:overflowPunct/>
        <w:topLinePunct w:val="0"/>
        <w:autoSpaceDE/>
        <w:autoSpaceDN/>
        <w:bidi w:val="0"/>
        <w:adjustRightInd w:val="0"/>
        <w:snapToGrid w:val="0"/>
        <w:spacing w:line="440" w:lineRule="exact"/>
        <w:ind w:firstLine="522"/>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1.9.</w:t>
      </w:r>
      <w:r>
        <w:rPr>
          <w:rFonts w:hint="eastAsia" w:ascii="Arial" w:hAnsi="Arial" w:cs="Arial"/>
          <w:b/>
          <w:color w:val="auto"/>
          <w:kern w:val="0"/>
          <w:sz w:val="26"/>
          <w:szCs w:val="20"/>
          <w:highlight w:val="none"/>
          <w:lang w:val="en-US" w:eastAsia="zh-CN"/>
        </w:rPr>
        <w:t>15</w:t>
      </w:r>
      <w:r>
        <w:rPr>
          <w:rFonts w:hint="eastAsia" w:ascii="Arial" w:hAnsi="Arial" w:eastAsia="宋体" w:cs="Arial"/>
          <w:b/>
          <w:color w:val="auto"/>
          <w:kern w:val="0"/>
          <w:sz w:val="26"/>
          <w:szCs w:val="20"/>
          <w:highlight w:val="none"/>
          <w:lang w:val="en-US" w:eastAsia="zh-CN"/>
        </w:rPr>
        <w:t>与</w:t>
      </w:r>
      <w:r>
        <w:rPr>
          <w:rFonts w:hint="eastAsia" w:ascii="Arial" w:hAnsi="Arial" w:cs="Arial"/>
          <w:b/>
          <w:color w:val="auto"/>
          <w:kern w:val="0"/>
          <w:sz w:val="26"/>
          <w:szCs w:val="20"/>
          <w:highlight w:val="none"/>
          <w:lang w:val="en-US" w:eastAsia="zh-CN"/>
        </w:rPr>
        <w:t>“三线一单”的符合性分析</w:t>
      </w:r>
    </w:p>
    <w:p w14:paraId="04224070">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根据《重庆市“三线一单”生态环境分区管控调整方案（2023年）》（渝环规〔2024〕2号），全市国土空间按优先保护、重点管控、一般管控三大类划分为818个环境管控单元。其中，优先保护单元392个，面积占比37.4%；重点管控单元305个，面积占比17.3%；一般管控单元121个，面积占比45.3%。</w:t>
      </w:r>
    </w:p>
    <w:p w14:paraId="6DC7D59A">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根据《丰都县“三线一单”生态环境分区管控调整方案（2023年）》（丰都府办〔2024〕77号），丰都县国土空间按优先保护、重点管控、一般管控三大类划分为26个环境管控单元。其中，优先保护单元14个，面积占比35.7%；重点管控单元9个，面积占比18.3%；一般管控单元3个，面积占比46.0%。</w:t>
      </w:r>
    </w:p>
    <w:p w14:paraId="665002B7">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 w:val="0"/>
          <w:color w:val="auto"/>
          <w:kern w:val="2"/>
          <w:sz w:val="26"/>
          <w:szCs w:val="26"/>
          <w:lang w:val="en-US" w:eastAsia="zh-CN" w:bidi="ar-SA"/>
        </w:rPr>
        <w:sectPr>
          <w:headerReference r:id="rId2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Arial" w:hAnsi="Arial" w:eastAsia="宋体" w:cs="Arial"/>
          <w:b w:val="0"/>
          <w:color w:val="auto"/>
          <w:kern w:val="2"/>
          <w:sz w:val="26"/>
          <w:szCs w:val="26"/>
          <w:lang w:val="en-US" w:eastAsia="zh-CN" w:bidi="ar-SA"/>
        </w:rPr>
        <w:t>根据查询重庆市“三线一单”智检服务平台，本项目选址选线涉及丰都县</w:t>
      </w:r>
      <w:r>
        <w:rPr>
          <w:rFonts w:hint="default" w:ascii="Arial" w:hAnsi="Arial" w:eastAsia="宋体" w:cs="Arial"/>
          <w:b w:val="0"/>
          <w:color w:val="auto"/>
          <w:kern w:val="2"/>
          <w:sz w:val="26"/>
          <w:szCs w:val="26"/>
          <w:lang w:val="en-US" w:eastAsia="zh-CN" w:bidi="ar-SA"/>
        </w:rPr>
        <w:t>一般管控单元</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渠溪河木瓜洞</w:t>
      </w:r>
      <w:r>
        <w:rPr>
          <w:rFonts w:hint="eastAsia" w:ascii="Arial" w:hAnsi="Arial" w:eastAsia="宋体" w:cs="Arial"/>
          <w:b w:val="0"/>
          <w:color w:val="auto"/>
          <w:kern w:val="2"/>
          <w:sz w:val="26"/>
          <w:szCs w:val="26"/>
          <w:lang w:val="en-US" w:eastAsia="zh-CN" w:bidi="ar-SA"/>
        </w:rPr>
        <w:t>，编号为ZH50023030003。相关符合性分析详见表1.9-13所示。</w:t>
      </w:r>
    </w:p>
    <w:p w14:paraId="301CC3C2">
      <w:pPr>
        <w:pStyle w:val="2082"/>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eastAsia="宋体" w:cs="Arial"/>
          <w:b/>
          <w:bCs/>
          <w:color w:val="auto"/>
          <w:kern w:val="2"/>
          <w:sz w:val="26"/>
          <w:szCs w:val="26"/>
          <w:lang w:val="en-US" w:eastAsia="zh-CN" w:bidi="ar-SA"/>
        </w:rPr>
      </w:pPr>
      <w:r>
        <w:rPr>
          <w:rFonts w:hint="eastAsia" w:ascii="Arial" w:hAnsi="Arial" w:eastAsia="宋体" w:cs="Arial"/>
          <w:b/>
          <w:bCs/>
          <w:color w:val="auto"/>
          <w:kern w:val="2"/>
          <w:sz w:val="26"/>
          <w:szCs w:val="26"/>
          <w:lang w:val="en-US" w:eastAsia="zh-CN" w:bidi="ar-SA"/>
        </w:rPr>
        <w:t>表1.9-13  拟建项目与“三线一单”符合性分析一览表</w:t>
      </w:r>
    </w:p>
    <w:tbl>
      <w:tblPr>
        <w:tblStyle w:val="77"/>
        <w:tblW w:w="13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847"/>
        <w:gridCol w:w="6478"/>
        <w:gridCol w:w="2990"/>
        <w:gridCol w:w="970"/>
      </w:tblGrid>
      <w:tr w14:paraId="3DB3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41" w:type="dxa"/>
            <w:gridSpan w:val="2"/>
            <w:tcBorders>
              <w:top w:val="single" w:color="auto" w:sz="12" w:space="0"/>
              <w:left w:val="single" w:color="auto" w:sz="12" w:space="0"/>
            </w:tcBorders>
            <w:noWrap w:val="0"/>
            <w:vAlign w:val="center"/>
          </w:tcPr>
          <w:p w14:paraId="35C3140A">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bCs/>
                <w:sz w:val="22"/>
                <w:szCs w:val="22"/>
              </w:rPr>
            </w:pPr>
            <w:r>
              <w:rPr>
                <w:rFonts w:hint="default" w:ascii="Arial" w:hAnsi="Arial" w:eastAsia="宋体" w:cs="Arial"/>
                <w:bCs/>
                <w:sz w:val="22"/>
                <w:szCs w:val="22"/>
              </w:rPr>
              <w:t>环境管控单元编码</w:t>
            </w:r>
          </w:p>
        </w:tc>
        <w:tc>
          <w:tcPr>
            <w:tcW w:w="6478" w:type="dxa"/>
            <w:tcBorders>
              <w:top w:val="single" w:color="auto" w:sz="12" w:space="0"/>
            </w:tcBorders>
            <w:noWrap w:val="0"/>
            <w:vAlign w:val="center"/>
          </w:tcPr>
          <w:p w14:paraId="2AA8E631">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bCs/>
                <w:sz w:val="22"/>
                <w:szCs w:val="22"/>
              </w:rPr>
            </w:pPr>
            <w:r>
              <w:rPr>
                <w:rFonts w:hint="default" w:ascii="Arial" w:hAnsi="Arial" w:eastAsia="宋体" w:cs="Arial"/>
                <w:bCs/>
                <w:sz w:val="22"/>
                <w:szCs w:val="22"/>
              </w:rPr>
              <w:t>环境管控单元名称</w:t>
            </w:r>
          </w:p>
        </w:tc>
        <w:tc>
          <w:tcPr>
            <w:tcW w:w="3960" w:type="dxa"/>
            <w:gridSpan w:val="2"/>
            <w:tcBorders>
              <w:top w:val="single" w:color="auto" w:sz="12" w:space="0"/>
              <w:right w:val="single" w:color="auto" w:sz="12" w:space="0"/>
            </w:tcBorders>
            <w:noWrap w:val="0"/>
            <w:vAlign w:val="center"/>
          </w:tcPr>
          <w:p w14:paraId="0D9A0287">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bCs/>
                <w:sz w:val="22"/>
                <w:szCs w:val="22"/>
              </w:rPr>
            </w:pPr>
            <w:r>
              <w:rPr>
                <w:rFonts w:hint="default" w:ascii="Arial" w:hAnsi="Arial" w:eastAsia="宋体" w:cs="Arial"/>
                <w:bCs/>
                <w:sz w:val="22"/>
                <w:szCs w:val="22"/>
              </w:rPr>
              <w:t>环境管控单元类型</w:t>
            </w:r>
          </w:p>
        </w:tc>
      </w:tr>
      <w:tr w14:paraId="325C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41" w:type="dxa"/>
            <w:gridSpan w:val="2"/>
            <w:tcBorders>
              <w:left w:val="single" w:color="auto" w:sz="12" w:space="0"/>
            </w:tcBorders>
            <w:noWrap w:val="0"/>
            <w:vAlign w:val="center"/>
          </w:tcPr>
          <w:p w14:paraId="1BCC74B7">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b w:val="0"/>
                <w:color w:val="auto"/>
                <w:kern w:val="2"/>
                <w:sz w:val="22"/>
                <w:szCs w:val="22"/>
                <w:lang w:val="en-US" w:eastAsia="zh-CN" w:bidi="ar-SA"/>
              </w:rPr>
            </w:pPr>
            <w:r>
              <w:rPr>
                <w:rFonts w:hint="eastAsia" w:ascii="Arial" w:hAnsi="Arial" w:eastAsia="宋体" w:cs="Arial"/>
                <w:b w:val="0"/>
                <w:color w:val="auto"/>
                <w:kern w:val="2"/>
                <w:sz w:val="22"/>
                <w:szCs w:val="22"/>
                <w:lang w:val="en-US" w:eastAsia="zh-CN" w:bidi="ar-SA"/>
              </w:rPr>
              <w:t>ZH50023030003</w:t>
            </w:r>
          </w:p>
        </w:tc>
        <w:tc>
          <w:tcPr>
            <w:tcW w:w="6478" w:type="dxa"/>
            <w:noWrap w:val="0"/>
            <w:vAlign w:val="center"/>
          </w:tcPr>
          <w:p w14:paraId="61D4CC6D">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b w:val="0"/>
                <w:color w:val="auto"/>
                <w:kern w:val="2"/>
                <w:sz w:val="22"/>
                <w:szCs w:val="22"/>
                <w:lang w:val="en-US" w:eastAsia="zh-CN" w:bidi="ar-SA"/>
              </w:rPr>
            </w:pPr>
            <w:r>
              <w:rPr>
                <w:rFonts w:hint="default" w:ascii="Arial" w:hAnsi="Arial" w:eastAsia="宋体" w:cs="Arial"/>
                <w:b w:val="0"/>
                <w:color w:val="auto"/>
                <w:kern w:val="2"/>
                <w:sz w:val="22"/>
                <w:szCs w:val="22"/>
                <w:lang w:val="en-US" w:eastAsia="zh-CN" w:bidi="ar-SA"/>
              </w:rPr>
              <w:t>渠溪河木瓜洞</w:t>
            </w:r>
          </w:p>
        </w:tc>
        <w:tc>
          <w:tcPr>
            <w:tcW w:w="3960" w:type="dxa"/>
            <w:gridSpan w:val="2"/>
            <w:tcBorders>
              <w:right w:val="single" w:color="auto" w:sz="12" w:space="0"/>
            </w:tcBorders>
            <w:noWrap w:val="0"/>
            <w:vAlign w:val="center"/>
          </w:tcPr>
          <w:p w14:paraId="0DDA4A09">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b w:val="0"/>
                <w:color w:val="auto"/>
                <w:kern w:val="2"/>
                <w:sz w:val="22"/>
                <w:szCs w:val="22"/>
                <w:lang w:val="en-US" w:eastAsia="zh-CN" w:bidi="ar-SA"/>
              </w:rPr>
            </w:pPr>
            <w:r>
              <w:rPr>
                <w:rFonts w:hint="default" w:ascii="Arial" w:hAnsi="Arial" w:eastAsia="宋体" w:cs="Arial"/>
                <w:b w:val="0"/>
                <w:color w:val="auto"/>
                <w:kern w:val="2"/>
                <w:sz w:val="22"/>
                <w:szCs w:val="22"/>
                <w:lang w:val="en-US" w:eastAsia="zh-CN" w:bidi="ar-SA"/>
              </w:rPr>
              <w:t>一般管控单元</w:t>
            </w:r>
          </w:p>
        </w:tc>
      </w:tr>
      <w:tr w14:paraId="3D7AA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tcBorders>
              <w:left w:val="single" w:color="auto" w:sz="12" w:space="0"/>
            </w:tcBorders>
            <w:noWrap w:val="0"/>
            <w:vAlign w:val="center"/>
          </w:tcPr>
          <w:p w14:paraId="3396BFC5">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bCs/>
                <w:sz w:val="22"/>
                <w:szCs w:val="22"/>
              </w:rPr>
            </w:pPr>
            <w:r>
              <w:rPr>
                <w:rFonts w:hint="default" w:ascii="Arial" w:hAnsi="Arial" w:eastAsia="宋体" w:cs="Arial"/>
                <w:bCs/>
                <w:sz w:val="22"/>
                <w:szCs w:val="22"/>
              </w:rPr>
              <w:t>管控要求层级</w:t>
            </w:r>
          </w:p>
        </w:tc>
        <w:tc>
          <w:tcPr>
            <w:tcW w:w="1847" w:type="dxa"/>
            <w:noWrap w:val="0"/>
            <w:vAlign w:val="center"/>
          </w:tcPr>
          <w:p w14:paraId="496261B6">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bCs/>
                <w:sz w:val="22"/>
                <w:szCs w:val="22"/>
              </w:rPr>
            </w:pPr>
            <w:r>
              <w:rPr>
                <w:rFonts w:hint="default" w:ascii="Arial" w:hAnsi="Arial" w:eastAsia="宋体" w:cs="Arial"/>
                <w:bCs/>
                <w:sz w:val="22"/>
                <w:szCs w:val="22"/>
              </w:rPr>
              <w:t>管控类型</w:t>
            </w:r>
          </w:p>
        </w:tc>
        <w:tc>
          <w:tcPr>
            <w:tcW w:w="6478" w:type="dxa"/>
            <w:noWrap w:val="0"/>
            <w:vAlign w:val="center"/>
          </w:tcPr>
          <w:p w14:paraId="4729B27E">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bCs/>
                <w:sz w:val="22"/>
                <w:szCs w:val="22"/>
              </w:rPr>
            </w:pPr>
            <w:r>
              <w:rPr>
                <w:rFonts w:hint="default" w:ascii="Arial" w:hAnsi="Arial" w:eastAsia="宋体" w:cs="Arial"/>
                <w:bCs/>
                <w:sz w:val="22"/>
                <w:szCs w:val="22"/>
              </w:rPr>
              <w:t>管控要求</w:t>
            </w:r>
          </w:p>
        </w:tc>
        <w:tc>
          <w:tcPr>
            <w:tcW w:w="2990" w:type="dxa"/>
            <w:noWrap w:val="0"/>
            <w:vAlign w:val="center"/>
          </w:tcPr>
          <w:p w14:paraId="7C923AA1">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bCs/>
                <w:sz w:val="22"/>
                <w:szCs w:val="22"/>
              </w:rPr>
            </w:pPr>
            <w:r>
              <w:rPr>
                <w:rFonts w:hint="default" w:ascii="Arial" w:hAnsi="Arial" w:eastAsia="宋体" w:cs="Arial"/>
                <w:bCs/>
                <w:sz w:val="22"/>
                <w:szCs w:val="22"/>
              </w:rPr>
              <w:t>建设项目相关情况</w:t>
            </w:r>
          </w:p>
        </w:tc>
        <w:tc>
          <w:tcPr>
            <w:tcW w:w="970" w:type="dxa"/>
            <w:tcBorders>
              <w:right w:val="single" w:color="auto" w:sz="12" w:space="0"/>
            </w:tcBorders>
            <w:noWrap w:val="0"/>
            <w:vAlign w:val="center"/>
          </w:tcPr>
          <w:p w14:paraId="541518F4">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bCs/>
                <w:sz w:val="22"/>
                <w:szCs w:val="22"/>
              </w:rPr>
            </w:pPr>
            <w:r>
              <w:rPr>
                <w:rFonts w:hint="default" w:ascii="Arial" w:hAnsi="Arial" w:eastAsia="宋体" w:cs="Arial"/>
                <w:bCs/>
                <w:sz w:val="22"/>
                <w:szCs w:val="22"/>
              </w:rPr>
              <w:t>符合性</w:t>
            </w:r>
          </w:p>
        </w:tc>
      </w:tr>
      <w:tr w14:paraId="2444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restart"/>
            <w:tcBorders>
              <w:left w:val="single" w:color="auto" w:sz="12" w:space="0"/>
            </w:tcBorders>
            <w:noWrap w:val="0"/>
            <w:vAlign w:val="center"/>
          </w:tcPr>
          <w:p w14:paraId="22BDD929">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default" w:ascii="Arial" w:hAnsi="Arial" w:eastAsia="宋体" w:cs="Arial"/>
                <w:sz w:val="22"/>
                <w:szCs w:val="22"/>
              </w:rPr>
              <w:t>全市总体管控要求</w:t>
            </w:r>
          </w:p>
        </w:tc>
        <w:tc>
          <w:tcPr>
            <w:tcW w:w="1847" w:type="dxa"/>
            <w:noWrap w:val="0"/>
            <w:vAlign w:val="center"/>
          </w:tcPr>
          <w:p w14:paraId="4F03C2C4">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default" w:ascii="Arial" w:hAnsi="Arial" w:eastAsia="宋体" w:cs="Arial"/>
                <w:sz w:val="22"/>
                <w:szCs w:val="22"/>
              </w:rPr>
              <w:t>空间布局约束</w:t>
            </w:r>
          </w:p>
        </w:tc>
        <w:tc>
          <w:tcPr>
            <w:tcW w:w="6478" w:type="dxa"/>
            <w:noWrap w:val="0"/>
            <w:vAlign w:val="center"/>
          </w:tcPr>
          <w:p w14:paraId="735941AB">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default" w:ascii="Arial" w:hAnsi="Arial" w:eastAsia="宋体" w:cs="Arial"/>
                <w:sz w:val="22"/>
                <w:szCs w:val="22"/>
              </w:rPr>
              <w:t>第一条</w:t>
            </w:r>
            <w:r>
              <w:rPr>
                <w:rFonts w:hint="eastAsia" w:ascii="Arial" w:hAnsi="Arial" w:eastAsia="宋体" w:cs="Arial"/>
                <w:sz w:val="22"/>
                <w:szCs w:val="22"/>
                <w:lang w:eastAsia="zh-CN"/>
              </w:rPr>
              <w:t>：</w:t>
            </w:r>
            <w:r>
              <w:rPr>
                <w:rFonts w:hint="default" w:ascii="Arial" w:hAnsi="Arial" w:eastAsia="宋体" w:cs="Arial"/>
                <w:sz w:val="22"/>
                <w:szCs w:val="22"/>
              </w:rPr>
              <w:t>深入实施农村</w:t>
            </w:r>
            <w:r>
              <w:rPr>
                <w:rFonts w:hint="eastAsia" w:ascii="宋体" w:hAnsi="宋体" w:eastAsia="宋体" w:cs="宋体"/>
                <w:sz w:val="22"/>
                <w:szCs w:val="22"/>
              </w:rPr>
              <w:t>“厕所革命”</w:t>
            </w:r>
            <w:r>
              <w:rPr>
                <w:rFonts w:hint="default" w:ascii="Arial" w:hAnsi="Arial" w:eastAsia="宋体" w:cs="Arial"/>
                <w:sz w:val="22"/>
                <w:szCs w:val="22"/>
              </w:rPr>
              <w:t>，推进农村生活垃圾治理和农村生活污水治理，基本消除较大面积农村黑臭水体，整治提升农村人居环境。</w:t>
            </w:r>
          </w:p>
        </w:tc>
        <w:tc>
          <w:tcPr>
            <w:tcW w:w="2990" w:type="dxa"/>
            <w:noWrap w:val="0"/>
            <w:vAlign w:val="center"/>
          </w:tcPr>
          <w:p w14:paraId="3233A0C7">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不涉及</w:t>
            </w:r>
          </w:p>
        </w:tc>
        <w:tc>
          <w:tcPr>
            <w:tcW w:w="970" w:type="dxa"/>
            <w:tcBorders>
              <w:right w:val="single" w:color="auto" w:sz="12" w:space="0"/>
            </w:tcBorders>
            <w:noWrap w:val="0"/>
            <w:vAlign w:val="center"/>
          </w:tcPr>
          <w:p w14:paraId="51FBD4BD">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w:t>
            </w:r>
          </w:p>
        </w:tc>
      </w:tr>
      <w:tr w14:paraId="2CCE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31EF0EDA">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1847" w:type="dxa"/>
            <w:noWrap w:val="0"/>
            <w:vAlign w:val="center"/>
          </w:tcPr>
          <w:p w14:paraId="7D00924F">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eastAsia="宋体" w:cs="Arial"/>
                <w:sz w:val="22"/>
                <w:szCs w:val="22"/>
                <w:lang w:eastAsia="zh-CN"/>
              </w:rPr>
              <w:t>污染物排放管控</w:t>
            </w:r>
          </w:p>
        </w:tc>
        <w:tc>
          <w:tcPr>
            <w:tcW w:w="6478" w:type="dxa"/>
            <w:noWrap w:val="0"/>
            <w:vAlign w:val="center"/>
          </w:tcPr>
          <w:p w14:paraId="221BD922">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eastAsia="宋体" w:cs="Arial"/>
                <w:sz w:val="22"/>
                <w:szCs w:val="22"/>
                <w:lang w:eastAsia="zh-CN"/>
              </w:rPr>
              <w:t>第二条：加强畜禽粪污资源化利用，加快推动长江沿线畜禽规模化养殖场粪污处理配套设施装备提档升级，推进畜禽养殖户粪污处理设施装备配套，推行畜禽粪肥低成本、机械化、就地就近还田，推进水产养殖尾水治理，强化水产养殖投入品使用管理。</w:t>
            </w:r>
          </w:p>
        </w:tc>
        <w:tc>
          <w:tcPr>
            <w:tcW w:w="2990" w:type="dxa"/>
            <w:noWrap w:val="0"/>
            <w:vAlign w:val="center"/>
          </w:tcPr>
          <w:p w14:paraId="5767A946">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不涉及</w:t>
            </w:r>
          </w:p>
        </w:tc>
        <w:tc>
          <w:tcPr>
            <w:tcW w:w="970" w:type="dxa"/>
            <w:tcBorders>
              <w:right w:val="single" w:color="auto" w:sz="12" w:space="0"/>
            </w:tcBorders>
            <w:noWrap w:val="0"/>
            <w:vAlign w:val="center"/>
          </w:tcPr>
          <w:p w14:paraId="18D7D489">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w:t>
            </w:r>
          </w:p>
        </w:tc>
      </w:tr>
      <w:tr w14:paraId="3ADF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restart"/>
            <w:tcBorders>
              <w:left w:val="single" w:color="auto" w:sz="12" w:space="0"/>
            </w:tcBorders>
            <w:noWrap w:val="0"/>
            <w:vAlign w:val="center"/>
          </w:tcPr>
          <w:p w14:paraId="034756DC">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eastAsia" w:ascii="Arial" w:hAnsi="Arial" w:cs="Arial"/>
                <w:sz w:val="22"/>
                <w:szCs w:val="22"/>
                <w:lang w:eastAsia="zh-CN"/>
              </w:rPr>
              <w:t>丰都县</w:t>
            </w:r>
            <w:r>
              <w:rPr>
                <w:rFonts w:hint="default" w:ascii="Arial" w:hAnsi="Arial" w:eastAsia="宋体" w:cs="Arial"/>
                <w:sz w:val="22"/>
                <w:szCs w:val="22"/>
              </w:rPr>
              <w:t>总体管控要求</w:t>
            </w:r>
          </w:p>
        </w:tc>
        <w:tc>
          <w:tcPr>
            <w:tcW w:w="1847" w:type="dxa"/>
            <w:vMerge w:val="restart"/>
            <w:noWrap w:val="0"/>
            <w:vAlign w:val="center"/>
          </w:tcPr>
          <w:p w14:paraId="217690E8">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default" w:ascii="Arial" w:hAnsi="Arial" w:eastAsia="宋体" w:cs="Arial"/>
                <w:sz w:val="22"/>
                <w:szCs w:val="22"/>
              </w:rPr>
              <w:t>空间布局约束</w:t>
            </w:r>
          </w:p>
        </w:tc>
        <w:tc>
          <w:tcPr>
            <w:tcW w:w="6478" w:type="dxa"/>
            <w:noWrap w:val="0"/>
            <w:vAlign w:val="top"/>
          </w:tcPr>
          <w:p w14:paraId="39AB4C50">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第一条</w:t>
            </w:r>
            <w:r>
              <w:rPr>
                <w:rFonts w:hint="eastAsia" w:ascii="Arial" w:hAnsi="Arial" w:eastAsia="宋体" w:cs="Arial"/>
                <w:kern w:val="0"/>
                <w:sz w:val="22"/>
                <w:szCs w:val="22"/>
                <w:lang w:eastAsia="zh-CN"/>
              </w:rPr>
              <w:t>：</w:t>
            </w:r>
            <w:r>
              <w:rPr>
                <w:rFonts w:hint="default" w:ascii="Arial" w:hAnsi="Arial" w:eastAsia="宋体" w:cs="Arial"/>
                <w:kern w:val="0"/>
                <w:sz w:val="22"/>
                <w:szCs w:val="22"/>
              </w:rPr>
              <w:t>执行重点管控单元市级总体要求第一条、第二条、第三条、第五条和第七条。</w:t>
            </w:r>
          </w:p>
        </w:tc>
        <w:tc>
          <w:tcPr>
            <w:tcW w:w="2990" w:type="dxa"/>
            <w:noWrap w:val="0"/>
            <w:vAlign w:val="center"/>
          </w:tcPr>
          <w:p w14:paraId="3934B291">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eastAsia="zh-CN"/>
              </w:rPr>
              <w:t>本项目所在地为一般管控单元。</w:t>
            </w:r>
          </w:p>
        </w:tc>
        <w:tc>
          <w:tcPr>
            <w:tcW w:w="970" w:type="dxa"/>
            <w:tcBorders>
              <w:right w:val="single" w:color="auto" w:sz="12" w:space="0"/>
            </w:tcBorders>
            <w:noWrap w:val="0"/>
            <w:vAlign w:val="center"/>
          </w:tcPr>
          <w:p w14:paraId="45ACFDA2">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val="en-US" w:eastAsia="zh-CN"/>
              </w:rPr>
            </w:pPr>
            <w:r>
              <w:rPr>
                <w:rFonts w:hint="eastAsia" w:ascii="Arial" w:hAnsi="Arial" w:cs="Arial"/>
                <w:sz w:val="22"/>
                <w:szCs w:val="22"/>
                <w:lang w:val="en-US" w:eastAsia="zh-CN"/>
              </w:rPr>
              <w:t>/</w:t>
            </w:r>
          </w:p>
        </w:tc>
      </w:tr>
      <w:tr w14:paraId="12F3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2BDDCD0A">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p>
        </w:tc>
        <w:tc>
          <w:tcPr>
            <w:tcW w:w="1847" w:type="dxa"/>
            <w:vMerge w:val="continue"/>
            <w:noWrap w:val="0"/>
            <w:vAlign w:val="center"/>
          </w:tcPr>
          <w:p w14:paraId="1421B823">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top"/>
          </w:tcPr>
          <w:p w14:paraId="3E05DA6E">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第二条</w:t>
            </w:r>
            <w:r>
              <w:rPr>
                <w:rFonts w:hint="eastAsia" w:ascii="Arial" w:hAnsi="Arial" w:eastAsia="宋体" w:cs="Arial"/>
                <w:kern w:val="0"/>
                <w:sz w:val="22"/>
                <w:szCs w:val="22"/>
                <w:lang w:eastAsia="zh-CN"/>
              </w:rPr>
              <w:t>：</w:t>
            </w:r>
            <w:r>
              <w:rPr>
                <w:rFonts w:hint="default" w:ascii="Arial" w:hAnsi="Arial" w:eastAsia="宋体" w:cs="Arial"/>
                <w:kern w:val="0"/>
                <w:sz w:val="22"/>
                <w:szCs w:val="22"/>
              </w:rPr>
              <w:t>严把项目准入关口，对不符合要求的高耗能、高排放、低水平项目坚决不予准入。除在安全或者产业布局等方面有特殊要求的项目外，新建有污染物排放的工业项目应当进入工业集聚区，不得在工业园</w:t>
            </w:r>
            <w:r>
              <w:rPr>
                <w:rFonts w:hint="eastAsia" w:ascii="宋体" w:hAnsi="宋体" w:eastAsia="宋体" w:cs="宋体"/>
                <w:kern w:val="0"/>
                <w:sz w:val="22"/>
                <w:szCs w:val="22"/>
              </w:rPr>
              <w:t>区(工业集聚区)以外区域</w:t>
            </w:r>
            <w:r>
              <w:rPr>
                <w:rFonts w:hint="default" w:ascii="Arial" w:hAnsi="Arial" w:eastAsia="宋体" w:cs="Arial"/>
                <w:kern w:val="0"/>
                <w:sz w:val="22"/>
                <w:szCs w:val="22"/>
              </w:rPr>
              <w:t>实施单纯增加产能的技改</w:t>
            </w:r>
            <w:r>
              <w:rPr>
                <w:rFonts w:hint="eastAsia" w:ascii="宋体" w:hAnsi="宋体" w:eastAsia="宋体" w:cs="宋体"/>
                <w:kern w:val="0"/>
                <w:sz w:val="22"/>
                <w:szCs w:val="22"/>
              </w:rPr>
              <w:t>(扩建)</w:t>
            </w:r>
            <w:r>
              <w:rPr>
                <w:rFonts w:hint="default" w:ascii="Arial" w:hAnsi="Arial" w:eastAsia="宋体" w:cs="Arial"/>
                <w:kern w:val="0"/>
                <w:sz w:val="22"/>
                <w:szCs w:val="22"/>
              </w:rPr>
              <w:t>工业项目</w:t>
            </w:r>
            <w:r>
              <w:rPr>
                <w:rFonts w:hint="eastAsia" w:ascii="Arial" w:hAnsi="Arial" w:eastAsia="宋体" w:cs="Arial"/>
                <w:kern w:val="0"/>
                <w:sz w:val="22"/>
                <w:szCs w:val="22"/>
                <w:lang w:eastAsia="zh-CN"/>
              </w:rPr>
              <w:t>；</w:t>
            </w:r>
            <w:r>
              <w:rPr>
                <w:rFonts w:hint="default" w:ascii="Arial" w:hAnsi="Arial" w:eastAsia="宋体" w:cs="Arial"/>
                <w:kern w:val="0"/>
                <w:sz w:val="22"/>
                <w:szCs w:val="22"/>
              </w:rPr>
              <w:t>新建化工项目应当进入全市统一布局的化工产业集聚区</w:t>
            </w:r>
            <w:r>
              <w:rPr>
                <w:rFonts w:hint="eastAsia" w:ascii="Arial" w:hAnsi="Arial" w:eastAsia="宋体" w:cs="Arial"/>
                <w:kern w:val="0"/>
                <w:sz w:val="22"/>
                <w:szCs w:val="22"/>
                <w:lang w:eastAsia="zh-CN"/>
              </w:rPr>
              <w:t>；</w:t>
            </w:r>
            <w:r>
              <w:rPr>
                <w:rFonts w:hint="default" w:ascii="Arial" w:hAnsi="Arial" w:eastAsia="宋体" w:cs="Arial"/>
                <w:kern w:val="0"/>
                <w:sz w:val="22"/>
                <w:szCs w:val="22"/>
              </w:rPr>
              <w:t>鼓励现有工业项目、化工项目分别搬入工业集聚区、化工产业集聚区。</w:t>
            </w:r>
          </w:p>
        </w:tc>
        <w:tc>
          <w:tcPr>
            <w:tcW w:w="2990" w:type="dxa"/>
            <w:noWrap w:val="0"/>
            <w:vAlign w:val="center"/>
          </w:tcPr>
          <w:p w14:paraId="3C77E7B1">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本项目为水库建设，不属于工业项目。</w:t>
            </w:r>
          </w:p>
        </w:tc>
        <w:tc>
          <w:tcPr>
            <w:tcW w:w="970" w:type="dxa"/>
            <w:tcBorders>
              <w:right w:val="single" w:color="auto" w:sz="12" w:space="0"/>
            </w:tcBorders>
            <w:noWrap w:val="0"/>
            <w:vAlign w:val="center"/>
          </w:tcPr>
          <w:p w14:paraId="43A5ADFE">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569C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6F45F4A7">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p>
        </w:tc>
        <w:tc>
          <w:tcPr>
            <w:tcW w:w="1847" w:type="dxa"/>
            <w:vMerge w:val="continue"/>
            <w:noWrap w:val="0"/>
            <w:vAlign w:val="center"/>
          </w:tcPr>
          <w:p w14:paraId="26F73B76">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top"/>
          </w:tcPr>
          <w:p w14:paraId="36589590">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第三条</w:t>
            </w:r>
            <w:r>
              <w:rPr>
                <w:rFonts w:hint="eastAsia" w:ascii="Arial" w:hAnsi="Arial" w:eastAsia="宋体" w:cs="Arial"/>
                <w:kern w:val="0"/>
                <w:sz w:val="22"/>
                <w:szCs w:val="22"/>
                <w:lang w:eastAsia="zh-CN"/>
              </w:rPr>
              <w:t>：</w:t>
            </w:r>
            <w:r>
              <w:rPr>
                <w:rFonts w:hint="default" w:ascii="Arial" w:hAnsi="Arial" w:eastAsia="宋体" w:cs="Arial"/>
                <w:kern w:val="0"/>
                <w:sz w:val="22"/>
                <w:szCs w:val="22"/>
              </w:rPr>
              <w:t>与敏感用地</w:t>
            </w:r>
            <w:r>
              <w:rPr>
                <w:rFonts w:hint="eastAsia" w:ascii="宋体" w:hAnsi="宋体" w:eastAsia="宋体" w:cs="宋体"/>
                <w:kern w:val="0"/>
                <w:sz w:val="22"/>
                <w:szCs w:val="22"/>
              </w:rPr>
              <w:t>(居住、教育、医疗)相邻的</w:t>
            </w:r>
            <w:r>
              <w:rPr>
                <w:rFonts w:hint="default" w:ascii="Arial" w:hAnsi="Arial" w:eastAsia="宋体" w:cs="Arial"/>
                <w:kern w:val="0"/>
                <w:sz w:val="22"/>
                <w:szCs w:val="22"/>
              </w:rPr>
              <w:t>工业地块严格控制排放《有毒有害大气污染物名录》所列大气环境污染物以及《危险化学品目录》所列剧毒物质的项目建设，建设涉及恶臭异味物质等易扰民污染物排放的项目应进行严格论证。涉及环境防护距离的工业企业或项目应通过选址或调整布局原则上将环境防护距离控制在园区边界或用地红线内，提前合理规划项目地块布置、预防环境风</w:t>
            </w:r>
            <w:r>
              <w:rPr>
                <w:rFonts w:hint="eastAsia" w:ascii="Arial" w:hAnsi="Arial" w:eastAsia="宋体" w:cs="Arial"/>
                <w:kern w:val="0"/>
                <w:sz w:val="22"/>
                <w:szCs w:val="22"/>
                <w:lang w:eastAsia="zh-CN"/>
              </w:rPr>
              <w:t>险。</w:t>
            </w:r>
          </w:p>
        </w:tc>
        <w:tc>
          <w:tcPr>
            <w:tcW w:w="2990" w:type="dxa"/>
            <w:noWrap w:val="0"/>
            <w:vAlign w:val="center"/>
          </w:tcPr>
          <w:p w14:paraId="2CCD1784">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eastAsia" w:ascii="Arial" w:hAnsi="Arial" w:cs="Arial"/>
                <w:sz w:val="22"/>
                <w:szCs w:val="22"/>
                <w:lang w:eastAsia="zh-CN"/>
              </w:rPr>
              <w:t>本项目为水库建设，运营期无废气产生。</w:t>
            </w:r>
          </w:p>
        </w:tc>
        <w:tc>
          <w:tcPr>
            <w:tcW w:w="970" w:type="dxa"/>
            <w:tcBorders>
              <w:right w:val="single" w:color="auto" w:sz="12" w:space="0"/>
            </w:tcBorders>
            <w:noWrap w:val="0"/>
            <w:vAlign w:val="center"/>
          </w:tcPr>
          <w:p w14:paraId="2CE04CD1">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7331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141E574A">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p>
        </w:tc>
        <w:tc>
          <w:tcPr>
            <w:tcW w:w="1847" w:type="dxa"/>
            <w:vMerge w:val="continue"/>
            <w:noWrap w:val="0"/>
            <w:vAlign w:val="center"/>
          </w:tcPr>
          <w:p w14:paraId="4BCB29F5">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top"/>
          </w:tcPr>
          <w:p w14:paraId="2ADE5A15">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第四条</w:t>
            </w:r>
            <w:r>
              <w:rPr>
                <w:rFonts w:hint="eastAsia" w:ascii="Arial" w:hAnsi="Arial" w:eastAsia="宋体" w:cs="Arial"/>
                <w:kern w:val="0"/>
                <w:sz w:val="22"/>
                <w:szCs w:val="22"/>
                <w:lang w:eastAsia="zh-CN"/>
              </w:rPr>
              <w:t>：</w:t>
            </w:r>
            <w:r>
              <w:rPr>
                <w:rFonts w:hint="default" w:ascii="Arial" w:hAnsi="Arial" w:eastAsia="宋体" w:cs="Arial"/>
                <w:kern w:val="0"/>
                <w:sz w:val="22"/>
                <w:szCs w:val="22"/>
              </w:rPr>
              <w:t>禁止在长江岸线一公里范围内布局新建重化工、纸浆制造、印染等存在环境风险的项目。</w:t>
            </w:r>
          </w:p>
        </w:tc>
        <w:tc>
          <w:tcPr>
            <w:tcW w:w="2990" w:type="dxa"/>
            <w:noWrap w:val="0"/>
            <w:vAlign w:val="center"/>
          </w:tcPr>
          <w:p w14:paraId="17DED582">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eastAsia" w:ascii="Arial" w:hAnsi="Arial" w:cs="Arial"/>
                <w:sz w:val="22"/>
                <w:szCs w:val="22"/>
                <w:lang w:eastAsia="zh-CN"/>
              </w:rPr>
              <w:t>本项目为水库建设，不属于工业项目。</w:t>
            </w:r>
          </w:p>
        </w:tc>
        <w:tc>
          <w:tcPr>
            <w:tcW w:w="970" w:type="dxa"/>
            <w:tcBorders>
              <w:right w:val="single" w:color="auto" w:sz="12" w:space="0"/>
            </w:tcBorders>
            <w:noWrap w:val="0"/>
            <w:vAlign w:val="center"/>
          </w:tcPr>
          <w:p w14:paraId="36193C86">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373A2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7CCD8801">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p>
        </w:tc>
        <w:tc>
          <w:tcPr>
            <w:tcW w:w="1847" w:type="dxa"/>
            <w:vMerge w:val="continue"/>
            <w:noWrap w:val="0"/>
            <w:vAlign w:val="center"/>
          </w:tcPr>
          <w:p w14:paraId="4127E74F">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top"/>
          </w:tcPr>
          <w:p w14:paraId="15E5ABE6">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第五条</w:t>
            </w:r>
            <w:r>
              <w:rPr>
                <w:rFonts w:hint="eastAsia" w:ascii="Arial" w:hAnsi="Arial" w:eastAsia="宋体" w:cs="Arial"/>
                <w:kern w:val="0"/>
                <w:sz w:val="22"/>
                <w:szCs w:val="22"/>
                <w:lang w:eastAsia="zh-CN"/>
              </w:rPr>
              <w:t>：</w:t>
            </w:r>
            <w:r>
              <w:rPr>
                <w:rFonts w:hint="default" w:ascii="Arial" w:hAnsi="Arial" w:eastAsia="宋体" w:cs="Arial"/>
                <w:kern w:val="0"/>
                <w:sz w:val="22"/>
                <w:szCs w:val="22"/>
              </w:rPr>
              <w:t>推进三峡库区消落带湿地保护与恢复，按照保留保护区、生态修复区和工程治理区，对三峡库区消落区实行分区保护和多级治理。</w:t>
            </w:r>
          </w:p>
        </w:tc>
        <w:tc>
          <w:tcPr>
            <w:tcW w:w="2990" w:type="dxa"/>
            <w:noWrap w:val="0"/>
            <w:vAlign w:val="center"/>
          </w:tcPr>
          <w:p w14:paraId="7404A75C">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本项目位于海螺沟流域，未在三峡水库消落带内。</w:t>
            </w:r>
          </w:p>
        </w:tc>
        <w:tc>
          <w:tcPr>
            <w:tcW w:w="970" w:type="dxa"/>
            <w:tcBorders>
              <w:right w:val="single" w:color="auto" w:sz="12" w:space="0"/>
            </w:tcBorders>
            <w:noWrap w:val="0"/>
            <w:vAlign w:val="center"/>
          </w:tcPr>
          <w:p w14:paraId="4608D302">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5689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0BD4C689">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p>
        </w:tc>
        <w:tc>
          <w:tcPr>
            <w:tcW w:w="1847" w:type="dxa"/>
            <w:vMerge w:val="continue"/>
            <w:noWrap w:val="0"/>
            <w:vAlign w:val="center"/>
          </w:tcPr>
          <w:p w14:paraId="319226A4">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top"/>
          </w:tcPr>
          <w:p w14:paraId="49360805">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第六条</w:t>
            </w:r>
            <w:r>
              <w:rPr>
                <w:rFonts w:hint="eastAsia" w:ascii="Arial" w:hAnsi="Arial" w:eastAsia="宋体" w:cs="Arial"/>
                <w:kern w:val="0"/>
                <w:sz w:val="22"/>
                <w:szCs w:val="22"/>
                <w:lang w:eastAsia="zh-CN"/>
              </w:rPr>
              <w:t>：</w:t>
            </w:r>
            <w:r>
              <w:rPr>
                <w:rFonts w:hint="default" w:ascii="Arial" w:hAnsi="Arial" w:eastAsia="宋体" w:cs="Arial"/>
                <w:kern w:val="0"/>
                <w:sz w:val="22"/>
                <w:szCs w:val="22"/>
              </w:rPr>
              <w:t>长江防洪标准水位或者防洪护岸工程划定的河道管理范围外侧，城镇规划建设用地内尚未建设的区域应当控制不少于五十米的绿化缓冲带，非城镇建设用地区域应当控制不少于一百米的绿化缓冲带。长江一级支流河道管理范围外侧，城镇规划建设用地内尚未建设的区域应当控制不少于三十米的绿化缓冲带，非城镇建设用地区域应当控制不少于一百米的绿化缓冲带。长江的二级、三级支流河道管理范围外侧，城镇规划建设用地内尚未建设的区域应当控制不少于十米的绿化缓冲带。绿化缓冲带内应当保持原有的状况和自然形态，原则上应当为绿地，除护岸工程、市政设施等必要的建设外，禁止修建任何建筑物和构筑物。禁止破坏生态环境的行为，对已有人为破坏的应当进行生态修复。</w:t>
            </w:r>
          </w:p>
        </w:tc>
        <w:tc>
          <w:tcPr>
            <w:tcW w:w="2990" w:type="dxa"/>
            <w:noWrap w:val="0"/>
            <w:vAlign w:val="center"/>
          </w:tcPr>
          <w:p w14:paraId="594967EC">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本项目为水库建设，位于海螺沟流域，为长江三级支流，不属于</w:t>
            </w:r>
            <w:r>
              <w:rPr>
                <w:rFonts w:hint="default" w:ascii="Arial" w:hAnsi="Arial" w:eastAsia="宋体" w:cs="Arial"/>
                <w:kern w:val="0"/>
                <w:sz w:val="22"/>
                <w:szCs w:val="22"/>
              </w:rPr>
              <w:t>城镇规划建设用地</w:t>
            </w:r>
            <w:r>
              <w:rPr>
                <w:rFonts w:hint="eastAsia" w:ascii="Arial" w:hAnsi="Arial" w:eastAsia="宋体" w:cs="Arial"/>
                <w:kern w:val="0"/>
                <w:sz w:val="22"/>
                <w:szCs w:val="22"/>
                <w:lang w:eastAsia="zh-CN"/>
              </w:rPr>
              <w:t>。</w:t>
            </w:r>
          </w:p>
        </w:tc>
        <w:tc>
          <w:tcPr>
            <w:tcW w:w="970" w:type="dxa"/>
            <w:tcBorders>
              <w:right w:val="single" w:color="auto" w:sz="12" w:space="0"/>
            </w:tcBorders>
            <w:noWrap w:val="0"/>
            <w:vAlign w:val="center"/>
          </w:tcPr>
          <w:p w14:paraId="2B5A507D">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316BB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6FB7877D">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p>
        </w:tc>
        <w:tc>
          <w:tcPr>
            <w:tcW w:w="1847" w:type="dxa"/>
            <w:vMerge w:val="continue"/>
            <w:noWrap w:val="0"/>
            <w:vAlign w:val="center"/>
          </w:tcPr>
          <w:p w14:paraId="4E881D2C">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top"/>
          </w:tcPr>
          <w:p w14:paraId="0205BE41">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第七条</w:t>
            </w:r>
            <w:r>
              <w:rPr>
                <w:rFonts w:hint="eastAsia" w:ascii="Arial" w:hAnsi="Arial" w:eastAsia="宋体" w:cs="Arial"/>
                <w:kern w:val="0"/>
                <w:sz w:val="22"/>
                <w:szCs w:val="22"/>
                <w:lang w:eastAsia="zh-CN"/>
              </w:rPr>
              <w:t>：</w:t>
            </w:r>
            <w:r>
              <w:rPr>
                <w:rFonts w:hint="default" w:ascii="Arial" w:hAnsi="Arial" w:eastAsia="宋体" w:cs="Arial"/>
                <w:kern w:val="0"/>
                <w:sz w:val="22"/>
                <w:szCs w:val="22"/>
              </w:rPr>
              <w:t>旅游开发建设规模和旅游活动规模不得超过旅游区的生态环境承载力，旅游区内人工景点与服务设施的性质、布局、规模、体量、高度、造型、用材、质感及色彩等应与自然景观和当地的历史文化相协调，不得建设降低景观相容性或破坏景观的项目。</w:t>
            </w:r>
          </w:p>
        </w:tc>
        <w:tc>
          <w:tcPr>
            <w:tcW w:w="2990" w:type="dxa"/>
            <w:noWrap w:val="0"/>
            <w:vAlign w:val="center"/>
          </w:tcPr>
          <w:p w14:paraId="79810CA0">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eastAsia" w:ascii="Arial" w:hAnsi="Arial" w:cs="Arial"/>
                <w:sz w:val="22"/>
                <w:szCs w:val="22"/>
                <w:lang w:eastAsia="zh-CN"/>
              </w:rPr>
              <w:t>本项目为水库建设，不属于旅游开发。</w:t>
            </w:r>
          </w:p>
        </w:tc>
        <w:tc>
          <w:tcPr>
            <w:tcW w:w="970" w:type="dxa"/>
            <w:tcBorders>
              <w:right w:val="single" w:color="auto" w:sz="12" w:space="0"/>
            </w:tcBorders>
            <w:noWrap w:val="0"/>
            <w:vAlign w:val="center"/>
          </w:tcPr>
          <w:p w14:paraId="3980050C">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7734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51C4679B">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p>
        </w:tc>
        <w:tc>
          <w:tcPr>
            <w:tcW w:w="1847" w:type="dxa"/>
            <w:vMerge w:val="restart"/>
            <w:noWrap w:val="0"/>
            <w:vAlign w:val="center"/>
          </w:tcPr>
          <w:p w14:paraId="34AD30CD">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eastAsia" w:ascii="Arial" w:hAnsi="Arial" w:eastAsia="宋体" w:cs="Arial"/>
                <w:sz w:val="22"/>
                <w:szCs w:val="22"/>
                <w:lang w:eastAsia="zh-CN"/>
              </w:rPr>
              <w:t>污染物排放管控</w:t>
            </w:r>
          </w:p>
        </w:tc>
        <w:tc>
          <w:tcPr>
            <w:tcW w:w="6478" w:type="dxa"/>
            <w:noWrap w:val="0"/>
            <w:vAlign w:val="top"/>
          </w:tcPr>
          <w:p w14:paraId="3BC9A13D">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第八条</w:t>
            </w:r>
            <w:r>
              <w:rPr>
                <w:rFonts w:hint="eastAsia" w:ascii="Arial" w:hAnsi="Arial" w:eastAsia="宋体" w:cs="Arial"/>
                <w:kern w:val="0"/>
                <w:sz w:val="22"/>
                <w:szCs w:val="22"/>
                <w:lang w:eastAsia="zh-CN"/>
              </w:rPr>
              <w:t>：</w:t>
            </w:r>
            <w:r>
              <w:rPr>
                <w:rFonts w:hint="default" w:ascii="Arial" w:hAnsi="Arial" w:eastAsia="宋体" w:cs="Arial"/>
                <w:kern w:val="0"/>
                <w:sz w:val="22"/>
                <w:szCs w:val="22"/>
              </w:rPr>
              <w:t>执行重点管控单元市级总体要求第八条、第九条、第十条、第十一条、第十三条、第十四条和第十五条。</w:t>
            </w:r>
          </w:p>
        </w:tc>
        <w:tc>
          <w:tcPr>
            <w:tcW w:w="2990" w:type="dxa"/>
            <w:shd w:val="clear" w:color="auto" w:fill="auto"/>
            <w:noWrap w:val="0"/>
            <w:vAlign w:val="center"/>
          </w:tcPr>
          <w:p w14:paraId="521A997D">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kern w:val="2"/>
                <w:sz w:val="22"/>
                <w:szCs w:val="22"/>
                <w:lang w:val="en-US" w:eastAsia="zh-CN" w:bidi="ar-SA"/>
              </w:rPr>
            </w:pPr>
            <w:r>
              <w:rPr>
                <w:rFonts w:hint="eastAsia" w:ascii="Arial" w:hAnsi="Arial" w:cs="Arial"/>
                <w:sz w:val="22"/>
                <w:szCs w:val="22"/>
                <w:lang w:eastAsia="zh-CN"/>
              </w:rPr>
              <w:t>本项目所在地为一般管控单元。</w:t>
            </w:r>
          </w:p>
        </w:tc>
        <w:tc>
          <w:tcPr>
            <w:tcW w:w="970" w:type="dxa"/>
            <w:tcBorders>
              <w:right w:val="single" w:color="auto" w:sz="12" w:space="0"/>
            </w:tcBorders>
            <w:shd w:val="clear" w:color="auto" w:fill="auto"/>
            <w:noWrap w:val="0"/>
            <w:vAlign w:val="center"/>
          </w:tcPr>
          <w:p w14:paraId="3D12ACF7">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kern w:val="2"/>
                <w:sz w:val="22"/>
                <w:szCs w:val="22"/>
                <w:lang w:val="en-US" w:eastAsia="zh-CN" w:bidi="ar-SA"/>
              </w:rPr>
            </w:pPr>
            <w:r>
              <w:rPr>
                <w:rFonts w:hint="eastAsia" w:ascii="Arial" w:hAnsi="Arial" w:cs="Arial"/>
                <w:sz w:val="22"/>
                <w:szCs w:val="22"/>
                <w:lang w:val="en-US" w:eastAsia="zh-CN"/>
              </w:rPr>
              <w:t>/</w:t>
            </w:r>
          </w:p>
        </w:tc>
      </w:tr>
      <w:tr w14:paraId="0F19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1A3CB65D">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p>
        </w:tc>
        <w:tc>
          <w:tcPr>
            <w:tcW w:w="1847" w:type="dxa"/>
            <w:vMerge w:val="continue"/>
            <w:noWrap w:val="0"/>
            <w:vAlign w:val="center"/>
          </w:tcPr>
          <w:p w14:paraId="699A9BAF">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top"/>
          </w:tcPr>
          <w:p w14:paraId="799E61D6">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第九条</w:t>
            </w:r>
            <w:r>
              <w:rPr>
                <w:rFonts w:hint="eastAsia" w:ascii="Arial" w:hAnsi="Arial" w:eastAsia="宋体" w:cs="Arial"/>
                <w:kern w:val="0"/>
                <w:sz w:val="22"/>
                <w:szCs w:val="22"/>
                <w:lang w:eastAsia="zh-CN"/>
              </w:rPr>
              <w:t>：</w:t>
            </w:r>
            <w:r>
              <w:rPr>
                <w:rFonts w:hint="default" w:ascii="Arial" w:hAnsi="Arial" w:eastAsia="宋体" w:cs="Arial"/>
                <w:kern w:val="0"/>
                <w:sz w:val="22"/>
                <w:szCs w:val="22"/>
              </w:rPr>
              <w:t>推进城镇生活污水处理设施升级改造。到2025年，全县城市污水处理厂出水水质均不低于《城镇污水处理厂污染物排放标准》（GB18918）一级A标排放标准，乡镇生活污水处理设施及日处理规模100吨以上的农村集中式生活污水处理站出水水质不得低于《城镇污水处理厂污染物排放标准》（GB18918）一级B标排放标准。加快实施雨污分流改造及城镇污水管网建设，完善城镇污水收集体系，提高污水收集率。对现有截留制排水管网实施雨污分流改造，针对无法彻底雨污分流的老城区，尊重现实合理保留截留制区域，提高截留倍数；对新建的排水管网，全部按照雨污分流模式实施建设。</w:t>
            </w:r>
          </w:p>
        </w:tc>
        <w:tc>
          <w:tcPr>
            <w:tcW w:w="2990" w:type="dxa"/>
            <w:shd w:val="clear" w:color="auto" w:fill="auto"/>
            <w:noWrap w:val="0"/>
            <w:vAlign w:val="center"/>
          </w:tcPr>
          <w:p w14:paraId="412D6A03">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kern w:val="2"/>
                <w:sz w:val="22"/>
                <w:szCs w:val="22"/>
                <w:lang w:val="en-US" w:eastAsia="zh-CN" w:bidi="ar-SA"/>
              </w:rPr>
            </w:pPr>
            <w:r>
              <w:rPr>
                <w:rFonts w:hint="eastAsia" w:ascii="Arial" w:hAnsi="Arial" w:cs="Arial"/>
                <w:sz w:val="22"/>
                <w:szCs w:val="22"/>
                <w:lang w:eastAsia="zh-CN"/>
              </w:rPr>
              <w:t>不涉及</w:t>
            </w:r>
          </w:p>
        </w:tc>
        <w:tc>
          <w:tcPr>
            <w:tcW w:w="970" w:type="dxa"/>
            <w:tcBorders>
              <w:right w:val="single" w:color="auto" w:sz="12" w:space="0"/>
            </w:tcBorders>
            <w:shd w:val="clear" w:color="auto" w:fill="auto"/>
            <w:noWrap w:val="0"/>
            <w:vAlign w:val="center"/>
          </w:tcPr>
          <w:p w14:paraId="552FEE42">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kern w:val="2"/>
                <w:sz w:val="22"/>
                <w:szCs w:val="22"/>
                <w:lang w:val="en-US" w:eastAsia="zh-CN" w:bidi="ar-SA"/>
              </w:rPr>
            </w:pPr>
            <w:r>
              <w:rPr>
                <w:rFonts w:hint="eastAsia" w:ascii="Arial" w:hAnsi="Arial" w:cs="Arial"/>
                <w:sz w:val="22"/>
                <w:szCs w:val="22"/>
                <w:lang w:val="en-US" w:eastAsia="zh-CN"/>
              </w:rPr>
              <w:t>/</w:t>
            </w:r>
          </w:p>
        </w:tc>
      </w:tr>
      <w:tr w14:paraId="6700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2F821514">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p>
        </w:tc>
        <w:tc>
          <w:tcPr>
            <w:tcW w:w="1847" w:type="dxa"/>
            <w:vMerge w:val="continue"/>
            <w:noWrap w:val="0"/>
            <w:vAlign w:val="center"/>
          </w:tcPr>
          <w:p w14:paraId="79F43A64">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top"/>
          </w:tcPr>
          <w:p w14:paraId="28C5FB4C">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第十条</w:t>
            </w:r>
            <w:r>
              <w:rPr>
                <w:rFonts w:hint="eastAsia" w:ascii="Arial" w:hAnsi="Arial" w:eastAsia="宋体" w:cs="Arial"/>
                <w:kern w:val="0"/>
                <w:sz w:val="22"/>
                <w:szCs w:val="22"/>
                <w:lang w:eastAsia="zh-CN"/>
              </w:rPr>
              <w:t>：</w:t>
            </w:r>
            <w:r>
              <w:rPr>
                <w:rFonts w:hint="default" w:ascii="Arial" w:hAnsi="Arial" w:eastAsia="宋体" w:cs="Arial"/>
                <w:kern w:val="0"/>
                <w:sz w:val="22"/>
                <w:szCs w:val="22"/>
              </w:rPr>
              <w:t>以碧溪河流域（丰都段）城镇生活源、榨菜废水、养殖污染防治为重点，全面推进碧溪河流域达标整治。加快沿线场镇、撤并场镇农村生活污水管网建设，推进乡镇污水处理厂升级改造确保达标排放，加强污水治理设施运营维护；加强榨菜初加工废水“水随菜走”规范处置监管，推进榨菜废水配套处理设施技术改造或建设；推广畜禽养殖清洁生产工艺，加强水产养殖尾水治理；实施碧溪河流域水环境生态修复工程。</w:t>
            </w:r>
          </w:p>
        </w:tc>
        <w:tc>
          <w:tcPr>
            <w:tcW w:w="2990" w:type="dxa"/>
            <w:noWrap w:val="0"/>
            <w:vAlign w:val="center"/>
          </w:tcPr>
          <w:p w14:paraId="6860BA95">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eastAsia" w:ascii="Arial" w:hAnsi="Arial" w:cs="Arial"/>
                <w:sz w:val="22"/>
                <w:szCs w:val="22"/>
                <w:lang w:eastAsia="zh-CN"/>
              </w:rPr>
              <w:t>本项目位于海螺沟流域，不涉及碧溪河流域。</w:t>
            </w:r>
          </w:p>
        </w:tc>
        <w:tc>
          <w:tcPr>
            <w:tcW w:w="970" w:type="dxa"/>
            <w:tcBorders>
              <w:right w:val="single" w:color="auto" w:sz="12" w:space="0"/>
            </w:tcBorders>
            <w:noWrap w:val="0"/>
            <w:vAlign w:val="center"/>
          </w:tcPr>
          <w:p w14:paraId="22E497D2">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6DF5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1F505930">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p>
        </w:tc>
        <w:tc>
          <w:tcPr>
            <w:tcW w:w="1847" w:type="dxa"/>
            <w:vMerge w:val="continue"/>
            <w:noWrap w:val="0"/>
            <w:vAlign w:val="center"/>
          </w:tcPr>
          <w:p w14:paraId="16BC12F1">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top"/>
          </w:tcPr>
          <w:p w14:paraId="22599078">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rPr>
            </w:pPr>
            <w:r>
              <w:rPr>
                <w:rFonts w:hint="default" w:ascii="Arial" w:hAnsi="Arial" w:eastAsia="宋体" w:cs="Arial"/>
                <w:kern w:val="0"/>
                <w:sz w:val="22"/>
                <w:szCs w:val="22"/>
              </w:rPr>
              <w:t>第十一条</w:t>
            </w:r>
            <w:r>
              <w:rPr>
                <w:rFonts w:hint="eastAsia" w:ascii="Arial" w:hAnsi="Arial" w:eastAsia="宋体" w:cs="Arial"/>
                <w:kern w:val="0"/>
                <w:sz w:val="22"/>
                <w:szCs w:val="22"/>
                <w:lang w:eastAsia="zh-CN"/>
              </w:rPr>
              <w:t>：</w:t>
            </w:r>
            <w:r>
              <w:rPr>
                <w:rFonts w:hint="default" w:ascii="Arial" w:hAnsi="Arial" w:eastAsia="宋体" w:cs="Arial"/>
                <w:kern w:val="0"/>
                <w:sz w:val="22"/>
                <w:szCs w:val="22"/>
              </w:rPr>
              <w:t>强化以南天湖度假区为主的旅游水污染防治，结合开发时序推进与规划城市及康养避暑服务人口规模相匹配的污水收集、处理系统建设，积极推广中水回用。</w:t>
            </w:r>
          </w:p>
        </w:tc>
        <w:tc>
          <w:tcPr>
            <w:tcW w:w="2990" w:type="dxa"/>
            <w:noWrap w:val="0"/>
            <w:vAlign w:val="center"/>
          </w:tcPr>
          <w:p w14:paraId="4FF54501">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本项目选址位于双龙镇田家山村，不涉及南天湖度假区。</w:t>
            </w:r>
          </w:p>
        </w:tc>
        <w:tc>
          <w:tcPr>
            <w:tcW w:w="970" w:type="dxa"/>
            <w:tcBorders>
              <w:right w:val="single" w:color="auto" w:sz="12" w:space="0"/>
            </w:tcBorders>
            <w:noWrap w:val="0"/>
            <w:vAlign w:val="center"/>
          </w:tcPr>
          <w:p w14:paraId="5CDF5FF9">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188A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6E51D1DA">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1847" w:type="dxa"/>
            <w:vMerge w:val="restart"/>
            <w:noWrap w:val="0"/>
            <w:vAlign w:val="center"/>
          </w:tcPr>
          <w:p w14:paraId="03D7D7CA">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default" w:ascii="Arial" w:hAnsi="Arial" w:eastAsia="宋体" w:cs="Arial"/>
                <w:sz w:val="22"/>
                <w:szCs w:val="22"/>
              </w:rPr>
              <w:t>环境风险防控</w:t>
            </w:r>
          </w:p>
        </w:tc>
        <w:tc>
          <w:tcPr>
            <w:tcW w:w="6478" w:type="dxa"/>
            <w:noWrap w:val="0"/>
            <w:vAlign w:val="center"/>
          </w:tcPr>
          <w:p w14:paraId="5C587C3A">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lang w:val="en-US" w:eastAsia="zh-CN"/>
              </w:rPr>
            </w:pPr>
            <w:r>
              <w:rPr>
                <w:rFonts w:hint="default" w:ascii="Arial" w:hAnsi="Arial" w:eastAsia="宋体" w:cs="Arial"/>
                <w:kern w:val="0"/>
                <w:sz w:val="22"/>
                <w:szCs w:val="22"/>
              </w:rPr>
              <w:t>第十二条</w:t>
            </w:r>
            <w:r>
              <w:rPr>
                <w:rFonts w:hint="eastAsia" w:ascii="Arial" w:hAnsi="Arial" w:eastAsia="宋体" w:cs="Arial"/>
                <w:kern w:val="0"/>
                <w:sz w:val="22"/>
                <w:szCs w:val="22"/>
                <w:lang w:eastAsia="zh-CN"/>
              </w:rPr>
              <w:t>：</w:t>
            </w:r>
            <w:r>
              <w:rPr>
                <w:rFonts w:hint="default" w:ascii="Arial" w:hAnsi="Arial" w:eastAsia="宋体" w:cs="Arial"/>
                <w:kern w:val="0"/>
                <w:sz w:val="22"/>
                <w:szCs w:val="22"/>
              </w:rPr>
              <w:t>执行重点管控单元市级总体要求第十六条、第十七条。</w:t>
            </w:r>
          </w:p>
        </w:tc>
        <w:tc>
          <w:tcPr>
            <w:tcW w:w="2990" w:type="dxa"/>
            <w:shd w:val="clear" w:color="auto" w:fill="auto"/>
            <w:noWrap w:val="0"/>
            <w:vAlign w:val="center"/>
          </w:tcPr>
          <w:p w14:paraId="17DE5C75">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kern w:val="2"/>
                <w:sz w:val="22"/>
                <w:szCs w:val="22"/>
                <w:lang w:val="en-US" w:eastAsia="zh-CN" w:bidi="ar-SA"/>
              </w:rPr>
            </w:pPr>
            <w:r>
              <w:rPr>
                <w:rFonts w:hint="eastAsia" w:ascii="Arial" w:hAnsi="Arial" w:cs="Arial"/>
                <w:sz w:val="22"/>
                <w:szCs w:val="22"/>
                <w:lang w:eastAsia="zh-CN"/>
              </w:rPr>
              <w:t>本项目所在地为一般管控单元。</w:t>
            </w:r>
          </w:p>
        </w:tc>
        <w:tc>
          <w:tcPr>
            <w:tcW w:w="970" w:type="dxa"/>
            <w:tcBorders>
              <w:right w:val="single" w:color="auto" w:sz="12" w:space="0"/>
            </w:tcBorders>
            <w:shd w:val="clear" w:color="auto" w:fill="auto"/>
            <w:noWrap w:val="0"/>
            <w:vAlign w:val="center"/>
          </w:tcPr>
          <w:p w14:paraId="70A0CE47">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kern w:val="2"/>
                <w:sz w:val="22"/>
                <w:szCs w:val="22"/>
                <w:lang w:val="en-US" w:eastAsia="zh-CN" w:bidi="ar-SA"/>
              </w:rPr>
            </w:pPr>
            <w:r>
              <w:rPr>
                <w:rFonts w:hint="eastAsia" w:ascii="Arial" w:hAnsi="Arial" w:cs="Arial"/>
                <w:sz w:val="22"/>
                <w:szCs w:val="22"/>
                <w:lang w:val="en-US" w:eastAsia="zh-CN"/>
              </w:rPr>
              <w:t>/</w:t>
            </w:r>
          </w:p>
        </w:tc>
      </w:tr>
      <w:tr w14:paraId="3635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7380D93C">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1847" w:type="dxa"/>
            <w:vMerge w:val="continue"/>
            <w:noWrap w:val="0"/>
            <w:vAlign w:val="center"/>
          </w:tcPr>
          <w:p w14:paraId="66763977">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center"/>
          </w:tcPr>
          <w:p w14:paraId="5B4F6BA3">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lang w:val="en-US" w:eastAsia="zh-CN"/>
              </w:rPr>
            </w:pPr>
            <w:r>
              <w:rPr>
                <w:rFonts w:hint="default" w:ascii="Arial" w:hAnsi="Arial" w:eastAsia="宋体" w:cs="Arial"/>
                <w:kern w:val="0"/>
                <w:sz w:val="22"/>
                <w:szCs w:val="22"/>
              </w:rPr>
              <w:t>第十三条</w:t>
            </w:r>
            <w:r>
              <w:rPr>
                <w:rFonts w:hint="eastAsia" w:ascii="Arial" w:hAnsi="Arial" w:eastAsia="宋体" w:cs="Arial"/>
                <w:kern w:val="0"/>
                <w:sz w:val="22"/>
                <w:szCs w:val="22"/>
                <w:lang w:eastAsia="zh-CN"/>
              </w:rPr>
              <w:t>：</w:t>
            </w:r>
            <w:r>
              <w:rPr>
                <w:rFonts w:hint="default" w:ascii="Arial" w:hAnsi="Arial" w:eastAsia="宋体" w:cs="Arial"/>
                <w:kern w:val="0"/>
                <w:sz w:val="22"/>
                <w:szCs w:val="22"/>
              </w:rPr>
              <w:t>丰都工业园区各组团加快设置危险化学品运输路线并严格执行，加快玉溪组团、镇江组团集中应急事故池、临江拦截设施建设，进一步优化完善风险防范措施和应急预案体系，及时更新、修订园区环境风险评估、应急预案报告并完成备案；工业组团内的项目对水环境存在安全隐患的，应当建立车间、工厂和集聚区三级环境风险防范体系；严控环境风险事故发生，严防事故废水进入长江。</w:t>
            </w:r>
          </w:p>
        </w:tc>
        <w:tc>
          <w:tcPr>
            <w:tcW w:w="2990" w:type="dxa"/>
            <w:noWrap w:val="0"/>
            <w:vAlign w:val="center"/>
          </w:tcPr>
          <w:p w14:paraId="357BAEA8">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本项目为水库建设，不属于工业园区。</w:t>
            </w:r>
          </w:p>
        </w:tc>
        <w:tc>
          <w:tcPr>
            <w:tcW w:w="970" w:type="dxa"/>
            <w:tcBorders>
              <w:right w:val="single" w:color="auto" w:sz="12" w:space="0"/>
            </w:tcBorders>
            <w:noWrap w:val="0"/>
            <w:vAlign w:val="center"/>
          </w:tcPr>
          <w:p w14:paraId="710AF3E3">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3B6E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5E11C043">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1847" w:type="dxa"/>
            <w:vMerge w:val="restart"/>
            <w:noWrap w:val="0"/>
            <w:vAlign w:val="center"/>
          </w:tcPr>
          <w:p w14:paraId="03067EEB">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default" w:ascii="Arial" w:hAnsi="Arial" w:eastAsia="宋体" w:cs="Arial"/>
                <w:sz w:val="22"/>
                <w:szCs w:val="22"/>
              </w:rPr>
              <w:t>资源开发利用效率</w:t>
            </w:r>
          </w:p>
        </w:tc>
        <w:tc>
          <w:tcPr>
            <w:tcW w:w="6478" w:type="dxa"/>
            <w:noWrap w:val="0"/>
            <w:vAlign w:val="center"/>
          </w:tcPr>
          <w:p w14:paraId="1C4FD7C1">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lang w:val="en-US" w:eastAsia="zh-CN"/>
              </w:rPr>
            </w:pPr>
            <w:r>
              <w:rPr>
                <w:rFonts w:hint="default" w:ascii="Arial" w:hAnsi="Arial" w:eastAsia="宋体" w:cs="Arial"/>
                <w:kern w:val="0"/>
                <w:sz w:val="22"/>
                <w:szCs w:val="22"/>
              </w:rPr>
              <w:t>第十四条</w:t>
            </w:r>
            <w:r>
              <w:rPr>
                <w:rFonts w:hint="eastAsia" w:ascii="Arial" w:hAnsi="Arial" w:eastAsia="宋体" w:cs="Arial"/>
                <w:kern w:val="0"/>
                <w:sz w:val="22"/>
                <w:szCs w:val="22"/>
                <w:lang w:eastAsia="zh-CN"/>
              </w:rPr>
              <w:t>：</w:t>
            </w:r>
            <w:r>
              <w:rPr>
                <w:rFonts w:hint="default" w:ascii="Arial" w:hAnsi="Arial" w:eastAsia="宋体" w:cs="Arial"/>
                <w:kern w:val="0"/>
                <w:sz w:val="22"/>
                <w:szCs w:val="22"/>
              </w:rPr>
              <w:t>执行重点管控单元市级总体要求第十八条、第十九条、第二十条、第二十一条、第二十二条。</w:t>
            </w:r>
          </w:p>
        </w:tc>
        <w:tc>
          <w:tcPr>
            <w:tcW w:w="2990" w:type="dxa"/>
            <w:shd w:val="clear" w:color="auto" w:fill="auto"/>
            <w:noWrap w:val="0"/>
            <w:vAlign w:val="center"/>
          </w:tcPr>
          <w:p w14:paraId="2D3E64C2">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kern w:val="2"/>
                <w:sz w:val="22"/>
                <w:szCs w:val="22"/>
                <w:lang w:val="en-US" w:eastAsia="zh-CN" w:bidi="ar-SA"/>
              </w:rPr>
            </w:pPr>
            <w:r>
              <w:rPr>
                <w:rFonts w:hint="eastAsia" w:ascii="Arial" w:hAnsi="Arial" w:cs="Arial"/>
                <w:sz w:val="22"/>
                <w:szCs w:val="22"/>
                <w:lang w:eastAsia="zh-CN"/>
              </w:rPr>
              <w:t>本项目所在地为一般管控单元。</w:t>
            </w:r>
          </w:p>
        </w:tc>
        <w:tc>
          <w:tcPr>
            <w:tcW w:w="970" w:type="dxa"/>
            <w:tcBorders>
              <w:right w:val="single" w:color="auto" w:sz="12" w:space="0"/>
            </w:tcBorders>
            <w:shd w:val="clear" w:color="auto" w:fill="auto"/>
            <w:noWrap w:val="0"/>
            <w:vAlign w:val="center"/>
          </w:tcPr>
          <w:p w14:paraId="50C81022">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kern w:val="2"/>
                <w:sz w:val="22"/>
                <w:szCs w:val="22"/>
                <w:lang w:val="en-US" w:eastAsia="zh-CN" w:bidi="ar-SA"/>
              </w:rPr>
            </w:pPr>
            <w:r>
              <w:rPr>
                <w:rFonts w:hint="eastAsia" w:ascii="Arial" w:hAnsi="Arial" w:cs="Arial"/>
                <w:sz w:val="22"/>
                <w:szCs w:val="22"/>
                <w:lang w:val="en-US" w:eastAsia="zh-CN"/>
              </w:rPr>
              <w:t>/</w:t>
            </w:r>
          </w:p>
        </w:tc>
      </w:tr>
      <w:tr w14:paraId="50DB5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0C970413">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1847" w:type="dxa"/>
            <w:vMerge w:val="continue"/>
            <w:noWrap w:val="0"/>
            <w:vAlign w:val="center"/>
          </w:tcPr>
          <w:p w14:paraId="522FC1CD">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center"/>
          </w:tcPr>
          <w:p w14:paraId="5AB93937">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lang w:val="en-US" w:eastAsia="zh-CN"/>
              </w:rPr>
            </w:pPr>
            <w:r>
              <w:rPr>
                <w:rFonts w:hint="default" w:ascii="Arial" w:hAnsi="Arial" w:eastAsia="宋体" w:cs="Arial"/>
                <w:kern w:val="0"/>
                <w:sz w:val="22"/>
                <w:szCs w:val="22"/>
              </w:rPr>
              <w:t>第十五条</w:t>
            </w:r>
            <w:r>
              <w:rPr>
                <w:rFonts w:hint="eastAsia" w:ascii="Arial" w:hAnsi="Arial" w:eastAsia="宋体" w:cs="Arial"/>
                <w:kern w:val="0"/>
                <w:sz w:val="22"/>
                <w:szCs w:val="22"/>
                <w:lang w:eastAsia="zh-CN"/>
              </w:rPr>
              <w:t>：</w:t>
            </w:r>
            <w:r>
              <w:rPr>
                <w:rFonts w:hint="default" w:ascii="Arial" w:hAnsi="Arial" w:eastAsia="宋体" w:cs="Arial"/>
                <w:kern w:val="0"/>
                <w:sz w:val="22"/>
                <w:szCs w:val="22"/>
              </w:rPr>
              <w:t>规范岸线利用，加强岸线生态保护修复。禁止建设不符合全国和省级港口布局规划以及港口总体规划的码头项目；按照《重庆港总体规划修编》，对现有散小码头进行整合提升，强化布局要求，落实污染防控措施；推进长江滨江地带岸线综合治理、生态缓冲带建设，恢复岸线生态服务功能。</w:t>
            </w:r>
          </w:p>
        </w:tc>
        <w:tc>
          <w:tcPr>
            <w:tcW w:w="2990" w:type="dxa"/>
            <w:noWrap w:val="0"/>
            <w:vAlign w:val="center"/>
          </w:tcPr>
          <w:p w14:paraId="6D8446B5">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本项目为水库建设，不属于码头。</w:t>
            </w:r>
          </w:p>
        </w:tc>
        <w:tc>
          <w:tcPr>
            <w:tcW w:w="970" w:type="dxa"/>
            <w:tcBorders>
              <w:right w:val="single" w:color="auto" w:sz="12" w:space="0"/>
            </w:tcBorders>
            <w:noWrap w:val="0"/>
            <w:vAlign w:val="center"/>
          </w:tcPr>
          <w:p w14:paraId="6D2B1866">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2F3C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5F7FD9D5">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1847" w:type="dxa"/>
            <w:vMerge w:val="continue"/>
            <w:noWrap w:val="0"/>
            <w:vAlign w:val="center"/>
          </w:tcPr>
          <w:p w14:paraId="07B8E603">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p>
        </w:tc>
        <w:tc>
          <w:tcPr>
            <w:tcW w:w="6478" w:type="dxa"/>
            <w:noWrap w:val="0"/>
            <w:vAlign w:val="center"/>
          </w:tcPr>
          <w:p w14:paraId="35B7465E">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kern w:val="0"/>
                <w:sz w:val="22"/>
                <w:szCs w:val="22"/>
                <w:lang w:val="en-US" w:eastAsia="zh-CN"/>
              </w:rPr>
            </w:pPr>
            <w:r>
              <w:rPr>
                <w:rFonts w:hint="default" w:ascii="Arial" w:hAnsi="Arial" w:eastAsia="宋体" w:cs="Arial"/>
                <w:kern w:val="0"/>
                <w:sz w:val="22"/>
                <w:szCs w:val="22"/>
              </w:rPr>
              <w:t>第十六条</w:t>
            </w:r>
            <w:r>
              <w:rPr>
                <w:rFonts w:hint="eastAsia" w:ascii="Arial" w:hAnsi="Arial" w:eastAsia="宋体" w:cs="Arial"/>
                <w:kern w:val="0"/>
                <w:sz w:val="22"/>
                <w:szCs w:val="22"/>
                <w:lang w:eastAsia="zh-CN"/>
              </w:rPr>
              <w:t>：</w:t>
            </w:r>
            <w:r>
              <w:rPr>
                <w:rFonts w:hint="default" w:ascii="Arial" w:hAnsi="Arial" w:eastAsia="宋体" w:cs="Arial"/>
                <w:kern w:val="0"/>
                <w:sz w:val="22"/>
                <w:szCs w:val="22"/>
              </w:rPr>
              <w:t>强化农业节水增效。推进高标准农田建设，提档升级农田水利设施，完善农田灌排工程体系，大中型灌区续建配套与节水改造推广渠道防渗、管道输水、喷灌、微灌等节水灌溉技术，发展区域规模化高效节水灌溉。</w:t>
            </w:r>
          </w:p>
        </w:tc>
        <w:tc>
          <w:tcPr>
            <w:tcW w:w="2990" w:type="dxa"/>
            <w:noWrap w:val="0"/>
            <w:vAlign w:val="center"/>
          </w:tcPr>
          <w:p w14:paraId="6E8EB61A">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eastAsia" w:ascii="Arial" w:hAnsi="Arial" w:cs="Arial"/>
                <w:color w:val="auto"/>
                <w:sz w:val="22"/>
                <w:szCs w:val="22"/>
                <w:highlight w:val="none"/>
                <w:lang w:eastAsia="zh-CN"/>
              </w:rPr>
              <w:t>本项目建成后可解决</w:t>
            </w:r>
            <w:r>
              <w:rPr>
                <w:rFonts w:hint="eastAsia" w:ascii="Arial" w:hAnsi="Arial" w:cs="Arial"/>
                <w:color w:val="auto"/>
                <w:sz w:val="22"/>
                <w:szCs w:val="22"/>
                <w:highlight w:val="none"/>
                <w:lang w:val="en-US" w:eastAsia="zh-CN"/>
              </w:rPr>
              <w:t>2000亩耕地的灌溉用水需求，同时本评价提出采取</w:t>
            </w:r>
            <w:r>
              <w:rPr>
                <w:spacing w:val="-1"/>
                <w:sz w:val="22"/>
                <w:szCs w:val="22"/>
              </w:rPr>
              <w:t>滴灌、喷灌等方式，以提高</w:t>
            </w:r>
            <w:r>
              <w:rPr>
                <w:sz w:val="22"/>
                <w:szCs w:val="22"/>
              </w:rPr>
              <w:t>水资源利用效率</w:t>
            </w:r>
            <w:r>
              <w:rPr>
                <w:rFonts w:hint="eastAsia"/>
                <w:sz w:val="22"/>
                <w:szCs w:val="22"/>
                <w:lang w:eastAsia="zh-CN"/>
              </w:rPr>
              <w:t>，强化农业节水。</w:t>
            </w:r>
          </w:p>
        </w:tc>
        <w:tc>
          <w:tcPr>
            <w:tcW w:w="970" w:type="dxa"/>
            <w:tcBorders>
              <w:right w:val="single" w:color="auto" w:sz="12" w:space="0"/>
            </w:tcBorders>
            <w:noWrap w:val="0"/>
            <w:vAlign w:val="center"/>
          </w:tcPr>
          <w:p w14:paraId="0F2ED0BC">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符合</w:t>
            </w:r>
          </w:p>
        </w:tc>
      </w:tr>
      <w:tr w14:paraId="1EDC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restart"/>
            <w:tcBorders>
              <w:left w:val="single" w:color="auto" w:sz="12" w:space="0"/>
            </w:tcBorders>
            <w:noWrap w:val="0"/>
            <w:vAlign w:val="center"/>
          </w:tcPr>
          <w:p w14:paraId="5038A8F8">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eastAsia="宋体" w:cs="Arial"/>
                <w:sz w:val="22"/>
                <w:szCs w:val="22"/>
              </w:rPr>
            </w:pPr>
            <w:r>
              <w:rPr>
                <w:rFonts w:hint="eastAsia" w:ascii="Arial" w:hAnsi="Arial" w:eastAsia="宋体" w:cs="Arial"/>
                <w:b w:val="0"/>
                <w:color w:val="auto"/>
                <w:kern w:val="2"/>
                <w:sz w:val="22"/>
                <w:szCs w:val="22"/>
                <w:lang w:val="en-US" w:eastAsia="zh-CN" w:bidi="ar-SA"/>
              </w:rPr>
              <w:t>ZH50023030003</w:t>
            </w:r>
            <w:r>
              <w:rPr>
                <w:rFonts w:hint="default" w:ascii="Arial" w:hAnsi="Arial" w:eastAsia="宋体" w:cs="Arial"/>
                <w:sz w:val="22"/>
                <w:szCs w:val="22"/>
              </w:rPr>
              <w:t>单元管控要求</w:t>
            </w:r>
          </w:p>
        </w:tc>
        <w:tc>
          <w:tcPr>
            <w:tcW w:w="1847" w:type="dxa"/>
            <w:noWrap w:val="0"/>
            <w:vAlign w:val="center"/>
          </w:tcPr>
          <w:p w14:paraId="0AACEFCF">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空间布局约束</w:t>
            </w:r>
          </w:p>
        </w:tc>
        <w:tc>
          <w:tcPr>
            <w:tcW w:w="6478" w:type="dxa"/>
            <w:noWrap w:val="0"/>
            <w:vAlign w:val="center"/>
          </w:tcPr>
          <w:p w14:paraId="4B102A4C">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eastAsia" w:ascii="Times New Roman" w:hAnsi="Times New Roman" w:eastAsia="宋体" w:cs="Times New Roman"/>
                <w:b/>
                <w:kern w:val="0"/>
                <w:sz w:val="22"/>
                <w:szCs w:val="22"/>
                <w:lang w:val="en-US" w:eastAsia="zh-CN" w:bidi="ar-SA"/>
              </w:rPr>
            </w:pPr>
            <w:r>
              <w:rPr>
                <w:rFonts w:hint="default" w:ascii="Arial" w:hAnsi="Arial" w:eastAsia="宋体" w:cs="Arial"/>
                <w:b w:val="0"/>
                <w:bCs/>
                <w:kern w:val="0"/>
                <w:sz w:val="22"/>
                <w:szCs w:val="22"/>
                <w:lang w:val="en-US" w:eastAsia="zh-CN" w:bidi="ar-SA"/>
              </w:rPr>
              <w:t>1.强化畜禽和水产养殖产业布局，按照</w:t>
            </w:r>
            <w:r>
              <w:rPr>
                <w:rFonts w:hint="eastAsia" w:ascii="宋体" w:hAnsi="宋体" w:eastAsia="宋体" w:cs="宋体"/>
                <w:b w:val="0"/>
                <w:bCs/>
                <w:kern w:val="0"/>
                <w:sz w:val="22"/>
                <w:szCs w:val="22"/>
                <w:lang w:val="en-US" w:eastAsia="zh-CN" w:bidi="ar-SA"/>
              </w:rPr>
              <w:t>“</w:t>
            </w:r>
            <w:r>
              <w:rPr>
                <w:rFonts w:hint="default" w:ascii="Arial" w:hAnsi="Arial" w:eastAsia="宋体" w:cs="Arial"/>
                <w:b w:val="0"/>
                <w:bCs/>
                <w:kern w:val="0"/>
                <w:sz w:val="22"/>
                <w:szCs w:val="22"/>
                <w:lang w:val="en-US" w:eastAsia="zh-CN" w:bidi="ar-SA"/>
              </w:rPr>
              <w:t>以地定畜、种养结合</w:t>
            </w:r>
            <w:r>
              <w:rPr>
                <w:rFonts w:hint="eastAsia" w:ascii="宋体" w:hAnsi="宋体" w:eastAsia="宋体" w:cs="宋体"/>
                <w:b w:val="0"/>
                <w:bCs/>
                <w:kern w:val="0"/>
                <w:sz w:val="22"/>
                <w:szCs w:val="22"/>
                <w:lang w:val="en-US" w:eastAsia="zh-CN" w:bidi="ar-SA"/>
              </w:rPr>
              <w:t>”</w:t>
            </w:r>
            <w:r>
              <w:rPr>
                <w:rFonts w:hint="default" w:ascii="Arial" w:hAnsi="Arial" w:eastAsia="宋体" w:cs="Arial"/>
                <w:b w:val="0"/>
                <w:bCs/>
                <w:kern w:val="0"/>
                <w:sz w:val="22"/>
                <w:szCs w:val="22"/>
                <w:lang w:val="en-US" w:eastAsia="zh-CN" w:bidi="ar-SA"/>
              </w:rPr>
              <w:t>的要求，依托种植业布局合理规划新增养殖场。</w:t>
            </w:r>
          </w:p>
        </w:tc>
        <w:tc>
          <w:tcPr>
            <w:tcW w:w="2990" w:type="dxa"/>
            <w:noWrap w:val="0"/>
            <w:vAlign w:val="center"/>
          </w:tcPr>
          <w:p w14:paraId="2E2EC71E">
            <w:pPr>
              <w:keepNext w:val="0"/>
              <w:keepLines w:val="0"/>
              <w:pageBreakBefore w:val="0"/>
              <w:widowControl w:val="0"/>
              <w:kinsoku/>
              <w:wordWrap/>
              <w:overflowPunct/>
              <w:topLinePunct w:val="0"/>
              <w:autoSpaceDE/>
              <w:autoSpaceDN/>
              <w:bidi w:val="0"/>
              <w:adjustRightInd/>
              <w:spacing w:line="290" w:lineRule="exact"/>
              <w:ind w:firstLine="0" w:firstLineChars="0"/>
              <w:jc w:val="center"/>
              <w:textAlignment w:val="auto"/>
              <w:rPr>
                <w:rFonts w:hint="eastAsia" w:ascii="Times New Roman" w:hAnsi="Times New Roman" w:eastAsia="宋体" w:cs="Times New Roman"/>
                <w:kern w:val="0"/>
                <w:sz w:val="22"/>
                <w:szCs w:val="22"/>
                <w:lang w:val="en-US" w:eastAsia="zh-CN" w:bidi="ar-SA"/>
              </w:rPr>
            </w:pPr>
            <w:r>
              <w:rPr>
                <w:rFonts w:hint="eastAsia" w:ascii="Arial" w:hAnsi="Arial" w:cs="Arial"/>
                <w:sz w:val="22"/>
                <w:szCs w:val="22"/>
                <w:lang w:eastAsia="zh-CN"/>
              </w:rPr>
              <w:t>本项目为水库建设，不属于畜禽和水产养殖。</w:t>
            </w:r>
          </w:p>
        </w:tc>
        <w:tc>
          <w:tcPr>
            <w:tcW w:w="970" w:type="dxa"/>
            <w:tcBorders>
              <w:right w:val="single" w:color="auto" w:sz="12" w:space="0"/>
            </w:tcBorders>
            <w:noWrap w:val="0"/>
            <w:vAlign w:val="center"/>
          </w:tcPr>
          <w:p w14:paraId="03927726">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sz w:val="22"/>
                <w:szCs w:val="22"/>
                <w:lang w:val="en-US" w:eastAsia="zh-CN"/>
              </w:rPr>
            </w:pPr>
            <w:r>
              <w:rPr>
                <w:rFonts w:hint="eastAsia" w:ascii="Arial" w:hAnsi="Arial" w:cs="Arial"/>
                <w:sz w:val="22"/>
                <w:szCs w:val="22"/>
                <w:lang w:val="en-US" w:eastAsia="zh-CN"/>
              </w:rPr>
              <w:t>符合</w:t>
            </w:r>
          </w:p>
        </w:tc>
      </w:tr>
      <w:tr w14:paraId="651B7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6FDA8384">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b w:val="0"/>
                <w:color w:val="auto"/>
                <w:kern w:val="2"/>
                <w:sz w:val="22"/>
                <w:szCs w:val="22"/>
                <w:lang w:val="en-US" w:eastAsia="zh-CN" w:bidi="ar-SA"/>
              </w:rPr>
            </w:pPr>
          </w:p>
        </w:tc>
        <w:tc>
          <w:tcPr>
            <w:tcW w:w="1847" w:type="dxa"/>
            <w:noWrap w:val="0"/>
            <w:vAlign w:val="center"/>
          </w:tcPr>
          <w:p w14:paraId="2893478A">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污染物排放管控</w:t>
            </w:r>
          </w:p>
        </w:tc>
        <w:tc>
          <w:tcPr>
            <w:tcW w:w="6478" w:type="dxa"/>
            <w:noWrap w:val="0"/>
            <w:vAlign w:val="center"/>
          </w:tcPr>
          <w:p w14:paraId="2C019182">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b w:val="0"/>
                <w:bCs/>
                <w:kern w:val="0"/>
                <w:sz w:val="22"/>
                <w:szCs w:val="22"/>
                <w:lang w:val="en-US" w:eastAsia="zh-CN" w:bidi="ar-SA"/>
              </w:rPr>
            </w:pPr>
            <w:r>
              <w:rPr>
                <w:rFonts w:hint="default" w:ascii="Arial" w:hAnsi="Arial" w:eastAsia="宋体" w:cs="Arial"/>
                <w:b w:val="0"/>
                <w:bCs/>
                <w:kern w:val="0"/>
                <w:sz w:val="22"/>
                <w:szCs w:val="22"/>
                <w:lang w:val="en-US" w:eastAsia="zh-CN" w:bidi="ar-SA"/>
              </w:rPr>
              <w:t>1.加快推进农村生活污水管网建设，提高污水收集率；推进农村污水处理站升级改造。持续推动化肥农药减量、畜禽养殖粪污处理、水产养殖污染防治。2.强化沟耳山水库、沈家沟水库等饮用水源保护地规范化建设及周边农业污染面源防治，逐步改善饮用水源水质。</w:t>
            </w:r>
          </w:p>
        </w:tc>
        <w:tc>
          <w:tcPr>
            <w:tcW w:w="2990" w:type="dxa"/>
            <w:noWrap w:val="0"/>
            <w:vAlign w:val="center"/>
          </w:tcPr>
          <w:p w14:paraId="29B4FCF2">
            <w:pPr>
              <w:keepNext w:val="0"/>
              <w:keepLines w:val="0"/>
              <w:pageBreakBefore w:val="0"/>
              <w:widowControl w:val="0"/>
              <w:kinsoku/>
              <w:wordWrap/>
              <w:overflowPunct/>
              <w:topLinePunct w:val="0"/>
              <w:autoSpaceDE/>
              <w:autoSpaceDN/>
              <w:bidi w:val="0"/>
              <w:adjustRightInd/>
              <w:spacing w:line="290" w:lineRule="exact"/>
              <w:ind w:firstLine="0" w:firstLineChars="0"/>
              <w:jc w:val="center"/>
              <w:textAlignment w:val="auto"/>
              <w:rPr>
                <w:rFonts w:hint="eastAsia" w:ascii="Times New Roman" w:hAnsi="Times New Roman" w:eastAsia="宋体" w:cs="Times New Roman"/>
                <w:kern w:val="0"/>
                <w:sz w:val="22"/>
                <w:szCs w:val="22"/>
                <w:lang w:val="en-US" w:eastAsia="zh-CN" w:bidi="ar-SA"/>
              </w:rPr>
            </w:pPr>
            <w:r>
              <w:rPr>
                <w:rFonts w:hint="eastAsia" w:ascii="Arial" w:hAnsi="Arial" w:cs="Arial"/>
                <w:color w:val="auto"/>
                <w:sz w:val="22"/>
                <w:szCs w:val="22"/>
                <w:highlight w:val="none"/>
                <w:lang w:eastAsia="zh-CN"/>
              </w:rPr>
              <w:t>本项目建成后可解决</w:t>
            </w:r>
            <w:r>
              <w:rPr>
                <w:rFonts w:hint="eastAsia" w:ascii="Arial" w:hAnsi="Arial" w:cs="Arial"/>
                <w:color w:val="auto"/>
                <w:sz w:val="22"/>
                <w:szCs w:val="22"/>
                <w:highlight w:val="none"/>
                <w:lang w:val="en-US" w:eastAsia="zh-CN"/>
              </w:rPr>
              <w:t>2000亩耕地的灌溉用水需求，同时本评价提出采取</w:t>
            </w:r>
            <w:r>
              <w:rPr>
                <w:spacing w:val="-1"/>
                <w:sz w:val="22"/>
                <w:szCs w:val="22"/>
              </w:rPr>
              <w:t>滴灌、喷灌等方式，</w:t>
            </w:r>
            <w:r>
              <w:rPr>
                <w:rFonts w:hint="eastAsia"/>
                <w:spacing w:val="-1"/>
                <w:sz w:val="22"/>
                <w:szCs w:val="22"/>
                <w:lang w:eastAsia="zh-CN"/>
              </w:rPr>
              <w:t>以减少农业面源退水量，减轻对流域水质的影响。提出水源保护区划定建议，将对</w:t>
            </w:r>
            <w:r>
              <w:rPr>
                <w:spacing w:val="-1"/>
                <w:sz w:val="22"/>
                <w:szCs w:val="22"/>
              </w:rPr>
              <w:t>坝址上游及减水河段的污</w:t>
            </w:r>
            <w:r>
              <w:rPr>
                <w:spacing w:val="1"/>
                <w:sz w:val="22"/>
                <w:szCs w:val="22"/>
              </w:rPr>
              <w:t>染物减排、截留、处理均</w:t>
            </w:r>
            <w:r>
              <w:rPr>
                <w:spacing w:val="2"/>
                <w:sz w:val="22"/>
                <w:szCs w:val="22"/>
              </w:rPr>
              <w:t>提出反馈建议和要求</w:t>
            </w:r>
            <w:r>
              <w:rPr>
                <w:rFonts w:hint="eastAsia"/>
                <w:spacing w:val="2"/>
                <w:sz w:val="22"/>
                <w:szCs w:val="22"/>
                <w:lang w:eastAsia="zh-CN"/>
              </w:rPr>
              <w:t>。</w:t>
            </w:r>
          </w:p>
        </w:tc>
        <w:tc>
          <w:tcPr>
            <w:tcW w:w="970" w:type="dxa"/>
            <w:tcBorders>
              <w:right w:val="single" w:color="auto" w:sz="12" w:space="0"/>
            </w:tcBorders>
            <w:noWrap w:val="0"/>
            <w:vAlign w:val="center"/>
          </w:tcPr>
          <w:p w14:paraId="457857D6">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cs="Arial"/>
                <w:sz w:val="22"/>
                <w:szCs w:val="22"/>
                <w:lang w:val="en-US" w:eastAsia="zh-CN"/>
              </w:rPr>
            </w:pPr>
            <w:r>
              <w:rPr>
                <w:rFonts w:hint="eastAsia" w:ascii="Arial" w:hAnsi="Arial" w:cs="Arial"/>
                <w:sz w:val="22"/>
                <w:szCs w:val="22"/>
                <w:lang w:val="en-US" w:eastAsia="zh-CN"/>
              </w:rPr>
              <w:t>符合</w:t>
            </w:r>
          </w:p>
        </w:tc>
      </w:tr>
      <w:tr w14:paraId="0B82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00DEE4C4">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b w:val="0"/>
                <w:color w:val="auto"/>
                <w:kern w:val="2"/>
                <w:sz w:val="22"/>
                <w:szCs w:val="22"/>
                <w:lang w:val="en-US" w:eastAsia="zh-CN" w:bidi="ar-SA"/>
              </w:rPr>
            </w:pPr>
          </w:p>
        </w:tc>
        <w:tc>
          <w:tcPr>
            <w:tcW w:w="1847" w:type="dxa"/>
            <w:noWrap w:val="0"/>
            <w:vAlign w:val="center"/>
          </w:tcPr>
          <w:p w14:paraId="13B903DD">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环境风险防控</w:t>
            </w:r>
          </w:p>
        </w:tc>
        <w:tc>
          <w:tcPr>
            <w:tcW w:w="6478" w:type="dxa"/>
            <w:noWrap w:val="0"/>
            <w:vAlign w:val="center"/>
          </w:tcPr>
          <w:p w14:paraId="63D814BA">
            <w:pPr>
              <w:keepNext w:val="0"/>
              <w:keepLines w:val="0"/>
              <w:pageBreakBefore w:val="0"/>
              <w:widowControl w:val="0"/>
              <w:kinsoku/>
              <w:wordWrap/>
              <w:overflowPunct/>
              <w:topLinePunct w:val="0"/>
              <w:autoSpaceDE/>
              <w:autoSpaceDN/>
              <w:bidi w:val="0"/>
              <w:adjustRightInd/>
              <w:snapToGrid/>
              <w:spacing w:line="290" w:lineRule="exact"/>
              <w:ind w:firstLine="0" w:firstLineChars="0"/>
              <w:jc w:val="center"/>
              <w:textAlignment w:val="auto"/>
              <w:rPr>
                <w:rFonts w:hint="default" w:ascii="Arial" w:hAnsi="Arial" w:eastAsia="宋体" w:cs="Arial"/>
                <w:b w:val="0"/>
                <w:bCs/>
                <w:kern w:val="0"/>
                <w:sz w:val="22"/>
                <w:szCs w:val="22"/>
                <w:lang w:val="en-US" w:eastAsia="zh-CN" w:bidi="ar-SA"/>
              </w:rPr>
            </w:pPr>
            <w:r>
              <w:rPr>
                <w:rFonts w:hint="eastAsia" w:ascii="Arial" w:hAnsi="Arial" w:cs="Arial"/>
                <w:b w:val="0"/>
                <w:bCs/>
                <w:kern w:val="0"/>
                <w:sz w:val="22"/>
                <w:szCs w:val="22"/>
                <w:lang w:val="en-US" w:eastAsia="zh-CN" w:bidi="ar-SA"/>
              </w:rPr>
              <w:t>/</w:t>
            </w:r>
          </w:p>
        </w:tc>
        <w:tc>
          <w:tcPr>
            <w:tcW w:w="2990" w:type="dxa"/>
            <w:noWrap w:val="0"/>
            <w:vAlign w:val="center"/>
          </w:tcPr>
          <w:p w14:paraId="61ADC45E">
            <w:pPr>
              <w:keepNext w:val="0"/>
              <w:keepLines w:val="0"/>
              <w:pageBreakBefore w:val="0"/>
              <w:widowControl w:val="0"/>
              <w:kinsoku/>
              <w:wordWrap/>
              <w:overflowPunct/>
              <w:topLinePunct w:val="0"/>
              <w:autoSpaceDE/>
              <w:autoSpaceDN/>
              <w:bidi w:val="0"/>
              <w:adjustRightInd/>
              <w:spacing w:line="290" w:lineRule="exact"/>
              <w:ind w:firstLine="0" w:firstLineChars="0"/>
              <w:jc w:val="center"/>
              <w:textAlignment w:val="auto"/>
              <w:rPr>
                <w:rFonts w:hint="default" w:ascii="Times New Roman" w:hAnsi="Times New Roman" w:eastAsia="宋体" w:cs="Times New Roman"/>
                <w:kern w:val="0"/>
                <w:sz w:val="22"/>
                <w:szCs w:val="22"/>
                <w:lang w:val="en-US" w:eastAsia="zh-CN" w:bidi="ar-SA"/>
              </w:rPr>
            </w:pPr>
            <w:r>
              <w:rPr>
                <w:rFonts w:hint="eastAsia" w:cs="Times New Roman"/>
                <w:kern w:val="0"/>
                <w:sz w:val="22"/>
                <w:szCs w:val="22"/>
                <w:lang w:val="en-US" w:eastAsia="zh-CN" w:bidi="ar-SA"/>
              </w:rPr>
              <w:t>/</w:t>
            </w:r>
          </w:p>
        </w:tc>
        <w:tc>
          <w:tcPr>
            <w:tcW w:w="970" w:type="dxa"/>
            <w:tcBorders>
              <w:right w:val="single" w:color="auto" w:sz="12" w:space="0"/>
            </w:tcBorders>
            <w:noWrap w:val="0"/>
            <w:vAlign w:val="center"/>
          </w:tcPr>
          <w:p w14:paraId="12801BEC">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default" w:ascii="Arial" w:hAnsi="Arial" w:cs="Arial"/>
                <w:sz w:val="22"/>
                <w:szCs w:val="22"/>
                <w:lang w:val="en-US" w:eastAsia="zh-CN"/>
              </w:rPr>
            </w:pPr>
            <w:r>
              <w:rPr>
                <w:rFonts w:hint="eastAsia" w:ascii="Arial" w:hAnsi="Arial" w:cs="Arial"/>
                <w:sz w:val="22"/>
                <w:szCs w:val="22"/>
                <w:lang w:val="en-US" w:eastAsia="zh-CN"/>
              </w:rPr>
              <w:t>/</w:t>
            </w:r>
          </w:p>
        </w:tc>
      </w:tr>
      <w:tr w14:paraId="228B7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4" w:type="dxa"/>
            <w:vMerge w:val="continue"/>
            <w:tcBorders>
              <w:left w:val="single" w:color="auto" w:sz="12" w:space="0"/>
            </w:tcBorders>
            <w:noWrap w:val="0"/>
            <w:vAlign w:val="center"/>
          </w:tcPr>
          <w:p w14:paraId="5DA5863E">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eastAsia="宋体" w:cs="Arial"/>
                <w:b w:val="0"/>
                <w:color w:val="auto"/>
                <w:kern w:val="2"/>
                <w:sz w:val="22"/>
                <w:szCs w:val="22"/>
                <w:lang w:val="en-US" w:eastAsia="zh-CN" w:bidi="ar-SA"/>
              </w:rPr>
            </w:pPr>
          </w:p>
        </w:tc>
        <w:tc>
          <w:tcPr>
            <w:tcW w:w="1847" w:type="dxa"/>
            <w:noWrap w:val="0"/>
            <w:vAlign w:val="center"/>
          </w:tcPr>
          <w:p w14:paraId="66D8F18B">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cs="Arial"/>
                <w:sz w:val="22"/>
                <w:szCs w:val="22"/>
                <w:lang w:eastAsia="zh-CN"/>
              </w:rPr>
            </w:pPr>
            <w:r>
              <w:rPr>
                <w:rFonts w:hint="eastAsia" w:ascii="Arial" w:hAnsi="Arial" w:cs="Arial"/>
                <w:sz w:val="22"/>
                <w:szCs w:val="22"/>
                <w:lang w:eastAsia="zh-CN"/>
              </w:rPr>
              <w:t>资源开发效率利用</w:t>
            </w:r>
          </w:p>
        </w:tc>
        <w:tc>
          <w:tcPr>
            <w:tcW w:w="6478" w:type="dxa"/>
            <w:noWrap w:val="0"/>
            <w:vAlign w:val="center"/>
          </w:tcPr>
          <w:p w14:paraId="05B408BC">
            <w:pPr>
              <w:keepNext w:val="0"/>
              <w:keepLines w:val="0"/>
              <w:pageBreakBefore w:val="0"/>
              <w:widowControl w:val="0"/>
              <w:kinsoku/>
              <w:wordWrap/>
              <w:overflowPunct/>
              <w:topLinePunct w:val="0"/>
              <w:autoSpaceDE/>
              <w:autoSpaceDN/>
              <w:bidi w:val="0"/>
              <w:adjustRightInd/>
              <w:snapToGrid/>
              <w:spacing w:line="290" w:lineRule="exact"/>
              <w:ind w:firstLine="0" w:firstLineChars="0"/>
              <w:jc w:val="both"/>
              <w:textAlignment w:val="auto"/>
              <w:rPr>
                <w:rFonts w:hint="default" w:ascii="Arial" w:hAnsi="Arial" w:eastAsia="宋体" w:cs="Arial"/>
                <w:b w:val="0"/>
                <w:bCs/>
                <w:kern w:val="0"/>
                <w:sz w:val="22"/>
                <w:szCs w:val="22"/>
                <w:lang w:val="en-US" w:eastAsia="zh-CN" w:bidi="ar-SA"/>
              </w:rPr>
            </w:pPr>
            <w:r>
              <w:rPr>
                <w:rFonts w:hint="default" w:ascii="Arial" w:hAnsi="Arial" w:eastAsia="宋体" w:cs="Arial"/>
                <w:b w:val="0"/>
                <w:bCs/>
                <w:kern w:val="0"/>
                <w:sz w:val="22"/>
                <w:szCs w:val="22"/>
                <w:lang w:val="en-US" w:eastAsia="zh-CN" w:bidi="ar-SA"/>
              </w:rPr>
              <w:t>1.新建水利水电工程需保障河湖生态基流。2.因地制宜发展节水灌溉工程，推广田间节水灌溉技术，提高田间用水效率。</w:t>
            </w:r>
          </w:p>
        </w:tc>
        <w:tc>
          <w:tcPr>
            <w:tcW w:w="2990" w:type="dxa"/>
            <w:noWrap w:val="0"/>
            <w:vAlign w:val="center"/>
          </w:tcPr>
          <w:p w14:paraId="37086474">
            <w:pPr>
              <w:keepNext w:val="0"/>
              <w:keepLines w:val="0"/>
              <w:pageBreakBefore w:val="0"/>
              <w:widowControl w:val="0"/>
              <w:kinsoku/>
              <w:wordWrap/>
              <w:overflowPunct/>
              <w:topLinePunct w:val="0"/>
              <w:autoSpaceDE/>
              <w:autoSpaceDN/>
              <w:bidi w:val="0"/>
              <w:adjustRightInd/>
              <w:spacing w:line="290" w:lineRule="exact"/>
              <w:ind w:firstLine="0" w:firstLineChars="0"/>
              <w:jc w:val="center"/>
              <w:textAlignment w:val="auto"/>
              <w:rPr>
                <w:rFonts w:hint="eastAsia" w:ascii="Times New Roman" w:hAnsi="Times New Roman" w:eastAsia="宋体" w:cs="Times New Roman"/>
                <w:kern w:val="0"/>
                <w:sz w:val="22"/>
                <w:szCs w:val="22"/>
                <w:lang w:val="en-US" w:eastAsia="zh-CN" w:bidi="ar-SA"/>
              </w:rPr>
            </w:pPr>
            <w:r>
              <w:rPr>
                <w:rFonts w:hint="eastAsia" w:cs="Times New Roman"/>
                <w:kern w:val="0"/>
                <w:sz w:val="22"/>
                <w:szCs w:val="22"/>
                <w:lang w:val="en-US" w:eastAsia="zh-CN" w:bidi="ar-SA"/>
              </w:rPr>
              <w:t>本项目运营期将设置生态流量下泄装置，并联网运行，确保下游减水河段需水。</w:t>
            </w:r>
            <w:r>
              <w:rPr>
                <w:rFonts w:hint="eastAsia" w:ascii="Arial" w:hAnsi="Arial" w:cs="Arial"/>
                <w:color w:val="auto"/>
                <w:sz w:val="22"/>
                <w:szCs w:val="22"/>
                <w:highlight w:val="none"/>
                <w:lang w:val="en-US" w:eastAsia="zh-CN"/>
              </w:rPr>
              <w:t>同时本评价提出采取</w:t>
            </w:r>
            <w:r>
              <w:rPr>
                <w:spacing w:val="-1"/>
                <w:sz w:val="22"/>
                <w:szCs w:val="22"/>
              </w:rPr>
              <w:t>滴灌、喷灌等方式，</w:t>
            </w:r>
            <w:r>
              <w:rPr>
                <w:rFonts w:hint="eastAsia"/>
                <w:spacing w:val="-1"/>
                <w:sz w:val="22"/>
                <w:szCs w:val="22"/>
                <w:lang w:eastAsia="zh-CN"/>
              </w:rPr>
              <w:t>提高田间用水效率。</w:t>
            </w:r>
          </w:p>
        </w:tc>
        <w:tc>
          <w:tcPr>
            <w:tcW w:w="970" w:type="dxa"/>
            <w:tcBorders>
              <w:right w:val="single" w:color="auto" w:sz="12" w:space="0"/>
            </w:tcBorders>
            <w:noWrap w:val="0"/>
            <w:vAlign w:val="center"/>
          </w:tcPr>
          <w:p w14:paraId="631884D9">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rPr>
                <w:rFonts w:hint="eastAsia" w:ascii="Arial" w:hAnsi="Arial" w:cs="Arial"/>
                <w:sz w:val="22"/>
                <w:szCs w:val="22"/>
                <w:lang w:val="en-US" w:eastAsia="zh-CN"/>
              </w:rPr>
            </w:pPr>
            <w:r>
              <w:rPr>
                <w:rFonts w:hint="eastAsia" w:ascii="Arial" w:hAnsi="Arial" w:cs="Arial"/>
                <w:sz w:val="22"/>
                <w:szCs w:val="22"/>
                <w:lang w:val="en-US" w:eastAsia="zh-CN"/>
              </w:rPr>
              <w:t>符合</w:t>
            </w:r>
          </w:p>
        </w:tc>
      </w:tr>
    </w:tbl>
    <w:p w14:paraId="55D1E26C">
      <w:pPr>
        <w:rPr>
          <w:rFonts w:hint="default"/>
          <w:lang w:val="en-US" w:eastAsia="zh-CN"/>
        </w:rPr>
        <w:sectPr>
          <w:pgSz w:w="16838" w:h="11906" w:orient="landscape"/>
          <w:pgMar w:top="1800" w:right="1440" w:bottom="1800" w:left="1440" w:header="1134" w:footer="992" w:gutter="0"/>
          <w:pgBorders>
            <w:top w:val="none" w:sz="0" w:space="0"/>
            <w:left w:val="none" w:sz="0" w:space="0"/>
            <w:bottom w:val="none" w:sz="0" w:space="0"/>
            <w:right w:val="none" w:sz="0" w:space="0"/>
          </w:pgBorders>
          <w:pgNumType w:fmt="decimal"/>
          <w:cols w:space="425" w:num="1"/>
          <w:docGrid w:type="lines" w:linePitch="312" w:charSpace="0"/>
        </w:sectPr>
      </w:pPr>
    </w:p>
    <w:p w14:paraId="3AA752EB">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由表1.9-13可知，拟建项目与丰都县“三线一单”的管控要求相符。</w:t>
      </w:r>
    </w:p>
    <w:p w14:paraId="6DE2D58E">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lang w:eastAsia="zh-CN"/>
        </w:rPr>
      </w:pPr>
      <w:bookmarkStart w:id="77" w:name="_Toc1348"/>
      <w:r>
        <w:rPr>
          <w:rFonts w:hint="eastAsia" w:ascii="Arial" w:hAnsi="Arial" w:cs="Arial"/>
          <w:sz w:val="26"/>
          <w:szCs w:val="26"/>
          <w:lang w:val="en-US" w:eastAsia="zh-CN"/>
        </w:rPr>
        <w:t>1.10</w:t>
      </w:r>
      <w:r>
        <w:rPr>
          <w:rFonts w:hint="eastAsia" w:ascii="Arial" w:hAnsi="Arial" w:cs="Arial"/>
          <w:sz w:val="26"/>
          <w:szCs w:val="26"/>
          <w:lang w:eastAsia="zh-CN"/>
        </w:rPr>
        <w:t>选址选线合理性分析</w:t>
      </w:r>
      <w:bookmarkEnd w:id="77"/>
    </w:p>
    <w:p w14:paraId="0DCECF88">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1.1</w:t>
      </w:r>
      <w:r>
        <w:rPr>
          <w:rFonts w:hint="eastAsia" w:ascii="Arial" w:hAnsi="Arial" w:cs="Arial"/>
          <w:b/>
          <w:color w:val="auto"/>
          <w:kern w:val="0"/>
          <w:sz w:val="26"/>
          <w:szCs w:val="20"/>
          <w:highlight w:val="none"/>
          <w:lang w:val="en-US" w:eastAsia="zh-CN"/>
        </w:rPr>
        <w:t>0</w:t>
      </w:r>
      <w:r>
        <w:rPr>
          <w:rFonts w:hint="eastAsia" w:ascii="Arial" w:hAnsi="Arial" w:eastAsia="宋体" w:cs="Arial"/>
          <w:b/>
          <w:color w:val="auto"/>
          <w:kern w:val="0"/>
          <w:sz w:val="26"/>
          <w:szCs w:val="20"/>
          <w:highlight w:val="none"/>
          <w:lang w:val="en-US" w:eastAsia="zh-CN"/>
        </w:rPr>
        <w:t>.1</w:t>
      </w:r>
      <w:r>
        <w:rPr>
          <w:rFonts w:hint="eastAsia" w:ascii="Arial" w:hAnsi="Arial" w:cs="Arial"/>
          <w:b/>
          <w:color w:val="auto"/>
          <w:kern w:val="0"/>
          <w:sz w:val="26"/>
          <w:szCs w:val="20"/>
          <w:highlight w:val="none"/>
          <w:lang w:val="en-US" w:eastAsia="zh-CN"/>
        </w:rPr>
        <w:t>水源地选址</w:t>
      </w:r>
      <w:r>
        <w:rPr>
          <w:rFonts w:hint="eastAsia" w:ascii="Arial" w:hAnsi="Arial" w:eastAsia="宋体" w:cs="Arial"/>
          <w:b/>
          <w:color w:val="auto"/>
          <w:kern w:val="0"/>
          <w:sz w:val="26"/>
          <w:szCs w:val="20"/>
          <w:highlight w:val="none"/>
          <w:lang w:val="en-US" w:eastAsia="zh-CN"/>
        </w:rPr>
        <w:t>合理性分析</w:t>
      </w:r>
    </w:p>
    <w:p w14:paraId="1D3D8EF8">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 w:val="0"/>
          <w:color w:val="auto"/>
          <w:kern w:val="2"/>
          <w:sz w:val="26"/>
          <w:szCs w:val="26"/>
          <w:lang w:val="en-US" w:eastAsia="zh-CN" w:bidi="ar-SA"/>
        </w:rPr>
      </w:pPr>
      <w:r>
        <w:rPr>
          <w:rFonts w:hint="default" w:ascii="Arial" w:hAnsi="Arial" w:eastAsia="宋体" w:cs="Arial"/>
          <w:bCs/>
          <w:color w:val="auto"/>
          <w:sz w:val="26"/>
          <w:szCs w:val="26"/>
          <w:lang w:val="en-US" w:eastAsia="zh-CN"/>
        </w:rPr>
        <w:t>海螺沟水库水源地位于海螺沟中游，水源充足，</w:t>
      </w:r>
      <w:r>
        <w:rPr>
          <w:rFonts w:hint="default" w:ascii="Arial" w:hAnsi="Arial" w:eastAsia="宋体" w:cs="Arial"/>
          <w:bCs/>
          <w:color w:val="auto"/>
          <w:sz w:val="26"/>
          <w:szCs w:val="26"/>
        </w:rPr>
        <w:t>且</w:t>
      </w:r>
      <w:r>
        <w:rPr>
          <w:rFonts w:hint="eastAsia" w:ascii="Arial" w:hAnsi="Arial" w:eastAsia="宋体" w:cs="Arial"/>
          <w:bCs/>
          <w:color w:val="auto"/>
          <w:sz w:val="26"/>
          <w:szCs w:val="26"/>
          <w:lang w:eastAsia="zh-CN"/>
        </w:rPr>
        <w:t>根据</w:t>
      </w:r>
      <w:r>
        <w:rPr>
          <w:rFonts w:hint="default" w:ascii="Arial" w:hAnsi="Arial" w:eastAsia="宋体" w:cs="Arial"/>
          <w:bCs/>
          <w:color w:val="auto"/>
          <w:sz w:val="26"/>
          <w:szCs w:val="26"/>
          <w:lang w:val="en-US" w:eastAsia="zh-CN"/>
        </w:rPr>
        <w:t>2023年4月13日</w:t>
      </w:r>
      <w:r>
        <w:rPr>
          <w:rFonts w:hint="eastAsia" w:ascii="Arial" w:hAnsi="Arial" w:eastAsia="宋体" w:cs="Arial"/>
          <w:bCs/>
          <w:color w:val="auto"/>
          <w:sz w:val="26"/>
          <w:szCs w:val="26"/>
          <w:lang w:val="en-US" w:eastAsia="zh-CN"/>
        </w:rPr>
        <w:t>丰都县水质监测中心对海螺沟水库进行取样监测的结果可知，其</w:t>
      </w:r>
      <w:r>
        <w:rPr>
          <w:rFonts w:hint="eastAsia" w:ascii="宋体" w:hAnsi="宋体" w:eastAsia="宋体" w:cs="Arial"/>
          <w:bCs/>
          <w:color w:val="auto"/>
          <w:sz w:val="26"/>
          <w:szCs w:val="26"/>
        </w:rPr>
        <w:t>地表水基本项目现状监测值</w:t>
      </w:r>
      <w:r>
        <w:rPr>
          <w:rFonts w:hint="eastAsia" w:ascii="宋体" w:hAnsi="宋体" w:eastAsia="宋体" w:cs="Arial"/>
          <w:bCs/>
          <w:color w:val="auto"/>
          <w:sz w:val="26"/>
          <w:szCs w:val="26"/>
          <w:lang w:eastAsia="zh-CN"/>
        </w:rPr>
        <w:t>均</w:t>
      </w:r>
      <w:r>
        <w:rPr>
          <w:rFonts w:hint="eastAsia" w:ascii="宋体" w:hAnsi="宋体" w:eastAsia="宋体" w:cs="Arial"/>
          <w:bCs/>
          <w:color w:val="auto"/>
          <w:sz w:val="26"/>
          <w:szCs w:val="26"/>
        </w:rPr>
        <w:t>基本满足《地表水环境质量标准》</w:t>
      </w:r>
      <w:r>
        <w:rPr>
          <w:rFonts w:ascii="Arial" w:hAnsi="宋体" w:eastAsia="宋体" w:cs="Arial"/>
          <w:bCs/>
          <w:color w:val="auto"/>
          <w:sz w:val="26"/>
          <w:szCs w:val="26"/>
        </w:rPr>
        <w:t>（</w:t>
      </w:r>
      <w:r>
        <w:rPr>
          <w:rFonts w:ascii="Arial" w:hAnsi="Arial" w:eastAsia="宋体" w:cs="Arial"/>
          <w:bCs/>
          <w:color w:val="auto"/>
          <w:sz w:val="26"/>
          <w:szCs w:val="26"/>
        </w:rPr>
        <w:t>GB3838-2002</w:t>
      </w:r>
      <w:r>
        <w:rPr>
          <w:rFonts w:ascii="Arial" w:hAnsi="宋体" w:eastAsia="宋体" w:cs="Arial"/>
          <w:bCs/>
          <w:color w:val="auto"/>
          <w:sz w:val="26"/>
          <w:szCs w:val="26"/>
        </w:rPr>
        <w:t>）</w:t>
      </w:r>
      <w:r>
        <w:rPr>
          <w:rFonts w:hint="eastAsia" w:ascii="宋体" w:hAnsi="宋体" w:eastAsia="宋体" w:cs="宋体"/>
          <w:bCs/>
          <w:color w:val="auto"/>
          <w:sz w:val="26"/>
          <w:szCs w:val="26"/>
        </w:rPr>
        <w:t>Ⅲ</w:t>
      </w:r>
      <w:r>
        <w:rPr>
          <w:rFonts w:hint="eastAsia" w:ascii="宋体" w:hAnsi="宋体" w:eastAsia="宋体" w:cs="Arial"/>
          <w:bCs/>
          <w:color w:val="auto"/>
          <w:sz w:val="26"/>
          <w:szCs w:val="26"/>
        </w:rPr>
        <w:t>类水域水质标准，水质较好。</w:t>
      </w:r>
    </w:p>
    <w:p w14:paraId="5A78AAFE">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r>
        <w:rPr>
          <w:rFonts w:hint="eastAsia" w:ascii="Arial" w:hAnsi="Arial" w:eastAsia="宋体" w:cs="Arial"/>
          <w:bCs/>
          <w:color w:val="auto"/>
          <w:sz w:val="26"/>
          <w:szCs w:val="26"/>
          <w:lang w:val="en-US" w:eastAsia="zh-CN"/>
        </w:rPr>
        <w:t>根据现场调查，规划水源地范围为河谷地貌，除少量乡村道路外，均为林地、耕地，无工业企业、集中养殖场等，对水库水质影响轻微。库区集雨范围内现状居民点分布少，且大多外出务工，农业耕作面积小；另分布有一处家庭肉牛圈养点，养殖肉牛约30头，养殖废水设置有收集池，且与本项目间有山体阻隔，养殖废水经收集处理后，全部用作农肥，未排入海螺沟；由此可见，项目库区集雨范围内所形成的农村面源污染对库区水质影响小。根据查阅区域土地利用规划图，本项目所在区域未规划居住、工业等用地，后续仍然以发展农业产业为主，对海螺沟水库水源地影响小。</w:t>
      </w:r>
    </w:p>
    <w:p w14:paraId="254AA0DF">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r>
        <w:rPr>
          <w:rFonts w:hint="eastAsia" w:ascii="Arial" w:hAnsi="Arial" w:eastAsia="宋体" w:cs="Arial"/>
          <w:bCs/>
          <w:color w:val="auto"/>
          <w:sz w:val="26"/>
          <w:szCs w:val="26"/>
          <w:lang w:val="en-US" w:eastAsia="zh-CN"/>
        </w:rPr>
        <w:t>由此可见，海螺沟水库成库后，受集雨范围内农耕作业影响小，水源地选址合理。</w:t>
      </w:r>
    </w:p>
    <w:p w14:paraId="5ED1495C">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1.10.2枢纽工程坝址选址合理性分析</w:t>
      </w:r>
    </w:p>
    <w:p w14:paraId="630A7FF0">
      <w:pPr>
        <w:pStyle w:val="19"/>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（1）坝址比选</w:t>
      </w:r>
    </w:p>
    <w:p w14:paraId="3AF163E9">
      <w:pPr>
        <w:pStyle w:val="101"/>
        <w:spacing w:line="440" w:lineRule="exact"/>
        <w:ind w:firstLine="520" w:firstLineChars="200"/>
        <w:jc w:val="both"/>
        <w:rPr>
          <w:rFonts w:hint="eastAsia" w:ascii="Arial" w:hAnsi="宋体" w:eastAsia="宋体" w:cs="Arial"/>
          <w:bCs/>
          <w:color w:val="auto"/>
          <w:kern w:val="2"/>
          <w:sz w:val="26"/>
          <w:szCs w:val="26"/>
        </w:rPr>
      </w:pPr>
      <w:r>
        <w:rPr>
          <w:rFonts w:hint="eastAsia" w:ascii="Arial" w:hAnsi="Arial" w:eastAsia="宋体" w:cs="Arial"/>
          <w:bCs/>
          <w:color w:val="auto"/>
          <w:sz w:val="26"/>
          <w:szCs w:val="26"/>
          <w:lang w:val="en-US" w:eastAsia="zh-CN"/>
        </w:rPr>
        <w:t>项目初设报告</w:t>
      </w:r>
      <w:r>
        <w:rPr>
          <w:rFonts w:hint="eastAsia" w:ascii="Arial" w:hAnsi="宋体" w:eastAsia="宋体" w:cs="Arial"/>
          <w:bCs/>
          <w:color w:val="auto"/>
          <w:kern w:val="2"/>
          <w:sz w:val="26"/>
          <w:szCs w:val="26"/>
        </w:rPr>
        <w:t>根据</w:t>
      </w:r>
      <w:r>
        <w:rPr>
          <w:rFonts w:hint="eastAsia" w:ascii="Arial" w:hAnsi="宋体" w:eastAsia="宋体" w:cs="Arial"/>
          <w:bCs/>
          <w:color w:val="auto"/>
          <w:kern w:val="2"/>
          <w:sz w:val="26"/>
          <w:szCs w:val="26"/>
          <w:lang w:eastAsia="zh-CN"/>
        </w:rPr>
        <w:t>项目所在</w:t>
      </w:r>
      <w:r>
        <w:rPr>
          <w:rFonts w:hint="eastAsia" w:ascii="Arial" w:hAnsi="宋体" w:eastAsia="宋体" w:cs="Arial"/>
          <w:bCs/>
          <w:color w:val="auto"/>
          <w:kern w:val="2"/>
          <w:sz w:val="26"/>
          <w:szCs w:val="26"/>
        </w:rPr>
        <w:t>建坝河段的水文条件、地形地质条件、枢纽布置、库区淹没损失及工程投资等方面综合考虑，拟定了</w:t>
      </w:r>
      <w:r>
        <w:rPr>
          <w:rFonts w:hint="eastAsia" w:ascii="Arial" w:hAnsi="Arial" w:eastAsia="宋体" w:cs="Arial"/>
          <w:bCs/>
          <w:color w:val="auto"/>
          <w:sz w:val="26"/>
          <w:szCs w:val="26"/>
          <w:lang w:val="en-US" w:eastAsia="zh-CN"/>
        </w:rPr>
        <w:t>上、下两个坝址</w:t>
      </w:r>
      <w:r>
        <w:rPr>
          <w:rFonts w:hint="eastAsia" w:ascii="Arial" w:hAnsi="宋体" w:eastAsia="宋体" w:cs="Arial"/>
          <w:bCs/>
          <w:color w:val="auto"/>
          <w:kern w:val="2"/>
          <w:sz w:val="26"/>
          <w:szCs w:val="26"/>
        </w:rPr>
        <w:t>进行比选。</w:t>
      </w:r>
      <w:r>
        <w:rPr>
          <w:rFonts w:hint="eastAsia" w:ascii="Arial" w:hAnsi="Arial" w:eastAsia="宋体" w:cs="Arial"/>
          <w:bCs/>
          <w:color w:val="auto"/>
          <w:sz w:val="26"/>
          <w:szCs w:val="26"/>
          <w:lang w:val="en-US" w:eastAsia="zh-CN"/>
        </w:rPr>
        <w:t>上、下两个坝址距220m</w:t>
      </w:r>
      <w:r>
        <w:rPr>
          <w:rFonts w:hint="eastAsia" w:ascii="Arial" w:hAnsi="宋体" w:eastAsia="宋体" w:cs="Arial"/>
          <w:bCs/>
          <w:color w:val="auto"/>
          <w:kern w:val="2"/>
          <w:sz w:val="26"/>
          <w:szCs w:val="26"/>
          <w:lang w:eastAsia="zh-CN"/>
        </w:rPr>
        <w:t>，坝址</w:t>
      </w:r>
      <w:r>
        <w:rPr>
          <w:rFonts w:hint="eastAsia" w:ascii="Arial" w:hAnsi="宋体" w:eastAsia="宋体" w:cs="Arial"/>
          <w:bCs/>
          <w:color w:val="auto"/>
          <w:kern w:val="2"/>
          <w:sz w:val="26"/>
          <w:szCs w:val="26"/>
        </w:rPr>
        <w:t>以上集雨面积及来水量均能满足水库水量需求；</w:t>
      </w:r>
      <w:r>
        <w:rPr>
          <w:rFonts w:hint="eastAsia" w:ascii="Arial" w:hAnsi="宋体" w:eastAsia="宋体" w:cs="Arial"/>
          <w:bCs/>
          <w:color w:val="auto"/>
          <w:kern w:val="2"/>
          <w:sz w:val="26"/>
          <w:szCs w:val="26"/>
          <w:lang w:eastAsia="zh-CN"/>
        </w:rPr>
        <w:t>从</w:t>
      </w:r>
      <w:r>
        <w:rPr>
          <w:rFonts w:hint="eastAsia" w:ascii="Arial" w:hAnsi="宋体" w:eastAsia="宋体" w:cs="Arial"/>
          <w:bCs/>
          <w:color w:val="auto"/>
          <w:kern w:val="2"/>
          <w:sz w:val="26"/>
          <w:szCs w:val="26"/>
        </w:rPr>
        <w:t>地形地质条件</w:t>
      </w:r>
      <w:r>
        <w:rPr>
          <w:rFonts w:hint="eastAsia" w:ascii="Arial" w:hAnsi="宋体" w:eastAsia="宋体" w:cs="Arial"/>
          <w:bCs/>
          <w:color w:val="auto"/>
          <w:kern w:val="2"/>
          <w:sz w:val="26"/>
          <w:szCs w:val="26"/>
          <w:lang w:eastAsia="zh-CN"/>
        </w:rPr>
        <w:t>来说</w:t>
      </w:r>
      <w:r>
        <w:rPr>
          <w:rFonts w:hint="eastAsia" w:ascii="Arial" w:hAnsi="Arial" w:eastAsia="宋体" w:cs="Arial"/>
          <w:bCs/>
          <w:color w:val="auto"/>
          <w:sz w:val="26"/>
          <w:szCs w:val="26"/>
          <w:lang w:val="en-US" w:eastAsia="zh-CN"/>
        </w:rPr>
        <w:t>，上坝址左岸存在单薄山脊，而下坝址两岸地形平顺、山体雄厚，所以从地形、地质条件来说，下坝址要略优于上坝址；库区淹没方面来</w:t>
      </w:r>
      <w:r>
        <w:rPr>
          <w:rFonts w:hint="eastAsia" w:ascii="Arial" w:hAnsi="宋体" w:eastAsia="宋体" w:cs="Arial"/>
          <w:bCs/>
          <w:color w:val="auto"/>
          <w:kern w:val="2"/>
          <w:sz w:val="26"/>
          <w:szCs w:val="26"/>
          <w:lang w:val="en-US" w:eastAsia="zh-CN" w:bidi="ar-SA"/>
        </w:rPr>
        <w:t>说，下坝址将淹没下游支沟较多的基本农田，上坝址则不存在淹没基本农田的问题。</w:t>
      </w:r>
      <w:r>
        <w:rPr>
          <w:rFonts w:hint="eastAsia" w:ascii="Arial" w:hAnsi="宋体" w:eastAsia="宋体" w:cs="Arial"/>
          <w:bCs/>
          <w:color w:val="auto"/>
          <w:kern w:val="2"/>
          <w:sz w:val="26"/>
          <w:szCs w:val="26"/>
        </w:rPr>
        <w:t>因此推荐</w:t>
      </w:r>
      <w:r>
        <w:rPr>
          <w:rFonts w:hint="eastAsia" w:ascii="Arial" w:hAnsi="宋体" w:eastAsia="宋体" w:cs="Arial"/>
          <w:bCs/>
          <w:color w:val="auto"/>
          <w:kern w:val="2"/>
          <w:sz w:val="26"/>
          <w:szCs w:val="26"/>
          <w:lang w:eastAsia="zh-CN"/>
        </w:rPr>
        <w:t>上</w:t>
      </w:r>
      <w:r>
        <w:rPr>
          <w:rFonts w:hint="eastAsia" w:ascii="Arial" w:hAnsi="宋体" w:eastAsia="宋体" w:cs="Arial"/>
          <w:bCs/>
          <w:color w:val="auto"/>
          <w:kern w:val="2"/>
          <w:sz w:val="26"/>
          <w:szCs w:val="26"/>
        </w:rPr>
        <w:t>坝址为</w:t>
      </w:r>
      <w:r>
        <w:rPr>
          <w:rFonts w:hint="eastAsia" w:ascii="Arial" w:hAnsi="宋体" w:eastAsia="宋体" w:cs="Arial"/>
          <w:bCs/>
          <w:color w:val="auto"/>
          <w:kern w:val="2"/>
          <w:sz w:val="26"/>
          <w:szCs w:val="26"/>
          <w:lang w:eastAsia="zh-CN"/>
        </w:rPr>
        <w:t>为本项目唯一</w:t>
      </w:r>
      <w:r>
        <w:rPr>
          <w:rFonts w:hint="eastAsia" w:ascii="Arial" w:hAnsi="宋体" w:eastAsia="宋体" w:cs="Arial"/>
          <w:bCs/>
          <w:color w:val="auto"/>
          <w:kern w:val="2"/>
          <w:sz w:val="26"/>
          <w:szCs w:val="26"/>
        </w:rPr>
        <w:t>坝址。</w:t>
      </w:r>
    </w:p>
    <w:p w14:paraId="3EF0A144">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11FEF5D8">
      <w:pPr>
        <w:rPr>
          <w:rFonts w:hint="eastAsia" w:ascii="Arial" w:hAnsi="Arial" w:eastAsia="宋体" w:cs="Arial"/>
          <w:bCs/>
          <w:color w:val="auto"/>
          <w:sz w:val="26"/>
          <w:szCs w:val="26"/>
          <w:lang w:val="en-US" w:eastAsia="zh-CN"/>
        </w:rPr>
      </w:pPr>
    </w:p>
    <w:p w14:paraId="073D9812">
      <w:pPr>
        <w:rPr>
          <w:rFonts w:hint="eastAsia" w:ascii="Arial" w:hAnsi="Arial" w:eastAsia="宋体" w:cs="Arial"/>
          <w:bCs/>
          <w:color w:val="auto"/>
          <w:sz w:val="26"/>
          <w:szCs w:val="26"/>
          <w:lang w:val="en-US" w:eastAsia="zh-CN"/>
        </w:rPr>
      </w:pPr>
    </w:p>
    <w:p w14:paraId="60C550BF">
      <w:pPr>
        <w:rPr>
          <w:rFonts w:hint="eastAsia" w:ascii="Arial" w:hAnsi="Arial" w:eastAsia="宋体" w:cs="Arial"/>
          <w:bCs/>
          <w:color w:val="auto"/>
          <w:sz w:val="26"/>
          <w:szCs w:val="26"/>
          <w:lang w:val="en-US" w:eastAsia="zh-CN"/>
        </w:rPr>
      </w:pPr>
    </w:p>
    <w:p w14:paraId="294A4B08">
      <w:pPr>
        <w:jc w:val="center"/>
        <w:rPr>
          <w:rFonts w:hint="eastAsia" w:ascii="Arial" w:hAnsi="Arial" w:eastAsia="宋体" w:cs="Arial"/>
          <w:bCs/>
          <w:color w:val="auto"/>
          <w:sz w:val="26"/>
          <w:szCs w:val="26"/>
          <w:lang w:val="en-US" w:eastAsia="zh-CN"/>
        </w:rPr>
      </w:pPr>
      <w:r>
        <w:drawing>
          <wp:inline distT="0" distB="0" distL="114300" distR="114300">
            <wp:extent cx="4646295" cy="3164205"/>
            <wp:effectExtent l="0" t="0" r="1905" b="17145"/>
            <wp:docPr id="1" name="图片 25" descr="168361874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descr="1683618746464"/>
                    <pic:cNvPicPr>
                      <a:picLocks noChangeAspect="1"/>
                    </pic:cNvPicPr>
                  </pic:nvPicPr>
                  <pic:blipFill>
                    <a:blip r:embed="rId23"/>
                    <a:stretch>
                      <a:fillRect/>
                    </a:stretch>
                  </pic:blipFill>
                  <pic:spPr>
                    <a:xfrm>
                      <a:off x="0" y="0"/>
                      <a:ext cx="4646295" cy="3164205"/>
                    </a:xfrm>
                    <a:prstGeom prst="rect">
                      <a:avLst/>
                    </a:prstGeom>
                    <a:noFill/>
                    <a:ln>
                      <a:noFill/>
                    </a:ln>
                  </pic:spPr>
                </pic:pic>
              </a:graphicData>
            </a:graphic>
          </wp:inline>
        </w:drawing>
      </w:r>
    </w:p>
    <w:p w14:paraId="55032492">
      <w:pPr>
        <w:pStyle w:val="2082"/>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default" w:ascii="Arial" w:hAnsi="Arial" w:eastAsia="宋体" w:cs="Arial"/>
          <w:b/>
          <w:bCs w:val="0"/>
          <w:color w:val="auto"/>
          <w:sz w:val="26"/>
          <w:szCs w:val="26"/>
          <w:lang w:val="en-US" w:eastAsia="zh-CN"/>
        </w:rPr>
      </w:pPr>
      <w:r>
        <w:rPr>
          <w:rFonts w:hint="eastAsia" w:ascii="Arial" w:hAnsi="Arial" w:eastAsia="宋体" w:cs="Arial"/>
          <w:b/>
          <w:bCs w:val="0"/>
          <w:color w:val="auto"/>
          <w:sz w:val="26"/>
          <w:szCs w:val="26"/>
          <w:lang w:val="en-US" w:eastAsia="zh-CN"/>
        </w:rPr>
        <w:t>图10.1-1 上、下坝址位置示意图</w:t>
      </w:r>
    </w:p>
    <w:p w14:paraId="24F6B540">
      <w:pPr>
        <w:pStyle w:val="19"/>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default"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w:t>
      </w:r>
      <w:r>
        <w:rPr>
          <w:rFonts w:hint="eastAsia" w:ascii="Arial" w:hAnsi="Arial" w:cs="Arial"/>
          <w:b/>
          <w:color w:val="auto"/>
          <w:kern w:val="0"/>
          <w:sz w:val="26"/>
          <w:szCs w:val="20"/>
          <w:highlight w:val="none"/>
          <w:lang w:val="en-US" w:eastAsia="zh-CN"/>
        </w:rPr>
        <w:t>2</w:t>
      </w:r>
      <w:r>
        <w:rPr>
          <w:rFonts w:hint="eastAsia" w:ascii="Arial" w:hAnsi="Arial" w:eastAsia="宋体" w:cs="Arial"/>
          <w:b/>
          <w:color w:val="auto"/>
          <w:kern w:val="0"/>
          <w:sz w:val="26"/>
          <w:szCs w:val="20"/>
          <w:highlight w:val="none"/>
          <w:lang w:val="en-US" w:eastAsia="zh-CN"/>
        </w:rPr>
        <w:t>）</w:t>
      </w:r>
      <w:r>
        <w:rPr>
          <w:rFonts w:hint="eastAsia" w:ascii="Arial" w:hAnsi="Arial" w:cs="Arial"/>
          <w:b/>
          <w:color w:val="auto"/>
          <w:kern w:val="0"/>
          <w:sz w:val="26"/>
          <w:szCs w:val="20"/>
          <w:highlight w:val="none"/>
          <w:lang w:val="en-US" w:eastAsia="zh-CN"/>
        </w:rPr>
        <w:t>坝线</w:t>
      </w:r>
      <w:r>
        <w:rPr>
          <w:rFonts w:hint="eastAsia" w:ascii="Arial" w:hAnsi="Arial" w:eastAsia="宋体" w:cs="Arial"/>
          <w:b/>
          <w:color w:val="auto"/>
          <w:kern w:val="0"/>
          <w:sz w:val="26"/>
          <w:szCs w:val="20"/>
          <w:highlight w:val="none"/>
          <w:lang w:val="en-US" w:eastAsia="zh-CN"/>
        </w:rPr>
        <w:t>比选</w:t>
      </w:r>
    </w:p>
    <w:p w14:paraId="409F0166">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default" w:ascii="Arial" w:hAnsi="Arial" w:eastAsia="宋体" w:cs="Arial"/>
          <w:bCs/>
          <w:color w:val="auto"/>
          <w:sz w:val="26"/>
          <w:szCs w:val="26"/>
          <w:lang w:val="en-US" w:eastAsia="zh-CN"/>
        </w:rPr>
      </w:pPr>
      <w:r>
        <w:drawing>
          <wp:anchor distT="0" distB="0" distL="114300" distR="114300" simplePos="0" relativeHeight="251664384" behindDoc="0" locked="0" layoutInCell="1" allowOverlap="1">
            <wp:simplePos x="0" y="0"/>
            <wp:positionH relativeFrom="column">
              <wp:posOffset>384175</wp:posOffset>
            </wp:positionH>
            <wp:positionV relativeFrom="paragraph">
              <wp:posOffset>1154430</wp:posOffset>
            </wp:positionV>
            <wp:extent cx="4631055" cy="3324225"/>
            <wp:effectExtent l="0" t="0" r="17145" b="9525"/>
            <wp:wrapNone/>
            <wp:docPr id="5" name="图片 26" descr="168369790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descr="1683697909666"/>
                    <pic:cNvPicPr>
                      <a:picLocks noChangeAspect="1"/>
                    </pic:cNvPicPr>
                  </pic:nvPicPr>
                  <pic:blipFill>
                    <a:blip r:embed="rId24"/>
                    <a:stretch>
                      <a:fillRect/>
                    </a:stretch>
                  </pic:blipFill>
                  <pic:spPr>
                    <a:xfrm>
                      <a:off x="0" y="0"/>
                      <a:ext cx="4631055" cy="3324225"/>
                    </a:xfrm>
                    <a:prstGeom prst="rect">
                      <a:avLst/>
                    </a:prstGeom>
                    <a:noFill/>
                    <a:ln>
                      <a:noFill/>
                    </a:ln>
                  </pic:spPr>
                </pic:pic>
              </a:graphicData>
            </a:graphic>
          </wp:anchor>
        </w:drawing>
      </w:r>
      <w:r>
        <w:rPr>
          <w:rFonts w:hint="eastAsia" w:ascii="Arial" w:hAnsi="宋体" w:eastAsia="宋体" w:cs="Arial"/>
          <w:bCs/>
          <w:color w:val="auto"/>
          <w:kern w:val="2"/>
          <w:sz w:val="26"/>
          <w:szCs w:val="26"/>
        </w:rPr>
        <w:t>项目初设报告推荐</w:t>
      </w:r>
      <w:r>
        <w:rPr>
          <w:rFonts w:hint="eastAsia" w:ascii="Arial" w:hAnsi="宋体" w:eastAsia="宋体" w:cs="Arial"/>
          <w:bCs/>
          <w:color w:val="auto"/>
          <w:kern w:val="2"/>
          <w:sz w:val="26"/>
          <w:szCs w:val="26"/>
          <w:lang w:eastAsia="zh-CN"/>
        </w:rPr>
        <w:t>上</w:t>
      </w:r>
      <w:r>
        <w:rPr>
          <w:rFonts w:hint="eastAsia" w:ascii="Arial" w:hAnsi="宋体" w:eastAsia="宋体" w:cs="Arial"/>
          <w:bCs/>
          <w:color w:val="auto"/>
          <w:kern w:val="2"/>
          <w:sz w:val="26"/>
          <w:szCs w:val="26"/>
        </w:rPr>
        <w:t>坝址</w:t>
      </w:r>
      <w:r>
        <w:rPr>
          <w:rFonts w:hint="eastAsia" w:ascii="Arial" w:hAnsi="宋体" w:eastAsia="宋体" w:cs="Arial"/>
          <w:bCs/>
          <w:color w:val="auto"/>
          <w:kern w:val="2"/>
          <w:sz w:val="26"/>
          <w:szCs w:val="26"/>
          <w:lang w:eastAsia="zh-CN"/>
        </w:rPr>
        <w:t>拟定了</w:t>
      </w:r>
      <w:r>
        <w:rPr>
          <w:rFonts w:hint="eastAsia" w:ascii="Arial" w:hAnsi="宋体" w:eastAsia="宋体" w:cs="Arial"/>
          <w:bCs/>
          <w:color w:val="auto"/>
          <w:kern w:val="2"/>
          <w:sz w:val="26"/>
          <w:szCs w:val="26"/>
        </w:rPr>
        <w:t>上、下两条坝线进行比选，</w:t>
      </w:r>
      <w:r>
        <w:rPr>
          <w:rFonts w:hint="eastAsia" w:ascii="Arial" w:hAnsi="宋体" w:eastAsia="宋体" w:cs="Arial"/>
          <w:bCs/>
          <w:color w:val="auto"/>
          <w:kern w:val="2"/>
          <w:sz w:val="26"/>
          <w:szCs w:val="26"/>
          <w:lang w:eastAsia="zh-CN"/>
        </w:rPr>
        <w:t>上坝址位于海螺沟河口上游约</w:t>
      </w:r>
      <w:r>
        <w:rPr>
          <w:rFonts w:hint="eastAsia" w:ascii="Arial" w:hAnsi="宋体" w:eastAsia="宋体" w:cs="Arial"/>
          <w:bCs/>
          <w:color w:val="auto"/>
          <w:kern w:val="2"/>
          <w:sz w:val="26"/>
          <w:szCs w:val="26"/>
          <w:lang w:val="en-US" w:eastAsia="zh-CN"/>
        </w:rPr>
        <w:t>1.66km处，</w:t>
      </w:r>
      <w:r>
        <w:rPr>
          <w:rFonts w:hint="eastAsia" w:ascii="Arial" w:hAnsi="宋体" w:eastAsia="宋体" w:cs="Arial"/>
          <w:bCs/>
          <w:color w:val="auto"/>
          <w:kern w:val="2"/>
          <w:sz w:val="26"/>
          <w:szCs w:val="26"/>
        </w:rPr>
        <w:t>两岸山脊凸出处，坝线与河道基本正交，</w:t>
      </w:r>
      <w:r>
        <w:rPr>
          <w:rFonts w:hint="eastAsia" w:ascii="Arial" w:hAnsi="宋体" w:eastAsia="宋体" w:cs="Arial"/>
          <w:bCs/>
          <w:color w:val="auto"/>
          <w:kern w:val="2"/>
          <w:sz w:val="26"/>
          <w:szCs w:val="26"/>
          <w:lang w:eastAsia="zh-CN"/>
        </w:rPr>
        <w:t>坝轴线长</w:t>
      </w:r>
      <w:r>
        <w:rPr>
          <w:rFonts w:hint="eastAsia" w:ascii="Arial" w:hAnsi="宋体" w:eastAsia="宋体" w:cs="Arial"/>
          <w:bCs/>
          <w:color w:val="auto"/>
          <w:kern w:val="2"/>
          <w:sz w:val="26"/>
          <w:szCs w:val="26"/>
          <w:lang w:val="en-US" w:eastAsia="zh-CN"/>
        </w:rPr>
        <w:t>112m；下坝线位于</w:t>
      </w:r>
      <w:r>
        <w:rPr>
          <w:rFonts w:hint="eastAsia" w:ascii="Arial" w:hAnsi="宋体" w:eastAsia="宋体" w:cs="Arial"/>
          <w:bCs/>
          <w:color w:val="auto"/>
          <w:kern w:val="2"/>
          <w:sz w:val="26"/>
          <w:szCs w:val="26"/>
          <w:lang w:eastAsia="zh-CN"/>
        </w:rPr>
        <w:t>海螺沟河口上游约</w:t>
      </w:r>
      <w:r>
        <w:rPr>
          <w:rFonts w:hint="eastAsia" w:ascii="Arial" w:hAnsi="宋体" w:eastAsia="宋体" w:cs="Arial"/>
          <w:bCs/>
          <w:color w:val="auto"/>
          <w:kern w:val="2"/>
          <w:sz w:val="26"/>
          <w:szCs w:val="26"/>
          <w:lang w:val="en-US" w:eastAsia="zh-CN"/>
        </w:rPr>
        <w:t>1.71km处，</w:t>
      </w:r>
      <w:r>
        <w:rPr>
          <w:rFonts w:hint="eastAsia" w:ascii="Arial" w:hAnsi="宋体" w:eastAsia="宋体" w:cs="Arial"/>
          <w:bCs/>
          <w:color w:val="auto"/>
          <w:kern w:val="2"/>
          <w:sz w:val="26"/>
          <w:szCs w:val="26"/>
          <w:lang w:eastAsia="zh-CN"/>
        </w:rPr>
        <w:t>坝轴线长</w:t>
      </w:r>
      <w:r>
        <w:rPr>
          <w:rFonts w:hint="eastAsia" w:ascii="Arial" w:hAnsi="宋体" w:eastAsia="宋体" w:cs="Arial"/>
          <w:bCs/>
          <w:color w:val="auto"/>
          <w:kern w:val="2"/>
          <w:sz w:val="26"/>
          <w:szCs w:val="26"/>
          <w:lang w:val="en-US" w:eastAsia="zh-CN"/>
        </w:rPr>
        <w:t>131m；两坝线相距约45m。</w:t>
      </w:r>
    </w:p>
    <w:p w14:paraId="1130B627">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110E6509">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007089F8">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4FDEDBE5">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7AD91197">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66C5641A">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35872FEA">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1CDFB1E1">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0A9113C4">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1815B8DB">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46C3CDF0">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p>
    <w:p w14:paraId="67694872">
      <w:pPr>
        <w:rPr>
          <w:rFonts w:hint="eastAsia" w:ascii="Arial" w:hAnsi="Arial" w:eastAsia="宋体" w:cs="Arial"/>
          <w:bCs/>
          <w:color w:val="auto"/>
          <w:sz w:val="26"/>
          <w:szCs w:val="26"/>
          <w:lang w:val="en-US" w:eastAsia="zh-CN"/>
        </w:rPr>
      </w:pPr>
    </w:p>
    <w:p w14:paraId="23A42B33">
      <w:pPr>
        <w:pStyle w:val="2082"/>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default" w:ascii="Arial" w:hAnsi="Arial" w:eastAsia="宋体" w:cs="Arial"/>
          <w:b/>
          <w:bCs w:val="0"/>
          <w:color w:val="auto"/>
          <w:sz w:val="26"/>
          <w:szCs w:val="26"/>
          <w:lang w:val="en-US" w:eastAsia="zh-CN"/>
        </w:rPr>
      </w:pPr>
      <w:r>
        <w:rPr>
          <w:rFonts w:hint="eastAsia" w:ascii="Arial" w:hAnsi="Arial" w:eastAsia="宋体" w:cs="Arial"/>
          <w:b/>
          <w:bCs w:val="0"/>
          <w:color w:val="auto"/>
          <w:sz w:val="26"/>
          <w:szCs w:val="26"/>
          <w:lang w:val="en-US" w:eastAsia="zh-CN"/>
        </w:rPr>
        <w:t>图10.1-2 上、下坝线位置示意图</w:t>
      </w:r>
    </w:p>
    <w:p w14:paraId="1F2B96FD">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Cs/>
          <w:color w:val="auto"/>
          <w:sz w:val="26"/>
          <w:szCs w:val="26"/>
          <w:lang w:val="en-US" w:eastAsia="zh-CN"/>
        </w:rPr>
      </w:pPr>
      <w:r>
        <w:rPr>
          <w:rFonts w:hint="eastAsia" w:ascii="Arial" w:hAnsi="Arial" w:eastAsia="宋体" w:cs="Arial"/>
          <w:bCs/>
          <w:color w:val="auto"/>
          <w:sz w:val="26"/>
          <w:szCs w:val="26"/>
          <w:lang w:val="en-US" w:eastAsia="zh-CN"/>
        </w:rPr>
        <w:t>从环境保护角度，上、下两个坝线比选结果详见表10.1-1所示。</w:t>
      </w:r>
    </w:p>
    <w:p w14:paraId="51408F77">
      <w:pPr>
        <w:pStyle w:val="2082"/>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eastAsia="宋体" w:cs="Arial"/>
          <w:b/>
          <w:bCs w:val="0"/>
          <w:color w:val="auto"/>
          <w:sz w:val="26"/>
          <w:szCs w:val="26"/>
          <w:lang w:val="en-US" w:eastAsia="zh-CN"/>
        </w:rPr>
      </w:pPr>
      <w:r>
        <w:rPr>
          <w:rFonts w:hint="eastAsia" w:ascii="Arial" w:hAnsi="Arial" w:eastAsia="宋体" w:cs="Arial"/>
          <w:b/>
          <w:bCs w:val="0"/>
          <w:color w:val="auto"/>
          <w:sz w:val="26"/>
          <w:szCs w:val="26"/>
          <w:lang w:val="en-US" w:eastAsia="zh-CN"/>
        </w:rPr>
        <w:t>表10.1-1 坝线比选结果一览表</w:t>
      </w:r>
    </w:p>
    <w:tbl>
      <w:tblPr>
        <w:tblStyle w:val="77"/>
        <w:tblW w:w="876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46"/>
        <w:gridCol w:w="3177"/>
        <w:gridCol w:w="2861"/>
        <w:gridCol w:w="1280"/>
      </w:tblGrid>
      <w:tr w14:paraId="77988D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noWrap w:val="0"/>
            <w:vAlign w:val="center"/>
          </w:tcPr>
          <w:p w14:paraId="6B9A1771">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环境要素</w:t>
            </w:r>
          </w:p>
        </w:tc>
        <w:tc>
          <w:tcPr>
            <w:tcW w:w="3177" w:type="dxa"/>
            <w:noWrap w:val="0"/>
            <w:vAlign w:val="center"/>
          </w:tcPr>
          <w:p w14:paraId="6A11F9F9">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上坝线方案</w:t>
            </w:r>
          </w:p>
        </w:tc>
        <w:tc>
          <w:tcPr>
            <w:tcW w:w="2861" w:type="dxa"/>
            <w:noWrap w:val="0"/>
            <w:vAlign w:val="center"/>
          </w:tcPr>
          <w:p w14:paraId="0F612801">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下坝线方案</w:t>
            </w:r>
          </w:p>
        </w:tc>
        <w:tc>
          <w:tcPr>
            <w:tcW w:w="1280" w:type="dxa"/>
            <w:noWrap w:val="0"/>
            <w:vAlign w:val="center"/>
          </w:tcPr>
          <w:p w14:paraId="1F322B20">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比选结果</w:t>
            </w:r>
          </w:p>
        </w:tc>
      </w:tr>
      <w:tr w14:paraId="234744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noWrap w:val="0"/>
            <w:vAlign w:val="center"/>
          </w:tcPr>
          <w:p w14:paraId="6B4AD4C3">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地质条件</w:t>
            </w:r>
          </w:p>
        </w:tc>
        <w:tc>
          <w:tcPr>
            <w:tcW w:w="3177" w:type="dxa"/>
            <w:noWrap w:val="0"/>
            <w:vAlign w:val="center"/>
          </w:tcPr>
          <w:p w14:paraId="0FA5A53F">
            <w:pPr>
              <w:pStyle w:val="101"/>
              <w:spacing w:line="300" w:lineRule="exact"/>
              <w:jc w:val="center"/>
              <w:rPr>
                <w:rFonts w:ascii="Arial" w:hAnsi="Arial" w:eastAsia="宋体" w:cs="Arial"/>
                <w:bCs/>
                <w:color w:val="auto"/>
                <w:kern w:val="2"/>
                <w:sz w:val="22"/>
                <w:szCs w:val="22"/>
              </w:rPr>
            </w:pPr>
            <w:r>
              <w:rPr>
                <w:rFonts w:ascii="Arial" w:hAnsi="Arial" w:eastAsia="宋体" w:cs="Arial"/>
                <w:bCs/>
                <w:color w:val="auto"/>
                <w:kern w:val="2"/>
                <w:sz w:val="22"/>
                <w:szCs w:val="22"/>
              </w:rPr>
              <w:t>坝基抗滑稳定性问题，基坑边坡的稳定问题；坝基、坝肩渗漏问题；地基不均匀沉陷问题；泥质类岩体快速风化问题。</w:t>
            </w:r>
          </w:p>
        </w:tc>
        <w:tc>
          <w:tcPr>
            <w:tcW w:w="2861" w:type="dxa"/>
            <w:noWrap w:val="0"/>
            <w:vAlign w:val="center"/>
          </w:tcPr>
          <w:p w14:paraId="045B15C1">
            <w:pPr>
              <w:pStyle w:val="101"/>
              <w:spacing w:line="300" w:lineRule="exact"/>
              <w:jc w:val="center"/>
              <w:rPr>
                <w:rFonts w:ascii="Arial" w:hAnsi="Arial" w:eastAsia="宋体" w:cs="Arial"/>
                <w:bCs/>
                <w:color w:val="auto"/>
                <w:kern w:val="2"/>
                <w:sz w:val="22"/>
                <w:szCs w:val="22"/>
              </w:rPr>
            </w:pPr>
            <w:r>
              <w:rPr>
                <w:rFonts w:ascii="Arial" w:hAnsi="Arial" w:eastAsia="宋体" w:cs="Arial"/>
                <w:bCs/>
                <w:color w:val="auto"/>
                <w:kern w:val="2"/>
                <w:sz w:val="22"/>
                <w:szCs w:val="22"/>
              </w:rPr>
              <w:t>砂岩埋深浅，坝基抗滑稳定性</w:t>
            </w:r>
            <w:r>
              <w:rPr>
                <w:rFonts w:hint="eastAsia" w:ascii="Arial" w:hAnsi="Arial" w:eastAsia="宋体" w:cs="Arial"/>
                <w:bCs/>
                <w:color w:val="auto"/>
                <w:kern w:val="2"/>
                <w:sz w:val="22"/>
                <w:szCs w:val="22"/>
                <w:lang w:eastAsia="zh-CN"/>
              </w:rPr>
              <w:t>好；风化厚度小，有利于基坑边坡稳定。</w:t>
            </w:r>
          </w:p>
        </w:tc>
        <w:tc>
          <w:tcPr>
            <w:tcW w:w="1280" w:type="dxa"/>
            <w:noWrap w:val="0"/>
            <w:vAlign w:val="center"/>
          </w:tcPr>
          <w:p w14:paraId="4BAECD07">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下坝线</w:t>
            </w:r>
          </w:p>
        </w:tc>
      </w:tr>
      <w:tr w14:paraId="174CF6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vMerge w:val="restart"/>
            <w:noWrap w:val="0"/>
            <w:vAlign w:val="center"/>
          </w:tcPr>
          <w:p w14:paraId="35FFE858">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生态环境</w:t>
            </w:r>
          </w:p>
        </w:tc>
        <w:tc>
          <w:tcPr>
            <w:tcW w:w="3177" w:type="dxa"/>
            <w:noWrap w:val="0"/>
            <w:vAlign w:val="center"/>
          </w:tcPr>
          <w:p w14:paraId="4ACD5D07">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需改建上坝公路约</w:t>
            </w:r>
            <w:r>
              <w:rPr>
                <w:rFonts w:hint="eastAsia" w:ascii="Arial" w:hAnsi="宋体" w:eastAsia="宋体" w:cs="Arial"/>
                <w:bCs/>
                <w:color w:val="auto"/>
                <w:kern w:val="2"/>
                <w:sz w:val="22"/>
                <w:szCs w:val="22"/>
                <w:lang w:val="en-US" w:eastAsia="zh-CN"/>
              </w:rPr>
              <w:t>1.46k</w:t>
            </w:r>
            <w:r>
              <w:rPr>
                <w:rFonts w:hint="eastAsia" w:ascii="Arial" w:hAnsi="宋体" w:eastAsia="宋体" w:cs="Arial"/>
                <w:bCs/>
                <w:color w:val="auto"/>
                <w:kern w:val="2"/>
                <w:sz w:val="22"/>
                <w:szCs w:val="22"/>
              </w:rPr>
              <w:t>m</w:t>
            </w:r>
          </w:p>
        </w:tc>
        <w:tc>
          <w:tcPr>
            <w:tcW w:w="2861" w:type="dxa"/>
            <w:noWrap w:val="0"/>
            <w:vAlign w:val="center"/>
          </w:tcPr>
          <w:p w14:paraId="2BEBCD7A">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需改建上坝公路</w:t>
            </w:r>
            <w:r>
              <w:rPr>
                <w:rFonts w:hint="eastAsia" w:ascii="Arial" w:hAnsi="宋体" w:eastAsia="宋体" w:cs="Arial"/>
                <w:bCs/>
                <w:color w:val="auto"/>
                <w:kern w:val="2"/>
                <w:sz w:val="22"/>
                <w:szCs w:val="22"/>
                <w:lang w:val="en-US" w:eastAsia="zh-CN"/>
              </w:rPr>
              <w:t>1.76k</w:t>
            </w:r>
            <w:r>
              <w:rPr>
                <w:rFonts w:hint="eastAsia" w:ascii="Arial" w:hAnsi="宋体" w:eastAsia="宋体" w:cs="Arial"/>
                <w:bCs/>
                <w:color w:val="auto"/>
                <w:kern w:val="2"/>
                <w:sz w:val="22"/>
                <w:szCs w:val="22"/>
              </w:rPr>
              <w:t>m</w:t>
            </w:r>
          </w:p>
        </w:tc>
        <w:tc>
          <w:tcPr>
            <w:tcW w:w="1280" w:type="dxa"/>
            <w:noWrap w:val="0"/>
            <w:vAlign w:val="center"/>
          </w:tcPr>
          <w:p w14:paraId="07D53BD2">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lang w:eastAsia="zh-CN"/>
              </w:rPr>
              <w:t>上</w:t>
            </w:r>
            <w:r>
              <w:rPr>
                <w:rFonts w:hint="eastAsia" w:ascii="Arial" w:hAnsi="宋体" w:eastAsia="宋体" w:cs="Arial"/>
                <w:bCs/>
                <w:color w:val="auto"/>
                <w:kern w:val="2"/>
                <w:sz w:val="22"/>
                <w:szCs w:val="22"/>
              </w:rPr>
              <w:t>坝线</w:t>
            </w:r>
          </w:p>
        </w:tc>
      </w:tr>
      <w:tr w14:paraId="722162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vMerge w:val="continue"/>
            <w:noWrap w:val="0"/>
            <w:vAlign w:val="center"/>
          </w:tcPr>
          <w:p w14:paraId="3FEF8119">
            <w:pPr>
              <w:pStyle w:val="101"/>
              <w:spacing w:line="300" w:lineRule="exact"/>
              <w:jc w:val="center"/>
              <w:rPr>
                <w:rFonts w:hint="eastAsia" w:ascii="Arial" w:hAnsi="宋体" w:eastAsia="宋体" w:cs="Arial"/>
                <w:bCs/>
                <w:color w:val="auto"/>
                <w:kern w:val="2"/>
                <w:sz w:val="22"/>
                <w:szCs w:val="22"/>
              </w:rPr>
            </w:pPr>
          </w:p>
        </w:tc>
        <w:tc>
          <w:tcPr>
            <w:tcW w:w="3177" w:type="dxa"/>
            <w:noWrap w:val="0"/>
            <w:vAlign w:val="center"/>
          </w:tcPr>
          <w:p w14:paraId="5ECC3370">
            <w:pPr>
              <w:pStyle w:val="101"/>
              <w:spacing w:line="300" w:lineRule="exact"/>
              <w:jc w:val="center"/>
              <w:rPr>
                <w:rFonts w:hint="eastAsia" w:ascii="Arial" w:hAnsi="宋体" w:eastAsia="宋体" w:cs="Arial"/>
                <w:bCs/>
                <w:color w:val="auto"/>
                <w:kern w:val="2"/>
                <w:sz w:val="22"/>
                <w:szCs w:val="22"/>
                <w:highlight w:val="yellow"/>
              </w:rPr>
            </w:pPr>
            <w:r>
              <w:rPr>
                <w:rFonts w:hint="eastAsia" w:ascii="Arial" w:hAnsi="宋体" w:eastAsia="宋体" w:cs="Arial"/>
                <w:bCs/>
                <w:color w:val="auto"/>
                <w:kern w:val="2"/>
                <w:sz w:val="22"/>
                <w:szCs w:val="22"/>
                <w:highlight w:val="none"/>
              </w:rPr>
              <w:t>挖方总量</w:t>
            </w:r>
            <w:r>
              <w:rPr>
                <w:rFonts w:hint="eastAsia" w:ascii="Arial" w:hAnsi="宋体" w:cs="Arial"/>
                <w:bCs/>
                <w:color w:val="auto"/>
                <w:kern w:val="2"/>
                <w:sz w:val="22"/>
                <w:szCs w:val="22"/>
                <w:highlight w:val="none"/>
                <w:lang w:val="en-US" w:eastAsia="zh-CN"/>
              </w:rPr>
              <w:t>11.84</w:t>
            </w:r>
            <w:r>
              <w:rPr>
                <w:rFonts w:hint="eastAsia" w:ascii="Arial" w:hAnsi="宋体" w:eastAsia="宋体" w:cs="Arial"/>
                <w:bCs/>
                <w:color w:val="auto"/>
                <w:kern w:val="2"/>
                <w:sz w:val="22"/>
                <w:szCs w:val="22"/>
                <w:highlight w:val="none"/>
              </w:rPr>
              <w:t>万m</w:t>
            </w:r>
            <w:r>
              <w:rPr>
                <w:rFonts w:hint="eastAsia" w:ascii="Arial" w:hAnsi="宋体" w:eastAsia="宋体" w:cs="Arial"/>
                <w:bCs/>
                <w:color w:val="auto"/>
                <w:kern w:val="2"/>
                <w:sz w:val="22"/>
                <w:szCs w:val="22"/>
                <w:highlight w:val="none"/>
                <w:vertAlign w:val="superscript"/>
              </w:rPr>
              <w:t>3</w:t>
            </w:r>
            <w:r>
              <w:rPr>
                <w:rFonts w:hint="eastAsia" w:ascii="Arial" w:hAnsi="宋体" w:eastAsia="宋体" w:cs="Arial"/>
                <w:bCs/>
                <w:color w:val="auto"/>
                <w:kern w:val="2"/>
                <w:sz w:val="22"/>
                <w:szCs w:val="22"/>
                <w:highlight w:val="none"/>
              </w:rPr>
              <w:t>，回填量为</w:t>
            </w:r>
            <w:r>
              <w:rPr>
                <w:rFonts w:hint="eastAsia" w:ascii="Arial" w:hAnsi="宋体" w:cs="Arial"/>
                <w:bCs/>
                <w:color w:val="auto"/>
                <w:kern w:val="2"/>
                <w:sz w:val="22"/>
                <w:szCs w:val="22"/>
                <w:highlight w:val="none"/>
                <w:lang w:val="en-US" w:eastAsia="zh-CN"/>
              </w:rPr>
              <w:t>5.02</w:t>
            </w:r>
            <w:r>
              <w:rPr>
                <w:rFonts w:hint="eastAsia" w:ascii="Arial" w:hAnsi="宋体" w:eastAsia="宋体" w:cs="Arial"/>
                <w:bCs/>
                <w:color w:val="auto"/>
                <w:kern w:val="2"/>
                <w:sz w:val="22"/>
                <w:szCs w:val="22"/>
                <w:highlight w:val="none"/>
              </w:rPr>
              <w:t>万m</w:t>
            </w:r>
            <w:r>
              <w:rPr>
                <w:rFonts w:hint="eastAsia" w:ascii="Arial" w:hAnsi="宋体" w:eastAsia="宋体" w:cs="Arial"/>
                <w:bCs/>
                <w:color w:val="auto"/>
                <w:kern w:val="2"/>
                <w:sz w:val="22"/>
                <w:szCs w:val="22"/>
                <w:highlight w:val="none"/>
                <w:vertAlign w:val="superscript"/>
              </w:rPr>
              <w:t>3</w:t>
            </w:r>
            <w:r>
              <w:rPr>
                <w:rFonts w:hint="eastAsia" w:ascii="Arial" w:hAnsi="宋体" w:eastAsia="宋体" w:cs="Arial"/>
                <w:bCs/>
                <w:color w:val="auto"/>
                <w:kern w:val="2"/>
                <w:sz w:val="22"/>
                <w:szCs w:val="22"/>
                <w:highlight w:val="none"/>
              </w:rPr>
              <w:t>，弃渣量为</w:t>
            </w:r>
            <w:r>
              <w:rPr>
                <w:rFonts w:hint="eastAsia" w:ascii="Arial" w:hAnsi="宋体" w:cs="Arial"/>
                <w:bCs/>
                <w:color w:val="auto"/>
                <w:kern w:val="2"/>
                <w:sz w:val="22"/>
                <w:szCs w:val="22"/>
                <w:highlight w:val="none"/>
                <w:lang w:val="en-US" w:eastAsia="zh-CN"/>
              </w:rPr>
              <w:t>6.82</w:t>
            </w:r>
            <w:r>
              <w:rPr>
                <w:rFonts w:hint="eastAsia" w:ascii="Arial" w:hAnsi="宋体" w:eastAsia="宋体" w:cs="Arial"/>
                <w:bCs/>
                <w:color w:val="auto"/>
                <w:kern w:val="2"/>
                <w:sz w:val="22"/>
                <w:szCs w:val="22"/>
                <w:highlight w:val="none"/>
              </w:rPr>
              <w:t>万m</w:t>
            </w:r>
            <w:r>
              <w:rPr>
                <w:rFonts w:hint="eastAsia" w:ascii="Arial" w:hAnsi="宋体" w:eastAsia="宋体" w:cs="Arial"/>
                <w:bCs/>
                <w:color w:val="auto"/>
                <w:kern w:val="2"/>
                <w:sz w:val="22"/>
                <w:szCs w:val="22"/>
                <w:highlight w:val="none"/>
                <w:vertAlign w:val="superscript"/>
              </w:rPr>
              <w:t>3</w:t>
            </w:r>
            <w:r>
              <w:rPr>
                <w:rFonts w:hint="eastAsia" w:ascii="Arial" w:hAnsi="宋体" w:eastAsia="宋体" w:cs="Arial"/>
                <w:bCs/>
                <w:color w:val="auto"/>
                <w:kern w:val="2"/>
                <w:sz w:val="22"/>
                <w:szCs w:val="22"/>
                <w:highlight w:val="none"/>
              </w:rPr>
              <w:t>。</w:t>
            </w:r>
          </w:p>
        </w:tc>
        <w:tc>
          <w:tcPr>
            <w:tcW w:w="2861" w:type="dxa"/>
            <w:noWrap w:val="0"/>
            <w:vAlign w:val="center"/>
          </w:tcPr>
          <w:p w14:paraId="753A93A3">
            <w:pPr>
              <w:pStyle w:val="101"/>
              <w:spacing w:line="300" w:lineRule="exact"/>
              <w:jc w:val="center"/>
              <w:rPr>
                <w:rFonts w:hint="eastAsia" w:ascii="Arial" w:hAnsi="宋体" w:eastAsia="宋体" w:cs="Arial"/>
                <w:bCs/>
                <w:color w:val="auto"/>
                <w:kern w:val="2"/>
                <w:sz w:val="22"/>
                <w:szCs w:val="22"/>
                <w:highlight w:val="yellow"/>
              </w:rPr>
            </w:pPr>
            <w:r>
              <w:rPr>
                <w:rFonts w:hint="eastAsia" w:ascii="Arial" w:hAnsi="宋体" w:eastAsia="宋体" w:cs="Arial"/>
                <w:bCs/>
                <w:color w:val="auto"/>
                <w:kern w:val="2"/>
                <w:sz w:val="22"/>
                <w:szCs w:val="22"/>
                <w:highlight w:val="none"/>
              </w:rPr>
              <w:t>挖方总量</w:t>
            </w:r>
            <w:r>
              <w:rPr>
                <w:rFonts w:hint="eastAsia" w:ascii="Arial" w:hAnsi="宋体" w:cs="Arial"/>
                <w:bCs/>
                <w:color w:val="auto"/>
                <w:kern w:val="2"/>
                <w:sz w:val="22"/>
                <w:szCs w:val="22"/>
                <w:highlight w:val="none"/>
                <w:lang w:val="en-US" w:eastAsia="zh-CN"/>
              </w:rPr>
              <w:t>1</w:t>
            </w:r>
            <w:r>
              <w:rPr>
                <w:rFonts w:hint="eastAsia" w:ascii="Arial" w:hAnsi="宋体" w:eastAsia="宋体" w:cs="Arial"/>
                <w:bCs/>
                <w:color w:val="auto"/>
                <w:kern w:val="2"/>
                <w:sz w:val="22"/>
                <w:szCs w:val="22"/>
                <w:highlight w:val="none"/>
              </w:rPr>
              <w:t>3.</w:t>
            </w:r>
            <w:r>
              <w:rPr>
                <w:rFonts w:hint="eastAsia" w:ascii="Arial" w:hAnsi="宋体" w:cs="Arial"/>
                <w:bCs/>
                <w:color w:val="auto"/>
                <w:kern w:val="2"/>
                <w:sz w:val="22"/>
                <w:szCs w:val="22"/>
                <w:highlight w:val="none"/>
                <w:lang w:val="en-US" w:eastAsia="zh-CN"/>
              </w:rPr>
              <w:t>2</w:t>
            </w:r>
            <w:r>
              <w:rPr>
                <w:rFonts w:hint="eastAsia" w:ascii="Arial" w:hAnsi="宋体" w:eastAsia="宋体" w:cs="Arial"/>
                <w:bCs/>
                <w:color w:val="auto"/>
                <w:kern w:val="2"/>
                <w:sz w:val="22"/>
                <w:szCs w:val="22"/>
                <w:highlight w:val="none"/>
              </w:rPr>
              <w:t>6万m</w:t>
            </w:r>
            <w:r>
              <w:rPr>
                <w:rFonts w:hint="eastAsia" w:ascii="Arial" w:hAnsi="宋体" w:eastAsia="宋体" w:cs="Arial"/>
                <w:bCs/>
                <w:color w:val="auto"/>
                <w:kern w:val="2"/>
                <w:sz w:val="22"/>
                <w:szCs w:val="22"/>
                <w:highlight w:val="none"/>
                <w:vertAlign w:val="superscript"/>
              </w:rPr>
              <w:t>3</w:t>
            </w:r>
            <w:r>
              <w:rPr>
                <w:rFonts w:hint="eastAsia" w:ascii="Arial" w:hAnsi="宋体" w:eastAsia="宋体" w:cs="Arial"/>
                <w:bCs/>
                <w:color w:val="auto"/>
                <w:kern w:val="2"/>
                <w:sz w:val="22"/>
                <w:szCs w:val="22"/>
                <w:highlight w:val="none"/>
              </w:rPr>
              <w:t>，回填量为</w:t>
            </w:r>
            <w:r>
              <w:rPr>
                <w:rFonts w:hint="eastAsia" w:ascii="Arial" w:hAnsi="宋体" w:cs="Arial"/>
                <w:bCs/>
                <w:color w:val="auto"/>
                <w:kern w:val="2"/>
                <w:sz w:val="22"/>
                <w:szCs w:val="22"/>
                <w:highlight w:val="none"/>
                <w:lang w:val="en-US" w:eastAsia="zh-CN"/>
              </w:rPr>
              <w:t>6</w:t>
            </w:r>
            <w:r>
              <w:rPr>
                <w:rFonts w:hint="eastAsia" w:ascii="Arial" w:hAnsi="宋体" w:eastAsia="宋体" w:cs="Arial"/>
                <w:bCs/>
                <w:color w:val="auto"/>
                <w:kern w:val="2"/>
                <w:sz w:val="22"/>
                <w:szCs w:val="22"/>
                <w:highlight w:val="none"/>
              </w:rPr>
              <w:t>.31万m</w:t>
            </w:r>
            <w:r>
              <w:rPr>
                <w:rFonts w:hint="eastAsia" w:ascii="Arial" w:hAnsi="宋体" w:eastAsia="宋体" w:cs="Arial"/>
                <w:bCs/>
                <w:color w:val="auto"/>
                <w:kern w:val="2"/>
                <w:sz w:val="22"/>
                <w:szCs w:val="22"/>
                <w:highlight w:val="none"/>
                <w:vertAlign w:val="superscript"/>
              </w:rPr>
              <w:t>3</w:t>
            </w:r>
            <w:r>
              <w:rPr>
                <w:rFonts w:hint="eastAsia" w:ascii="Arial" w:hAnsi="宋体" w:eastAsia="宋体" w:cs="Arial"/>
                <w:bCs/>
                <w:color w:val="auto"/>
                <w:kern w:val="2"/>
                <w:sz w:val="22"/>
                <w:szCs w:val="22"/>
                <w:highlight w:val="none"/>
              </w:rPr>
              <w:t>，弃渣量为</w:t>
            </w:r>
            <w:r>
              <w:rPr>
                <w:rFonts w:hint="eastAsia" w:ascii="Arial" w:hAnsi="宋体" w:cs="Arial"/>
                <w:bCs/>
                <w:color w:val="auto"/>
                <w:kern w:val="2"/>
                <w:sz w:val="22"/>
                <w:szCs w:val="22"/>
                <w:highlight w:val="none"/>
                <w:lang w:val="en-US" w:eastAsia="zh-CN"/>
              </w:rPr>
              <w:t>6.95</w:t>
            </w:r>
            <w:r>
              <w:rPr>
                <w:rFonts w:hint="eastAsia" w:ascii="Arial" w:hAnsi="宋体" w:eastAsia="宋体" w:cs="Arial"/>
                <w:bCs/>
                <w:color w:val="auto"/>
                <w:kern w:val="2"/>
                <w:sz w:val="22"/>
                <w:szCs w:val="22"/>
                <w:highlight w:val="none"/>
              </w:rPr>
              <w:t>万m</w:t>
            </w:r>
            <w:r>
              <w:rPr>
                <w:rFonts w:hint="eastAsia" w:ascii="Arial" w:hAnsi="宋体" w:eastAsia="宋体" w:cs="Arial"/>
                <w:bCs/>
                <w:color w:val="auto"/>
                <w:kern w:val="2"/>
                <w:sz w:val="22"/>
                <w:szCs w:val="22"/>
                <w:highlight w:val="none"/>
                <w:vertAlign w:val="superscript"/>
              </w:rPr>
              <w:t>3</w:t>
            </w:r>
            <w:r>
              <w:rPr>
                <w:rFonts w:hint="eastAsia" w:ascii="Arial" w:hAnsi="宋体" w:eastAsia="宋体" w:cs="Arial"/>
                <w:bCs/>
                <w:color w:val="auto"/>
                <w:kern w:val="2"/>
                <w:sz w:val="22"/>
                <w:szCs w:val="22"/>
                <w:highlight w:val="none"/>
              </w:rPr>
              <w:t>。</w:t>
            </w:r>
          </w:p>
        </w:tc>
        <w:tc>
          <w:tcPr>
            <w:tcW w:w="1280" w:type="dxa"/>
            <w:noWrap w:val="0"/>
            <w:vAlign w:val="center"/>
          </w:tcPr>
          <w:p w14:paraId="17D20441">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上坝线</w:t>
            </w:r>
          </w:p>
        </w:tc>
      </w:tr>
      <w:tr w14:paraId="0C93A1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vMerge w:val="continue"/>
            <w:noWrap w:val="0"/>
            <w:vAlign w:val="center"/>
          </w:tcPr>
          <w:p w14:paraId="249FE515">
            <w:pPr>
              <w:pStyle w:val="101"/>
              <w:spacing w:line="300" w:lineRule="exact"/>
              <w:jc w:val="center"/>
              <w:rPr>
                <w:rFonts w:hint="eastAsia" w:ascii="Arial" w:hAnsi="宋体" w:eastAsia="宋体" w:cs="Arial"/>
                <w:bCs/>
                <w:color w:val="auto"/>
                <w:kern w:val="2"/>
                <w:sz w:val="22"/>
                <w:szCs w:val="22"/>
              </w:rPr>
            </w:pPr>
          </w:p>
        </w:tc>
        <w:tc>
          <w:tcPr>
            <w:tcW w:w="3177" w:type="dxa"/>
            <w:noWrap w:val="0"/>
            <w:vAlign w:val="center"/>
          </w:tcPr>
          <w:p w14:paraId="4AC97B41">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施工影响及占地范围内均无地方、国家级珍稀濒危野生动植物分布</w:t>
            </w:r>
          </w:p>
        </w:tc>
        <w:tc>
          <w:tcPr>
            <w:tcW w:w="2861" w:type="dxa"/>
            <w:noWrap w:val="0"/>
            <w:vAlign w:val="center"/>
          </w:tcPr>
          <w:p w14:paraId="64156296">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施工影响及占地范围内均无地方、国家级珍稀濒危野生动植物分布</w:t>
            </w:r>
          </w:p>
        </w:tc>
        <w:tc>
          <w:tcPr>
            <w:tcW w:w="1280" w:type="dxa"/>
            <w:noWrap w:val="0"/>
            <w:vAlign w:val="center"/>
          </w:tcPr>
          <w:p w14:paraId="4E7C8455">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一致</w:t>
            </w:r>
          </w:p>
        </w:tc>
      </w:tr>
      <w:tr w14:paraId="0FFF1B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vMerge w:val="continue"/>
            <w:noWrap w:val="0"/>
            <w:vAlign w:val="center"/>
          </w:tcPr>
          <w:p w14:paraId="43BD9988">
            <w:pPr>
              <w:pStyle w:val="101"/>
              <w:spacing w:line="300" w:lineRule="exact"/>
              <w:jc w:val="center"/>
              <w:rPr>
                <w:rFonts w:hint="eastAsia" w:ascii="Arial" w:hAnsi="宋体" w:eastAsia="宋体" w:cs="Arial"/>
                <w:bCs/>
                <w:color w:val="auto"/>
                <w:kern w:val="2"/>
                <w:sz w:val="22"/>
                <w:szCs w:val="22"/>
              </w:rPr>
            </w:pPr>
          </w:p>
        </w:tc>
        <w:tc>
          <w:tcPr>
            <w:tcW w:w="3177" w:type="dxa"/>
            <w:noWrap w:val="0"/>
            <w:vAlign w:val="center"/>
          </w:tcPr>
          <w:p w14:paraId="4EDCCDBC">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枢纽工程及库区淹没需永久</w:t>
            </w:r>
            <w:r>
              <w:rPr>
                <w:rFonts w:hint="eastAsia" w:ascii="Arial" w:hAnsi="宋体" w:eastAsia="宋体" w:cs="Arial"/>
                <w:bCs/>
                <w:color w:val="auto"/>
                <w:kern w:val="2"/>
                <w:sz w:val="22"/>
                <w:szCs w:val="22"/>
                <w:lang w:eastAsia="zh-CN"/>
              </w:rPr>
              <w:t>占地</w:t>
            </w:r>
            <w:r>
              <w:rPr>
                <w:rFonts w:hint="eastAsia" w:ascii="Arial" w:hAnsi="宋体" w:cs="Arial"/>
                <w:bCs/>
                <w:color w:val="auto"/>
                <w:kern w:val="2"/>
                <w:sz w:val="22"/>
                <w:szCs w:val="22"/>
                <w:lang w:val="en-US" w:eastAsia="zh-CN"/>
              </w:rPr>
              <w:t>8.3026hm</w:t>
            </w:r>
            <w:r>
              <w:rPr>
                <w:rFonts w:hint="eastAsia" w:ascii="Arial" w:hAnsi="宋体" w:cs="Arial"/>
                <w:bCs/>
                <w:color w:val="auto"/>
                <w:kern w:val="2"/>
                <w:sz w:val="22"/>
                <w:szCs w:val="22"/>
                <w:vertAlign w:val="superscript"/>
                <w:lang w:val="en-US" w:eastAsia="zh-CN"/>
              </w:rPr>
              <w:t>2</w:t>
            </w:r>
            <w:r>
              <w:rPr>
                <w:rFonts w:hint="eastAsia" w:ascii="Arial" w:hAnsi="宋体" w:eastAsia="宋体" w:cs="Arial"/>
                <w:bCs/>
                <w:color w:val="auto"/>
                <w:kern w:val="2"/>
                <w:sz w:val="22"/>
                <w:szCs w:val="22"/>
                <w:highlight w:val="none"/>
                <w:lang w:eastAsia="zh-CN"/>
              </w:rPr>
              <w:t>，</w:t>
            </w:r>
            <w:r>
              <w:rPr>
                <w:rFonts w:hint="eastAsia" w:ascii="Arial" w:hAnsi="宋体" w:cs="Arial"/>
                <w:bCs/>
                <w:color w:val="auto"/>
                <w:kern w:val="2"/>
                <w:sz w:val="22"/>
                <w:szCs w:val="22"/>
                <w:highlight w:val="none"/>
                <w:lang w:eastAsia="zh-CN"/>
              </w:rPr>
              <w:t>无基本农田</w:t>
            </w:r>
            <w:r>
              <w:rPr>
                <w:rFonts w:hint="eastAsia" w:ascii="Arial" w:hAnsi="宋体" w:eastAsia="宋体" w:cs="Arial"/>
                <w:bCs/>
                <w:color w:val="auto"/>
                <w:kern w:val="2"/>
                <w:sz w:val="22"/>
                <w:szCs w:val="22"/>
                <w:highlight w:val="none"/>
              </w:rPr>
              <w:t>。</w:t>
            </w:r>
          </w:p>
        </w:tc>
        <w:tc>
          <w:tcPr>
            <w:tcW w:w="2861" w:type="dxa"/>
            <w:noWrap w:val="0"/>
            <w:vAlign w:val="center"/>
          </w:tcPr>
          <w:p w14:paraId="578A1E5D">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枢纽工程及库区淹没需永久</w:t>
            </w:r>
            <w:r>
              <w:rPr>
                <w:rFonts w:hint="eastAsia" w:ascii="Arial" w:hAnsi="宋体" w:eastAsia="宋体" w:cs="Arial"/>
                <w:bCs/>
                <w:color w:val="auto"/>
                <w:kern w:val="2"/>
                <w:sz w:val="22"/>
                <w:szCs w:val="22"/>
                <w:lang w:eastAsia="zh-CN"/>
              </w:rPr>
              <w:t>占地</w:t>
            </w:r>
            <w:r>
              <w:rPr>
                <w:rFonts w:hint="eastAsia" w:ascii="Arial" w:hAnsi="宋体" w:cs="Arial"/>
                <w:bCs/>
                <w:color w:val="auto"/>
                <w:kern w:val="2"/>
                <w:sz w:val="22"/>
                <w:szCs w:val="22"/>
                <w:lang w:val="en-US" w:eastAsia="zh-CN"/>
              </w:rPr>
              <w:t>13.7591</w:t>
            </w:r>
            <w:r>
              <w:rPr>
                <w:rFonts w:hint="eastAsia" w:ascii="Arial" w:hAnsi="宋体" w:cs="Arial"/>
                <w:bCs/>
                <w:color w:val="auto"/>
                <w:kern w:val="2"/>
                <w:sz w:val="22"/>
                <w:szCs w:val="22"/>
                <w:highlight w:val="none"/>
                <w:lang w:val="en-US" w:eastAsia="zh-CN"/>
              </w:rPr>
              <w:t>hm</w:t>
            </w:r>
            <w:r>
              <w:rPr>
                <w:rFonts w:hint="eastAsia" w:ascii="Arial" w:hAnsi="宋体" w:cs="Arial"/>
                <w:bCs/>
                <w:color w:val="auto"/>
                <w:kern w:val="2"/>
                <w:sz w:val="22"/>
                <w:szCs w:val="22"/>
                <w:highlight w:val="none"/>
                <w:vertAlign w:val="superscript"/>
                <w:lang w:val="en-US" w:eastAsia="zh-CN"/>
              </w:rPr>
              <w:t>2</w:t>
            </w:r>
            <w:r>
              <w:rPr>
                <w:rFonts w:hint="eastAsia" w:ascii="Arial" w:hAnsi="宋体" w:eastAsia="宋体" w:cs="Arial"/>
                <w:bCs/>
                <w:color w:val="auto"/>
                <w:kern w:val="2"/>
                <w:sz w:val="22"/>
                <w:szCs w:val="22"/>
                <w:highlight w:val="none"/>
                <w:lang w:eastAsia="zh-CN"/>
              </w:rPr>
              <w:t>，其中基本农田占用面积为</w:t>
            </w:r>
            <w:r>
              <w:rPr>
                <w:rFonts w:hint="eastAsia" w:ascii="Arial" w:hAnsi="宋体" w:cs="Arial"/>
                <w:bCs/>
                <w:color w:val="auto"/>
                <w:kern w:val="2"/>
                <w:sz w:val="22"/>
                <w:szCs w:val="22"/>
                <w:highlight w:val="none"/>
                <w:lang w:val="en-US" w:eastAsia="zh-CN"/>
              </w:rPr>
              <w:t>3.1227hm</w:t>
            </w:r>
            <w:r>
              <w:rPr>
                <w:rFonts w:hint="eastAsia" w:ascii="Arial" w:hAnsi="宋体" w:cs="Arial"/>
                <w:bCs/>
                <w:color w:val="auto"/>
                <w:kern w:val="2"/>
                <w:sz w:val="22"/>
                <w:szCs w:val="22"/>
                <w:highlight w:val="none"/>
                <w:vertAlign w:val="superscript"/>
                <w:lang w:val="en-US" w:eastAsia="zh-CN"/>
              </w:rPr>
              <w:t>2</w:t>
            </w:r>
            <w:r>
              <w:rPr>
                <w:rFonts w:hint="eastAsia" w:ascii="Arial" w:hAnsi="宋体" w:eastAsia="宋体" w:cs="Arial"/>
                <w:bCs/>
                <w:color w:val="auto"/>
                <w:kern w:val="2"/>
                <w:sz w:val="22"/>
                <w:szCs w:val="22"/>
                <w:highlight w:val="none"/>
              </w:rPr>
              <w:t>。</w:t>
            </w:r>
          </w:p>
        </w:tc>
        <w:tc>
          <w:tcPr>
            <w:tcW w:w="1280" w:type="dxa"/>
            <w:noWrap w:val="0"/>
            <w:vAlign w:val="center"/>
          </w:tcPr>
          <w:p w14:paraId="76E47B9B">
            <w:pPr>
              <w:pStyle w:val="101"/>
              <w:spacing w:line="300" w:lineRule="exact"/>
              <w:jc w:val="center"/>
              <w:rPr>
                <w:rFonts w:hint="eastAsia" w:ascii="Arial" w:hAnsi="宋体" w:eastAsia="宋体" w:cs="Arial"/>
                <w:bCs/>
                <w:color w:val="auto"/>
                <w:kern w:val="2"/>
                <w:sz w:val="22"/>
                <w:szCs w:val="22"/>
              </w:rPr>
            </w:pPr>
            <w:r>
              <w:rPr>
                <w:rFonts w:hint="eastAsia" w:ascii="Arial" w:hAnsi="宋体" w:cs="Arial"/>
                <w:bCs/>
                <w:color w:val="auto"/>
                <w:kern w:val="2"/>
                <w:sz w:val="22"/>
                <w:szCs w:val="22"/>
                <w:lang w:eastAsia="zh-CN"/>
              </w:rPr>
              <w:t>上</w:t>
            </w:r>
            <w:r>
              <w:rPr>
                <w:rFonts w:hint="eastAsia" w:ascii="Arial" w:hAnsi="宋体" w:eastAsia="宋体" w:cs="Arial"/>
                <w:bCs/>
                <w:color w:val="auto"/>
                <w:kern w:val="2"/>
                <w:sz w:val="22"/>
                <w:szCs w:val="22"/>
              </w:rPr>
              <w:t>坝线</w:t>
            </w:r>
          </w:p>
        </w:tc>
      </w:tr>
      <w:tr w14:paraId="3E30C3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noWrap w:val="0"/>
            <w:vAlign w:val="center"/>
          </w:tcPr>
          <w:p w14:paraId="6008510A">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地下水环境</w:t>
            </w:r>
          </w:p>
        </w:tc>
        <w:tc>
          <w:tcPr>
            <w:tcW w:w="3177" w:type="dxa"/>
            <w:noWrap w:val="0"/>
            <w:vAlign w:val="center"/>
          </w:tcPr>
          <w:p w14:paraId="21498578">
            <w:pPr>
              <w:pStyle w:val="101"/>
              <w:spacing w:line="300" w:lineRule="exact"/>
              <w:jc w:val="center"/>
              <w:rPr>
                <w:rFonts w:hint="eastAsia" w:ascii="Arial" w:hAnsi="宋体" w:eastAsia="宋体" w:cs="Arial"/>
                <w:bCs/>
                <w:color w:val="auto"/>
                <w:kern w:val="2"/>
                <w:sz w:val="22"/>
                <w:szCs w:val="22"/>
              </w:rPr>
            </w:pPr>
            <w:r>
              <w:rPr>
                <w:rFonts w:ascii="Times New Roman" w:hAnsi="Times New Roman" w:cs="Times New Roman"/>
                <w:color w:val="auto"/>
                <w:sz w:val="22"/>
                <w:szCs w:val="22"/>
              </w:rPr>
              <w:t>要地下水形式为基岩裂隙水，地表水、地下水对砼无腐蚀性，地表水、地下水对钢结构具弱腐蚀性。</w:t>
            </w:r>
          </w:p>
        </w:tc>
        <w:tc>
          <w:tcPr>
            <w:tcW w:w="2861" w:type="dxa"/>
            <w:noWrap w:val="0"/>
            <w:vAlign w:val="center"/>
          </w:tcPr>
          <w:p w14:paraId="3A261149">
            <w:pPr>
              <w:pStyle w:val="101"/>
              <w:spacing w:line="300" w:lineRule="exact"/>
              <w:jc w:val="center"/>
              <w:rPr>
                <w:rFonts w:hint="eastAsia" w:ascii="Arial" w:hAnsi="宋体" w:eastAsia="宋体" w:cs="Arial"/>
                <w:bCs/>
                <w:color w:val="auto"/>
                <w:kern w:val="2"/>
                <w:sz w:val="22"/>
                <w:szCs w:val="22"/>
              </w:rPr>
            </w:pPr>
            <w:r>
              <w:rPr>
                <w:rFonts w:ascii="Times New Roman" w:hAnsi="Times New Roman" w:cs="Times New Roman"/>
                <w:color w:val="auto"/>
                <w:sz w:val="22"/>
                <w:szCs w:val="22"/>
              </w:rPr>
              <w:t>要地下水形式为基岩裂隙水，地表水、地下水对砼无腐蚀性，地表水、地下水对钢结构具弱腐蚀性。</w:t>
            </w:r>
          </w:p>
        </w:tc>
        <w:tc>
          <w:tcPr>
            <w:tcW w:w="1280" w:type="dxa"/>
            <w:noWrap w:val="0"/>
            <w:vAlign w:val="center"/>
          </w:tcPr>
          <w:p w14:paraId="4642559A">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相当</w:t>
            </w:r>
          </w:p>
        </w:tc>
      </w:tr>
      <w:tr w14:paraId="1E5AA9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noWrap w:val="0"/>
            <w:vAlign w:val="center"/>
          </w:tcPr>
          <w:p w14:paraId="785D7884">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环境敏感点</w:t>
            </w:r>
          </w:p>
          <w:p w14:paraId="7F9C07C9">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分布</w:t>
            </w:r>
          </w:p>
        </w:tc>
        <w:tc>
          <w:tcPr>
            <w:tcW w:w="3177" w:type="dxa"/>
            <w:noWrap w:val="0"/>
            <w:vAlign w:val="center"/>
          </w:tcPr>
          <w:p w14:paraId="3F50595F">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周边200m范围内分布为少量散居居民，坝线上游无取水口、鱼类资源分布，未发现</w:t>
            </w:r>
            <w:r>
              <w:rPr>
                <w:rFonts w:hint="eastAsia" w:ascii="Arial" w:hAnsi="宋体" w:cs="Arial"/>
                <w:bCs/>
                <w:color w:val="auto"/>
                <w:kern w:val="2"/>
                <w:sz w:val="22"/>
                <w:szCs w:val="22"/>
                <w:lang w:eastAsia="zh-CN"/>
              </w:rPr>
              <w:t>珍稀野生</w:t>
            </w:r>
            <w:r>
              <w:rPr>
                <w:rFonts w:hint="eastAsia" w:ascii="Arial" w:hAnsi="宋体" w:eastAsia="宋体" w:cs="Arial"/>
                <w:bCs/>
                <w:color w:val="auto"/>
                <w:kern w:val="2"/>
                <w:sz w:val="22"/>
                <w:szCs w:val="22"/>
              </w:rPr>
              <w:t>动物栖息地，淹没区范围内无珍惜植物分布。</w:t>
            </w:r>
          </w:p>
        </w:tc>
        <w:tc>
          <w:tcPr>
            <w:tcW w:w="2861" w:type="dxa"/>
            <w:noWrap w:val="0"/>
            <w:vAlign w:val="center"/>
          </w:tcPr>
          <w:p w14:paraId="1F5336E5">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周边200m范围内分布为少量散居居民，坝线上游无取水口、鱼类资源分布，未发现</w:t>
            </w:r>
            <w:r>
              <w:rPr>
                <w:rFonts w:hint="eastAsia" w:ascii="Arial" w:hAnsi="宋体" w:cs="Arial"/>
                <w:bCs/>
                <w:color w:val="auto"/>
                <w:kern w:val="2"/>
                <w:sz w:val="22"/>
                <w:szCs w:val="22"/>
                <w:lang w:eastAsia="zh-CN"/>
              </w:rPr>
              <w:t>珍稀野生</w:t>
            </w:r>
            <w:r>
              <w:rPr>
                <w:rFonts w:hint="eastAsia" w:ascii="Arial" w:hAnsi="宋体" w:eastAsia="宋体" w:cs="Arial"/>
                <w:bCs/>
                <w:color w:val="auto"/>
                <w:kern w:val="2"/>
                <w:sz w:val="22"/>
                <w:szCs w:val="22"/>
              </w:rPr>
              <w:t>动物栖息地，淹没区范围内无珍惜植物分布。</w:t>
            </w:r>
          </w:p>
        </w:tc>
        <w:tc>
          <w:tcPr>
            <w:tcW w:w="1280" w:type="dxa"/>
            <w:noWrap w:val="0"/>
            <w:vAlign w:val="center"/>
          </w:tcPr>
          <w:p w14:paraId="7C375007">
            <w:pPr>
              <w:pStyle w:val="101"/>
              <w:spacing w:line="300" w:lineRule="exact"/>
              <w:jc w:val="center"/>
              <w:rPr>
                <w:rFonts w:hint="eastAsia" w:ascii="Arial" w:hAnsi="宋体" w:eastAsia="宋体" w:cs="Arial"/>
                <w:bCs/>
                <w:color w:val="auto"/>
                <w:kern w:val="2"/>
                <w:sz w:val="22"/>
                <w:szCs w:val="22"/>
                <w:lang w:eastAsia="zh-CN"/>
              </w:rPr>
            </w:pPr>
            <w:r>
              <w:rPr>
                <w:rFonts w:hint="eastAsia" w:ascii="Arial" w:hAnsi="宋体" w:eastAsia="宋体" w:cs="Arial"/>
                <w:bCs/>
                <w:color w:val="auto"/>
                <w:kern w:val="2"/>
                <w:sz w:val="22"/>
                <w:szCs w:val="22"/>
                <w:lang w:eastAsia="zh-CN"/>
              </w:rPr>
              <w:t>相当</w:t>
            </w:r>
          </w:p>
        </w:tc>
      </w:tr>
      <w:tr w14:paraId="1CE660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noWrap w:val="0"/>
            <w:vAlign w:val="center"/>
          </w:tcPr>
          <w:p w14:paraId="6034ED90">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移民安置</w:t>
            </w:r>
          </w:p>
        </w:tc>
        <w:tc>
          <w:tcPr>
            <w:tcW w:w="3177" w:type="dxa"/>
            <w:noWrap w:val="0"/>
            <w:vAlign w:val="center"/>
          </w:tcPr>
          <w:p w14:paraId="23731924">
            <w:pPr>
              <w:pStyle w:val="101"/>
              <w:spacing w:line="300" w:lineRule="exact"/>
              <w:jc w:val="center"/>
              <w:rPr>
                <w:rFonts w:hint="eastAsia" w:ascii="Arial" w:hAnsi="宋体" w:eastAsia="宋体" w:cs="Arial"/>
                <w:bCs/>
                <w:color w:val="auto"/>
                <w:kern w:val="2"/>
                <w:sz w:val="22"/>
                <w:szCs w:val="22"/>
                <w:lang w:eastAsia="zh-CN"/>
              </w:rPr>
            </w:pPr>
            <w:r>
              <w:rPr>
                <w:rFonts w:hint="eastAsia" w:ascii="Arial" w:hAnsi="宋体" w:eastAsia="宋体" w:cs="Arial"/>
                <w:bCs/>
                <w:color w:val="auto"/>
                <w:kern w:val="2"/>
                <w:sz w:val="22"/>
                <w:szCs w:val="22"/>
                <w:lang w:eastAsia="zh-CN"/>
              </w:rPr>
              <w:t>无</w:t>
            </w:r>
          </w:p>
        </w:tc>
        <w:tc>
          <w:tcPr>
            <w:tcW w:w="2861" w:type="dxa"/>
            <w:noWrap w:val="0"/>
            <w:vAlign w:val="center"/>
          </w:tcPr>
          <w:p w14:paraId="5D10EB8E">
            <w:pPr>
              <w:pStyle w:val="101"/>
              <w:spacing w:line="300" w:lineRule="exact"/>
              <w:jc w:val="center"/>
              <w:rPr>
                <w:rFonts w:hint="eastAsia" w:ascii="Arial" w:hAnsi="宋体" w:eastAsia="宋体" w:cs="Arial"/>
                <w:bCs/>
                <w:color w:val="auto"/>
                <w:kern w:val="2"/>
                <w:sz w:val="22"/>
                <w:szCs w:val="22"/>
                <w:lang w:eastAsia="zh-CN"/>
              </w:rPr>
            </w:pPr>
            <w:r>
              <w:rPr>
                <w:rFonts w:hint="eastAsia" w:ascii="Arial" w:hAnsi="宋体" w:eastAsia="宋体" w:cs="Arial"/>
                <w:bCs/>
                <w:color w:val="auto"/>
                <w:kern w:val="2"/>
                <w:sz w:val="22"/>
                <w:szCs w:val="22"/>
                <w:lang w:eastAsia="zh-CN"/>
              </w:rPr>
              <w:t>无</w:t>
            </w:r>
          </w:p>
        </w:tc>
        <w:tc>
          <w:tcPr>
            <w:tcW w:w="1280" w:type="dxa"/>
            <w:noWrap w:val="0"/>
            <w:vAlign w:val="center"/>
          </w:tcPr>
          <w:p w14:paraId="74C1EEA3">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lang w:eastAsia="zh-CN"/>
              </w:rPr>
              <w:t>相当</w:t>
            </w:r>
          </w:p>
        </w:tc>
      </w:tr>
      <w:tr w14:paraId="639B9E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noWrap w:val="0"/>
            <w:vAlign w:val="center"/>
          </w:tcPr>
          <w:p w14:paraId="596BAF2D">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施工工期</w:t>
            </w:r>
          </w:p>
        </w:tc>
        <w:tc>
          <w:tcPr>
            <w:tcW w:w="3177" w:type="dxa"/>
            <w:noWrap w:val="0"/>
            <w:vAlign w:val="center"/>
          </w:tcPr>
          <w:p w14:paraId="4D6E3BCC">
            <w:pPr>
              <w:pStyle w:val="101"/>
              <w:spacing w:line="300" w:lineRule="exact"/>
              <w:jc w:val="center"/>
              <w:rPr>
                <w:rFonts w:hint="eastAsia" w:ascii="Arial" w:hAnsi="宋体" w:eastAsia="宋体" w:cs="Arial"/>
                <w:bCs/>
                <w:color w:val="auto"/>
                <w:kern w:val="2"/>
                <w:sz w:val="22"/>
                <w:szCs w:val="22"/>
                <w:lang w:val="en-US" w:eastAsia="zh-CN"/>
              </w:rPr>
            </w:pPr>
            <w:r>
              <w:rPr>
                <w:rFonts w:hint="eastAsia" w:ascii="Arial" w:hAnsi="宋体" w:eastAsia="宋体" w:cs="Arial"/>
                <w:bCs/>
                <w:color w:val="auto"/>
                <w:kern w:val="2"/>
                <w:sz w:val="22"/>
                <w:szCs w:val="22"/>
              </w:rPr>
              <w:t>2</w:t>
            </w:r>
            <w:r>
              <w:rPr>
                <w:rFonts w:hint="eastAsia" w:ascii="Arial" w:hAnsi="宋体" w:eastAsia="宋体" w:cs="Arial"/>
                <w:bCs/>
                <w:color w:val="auto"/>
                <w:kern w:val="2"/>
                <w:sz w:val="22"/>
                <w:szCs w:val="22"/>
                <w:lang w:val="en-US" w:eastAsia="zh-CN"/>
              </w:rPr>
              <w:t>8个月</w:t>
            </w:r>
          </w:p>
        </w:tc>
        <w:tc>
          <w:tcPr>
            <w:tcW w:w="2861" w:type="dxa"/>
            <w:noWrap w:val="0"/>
            <w:vAlign w:val="center"/>
          </w:tcPr>
          <w:p w14:paraId="76F85B31">
            <w:pPr>
              <w:pStyle w:val="101"/>
              <w:spacing w:line="300" w:lineRule="exact"/>
              <w:jc w:val="center"/>
              <w:rPr>
                <w:rFonts w:hint="default" w:ascii="Arial" w:hAnsi="宋体" w:eastAsia="宋体" w:cs="Arial"/>
                <w:bCs/>
                <w:color w:val="auto"/>
                <w:kern w:val="2"/>
                <w:sz w:val="22"/>
                <w:szCs w:val="22"/>
                <w:lang w:val="en-US" w:eastAsia="zh-CN"/>
              </w:rPr>
            </w:pPr>
            <w:r>
              <w:rPr>
                <w:rFonts w:hint="eastAsia" w:ascii="Arial" w:hAnsi="宋体" w:eastAsia="宋体" w:cs="Arial"/>
                <w:bCs/>
                <w:color w:val="auto"/>
                <w:kern w:val="2"/>
                <w:sz w:val="22"/>
                <w:szCs w:val="22"/>
                <w:lang w:val="en-US" w:eastAsia="zh-CN"/>
              </w:rPr>
              <w:t>24个月</w:t>
            </w:r>
          </w:p>
        </w:tc>
        <w:tc>
          <w:tcPr>
            <w:tcW w:w="1280" w:type="dxa"/>
            <w:noWrap w:val="0"/>
            <w:vAlign w:val="center"/>
          </w:tcPr>
          <w:p w14:paraId="5571095E">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下坝线</w:t>
            </w:r>
          </w:p>
        </w:tc>
      </w:tr>
      <w:tr w14:paraId="3E286D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noWrap w:val="0"/>
            <w:vAlign w:val="center"/>
          </w:tcPr>
          <w:p w14:paraId="57CC39AF">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天然建筑</w:t>
            </w:r>
          </w:p>
          <w:p w14:paraId="60E5072C">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材料</w:t>
            </w:r>
          </w:p>
        </w:tc>
        <w:tc>
          <w:tcPr>
            <w:tcW w:w="3177" w:type="dxa"/>
            <w:noWrap w:val="0"/>
            <w:vAlign w:val="center"/>
          </w:tcPr>
          <w:p w14:paraId="1AD5DD23">
            <w:pPr>
              <w:pStyle w:val="101"/>
              <w:spacing w:line="300" w:lineRule="exact"/>
              <w:jc w:val="center"/>
              <w:rPr>
                <w:rFonts w:hint="eastAsia" w:ascii="Arial" w:hAnsi="宋体" w:eastAsia="宋体" w:cs="Arial"/>
                <w:bCs/>
                <w:color w:val="auto"/>
                <w:kern w:val="2"/>
                <w:sz w:val="22"/>
                <w:szCs w:val="22"/>
                <w:lang w:eastAsia="zh-CN"/>
              </w:rPr>
            </w:pPr>
            <w:r>
              <w:rPr>
                <w:rFonts w:hint="eastAsia" w:ascii="Arial" w:hAnsi="宋体" w:eastAsia="宋体" w:cs="Arial"/>
                <w:bCs/>
                <w:color w:val="auto"/>
                <w:kern w:val="2"/>
                <w:sz w:val="22"/>
                <w:szCs w:val="22"/>
                <w:lang w:eastAsia="zh-CN"/>
              </w:rPr>
              <w:t>可在丰都县境内合规采石场、混凝土搅拌站等购买。</w:t>
            </w:r>
          </w:p>
        </w:tc>
        <w:tc>
          <w:tcPr>
            <w:tcW w:w="2861" w:type="dxa"/>
            <w:noWrap w:val="0"/>
            <w:vAlign w:val="center"/>
          </w:tcPr>
          <w:p w14:paraId="08C0C35E">
            <w:pPr>
              <w:pStyle w:val="101"/>
              <w:spacing w:line="300" w:lineRule="exact"/>
              <w:jc w:val="center"/>
              <w:rPr>
                <w:rFonts w:ascii="Arial" w:hAnsi="宋体" w:eastAsia="宋体" w:cs="Arial"/>
                <w:bCs/>
                <w:color w:val="auto"/>
                <w:kern w:val="2"/>
                <w:sz w:val="22"/>
                <w:szCs w:val="22"/>
              </w:rPr>
            </w:pPr>
            <w:r>
              <w:rPr>
                <w:rFonts w:hint="eastAsia" w:ascii="Arial" w:hAnsi="宋体" w:eastAsia="宋体" w:cs="Arial"/>
                <w:bCs/>
                <w:color w:val="auto"/>
                <w:kern w:val="2"/>
                <w:sz w:val="22"/>
                <w:szCs w:val="22"/>
                <w:lang w:eastAsia="zh-CN"/>
              </w:rPr>
              <w:t>在丰都县境内合规采石场、混凝土搅拌站等购买。</w:t>
            </w:r>
          </w:p>
        </w:tc>
        <w:tc>
          <w:tcPr>
            <w:tcW w:w="1280" w:type="dxa"/>
            <w:noWrap w:val="0"/>
            <w:vAlign w:val="center"/>
          </w:tcPr>
          <w:p w14:paraId="0D25E35E">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lang w:eastAsia="zh-CN"/>
              </w:rPr>
              <w:t>相当</w:t>
            </w:r>
          </w:p>
        </w:tc>
      </w:tr>
      <w:tr w14:paraId="60EE9A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6" w:type="dxa"/>
            <w:noWrap w:val="0"/>
            <w:vAlign w:val="center"/>
          </w:tcPr>
          <w:p w14:paraId="48FCF01D">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工程投资</w:t>
            </w:r>
          </w:p>
        </w:tc>
        <w:tc>
          <w:tcPr>
            <w:tcW w:w="3177" w:type="dxa"/>
            <w:noWrap w:val="0"/>
            <w:vAlign w:val="center"/>
          </w:tcPr>
          <w:p w14:paraId="44757C49">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lang w:val="en-US" w:eastAsia="zh-CN"/>
              </w:rPr>
              <w:t>14499.6</w:t>
            </w:r>
            <w:r>
              <w:rPr>
                <w:rFonts w:hint="eastAsia" w:ascii="Arial" w:hAnsi="宋体" w:eastAsia="宋体" w:cs="Arial"/>
                <w:bCs/>
                <w:color w:val="auto"/>
                <w:kern w:val="2"/>
                <w:sz w:val="22"/>
                <w:szCs w:val="22"/>
              </w:rPr>
              <w:t>万元</w:t>
            </w:r>
          </w:p>
        </w:tc>
        <w:tc>
          <w:tcPr>
            <w:tcW w:w="2861" w:type="dxa"/>
            <w:noWrap w:val="0"/>
            <w:vAlign w:val="center"/>
          </w:tcPr>
          <w:p w14:paraId="7AD5EBE6">
            <w:pPr>
              <w:pStyle w:val="101"/>
              <w:spacing w:line="300" w:lineRule="exact"/>
              <w:jc w:val="center"/>
              <w:rPr>
                <w:rFonts w:hint="eastAsia" w:ascii="Arial" w:hAnsi="宋体" w:eastAsia="宋体" w:cs="Arial"/>
                <w:bCs/>
                <w:color w:val="auto"/>
                <w:kern w:val="2"/>
                <w:sz w:val="22"/>
                <w:szCs w:val="22"/>
              </w:rPr>
            </w:pPr>
            <w:r>
              <w:rPr>
                <w:rFonts w:hint="eastAsia" w:ascii="Arial" w:hAnsi="宋体" w:cs="Arial"/>
                <w:bCs/>
                <w:color w:val="auto"/>
                <w:kern w:val="2"/>
                <w:sz w:val="22"/>
                <w:szCs w:val="22"/>
                <w:highlight w:val="none"/>
                <w:lang w:val="en-US" w:eastAsia="zh-CN"/>
              </w:rPr>
              <w:t>15964.37</w:t>
            </w:r>
            <w:r>
              <w:rPr>
                <w:rFonts w:hint="eastAsia" w:ascii="Arial" w:hAnsi="宋体" w:eastAsia="宋体" w:cs="Arial"/>
                <w:bCs/>
                <w:color w:val="auto"/>
                <w:kern w:val="2"/>
                <w:sz w:val="22"/>
                <w:szCs w:val="22"/>
                <w:highlight w:val="none"/>
              </w:rPr>
              <w:t>万元</w:t>
            </w:r>
          </w:p>
        </w:tc>
        <w:tc>
          <w:tcPr>
            <w:tcW w:w="1280" w:type="dxa"/>
            <w:noWrap w:val="0"/>
            <w:vAlign w:val="center"/>
          </w:tcPr>
          <w:p w14:paraId="467C3163">
            <w:pPr>
              <w:pStyle w:val="101"/>
              <w:spacing w:line="300" w:lineRule="exact"/>
              <w:jc w:val="center"/>
              <w:rPr>
                <w:rFonts w:hint="eastAsia" w:ascii="Arial" w:hAnsi="宋体" w:eastAsia="宋体" w:cs="Arial"/>
                <w:bCs/>
                <w:color w:val="auto"/>
                <w:kern w:val="2"/>
                <w:sz w:val="22"/>
                <w:szCs w:val="22"/>
              </w:rPr>
            </w:pPr>
            <w:r>
              <w:rPr>
                <w:rFonts w:hint="eastAsia" w:ascii="Arial" w:hAnsi="宋体" w:eastAsia="宋体" w:cs="Arial"/>
                <w:bCs/>
                <w:color w:val="auto"/>
                <w:kern w:val="2"/>
                <w:sz w:val="22"/>
                <w:szCs w:val="22"/>
              </w:rPr>
              <w:t>上坝线</w:t>
            </w:r>
          </w:p>
        </w:tc>
      </w:tr>
    </w:tbl>
    <w:p w14:paraId="293237D5">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lang w:val="en-US" w:eastAsia="zh-CN"/>
        </w:rPr>
      </w:pPr>
    </w:p>
    <w:p w14:paraId="2358277E">
      <w:pPr>
        <w:pStyle w:val="101"/>
        <w:spacing w:line="440" w:lineRule="exact"/>
        <w:ind w:firstLine="520" w:firstLineChars="200"/>
        <w:jc w:val="both"/>
        <w:rPr>
          <w:rFonts w:hint="eastAsia" w:ascii="Arial" w:hAnsi="宋体" w:eastAsia="宋体" w:cs="Arial"/>
          <w:bCs/>
          <w:color w:val="auto"/>
          <w:kern w:val="2"/>
          <w:sz w:val="26"/>
          <w:szCs w:val="26"/>
        </w:rPr>
      </w:pPr>
      <w:r>
        <w:rPr>
          <w:rFonts w:hint="eastAsia" w:ascii="Arial" w:hAnsi="宋体" w:eastAsia="宋体" w:cs="Arial"/>
          <w:color w:val="auto"/>
          <w:sz w:val="26"/>
          <w:szCs w:val="26"/>
        </w:rPr>
        <w:t>由于上、下坝线距离较近，周边环境相似，</w:t>
      </w:r>
      <w:r>
        <w:rPr>
          <w:rFonts w:hint="eastAsia" w:ascii="Arial" w:hAnsi="宋体" w:eastAsia="宋体" w:cs="Arial"/>
          <w:bCs/>
          <w:color w:val="auto"/>
          <w:sz w:val="26"/>
          <w:szCs w:val="26"/>
        </w:rPr>
        <w:t>均</w:t>
      </w:r>
      <w:r>
        <w:rPr>
          <w:rFonts w:hint="eastAsia" w:ascii="Arial" w:hAnsi="宋体" w:eastAsia="宋体" w:cs="Arial"/>
          <w:bCs/>
          <w:color w:val="auto"/>
          <w:sz w:val="26"/>
          <w:szCs w:val="26"/>
          <w:lang w:eastAsia="zh-CN"/>
        </w:rPr>
        <w:t>不</w:t>
      </w:r>
      <w:r>
        <w:rPr>
          <w:rFonts w:hint="eastAsia" w:ascii="Arial" w:hAnsi="宋体" w:eastAsia="宋体" w:cs="Arial"/>
          <w:bCs/>
          <w:color w:val="auto"/>
          <w:sz w:val="26"/>
          <w:szCs w:val="26"/>
        </w:rPr>
        <w:t>涉及</w:t>
      </w:r>
      <w:r>
        <w:rPr>
          <w:rFonts w:hint="eastAsia" w:ascii="Arial" w:hAnsi="宋体" w:eastAsia="宋体" w:cs="Arial"/>
          <w:bCs/>
          <w:color w:val="auto"/>
          <w:sz w:val="26"/>
          <w:szCs w:val="26"/>
          <w:lang w:eastAsia="zh-CN"/>
        </w:rPr>
        <w:t>生态环保红线、</w:t>
      </w:r>
      <w:r>
        <w:rPr>
          <w:rFonts w:hint="eastAsia" w:ascii="Arial" w:hAnsi="宋体" w:cs="Arial"/>
          <w:bCs/>
          <w:color w:val="auto"/>
          <w:sz w:val="26"/>
          <w:szCs w:val="26"/>
          <w:lang w:eastAsia="zh-CN"/>
        </w:rPr>
        <w:t>自然保护区、森林公园、风景名胜区、饮用水水源保护区等特殊生态敏感区，占地及影响范围内无</w:t>
      </w:r>
      <w:r>
        <w:rPr>
          <w:rFonts w:hint="eastAsia" w:ascii="Arial" w:hAnsi="宋体" w:eastAsia="宋体" w:cs="Arial"/>
          <w:bCs/>
          <w:color w:val="auto"/>
          <w:sz w:val="26"/>
          <w:szCs w:val="26"/>
          <w:lang w:eastAsia="zh-CN"/>
        </w:rPr>
        <w:t>珍稀濒危保护型野生动植物</w:t>
      </w:r>
      <w:r>
        <w:rPr>
          <w:rFonts w:hint="eastAsia" w:ascii="Arial" w:hAnsi="宋体" w:cs="Arial"/>
          <w:bCs/>
          <w:color w:val="auto"/>
          <w:sz w:val="26"/>
          <w:szCs w:val="26"/>
          <w:lang w:eastAsia="zh-CN"/>
        </w:rPr>
        <w:t>分布</w:t>
      </w:r>
      <w:r>
        <w:rPr>
          <w:rFonts w:hint="eastAsia" w:ascii="Arial" w:hAnsi="宋体" w:eastAsia="宋体" w:cs="Arial"/>
          <w:bCs/>
          <w:color w:val="auto"/>
          <w:sz w:val="26"/>
          <w:szCs w:val="26"/>
        </w:rPr>
        <w:t>。</w:t>
      </w:r>
      <w:r>
        <w:rPr>
          <w:rFonts w:hint="eastAsia" w:ascii="Arial" w:hAnsi="宋体" w:eastAsia="宋体" w:cs="Arial"/>
          <w:color w:val="auto"/>
          <w:sz w:val="26"/>
          <w:szCs w:val="26"/>
        </w:rPr>
        <w:t>根据表</w:t>
      </w:r>
      <w:r>
        <w:rPr>
          <w:rFonts w:hint="eastAsia" w:ascii="Arial" w:hAnsi="宋体" w:eastAsia="宋体" w:cs="Arial"/>
          <w:color w:val="auto"/>
          <w:sz w:val="26"/>
          <w:szCs w:val="26"/>
          <w:lang w:val="en-US" w:eastAsia="zh-CN"/>
        </w:rPr>
        <w:t>10.1</w:t>
      </w:r>
      <w:r>
        <w:rPr>
          <w:rFonts w:hint="eastAsia" w:ascii="Arial" w:hAnsi="宋体" w:eastAsia="宋体" w:cs="Arial"/>
          <w:color w:val="auto"/>
          <w:sz w:val="26"/>
          <w:szCs w:val="26"/>
        </w:rPr>
        <w:t>-1对比内容可以看出，</w:t>
      </w:r>
      <w:r>
        <w:rPr>
          <w:rFonts w:hint="eastAsia" w:ascii="Arial" w:hAnsi="宋体" w:cs="Arial"/>
          <w:bCs/>
          <w:color w:val="auto"/>
          <w:kern w:val="2"/>
          <w:sz w:val="26"/>
          <w:szCs w:val="26"/>
          <w:lang w:eastAsia="zh-CN"/>
        </w:rPr>
        <w:t>虽然上</w:t>
      </w:r>
      <w:r>
        <w:rPr>
          <w:rFonts w:hint="eastAsia" w:ascii="Arial" w:hAnsi="宋体" w:eastAsia="宋体" w:cs="Arial"/>
          <w:bCs/>
          <w:color w:val="auto"/>
          <w:kern w:val="2"/>
          <w:sz w:val="26"/>
          <w:szCs w:val="26"/>
        </w:rPr>
        <w:t>坝线施工周期</w:t>
      </w:r>
      <w:r>
        <w:rPr>
          <w:rFonts w:hint="eastAsia" w:ascii="Arial" w:hAnsi="宋体" w:cs="Arial"/>
          <w:bCs/>
          <w:color w:val="auto"/>
          <w:kern w:val="2"/>
          <w:sz w:val="26"/>
          <w:szCs w:val="26"/>
          <w:lang w:eastAsia="zh-CN"/>
        </w:rPr>
        <w:t>略长</w:t>
      </w:r>
      <w:r>
        <w:rPr>
          <w:rFonts w:hint="eastAsia" w:ascii="Arial" w:hAnsi="宋体" w:eastAsia="宋体" w:cs="Arial"/>
          <w:bCs/>
          <w:color w:val="auto"/>
          <w:kern w:val="2"/>
          <w:sz w:val="26"/>
          <w:szCs w:val="26"/>
        </w:rPr>
        <w:t>，</w:t>
      </w:r>
      <w:r>
        <w:rPr>
          <w:rFonts w:hint="eastAsia" w:ascii="Arial" w:hAnsi="宋体" w:cs="Arial"/>
          <w:color w:val="auto"/>
          <w:sz w:val="26"/>
          <w:szCs w:val="26"/>
          <w:lang w:eastAsia="zh-CN"/>
        </w:rPr>
        <w:t>但</w:t>
      </w:r>
      <w:r>
        <w:rPr>
          <w:rFonts w:hint="eastAsia" w:ascii="Arial" w:hAnsi="宋体" w:eastAsia="宋体" w:cs="Arial"/>
          <w:color w:val="auto"/>
          <w:sz w:val="26"/>
          <w:szCs w:val="26"/>
        </w:rPr>
        <w:t>工程量较小，占地面积</w:t>
      </w:r>
      <w:r>
        <w:rPr>
          <w:rFonts w:hint="eastAsia" w:ascii="Arial" w:hAnsi="宋体" w:cs="Arial"/>
          <w:color w:val="auto"/>
          <w:sz w:val="26"/>
          <w:szCs w:val="26"/>
          <w:lang w:eastAsia="zh-CN"/>
        </w:rPr>
        <w:t>较</w:t>
      </w:r>
      <w:r>
        <w:rPr>
          <w:rFonts w:hint="eastAsia" w:ascii="Arial" w:hAnsi="宋体" w:eastAsia="宋体" w:cs="Arial"/>
          <w:color w:val="auto"/>
          <w:sz w:val="26"/>
          <w:szCs w:val="26"/>
        </w:rPr>
        <w:t>小，</w:t>
      </w:r>
      <w:r>
        <w:rPr>
          <w:rFonts w:hint="eastAsia" w:ascii="Arial" w:hAnsi="宋体" w:cs="Arial"/>
          <w:color w:val="auto"/>
          <w:sz w:val="26"/>
          <w:szCs w:val="26"/>
          <w:lang w:eastAsia="zh-CN"/>
        </w:rPr>
        <w:t>且淹没区不涉及基本农田，</w:t>
      </w:r>
      <w:r>
        <w:rPr>
          <w:rFonts w:hint="eastAsia" w:ascii="Arial" w:hAnsi="宋体" w:eastAsia="宋体" w:cs="Arial"/>
          <w:color w:val="auto"/>
          <w:sz w:val="26"/>
          <w:szCs w:val="26"/>
        </w:rPr>
        <w:t>对</w:t>
      </w:r>
      <w:r>
        <w:rPr>
          <w:rFonts w:hint="eastAsia" w:ascii="Arial" w:hAnsi="宋体" w:eastAsia="宋体" w:cs="Arial"/>
          <w:bCs/>
          <w:color w:val="auto"/>
          <w:kern w:val="2"/>
          <w:sz w:val="26"/>
          <w:szCs w:val="26"/>
          <w:lang w:eastAsia="zh-CN"/>
        </w:rPr>
        <w:t>区域生态环境的影响</w:t>
      </w:r>
      <w:r>
        <w:rPr>
          <w:rFonts w:hint="eastAsia" w:ascii="Arial" w:hAnsi="宋体" w:cs="Arial"/>
          <w:bCs/>
          <w:color w:val="auto"/>
          <w:kern w:val="2"/>
          <w:sz w:val="26"/>
          <w:szCs w:val="26"/>
          <w:lang w:eastAsia="zh-CN"/>
        </w:rPr>
        <w:t>更</w:t>
      </w:r>
      <w:r>
        <w:rPr>
          <w:rFonts w:hint="eastAsia" w:ascii="Arial" w:hAnsi="宋体" w:eastAsia="宋体" w:cs="Arial"/>
          <w:bCs/>
          <w:color w:val="auto"/>
          <w:kern w:val="2"/>
          <w:sz w:val="26"/>
          <w:szCs w:val="26"/>
        </w:rPr>
        <w:t>小。因此，本评价认为主体设计推荐下坝线方案合理可行。</w:t>
      </w:r>
    </w:p>
    <w:p w14:paraId="721E4E89">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1.10.</w:t>
      </w:r>
      <w:r>
        <w:rPr>
          <w:rFonts w:hint="eastAsia" w:ascii="Arial" w:hAnsi="Arial" w:cs="Arial"/>
          <w:b/>
          <w:color w:val="auto"/>
          <w:kern w:val="0"/>
          <w:sz w:val="26"/>
          <w:szCs w:val="20"/>
          <w:highlight w:val="none"/>
          <w:lang w:val="en-US" w:eastAsia="zh-CN"/>
        </w:rPr>
        <w:t>3输水工程选线环境合理性分析</w:t>
      </w:r>
    </w:p>
    <w:p w14:paraId="2085411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本项目建成后</w:t>
      </w:r>
      <w:r>
        <w:rPr>
          <w:rFonts w:hint="eastAsia" w:ascii="Arial" w:hAnsi="Arial" w:eastAsia="宋体" w:cs="Arial"/>
          <w:color w:val="auto"/>
          <w:kern w:val="0"/>
          <w:sz w:val="26"/>
          <w:szCs w:val="26"/>
          <w:highlight w:val="none"/>
          <w:lang w:val="en-US" w:eastAsia="zh-CN"/>
        </w:rPr>
        <w:t>可解决双龙社区、回龙场村、田家山村7000人饮和双龙社区、回龙场村2000亩耕地灌溉用水</w:t>
      </w:r>
      <w:r>
        <w:rPr>
          <w:rFonts w:hint="eastAsia" w:ascii="Arial" w:hAnsi="Arial" w:cs="Arial"/>
          <w:color w:val="auto"/>
          <w:kern w:val="0"/>
          <w:sz w:val="26"/>
          <w:szCs w:val="26"/>
          <w:highlight w:val="none"/>
          <w:lang w:val="en-US" w:eastAsia="zh-CN"/>
        </w:rPr>
        <w:t>。本项目输水管线总长8.9km，不涉及生态保护红线、自然保护区、风景名胜区等特殊生态敏感区，均为埋地敷设，且沿线无提升泵站，均为临时占地，占地及影响范围内无</w:t>
      </w:r>
      <w:r>
        <w:rPr>
          <w:rFonts w:hint="eastAsia" w:ascii="Arial" w:hAnsi="宋体" w:eastAsia="宋体" w:cs="Arial"/>
          <w:bCs/>
          <w:color w:val="auto"/>
          <w:kern w:val="2"/>
          <w:sz w:val="26"/>
          <w:szCs w:val="26"/>
        </w:rPr>
        <w:t>国家重点保护珍稀植物和古树名木，施工结束后立即回填管沟，并进行生态覆土，</w:t>
      </w:r>
      <w:r>
        <w:rPr>
          <w:rFonts w:hint="eastAsia" w:ascii="Arial" w:hAnsi="宋体" w:eastAsia="宋体" w:cs="Arial"/>
          <w:bCs/>
          <w:color w:val="auto"/>
          <w:kern w:val="2"/>
          <w:sz w:val="26"/>
          <w:szCs w:val="26"/>
          <w:lang w:eastAsia="zh-CN"/>
        </w:rPr>
        <w:t>对区域生态环境影响小。</w:t>
      </w:r>
      <w:r>
        <w:rPr>
          <w:rFonts w:hint="eastAsia" w:ascii="Arial" w:hAnsi="Arial" w:cs="Arial"/>
          <w:color w:val="auto"/>
          <w:kern w:val="0"/>
          <w:sz w:val="26"/>
          <w:szCs w:val="26"/>
          <w:highlight w:val="none"/>
          <w:lang w:val="en-US" w:eastAsia="zh-CN"/>
        </w:rPr>
        <w:t>由于项目供水范围主要位于海螺沟、高洞桥河和双龙河两岸，并为满足重力自流，故不可避免将穿越河道，据统计，项目输水管线将穿越海螺沟1次、高洞桥河3次、双龙河1次，跨域河段均不涉及饮用水水源保护区，评价建议优先选取</w:t>
      </w:r>
      <w:r>
        <w:rPr>
          <w:rFonts w:hint="eastAsia" w:ascii="Arial" w:hAnsi="宋体" w:eastAsia="宋体" w:cs="Arial"/>
          <w:color w:val="auto"/>
          <w:sz w:val="26"/>
          <w:szCs w:val="26"/>
        </w:rPr>
        <w:t>顶管、定向钻等不涉水的施工工艺</w:t>
      </w:r>
      <w:r>
        <w:rPr>
          <w:rFonts w:hint="eastAsia" w:ascii="Arial" w:hAnsi="宋体" w:eastAsia="宋体" w:cs="Arial"/>
          <w:color w:val="auto"/>
          <w:sz w:val="26"/>
          <w:szCs w:val="26"/>
          <w:lang w:eastAsia="zh-CN"/>
        </w:rPr>
        <w:t>，</w:t>
      </w:r>
      <w:r>
        <w:rPr>
          <w:rFonts w:hint="eastAsia" w:ascii="Arial" w:hAnsi="宋体" w:cs="Arial"/>
          <w:color w:val="auto"/>
          <w:sz w:val="26"/>
          <w:szCs w:val="26"/>
          <w:lang w:val="en-US" w:eastAsia="zh-CN"/>
        </w:rPr>
        <w:t>无法选用时，需做好施工导流、围堰等工作，</w:t>
      </w:r>
      <w:r>
        <w:rPr>
          <w:rFonts w:hint="eastAsia" w:ascii="Arial" w:hAnsi="宋体" w:cs="Arial"/>
          <w:color w:val="auto"/>
          <w:spacing w:val="-4"/>
          <w:sz w:val="26"/>
          <w:szCs w:val="26"/>
        </w:rPr>
        <w:t>选择枯水期分段作业，严格控制施工开挖面，并尽可能将处理后的基坑废水回用于施工抑尘洒水，</w:t>
      </w:r>
      <w:r>
        <w:rPr>
          <w:rFonts w:hint="eastAsia" w:ascii="Arial" w:hAnsi="宋体" w:cs="Arial"/>
          <w:bCs/>
          <w:color w:val="auto"/>
          <w:sz w:val="26"/>
          <w:szCs w:val="26"/>
        </w:rPr>
        <w:t>多余部分需经沉淀处理</w:t>
      </w:r>
      <w:r>
        <w:rPr>
          <w:rFonts w:hint="eastAsia" w:ascii="Arial" w:hAnsi="宋体" w:cs="Arial"/>
          <w:bCs/>
          <w:color w:val="auto"/>
          <w:sz w:val="26"/>
          <w:szCs w:val="26"/>
          <w:lang w:eastAsia="zh-CN"/>
        </w:rPr>
        <w:t>后引至下游河道排放；</w:t>
      </w:r>
      <w:r>
        <w:rPr>
          <w:rFonts w:hint="eastAsia" w:ascii="Arial" w:hAnsi="宋体" w:eastAsia="宋体" w:cs="Arial"/>
          <w:color w:val="auto"/>
          <w:sz w:val="26"/>
          <w:szCs w:val="26"/>
          <w:lang w:eastAsia="zh-CN"/>
        </w:rPr>
        <w:t>做好土石方的收集、处理工作，</w:t>
      </w:r>
      <w:r>
        <w:rPr>
          <w:rFonts w:hint="eastAsia" w:ascii="Arial" w:hAnsi="宋体" w:eastAsia="宋体" w:cs="Arial"/>
          <w:color w:val="auto"/>
          <w:sz w:val="26"/>
          <w:szCs w:val="26"/>
        </w:rPr>
        <w:t>严禁向</w:t>
      </w:r>
      <w:r>
        <w:rPr>
          <w:rFonts w:hint="eastAsia" w:ascii="Arial" w:hAnsi="宋体" w:eastAsia="宋体" w:cs="Arial"/>
          <w:color w:val="auto"/>
          <w:sz w:val="26"/>
          <w:szCs w:val="26"/>
          <w:lang w:eastAsia="zh-CN"/>
        </w:rPr>
        <w:t>河道</w:t>
      </w:r>
      <w:r>
        <w:rPr>
          <w:rFonts w:hint="eastAsia" w:ascii="Arial" w:hAnsi="宋体" w:eastAsia="宋体" w:cs="Arial"/>
          <w:color w:val="auto"/>
          <w:sz w:val="26"/>
          <w:szCs w:val="26"/>
        </w:rPr>
        <w:t>内倾倒废渣，</w:t>
      </w:r>
      <w:r>
        <w:rPr>
          <w:rFonts w:hint="eastAsia" w:ascii="Arial" w:hAnsi="宋体" w:eastAsia="宋体" w:cs="Arial"/>
          <w:color w:val="auto"/>
          <w:sz w:val="26"/>
          <w:szCs w:val="26"/>
          <w:lang w:eastAsia="zh-CN"/>
        </w:rPr>
        <w:t>对河道水质影响小；</w:t>
      </w:r>
      <w:r>
        <w:rPr>
          <w:rFonts w:hint="eastAsia" w:ascii="Arial" w:hAnsi="宋体" w:eastAsia="宋体" w:cs="Arial"/>
          <w:bCs/>
          <w:color w:val="auto"/>
          <w:kern w:val="2"/>
          <w:sz w:val="26"/>
          <w:szCs w:val="26"/>
        </w:rPr>
        <w:t>且根据水生生态调查结果，</w:t>
      </w:r>
      <w:r>
        <w:rPr>
          <w:rFonts w:hint="eastAsia" w:ascii="Arial" w:hAnsi="宋体" w:eastAsia="宋体" w:cs="Arial"/>
          <w:bCs/>
          <w:color w:val="auto"/>
          <w:kern w:val="2"/>
          <w:sz w:val="26"/>
          <w:szCs w:val="26"/>
          <w:lang w:eastAsia="zh-CN"/>
        </w:rPr>
        <w:t>海螺沟</w:t>
      </w:r>
      <w:r>
        <w:rPr>
          <w:rFonts w:hint="eastAsia" w:ascii="Arial" w:hAnsi="宋体" w:eastAsia="宋体" w:cs="Arial"/>
          <w:bCs/>
          <w:color w:val="auto"/>
          <w:kern w:val="2"/>
          <w:sz w:val="26"/>
          <w:szCs w:val="26"/>
        </w:rPr>
        <w:t>流域内无鱼类“三场”分布，水生生态环境较为简单，</w:t>
      </w:r>
      <w:r>
        <w:rPr>
          <w:rFonts w:hint="eastAsia" w:ascii="Arial" w:hAnsi="宋体" w:eastAsia="宋体" w:cs="Arial"/>
          <w:bCs/>
          <w:color w:val="auto"/>
          <w:kern w:val="2"/>
          <w:sz w:val="26"/>
          <w:szCs w:val="26"/>
          <w:lang w:eastAsia="zh-CN"/>
        </w:rPr>
        <w:t>管线跨越河道施工，几乎不会扰动河道</w:t>
      </w:r>
      <w:r>
        <w:rPr>
          <w:rFonts w:hint="eastAsia" w:ascii="Arial" w:hAnsi="宋体" w:eastAsia="宋体" w:cs="Arial"/>
          <w:color w:val="auto"/>
          <w:sz w:val="26"/>
          <w:szCs w:val="26"/>
        </w:rPr>
        <w:t>水生生态环境</w:t>
      </w:r>
      <w:r>
        <w:rPr>
          <w:rFonts w:hint="eastAsia" w:ascii="Arial" w:hAnsi="宋体" w:cs="Arial"/>
          <w:color w:val="auto"/>
          <w:sz w:val="26"/>
          <w:szCs w:val="26"/>
          <w:lang w:eastAsia="zh-CN"/>
        </w:rPr>
        <w:t>。输水管线两侧分布有少量散居居民，在采取设置施工围挡、合理安排施工作业时间、合理布局施工设备、加强施工设备维护和保养等降噪措施后，管线施工对沿线居民声环境影响小，</w:t>
      </w:r>
      <w:r>
        <w:rPr>
          <w:rFonts w:hint="eastAsia" w:ascii="Arial" w:hAnsi="宋体" w:eastAsia="宋体" w:cs="Arial"/>
          <w:color w:val="auto"/>
          <w:sz w:val="26"/>
          <w:szCs w:val="26"/>
        </w:rPr>
        <w:t>且属于短期影响，随着施工的结束而结束。</w:t>
      </w:r>
    </w:p>
    <w:p w14:paraId="108CD6FB">
      <w:pPr>
        <w:pStyle w:val="101"/>
        <w:keepNext w:val="0"/>
        <w:keepLines w:val="0"/>
        <w:pageBreakBefore w:val="0"/>
        <w:widowControl w:val="0"/>
        <w:kinsoku/>
        <w:wordWrap/>
        <w:overflowPunct/>
        <w:topLinePunct w:val="0"/>
        <w:bidi w:val="0"/>
        <w:spacing w:line="460" w:lineRule="exact"/>
        <w:ind w:firstLine="520" w:firstLineChars="200"/>
        <w:jc w:val="both"/>
        <w:textAlignment w:val="auto"/>
        <w:rPr>
          <w:rFonts w:hint="eastAsia" w:ascii="Arial" w:hAnsi="Arial" w:eastAsia="宋体" w:cs="Arial"/>
          <w:color w:val="auto"/>
          <w:kern w:val="0"/>
          <w:sz w:val="26"/>
          <w:szCs w:val="26"/>
          <w:highlight w:val="none"/>
          <w:lang w:val="en-US" w:eastAsia="zh-CN" w:bidi="ar-SA"/>
        </w:rPr>
      </w:pPr>
      <w:r>
        <w:rPr>
          <w:rFonts w:hint="eastAsia" w:ascii="Arial" w:hAnsi="Arial" w:eastAsia="宋体" w:cs="Arial"/>
          <w:color w:val="auto"/>
          <w:kern w:val="0"/>
          <w:sz w:val="26"/>
          <w:szCs w:val="26"/>
          <w:highlight w:val="none"/>
          <w:lang w:val="en-US" w:eastAsia="zh-CN" w:bidi="ar-SA"/>
        </w:rPr>
        <w:t>因此，从对环境的影响角度分析，评价认为</w:t>
      </w:r>
      <w:r>
        <w:rPr>
          <w:rFonts w:hint="eastAsia" w:ascii="Arial" w:hAnsi="Arial" w:cs="Arial"/>
          <w:color w:val="auto"/>
          <w:kern w:val="0"/>
          <w:sz w:val="26"/>
          <w:szCs w:val="26"/>
          <w:highlight w:val="none"/>
          <w:lang w:val="en-US" w:eastAsia="zh-CN" w:bidi="ar-SA"/>
        </w:rPr>
        <w:t>输水</w:t>
      </w:r>
      <w:r>
        <w:rPr>
          <w:rFonts w:hint="eastAsia" w:ascii="Arial" w:hAnsi="Arial" w:eastAsia="宋体" w:cs="Arial"/>
          <w:color w:val="auto"/>
          <w:kern w:val="0"/>
          <w:sz w:val="26"/>
          <w:szCs w:val="26"/>
          <w:highlight w:val="none"/>
          <w:lang w:val="en-US" w:eastAsia="zh-CN" w:bidi="ar-SA"/>
        </w:rPr>
        <w:t>管线选线方案是合理的。</w:t>
      </w:r>
    </w:p>
    <w:p w14:paraId="290EEF72">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1.10.</w:t>
      </w:r>
      <w:r>
        <w:rPr>
          <w:rFonts w:hint="eastAsia" w:ascii="Arial" w:hAnsi="Arial" w:cs="Arial"/>
          <w:b/>
          <w:color w:val="auto"/>
          <w:kern w:val="0"/>
          <w:sz w:val="26"/>
          <w:szCs w:val="20"/>
          <w:highlight w:val="none"/>
          <w:lang w:val="en-US" w:eastAsia="zh-CN"/>
        </w:rPr>
        <w:t>4上坝公路选线环境合理性分析</w:t>
      </w:r>
    </w:p>
    <w:p w14:paraId="4432FBA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bCs/>
          <w:color w:val="auto"/>
          <w:kern w:val="2"/>
          <w:sz w:val="26"/>
          <w:szCs w:val="26"/>
        </w:rPr>
      </w:pPr>
      <w:r>
        <w:rPr>
          <w:rFonts w:hint="eastAsia" w:ascii="Arial" w:hAnsi="宋体" w:eastAsia="宋体" w:cs="Arial"/>
          <w:bCs/>
          <w:color w:val="auto"/>
          <w:kern w:val="2"/>
          <w:sz w:val="26"/>
          <w:szCs w:val="26"/>
          <w:lang w:eastAsia="zh-CN"/>
        </w:rPr>
        <w:t>根据现场勘查，因本项目选址较为偏远，基础设施建设较为落后，现场无道路与项目坝址区相连，故建设单位在施工期时需设置便道与坝址施工区相连，后续作为上坝公路继续使用；</w:t>
      </w:r>
      <w:r>
        <w:rPr>
          <w:rFonts w:hint="eastAsia" w:ascii="Arial" w:hAnsi="宋体" w:eastAsia="宋体" w:cs="Arial"/>
          <w:bCs/>
          <w:color w:val="auto"/>
          <w:kern w:val="2"/>
          <w:sz w:val="26"/>
          <w:szCs w:val="26"/>
          <w:lang w:val="en-US" w:eastAsia="zh-CN"/>
        </w:rPr>
        <w:t>同时</w:t>
      </w:r>
      <w:r>
        <w:rPr>
          <w:rFonts w:hint="eastAsia" w:ascii="Arial" w:hAnsi="宋体" w:eastAsia="宋体" w:cs="Arial"/>
          <w:bCs/>
          <w:color w:val="auto"/>
          <w:kern w:val="2"/>
          <w:sz w:val="26"/>
          <w:szCs w:val="26"/>
        </w:rPr>
        <w:t>考虑到</w:t>
      </w:r>
      <w:r>
        <w:rPr>
          <w:rFonts w:hint="eastAsia" w:ascii="Arial" w:hAnsi="宋体" w:eastAsia="宋体" w:cs="Arial"/>
          <w:bCs/>
          <w:color w:val="auto"/>
          <w:kern w:val="2"/>
          <w:sz w:val="26"/>
          <w:szCs w:val="26"/>
          <w:lang w:eastAsia="zh-CN"/>
        </w:rPr>
        <w:t>海螺沟</w:t>
      </w:r>
      <w:r>
        <w:rPr>
          <w:rFonts w:hint="eastAsia" w:ascii="Arial" w:hAnsi="宋体" w:eastAsia="宋体" w:cs="Arial"/>
          <w:bCs/>
          <w:color w:val="auto"/>
          <w:kern w:val="2"/>
          <w:sz w:val="26"/>
          <w:szCs w:val="26"/>
        </w:rPr>
        <w:t>水库成库后将划定饮用水源保护区，必须建设巡查公路以满足水源水质保护的需求。</w:t>
      </w:r>
      <w:r>
        <w:rPr>
          <w:rFonts w:hint="eastAsia" w:ascii="Arial" w:hAnsi="宋体" w:eastAsia="宋体" w:cs="Arial"/>
          <w:bCs/>
          <w:color w:val="auto"/>
          <w:kern w:val="2"/>
          <w:sz w:val="26"/>
          <w:szCs w:val="26"/>
          <w:lang w:eastAsia="zh-CN"/>
        </w:rPr>
        <w:t>根据项目初设报告，上坝公路</w:t>
      </w:r>
      <w:r>
        <w:rPr>
          <w:rFonts w:hint="eastAsia" w:ascii="Arial" w:hAnsi="宋体" w:eastAsia="宋体" w:cs="Arial"/>
          <w:bCs/>
          <w:color w:val="auto"/>
          <w:kern w:val="2"/>
          <w:sz w:val="26"/>
          <w:szCs w:val="26"/>
        </w:rPr>
        <w:t>沿库区右岸修建，并与现状道路相连，</w:t>
      </w:r>
      <w:r>
        <w:rPr>
          <w:rFonts w:hint="eastAsia" w:ascii="Arial" w:hAnsi="宋体" w:eastAsia="宋体" w:cs="Arial"/>
          <w:bCs/>
          <w:color w:val="auto"/>
          <w:kern w:val="2"/>
          <w:sz w:val="26"/>
          <w:szCs w:val="26"/>
          <w:lang w:eastAsia="zh-CN"/>
        </w:rPr>
        <w:t>不涉及</w:t>
      </w:r>
      <w:r>
        <w:rPr>
          <w:rFonts w:hint="eastAsia" w:ascii="Arial" w:hAnsi="宋体" w:eastAsia="宋体" w:cs="Arial"/>
          <w:bCs/>
          <w:color w:val="auto"/>
          <w:kern w:val="2"/>
          <w:sz w:val="26"/>
          <w:szCs w:val="26"/>
          <w:lang w:val="en-US" w:eastAsia="zh-CN"/>
        </w:rPr>
        <w:t>生态保护红线、自然保护区、风景名胜区等特殊生态敏感区，不占用基本农田、公益林地等，</w:t>
      </w:r>
      <w:r>
        <w:rPr>
          <w:rFonts w:hint="eastAsia" w:ascii="Arial" w:hAnsi="宋体" w:eastAsia="宋体" w:cs="Arial"/>
          <w:bCs/>
          <w:color w:val="auto"/>
          <w:kern w:val="2"/>
          <w:sz w:val="26"/>
          <w:szCs w:val="26"/>
        </w:rPr>
        <w:t>其占地类型主要为荒草地、林地，</w:t>
      </w:r>
      <w:r>
        <w:rPr>
          <w:rFonts w:hint="eastAsia" w:ascii="Arial" w:hAnsi="宋体" w:cs="Arial"/>
          <w:bCs/>
          <w:color w:val="auto"/>
          <w:kern w:val="2"/>
          <w:sz w:val="26"/>
          <w:szCs w:val="26"/>
          <w:lang w:eastAsia="zh-CN"/>
        </w:rPr>
        <w:t>植被</w:t>
      </w:r>
      <w:r>
        <w:rPr>
          <w:rFonts w:hint="eastAsia" w:ascii="Arial" w:hAnsi="宋体" w:eastAsia="宋体" w:cs="Arial"/>
          <w:bCs/>
          <w:color w:val="auto"/>
          <w:kern w:val="2"/>
          <w:sz w:val="26"/>
          <w:szCs w:val="26"/>
        </w:rPr>
        <w:t>主要为常见的</w:t>
      </w:r>
      <w:r>
        <w:rPr>
          <w:rFonts w:hint="eastAsia" w:ascii="Arial" w:hAnsi="宋体" w:eastAsia="宋体" w:cs="Arial"/>
          <w:bCs/>
          <w:color w:val="auto"/>
          <w:kern w:val="2"/>
          <w:sz w:val="26"/>
          <w:szCs w:val="26"/>
          <w:lang w:eastAsia="zh-CN"/>
        </w:rPr>
        <w:t>马尾松、桉树、枫杨、柏木、水竹、麻栎、化香、构树</w:t>
      </w:r>
      <w:r>
        <w:rPr>
          <w:rFonts w:hint="eastAsia" w:ascii="Arial" w:hAnsi="宋体" w:eastAsia="宋体" w:cs="Arial"/>
          <w:bCs/>
          <w:color w:val="auto"/>
          <w:kern w:val="2"/>
          <w:sz w:val="26"/>
          <w:szCs w:val="26"/>
        </w:rPr>
        <w:t>，未发现珍稀保护</w:t>
      </w:r>
      <w:r>
        <w:rPr>
          <w:rFonts w:hint="eastAsia" w:ascii="Arial" w:hAnsi="宋体" w:eastAsia="宋体" w:cs="Arial"/>
          <w:bCs/>
          <w:color w:val="auto"/>
          <w:kern w:val="2"/>
          <w:sz w:val="26"/>
          <w:szCs w:val="26"/>
          <w:lang w:eastAsia="zh-CN"/>
        </w:rPr>
        <w:t>型</w:t>
      </w:r>
      <w:r>
        <w:rPr>
          <w:rFonts w:hint="eastAsia" w:ascii="Arial" w:hAnsi="宋体" w:eastAsia="宋体" w:cs="Arial"/>
          <w:bCs/>
          <w:color w:val="auto"/>
          <w:kern w:val="2"/>
          <w:sz w:val="26"/>
          <w:szCs w:val="26"/>
        </w:rPr>
        <w:t>野生植物，</w:t>
      </w:r>
      <w:r>
        <w:rPr>
          <w:rFonts w:hint="eastAsia" w:ascii="Arial" w:hAnsi="宋体" w:eastAsia="宋体" w:cs="Arial"/>
          <w:bCs/>
          <w:color w:val="auto"/>
          <w:kern w:val="2"/>
          <w:sz w:val="26"/>
          <w:szCs w:val="26"/>
          <w:lang w:eastAsia="zh-CN"/>
        </w:rPr>
        <w:t>未发现</w:t>
      </w:r>
      <w:r>
        <w:rPr>
          <w:rFonts w:hint="eastAsia" w:ascii="Arial" w:hAnsi="宋体" w:eastAsia="宋体" w:cs="Arial"/>
          <w:bCs/>
          <w:color w:val="auto"/>
          <w:kern w:val="2"/>
          <w:sz w:val="26"/>
          <w:szCs w:val="26"/>
        </w:rPr>
        <w:t>名木古树和其他保护物种分布</w:t>
      </w:r>
      <w:r>
        <w:rPr>
          <w:rFonts w:hint="eastAsia" w:ascii="Arial" w:hAnsi="宋体" w:cs="Arial"/>
          <w:bCs/>
          <w:color w:val="auto"/>
          <w:kern w:val="2"/>
          <w:sz w:val="26"/>
          <w:szCs w:val="26"/>
          <w:lang w:eastAsia="zh-CN"/>
        </w:rPr>
        <w:t>；</w:t>
      </w:r>
      <w:r>
        <w:rPr>
          <w:rFonts w:hint="eastAsia" w:ascii="Arial" w:hAnsi="宋体" w:eastAsia="宋体" w:cs="Arial"/>
          <w:bCs/>
          <w:color w:val="auto"/>
          <w:kern w:val="2"/>
          <w:sz w:val="26"/>
          <w:szCs w:val="26"/>
        </w:rPr>
        <w:t>动物为常见的农田动物，如麻雀、山斑鸠、松鼠、蝙蝠、蜥蜴，家禽猪、牛、羊、鸡、鸭等</w:t>
      </w:r>
      <w:r>
        <w:rPr>
          <w:rFonts w:hint="eastAsia" w:ascii="Arial" w:hAnsi="宋体" w:cs="Arial"/>
          <w:bCs/>
          <w:color w:val="auto"/>
          <w:kern w:val="2"/>
          <w:sz w:val="26"/>
          <w:szCs w:val="26"/>
          <w:lang w:eastAsia="zh-CN"/>
        </w:rPr>
        <w:t>，</w:t>
      </w:r>
      <w:r>
        <w:rPr>
          <w:rFonts w:hint="eastAsia" w:ascii="Arial" w:hAnsi="宋体" w:eastAsia="宋体" w:cs="Arial"/>
          <w:bCs/>
          <w:color w:val="auto"/>
          <w:kern w:val="2"/>
          <w:sz w:val="26"/>
          <w:szCs w:val="26"/>
        </w:rPr>
        <w:t>无野生珍稀濒危动植物分布，生态结构较为简单，对区域生态环境影响小。</w:t>
      </w:r>
    </w:p>
    <w:p w14:paraId="2DAEC03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bCs/>
          <w:color w:val="auto"/>
          <w:kern w:val="2"/>
          <w:sz w:val="26"/>
          <w:szCs w:val="26"/>
        </w:rPr>
      </w:pPr>
      <w:r>
        <w:rPr>
          <w:rFonts w:hint="eastAsia" w:ascii="Arial" w:hAnsi="宋体" w:eastAsia="宋体" w:cs="Arial"/>
          <w:bCs/>
          <w:color w:val="auto"/>
          <w:kern w:val="2"/>
          <w:sz w:val="26"/>
          <w:szCs w:val="26"/>
        </w:rPr>
        <w:t>由此可见，本项目</w:t>
      </w:r>
      <w:r>
        <w:rPr>
          <w:rFonts w:hint="eastAsia" w:ascii="Arial" w:hAnsi="宋体" w:cs="Arial"/>
          <w:bCs/>
          <w:color w:val="auto"/>
          <w:kern w:val="2"/>
          <w:sz w:val="26"/>
          <w:szCs w:val="26"/>
          <w:lang w:eastAsia="zh-CN"/>
        </w:rPr>
        <w:t>上坝</w:t>
      </w:r>
      <w:r>
        <w:rPr>
          <w:rFonts w:hint="eastAsia" w:ascii="Arial" w:hAnsi="宋体" w:eastAsia="宋体" w:cs="Arial"/>
          <w:bCs/>
          <w:color w:val="auto"/>
          <w:kern w:val="2"/>
          <w:sz w:val="26"/>
          <w:szCs w:val="26"/>
        </w:rPr>
        <w:t>公路选线合理。</w:t>
      </w:r>
    </w:p>
    <w:p w14:paraId="5CE9A7CC">
      <w:pPr>
        <w:pStyle w:val="19"/>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eastAsia" w:ascii="Arial" w:hAnsi="Arial" w:eastAsia="宋体" w:cs="Arial"/>
          <w:b/>
          <w:color w:val="auto"/>
          <w:kern w:val="0"/>
          <w:sz w:val="26"/>
          <w:szCs w:val="20"/>
          <w:highlight w:val="none"/>
          <w:lang w:val="en-US" w:eastAsia="zh-CN"/>
        </w:rPr>
      </w:pPr>
      <w:r>
        <w:rPr>
          <w:rFonts w:hint="eastAsia" w:ascii="Arial" w:hAnsi="Arial" w:eastAsia="宋体" w:cs="Arial"/>
          <w:b/>
          <w:color w:val="auto"/>
          <w:kern w:val="0"/>
          <w:sz w:val="26"/>
          <w:szCs w:val="20"/>
          <w:highlight w:val="none"/>
          <w:lang w:val="en-US" w:eastAsia="zh-CN"/>
        </w:rPr>
        <w:t>1.10.</w:t>
      </w:r>
      <w:r>
        <w:rPr>
          <w:rFonts w:hint="eastAsia" w:ascii="Arial" w:hAnsi="Arial" w:cs="Arial"/>
          <w:b/>
          <w:color w:val="auto"/>
          <w:kern w:val="0"/>
          <w:sz w:val="26"/>
          <w:szCs w:val="20"/>
          <w:highlight w:val="none"/>
          <w:lang w:val="en-US" w:eastAsia="zh-CN"/>
        </w:rPr>
        <w:t>5弃渣场布局的环境合理性分析</w:t>
      </w:r>
    </w:p>
    <w:p w14:paraId="4D53A8A7">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根据项目初设报告，本项目施工期设置有一处弃渣场，位于库外田家山村委会附近，为一处天然斜坡洼地，距离大坝枢纽运距约6km，占地面积49.47亩，弃渣容量约12万m</w:t>
      </w:r>
      <w:r>
        <w:rPr>
          <w:rFonts w:hint="eastAsia" w:ascii="Arial" w:hAnsi="Arial" w:eastAsia="宋体" w:cs="Arial"/>
          <w:b w:val="0"/>
          <w:color w:val="auto"/>
          <w:kern w:val="2"/>
          <w:sz w:val="26"/>
          <w:szCs w:val="26"/>
          <w:vertAlign w:val="superscript"/>
          <w:lang w:val="en-US" w:eastAsia="zh-CN" w:bidi="ar-SA"/>
        </w:rPr>
        <w:t>3</w:t>
      </w:r>
      <w:r>
        <w:rPr>
          <w:rFonts w:hint="eastAsia" w:ascii="Arial" w:hAnsi="Arial" w:eastAsia="宋体" w:cs="Arial"/>
          <w:b w:val="0"/>
          <w:color w:val="auto"/>
          <w:kern w:val="2"/>
          <w:sz w:val="26"/>
          <w:szCs w:val="26"/>
          <w:lang w:val="en-US" w:eastAsia="zh-CN" w:bidi="ar-SA"/>
        </w:rPr>
        <w:t>，用于堆存处置枢纽工程、输水工程施工产生的废弃土石方。根据现场勘查，弃渣场占地类型主要为旱地、灌木林地、荒地等，不占用基本农田，</w:t>
      </w:r>
      <w:r>
        <w:rPr>
          <w:rFonts w:hint="eastAsia" w:ascii="Arial" w:hAnsi="Arial" w:eastAsia="宋体" w:cs="Arial"/>
          <w:b w:val="0"/>
          <w:color w:val="auto"/>
          <w:kern w:val="2"/>
          <w:sz w:val="26"/>
          <w:szCs w:val="26"/>
          <w:highlight w:val="none"/>
          <w:lang w:val="en-US" w:eastAsia="zh-CN" w:bidi="ar-SA"/>
        </w:rPr>
        <w:t>不涉及生态保护红线、风景名胜区</w:t>
      </w:r>
      <w:r>
        <w:rPr>
          <w:rFonts w:hint="eastAsia" w:ascii="Arial" w:hAnsi="Arial" w:cs="Arial"/>
          <w:b w:val="0"/>
          <w:color w:val="auto"/>
          <w:kern w:val="2"/>
          <w:sz w:val="26"/>
          <w:szCs w:val="26"/>
          <w:lang w:val="en-US" w:eastAsia="zh-CN" w:bidi="ar-SA"/>
        </w:rPr>
        <w:t>、森林公园、饮用水水源保护区</w:t>
      </w:r>
      <w:r>
        <w:rPr>
          <w:rFonts w:hint="eastAsia" w:ascii="Arial" w:hAnsi="Arial" w:cs="Arial"/>
          <w:b w:val="0"/>
          <w:color w:val="auto"/>
          <w:kern w:val="2"/>
          <w:sz w:val="26"/>
          <w:szCs w:val="26"/>
          <w:highlight w:val="none"/>
          <w:lang w:val="en-US" w:eastAsia="zh-CN" w:bidi="ar-SA"/>
        </w:rPr>
        <w:t>等生态敏感区，</w:t>
      </w:r>
      <w:r>
        <w:rPr>
          <w:rFonts w:hint="eastAsia" w:ascii="Arial" w:hAnsi="Arial" w:eastAsia="宋体" w:cs="Arial"/>
          <w:b w:val="0"/>
          <w:color w:val="auto"/>
          <w:kern w:val="2"/>
          <w:sz w:val="26"/>
          <w:szCs w:val="26"/>
          <w:highlight w:val="none"/>
          <w:lang w:val="en-US" w:eastAsia="zh-CN" w:bidi="ar-SA"/>
        </w:rPr>
        <w:t>堆体</w:t>
      </w:r>
      <w:r>
        <w:rPr>
          <w:rFonts w:hint="eastAsia" w:ascii="Arial" w:hAnsi="Arial" w:eastAsia="宋体" w:cs="Arial"/>
          <w:b w:val="0"/>
          <w:color w:val="auto"/>
          <w:kern w:val="2"/>
          <w:sz w:val="26"/>
          <w:szCs w:val="26"/>
          <w:lang w:val="en-US" w:eastAsia="zh-CN" w:bidi="ar-SA"/>
        </w:rPr>
        <w:t>下游200m范围内无重要设施、集中式居民点分布。</w:t>
      </w:r>
    </w:p>
    <w:p w14:paraId="382002B7">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b w:val="0"/>
          <w:color w:val="auto"/>
          <w:kern w:val="2"/>
          <w:sz w:val="26"/>
          <w:szCs w:val="26"/>
          <w:lang w:val="en-US" w:eastAsia="zh-CN" w:bidi="ar-SA"/>
        </w:rPr>
      </w:pPr>
      <w:r>
        <w:rPr>
          <w:rFonts w:hint="default" w:ascii="Arial" w:hAnsi="Arial" w:cs="Arial"/>
          <w:b w:val="0"/>
          <w:color w:val="auto"/>
          <w:kern w:val="2"/>
          <w:sz w:val="26"/>
          <w:szCs w:val="26"/>
          <w:lang w:val="en-US" w:eastAsia="zh-CN" w:bidi="ar-SA"/>
        </w:rPr>
        <w:t>建设单位已于2024年5月8日取得了丰都县规划和自然资源局下发的《关于丰都县海螺沟水库工程项目临时用地的批复》（丰规资临</w:t>
      </w:r>
      <w:r>
        <w:rPr>
          <w:rFonts w:hint="default" w:ascii="Arial" w:hAnsi="Arial" w:eastAsia="宋体" w:cs="Arial"/>
          <w:b w:val="0"/>
          <w:color w:val="auto"/>
          <w:kern w:val="2"/>
          <w:sz w:val="26"/>
          <w:szCs w:val="26"/>
          <w:lang w:val="en-US" w:eastAsia="zh-CN" w:bidi="ar-SA"/>
        </w:rPr>
        <w:t>〔2024〕字第7号）</w:t>
      </w:r>
      <w:r>
        <w:rPr>
          <w:rFonts w:hint="eastAsia" w:ascii="宋体" w:hAnsi="宋体" w:eastAsia="宋体" w:cs="宋体"/>
          <w:b w:val="0"/>
          <w:color w:val="auto"/>
          <w:kern w:val="2"/>
          <w:sz w:val="26"/>
          <w:szCs w:val="26"/>
          <w:lang w:val="en-US" w:eastAsia="zh-CN" w:bidi="ar-SA"/>
        </w:rPr>
        <w:t>，同时建设单位</w:t>
      </w:r>
      <w:r>
        <w:rPr>
          <w:rFonts w:hint="eastAsia" w:ascii="Arial" w:hAnsi="Arial" w:cs="Arial"/>
          <w:b w:val="0"/>
          <w:color w:val="auto"/>
          <w:kern w:val="2"/>
          <w:sz w:val="26"/>
          <w:szCs w:val="26"/>
          <w:lang w:val="en-US" w:eastAsia="zh-CN" w:bidi="ar-SA"/>
        </w:rPr>
        <w:t>在</w:t>
      </w:r>
      <w:r>
        <w:rPr>
          <w:rFonts w:hint="eastAsia" w:ascii="Arial" w:hAnsi="Arial" w:eastAsia="宋体" w:cs="Arial"/>
          <w:b w:val="0"/>
          <w:color w:val="auto"/>
          <w:kern w:val="2"/>
          <w:sz w:val="26"/>
          <w:szCs w:val="26"/>
          <w:lang w:val="en-US" w:eastAsia="zh-CN" w:bidi="ar-SA"/>
        </w:rPr>
        <w:t>弃土前将按规定修建挡土墙、截排水沟、沉淀池等环保措施，</w:t>
      </w:r>
      <w:r>
        <w:rPr>
          <w:rFonts w:hint="eastAsia" w:ascii="Arial" w:hAnsi="Arial" w:cs="Arial"/>
          <w:b w:val="0"/>
          <w:color w:val="auto"/>
          <w:kern w:val="2"/>
          <w:sz w:val="26"/>
          <w:szCs w:val="26"/>
          <w:lang w:val="en-US" w:eastAsia="zh-CN" w:bidi="ar-SA"/>
        </w:rPr>
        <w:t>弃渣作业将导致区域的生物量和生产力降低，故</w:t>
      </w:r>
      <w:r>
        <w:rPr>
          <w:rFonts w:hint="eastAsia" w:ascii="Arial" w:hAnsi="Arial" w:eastAsia="宋体" w:cs="Arial"/>
          <w:b w:val="0"/>
          <w:color w:val="auto"/>
          <w:kern w:val="2"/>
          <w:sz w:val="26"/>
          <w:szCs w:val="26"/>
          <w:lang w:val="en-US" w:eastAsia="zh-CN" w:bidi="ar-SA"/>
        </w:rPr>
        <w:t>堆渣过程中应分台阶夯实填埋，并洒水抑尘，每层台阶达到堆渣高度后，及时撒播草籽或植树恢复</w:t>
      </w:r>
      <w:r>
        <w:rPr>
          <w:rFonts w:hint="eastAsia" w:ascii="Arial" w:hAnsi="Arial" w:cs="Arial"/>
          <w:b w:val="0"/>
          <w:color w:val="auto"/>
          <w:kern w:val="2"/>
          <w:sz w:val="26"/>
          <w:szCs w:val="26"/>
          <w:lang w:val="en-US" w:eastAsia="zh-CN" w:bidi="ar-SA"/>
        </w:rPr>
        <w:t>，及时恢复林业生产条件</w:t>
      </w:r>
      <w:r>
        <w:rPr>
          <w:rFonts w:hint="eastAsia" w:ascii="Arial" w:hAnsi="Arial" w:eastAsia="宋体" w:cs="Arial"/>
          <w:b w:val="0"/>
          <w:color w:val="auto"/>
          <w:kern w:val="2"/>
          <w:sz w:val="26"/>
          <w:szCs w:val="26"/>
          <w:lang w:val="en-US" w:eastAsia="zh-CN" w:bidi="ar-SA"/>
        </w:rPr>
        <w:t>，对区域外环境的影响将随之消失。</w:t>
      </w:r>
    </w:p>
    <w:p w14:paraId="355827F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总体来说，项目弃渣场</w:t>
      </w:r>
      <w:r>
        <w:rPr>
          <w:rFonts w:hint="eastAsia" w:ascii="Arial" w:hAnsi="Arial" w:eastAsia="宋体" w:cs="Arial"/>
          <w:b w:val="0"/>
          <w:color w:val="auto"/>
          <w:kern w:val="2"/>
          <w:sz w:val="26"/>
          <w:szCs w:val="26"/>
          <w:lang w:val="en-US" w:eastAsia="zh-CN" w:bidi="ar-SA"/>
        </w:rPr>
        <w:t>在采取严格的污染防治和生态恢复治理措施后，对区域外环境影响小，选址合理。</w:t>
      </w:r>
    </w:p>
    <w:p w14:paraId="52C786F7">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default" w:ascii="Arial" w:hAnsi="Arial" w:eastAsia="宋体" w:cs="Arial"/>
          <w:b w:val="0"/>
          <w:color w:val="auto"/>
          <w:kern w:val="2"/>
          <w:sz w:val="26"/>
          <w:szCs w:val="26"/>
          <w:lang w:val="en-US" w:eastAsia="zh-CN" w:bidi="ar-SA"/>
        </w:rPr>
      </w:pPr>
    </w:p>
    <w:p w14:paraId="18189B16">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default" w:ascii="Arial" w:hAnsi="Arial" w:eastAsia="宋体" w:cs="Arial"/>
          <w:b w:val="0"/>
          <w:color w:val="auto"/>
          <w:kern w:val="2"/>
          <w:sz w:val="26"/>
          <w:szCs w:val="26"/>
          <w:lang w:val="en-US" w:eastAsia="zh-CN" w:bidi="ar-SA"/>
        </w:rPr>
      </w:pPr>
    </w:p>
    <w:p w14:paraId="20458359">
      <w:pPr>
        <w:pStyle w:val="2082"/>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default" w:ascii="Arial" w:hAnsi="Arial" w:eastAsia="宋体" w:cs="Arial"/>
          <w:b w:val="0"/>
          <w:color w:val="auto"/>
          <w:kern w:val="2"/>
          <w:sz w:val="26"/>
          <w:szCs w:val="26"/>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FA775E7">
      <w:pPr>
        <w:keepNext w:val="0"/>
        <w:keepLines w:val="0"/>
        <w:pageBreakBefore w:val="0"/>
        <w:widowControl w:val="0"/>
        <w:kinsoku/>
        <w:wordWrap/>
        <w:overflowPunct/>
        <w:topLinePunct w:val="0"/>
        <w:autoSpaceDE/>
        <w:autoSpaceDN/>
        <w:bidi w:val="0"/>
        <w:adjustRightInd/>
        <w:snapToGrid/>
        <w:spacing w:before="0" w:beforeLines="100" w:after="0" w:afterLines="100" w:line="460" w:lineRule="exact"/>
        <w:jc w:val="center"/>
        <w:textAlignment w:val="auto"/>
        <w:outlineLvl w:val="0"/>
        <w:rPr>
          <w:rFonts w:hint="default" w:ascii="Arial" w:hAnsi="Arial" w:eastAsia="宋体" w:cs="Arial"/>
          <w:b/>
          <w:sz w:val="26"/>
          <w:szCs w:val="26"/>
        </w:rPr>
      </w:pPr>
      <w:bookmarkStart w:id="78" w:name="_Toc20252"/>
      <w:r>
        <w:rPr>
          <w:rFonts w:hint="default" w:ascii="Arial" w:hAnsi="Arial" w:eastAsia="宋体" w:cs="Arial"/>
          <w:b/>
          <w:sz w:val="26"/>
          <w:szCs w:val="26"/>
        </w:rPr>
        <w:t>2 工程概况</w:t>
      </w:r>
      <w:bookmarkEnd w:id="78"/>
    </w:p>
    <w:p w14:paraId="6D55BC62">
      <w:pPr>
        <w:pStyle w:val="1291"/>
        <w:keepNext w:val="0"/>
        <w:keepLines w:val="0"/>
        <w:pageBreakBefore w:val="0"/>
        <w:widowControl/>
        <w:kinsoku/>
        <w:wordWrap/>
        <w:overflowPunct/>
        <w:topLinePunct w:val="0"/>
        <w:autoSpaceDE/>
        <w:autoSpaceDN/>
        <w:bidi w:val="0"/>
        <w:adjustRightInd w:val="0"/>
        <w:snapToGrid w:val="0"/>
        <w:spacing w:line="440" w:lineRule="exact"/>
        <w:ind w:firstLine="522" w:firstLineChars="200"/>
        <w:jc w:val="both"/>
        <w:textAlignment w:val="auto"/>
        <w:rPr>
          <w:rFonts w:hint="eastAsia" w:ascii="Arial" w:hAnsi="Arial" w:eastAsia="宋体" w:cs="Arial"/>
          <w:sz w:val="26"/>
          <w:szCs w:val="26"/>
          <w:lang w:eastAsia="zh-CN"/>
        </w:rPr>
      </w:pPr>
      <w:bookmarkStart w:id="79" w:name="_Toc6805"/>
      <w:r>
        <w:rPr>
          <w:rFonts w:hint="default" w:ascii="Arial" w:hAnsi="Arial" w:cs="Arial"/>
          <w:sz w:val="26"/>
          <w:szCs w:val="26"/>
        </w:rPr>
        <w:t>2.1</w:t>
      </w:r>
      <w:bookmarkEnd w:id="79"/>
      <w:r>
        <w:rPr>
          <w:rFonts w:hint="eastAsia" w:ascii="Arial" w:hAnsi="Arial" w:cs="Arial"/>
          <w:sz w:val="26"/>
          <w:szCs w:val="26"/>
          <w:lang w:eastAsia="zh-CN"/>
        </w:rPr>
        <w:t>流域概况</w:t>
      </w:r>
    </w:p>
    <w:p w14:paraId="100DAA6D">
      <w:pPr>
        <w:keepNext w:val="0"/>
        <w:keepLines w:val="0"/>
        <w:pageBreakBefore w:val="0"/>
        <w:widowControl/>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2.1.1流域基本情况</w:t>
      </w:r>
    </w:p>
    <w:p w14:paraId="7566F2A3">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default" w:ascii="Arial" w:hAnsi="Arial" w:cs="Arial"/>
          <w:b w:val="0"/>
          <w:color w:val="auto"/>
          <w:kern w:val="2"/>
          <w:sz w:val="26"/>
          <w:szCs w:val="26"/>
          <w:lang w:val="en-US" w:eastAsia="zh-CN" w:bidi="ar-SA"/>
        </w:rPr>
        <w:t>海螺沟水库工程位于丰都县双龙镇田家山村</w:t>
      </w:r>
      <w:r>
        <w:rPr>
          <w:rFonts w:hint="eastAsia" w:ascii="Arial" w:hAnsi="Arial" w:cs="Arial"/>
          <w:color w:val="auto"/>
          <w:kern w:val="0"/>
          <w:sz w:val="26"/>
          <w:szCs w:val="26"/>
          <w:highlight w:val="none"/>
          <w:lang w:val="en-US" w:eastAsia="zh-CN"/>
        </w:rPr>
        <w:t>，高洞桥河</w:t>
      </w:r>
      <w:r>
        <w:rPr>
          <w:rFonts w:hint="default" w:ascii="Arial" w:hAnsi="Arial" w:cs="Arial"/>
          <w:b w:val="0"/>
          <w:color w:val="auto"/>
          <w:kern w:val="2"/>
          <w:sz w:val="26"/>
          <w:szCs w:val="26"/>
          <w:lang w:val="en-US" w:eastAsia="zh-CN" w:bidi="ar-SA"/>
        </w:rPr>
        <w:t>支流海螺沟上，</w:t>
      </w:r>
      <w:r>
        <w:rPr>
          <w:rFonts w:hint="eastAsia" w:ascii="Arial" w:hAnsi="Arial" w:cs="Arial"/>
          <w:b w:val="0"/>
          <w:color w:val="auto"/>
          <w:kern w:val="2"/>
          <w:sz w:val="26"/>
          <w:szCs w:val="26"/>
          <w:lang w:val="en-US" w:eastAsia="zh-CN" w:bidi="ar-SA"/>
        </w:rPr>
        <w:t>高洞桥河系双龙河右岸一级支流，</w:t>
      </w:r>
      <w:r>
        <w:rPr>
          <w:rFonts w:hint="default" w:ascii="Arial" w:hAnsi="Arial" w:cs="Arial"/>
          <w:b w:val="0"/>
          <w:color w:val="auto"/>
          <w:kern w:val="2"/>
          <w:sz w:val="26"/>
          <w:szCs w:val="26"/>
          <w:lang w:val="en-US" w:eastAsia="zh-CN" w:bidi="ar-SA"/>
        </w:rPr>
        <w:t>双龙河系渠溪河左岸一级支流，</w:t>
      </w:r>
      <w:r>
        <w:rPr>
          <w:rFonts w:hint="eastAsia" w:ascii="Arial" w:hAnsi="Arial" w:cs="Arial"/>
          <w:b w:val="0"/>
          <w:color w:val="auto"/>
          <w:kern w:val="2"/>
          <w:sz w:val="26"/>
          <w:szCs w:val="26"/>
          <w:lang w:val="en-US" w:eastAsia="zh-CN" w:bidi="ar-SA"/>
        </w:rPr>
        <w:t>渠溪河为长江左岸一级小支流，发源于忠县马灌镇果园村2组大碑垭口，流经忠县拔山镇、永丰镇、白石镇、善广乡；丰都县青龙乡、董家镇、双龙镇、三元镇、仁沙镇、兴龙镇、社坛镇后于涪陵区珍溪镇渠溪村渠溪口汇入长江。渠系河干流全长109km，总落差334.8m，平均坡降3.06</w:t>
      </w:r>
      <w:r>
        <w:rPr>
          <w:rFonts w:hint="default" w:ascii="Arial" w:hAnsi="Arial" w:cs="Arial"/>
          <w:b w:val="0"/>
          <w:color w:val="auto"/>
          <w:kern w:val="2"/>
          <w:sz w:val="26"/>
          <w:szCs w:val="26"/>
          <w:lang w:val="en-US" w:eastAsia="zh-CN" w:bidi="ar-SA"/>
        </w:rPr>
        <w:t>‰</w:t>
      </w:r>
      <w:r>
        <w:rPr>
          <w:rFonts w:hint="eastAsia" w:ascii="Arial" w:hAnsi="Arial" w:cs="Arial"/>
          <w:b w:val="0"/>
          <w:color w:val="auto"/>
          <w:kern w:val="2"/>
          <w:sz w:val="26"/>
          <w:szCs w:val="26"/>
          <w:lang w:val="en-US" w:eastAsia="zh-CN" w:bidi="ar-SA"/>
        </w:rPr>
        <w:t>，流域面积913 km</w:t>
      </w:r>
      <w:r>
        <w:rPr>
          <w:rFonts w:hint="eastAsia" w:ascii="Arial" w:hAnsi="Arial" w:cs="Arial"/>
          <w:b w:val="0"/>
          <w:color w:val="auto"/>
          <w:kern w:val="2"/>
          <w:sz w:val="26"/>
          <w:szCs w:val="26"/>
          <w:vertAlign w:val="superscript"/>
          <w:lang w:val="en-US" w:eastAsia="zh-CN" w:bidi="ar-SA"/>
        </w:rPr>
        <w:t>2</w:t>
      </w:r>
      <w:r>
        <w:rPr>
          <w:rFonts w:hint="eastAsia" w:ascii="Arial" w:hAnsi="Arial" w:cs="Arial"/>
          <w:b w:val="0"/>
          <w:color w:val="auto"/>
          <w:kern w:val="2"/>
          <w:sz w:val="26"/>
          <w:szCs w:val="26"/>
          <w:lang w:val="en-US" w:eastAsia="zh-CN" w:bidi="ar-SA"/>
        </w:rPr>
        <w:t>。</w:t>
      </w:r>
    </w:p>
    <w:p w14:paraId="6868DFAA">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default" w:ascii="Arial" w:hAnsi="Arial" w:cs="Arial"/>
          <w:b w:val="0"/>
          <w:color w:val="auto"/>
          <w:kern w:val="2"/>
          <w:sz w:val="26"/>
          <w:szCs w:val="26"/>
          <w:lang w:val="en-US" w:eastAsia="zh-CN" w:bidi="ar-SA"/>
        </w:rPr>
        <w:t>系渠溪河左岸一级支流，</w:t>
      </w:r>
      <w:r>
        <w:rPr>
          <w:rFonts w:hint="eastAsia" w:ascii="Arial" w:hAnsi="Arial" w:cs="Arial"/>
          <w:b w:val="0"/>
          <w:color w:val="auto"/>
          <w:kern w:val="2"/>
          <w:sz w:val="26"/>
          <w:szCs w:val="26"/>
          <w:lang w:val="en-US" w:eastAsia="zh-CN" w:bidi="ar-SA"/>
        </w:rPr>
        <w:t>双龙河</w:t>
      </w:r>
      <w:r>
        <w:rPr>
          <w:rFonts w:hint="default" w:ascii="Arial" w:hAnsi="Arial" w:cs="Arial"/>
          <w:b w:val="0"/>
          <w:color w:val="auto"/>
          <w:kern w:val="2"/>
          <w:sz w:val="26"/>
          <w:szCs w:val="26"/>
          <w:lang w:val="en-US" w:eastAsia="zh-CN" w:bidi="ar-SA"/>
        </w:rPr>
        <w:t>发源于丰都县青龙乡双河村瓜儿湾，流经山河寨、大河坝、回龙场、双龙场镇、瓦屋咀，于丰都县双龙镇关都坝村李家大湾汇入渠溪河</w:t>
      </w:r>
      <w:r>
        <w:rPr>
          <w:rFonts w:hint="eastAsia" w:ascii="Arial" w:hAnsi="Arial" w:cs="Arial"/>
          <w:b w:val="0"/>
          <w:color w:val="auto"/>
          <w:kern w:val="2"/>
          <w:sz w:val="26"/>
          <w:szCs w:val="26"/>
          <w:lang w:val="en-US" w:eastAsia="zh-CN" w:bidi="ar-SA"/>
        </w:rPr>
        <w:t>，</w:t>
      </w:r>
      <w:r>
        <w:rPr>
          <w:rFonts w:hint="default" w:ascii="Arial" w:hAnsi="Arial" w:cs="Arial"/>
          <w:b w:val="0"/>
          <w:color w:val="auto"/>
          <w:kern w:val="2"/>
          <w:sz w:val="26"/>
          <w:szCs w:val="26"/>
          <w:lang w:val="en-US" w:eastAsia="zh-CN" w:bidi="ar-SA"/>
        </w:rPr>
        <w:t>全流域集雨面积72.3km</w:t>
      </w:r>
      <w:r>
        <w:rPr>
          <w:rFonts w:hint="default" w:ascii="Arial" w:hAnsi="Arial" w:cs="Arial"/>
          <w:b w:val="0"/>
          <w:color w:val="auto"/>
          <w:kern w:val="2"/>
          <w:sz w:val="26"/>
          <w:szCs w:val="26"/>
          <w:vertAlign w:val="superscript"/>
          <w:lang w:val="en-US" w:eastAsia="zh-CN" w:bidi="ar-SA"/>
        </w:rPr>
        <w:t>2</w:t>
      </w:r>
      <w:r>
        <w:rPr>
          <w:rFonts w:hint="default" w:ascii="Arial" w:hAnsi="Arial" w:cs="Arial"/>
          <w:b w:val="0"/>
          <w:color w:val="auto"/>
          <w:kern w:val="2"/>
          <w:sz w:val="26"/>
          <w:szCs w:val="26"/>
          <w:lang w:val="en-US" w:eastAsia="zh-CN" w:bidi="ar-SA"/>
        </w:rPr>
        <w:t>，河道全长17km。</w:t>
      </w:r>
    </w:p>
    <w:p w14:paraId="2683AD9A">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default" w:ascii="Arial" w:hAnsi="Arial" w:cs="Arial"/>
          <w:b w:val="0"/>
          <w:color w:val="auto"/>
          <w:kern w:val="2"/>
          <w:sz w:val="26"/>
          <w:szCs w:val="26"/>
          <w:lang w:val="en-US" w:eastAsia="zh-CN" w:bidi="ar-SA"/>
        </w:rPr>
        <w:t>高洞桥河系双龙河右岸一级支流，发源于青天坡一带，流经河坝、梅子溪、龙井坡、高洞桥、响水氹、雅雀湾于双龙镇双龙场处汇入双龙河。高洞桥河全流域面积26.55 km</w:t>
      </w:r>
      <w:r>
        <w:rPr>
          <w:rFonts w:hint="default" w:ascii="Arial" w:hAnsi="Arial" w:cs="Arial"/>
          <w:b w:val="0"/>
          <w:color w:val="auto"/>
          <w:kern w:val="2"/>
          <w:sz w:val="26"/>
          <w:szCs w:val="26"/>
          <w:vertAlign w:val="superscript"/>
          <w:lang w:val="en-US" w:eastAsia="zh-CN" w:bidi="ar-SA"/>
        </w:rPr>
        <w:t>2</w:t>
      </w:r>
      <w:r>
        <w:rPr>
          <w:rFonts w:hint="default" w:ascii="Arial" w:hAnsi="Arial" w:cs="Arial"/>
          <w:b w:val="0"/>
          <w:color w:val="auto"/>
          <w:kern w:val="2"/>
          <w:sz w:val="26"/>
          <w:szCs w:val="26"/>
          <w:lang w:val="en-US" w:eastAsia="zh-CN" w:bidi="ar-SA"/>
        </w:rPr>
        <w:t>，河道全长13.46km，河道平均比降27.07‰。</w:t>
      </w:r>
    </w:p>
    <w:p w14:paraId="17C8DDF1">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default" w:ascii="Arial" w:hAnsi="Arial" w:cs="Arial"/>
          <w:b w:val="0"/>
          <w:color w:val="auto"/>
          <w:kern w:val="2"/>
          <w:sz w:val="26"/>
          <w:szCs w:val="26"/>
          <w:lang w:val="en-US" w:eastAsia="zh-CN" w:bidi="ar-SA"/>
        </w:rPr>
        <w:t>海螺沟系双龙河右岸支流高洞桥河左岸一级支流，发源于双龙镇小垭口，流经庄子山、庙湾、马槽子，于龙家院子处汇入</w:t>
      </w:r>
      <w:r>
        <w:rPr>
          <w:rFonts w:hint="eastAsia" w:ascii="Arial" w:hAnsi="Arial" w:cs="Arial"/>
          <w:b w:val="0"/>
          <w:color w:val="auto"/>
          <w:kern w:val="2"/>
          <w:sz w:val="26"/>
          <w:szCs w:val="26"/>
          <w:lang w:val="en-US" w:eastAsia="zh-CN" w:bidi="ar-SA"/>
        </w:rPr>
        <w:t>双龙河</w:t>
      </w:r>
      <w:r>
        <w:rPr>
          <w:rFonts w:hint="default" w:ascii="Arial" w:hAnsi="Arial" w:cs="Arial"/>
          <w:b w:val="0"/>
          <w:color w:val="auto"/>
          <w:kern w:val="2"/>
          <w:sz w:val="26"/>
          <w:szCs w:val="26"/>
          <w:lang w:val="en-US" w:eastAsia="zh-CN" w:bidi="ar-SA"/>
        </w:rPr>
        <w:t>。海螺沟河道全长3.6km，全流域集雨面积3.48km</w:t>
      </w:r>
      <w:r>
        <w:rPr>
          <w:rFonts w:hint="default" w:ascii="Arial" w:hAnsi="Arial" w:cs="Arial"/>
          <w:b w:val="0"/>
          <w:color w:val="auto"/>
          <w:kern w:val="2"/>
          <w:sz w:val="26"/>
          <w:szCs w:val="26"/>
          <w:vertAlign w:val="superscript"/>
          <w:lang w:val="en-US" w:eastAsia="zh-CN" w:bidi="ar-SA"/>
        </w:rPr>
        <w:t>2</w:t>
      </w:r>
      <w:r>
        <w:rPr>
          <w:rFonts w:hint="default" w:ascii="Arial" w:hAnsi="Arial" w:cs="Arial"/>
          <w:b w:val="0"/>
          <w:color w:val="auto"/>
          <w:kern w:val="2"/>
          <w:sz w:val="26"/>
          <w:szCs w:val="26"/>
          <w:lang w:val="en-US" w:eastAsia="zh-CN" w:bidi="ar-SA"/>
        </w:rPr>
        <w:t>。</w:t>
      </w:r>
    </w:p>
    <w:p w14:paraId="3210E255">
      <w:pPr>
        <w:spacing w:line="440" w:lineRule="exact"/>
        <w:ind w:firstLine="520" w:firstLineChars="200"/>
        <w:rPr>
          <w:rFonts w:hint="eastAsia" w:ascii="Arial" w:cs="Arial"/>
          <w:bCs/>
          <w:color w:val="FF0000"/>
          <w:sz w:val="26"/>
        </w:rPr>
      </w:pPr>
      <w:r>
        <w:rPr>
          <w:rFonts w:hint="default" w:ascii="Arial" w:hAnsi="Arial" w:cs="Arial"/>
          <w:b w:val="0"/>
          <w:color w:val="auto"/>
          <w:kern w:val="2"/>
          <w:sz w:val="26"/>
          <w:szCs w:val="26"/>
          <w:lang w:val="en-US" w:eastAsia="zh-CN" w:bidi="ar-SA"/>
        </w:rPr>
        <w:t>海螺沟水库坝址位于海螺沟中游，下坝址</w:t>
      </w:r>
      <w:r>
        <w:rPr>
          <w:rFonts w:hint="eastAsia" w:ascii="Arial" w:hAnsi="Arial" w:cs="Arial"/>
          <w:b w:val="0"/>
          <w:color w:val="auto"/>
          <w:kern w:val="2"/>
          <w:sz w:val="26"/>
          <w:szCs w:val="26"/>
          <w:lang w:val="en-US" w:eastAsia="zh-CN" w:bidi="ar-SA"/>
        </w:rPr>
        <w:t>处</w:t>
      </w:r>
      <w:r>
        <w:rPr>
          <w:rFonts w:hint="default" w:ascii="Arial" w:hAnsi="Arial" w:cs="Arial"/>
          <w:b w:val="0"/>
          <w:color w:val="auto"/>
          <w:kern w:val="2"/>
          <w:sz w:val="26"/>
          <w:szCs w:val="26"/>
          <w:lang w:val="en-US" w:eastAsia="zh-CN" w:bidi="ar-SA"/>
        </w:rPr>
        <w:t>集雨面积2.</w:t>
      </w:r>
      <w:r>
        <w:rPr>
          <w:rFonts w:hint="eastAsia" w:ascii="Arial" w:hAnsi="Arial" w:cs="Arial"/>
          <w:b w:val="0"/>
          <w:color w:val="auto"/>
          <w:kern w:val="2"/>
          <w:sz w:val="26"/>
          <w:szCs w:val="26"/>
          <w:lang w:val="en-US" w:eastAsia="zh-CN" w:bidi="ar-SA"/>
        </w:rPr>
        <w:t>04</w:t>
      </w:r>
      <w:r>
        <w:rPr>
          <w:rFonts w:hint="default" w:ascii="Arial" w:hAnsi="Arial" w:cs="Arial"/>
          <w:b w:val="0"/>
          <w:color w:val="auto"/>
          <w:kern w:val="2"/>
          <w:sz w:val="26"/>
          <w:szCs w:val="26"/>
          <w:lang w:val="en-US" w:eastAsia="zh-CN" w:bidi="ar-SA"/>
        </w:rPr>
        <w:t>km</w:t>
      </w:r>
      <w:r>
        <w:rPr>
          <w:rFonts w:hint="default" w:ascii="Arial" w:hAnsi="Arial" w:cs="Arial"/>
          <w:b w:val="0"/>
          <w:color w:val="auto"/>
          <w:kern w:val="2"/>
          <w:sz w:val="26"/>
          <w:szCs w:val="26"/>
          <w:vertAlign w:val="superscript"/>
          <w:lang w:val="en-US" w:eastAsia="zh-CN" w:bidi="ar-SA"/>
        </w:rPr>
        <w:t>2</w:t>
      </w:r>
      <w:r>
        <w:rPr>
          <w:rFonts w:hint="default" w:ascii="Arial" w:hAnsi="Arial" w:cs="Arial"/>
          <w:b w:val="0"/>
          <w:color w:val="auto"/>
          <w:kern w:val="2"/>
          <w:sz w:val="26"/>
          <w:szCs w:val="26"/>
          <w:lang w:val="en-US" w:eastAsia="zh-CN" w:bidi="ar-SA"/>
        </w:rPr>
        <w:t>，河道长河道长</w:t>
      </w:r>
      <w:r>
        <w:rPr>
          <w:rFonts w:hint="eastAsia" w:ascii="Arial" w:hAnsi="Arial" w:cs="Arial"/>
          <w:b w:val="0"/>
          <w:color w:val="auto"/>
          <w:kern w:val="2"/>
          <w:sz w:val="26"/>
          <w:szCs w:val="26"/>
          <w:lang w:val="en-US" w:eastAsia="zh-CN" w:bidi="ar-SA"/>
        </w:rPr>
        <w:t>2.17</w:t>
      </w:r>
      <w:r>
        <w:rPr>
          <w:rFonts w:hint="default" w:ascii="Arial" w:hAnsi="Arial" w:cs="Arial"/>
          <w:b w:val="0"/>
          <w:color w:val="auto"/>
          <w:kern w:val="2"/>
          <w:sz w:val="26"/>
          <w:szCs w:val="26"/>
          <w:lang w:val="en-US" w:eastAsia="zh-CN" w:bidi="ar-SA"/>
        </w:rPr>
        <w:t>km，河道平均比降</w:t>
      </w:r>
      <w:r>
        <w:rPr>
          <w:rFonts w:hint="eastAsia" w:ascii="Arial" w:hAnsi="Arial" w:cs="Arial"/>
          <w:b w:val="0"/>
          <w:color w:val="auto"/>
          <w:kern w:val="2"/>
          <w:sz w:val="26"/>
          <w:szCs w:val="26"/>
          <w:lang w:val="en-US" w:eastAsia="zh-CN" w:bidi="ar-SA"/>
        </w:rPr>
        <w:t>98.64</w:t>
      </w:r>
      <w:r>
        <w:rPr>
          <w:rFonts w:hint="default" w:ascii="Arial" w:hAnsi="Arial" w:cs="Arial"/>
          <w:b w:val="0"/>
          <w:color w:val="auto"/>
          <w:kern w:val="2"/>
          <w:sz w:val="26"/>
          <w:szCs w:val="26"/>
          <w:lang w:val="en-US" w:eastAsia="zh-CN" w:bidi="ar-SA"/>
        </w:rPr>
        <w:t>‰</w:t>
      </w:r>
      <w:r>
        <w:rPr>
          <w:rFonts w:hint="eastAsia" w:ascii="Arial" w:hAnsi="Arial" w:cs="Arial"/>
          <w:b w:val="0"/>
          <w:color w:val="auto"/>
          <w:kern w:val="2"/>
          <w:sz w:val="26"/>
          <w:szCs w:val="26"/>
          <w:lang w:val="en-US" w:eastAsia="zh-CN" w:bidi="ar-SA"/>
        </w:rPr>
        <w:t>。</w:t>
      </w:r>
      <w:r>
        <w:rPr>
          <w:rFonts w:hint="eastAsia" w:ascii="Arial" w:cs="Arial"/>
          <w:bCs/>
          <w:color w:val="auto"/>
          <w:sz w:val="26"/>
        </w:rPr>
        <w:t>拟建项目坝址处集雨范围示意详见</w:t>
      </w:r>
      <w:r>
        <w:rPr>
          <w:rFonts w:hint="eastAsia" w:ascii="Arial" w:cs="Arial"/>
          <w:b/>
          <w:bCs/>
          <w:color w:val="auto"/>
          <w:sz w:val="26"/>
        </w:rPr>
        <w:t>附图6-1</w:t>
      </w:r>
      <w:r>
        <w:rPr>
          <w:rFonts w:hint="eastAsia" w:ascii="Arial" w:cs="Arial"/>
          <w:bCs/>
          <w:color w:val="auto"/>
          <w:sz w:val="26"/>
        </w:rPr>
        <w:t>所示。</w:t>
      </w:r>
    </w:p>
    <w:p w14:paraId="008A4DF7">
      <w:pPr>
        <w:keepNext w:val="0"/>
        <w:keepLines w:val="0"/>
        <w:pageBreakBefore w:val="0"/>
        <w:widowControl/>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val="0"/>
          <w:color w:val="auto"/>
          <w:kern w:val="2"/>
          <w:sz w:val="26"/>
          <w:szCs w:val="26"/>
          <w:lang w:val="en-US" w:eastAsia="zh-CN" w:bidi="ar-SA"/>
        </w:rPr>
      </w:pPr>
      <w:r>
        <w:rPr>
          <w:rFonts w:hint="eastAsia" w:ascii="Arial" w:hAnsi="Arial" w:cs="Arial"/>
          <w:b/>
          <w:bCs/>
          <w:color w:val="auto"/>
          <w:kern w:val="2"/>
          <w:sz w:val="26"/>
          <w:szCs w:val="26"/>
          <w:lang w:val="en-US" w:eastAsia="zh-CN" w:bidi="ar-SA"/>
        </w:rPr>
        <w:t>2.1.2流域规划及规划环评开展情况</w:t>
      </w:r>
    </w:p>
    <w:p w14:paraId="688137AF">
      <w:pPr>
        <w:keepNext w:val="0"/>
        <w:keepLines w:val="0"/>
        <w:pageBreakBefore w:val="0"/>
        <w:widowControl w:val="0"/>
        <w:suppressLineNumbers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eastAsia="宋体"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本项目属于渠溪河流域，渠溪河流域已编制完成了</w:t>
      </w:r>
      <w:r>
        <w:rPr>
          <w:rFonts w:hint="eastAsia" w:ascii="Arial" w:hAnsi="Arial" w:eastAsia="宋体" w:cs="Arial"/>
          <w:b w:val="0"/>
          <w:color w:val="auto"/>
          <w:kern w:val="2"/>
          <w:sz w:val="26"/>
          <w:szCs w:val="26"/>
          <w:lang w:val="en-US" w:eastAsia="zh-CN" w:bidi="ar-SA"/>
        </w:rPr>
        <w:t>《重庆市渠溪河流域综合规划》</w:t>
      </w:r>
      <w:r>
        <w:rPr>
          <w:rFonts w:hint="eastAsia" w:ascii="Arial" w:hAnsi="Arial" w:cs="Arial"/>
          <w:b w:val="0"/>
          <w:color w:val="auto"/>
          <w:kern w:val="2"/>
          <w:sz w:val="26"/>
          <w:szCs w:val="26"/>
          <w:lang w:val="en-US" w:eastAsia="zh-CN" w:bidi="ar-SA"/>
        </w:rPr>
        <w:t>，并</w:t>
      </w:r>
      <w:r>
        <w:rPr>
          <w:rFonts w:hint="eastAsia" w:ascii="Arial" w:hAnsi="Arial" w:eastAsia="宋体" w:cs="Arial"/>
          <w:b w:val="0"/>
          <w:color w:val="auto"/>
          <w:kern w:val="2"/>
          <w:sz w:val="26"/>
          <w:szCs w:val="26"/>
          <w:lang w:val="en-US" w:eastAsia="zh-CN" w:bidi="ar-SA"/>
        </w:rPr>
        <w:t>委托重庆重大建设工程质量检测有限公司编制完成了《重庆市渠溪河流域综合规划</w:t>
      </w:r>
      <w:r>
        <w:rPr>
          <w:rFonts w:hint="eastAsia" w:ascii="Arial" w:hAnsi="Arial" w:eastAsia="宋体" w:cs="Arial"/>
          <w:b w:val="0"/>
          <w:color w:val="auto"/>
          <w:kern w:val="2"/>
          <w:sz w:val="26"/>
          <w:szCs w:val="26"/>
          <w:highlight w:val="none"/>
          <w:lang w:val="en-US" w:eastAsia="zh-CN" w:bidi="ar-SA"/>
        </w:rPr>
        <w:t>环</w:t>
      </w:r>
      <w:r>
        <w:rPr>
          <w:rFonts w:hint="default" w:ascii="Arial" w:hAnsi="Arial" w:eastAsia="宋体" w:cs="Arial"/>
          <w:b w:val="0"/>
          <w:color w:val="auto"/>
          <w:kern w:val="2"/>
          <w:sz w:val="26"/>
          <w:szCs w:val="26"/>
          <w:highlight w:val="none"/>
          <w:lang w:val="en-US" w:eastAsia="zh-CN" w:bidi="ar-SA"/>
        </w:rPr>
        <w:t>境影响报告书》，于202</w:t>
      </w:r>
      <w:r>
        <w:rPr>
          <w:rFonts w:hint="default" w:ascii="Arial" w:hAnsi="Arial" w:cs="Arial"/>
          <w:b w:val="0"/>
          <w:color w:val="auto"/>
          <w:kern w:val="2"/>
          <w:sz w:val="26"/>
          <w:szCs w:val="26"/>
          <w:highlight w:val="none"/>
          <w:lang w:val="en-US" w:eastAsia="zh-CN" w:bidi="ar-SA"/>
        </w:rPr>
        <w:t>5</w:t>
      </w:r>
      <w:r>
        <w:rPr>
          <w:rFonts w:hint="default" w:ascii="Arial" w:hAnsi="Arial" w:eastAsia="宋体" w:cs="Arial"/>
          <w:b w:val="0"/>
          <w:color w:val="auto"/>
          <w:kern w:val="2"/>
          <w:sz w:val="26"/>
          <w:szCs w:val="26"/>
          <w:highlight w:val="none"/>
          <w:lang w:val="en-US" w:eastAsia="zh-CN" w:bidi="ar-SA"/>
        </w:rPr>
        <w:t>年</w:t>
      </w:r>
      <w:r>
        <w:rPr>
          <w:rFonts w:hint="default" w:ascii="Arial" w:hAnsi="Arial" w:cs="Arial"/>
          <w:b w:val="0"/>
          <w:color w:val="auto"/>
          <w:kern w:val="2"/>
          <w:sz w:val="26"/>
          <w:szCs w:val="26"/>
          <w:highlight w:val="none"/>
          <w:lang w:val="en-US" w:eastAsia="zh-CN" w:bidi="ar-SA"/>
        </w:rPr>
        <w:t>1</w:t>
      </w:r>
      <w:r>
        <w:rPr>
          <w:rFonts w:hint="default" w:ascii="Arial" w:hAnsi="Arial" w:eastAsia="宋体" w:cs="Arial"/>
          <w:b w:val="0"/>
          <w:color w:val="auto"/>
          <w:kern w:val="2"/>
          <w:sz w:val="26"/>
          <w:szCs w:val="26"/>
          <w:highlight w:val="none"/>
          <w:lang w:val="en-US" w:eastAsia="zh-CN" w:bidi="ar-SA"/>
        </w:rPr>
        <w:t>月</w:t>
      </w:r>
      <w:r>
        <w:rPr>
          <w:rFonts w:hint="default" w:ascii="Arial" w:hAnsi="Arial" w:cs="Arial"/>
          <w:b w:val="0"/>
          <w:color w:val="auto"/>
          <w:kern w:val="2"/>
          <w:sz w:val="26"/>
          <w:szCs w:val="26"/>
          <w:highlight w:val="none"/>
          <w:lang w:val="en-US" w:eastAsia="zh-CN" w:bidi="ar-SA"/>
        </w:rPr>
        <w:t>13日</w:t>
      </w:r>
      <w:r>
        <w:rPr>
          <w:rFonts w:hint="default" w:ascii="Arial" w:hAnsi="Arial" w:eastAsia="宋体" w:cs="Arial"/>
          <w:b w:val="0"/>
          <w:color w:val="auto"/>
          <w:kern w:val="2"/>
          <w:sz w:val="26"/>
          <w:szCs w:val="26"/>
          <w:highlight w:val="none"/>
          <w:lang w:val="en-US" w:eastAsia="zh-CN" w:bidi="ar-SA"/>
        </w:rPr>
        <w:t>取得了</w:t>
      </w:r>
      <w:r>
        <w:rPr>
          <w:rFonts w:hint="default" w:ascii="Arial" w:hAnsi="Arial" w:cs="Arial"/>
          <w:b w:val="0"/>
          <w:color w:val="auto"/>
          <w:kern w:val="2"/>
          <w:sz w:val="26"/>
          <w:szCs w:val="26"/>
          <w:highlight w:val="none"/>
          <w:lang w:val="en-US" w:eastAsia="zh-CN" w:bidi="ar-SA"/>
        </w:rPr>
        <w:t>丰都县</w:t>
      </w:r>
      <w:r>
        <w:rPr>
          <w:rFonts w:hint="default" w:ascii="Arial" w:hAnsi="Arial" w:eastAsia="宋体" w:cs="Arial"/>
          <w:b w:val="0"/>
          <w:color w:val="auto"/>
          <w:kern w:val="2"/>
          <w:sz w:val="26"/>
          <w:szCs w:val="26"/>
          <w:highlight w:val="none"/>
          <w:lang w:val="en-US" w:eastAsia="zh-CN" w:bidi="ar-SA"/>
        </w:rPr>
        <w:t>生态环境局</w:t>
      </w:r>
      <w:r>
        <w:rPr>
          <w:rFonts w:hint="default" w:ascii="Arial" w:hAnsi="Arial" w:cs="Arial"/>
          <w:b w:val="0"/>
          <w:color w:val="auto"/>
          <w:kern w:val="2"/>
          <w:sz w:val="26"/>
          <w:szCs w:val="26"/>
          <w:highlight w:val="none"/>
          <w:lang w:val="en-US" w:eastAsia="zh-CN" w:bidi="ar-SA"/>
        </w:rPr>
        <w:t>、涪陵区生态环境局、忠县生态环境局联合</w:t>
      </w:r>
      <w:r>
        <w:rPr>
          <w:rFonts w:hint="default" w:ascii="Arial" w:hAnsi="Arial" w:eastAsia="宋体" w:cs="Arial"/>
          <w:b w:val="0"/>
          <w:color w:val="auto"/>
          <w:kern w:val="2"/>
          <w:sz w:val="26"/>
          <w:szCs w:val="26"/>
          <w:highlight w:val="none"/>
          <w:lang w:val="en-US" w:eastAsia="zh-CN" w:bidi="ar-SA"/>
        </w:rPr>
        <w:t>出具的审查意见</w:t>
      </w:r>
      <w:r>
        <w:rPr>
          <w:rFonts w:hint="eastAsia" w:ascii="Arial" w:hAnsi="Arial" w:cs="Arial"/>
          <w:b w:val="0"/>
          <w:color w:val="auto"/>
          <w:kern w:val="2"/>
          <w:sz w:val="26"/>
          <w:szCs w:val="26"/>
          <w:highlight w:val="none"/>
          <w:lang w:val="en-US" w:eastAsia="zh-CN" w:bidi="ar-SA"/>
        </w:rPr>
        <w:t>“</w:t>
      </w:r>
      <w:r>
        <w:rPr>
          <w:rFonts w:hint="default" w:ascii="Arial" w:hAnsi="Arial" w:cs="Arial"/>
          <w:b w:val="0"/>
          <w:color w:val="auto"/>
          <w:kern w:val="2"/>
          <w:sz w:val="26"/>
          <w:szCs w:val="26"/>
          <w:highlight w:val="none"/>
          <w:lang w:val="en-US" w:eastAsia="zh-CN" w:bidi="ar-SA"/>
        </w:rPr>
        <w:t>丰环函</w:t>
      </w:r>
      <w:r>
        <w:rPr>
          <w:rFonts w:hint="default" w:ascii="Arial" w:hAnsi="Arial" w:eastAsia="宋体" w:cs="Arial"/>
          <w:b w:val="0"/>
          <w:color w:val="auto"/>
          <w:kern w:val="2"/>
          <w:sz w:val="26"/>
          <w:szCs w:val="26"/>
          <w:highlight w:val="none"/>
          <w:lang w:val="en-US" w:eastAsia="zh-CN" w:bidi="ar-SA"/>
        </w:rPr>
        <w:t>〔2025〕2号</w:t>
      </w:r>
      <w:r>
        <w:rPr>
          <w:rFonts w:hint="eastAsia" w:ascii="Arial" w:hAnsi="Arial" w:cs="Arial"/>
          <w:b w:val="0"/>
          <w:color w:val="auto"/>
          <w:kern w:val="2"/>
          <w:sz w:val="26"/>
          <w:szCs w:val="26"/>
          <w:highlight w:val="none"/>
          <w:lang w:val="en-US" w:eastAsia="zh-CN" w:bidi="ar-SA"/>
        </w:rPr>
        <w:t>”</w:t>
      </w:r>
      <w:r>
        <w:rPr>
          <w:rFonts w:hint="default" w:ascii="Arial" w:hAnsi="Arial" w:eastAsia="宋体" w:cs="Arial"/>
          <w:b w:val="0"/>
          <w:color w:val="auto"/>
          <w:kern w:val="2"/>
          <w:sz w:val="26"/>
          <w:szCs w:val="26"/>
          <w:highlight w:val="none"/>
          <w:lang w:val="en-US" w:eastAsia="zh-CN" w:bidi="ar-SA"/>
        </w:rPr>
        <w:t>。</w:t>
      </w:r>
    </w:p>
    <w:p w14:paraId="230D01EB">
      <w:pPr>
        <w:keepNext w:val="0"/>
        <w:keepLines w:val="0"/>
        <w:pageBreakBefore w:val="0"/>
        <w:widowControl w:val="0"/>
        <w:suppressLineNumbers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根据对照，海螺沟水库工程属于</w:t>
      </w:r>
      <w:r>
        <w:rPr>
          <w:rFonts w:hint="eastAsia" w:ascii="Arial" w:hAnsi="Arial" w:eastAsia="宋体" w:cs="Arial"/>
          <w:b w:val="0"/>
          <w:color w:val="auto"/>
          <w:kern w:val="2"/>
          <w:sz w:val="26"/>
          <w:szCs w:val="26"/>
          <w:lang w:val="en-US" w:eastAsia="zh-CN" w:bidi="ar-SA"/>
        </w:rPr>
        <w:t>《重庆市渠溪河流域综合规划》</w:t>
      </w:r>
      <w:r>
        <w:rPr>
          <w:rFonts w:hint="eastAsia" w:ascii="Arial" w:hAnsi="Arial" w:cs="Arial"/>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《重庆市渠溪河流域综合规划环境影响报告书》</w:t>
      </w:r>
      <w:r>
        <w:rPr>
          <w:rFonts w:hint="eastAsia" w:ascii="Arial" w:hAnsi="Arial" w:cs="Arial"/>
          <w:b w:val="0"/>
          <w:color w:val="auto"/>
          <w:kern w:val="2"/>
          <w:sz w:val="26"/>
          <w:szCs w:val="26"/>
          <w:lang w:val="en-US" w:eastAsia="zh-CN" w:bidi="ar-SA"/>
        </w:rPr>
        <w:t>中规划新建的重点水源工程。</w:t>
      </w:r>
    </w:p>
    <w:p w14:paraId="3F938DA5">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eastAsia" w:ascii="Arial" w:hAnsi="Arial" w:cs="Arial"/>
          <w:b/>
          <w:bCs/>
          <w:color w:val="auto"/>
          <w:kern w:val="2"/>
          <w:sz w:val="26"/>
          <w:szCs w:val="26"/>
          <w:highlight w:val="none"/>
          <w:lang w:val="en-US" w:eastAsia="zh-CN" w:bidi="ar-SA"/>
        </w:rPr>
      </w:pPr>
      <w:r>
        <w:rPr>
          <w:rFonts w:hint="eastAsia" w:ascii="Arial" w:hAnsi="Arial" w:cs="Arial"/>
          <w:b/>
          <w:bCs/>
          <w:color w:val="auto"/>
          <w:kern w:val="2"/>
          <w:sz w:val="26"/>
          <w:szCs w:val="26"/>
          <w:highlight w:val="none"/>
          <w:lang w:val="en-US" w:eastAsia="zh-CN" w:bidi="ar-SA"/>
        </w:rPr>
        <w:t>2.1.3现有水利设施情况简介</w:t>
      </w:r>
    </w:p>
    <w:p w14:paraId="23804FC1">
      <w:pPr>
        <w:keepNext w:val="0"/>
        <w:keepLines w:val="0"/>
        <w:pageBreakBefore w:val="0"/>
        <w:widowControl w:val="0"/>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根据</w:t>
      </w:r>
      <w:r>
        <w:rPr>
          <w:rFonts w:hint="eastAsia" w:ascii="Arial" w:hAnsi="Arial" w:eastAsia="宋体" w:cs="Arial"/>
          <w:b w:val="0"/>
          <w:color w:val="auto"/>
          <w:kern w:val="2"/>
          <w:sz w:val="26"/>
          <w:szCs w:val="26"/>
          <w:lang w:val="en-US" w:eastAsia="zh-CN" w:bidi="ar-SA"/>
        </w:rPr>
        <w:t>《重庆市渠溪河流域综合规划》</w:t>
      </w:r>
      <w:r>
        <w:rPr>
          <w:rFonts w:hint="eastAsia" w:ascii="Arial" w:hAnsi="Arial" w:cs="Arial"/>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《重庆市渠溪河流域综合规划环境影响报告书》</w:t>
      </w:r>
      <w:r>
        <w:rPr>
          <w:rFonts w:hint="eastAsia" w:ascii="Arial" w:hAnsi="Arial" w:cs="Arial"/>
          <w:b w:val="0"/>
          <w:color w:val="auto"/>
          <w:kern w:val="2"/>
          <w:sz w:val="26"/>
          <w:szCs w:val="26"/>
          <w:lang w:val="en-US" w:eastAsia="zh-CN" w:bidi="ar-SA"/>
        </w:rPr>
        <w:t>及</w:t>
      </w:r>
      <w:r>
        <w:rPr>
          <w:rFonts w:hint="eastAsia" w:ascii="Arial" w:hAnsi="Arial" w:cs="Arial"/>
          <w:b w:val="0"/>
          <w:color w:val="auto"/>
          <w:kern w:val="2"/>
          <w:sz w:val="26"/>
          <w:szCs w:val="26"/>
          <w:highlight w:val="none"/>
          <w:lang w:val="en-US" w:eastAsia="zh-CN" w:bidi="ar-SA"/>
        </w:rPr>
        <w:t>其批复</w:t>
      </w:r>
      <w:r>
        <w:rPr>
          <w:rFonts w:hint="eastAsia" w:ascii="Arial" w:hAnsi="Arial" w:eastAsia="宋体" w:cs="Arial"/>
          <w:b w:val="0"/>
          <w:color w:val="auto"/>
          <w:kern w:val="2"/>
          <w:sz w:val="26"/>
          <w:szCs w:val="26"/>
          <w:highlight w:val="none"/>
          <w:lang w:val="en-US" w:eastAsia="zh-CN" w:bidi="ar-SA"/>
        </w:rPr>
        <w:t>“</w:t>
      </w:r>
      <w:r>
        <w:rPr>
          <w:rFonts w:hint="default" w:ascii="Arial" w:hAnsi="Arial" w:cs="Arial"/>
          <w:b w:val="0"/>
          <w:color w:val="auto"/>
          <w:kern w:val="2"/>
          <w:sz w:val="26"/>
          <w:szCs w:val="26"/>
          <w:highlight w:val="none"/>
          <w:lang w:val="en-US" w:eastAsia="zh-CN" w:bidi="ar-SA"/>
        </w:rPr>
        <w:t>丰环函</w:t>
      </w:r>
      <w:r>
        <w:rPr>
          <w:rFonts w:hint="default" w:ascii="Arial" w:hAnsi="Arial" w:eastAsia="宋体" w:cs="Arial"/>
          <w:b w:val="0"/>
          <w:color w:val="auto"/>
          <w:kern w:val="2"/>
          <w:sz w:val="26"/>
          <w:szCs w:val="26"/>
          <w:highlight w:val="none"/>
          <w:lang w:val="en-US" w:eastAsia="zh-CN" w:bidi="ar-SA"/>
        </w:rPr>
        <w:t>〔2025〕2号</w:t>
      </w:r>
      <w:r>
        <w:rPr>
          <w:rFonts w:hint="eastAsia" w:ascii="Arial" w:hAnsi="Arial" w:eastAsia="宋体" w:cs="Arial"/>
          <w:b w:val="0"/>
          <w:color w:val="auto"/>
          <w:kern w:val="2"/>
          <w:sz w:val="26"/>
          <w:szCs w:val="26"/>
          <w:highlight w:val="none"/>
          <w:lang w:val="en-US" w:eastAsia="zh-CN" w:bidi="ar-SA"/>
        </w:rPr>
        <w:t>”</w:t>
      </w:r>
      <w:r>
        <w:rPr>
          <w:rFonts w:hint="eastAsia" w:ascii="Arial" w:hAnsi="Arial" w:cs="Arial"/>
          <w:b w:val="0"/>
          <w:color w:val="auto"/>
          <w:kern w:val="2"/>
          <w:sz w:val="26"/>
          <w:szCs w:val="26"/>
          <w:lang w:val="en-US" w:eastAsia="zh-CN" w:bidi="ar-SA"/>
        </w:rPr>
        <w:t>，本次评价主要摘录其中与双龙河、高洞桥河、海螺沟有关的内容介绍。</w:t>
      </w:r>
    </w:p>
    <w:p w14:paraId="75FBAF3D">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392" w:firstLineChars="150"/>
        <w:jc w:val="both"/>
        <w:textAlignment w:val="auto"/>
        <w:rPr>
          <w:rFonts w:hint="eastAsia" w:ascii="Arial" w:hAnsi="Arial" w:eastAsia="宋体"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（1）水库工程</w:t>
      </w:r>
    </w:p>
    <w:p w14:paraId="0884366C">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520" w:firstLineChars="200"/>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根据统计，双龙河流域内现状已建成1座小（2）型水库，为乌烟冲水库，始建于1976年，总库容22.39万m</w:t>
      </w:r>
      <w:r>
        <w:rPr>
          <w:rFonts w:hint="eastAsia" w:ascii="Arial" w:hAnsi="Arial" w:cs="Arial"/>
          <w:b w:val="0"/>
          <w:color w:val="auto"/>
          <w:kern w:val="2"/>
          <w:sz w:val="26"/>
          <w:szCs w:val="26"/>
          <w:vertAlign w:val="superscript"/>
          <w:lang w:val="en-US" w:eastAsia="zh-CN" w:bidi="ar-SA"/>
        </w:rPr>
        <w:t>3</w:t>
      </w:r>
      <w:r>
        <w:rPr>
          <w:rFonts w:hint="eastAsia" w:ascii="Arial" w:hAnsi="Arial" w:cs="Arial"/>
          <w:b w:val="0"/>
          <w:color w:val="auto"/>
          <w:kern w:val="2"/>
          <w:sz w:val="26"/>
          <w:szCs w:val="26"/>
          <w:lang w:val="en-US" w:eastAsia="zh-CN" w:bidi="ar-SA"/>
        </w:rPr>
        <w:t>，具有人饮供水功能；高洞桥河流域内现状已建成1座小（2）型水库，为梅子溪水库，始建于1976年，总库容31.02万m</w:t>
      </w:r>
      <w:r>
        <w:rPr>
          <w:rFonts w:hint="eastAsia" w:ascii="Arial" w:hAnsi="Arial" w:cs="Arial"/>
          <w:b w:val="0"/>
          <w:color w:val="auto"/>
          <w:kern w:val="2"/>
          <w:sz w:val="26"/>
          <w:szCs w:val="26"/>
          <w:vertAlign w:val="superscript"/>
          <w:lang w:val="en-US" w:eastAsia="zh-CN" w:bidi="ar-SA"/>
        </w:rPr>
        <w:t>3</w:t>
      </w:r>
      <w:r>
        <w:rPr>
          <w:rFonts w:hint="eastAsia" w:ascii="Arial" w:hAnsi="Arial" w:cs="Arial"/>
          <w:b w:val="0"/>
          <w:color w:val="auto"/>
          <w:kern w:val="2"/>
          <w:sz w:val="26"/>
          <w:szCs w:val="26"/>
          <w:lang w:val="en-US" w:eastAsia="zh-CN" w:bidi="ar-SA"/>
        </w:rPr>
        <w:t>，为农灌水库，无饮水功能；海螺沟河道上无已建成的水库。详见表2.1-1所示。</w:t>
      </w:r>
    </w:p>
    <w:p w14:paraId="464C8540">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0" w:firstLineChars="0"/>
        <w:jc w:val="center"/>
        <w:textAlignment w:val="auto"/>
        <w:rPr>
          <w:rFonts w:hint="eastAsia" w:ascii="Arial" w:hAnsi="Arial" w:cs="Arial"/>
          <w:b w:val="0"/>
          <w:color w:val="auto"/>
          <w:kern w:val="2"/>
          <w:sz w:val="26"/>
          <w:szCs w:val="26"/>
          <w:lang w:val="en-US" w:eastAsia="zh-CN" w:bidi="ar-SA"/>
        </w:rPr>
      </w:pPr>
      <w:r>
        <w:rPr>
          <w:rFonts w:hint="eastAsia" w:ascii="Arial" w:hAnsi="Arial" w:cs="Arial"/>
          <w:b/>
          <w:bCs/>
          <w:color w:val="auto"/>
          <w:kern w:val="2"/>
          <w:sz w:val="26"/>
          <w:szCs w:val="26"/>
          <w:lang w:val="en-US" w:eastAsia="zh-CN" w:bidi="ar-SA"/>
        </w:rPr>
        <w:t>表2.1-1 项目所在流域内已建成水库工程统计表</w:t>
      </w:r>
    </w:p>
    <w:tbl>
      <w:tblPr>
        <w:tblStyle w:val="1893"/>
        <w:tblW w:w="87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7"/>
        <w:gridCol w:w="1042"/>
        <w:gridCol w:w="1135"/>
        <w:gridCol w:w="1328"/>
        <w:gridCol w:w="1350"/>
        <w:gridCol w:w="855"/>
        <w:gridCol w:w="1410"/>
        <w:gridCol w:w="1035"/>
      </w:tblGrid>
      <w:tr w14:paraId="30F80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637" w:type="dxa"/>
            <w:vAlign w:val="center"/>
          </w:tcPr>
          <w:p w14:paraId="62DFF63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6"/>
                <w:sz w:val="22"/>
                <w:szCs w:val="22"/>
              </w:rPr>
              <w:t>序号</w:t>
            </w:r>
          </w:p>
        </w:tc>
        <w:tc>
          <w:tcPr>
            <w:tcW w:w="1042" w:type="dxa"/>
            <w:vAlign w:val="center"/>
          </w:tcPr>
          <w:p w14:paraId="0F1B76B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eastAsia="宋体" w:cs="Arial"/>
                <w:spacing w:val="2"/>
                <w:sz w:val="22"/>
                <w:szCs w:val="22"/>
                <w:lang w:eastAsia="zh-CN"/>
              </w:rPr>
            </w:pPr>
            <w:r>
              <w:rPr>
                <w:rFonts w:hint="eastAsia" w:ascii="Arial" w:hAnsi="Arial" w:cs="Arial"/>
                <w:spacing w:val="2"/>
                <w:sz w:val="22"/>
                <w:szCs w:val="22"/>
                <w:lang w:eastAsia="zh-CN"/>
              </w:rPr>
              <w:t>所在流域</w:t>
            </w:r>
          </w:p>
        </w:tc>
        <w:tc>
          <w:tcPr>
            <w:tcW w:w="1135" w:type="dxa"/>
            <w:vAlign w:val="center"/>
          </w:tcPr>
          <w:p w14:paraId="411732E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eastAsia" w:ascii="Arial" w:hAnsi="Arial" w:cs="Arial"/>
                <w:spacing w:val="2"/>
                <w:sz w:val="22"/>
                <w:szCs w:val="22"/>
                <w:lang w:eastAsia="zh-CN"/>
              </w:rPr>
            </w:pPr>
            <w:r>
              <w:rPr>
                <w:rFonts w:hint="eastAsia" w:ascii="Arial" w:hAnsi="Arial" w:cs="Arial"/>
                <w:spacing w:val="2"/>
                <w:sz w:val="22"/>
                <w:szCs w:val="22"/>
                <w:lang w:eastAsia="zh-CN"/>
              </w:rPr>
              <w:t>所在河道</w:t>
            </w:r>
          </w:p>
        </w:tc>
        <w:tc>
          <w:tcPr>
            <w:tcW w:w="1328" w:type="dxa"/>
            <w:vAlign w:val="center"/>
          </w:tcPr>
          <w:p w14:paraId="5EBCBB9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工程名称</w:t>
            </w:r>
          </w:p>
        </w:tc>
        <w:tc>
          <w:tcPr>
            <w:tcW w:w="1350" w:type="dxa"/>
            <w:vAlign w:val="center"/>
          </w:tcPr>
          <w:p w14:paraId="4160989C">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工程规模</w:t>
            </w:r>
          </w:p>
        </w:tc>
        <w:tc>
          <w:tcPr>
            <w:tcW w:w="855" w:type="dxa"/>
            <w:vAlign w:val="center"/>
          </w:tcPr>
          <w:p w14:paraId="686651F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镇</w:t>
            </w:r>
          </w:p>
        </w:tc>
        <w:tc>
          <w:tcPr>
            <w:tcW w:w="1410" w:type="dxa"/>
            <w:vAlign w:val="center"/>
          </w:tcPr>
          <w:p w14:paraId="243DA20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9"/>
                <w:sz w:val="22"/>
                <w:szCs w:val="22"/>
              </w:rPr>
              <w:t>总库容</w:t>
            </w:r>
          </w:p>
        </w:tc>
        <w:tc>
          <w:tcPr>
            <w:tcW w:w="1035" w:type="dxa"/>
            <w:vAlign w:val="center"/>
          </w:tcPr>
          <w:p w14:paraId="0B498B9A">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sz w:val="22"/>
                <w:szCs w:val="22"/>
                <w:lang w:eastAsia="zh-CN"/>
              </w:rPr>
            </w:pPr>
            <w:r>
              <w:rPr>
                <w:rFonts w:hint="default" w:ascii="Arial" w:hAnsi="Arial" w:cs="Arial"/>
                <w:sz w:val="22"/>
                <w:szCs w:val="22"/>
                <w:lang w:eastAsia="zh-CN"/>
              </w:rPr>
              <w:t>使用功能</w:t>
            </w:r>
          </w:p>
        </w:tc>
      </w:tr>
      <w:tr w14:paraId="3AFF0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7" w:type="dxa"/>
            <w:vAlign w:val="center"/>
          </w:tcPr>
          <w:p w14:paraId="6295203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z w:val="22"/>
                <w:szCs w:val="22"/>
              </w:rPr>
              <w:t>1</w:t>
            </w:r>
          </w:p>
        </w:tc>
        <w:tc>
          <w:tcPr>
            <w:tcW w:w="1042" w:type="dxa"/>
            <w:vAlign w:val="center"/>
          </w:tcPr>
          <w:p w14:paraId="76328A7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b w:val="0"/>
                <w:color w:val="auto"/>
                <w:kern w:val="2"/>
                <w:sz w:val="22"/>
                <w:szCs w:val="22"/>
                <w:lang w:val="en-US" w:eastAsia="zh-CN" w:bidi="ar-SA"/>
              </w:rPr>
            </w:pPr>
            <w:r>
              <w:rPr>
                <w:rFonts w:hint="eastAsia" w:ascii="Arial" w:hAnsi="Arial" w:cs="Arial"/>
                <w:b w:val="0"/>
                <w:color w:val="auto"/>
                <w:kern w:val="2"/>
                <w:sz w:val="22"/>
                <w:szCs w:val="22"/>
                <w:lang w:val="en-US" w:eastAsia="zh-CN" w:bidi="ar-SA"/>
              </w:rPr>
              <w:t>双龙河</w:t>
            </w:r>
          </w:p>
        </w:tc>
        <w:tc>
          <w:tcPr>
            <w:tcW w:w="1135" w:type="dxa"/>
            <w:vAlign w:val="center"/>
          </w:tcPr>
          <w:p w14:paraId="6A7C2834">
            <w:pPr>
              <w:keepNext w:val="0"/>
              <w:keepLines w:val="0"/>
              <w:pageBreakBefore w:val="0"/>
              <w:widowControl/>
              <w:suppressLineNumbers w:val="0"/>
              <w:kinsoku/>
              <w:wordWrap/>
              <w:overflowPunct/>
              <w:topLinePunct w:val="0"/>
              <w:autoSpaceDE w:val="0"/>
              <w:autoSpaceDN w:val="0"/>
              <w:bidi w:val="0"/>
              <w:adjustRightInd w:val="0"/>
              <w:snapToGrid w:val="0"/>
              <w:spacing w:line="360" w:lineRule="exact"/>
              <w:ind w:firstLine="0" w:firstLineChars="0"/>
              <w:jc w:val="center"/>
              <w:textAlignment w:val="center"/>
              <w:rPr>
                <w:rFonts w:hint="default" w:ascii="Arial" w:hAnsi="Arial" w:cs="Arial"/>
                <w:b w:val="0"/>
                <w:color w:val="auto"/>
                <w:kern w:val="2"/>
                <w:sz w:val="22"/>
                <w:szCs w:val="22"/>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张二溪河</w:t>
            </w:r>
          </w:p>
        </w:tc>
        <w:tc>
          <w:tcPr>
            <w:tcW w:w="1328" w:type="dxa"/>
            <w:vAlign w:val="center"/>
          </w:tcPr>
          <w:p w14:paraId="4A5216F0">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b w:val="0"/>
                <w:color w:val="auto"/>
                <w:kern w:val="2"/>
                <w:sz w:val="22"/>
                <w:szCs w:val="22"/>
                <w:lang w:val="en-US" w:eastAsia="zh-CN" w:bidi="ar-SA"/>
              </w:rPr>
              <w:t>乌烟冲水库</w:t>
            </w:r>
          </w:p>
        </w:tc>
        <w:tc>
          <w:tcPr>
            <w:tcW w:w="1350" w:type="dxa"/>
            <w:vAlign w:val="center"/>
          </w:tcPr>
          <w:p w14:paraId="60478BF8">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18"/>
                <w:sz w:val="22"/>
                <w:szCs w:val="22"/>
              </w:rPr>
              <w:t>小</w:t>
            </w:r>
            <w:r>
              <w:rPr>
                <w:rFonts w:hint="eastAsia" w:ascii="Arial" w:hAnsi="Arial" w:cs="Arial"/>
                <w:spacing w:val="-18"/>
                <w:sz w:val="22"/>
                <w:szCs w:val="22"/>
                <w:lang w:eastAsia="zh-CN"/>
              </w:rPr>
              <w:t>（</w:t>
            </w:r>
            <w:r>
              <w:rPr>
                <w:rFonts w:hint="default" w:ascii="Arial" w:hAnsi="Arial" w:cs="Arial"/>
                <w:spacing w:val="-18"/>
                <w:sz w:val="22"/>
                <w:szCs w:val="22"/>
                <w:lang w:val="en-US" w:eastAsia="zh-CN"/>
              </w:rPr>
              <w:t>2</w:t>
            </w:r>
            <w:r>
              <w:rPr>
                <w:rFonts w:hint="default" w:ascii="Arial" w:hAnsi="Arial" w:cs="Arial"/>
                <w:spacing w:val="-46"/>
                <w:sz w:val="22"/>
                <w:szCs w:val="22"/>
              </w:rPr>
              <w:t xml:space="preserve"> </w:t>
            </w:r>
            <w:r>
              <w:rPr>
                <w:rFonts w:hint="eastAsia" w:ascii="Arial" w:hAnsi="Arial" w:cs="Arial"/>
                <w:spacing w:val="-18"/>
                <w:sz w:val="22"/>
                <w:szCs w:val="22"/>
                <w:lang w:eastAsia="zh-CN"/>
              </w:rPr>
              <w:t>）</w:t>
            </w:r>
            <w:r>
              <w:rPr>
                <w:rFonts w:hint="default" w:ascii="Arial" w:hAnsi="Arial" w:cs="Arial"/>
                <w:spacing w:val="-18"/>
                <w:sz w:val="22"/>
                <w:szCs w:val="22"/>
              </w:rPr>
              <w:t>型</w:t>
            </w:r>
          </w:p>
        </w:tc>
        <w:tc>
          <w:tcPr>
            <w:tcW w:w="855" w:type="dxa"/>
            <w:vAlign w:val="center"/>
          </w:tcPr>
          <w:p w14:paraId="6BA50055">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sz w:val="22"/>
                <w:szCs w:val="22"/>
                <w:lang w:eastAsia="zh-CN"/>
              </w:rPr>
            </w:pPr>
            <w:r>
              <w:rPr>
                <w:rFonts w:hint="default" w:ascii="Arial" w:hAnsi="Arial" w:cs="Arial"/>
                <w:spacing w:val="-3"/>
                <w:sz w:val="22"/>
                <w:szCs w:val="22"/>
                <w:lang w:eastAsia="zh-CN"/>
              </w:rPr>
              <w:t>青龙乡</w:t>
            </w:r>
          </w:p>
        </w:tc>
        <w:tc>
          <w:tcPr>
            <w:tcW w:w="1410" w:type="dxa"/>
            <w:vAlign w:val="center"/>
          </w:tcPr>
          <w:p w14:paraId="651ECFF4">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sz w:val="22"/>
                <w:szCs w:val="22"/>
                <w:lang w:val="en-US" w:eastAsia="zh-CN"/>
              </w:rPr>
            </w:pPr>
            <w:r>
              <w:rPr>
                <w:rFonts w:hint="default" w:ascii="Arial" w:hAnsi="Arial" w:cs="Arial"/>
                <w:spacing w:val="-6"/>
                <w:sz w:val="22"/>
                <w:szCs w:val="22"/>
                <w:lang w:val="en-US" w:eastAsia="zh-CN"/>
              </w:rPr>
              <w:t>22.39</w:t>
            </w:r>
            <w:r>
              <w:rPr>
                <w:rFonts w:hint="eastAsia" w:ascii="Arial" w:hAnsi="Arial" w:cs="Arial"/>
                <w:spacing w:val="-6"/>
                <w:sz w:val="22"/>
                <w:szCs w:val="22"/>
                <w:lang w:val="en-US" w:eastAsia="zh-CN"/>
              </w:rPr>
              <w:t>万m</w:t>
            </w:r>
            <w:r>
              <w:rPr>
                <w:rFonts w:hint="eastAsia" w:ascii="Arial" w:hAnsi="Arial" w:cs="Arial"/>
                <w:spacing w:val="-6"/>
                <w:sz w:val="22"/>
                <w:szCs w:val="22"/>
                <w:vertAlign w:val="superscript"/>
                <w:lang w:val="en-US" w:eastAsia="zh-CN"/>
              </w:rPr>
              <w:t>3</w:t>
            </w:r>
          </w:p>
        </w:tc>
        <w:tc>
          <w:tcPr>
            <w:tcW w:w="1035" w:type="dxa"/>
            <w:vAlign w:val="center"/>
          </w:tcPr>
          <w:p w14:paraId="261779DE">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sz w:val="22"/>
                <w:szCs w:val="22"/>
                <w:lang w:eastAsia="zh-CN"/>
              </w:rPr>
            </w:pPr>
            <w:r>
              <w:rPr>
                <w:rFonts w:hint="default" w:ascii="Arial" w:hAnsi="Arial" w:cs="Arial"/>
                <w:spacing w:val="-3"/>
                <w:sz w:val="22"/>
                <w:szCs w:val="22"/>
                <w:lang w:eastAsia="zh-CN"/>
              </w:rPr>
              <w:t>饮用水源</w:t>
            </w:r>
          </w:p>
        </w:tc>
      </w:tr>
      <w:tr w14:paraId="773F4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7" w:type="dxa"/>
            <w:vAlign w:val="center"/>
          </w:tcPr>
          <w:p w14:paraId="3B459A54">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2</w:t>
            </w:r>
          </w:p>
        </w:tc>
        <w:tc>
          <w:tcPr>
            <w:tcW w:w="1042" w:type="dxa"/>
            <w:vAlign w:val="center"/>
          </w:tcPr>
          <w:p w14:paraId="3E71DE9D">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b w:val="0"/>
                <w:color w:val="auto"/>
                <w:kern w:val="2"/>
                <w:sz w:val="22"/>
                <w:szCs w:val="22"/>
                <w:lang w:val="en-US" w:eastAsia="zh-CN" w:bidi="ar-SA"/>
              </w:rPr>
            </w:pPr>
            <w:r>
              <w:rPr>
                <w:rFonts w:hint="eastAsia" w:ascii="Arial" w:hAnsi="Arial" w:cs="Arial"/>
                <w:b w:val="0"/>
                <w:color w:val="auto"/>
                <w:kern w:val="2"/>
                <w:sz w:val="22"/>
                <w:szCs w:val="22"/>
                <w:lang w:val="en-US" w:eastAsia="zh-CN" w:bidi="ar-SA"/>
              </w:rPr>
              <w:t>高洞桥河</w:t>
            </w:r>
          </w:p>
        </w:tc>
        <w:tc>
          <w:tcPr>
            <w:tcW w:w="1135" w:type="dxa"/>
            <w:vAlign w:val="center"/>
          </w:tcPr>
          <w:p w14:paraId="49C596FA">
            <w:pPr>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rPr>
                <w:rFonts w:hint="default" w:ascii="Arial" w:hAnsi="Arial" w:cs="Arial"/>
                <w:b w:val="0"/>
                <w:color w:val="auto"/>
                <w:kern w:val="2"/>
                <w:sz w:val="22"/>
                <w:szCs w:val="22"/>
                <w:lang w:val="en-US" w:eastAsia="zh-CN" w:bidi="ar-SA"/>
              </w:rPr>
            </w:pPr>
            <w:r>
              <w:rPr>
                <w:rFonts w:hint="eastAsia" w:ascii="宋体" w:hAnsi="宋体" w:eastAsia="宋体" w:cs="宋体"/>
                <w:i w:val="0"/>
                <w:iCs w:val="0"/>
                <w:color w:val="auto"/>
                <w:sz w:val="21"/>
                <w:szCs w:val="21"/>
                <w:highlight w:val="none"/>
                <w:u w:val="none"/>
              </w:rPr>
              <w:t>王母林沟河</w:t>
            </w:r>
          </w:p>
        </w:tc>
        <w:tc>
          <w:tcPr>
            <w:tcW w:w="1328" w:type="dxa"/>
            <w:vAlign w:val="center"/>
          </w:tcPr>
          <w:p w14:paraId="2FEDE9D2">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pacing w:val="2"/>
                <w:sz w:val="22"/>
                <w:szCs w:val="22"/>
              </w:rPr>
            </w:pPr>
            <w:r>
              <w:rPr>
                <w:rFonts w:hint="default" w:ascii="Arial" w:hAnsi="Arial" w:cs="Arial"/>
                <w:b w:val="0"/>
                <w:color w:val="auto"/>
                <w:kern w:val="2"/>
                <w:sz w:val="22"/>
                <w:szCs w:val="22"/>
                <w:lang w:val="en-US" w:eastAsia="zh-CN" w:bidi="ar-SA"/>
              </w:rPr>
              <w:t>梅子溪水库</w:t>
            </w:r>
          </w:p>
        </w:tc>
        <w:tc>
          <w:tcPr>
            <w:tcW w:w="1350" w:type="dxa"/>
            <w:vAlign w:val="center"/>
          </w:tcPr>
          <w:p w14:paraId="0A9EF7A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pacing w:val="-18"/>
                <w:sz w:val="22"/>
                <w:szCs w:val="22"/>
              </w:rPr>
            </w:pPr>
            <w:r>
              <w:rPr>
                <w:rFonts w:hint="default" w:ascii="Arial" w:hAnsi="Arial" w:cs="Arial"/>
                <w:spacing w:val="-18"/>
                <w:sz w:val="22"/>
                <w:szCs w:val="22"/>
              </w:rPr>
              <w:t>小</w:t>
            </w:r>
            <w:r>
              <w:rPr>
                <w:rFonts w:hint="eastAsia" w:ascii="Arial" w:hAnsi="Arial" w:cs="Arial"/>
                <w:spacing w:val="-18"/>
                <w:sz w:val="22"/>
                <w:szCs w:val="22"/>
                <w:lang w:eastAsia="zh-CN"/>
              </w:rPr>
              <w:t>（</w:t>
            </w:r>
            <w:r>
              <w:rPr>
                <w:rFonts w:hint="default" w:ascii="Arial" w:hAnsi="Arial" w:cs="Arial"/>
                <w:spacing w:val="-18"/>
                <w:sz w:val="22"/>
                <w:szCs w:val="22"/>
                <w:lang w:val="en-US" w:eastAsia="zh-CN"/>
              </w:rPr>
              <w:t>2</w:t>
            </w:r>
            <w:r>
              <w:rPr>
                <w:rFonts w:hint="default" w:ascii="Arial" w:hAnsi="Arial" w:cs="Arial"/>
                <w:spacing w:val="-46"/>
                <w:sz w:val="22"/>
                <w:szCs w:val="22"/>
              </w:rPr>
              <w:t xml:space="preserve"> </w:t>
            </w:r>
            <w:r>
              <w:rPr>
                <w:rFonts w:hint="eastAsia" w:ascii="Arial" w:hAnsi="Arial" w:cs="Arial"/>
                <w:spacing w:val="-18"/>
                <w:sz w:val="22"/>
                <w:szCs w:val="22"/>
                <w:lang w:eastAsia="zh-CN"/>
              </w:rPr>
              <w:t>）</w:t>
            </w:r>
            <w:r>
              <w:rPr>
                <w:rFonts w:hint="default" w:ascii="Arial" w:hAnsi="Arial" w:cs="Arial"/>
                <w:spacing w:val="-18"/>
                <w:sz w:val="22"/>
                <w:szCs w:val="22"/>
              </w:rPr>
              <w:t>型</w:t>
            </w:r>
          </w:p>
        </w:tc>
        <w:tc>
          <w:tcPr>
            <w:tcW w:w="855" w:type="dxa"/>
            <w:vAlign w:val="center"/>
          </w:tcPr>
          <w:p w14:paraId="741A13A6">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cs="Arial"/>
                <w:spacing w:val="-3"/>
                <w:sz w:val="22"/>
                <w:szCs w:val="22"/>
              </w:rPr>
            </w:pPr>
            <w:r>
              <w:rPr>
                <w:rFonts w:hint="default" w:ascii="Arial" w:hAnsi="Arial" w:cs="Arial"/>
                <w:spacing w:val="-3"/>
                <w:sz w:val="22"/>
                <w:szCs w:val="22"/>
                <w:lang w:eastAsia="zh-CN"/>
              </w:rPr>
              <w:t>青龙乡</w:t>
            </w:r>
          </w:p>
        </w:tc>
        <w:tc>
          <w:tcPr>
            <w:tcW w:w="1410" w:type="dxa"/>
            <w:vAlign w:val="center"/>
          </w:tcPr>
          <w:p w14:paraId="03021113">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spacing w:val="-6"/>
                <w:sz w:val="22"/>
                <w:szCs w:val="22"/>
                <w:lang w:val="en-US" w:eastAsia="zh-CN"/>
              </w:rPr>
            </w:pPr>
            <w:r>
              <w:rPr>
                <w:rFonts w:hint="default" w:ascii="Arial" w:hAnsi="Arial" w:cs="Arial"/>
                <w:spacing w:val="-6"/>
                <w:sz w:val="22"/>
                <w:szCs w:val="22"/>
                <w:lang w:val="en-US" w:eastAsia="zh-CN"/>
              </w:rPr>
              <w:t>31.02</w:t>
            </w:r>
            <w:r>
              <w:rPr>
                <w:rFonts w:hint="eastAsia" w:ascii="Arial" w:hAnsi="Arial" w:cs="Arial"/>
                <w:spacing w:val="-6"/>
                <w:sz w:val="22"/>
                <w:szCs w:val="22"/>
                <w:lang w:val="en-US" w:eastAsia="zh-CN"/>
              </w:rPr>
              <w:t>万m</w:t>
            </w:r>
            <w:r>
              <w:rPr>
                <w:rFonts w:hint="eastAsia" w:ascii="Arial" w:hAnsi="Arial" w:cs="Arial"/>
                <w:spacing w:val="-6"/>
                <w:sz w:val="22"/>
                <w:szCs w:val="22"/>
                <w:vertAlign w:val="superscript"/>
                <w:lang w:val="en-US" w:eastAsia="zh-CN"/>
              </w:rPr>
              <w:t>3</w:t>
            </w:r>
          </w:p>
        </w:tc>
        <w:tc>
          <w:tcPr>
            <w:tcW w:w="1035" w:type="dxa"/>
            <w:vAlign w:val="center"/>
          </w:tcPr>
          <w:p w14:paraId="7F64DED7">
            <w:pPr>
              <w:pStyle w:val="2102"/>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hint="default" w:ascii="Arial" w:hAnsi="Arial" w:eastAsia="宋体" w:cs="Arial"/>
                <w:spacing w:val="-3"/>
                <w:sz w:val="22"/>
                <w:szCs w:val="22"/>
                <w:lang w:eastAsia="zh-CN"/>
              </w:rPr>
            </w:pPr>
            <w:r>
              <w:rPr>
                <w:rFonts w:hint="default" w:ascii="Arial" w:hAnsi="Arial" w:cs="Arial"/>
                <w:spacing w:val="-3"/>
                <w:sz w:val="22"/>
                <w:szCs w:val="22"/>
                <w:lang w:eastAsia="zh-CN"/>
              </w:rPr>
              <w:t>农灌</w:t>
            </w:r>
          </w:p>
        </w:tc>
      </w:tr>
    </w:tbl>
    <w:p w14:paraId="712DEAA9">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420" w:firstLineChars="200"/>
        <w:jc w:val="both"/>
        <w:textAlignment w:val="auto"/>
        <w:rPr>
          <w:rFonts w:hint="eastAsia" w:ascii="Arial" w:hAnsi="Arial" w:cs="Arial"/>
          <w:b/>
          <w:bCs/>
          <w:color w:val="auto"/>
          <w:kern w:val="2"/>
          <w:sz w:val="26"/>
          <w:szCs w:val="26"/>
          <w:lang w:val="en-US" w:eastAsia="zh-CN" w:bidi="ar-SA"/>
        </w:rPr>
      </w:pPr>
      <w:r>
        <w:rPr>
          <w:color w:val="auto"/>
          <w:highlight w:val="none"/>
        </w:rPr>
        <w:drawing>
          <wp:anchor distT="0" distB="0" distL="0" distR="0" simplePos="0" relativeHeight="251679744" behindDoc="0" locked="0" layoutInCell="1" allowOverlap="1">
            <wp:simplePos x="0" y="0"/>
            <wp:positionH relativeFrom="column">
              <wp:posOffset>2838450</wp:posOffset>
            </wp:positionH>
            <wp:positionV relativeFrom="paragraph">
              <wp:posOffset>67310</wp:posOffset>
            </wp:positionV>
            <wp:extent cx="2569210" cy="1936750"/>
            <wp:effectExtent l="0" t="0" r="2540" b="6350"/>
            <wp:wrapNone/>
            <wp:docPr id="99558727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87276" name="图片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69210" cy="1936750"/>
                    </a:xfrm>
                    <a:prstGeom prst="rect">
                      <a:avLst/>
                    </a:prstGeom>
                    <a:noFill/>
                    <a:ln>
                      <a:noFill/>
                    </a:ln>
                  </pic:spPr>
                </pic:pic>
              </a:graphicData>
            </a:graphic>
          </wp:anchor>
        </w:drawing>
      </w:r>
      <w:r>
        <w:rPr>
          <w:color w:val="auto"/>
          <w:highlight w:val="none"/>
        </w:rPr>
        <w:drawing>
          <wp:anchor distT="0" distB="0" distL="0" distR="0" simplePos="0" relativeHeight="251678720" behindDoc="0" locked="0" layoutInCell="1" allowOverlap="1">
            <wp:simplePos x="0" y="0"/>
            <wp:positionH relativeFrom="column">
              <wp:posOffset>247650</wp:posOffset>
            </wp:positionH>
            <wp:positionV relativeFrom="paragraph">
              <wp:posOffset>65405</wp:posOffset>
            </wp:positionV>
            <wp:extent cx="2534920" cy="1929130"/>
            <wp:effectExtent l="0" t="0" r="17780" b="13970"/>
            <wp:wrapNone/>
            <wp:docPr id="201165138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51382" name="图片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4920" cy="1929130"/>
                    </a:xfrm>
                    <a:prstGeom prst="rect">
                      <a:avLst/>
                    </a:prstGeom>
                    <a:noFill/>
                    <a:ln>
                      <a:noFill/>
                    </a:ln>
                  </pic:spPr>
                </pic:pic>
              </a:graphicData>
            </a:graphic>
          </wp:anchor>
        </w:drawing>
      </w:r>
    </w:p>
    <w:p w14:paraId="1930BB0E">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392" w:firstLineChars="150"/>
        <w:jc w:val="both"/>
        <w:textAlignment w:val="auto"/>
        <w:rPr>
          <w:rFonts w:hint="eastAsia" w:ascii="Arial" w:hAnsi="Arial" w:cs="Arial"/>
          <w:b/>
          <w:bCs/>
          <w:color w:val="auto"/>
          <w:kern w:val="2"/>
          <w:sz w:val="26"/>
          <w:szCs w:val="26"/>
          <w:lang w:val="en-US" w:eastAsia="zh-CN" w:bidi="ar-SA"/>
        </w:rPr>
      </w:pPr>
    </w:p>
    <w:p w14:paraId="75895063">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315" w:firstLineChars="150"/>
        <w:jc w:val="both"/>
        <w:textAlignment w:val="auto"/>
        <w:rPr>
          <w:color w:val="auto"/>
          <w:highlight w:val="none"/>
        </w:rPr>
      </w:pPr>
    </w:p>
    <w:p w14:paraId="3C9BAA00">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315" w:firstLineChars="150"/>
        <w:jc w:val="both"/>
        <w:textAlignment w:val="auto"/>
        <w:rPr>
          <w:color w:val="auto"/>
          <w:highlight w:val="none"/>
        </w:rPr>
      </w:pPr>
    </w:p>
    <w:p w14:paraId="1D9FBF49">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315" w:firstLineChars="150"/>
        <w:jc w:val="both"/>
        <w:textAlignment w:val="auto"/>
        <w:rPr>
          <w:color w:val="auto"/>
          <w:highlight w:val="none"/>
        </w:rPr>
      </w:pPr>
    </w:p>
    <w:p w14:paraId="7DA9A689">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315" w:firstLineChars="150"/>
        <w:jc w:val="both"/>
        <w:textAlignment w:val="auto"/>
        <w:rPr>
          <w:color w:val="auto"/>
          <w:highlight w:val="none"/>
        </w:rPr>
      </w:pPr>
    </w:p>
    <w:p w14:paraId="1617C528">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392" w:firstLineChars="150"/>
        <w:jc w:val="both"/>
        <w:textAlignment w:val="auto"/>
        <w:rPr>
          <w:rFonts w:hint="eastAsia" w:ascii="Arial" w:hAnsi="Arial" w:cs="Arial"/>
          <w:b/>
          <w:bCs/>
          <w:color w:val="auto"/>
          <w:kern w:val="2"/>
          <w:sz w:val="26"/>
          <w:szCs w:val="26"/>
          <w:lang w:val="en-US" w:eastAsia="zh-CN" w:bidi="ar-SA"/>
        </w:rPr>
      </w:pPr>
    </w:p>
    <w:p w14:paraId="2EB70AC4">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392" w:firstLineChars="150"/>
        <w:jc w:val="both"/>
        <w:textAlignment w:val="auto"/>
        <w:rPr>
          <w:rFonts w:hint="eastAsia" w:ascii="Arial" w:hAnsi="Arial" w:cs="Arial"/>
          <w:b/>
          <w:bCs/>
          <w:color w:val="auto"/>
          <w:kern w:val="2"/>
          <w:sz w:val="26"/>
          <w:szCs w:val="26"/>
          <w:lang w:val="en-US" w:eastAsia="zh-CN" w:bidi="ar-SA"/>
        </w:rPr>
      </w:pPr>
    </w:p>
    <w:p w14:paraId="5C90DDA3">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1436" w:firstLineChars="550"/>
        <w:jc w:val="both"/>
        <w:textAlignment w:val="auto"/>
        <w:rPr>
          <w:rFonts w:hint="default" w:ascii="Arial" w:hAnsi="Arial"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乌烟冲水库                      梅子溪水库</w:t>
      </w:r>
    </w:p>
    <w:p w14:paraId="05CA0CE8">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392" w:firstLineChars="150"/>
        <w:jc w:val="both"/>
        <w:textAlignment w:val="auto"/>
        <w:rPr>
          <w:rFonts w:hint="eastAsia" w:ascii="Arial" w:hAnsi="Arial" w:eastAsia="宋体"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（2）水电站工程</w:t>
      </w:r>
    </w:p>
    <w:p w14:paraId="0EBEB700">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520" w:firstLineChars="200"/>
        <w:jc w:val="both"/>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根据统计，双龙河、高洞桥河、海螺沟河道上均无已建成运行的水电工程。</w:t>
      </w:r>
    </w:p>
    <w:p w14:paraId="68984BF1">
      <w:pPr>
        <w:keepNext w:val="0"/>
        <w:keepLines w:val="0"/>
        <w:pageBreakBefore w:val="0"/>
        <w:widowControl w:val="0"/>
        <w:suppressLineNumbers w:val="0"/>
        <w:kinsoku/>
        <w:wordWrap/>
        <w:overflowPunct/>
        <w:topLinePunct w:val="0"/>
        <w:autoSpaceDE/>
        <w:autoSpaceDN/>
        <w:bidi w:val="0"/>
        <w:adjustRightInd/>
        <w:snapToGrid/>
        <w:spacing w:line="460" w:lineRule="exact"/>
        <w:ind w:left="0" w:leftChars="0" w:firstLine="392" w:firstLineChars="150"/>
        <w:jc w:val="both"/>
        <w:textAlignment w:val="auto"/>
        <w:rPr>
          <w:rFonts w:hint="eastAsia" w:ascii="Arial" w:hAnsi="Arial" w:eastAsia="宋体"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（3）防洪护岸工程</w:t>
      </w:r>
    </w:p>
    <w:p w14:paraId="64359CF6">
      <w:pPr>
        <w:keepNext w:val="0"/>
        <w:keepLines w:val="0"/>
        <w:pageBreakBefore w:val="0"/>
        <w:widowControl w:val="0"/>
        <w:suppressLineNumbers w:val="0"/>
        <w:kinsoku/>
        <w:wordWrap/>
        <w:overflowPunct/>
        <w:topLinePunct w:val="0"/>
        <w:autoSpaceDE/>
        <w:autoSpaceDN/>
        <w:bidi w:val="0"/>
        <w:adjustRightInd/>
        <w:snapToGrid/>
        <w:spacing w:line="460" w:lineRule="exact"/>
        <w:ind w:left="0" w:leftChars="0" w:firstLine="520" w:firstLineChars="200"/>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根据统计，双龙河双龙镇段已建防洪护岸工程长约2.51km，采取镇脚+斜坡护岸型式，采取10年一遇防洪标准。高洞桥河、海螺沟河道上均无已建防洪护岸工程，河道两岸维持原生状态。</w:t>
      </w:r>
    </w:p>
    <w:p w14:paraId="38AF694B">
      <w:pPr>
        <w:keepNext w:val="0"/>
        <w:keepLines w:val="0"/>
        <w:pageBreakBefore w:val="0"/>
        <w:widowControl w:val="0"/>
        <w:suppressLineNumbers w:val="0"/>
        <w:kinsoku/>
        <w:wordWrap/>
        <w:overflowPunct/>
        <w:topLinePunct w:val="0"/>
        <w:autoSpaceDE/>
        <w:autoSpaceDN/>
        <w:bidi w:val="0"/>
        <w:adjustRightInd/>
        <w:snapToGrid/>
        <w:spacing w:line="460" w:lineRule="exact"/>
        <w:ind w:left="0" w:leftChars="0" w:firstLine="392" w:firstLineChars="150"/>
        <w:jc w:val="both"/>
        <w:textAlignment w:val="auto"/>
        <w:rPr>
          <w:rFonts w:hint="eastAsia" w:ascii="Arial" w:hAnsi="Arial" w:eastAsia="宋体"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（4）山坪塘工程</w:t>
      </w:r>
    </w:p>
    <w:p w14:paraId="3F5DDEA9">
      <w:pPr>
        <w:keepNext w:val="0"/>
        <w:keepLines w:val="0"/>
        <w:pageBreakBefore w:val="0"/>
        <w:widowControl w:val="0"/>
        <w:suppressLineNumbers w:val="0"/>
        <w:kinsoku/>
        <w:wordWrap/>
        <w:overflowPunct/>
        <w:topLinePunct w:val="0"/>
        <w:autoSpaceDE/>
        <w:autoSpaceDN/>
        <w:bidi w:val="0"/>
        <w:adjustRightInd/>
        <w:snapToGrid/>
        <w:spacing w:line="460" w:lineRule="exact"/>
        <w:ind w:left="0" w:leftChars="0" w:firstLine="520" w:firstLineChars="200"/>
        <w:jc w:val="both"/>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跟据统计，流域内</w:t>
      </w:r>
      <w:r>
        <w:rPr>
          <w:rFonts w:hint="eastAsia" w:ascii="Arial" w:hAnsi="Arial" w:cs="Arial"/>
          <w:b w:val="0"/>
          <w:color w:val="auto"/>
          <w:kern w:val="2"/>
          <w:sz w:val="26"/>
          <w:szCs w:val="26"/>
          <w:lang w:val="zh-CN" w:eastAsia="zh-CN" w:bidi="ar-SA"/>
        </w:rPr>
        <w:t>现状5座山坪塘，总库容0.9万m</w:t>
      </w:r>
      <w:r>
        <w:rPr>
          <w:rFonts w:hint="eastAsia" w:ascii="Arial" w:hAnsi="Arial" w:cs="Arial"/>
          <w:b w:val="0"/>
          <w:color w:val="auto"/>
          <w:kern w:val="2"/>
          <w:sz w:val="26"/>
          <w:szCs w:val="26"/>
          <w:vertAlign w:val="superscript"/>
          <w:lang w:val="en-US" w:eastAsia="zh-CN" w:bidi="ar-SA"/>
        </w:rPr>
        <w:t>3</w:t>
      </w:r>
      <w:r>
        <w:rPr>
          <w:rFonts w:hint="eastAsia" w:ascii="Arial" w:hAnsi="Arial" w:cs="Arial"/>
          <w:b w:val="0"/>
          <w:color w:val="auto"/>
          <w:kern w:val="2"/>
          <w:sz w:val="26"/>
          <w:szCs w:val="26"/>
          <w:lang w:val="zh-CN" w:eastAsia="zh-CN" w:bidi="ar-SA"/>
        </w:rPr>
        <w:t>，多年平均可供水量0.94万m</w:t>
      </w:r>
      <w:r>
        <w:rPr>
          <w:rFonts w:hint="eastAsia" w:ascii="Arial" w:hAnsi="Arial" w:cs="Arial"/>
          <w:b w:val="0"/>
          <w:color w:val="auto"/>
          <w:kern w:val="2"/>
          <w:sz w:val="26"/>
          <w:szCs w:val="26"/>
          <w:vertAlign w:val="superscript"/>
          <w:lang w:val="en-US" w:eastAsia="zh-CN" w:bidi="ar-SA"/>
        </w:rPr>
        <w:t>3</w:t>
      </w:r>
      <w:r>
        <w:rPr>
          <w:rFonts w:hint="eastAsia" w:ascii="Arial" w:hAnsi="Arial" w:cs="Arial"/>
          <w:b w:val="0"/>
          <w:color w:val="auto"/>
          <w:kern w:val="2"/>
          <w:sz w:val="26"/>
          <w:szCs w:val="26"/>
          <w:lang w:val="zh-CN" w:eastAsia="zh-CN" w:bidi="ar-SA"/>
        </w:rPr>
        <w:t>。</w:t>
      </w:r>
    </w:p>
    <w:p w14:paraId="5077A077">
      <w:pPr>
        <w:keepNext w:val="0"/>
        <w:keepLines w:val="0"/>
        <w:pageBreakBefore w:val="0"/>
        <w:widowControl w:val="0"/>
        <w:suppressLineNumbers w:val="0"/>
        <w:kinsoku/>
        <w:wordWrap/>
        <w:overflowPunct/>
        <w:topLinePunct w:val="0"/>
        <w:autoSpaceDE/>
        <w:autoSpaceDN/>
        <w:bidi w:val="0"/>
        <w:adjustRightInd/>
        <w:snapToGrid/>
        <w:spacing w:line="460" w:lineRule="exact"/>
        <w:ind w:left="0" w:leftChars="0" w:firstLine="392" w:firstLineChars="150"/>
        <w:jc w:val="both"/>
        <w:textAlignment w:val="auto"/>
        <w:rPr>
          <w:rFonts w:hint="eastAsia" w:ascii="Arial" w:hAnsi="Arial" w:cs="Arial"/>
          <w:b w:val="0"/>
          <w:color w:val="auto"/>
          <w:kern w:val="2"/>
          <w:sz w:val="26"/>
          <w:szCs w:val="26"/>
          <w:lang w:val="en-US" w:eastAsia="zh-CN" w:bidi="ar-SA"/>
        </w:rPr>
      </w:pPr>
      <w:r>
        <w:rPr>
          <w:rFonts w:hint="eastAsia" w:ascii="Arial" w:hAnsi="Arial" w:cs="Arial"/>
          <w:b/>
          <w:bCs/>
          <w:color w:val="auto"/>
          <w:kern w:val="2"/>
          <w:sz w:val="26"/>
          <w:szCs w:val="26"/>
          <w:lang w:val="en-US" w:eastAsia="zh-CN" w:bidi="ar-SA"/>
        </w:rPr>
        <w:t>（5）跨河设施建成情况</w:t>
      </w:r>
    </w:p>
    <w:p w14:paraId="43A8AED5">
      <w:pPr>
        <w:keepNext w:val="0"/>
        <w:keepLines w:val="0"/>
        <w:pageBreakBefore w:val="0"/>
        <w:widowControl w:val="0"/>
        <w:suppressLineNumbers w:val="0"/>
        <w:kinsoku/>
        <w:wordWrap/>
        <w:overflowPunct/>
        <w:topLinePunct w:val="0"/>
        <w:autoSpaceDE/>
        <w:autoSpaceDN/>
        <w:bidi w:val="0"/>
        <w:adjustRightInd/>
        <w:snapToGrid/>
        <w:spacing w:line="460" w:lineRule="exact"/>
        <w:ind w:left="0" w:leftChars="0" w:firstLine="520" w:firstLineChars="200"/>
        <w:jc w:val="both"/>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根据现场勘查，双龙河干流已建成跨河桥梁6处、拦河坝2处，高洞桥河已建成跨河桥梁1处，海螺沟河道上未建任何跨河设施。</w:t>
      </w:r>
    </w:p>
    <w:p w14:paraId="2968936E">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392" w:firstLineChars="150"/>
        <w:jc w:val="both"/>
        <w:textAlignment w:val="auto"/>
        <w:rPr>
          <w:rFonts w:hint="eastAsia" w:ascii="Arial" w:hAnsi="Arial" w:cs="Arial"/>
          <w:b w:val="0"/>
          <w:color w:val="auto"/>
          <w:kern w:val="2"/>
          <w:sz w:val="26"/>
          <w:szCs w:val="26"/>
          <w:lang w:val="en-US" w:eastAsia="zh-CN" w:bidi="ar-SA"/>
        </w:rPr>
      </w:pPr>
      <w:r>
        <w:rPr>
          <w:rFonts w:hint="eastAsia" w:ascii="Arial" w:hAnsi="Arial" w:cs="Arial"/>
          <w:b/>
          <w:bCs/>
          <w:color w:val="auto"/>
          <w:kern w:val="2"/>
          <w:sz w:val="26"/>
          <w:szCs w:val="26"/>
          <w:lang w:val="en-US" w:eastAsia="zh-CN" w:bidi="ar-SA"/>
        </w:rPr>
        <w:t>（6）取排水口建成情况</w:t>
      </w:r>
    </w:p>
    <w:p w14:paraId="5BDCE7D5">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firstLine="520" w:firstLineChars="200"/>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根据《丰都县双龙河“一河一策”方案》及现场走访调查可知，双龙河干流上设有双</w:t>
      </w:r>
      <w:r>
        <w:rPr>
          <w:rFonts w:hint="default" w:ascii="Arial" w:hAnsi="Arial" w:cs="Arial"/>
          <w:b w:val="0"/>
          <w:color w:val="auto"/>
          <w:kern w:val="2"/>
          <w:sz w:val="26"/>
          <w:szCs w:val="26"/>
          <w:lang w:val="en-US" w:eastAsia="zh-CN" w:bidi="ar-SA"/>
        </w:rPr>
        <w:t>龙场乡污水处理厂</w:t>
      </w:r>
      <w:r>
        <w:rPr>
          <w:rFonts w:hint="eastAsia" w:ascii="Arial" w:hAnsi="Arial" w:cs="Arial"/>
          <w:b w:val="0"/>
          <w:color w:val="auto"/>
          <w:kern w:val="2"/>
          <w:sz w:val="26"/>
          <w:szCs w:val="26"/>
          <w:lang w:val="en-US" w:eastAsia="zh-CN" w:bidi="ar-SA"/>
        </w:rPr>
        <w:t>、灯塔村污水处理站</w:t>
      </w:r>
      <w:r>
        <w:rPr>
          <w:rFonts w:hint="default" w:ascii="Arial" w:hAnsi="Arial" w:cs="Arial"/>
          <w:b w:val="0"/>
          <w:color w:val="auto"/>
          <w:kern w:val="2"/>
          <w:sz w:val="26"/>
          <w:szCs w:val="26"/>
          <w:lang w:val="en-US" w:eastAsia="zh-CN" w:bidi="ar-SA"/>
        </w:rPr>
        <w:t>排污口，</w:t>
      </w:r>
      <w:r>
        <w:rPr>
          <w:rFonts w:hint="eastAsia" w:ascii="Arial" w:hAnsi="Arial" w:cs="Arial"/>
          <w:b w:val="0"/>
          <w:color w:val="auto"/>
          <w:kern w:val="2"/>
          <w:sz w:val="26"/>
          <w:szCs w:val="26"/>
          <w:lang w:val="en-US" w:eastAsia="zh-CN" w:bidi="ar-SA"/>
        </w:rPr>
        <w:t>双</w:t>
      </w:r>
      <w:r>
        <w:rPr>
          <w:rFonts w:hint="default" w:ascii="Arial" w:hAnsi="Arial" w:cs="Arial"/>
          <w:b w:val="0"/>
          <w:color w:val="auto"/>
          <w:kern w:val="2"/>
          <w:sz w:val="26"/>
          <w:szCs w:val="26"/>
          <w:lang w:val="en-US" w:eastAsia="zh-CN" w:bidi="ar-SA"/>
        </w:rPr>
        <w:t>龙场乡污水处理厂</w:t>
      </w:r>
      <w:r>
        <w:rPr>
          <w:rFonts w:hint="eastAsia" w:ascii="Arial" w:hAnsi="Arial" w:cs="Arial"/>
          <w:b w:val="0"/>
          <w:color w:val="auto"/>
          <w:kern w:val="2"/>
          <w:sz w:val="26"/>
          <w:szCs w:val="26"/>
          <w:lang w:val="en-US" w:eastAsia="zh-CN" w:bidi="ar-SA"/>
        </w:rPr>
        <w:t>排污口</w:t>
      </w:r>
      <w:r>
        <w:rPr>
          <w:rFonts w:hint="default" w:ascii="Arial" w:hAnsi="Arial" w:cs="Arial"/>
          <w:b w:val="0"/>
          <w:color w:val="auto"/>
          <w:kern w:val="2"/>
          <w:sz w:val="26"/>
          <w:szCs w:val="26"/>
          <w:lang w:val="en-US" w:eastAsia="zh-CN" w:bidi="ar-SA"/>
        </w:rPr>
        <w:t>地理坐标为107°43'05.113"、30°07'15.435"</w:t>
      </w:r>
      <w:r>
        <w:rPr>
          <w:rFonts w:hint="eastAsia" w:ascii="Arial" w:hAnsi="Arial" w:cs="Arial"/>
          <w:b w:val="0"/>
          <w:color w:val="auto"/>
          <w:kern w:val="2"/>
          <w:sz w:val="26"/>
          <w:szCs w:val="26"/>
          <w:lang w:val="en-US" w:eastAsia="zh-CN" w:bidi="ar-SA"/>
        </w:rPr>
        <w:t>，灯塔村污水处理站</w:t>
      </w:r>
      <w:r>
        <w:rPr>
          <w:rFonts w:hint="default" w:ascii="Arial" w:hAnsi="Arial" w:cs="Arial"/>
          <w:b w:val="0"/>
          <w:color w:val="auto"/>
          <w:kern w:val="2"/>
          <w:sz w:val="26"/>
          <w:szCs w:val="26"/>
          <w:lang w:val="en-US" w:eastAsia="zh-CN" w:bidi="ar-SA"/>
        </w:rPr>
        <w:t>排污口</w:t>
      </w:r>
      <w:r>
        <w:rPr>
          <w:rFonts w:hint="eastAsia" w:ascii="Arial" w:hAnsi="Arial" w:cs="Arial"/>
          <w:b w:val="0"/>
          <w:color w:val="auto"/>
          <w:kern w:val="2"/>
          <w:sz w:val="26"/>
          <w:szCs w:val="26"/>
          <w:lang w:val="en-US" w:eastAsia="zh-CN" w:bidi="ar-SA"/>
        </w:rPr>
        <w:t>地理坐标为</w:t>
      </w:r>
      <w:r>
        <w:rPr>
          <w:rFonts w:hint="default" w:ascii="Arial" w:hAnsi="Arial" w:cs="Arial"/>
          <w:b w:val="0"/>
          <w:color w:val="auto"/>
          <w:kern w:val="2"/>
          <w:sz w:val="26"/>
          <w:szCs w:val="26"/>
          <w:lang w:val="en-US" w:eastAsia="zh-CN" w:bidi="ar-SA"/>
        </w:rPr>
        <w:t>107°46'01.468"、30°06'16.126"；</w:t>
      </w:r>
      <w:r>
        <w:rPr>
          <w:rFonts w:hint="eastAsia" w:ascii="Arial" w:hAnsi="Arial" w:cs="Arial"/>
          <w:b w:val="0"/>
          <w:color w:val="auto"/>
          <w:kern w:val="2"/>
          <w:sz w:val="26"/>
          <w:szCs w:val="26"/>
          <w:lang w:val="en-US" w:eastAsia="zh-CN" w:bidi="ar-SA"/>
        </w:rPr>
        <w:t>高洞桥河上设有青龙乡污水处理厂排污口，</w:t>
      </w:r>
      <w:r>
        <w:rPr>
          <w:rFonts w:hint="default" w:ascii="Arial" w:hAnsi="Arial" w:cs="Arial"/>
          <w:b w:val="0"/>
          <w:color w:val="auto"/>
          <w:kern w:val="2"/>
          <w:sz w:val="26"/>
          <w:szCs w:val="26"/>
          <w:lang w:val="en-US" w:eastAsia="zh-CN" w:bidi="ar-SA"/>
        </w:rPr>
        <w:t>地理坐标为g107°47'10.020"</w:t>
      </w:r>
      <w:r>
        <w:rPr>
          <w:rFonts w:hint="eastAsia" w:ascii="Arial" w:hAnsi="Arial" w:cs="Arial"/>
          <w:b w:val="0"/>
          <w:color w:val="auto"/>
          <w:kern w:val="2"/>
          <w:sz w:val="26"/>
          <w:szCs w:val="26"/>
          <w:lang w:val="en-US" w:eastAsia="zh-CN" w:bidi="ar-SA"/>
        </w:rPr>
        <w:t>、</w:t>
      </w:r>
      <w:r>
        <w:rPr>
          <w:rFonts w:hint="default" w:ascii="Arial" w:hAnsi="Arial" w:cs="Arial"/>
          <w:b w:val="0"/>
          <w:color w:val="auto"/>
          <w:kern w:val="2"/>
          <w:sz w:val="26"/>
          <w:szCs w:val="26"/>
          <w:lang w:val="en-US" w:eastAsia="zh-CN" w:bidi="ar-SA"/>
        </w:rPr>
        <w:t>30°09'38.633"；</w:t>
      </w:r>
      <w:r>
        <w:rPr>
          <w:rFonts w:hint="eastAsia" w:ascii="Arial" w:hAnsi="Arial" w:cs="Arial"/>
          <w:b w:val="0"/>
          <w:color w:val="auto"/>
          <w:kern w:val="2"/>
          <w:sz w:val="26"/>
          <w:szCs w:val="26"/>
          <w:lang w:val="en-US" w:eastAsia="zh-CN" w:bidi="ar-SA"/>
        </w:rPr>
        <w:t>海螺沟上未设置污水处理设施排放口。</w:t>
      </w:r>
    </w:p>
    <w:p w14:paraId="424172D1">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eastAsia" w:ascii="Arial" w:hAnsi="Arial" w:cs="Arial"/>
          <w:b/>
          <w:bCs/>
          <w:color w:val="auto"/>
          <w:kern w:val="2"/>
          <w:sz w:val="26"/>
          <w:szCs w:val="26"/>
          <w:highlight w:val="none"/>
          <w:lang w:val="en-US" w:eastAsia="zh-CN" w:bidi="ar-SA"/>
        </w:rPr>
      </w:pPr>
      <w:r>
        <w:rPr>
          <w:rFonts w:hint="eastAsia" w:ascii="Arial" w:hAnsi="Arial" w:cs="Arial"/>
          <w:b/>
          <w:bCs/>
          <w:color w:val="auto"/>
          <w:kern w:val="2"/>
          <w:sz w:val="26"/>
          <w:szCs w:val="26"/>
          <w:highlight w:val="none"/>
          <w:lang w:val="en-US" w:eastAsia="zh-CN" w:bidi="ar-SA"/>
        </w:rPr>
        <w:t>2.1.4规划水利设施情况简介</w:t>
      </w:r>
    </w:p>
    <w:p w14:paraId="1085D11F">
      <w:pPr>
        <w:spacing w:line="440" w:lineRule="exact"/>
        <w:ind w:firstLine="520"/>
        <w:rPr>
          <w:rFonts w:hint="eastAsia" w:ascii="Arial" w:hAnsi="Arial" w:cs="Arial"/>
          <w:color w:val="auto"/>
          <w:sz w:val="26"/>
          <w:szCs w:val="26"/>
        </w:rPr>
      </w:pPr>
      <w:r>
        <w:rPr>
          <w:rFonts w:hint="eastAsia" w:ascii="Arial" w:cs="Arial"/>
          <w:bCs/>
          <w:color w:val="auto"/>
          <w:sz w:val="26"/>
          <w:lang w:eastAsia="zh-CN"/>
        </w:rPr>
        <w:t>双龙河</w:t>
      </w:r>
      <w:r>
        <w:rPr>
          <w:rFonts w:hint="eastAsia" w:ascii="Arial" w:cs="Arial"/>
          <w:bCs/>
          <w:color w:val="auto"/>
          <w:sz w:val="26"/>
        </w:rPr>
        <w:t>流域</w:t>
      </w:r>
      <w:r>
        <w:rPr>
          <w:rFonts w:hint="eastAsia" w:ascii="Arial" w:cs="Arial"/>
          <w:bCs/>
          <w:color w:val="auto"/>
          <w:sz w:val="26"/>
          <w:lang w:eastAsia="zh-CN"/>
        </w:rPr>
        <w:t>规划内容包括水资源评价与配置、防洪规划、灌溉规划、节约用水规划、水资源保护规划、水生态保护与修复规划、水土保持规划、流域综合管理规划等。本次评价主要介绍双龙河流域内规划实施的实体建设项目。双龙河</w:t>
      </w:r>
      <w:r>
        <w:rPr>
          <w:rFonts w:hint="eastAsia" w:ascii="Arial" w:cs="Arial"/>
          <w:bCs/>
          <w:color w:val="auto"/>
          <w:sz w:val="26"/>
        </w:rPr>
        <w:t>流域</w:t>
      </w:r>
      <w:r>
        <w:rPr>
          <w:rFonts w:hint="eastAsia" w:ascii="Arial" w:hAnsi="Arial" w:cs="Arial"/>
          <w:color w:val="auto"/>
          <w:sz w:val="26"/>
          <w:szCs w:val="26"/>
        </w:rPr>
        <w:t>具体规划方案为：</w:t>
      </w:r>
    </w:p>
    <w:p w14:paraId="4EA523D7">
      <w:pPr>
        <w:spacing w:line="440" w:lineRule="exact"/>
        <w:ind w:firstLine="520"/>
        <w:rPr>
          <w:rFonts w:hint="eastAsia" w:ascii="Arial" w:hAnsi="Arial" w:cs="Arial"/>
          <w:color w:val="auto"/>
          <w:sz w:val="26"/>
          <w:szCs w:val="26"/>
          <w:lang w:val="en-US" w:eastAsia="zh-CN"/>
        </w:rPr>
      </w:pPr>
      <w:r>
        <w:rPr>
          <w:rFonts w:hint="eastAsia" w:ascii="Arial" w:cs="Arial"/>
          <w:b/>
          <w:bCs w:val="0"/>
          <w:color w:val="auto"/>
          <w:sz w:val="26"/>
          <w:lang w:eastAsia="zh-CN"/>
        </w:rPr>
        <w:t>水资源评价与配置：</w:t>
      </w:r>
      <w:r>
        <w:rPr>
          <w:rFonts w:hint="eastAsia" w:ascii="Arial" w:hAnsi="Arial" w:cs="Arial"/>
          <w:color w:val="auto"/>
          <w:sz w:val="26"/>
          <w:szCs w:val="26"/>
        </w:rPr>
        <w:t>小（</w:t>
      </w:r>
      <w:r>
        <w:rPr>
          <w:rFonts w:hint="eastAsia" w:ascii="Arial" w:hAnsi="Arial" w:cs="Arial"/>
          <w:color w:val="auto"/>
          <w:sz w:val="26"/>
          <w:szCs w:val="26"/>
          <w:lang w:val="en-US" w:eastAsia="zh-CN"/>
        </w:rPr>
        <w:t>2</w:t>
      </w:r>
      <w:r>
        <w:rPr>
          <w:rFonts w:hint="eastAsia" w:ascii="Arial" w:hAnsi="Arial" w:cs="Arial"/>
          <w:color w:val="auto"/>
          <w:sz w:val="26"/>
          <w:szCs w:val="26"/>
        </w:rPr>
        <w:t>）型水库</w:t>
      </w:r>
      <w:r>
        <w:rPr>
          <w:rFonts w:hint="eastAsia" w:ascii="Arial" w:hAnsi="Arial" w:cs="Arial"/>
          <w:color w:val="auto"/>
          <w:sz w:val="26"/>
          <w:szCs w:val="26"/>
          <w:lang w:val="en-US" w:eastAsia="zh-CN"/>
        </w:rPr>
        <w:t>2</w:t>
      </w:r>
      <w:r>
        <w:rPr>
          <w:rFonts w:hint="eastAsia" w:ascii="Arial" w:hAnsi="Arial" w:cs="Arial"/>
          <w:color w:val="auto"/>
          <w:sz w:val="26"/>
          <w:szCs w:val="26"/>
        </w:rPr>
        <w:t>座</w:t>
      </w:r>
      <w:r>
        <w:rPr>
          <w:rFonts w:hint="eastAsia" w:ascii="Arial" w:hAnsi="Arial" w:cs="Arial"/>
          <w:color w:val="auto"/>
          <w:sz w:val="26"/>
          <w:szCs w:val="26"/>
          <w:lang w:eastAsia="zh-CN"/>
        </w:rPr>
        <w:t>，分别为海螺沟水库、灯塔水库，库容分别为</w:t>
      </w:r>
      <w:r>
        <w:rPr>
          <w:rFonts w:hint="eastAsia" w:ascii="Arial" w:hAnsi="Arial" w:cs="Arial"/>
          <w:color w:val="auto"/>
          <w:sz w:val="26"/>
          <w:szCs w:val="26"/>
          <w:lang w:val="en-US" w:eastAsia="zh-CN"/>
        </w:rPr>
        <w:t>80.51万</w:t>
      </w:r>
      <w:r>
        <w:rPr>
          <w:rFonts w:hint="eastAsia" w:ascii="Arial" w:hAnsi="Arial" w:cs="Arial"/>
          <w:color w:val="auto"/>
          <w:sz w:val="26"/>
          <w:szCs w:val="26"/>
        </w:rPr>
        <w:t>m</w:t>
      </w:r>
      <w:r>
        <w:rPr>
          <w:rFonts w:hint="eastAsia" w:ascii="Arial" w:hAnsi="Arial" w:cs="Arial"/>
          <w:color w:val="auto"/>
          <w:sz w:val="26"/>
          <w:szCs w:val="26"/>
          <w:vertAlign w:val="superscript"/>
        </w:rPr>
        <w:t>3</w:t>
      </w:r>
      <w:r>
        <w:rPr>
          <w:rFonts w:hint="eastAsia" w:ascii="Arial" w:hAnsi="Arial" w:cs="Arial"/>
          <w:color w:val="auto"/>
          <w:sz w:val="26"/>
          <w:szCs w:val="26"/>
          <w:lang w:eastAsia="zh-CN"/>
        </w:rPr>
        <w:t>、</w:t>
      </w:r>
      <w:r>
        <w:rPr>
          <w:rFonts w:hint="eastAsia" w:ascii="Arial" w:hAnsi="Arial" w:cs="Arial"/>
          <w:color w:val="auto"/>
          <w:sz w:val="26"/>
          <w:szCs w:val="26"/>
          <w:lang w:val="en-US" w:eastAsia="zh-CN"/>
        </w:rPr>
        <w:t>68.4万</w:t>
      </w:r>
      <w:r>
        <w:rPr>
          <w:rFonts w:hint="eastAsia" w:ascii="Arial" w:hAnsi="Arial" w:cs="Arial"/>
          <w:color w:val="auto"/>
          <w:sz w:val="26"/>
          <w:szCs w:val="26"/>
        </w:rPr>
        <w:t>m</w:t>
      </w:r>
      <w:r>
        <w:rPr>
          <w:rFonts w:hint="eastAsia" w:ascii="Arial" w:hAnsi="Arial" w:cs="Arial"/>
          <w:color w:val="auto"/>
          <w:sz w:val="26"/>
          <w:szCs w:val="26"/>
          <w:vertAlign w:val="superscript"/>
        </w:rPr>
        <w:t>3</w:t>
      </w:r>
      <w:r>
        <w:rPr>
          <w:rFonts w:hint="eastAsia" w:ascii="Arial" w:hAnsi="Arial" w:cs="Arial"/>
          <w:color w:val="auto"/>
          <w:sz w:val="26"/>
          <w:szCs w:val="26"/>
          <w:lang w:eastAsia="zh-CN"/>
        </w:rPr>
        <w:t>，均为新建，选址分别位于双龙镇田家山村、双龙镇灯塔村，</w:t>
      </w:r>
      <w:r>
        <w:rPr>
          <w:rFonts w:hint="eastAsia" w:ascii="Arial" w:hAnsi="Arial" w:cs="Arial"/>
          <w:color w:val="auto"/>
          <w:sz w:val="26"/>
          <w:szCs w:val="26"/>
          <w:lang w:val="en-US" w:eastAsia="zh-CN"/>
        </w:rPr>
        <w:t>均以农村人畜饮水为主，兼顾农田灌溉等综合开发功能。</w:t>
      </w:r>
    </w:p>
    <w:p w14:paraId="021FF1B1">
      <w:pPr>
        <w:spacing w:line="460" w:lineRule="exact"/>
        <w:ind w:firstLine="522"/>
        <w:rPr>
          <w:rFonts w:hint="eastAsia" w:ascii="Arial" w:hAnsi="Times New Roman" w:cs="Arial"/>
          <w:bCs/>
          <w:color w:val="auto"/>
          <w:sz w:val="26"/>
          <w:lang w:val="en-US" w:eastAsia="zh-CN"/>
        </w:rPr>
      </w:pPr>
      <w:r>
        <w:rPr>
          <w:rFonts w:hint="eastAsia" w:ascii="Arial" w:hAnsi="Times New Roman" w:cs="Arial"/>
          <w:b/>
          <w:bCs w:val="0"/>
          <w:color w:val="auto"/>
          <w:sz w:val="26"/>
          <w:lang w:eastAsia="zh-CN"/>
        </w:rPr>
        <w:t>防洪规划：</w:t>
      </w:r>
      <w:r>
        <w:rPr>
          <w:rFonts w:hint="eastAsia" w:ascii="Arial" w:hAnsi="Times New Roman" w:cs="Arial"/>
          <w:bCs/>
          <w:color w:val="auto"/>
          <w:sz w:val="26"/>
          <w:lang w:val="en-US" w:eastAsia="zh-CN"/>
        </w:rPr>
        <w:t>在青龙乡、</w:t>
      </w:r>
      <w:r>
        <w:rPr>
          <w:rFonts w:hint="eastAsia" w:ascii="Arial" w:hAnsi="Times New Roman" w:cs="Arial"/>
          <w:b/>
          <w:bCs w:val="0"/>
          <w:color w:val="auto"/>
          <w:sz w:val="26"/>
          <w:lang w:val="en-US" w:eastAsia="zh-CN"/>
        </w:rPr>
        <w:t>双龙镇、</w:t>
      </w:r>
      <w:r>
        <w:rPr>
          <w:rFonts w:hint="eastAsia" w:ascii="Arial" w:hAnsi="Times New Roman" w:cs="Arial"/>
          <w:bCs/>
          <w:color w:val="auto"/>
          <w:sz w:val="26"/>
          <w:lang w:val="en-US" w:eastAsia="zh-CN"/>
        </w:rPr>
        <w:t>三元</w:t>
      </w:r>
      <w:r>
        <w:rPr>
          <w:rFonts w:hint="eastAsia" w:ascii="Arial" w:hAnsi="Arial" w:cs="Arial"/>
          <w:color w:val="auto"/>
          <w:sz w:val="26"/>
          <w:szCs w:val="26"/>
          <w:lang w:val="en-US" w:eastAsia="zh-CN"/>
        </w:rPr>
        <w:t>镇、</w:t>
      </w:r>
      <w:r>
        <w:rPr>
          <w:rFonts w:hint="eastAsia" w:ascii="Arial" w:hAnsi="Arial" w:cs="Arial"/>
          <w:color w:val="auto"/>
          <w:sz w:val="26"/>
          <w:szCs w:val="26"/>
          <w:lang w:eastAsia="zh-CN"/>
        </w:rPr>
        <w:t>仁沙镇、兴龙镇、社坛镇，</w:t>
      </w:r>
      <w:r>
        <w:rPr>
          <w:rFonts w:hint="eastAsia" w:ascii="Arial" w:hAnsi="Times New Roman" w:cs="Arial"/>
          <w:bCs/>
          <w:color w:val="auto"/>
          <w:sz w:val="26"/>
          <w:lang w:val="en-US" w:eastAsia="zh-CN"/>
        </w:rPr>
        <w:t>按照10年一遇防洪标准，新建</w:t>
      </w:r>
      <w:r>
        <w:rPr>
          <w:rFonts w:hint="eastAsia" w:ascii="Arial" w:hAnsi="Times New Roman" w:cs="Arial"/>
          <w:bCs/>
          <w:color w:val="auto"/>
          <w:sz w:val="26"/>
          <w:lang w:eastAsia="zh-CN"/>
        </w:rPr>
        <w:t>堤防、疏浚清淤、岸坡护砌、生态修复等工程措施，总长合计约</w:t>
      </w:r>
      <w:r>
        <w:rPr>
          <w:rFonts w:hint="eastAsia" w:ascii="Arial" w:hAnsi="Times New Roman" w:cs="Arial"/>
          <w:bCs/>
          <w:color w:val="auto"/>
          <w:sz w:val="26"/>
          <w:lang w:val="en-US" w:eastAsia="zh-CN"/>
        </w:rPr>
        <w:t>51.661km。</w:t>
      </w:r>
    </w:p>
    <w:p w14:paraId="2DA6C8FD">
      <w:pPr>
        <w:spacing w:line="460" w:lineRule="exact"/>
        <w:ind w:firstLine="522"/>
        <w:rPr>
          <w:rFonts w:hint="eastAsia" w:ascii="Arial" w:hAnsi="Arial" w:cs="Arial"/>
          <w:color w:val="auto"/>
          <w:sz w:val="26"/>
          <w:szCs w:val="26"/>
        </w:rPr>
      </w:pPr>
      <w:r>
        <w:rPr>
          <w:rFonts w:hint="eastAsia" w:ascii="Arial" w:hAnsi="Arial" w:cs="Arial"/>
          <w:color w:val="auto"/>
          <w:sz w:val="26"/>
          <w:szCs w:val="26"/>
        </w:rPr>
        <w:t>拟建项目与</w:t>
      </w:r>
      <w:r>
        <w:rPr>
          <w:rFonts w:hint="eastAsia" w:ascii="Arial" w:hAnsi="Arial" w:eastAsia="宋体" w:cs="Arial"/>
          <w:b w:val="0"/>
          <w:color w:val="auto"/>
          <w:kern w:val="2"/>
          <w:sz w:val="26"/>
          <w:szCs w:val="26"/>
          <w:lang w:val="en-US" w:eastAsia="zh-CN" w:bidi="ar-SA"/>
        </w:rPr>
        <w:t>重庆市渠溪河流域综合规划</w:t>
      </w:r>
      <w:r>
        <w:rPr>
          <w:rFonts w:hint="eastAsia" w:ascii="Arial" w:hAnsi="Arial" w:cs="Arial"/>
          <w:color w:val="auto"/>
          <w:sz w:val="26"/>
          <w:szCs w:val="26"/>
        </w:rPr>
        <w:t>总体布局位置关系详见</w:t>
      </w:r>
      <w:r>
        <w:rPr>
          <w:rFonts w:hint="eastAsia" w:ascii="Arial" w:hAnsi="Arial" w:cs="Arial"/>
          <w:b/>
          <w:color w:val="auto"/>
          <w:sz w:val="26"/>
          <w:szCs w:val="26"/>
        </w:rPr>
        <w:t>附图20</w:t>
      </w:r>
      <w:r>
        <w:rPr>
          <w:rFonts w:hint="eastAsia" w:ascii="Arial" w:hAnsi="Arial" w:cs="Arial"/>
          <w:color w:val="auto"/>
          <w:sz w:val="26"/>
          <w:szCs w:val="26"/>
        </w:rPr>
        <w:t>所示。</w:t>
      </w:r>
    </w:p>
    <w:p w14:paraId="2F8EE954">
      <w:pPr>
        <w:pStyle w:val="1291"/>
        <w:keepNext w:val="0"/>
        <w:keepLines w:val="0"/>
        <w:pageBreakBefore w:val="0"/>
        <w:widowControl/>
        <w:kinsoku/>
        <w:wordWrap/>
        <w:overflowPunct/>
        <w:topLinePunct w:val="0"/>
        <w:autoSpaceDE/>
        <w:autoSpaceDN/>
        <w:bidi w:val="0"/>
        <w:adjustRightInd w:val="0"/>
        <w:snapToGrid w:val="0"/>
        <w:spacing w:line="440" w:lineRule="exact"/>
        <w:ind w:firstLine="522" w:firstLineChars="200"/>
        <w:jc w:val="both"/>
        <w:textAlignment w:val="auto"/>
        <w:rPr>
          <w:rFonts w:hint="eastAsia" w:ascii="Arial" w:hAnsi="Arial" w:eastAsia="宋体" w:cs="Arial"/>
          <w:sz w:val="26"/>
          <w:szCs w:val="26"/>
          <w:lang w:eastAsia="zh-CN"/>
        </w:rPr>
      </w:pPr>
      <w:r>
        <w:rPr>
          <w:rFonts w:hint="default" w:ascii="Arial" w:hAnsi="Arial" w:cs="Arial"/>
          <w:sz w:val="26"/>
          <w:szCs w:val="26"/>
        </w:rPr>
        <w:t>2.</w:t>
      </w:r>
      <w:r>
        <w:rPr>
          <w:rFonts w:hint="eastAsia" w:ascii="Arial" w:hAnsi="Arial" w:cs="Arial"/>
          <w:sz w:val="26"/>
          <w:szCs w:val="26"/>
          <w:lang w:val="en-US" w:eastAsia="zh-CN"/>
        </w:rPr>
        <w:t>2</w:t>
      </w:r>
      <w:r>
        <w:rPr>
          <w:rFonts w:hint="eastAsia" w:ascii="Arial" w:hAnsi="Arial" w:cs="Arial"/>
          <w:sz w:val="26"/>
          <w:szCs w:val="26"/>
          <w:lang w:eastAsia="zh-CN"/>
        </w:rPr>
        <w:t>建设项目概况</w:t>
      </w:r>
    </w:p>
    <w:p w14:paraId="61D13E47">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2.2.1地理位置</w:t>
      </w:r>
    </w:p>
    <w:p w14:paraId="01FF549B">
      <w:pPr>
        <w:keepNext w:val="0"/>
        <w:keepLines w:val="0"/>
        <w:pageBreakBefore w:val="0"/>
        <w:widowControl w:val="0"/>
        <w:suppressLineNumbers w:val="0"/>
        <w:kinsoku/>
        <w:wordWrap/>
        <w:overflowPunct/>
        <w:topLinePunct w:val="0"/>
        <w:autoSpaceDE/>
        <w:autoSpaceDN/>
        <w:bidi w:val="0"/>
        <w:adjustRightInd/>
        <w:snapToGrid/>
        <w:spacing w:line="460" w:lineRule="exact"/>
        <w:ind w:left="0" w:leftChars="0" w:firstLine="520" w:firstLineChars="200"/>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海螺沟水库位于丰都县双龙镇田家山村，双龙镇地处丰都县西北部，东抵青龙乡，东南与十直镇相邻，南靠保合镇，西接三元镇，北抵董家镇，总面积76.78km</w:t>
      </w:r>
      <w:r>
        <w:rPr>
          <w:rFonts w:hint="eastAsia" w:ascii="Arial" w:hAnsi="Arial" w:cs="Arial"/>
          <w:b w:val="0"/>
          <w:color w:val="auto"/>
          <w:kern w:val="2"/>
          <w:sz w:val="26"/>
          <w:szCs w:val="26"/>
          <w:vertAlign w:val="superscript"/>
          <w:lang w:val="en-US" w:eastAsia="zh-CN" w:bidi="ar-SA"/>
        </w:rPr>
        <w:t>2</w:t>
      </w:r>
      <w:r>
        <w:rPr>
          <w:rFonts w:hint="eastAsia" w:ascii="Arial" w:hAnsi="Arial" w:cs="Arial"/>
          <w:b w:val="0"/>
          <w:color w:val="auto"/>
          <w:kern w:val="2"/>
          <w:sz w:val="26"/>
          <w:szCs w:val="26"/>
          <w:lang w:val="en-US" w:eastAsia="zh-CN" w:bidi="ar-SA"/>
        </w:rPr>
        <w:t>。双龙镇下辖1个社区、9个行政村，61个村民小组、8个居民小组。海螺沟水库库尾有机耕道与双龙镇相通，但交通条件较差，枢纽区至双龙镇约12km，距离丰都县城约75km。</w:t>
      </w:r>
    </w:p>
    <w:p w14:paraId="41A943DD">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拟建项目地理位置及交通状况详见附图1所示。</w:t>
      </w:r>
    </w:p>
    <w:p w14:paraId="11749C3E">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2.2.2工程基本情况</w:t>
      </w:r>
    </w:p>
    <w:p w14:paraId="709BF924">
      <w:pPr>
        <w:spacing w:line="460" w:lineRule="exact"/>
        <w:ind w:firstLine="390" w:firstLineChars="150"/>
        <w:rPr>
          <w:rFonts w:hint="eastAsia" w:ascii="Arial" w:hAnsi="Arial" w:eastAsia="宋体" w:cs="Arial"/>
          <w:bCs/>
          <w:sz w:val="26"/>
          <w:szCs w:val="26"/>
          <w:lang w:eastAsia="zh-CN"/>
        </w:rPr>
      </w:pPr>
      <w:r>
        <w:rPr>
          <w:rFonts w:ascii="Arial" w:hAnsi="Arial" w:cs="Arial"/>
          <w:bCs/>
          <w:sz w:val="26"/>
          <w:szCs w:val="26"/>
        </w:rPr>
        <w:t>（1）工程名称：</w:t>
      </w:r>
      <w:r>
        <w:rPr>
          <w:rFonts w:hint="eastAsia" w:ascii="Arial" w:hAnsi="Arial" w:cs="Arial"/>
          <w:bCs/>
          <w:sz w:val="26"/>
          <w:szCs w:val="26"/>
          <w:lang w:eastAsia="zh-CN"/>
        </w:rPr>
        <w:t>丰都县海螺沟水库工程</w:t>
      </w:r>
    </w:p>
    <w:p w14:paraId="788BA8F0">
      <w:pPr>
        <w:spacing w:line="460" w:lineRule="exact"/>
        <w:ind w:firstLine="390" w:firstLineChars="150"/>
        <w:rPr>
          <w:rFonts w:hint="eastAsia" w:ascii="Arial" w:hAnsi="Arial" w:cs="Arial"/>
          <w:bCs/>
          <w:sz w:val="26"/>
          <w:szCs w:val="26"/>
        </w:rPr>
      </w:pPr>
      <w:r>
        <w:rPr>
          <w:rFonts w:ascii="Arial" w:hAnsi="Arial" w:cs="Arial"/>
          <w:bCs/>
          <w:sz w:val="26"/>
          <w:szCs w:val="26"/>
        </w:rPr>
        <w:t>（2）建设单位</w:t>
      </w:r>
      <w:r>
        <w:rPr>
          <w:rFonts w:hint="eastAsia" w:ascii="Arial" w:hAnsi="Arial" w:cs="Arial"/>
          <w:bCs/>
          <w:sz w:val="26"/>
          <w:szCs w:val="26"/>
        </w:rPr>
        <w:t>：</w:t>
      </w:r>
      <w:r>
        <w:rPr>
          <w:rFonts w:hint="eastAsia" w:ascii="Arial" w:hAnsi="Arial" w:eastAsia="宋体" w:cs="Arial"/>
          <w:b w:val="0"/>
          <w:color w:val="auto"/>
          <w:kern w:val="2"/>
          <w:sz w:val="26"/>
          <w:szCs w:val="26"/>
          <w:lang w:val="en-US" w:eastAsia="zh-CN" w:bidi="ar-SA"/>
        </w:rPr>
        <w:t>丰都县水利工程服务中心</w:t>
      </w:r>
    </w:p>
    <w:p w14:paraId="57602A90">
      <w:pPr>
        <w:spacing w:line="460" w:lineRule="exact"/>
        <w:ind w:firstLine="390" w:firstLineChars="150"/>
        <w:rPr>
          <w:rFonts w:hint="eastAsia" w:ascii="Arial" w:eastAsia="宋体" w:cs="Arial"/>
          <w:sz w:val="26"/>
          <w:szCs w:val="26"/>
          <w:lang w:eastAsia="zh-CN"/>
        </w:rPr>
      </w:pPr>
      <w:r>
        <w:rPr>
          <w:rFonts w:ascii="Arial" w:cs="Arial"/>
          <w:sz w:val="26"/>
          <w:szCs w:val="26"/>
        </w:rPr>
        <w:t>（</w:t>
      </w:r>
      <w:r>
        <w:rPr>
          <w:rFonts w:ascii="Arial" w:hAnsi="Arial" w:cs="Arial"/>
          <w:sz w:val="26"/>
          <w:szCs w:val="26"/>
        </w:rPr>
        <w:t>3</w:t>
      </w:r>
      <w:r>
        <w:rPr>
          <w:rFonts w:ascii="Arial" w:cs="Arial"/>
          <w:sz w:val="26"/>
          <w:szCs w:val="26"/>
        </w:rPr>
        <w:t>）工程地点：</w:t>
      </w:r>
      <w:r>
        <w:rPr>
          <w:rFonts w:hint="eastAsia" w:ascii="Arial" w:cs="Arial"/>
          <w:bCs/>
          <w:sz w:val="26"/>
          <w:szCs w:val="26"/>
          <w:lang w:eastAsia="zh-CN"/>
        </w:rPr>
        <w:t>丰都县双龙镇田家山村</w:t>
      </w:r>
    </w:p>
    <w:p w14:paraId="42B14920">
      <w:pPr>
        <w:spacing w:line="460" w:lineRule="exact"/>
        <w:ind w:firstLine="390" w:firstLineChars="150"/>
        <w:rPr>
          <w:rFonts w:ascii="Arial" w:hAnsi="Arial" w:cs="Arial"/>
          <w:sz w:val="26"/>
          <w:szCs w:val="26"/>
        </w:rPr>
      </w:pPr>
      <w:r>
        <w:rPr>
          <w:rFonts w:ascii="Arial" w:cs="Arial"/>
          <w:sz w:val="26"/>
          <w:szCs w:val="26"/>
        </w:rPr>
        <w:t>（</w:t>
      </w:r>
      <w:r>
        <w:rPr>
          <w:rFonts w:ascii="Arial" w:hAnsi="Arial" w:cs="Arial"/>
          <w:sz w:val="26"/>
          <w:szCs w:val="26"/>
        </w:rPr>
        <w:t>4</w:t>
      </w:r>
      <w:r>
        <w:rPr>
          <w:rFonts w:ascii="Arial" w:cs="Arial"/>
          <w:sz w:val="26"/>
          <w:szCs w:val="26"/>
        </w:rPr>
        <w:t>）建设性质：新建</w:t>
      </w:r>
    </w:p>
    <w:p w14:paraId="76791E5A">
      <w:pPr>
        <w:pStyle w:val="2104"/>
        <w:ind w:firstLine="390" w:firstLineChars="150"/>
        <w:rPr>
          <w:rFonts w:hint="eastAsia" w:ascii="Arial" w:hAnsi="Arial" w:cs="Arial"/>
        </w:rPr>
      </w:pPr>
      <w:r>
        <w:rPr>
          <w:rFonts w:ascii="Arial" w:hAnsi="Arial" w:cs="Arial"/>
        </w:rPr>
        <w:t>（5）工程投资：</w:t>
      </w:r>
      <w:r>
        <w:rPr>
          <w:rFonts w:hint="eastAsia" w:ascii="Arial" w:hAnsi="Arial" w:cs="Arial"/>
        </w:rPr>
        <w:t>拟建项目总投资为</w:t>
      </w:r>
      <w:r>
        <w:rPr>
          <w:rFonts w:hint="eastAsia" w:ascii="Arial" w:hAnsi="Arial" w:cs="Arial"/>
          <w:lang w:val="en-US" w:eastAsia="zh-CN"/>
        </w:rPr>
        <w:t>14499.6</w:t>
      </w:r>
      <w:r>
        <w:rPr>
          <w:rFonts w:ascii="Arial" w:hAnsi="Arial" w:cs="Arial"/>
        </w:rPr>
        <w:t>万元</w:t>
      </w:r>
    </w:p>
    <w:p w14:paraId="7AC30B94">
      <w:pPr>
        <w:pStyle w:val="2104"/>
        <w:ind w:firstLine="390" w:firstLineChars="150"/>
        <w:rPr>
          <w:rFonts w:hint="eastAsia" w:ascii="Arial" w:hAnsi="Arial" w:eastAsia="宋体" w:cs="Arial"/>
          <w:lang w:eastAsia="zh-CN"/>
        </w:rPr>
      </w:pPr>
      <w:r>
        <w:rPr>
          <w:rFonts w:hint="eastAsia" w:ascii="Arial" w:hAnsi="Arial" w:cs="Arial"/>
        </w:rPr>
        <w:t>（6）开发河流：</w:t>
      </w:r>
      <w:r>
        <w:rPr>
          <w:rFonts w:hint="eastAsia" w:ascii="Arial" w:hAnsi="Arial" w:cs="Arial"/>
          <w:lang w:eastAsia="zh-CN"/>
        </w:rPr>
        <w:t>海螺沟</w:t>
      </w:r>
    </w:p>
    <w:p w14:paraId="7596AC43">
      <w:pPr>
        <w:spacing w:line="460" w:lineRule="exact"/>
        <w:ind w:firstLine="390" w:firstLineChars="150"/>
        <w:rPr>
          <w:rFonts w:hint="eastAsia" w:ascii="Arial" w:hAnsi="Arial" w:cs="Arial"/>
          <w:bCs/>
          <w:sz w:val="26"/>
          <w:szCs w:val="26"/>
        </w:rPr>
      </w:pPr>
      <w:r>
        <w:rPr>
          <w:rFonts w:hint="eastAsia" w:ascii="Arial" w:hAnsi="Arial" w:cs="Arial"/>
          <w:bCs/>
          <w:sz w:val="26"/>
          <w:szCs w:val="26"/>
        </w:rPr>
        <w:t>（7）开发任务：</w:t>
      </w:r>
      <w:r>
        <w:rPr>
          <w:rFonts w:hint="eastAsia" w:ascii="Arial" w:hAnsi="Arial" w:cs="Arial"/>
          <w:color w:val="auto"/>
          <w:kern w:val="0"/>
          <w:sz w:val="26"/>
          <w:szCs w:val="26"/>
          <w:highlight w:val="none"/>
          <w:lang w:val="en-US" w:eastAsia="zh-CN"/>
        </w:rPr>
        <w:t>是</w:t>
      </w:r>
      <w:r>
        <w:rPr>
          <w:rFonts w:hint="eastAsia" w:ascii="Arial" w:hAnsi="Arial" w:eastAsia="宋体" w:cs="Arial"/>
          <w:color w:val="auto"/>
          <w:kern w:val="0"/>
          <w:sz w:val="26"/>
          <w:szCs w:val="26"/>
          <w:highlight w:val="none"/>
          <w:lang w:val="en-US" w:eastAsia="zh-CN"/>
        </w:rPr>
        <w:t>一座以供水和农业灌溉为主要开发功能的小（2）型水利工程</w:t>
      </w:r>
    </w:p>
    <w:p w14:paraId="52D25375">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default" w:ascii="Arial" w:hAnsi="Arial" w:cs="Arial"/>
          <w:color w:val="auto"/>
          <w:kern w:val="0"/>
          <w:sz w:val="26"/>
          <w:szCs w:val="26"/>
          <w:highlight w:val="none"/>
          <w:lang w:val="en-US" w:eastAsia="zh-CN"/>
        </w:rPr>
      </w:pPr>
      <w:r>
        <w:rPr>
          <w:rFonts w:hint="eastAsia" w:ascii="Arial" w:hAnsi="Arial" w:cs="Arial"/>
          <w:bCs/>
          <w:sz w:val="26"/>
          <w:szCs w:val="26"/>
        </w:rPr>
        <w:t>（8）工程规模：</w:t>
      </w:r>
      <w:r>
        <w:rPr>
          <w:rFonts w:hint="eastAsia" w:ascii="Arial" w:hAnsi="Arial" w:eastAsia="宋体" w:cs="Arial"/>
          <w:color w:val="auto"/>
          <w:kern w:val="0"/>
          <w:sz w:val="26"/>
          <w:szCs w:val="26"/>
          <w:highlight w:val="none"/>
          <w:lang w:val="en-US" w:eastAsia="zh-CN"/>
        </w:rPr>
        <w:t>水库</w:t>
      </w:r>
      <w:r>
        <w:rPr>
          <w:rFonts w:hint="eastAsia" w:ascii="Arial" w:hAnsi="Arial" w:cs="Arial"/>
          <w:color w:val="auto"/>
          <w:kern w:val="0"/>
          <w:sz w:val="26"/>
          <w:szCs w:val="26"/>
          <w:highlight w:val="none"/>
          <w:lang w:val="en-US" w:eastAsia="zh-CN"/>
        </w:rPr>
        <w:t>正常蓄水位为420.0m，相应库容65.36万m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；死水位407.50m，死库容5.62万m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，调节库容59.74万m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；校核洪水位421.78m，总库容80.51万m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。建成后</w:t>
      </w:r>
      <w:r>
        <w:rPr>
          <w:rFonts w:hint="eastAsia" w:ascii="Arial" w:hAnsi="Arial" w:eastAsia="宋体" w:cs="Arial"/>
          <w:color w:val="auto"/>
          <w:kern w:val="0"/>
          <w:sz w:val="26"/>
          <w:szCs w:val="26"/>
          <w:highlight w:val="none"/>
          <w:lang w:val="en-US" w:eastAsia="zh-CN"/>
        </w:rPr>
        <w:t>可解决双龙社区、回龙场村、田家山村7000人饮和双龙社区、回龙场村2000亩耕地灌溉用水，多年平均总供水量76.28万m</w:t>
      </w:r>
      <w:r>
        <w:rPr>
          <w:rFonts w:hint="eastAsia" w:ascii="Arial" w:hAnsi="Arial" w:eastAsia="宋体" w:cs="Arial"/>
          <w:color w:val="auto"/>
          <w:kern w:val="0"/>
          <w:sz w:val="26"/>
          <w:szCs w:val="26"/>
          <w:highlight w:val="none"/>
          <w:vertAlign w:val="superscript"/>
          <w:lang w:val="en-US" w:eastAsia="zh-CN"/>
        </w:rPr>
        <w:t>3</w:t>
      </w:r>
      <w:r>
        <w:rPr>
          <w:rFonts w:hint="eastAsia" w:ascii="Arial" w:hAnsi="Arial" w:eastAsia="宋体" w:cs="Arial"/>
          <w:color w:val="auto"/>
          <w:kern w:val="0"/>
          <w:sz w:val="26"/>
          <w:szCs w:val="26"/>
          <w:highlight w:val="none"/>
          <w:lang w:val="en-US" w:eastAsia="zh-CN"/>
        </w:rPr>
        <w:t>。</w:t>
      </w:r>
      <w:r>
        <w:rPr>
          <w:rFonts w:hint="eastAsia" w:ascii="Arial" w:hAnsi="Arial" w:cs="Arial"/>
          <w:color w:val="auto"/>
          <w:kern w:val="0"/>
          <w:sz w:val="26"/>
          <w:szCs w:val="26"/>
          <w:highlight w:val="none"/>
          <w:lang w:val="en-US" w:eastAsia="zh-CN"/>
        </w:rPr>
        <w:t>配套输水管线总长8.9km，其中双龙干管长5.27km，5条支管长3.63km；采取PE管，地埋式敷设，取水流量为0.1124m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/s。配套建设上坝道路长1.76km、环库巡检步道长2.5km，及水库管理房、取水闸阀房等。</w:t>
      </w:r>
    </w:p>
    <w:p w14:paraId="35ACF4FC">
      <w:pPr>
        <w:spacing w:line="460" w:lineRule="exact"/>
        <w:ind w:firstLine="390" w:firstLineChars="150"/>
        <w:rPr>
          <w:rFonts w:hint="eastAsia" w:ascii="Arial" w:hAnsi="Arial" w:cs="Arial"/>
          <w:bCs/>
          <w:sz w:val="26"/>
          <w:szCs w:val="26"/>
        </w:rPr>
      </w:pPr>
      <w:r>
        <w:rPr>
          <w:rFonts w:hint="eastAsia" w:ascii="Arial" w:hAnsi="宋体" w:cs="Arial"/>
          <w:sz w:val="26"/>
          <w:szCs w:val="26"/>
        </w:rPr>
        <w:t>拟建项目总平面布置详见</w:t>
      </w:r>
      <w:r>
        <w:rPr>
          <w:rFonts w:hint="eastAsia" w:ascii="Arial" w:hAnsi="宋体" w:cs="Arial"/>
          <w:b/>
          <w:sz w:val="26"/>
          <w:szCs w:val="26"/>
        </w:rPr>
        <w:t>附图2</w:t>
      </w:r>
      <w:r>
        <w:rPr>
          <w:rFonts w:hint="eastAsia" w:ascii="Arial" w:hAnsi="宋体" w:cs="Arial"/>
          <w:sz w:val="26"/>
          <w:szCs w:val="26"/>
        </w:rPr>
        <w:t>所示。</w:t>
      </w:r>
    </w:p>
    <w:p w14:paraId="20DEAF17">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highlight w:val="none"/>
          <w:lang w:val="en-US" w:eastAsia="zh-CN" w:bidi="ar-SA"/>
        </w:rPr>
      </w:pPr>
      <w:r>
        <w:rPr>
          <w:rFonts w:hint="eastAsia" w:ascii="Arial" w:hAnsi="Arial" w:cs="Arial"/>
          <w:b/>
          <w:bCs/>
          <w:color w:val="auto"/>
          <w:kern w:val="2"/>
          <w:sz w:val="26"/>
          <w:szCs w:val="26"/>
          <w:highlight w:val="none"/>
          <w:lang w:val="en-US" w:eastAsia="zh-CN" w:bidi="ar-SA"/>
        </w:rPr>
        <w:t>2.2.3项目组成</w:t>
      </w:r>
    </w:p>
    <w:p w14:paraId="6E3C896A">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本项目</w:t>
      </w:r>
      <w:r>
        <w:rPr>
          <w:rFonts w:hint="eastAsia" w:ascii="Arial" w:hAnsi="Arial" w:eastAsia="宋体" w:cs="Arial"/>
          <w:color w:val="auto"/>
          <w:kern w:val="0"/>
          <w:sz w:val="26"/>
          <w:szCs w:val="26"/>
          <w:highlight w:val="none"/>
          <w:lang w:val="en-US" w:eastAsia="zh-CN"/>
        </w:rPr>
        <w:t>主要由枢纽工程、输水工程和附属设施工程</w:t>
      </w:r>
      <w:r>
        <w:rPr>
          <w:rFonts w:hint="eastAsia" w:ascii="Arial" w:hAnsi="Arial" w:cs="Arial"/>
          <w:color w:val="auto"/>
          <w:kern w:val="0"/>
          <w:sz w:val="26"/>
          <w:szCs w:val="26"/>
          <w:highlight w:val="none"/>
          <w:lang w:val="en-US" w:eastAsia="zh-CN"/>
        </w:rPr>
        <w:t>3部分</w:t>
      </w:r>
      <w:r>
        <w:rPr>
          <w:rFonts w:hint="eastAsia" w:ascii="Arial" w:hAnsi="Arial" w:eastAsia="宋体" w:cs="Arial"/>
          <w:color w:val="auto"/>
          <w:kern w:val="0"/>
          <w:sz w:val="26"/>
          <w:szCs w:val="26"/>
          <w:highlight w:val="none"/>
          <w:lang w:val="en-US" w:eastAsia="zh-CN"/>
        </w:rPr>
        <w:t>组成</w:t>
      </w:r>
      <w:r>
        <w:rPr>
          <w:rFonts w:hint="eastAsia" w:ascii="Arial" w:hAnsi="Arial" w:cs="Arial"/>
          <w:color w:val="auto"/>
          <w:kern w:val="0"/>
          <w:sz w:val="26"/>
          <w:szCs w:val="26"/>
          <w:highlight w:val="none"/>
          <w:lang w:val="en-US" w:eastAsia="zh-CN"/>
        </w:rPr>
        <w:t>，详见表2.2-1所示。</w:t>
      </w:r>
    </w:p>
    <w:p w14:paraId="2677D395">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Arial" w:hAnsi="Arial" w:cs="Arial"/>
          <w:b/>
          <w:bCs/>
          <w:color w:val="auto"/>
          <w:kern w:val="0"/>
          <w:sz w:val="26"/>
          <w:szCs w:val="26"/>
          <w:highlight w:val="none"/>
          <w:lang w:val="en-US" w:eastAsia="zh-CN"/>
        </w:rPr>
      </w:pPr>
      <w:r>
        <w:rPr>
          <w:rFonts w:hint="eastAsia" w:ascii="Arial" w:hAnsi="Arial" w:cs="Arial"/>
          <w:b/>
          <w:bCs/>
          <w:color w:val="auto"/>
          <w:kern w:val="0"/>
          <w:sz w:val="26"/>
          <w:szCs w:val="26"/>
          <w:highlight w:val="none"/>
          <w:lang w:val="en-US" w:eastAsia="zh-CN"/>
        </w:rPr>
        <w:t>表2.2-1 项目组成一览表</w:t>
      </w:r>
    </w:p>
    <w:tbl>
      <w:tblPr>
        <w:tblStyle w:val="77"/>
        <w:tblW w:w="952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6"/>
        <w:gridCol w:w="641"/>
        <w:gridCol w:w="4"/>
        <w:gridCol w:w="513"/>
        <w:gridCol w:w="734"/>
        <w:gridCol w:w="6979"/>
      </w:tblGrid>
      <w:tr w14:paraId="228593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548" w:type="dxa"/>
            <w:gridSpan w:val="5"/>
            <w:noWrap w:val="0"/>
            <w:vAlign w:val="center"/>
          </w:tcPr>
          <w:p w14:paraId="04F236FA">
            <w:pPr>
              <w:spacing w:line="300" w:lineRule="exact"/>
              <w:jc w:val="center"/>
              <w:rPr>
                <w:rFonts w:ascii="Arial" w:hAnsi="Arial" w:cs="Arial"/>
                <w:bCs/>
                <w:sz w:val="22"/>
                <w:szCs w:val="22"/>
              </w:rPr>
            </w:pPr>
            <w:r>
              <w:rPr>
                <w:rFonts w:ascii="Arial" w:hAnsi="宋体" w:cs="Arial"/>
                <w:bCs/>
                <w:sz w:val="22"/>
                <w:szCs w:val="22"/>
              </w:rPr>
              <w:t>项目组成</w:t>
            </w:r>
          </w:p>
        </w:tc>
        <w:tc>
          <w:tcPr>
            <w:tcW w:w="6979" w:type="dxa"/>
            <w:noWrap w:val="0"/>
            <w:vAlign w:val="center"/>
          </w:tcPr>
          <w:p w14:paraId="5D54192E">
            <w:pPr>
              <w:spacing w:line="300" w:lineRule="exact"/>
              <w:jc w:val="center"/>
              <w:rPr>
                <w:rFonts w:ascii="Arial" w:hAnsi="Arial" w:cs="Arial"/>
                <w:bCs/>
                <w:sz w:val="22"/>
                <w:szCs w:val="22"/>
              </w:rPr>
            </w:pPr>
            <w:r>
              <w:rPr>
                <w:rFonts w:ascii="Arial" w:hAnsi="宋体" w:cs="Arial"/>
                <w:bCs/>
                <w:sz w:val="22"/>
                <w:szCs w:val="22"/>
              </w:rPr>
              <w:t>工程组成</w:t>
            </w:r>
          </w:p>
        </w:tc>
      </w:tr>
      <w:tr w14:paraId="76B2A9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restart"/>
            <w:noWrap w:val="0"/>
            <w:vAlign w:val="center"/>
          </w:tcPr>
          <w:p w14:paraId="7B2273ED">
            <w:pPr>
              <w:spacing w:line="300" w:lineRule="exact"/>
              <w:jc w:val="center"/>
              <w:rPr>
                <w:rFonts w:ascii="Arial" w:hAnsi="Arial" w:cs="Arial"/>
                <w:bCs/>
                <w:sz w:val="22"/>
                <w:szCs w:val="22"/>
              </w:rPr>
            </w:pPr>
            <w:r>
              <w:rPr>
                <w:rFonts w:ascii="Arial" w:hAnsi="宋体" w:cs="Arial"/>
                <w:bCs/>
                <w:sz w:val="22"/>
                <w:szCs w:val="22"/>
              </w:rPr>
              <w:t>主体工程</w:t>
            </w:r>
          </w:p>
        </w:tc>
        <w:tc>
          <w:tcPr>
            <w:tcW w:w="645" w:type="dxa"/>
            <w:gridSpan w:val="2"/>
            <w:vMerge w:val="restart"/>
            <w:noWrap w:val="0"/>
            <w:vAlign w:val="center"/>
          </w:tcPr>
          <w:p w14:paraId="0036CFEC">
            <w:pPr>
              <w:spacing w:line="300" w:lineRule="exact"/>
              <w:jc w:val="center"/>
              <w:rPr>
                <w:rFonts w:ascii="Arial" w:hAnsi="Arial" w:cs="Arial"/>
                <w:bCs/>
                <w:sz w:val="22"/>
                <w:szCs w:val="22"/>
              </w:rPr>
            </w:pPr>
            <w:r>
              <w:rPr>
                <w:rFonts w:ascii="Arial" w:hAnsi="宋体" w:cs="Arial"/>
                <w:bCs/>
                <w:sz w:val="22"/>
                <w:szCs w:val="22"/>
              </w:rPr>
              <w:t>枢纽工程</w:t>
            </w:r>
          </w:p>
        </w:tc>
        <w:tc>
          <w:tcPr>
            <w:tcW w:w="1247" w:type="dxa"/>
            <w:gridSpan w:val="2"/>
            <w:noWrap w:val="0"/>
            <w:vAlign w:val="center"/>
          </w:tcPr>
          <w:p w14:paraId="37AC9600">
            <w:pPr>
              <w:spacing w:line="300" w:lineRule="exact"/>
              <w:jc w:val="center"/>
              <w:rPr>
                <w:rFonts w:ascii="Arial" w:hAnsi="宋体" w:cs="Arial"/>
                <w:bCs/>
                <w:sz w:val="22"/>
                <w:szCs w:val="22"/>
              </w:rPr>
            </w:pPr>
            <w:r>
              <w:rPr>
                <w:rFonts w:ascii="Arial" w:hAnsi="宋体" w:cs="Arial"/>
                <w:bCs/>
                <w:sz w:val="22"/>
                <w:szCs w:val="22"/>
              </w:rPr>
              <w:t>挡水</w:t>
            </w:r>
          </w:p>
          <w:p w14:paraId="33717282">
            <w:pPr>
              <w:spacing w:line="300" w:lineRule="exact"/>
              <w:jc w:val="center"/>
              <w:rPr>
                <w:rFonts w:ascii="Arial" w:hAnsi="Arial" w:cs="Arial"/>
                <w:bCs/>
                <w:sz w:val="22"/>
                <w:szCs w:val="22"/>
              </w:rPr>
            </w:pPr>
            <w:r>
              <w:rPr>
                <w:rFonts w:ascii="Arial" w:hAnsi="宋体" w:cs="Arial"/>
                <w:bCs/>
                <w:sz w:val="22"/>
                <w:szCs w:val="22"/>
              </w:rPr>
              <w:t>建筑物</w:t>
            </w:r>
          </w:p>
        </w:tc>
        <w:tc>
          <w:tcPr>
            <w:tcW w:w="6979" w:type="dxa"/>
            <w:noWrap w:val="0"/>
            <w:vAlign w:val="center"/>
          </w:tcPr>
          <w:p w14:paraId="397EE73D">
            <w:pPr>
              <w:spacing w:line="300" w:lineRule="exact"/>
              <w:rPr>
                <w:rFonts w:ascii="Arial" w:hAnsi="Arial" w:cs="Arial"/>
                <w:bCs/>
                <w:sz w:val="22"/>
                <w:szCs w:val="22"/>
              </w:rPr>
            </w:pPr>
            <w:r>
              <w:rPr>
                <w:rFonts w:hint="default" w:ascii="Arial" w:hAnsi="宋体" w:cs="Arial"/>
                <w:bCs/>
                <w:sz w:val="22"/>
                <w:szCs w:val="22"/>
              </w:rPr>
              <w:t>挡水建筑物为C20埋石砼重力坝，埋石率20%，坝轴线长112.0m，坝顶宽度8.0m，坝顶高程424.0m，坝顶上下游侧设防撞设施栏杆，高1.2m。坝基基岩采用单排帷幕防渗，帷幕灌浆及防渗墙均伸入相对不透水层（≤5Lu）以下5m。</w:t>
            </w:r>
          </w:p>
        </w:tc>
      </w:tr>
      <w:tr w14:paraId="34EEE3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02B4927C">
            <w:pPr>
              <w:spacing w:line="300" w:lineRule="exact"/>
              <w:jc w:val="center"/>
              <w:rPr>
                <w:rFonts w:ascii="Arial" w:hAnsi="Arial" w:cs="Arial"/>
                <w:bCs/>
                <w:sz w:val="22"/>
                <w:szCs w:val="22"/>
              </w:rPr>
            </w:pPr>
          </w:p>
        </w:tc>
        <w:tc>
          <w:tcPr>
            <w:tcW w:w="645" w:type="dxa"/>
            <w:gridSpan w:val="2"/>
            <w:vMerge w:val="continue"/>
            <w:noWrap w:val="0"/>
            <w:vAlign w:val="center"/>
          </w:tcPr>
          <w:p w14:paraId="5D8A6EDE">
            <w:pPr>
              <w:spacing w:line="300" w:lineRule="exact"/>
              <w:jc w:val="center"/>
              <w:rPr>
                <w:rFonts w:ascii="Arial" w:hAnsi="Arial" w:cs="Arial"/>
                <w:bCs/>
                <w:sz w:val="22"/>
                <w:szCs w:val="22"/>
              </w:rPr>
            </w:pPr>
          </w:p>
        </w:tc>
        <w:tc>
          <w:tcPr>
            <w:tcW w:w="1247" w:type="dxa"/>
            <w:gridSpan w:val="2"/>
            <w:noWrap w:val="0"/>
            <w:vAlign w:val="center"/>
          </w:tcPr>
          <w:p w14:paraId="10F3F921">
            <w:pPr>
              <w:spacing w:line="300" w:lineRule="exact"/>
              <w:jc w:val="center"/>
              <w:rPr>
                <w:rFonts w:ascii="Arial" w:hAnsi="宋体" w:cs="Arial"/>
                <w:bCs/>
                <w:sz w:val="22"/>
                <w:szCs w:val="22"/>
              </w:rPr>
            </w:pPr>
            <w:r>
              <w:rPr>
                <w:rFonts w:ascii="Arial" w:hAnsi="宋体" w:cs="Arial"/>
                <w:bCs/>
                <w:sz w:val="22"/>
                <w:szCs w:val="22"/>
              </w:rPr>
              <w:t>泄水</w:t>
            </w:r>
          </w:p>
          <w:p w14:paraId="0BC3208F">
            <w:pPr>
              <w:spacing w:line="300" w:lineRule="exact"/>
              <w:jc w:val="center"/>
              <w:rPr>
                <w:rFonts w:ascii="Arial" w:hAnsi="Arial" w:cs="Arial"/>
                <w:bCs/>
                <w:sz w:val="22"/>
                <w:szCs w:val="22"/>
              </w:rPr>
            </w:pPr>
            <w:r>
              <w:rPr>
                <w:rFonts w:ascii="Arial" w:hAnsi="宋体" w:cs="Arial"/>
                <w:bCs/>
                <w:sz w:val="22"/>
                <w:szCs w:val="22"/>
              </w:rPr>
              <w:t>建筑物</w:t>
            </w:r>
          </w:p>
        </w:tc>
        <w:tc>
          <w:tcPr>
            <w:tcW w:w="6979" w:type="dxa"/>
            <w:noWrap w:val="0"/>
            <w:vAlign w:val="center"/>
          </w:tcPr>
          <w:p w14:paraId="5637FF57">
            <w:pPr>
              <w:spacing w:line="300" w:lineRule="exact"/>
              <w:rPr>
                <w:rFonts w:ascii="Arial" w:hAnsi="Arial" w:cs="Arial"/>
                <w:bCs/>
                <w:sz w:val="22"/>
                <w:szCs w:val="22"/>
              </w:rPr>
            </w:pPr>
            <w:r>
              <w:rPr>
                <w:rFonts w:ascii="Arial" w:hAnsi="宋体" w:cs="Arial"/>
                <w:bCs/>
                <w:sz w:val="22"/>
                <w:szCs w:val="22"/>
              </w:rPr>
              <w:t>泄水建筑物由溢流堰、消力池组成。</w:t>
            </w:r>
          </w:p>
          <w:p w14:paraId="5B9F3001">
            <w:pPr>
              <w:spacing w:line="300" w:lineRule="exact"/>
              <w:rPr>
                <w:rFonts w:hint="eastAsia" w:ascii="Arial" w:hAnsi="宋体" w:cs="Arial"/>
                <w:kern w:val="0"/>
                <w:sz w:val="22"/>
                <w:szCs w:val="22"/>
                <w:lang w:eastAsia="zh-CN"/>
              </w:rPr>
            </w:pPr>
            <w:r>
              <w:rPr>
                <w:rFonts w:hint="default" w:ascii="Arial" w:hAnsi="宋体" w:cs="Arial"/>
                <w:kern w:val="0"/>
                <w:sz w:val="22"/>
                <w:szCs w:val="22"/>
              </w:rPr>
              <w:t>溢流坝段位于河床中部，溢流坝段长12.0m，堰顶高程420.0m，桥墩顶部高程423.70m，溢流坝段最低建基面高程393.50m，最大坝高30.5m。堰顶采用宽顶堰，溢流净宽9.0m，2孔布置，中墩厚1.0m，中墩及边墩的墩头采用半圆形，墩尾采用矩形。桥墩上设板梁式交通桥，交通桥顶高程与坝顶齐平为424.0m，梁底高程为423.30m。溢流堰堰顶曲线后设置消能阶梯，每阶宽0.4m，高0.5m，阶梯整体坡比为1：0.8，首尾顺接上下游结构，溢流斜坡宽度保持10.0m不变</w:t>
            </w:r>
            <w:r>
              <w:rPr>
                <w:rFonts w:hint="eastAsia" w:ascii="Arial" w:hAnsi="宋体" w:cs="Arial"/>
                <w:kern w:val="0"/>
                <w:sz w:val="22"/>
                <w:szCs w:val="22"/>
                <w:lang w:eastAsia="zh-CN"/>
              </w:rPr>
              <w:t>。</w:t>
            </w:r>
          </w:p>
          <w:p w14:paraId="5E6E08FC">
            <w:pPr>
              <w:spacing w:line="300" w:lineRule="exact"/>
              <w:rPr>
                <w:rFonts w:hint="default" w:ascii="Arial" w:hAnsi="宋体" w:cs="Arial"/>
                <w:kern w:val="0"/>
                <w:sz w:val="22"/>
                <w:szCs w:val="22"/>
              </w:rPr>
            </w:pPr>
            <w:r>
              <w:rPr>
                <w:rFonts w:hint="default" w:ascii="Arial" w:hAnsi="宋体" w:cs="Arial"/>
                <w:kern w:val="0"/>
                <w:sz w:val="22"/>
                <w:szCs w:val="22"/>
              </w:rPr>
              <w:t>消能阶梯</w:t>
            </w:r>
            <w:r>
              <w:rPr>
                <w:rFonts w:hint="eastAsia" w:ascii="Arial" w:hAnsi="宋体" w:cs="Arial"/>
                <w:kern w:val="0"/>
                <w:sz w:val="22"/>
                <w:szCs w:val="22"/>
                <w:lang w:eastAsia="zh-CN"/>
              </w:rPr>
              <w:t>下游接消力池，</w:t>
            </w:r>
            <w:r>
              <w:rPr>
                <w:rFonts w:hint="default" w:ascii="Arial" w:hAnsi="宋体" w:cs="Arial"/>
                <w:kern w:val="0"/>
                <w:sz w:val="22"/>
                <w:szCs w:val="22"/>
              </w:rPr>
              <w:t>消力池池长19.5m，池深2.0m，池宽10.0m；消力池底板厚1.0m，采用C30钢筋砼结构，垂直设置直径d=110mm的PVC排水管，梅花型布置，排间距2m，伸入基岩内3m；消力池边墙高5.5m，埋深1.5m，墙身高4.0m，采用C25埋石砼衡重式挡墙，墙顶宽0.7m，墙底宽1.94m，在最大墙高1/2处设置0.7m宽平台，边墙临水侧坡比为1：0.1，背水坡坡比为1：0.3，墙身预埋φ50PVC排水管，间距2.0m，呈梅花形布置，孔后布置0.5m×0.5m土工布，土工布后设置0.4m×0.4m×0.4m反滤堆囊。</w:t>
            </w:r>
          </w:p>
          <w:p w14:paraId="1F30E4FB">
            <w:pPr>
              <w:spacing w:line="300" w:lineRule="exact"/>
              <w:rPr>
                <w:rFonts w:hint="eastAsia" w:ascii="Arial" w:hAnsi="宋体" w:cs="Arial"/>
                <w:kern w:val="0"/>
                <w:sz w:val="22"/>
                <w:szCs w:val="22"/>
                <w:lang w:eastAsia="zh-CN"/>
              </w:rPr>
            </w:pPr>
            <w:r>
              <w:rPr>
                <w:rFonts w:hint="default" w:ascii="Arial" w:hAnsi="宋体" w:cs="Arial"/>
                <w:kern w:val="0"/>
                <w:sz w:val="22"/>
                <w:szCs w:val="22"/>
              </w:rPr>
              <w:t>尾水渠长64.74m，其中桩号坝纵0+047.84~坝纵0+057.84，宽度由10.0m收缩至7.0m，桩号坝纵0+057.84~坝纵0+112.58，宽度为7</w:t>
            </w:r>
            <w:r>
              <w:rPr>
                <w:rFonts w:hint="eastAsia" w:ascii="Arial" w:hAnsi="宋体" w:cs="Arial"/>
                <w:kern w:val="0"/>
                <w:sz w:val="22"/>
                <w:szCs w:val="22"/>
                <w:lang w:val="en-US" w:eastAsia="zh-CN"/>
              </w:rPr>
              <w:t>.0</w:t>
            </w:r>
            <w:r>
              <w:rPr>
                <w:rFonts w:hint="default" w:ascii="Arial" w:hAnsi="宋体" w:cs="Arial"/>
                <w:kern w:val="0"/>
                <w:sz w:val="22"/>
                <w:szCs w:val="22"/>
              </w:rPr>
              <w:t>m，采用浆砌块石铺砌，厚0.5m，边墙高2</w:t>
            </w:r>
            <w:r>
              <w:rPr>
                <w:rFonts w:hint="eastAsia" w:ascii="Arial" w:hAnsi="宋体" w:cs="Arial"/>
                <w:kern w:val="0"/>
                <w:sz w:val="22"/>
                <w:szCs w:val="22"/>
                <w:lang w:val="en-US" w:eastAsia="zh-CN"/>
              </w:rPr>
              <w:t>.0</w:t>
            </w:r>
            <w:r>
              <w:rPr>
                <w:rFonts w:hint="default" w:ascii="Arial" w:hAnsi="宋体" w:cs="Arial"/>
                <w:kern w:val="0"/>
                <w:sz w:val="22"/>
                <w:szCs w:val="22"/>
              </w:rPr>
              <w:t>m，采用C25埋石砼重力式挡墙，墙顶宽0.6m，底宽1.1m，边墙临水侧直立，背水坡坡比为1：0.3，墙身预埋φ50PVC排水管，间距2.0m，呈梅花形布置，孔后布置0.5m×0.5m土工布，土工布后设置0.4m×0.4m×0.4m反滤堆囊。桩号坝纵0+057.84处布置人行桥1座，桥面尺寸（L×b×h）8.0×2.0×0.3m，C30钢筋砼板式结构。</w:t>
            </w:r>
          </w:p>
          <w:p w14:paraId="295E118B">
            <w:pPr>
              <w:spacing w:line="300" w:lineRule="exact"/>
              <w:rPr>
                <w:rFonts w:ascii="Arial" w:hAnsi="Arial" w:cs="Arial"/>
                <w:bCs/>
                <w:sz w:val="22"/>
                <w:szCs w:val="22"/>
              </w:rPr>
            </w:pPr>
            <w:r>
              <w:rPr>
                <w:rFonts w:hint="default" w:ascii="Arial" w:hAnsi="宋体" w:cs="Arial"/>
                <w:kern w:val="0"/>
                <w:sz w:val="22"/>
                <w:szCs w:val="22"/>
              </w:rPr>
              <w:t>非溢流坝段布置于左、右两岸。左岸非溢流坝段长54.0m，坝顶宽8.0m。坝顶高程424.0m，上游坝面410.5m高程以上铅直，以下1：0.3，下游坝坡418.12m高程以上铅直，以下1：0.8。右岸非溢流坝段长46.0m，坝顶宽8.0m，坝体基本剖面与左岸非溢流坝相同。</w:t>
            </w:r>
          </w:p>
        </w:tc>
      </w:tr>
      <w:tr w14:paraId="7ECE97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07D1DB33">
            <w:pPr>
              <w:spacing w:line="300" w:lineRule="exact"/>
              <w:jc w:val="center"/>
              <w:rPr>
                <w:rFonts w:ascii="Arial" w:hAnsi="Arial" w:cs="Arial"/>
                <w:bCs/>
                <w:sz w:val="22"/>
                <w:szCs w:val="22"/>
              </w:rPr>
            </w:pPr>
          </w:p>
        </w:tc>
        <w:tc>
          <w:tcPr>
            <w:tcW w:w="645" w:type="dxa"/>
            <w:gridSpan w:val="2"/>
            <w:vMerge w:val="continue"/>
            <w:noWrap w:val="0"/>
            <w:vAlign w:val="center"/>
          </w:tcPr>
          <w:p w14:paraId="56A2D5D0">
            <w:pPr>
              <w:spacing w:line="300" w:lineRule="exact"/>
              <w:jc w:val="center"/>
              <w:rPr>
                <w:rFonts w:ascii="Arial" w:hAnsi="Arial" w:cs="Arial"/>
                <w:bCs/>
                <w:sz w:val="22"/>
                <w:szCs w:val="22"/>
              </w:rPr>
            </w:pPr>
          </w:p>
        </w:tc>
        <w:tc>
          <w:tcPr>
            <w:tcW w:w="1247" w:type="dxa"/>
            <w:gridSpan w:val="2"/>
            <w:noWrap w:val="0"/>
            <w:vAlign w:val="center"/>
          </w:tcPr>
          <w:p w14:paraId="3AC2EFF9">
            <w:pPr>
              <w:spacing w:line="300" w:lineRule="exact"/>
              <w:jc w:val="center"/>
              <w:rPr>
                <w:rFonts w:hint="eastAsia" w:ascii="Arial" w:hAnsi="宋体" w:cs="Arial"/>
                <w:bCs/>
                <w:sz w:val="22"/>
                <w:szCs w:val="22"/>
                <w:lang w:eastAsia="zh-CN"/>
              </w:rPr>
            </w:pPr>
            <w:r>
              <w:rPr>
                <w:rFonts w:hint="eastAsia" w:ascii="Arial" w:hAnsi="宋体" w:cs="Arial"/>
                <w:bCs/>
                <w:sz w:val="22"/>
                <w:szCs w:val="22"/>
                <w:lang w:eastAsia="zh-CN"/>
              </w:rPr>
              <w:t>放空</w:t>
            </w:r>
          </w:p>
          <w:p w14:paraId="542882DE">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建筑物</w:t>
            </w:r>
          </w:p>
        </w:tc>
        <w:tc>
          <w:tcPr>
            <w:tcW w:w="6979" w:type="dxa"/>
            <w:noWrap w:val="0"/>
            <w:vAlign w:val="center"/>
          </w:tcPr>
          <w:p w14:paraId="53C98C6D">
            <w:pPr>
              <w:spacing w:line="300" w:lineRule="exact"/>
              <w:rPr>
                <w:rFonts w:hint="eastAsia" w:ascii="Arial" w:hAnsi="宋体" w:cs="Arial"/>
                <w:sz w:val="22"/>
                <w:szCs w:val="22"/>
                <w:lang w:eastAsia="zh-CN"/>
              </w:rPr>
            </w:pPr>
            <w:r>
              <w:rPr>
                <w:rFonts w:hint="default" w:ascii="Arial" w:hAnsi="宋体" w:cs="Arial"/>
                <w:sz w:val="22"/>
                <w:szCs w:val="22"/>
              </w:rPr>
              <w:t>水库放空管采用永临结合的方式，利用导流管穿大坝段，采用内径D1000×8mm钢管，利用管道长89m，设控制阀1个，检修阀1个</w:t>
            </w:r>
            <w:r>
              <w:rPr>
                <w:rFonts w:hint="eastAsia" w:ascii="Arial" w:hAnsi="宋体" w:cs="Arial"/>
                <w:sz w:val="22"/>
                <w:szCs w:val="22"/>
                <w:lang w:eastAsia="zh-CN"/>
              </w:rPr>
              <w:t>。</w:t>
            </w:r>
          </w:p>
        </w:tc>
      </w:tr>
      <w:tr w14:paraId="26F544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328FBFA4">
            <w:pPr>
              <w:spacing w:line="300" w:lineRule="exact"/>
              <w:jc w:val="center"/>
              <w:rPr>
                <w:rFonts w:ascii="Arial" w:hAnsi="Arial" w:cs="Arial"/>
                <w:bCs/>
                <w:sz w:val="22"/>
                <w:szCs w:val="22"/>
              </w:rPr>
            </w:pPr>
          </w:p>
        </w:tc>
        <w:tc>
          <w:tcPr>
            <w:tcW w:w="645" w:type="dxa"/>
            <w:gridSpan w:val="2"/>
            <w:vMerge w:val="continue"/>
            <w:noWrap w:val="0"/>
            <w:vAlign w:val="center"/>
          </w:tcPr>
          <w:p w14:paraId="57E2AA9E">
            <w:pPr>
              <w:spacing w:line="300" w:lineRule="exact"/>
              <w:jc w:val="center"/>
              <w:rPr>
                <w:rFonts w:ascii="Arial" w:hAnsi="Arial" w:cs="Arial"/>
                <w:bCs/>
                <w:sz w:val="22"/>
                <w:szCs w:val="22"/>
              </w:rPr>
            </w:pPr>
          </w:p>
        </w:tc>
        <w:tc>
          <w:tcPr>
            <w:tcW w:w="1247" w:type="dxa"/>
            <w:gridSpan w:val="2"/>
            <w:noWrap w:val="0"/>
            <w:vAlign w:val="center"/>
          </w:tcPr>
          <w:p w14:paraId="10646509">
            <w:pPr>
              <w:spacing w:line="300" w:lineRule="exact"/>
              <w:jc w:val="center"/>
              <w:rPr>
                <w:rFonts w:hint="eastAsia" w:ascii="Arial" w:hAnsi="Arial" w:eastAsia="宋体" w:cs="Arial"/>
                <w:bCs/>
                <w:color w:val="auto"/>
                <w:sz w:val="22"/>
                <w:szCs w:val="22"/>
                <w:lang w:eastAsia="zh-CN"/>
              </w:rPr>
            </w:pPr>
            <w:r>
              <w:rPr>
                <w:rFonts w:ascii="Arial" w:hAnsi="宋体" w:cs="Arial"/>
                <w:bCs/>
                <w:color w:val="auto"/>
                <w:sz w:val="22"/>
                <w:szCs w:val="22"/>
              </w:rPr>
              <w:t>取水</w:t>
            </w:r>
            <w:r>
              <w:rPr>
                <w:rFonts w:hint="eastAsia" w:ascii="Arial" w:hAnsi="宋体" w:cs="Arial"/>
                <w:bCs/>
                <w:color w:val="auto"/>
                <w:sz w:val="22"/>
                <w:szCs w:val="22"/>
                <w:lang w:eastAsia="zh-CN"/>
              </w:rPr>
              <w:t>设施</w:t>
            </w:r>
          </w:p>
        </w:tc>
        <w:tc>
          <w:tcPr>
            <w:tcW w:w="6979" w:type="dxa"/>
            <w:noWrap w:val="0"/>
            <w:vAlign w:val="center"/>
          </w:tcPr>
          <w:p w14:paraId="0AECD23B">
            <w:pPr>
              <w:spacing w:line="300" w:lineRule="exact"/>
              <w:rPr>
                <w:rFonts w:ascii="Arial" w:hAnsi="宋体" w:cs="Arial"/>
                <w:sz w:val="22"/>
                <w:szCs w:val="22"/>
              </w:rPr>
            </w:pPr>
            <w:r>
              <w:rPr>
                <w:rFonts w:hint="default" w:ascii="Arial" w:hAnsi="宋体" w:cs="Arial"/>
                <w:sz w:val="22"/>
                <w:szCs w:val="22"/>
              </w:rPr>
              <w:t>本工程放水设施（兼做放生态流量功能）采用管道穿坝输水的型式。共设</w:t>
            </w:r>
            <w:r>
              <w:rPr>
                <w:rFonts w:hint="eastAsia" w:ascii="Arial" w:hAnsi="宋体" w:cs="Arial"/>
                <w:sz w:val="22"/>
                <w:szCs w:val="22"/>
              </w:rPr>
              <w:t>五</w:t>
            </w:r>
            <w:r>
              <w:rPr>
                <w:rFonts w:hint="default" w:ascii="Arial" w:hAnsi="宋体" w:cs="Arial"/>
                <w:sz w:val="22"/>
                <w:szCs w:val="22"/>
              </w:rPr>
              <w:t>层取水口，从上至下依次为1~5#取水口，1#、2#、3#</w:t>
            </w:r>
            <w:r>
              <w:rPr>
                <w:rFonts w:hint="eastAsia" w:ascii="Arial" w:hAnsi="宋体" w:cs="Arial"/>
                <w:sz w:val="22"/>
                <w:szCs w:val="22"/>
              </w:rPr>
              <w:t>、4</w:t>
            </w:r>
            <w:r>
              <w:rPr>
                <w:rFonts w:hint="default" w:ascii="Arial" w:hAnsi="宋体" w:cs="Arial"/>
                <w:sz w:val="22"/>
                <w:szCs w:val="22"/>
              </w:rPr>
              <w:t>#取水管采用D400×8mm钢管取水，最下层取水口利用导流管，内径D1000×8mm钢管取水，取水口高程（管顶高程）为418.0m、415.0m、412.0m</w:t>
            </w:r>
            <w:r>
              <w:rPr>
                <w:rFonts w:hint="eastAsia" w:ascii="Arial" w:hAnsi="宋体" w:cs="Arial"/>
                <w:sz w:val="22"/>
                <w:szCs w:val="22"/>
              </w:rPr>
              <w:t>、</w:t>
            </w:r>
            <w:r>
              <w:rPr>
                <w:rFonts w:hint="default" w:ascii="Arial" w:hAnsi="宋体" w:cs="Arial"/>
                <w:sz w:val="22"/>
                <w:szCs w:val="22"/>
              </w:rPr>
              <w:t>409.0m</w:t>
            </w:r>
            <w:r>
              <w:rPr>
                <w:rFonts w:hint="eastAsia" w:ascii="Arial" w:hAnsi="宋体" w:cs="Arial"/>
                <w:sz w:val="22"/>
                <w:szCs w:val="22"/>
              </w:rPr>
              <w:t>、</w:t>
            </w:r>
            <w:r>
              <w:rPr>
                <w:rFonts w:hint="default" w:ascii="Arial" w:hAnsi="宋体" w:cs="Arial"/>
                <w:sz w:val="22"/>
                <w:szCs w:val="22"/>
              </w:rPr>
              <w:t>405.5m，管道中心线分别位于桩号坝横0+036.0、坝横0+040.0、坝横0+044.0、坝横0+048.5、坝横0+052.28，出口中心线高程分别为415.0m、412.0m、409.0m、406.0m、400.94m。每根取水管进口处设置</w:t>
            </w:r>
            <w:r>
              <w:rPr>
                <w:rFonts w:hint="eastAsia" w:ascii="Arial" w:hAnsi="宋体" w:cs="Arial"/>
                <w:sz w:val="22"/>
                <w:szCs w:val="22"/>
              </w:rPr>
              <w:t>两道钢板</w:t>
            </w:r>
            <w:r>
              <w:rPr>
                <w:rFonts w:hint="default" w:ascii="Arial" w:hAnsi="宋体" w:cs="Arial"/>
                <w:sz w:val="22"/>
                <w:szCs w:val="22"/>
              </w:rPr>
              <w:t>截流环，上</w:t>
            </w:r>
            <w:r>
              <w:rPr>
                <w:rFonts w:hint="eastAsia" w:ascii="Arial" w:hAnsi="宋体" w:cs="Arial"/>
                <w:sz w:val="22"/>
                <w:szCs w:val="22"/>
              </w:rPr>
              <w:t>四</w:t>
            </w:r>
            <w:r>
              <w:rPr>
                <w:rFonts w:hint="default" w:ascii="Arial" w:hAnsi="宋体" w:cs="Arial"/>
                <w:sz w:val="22"/>
                <w:szCs w:val="22"/>
              </w:rPr>
              <w:t>层截流环为直径2.60m的圆环，最下层截流环为直径3.0m的圆环，包裹取水管道，厚10mm。坝内取水管分别设置控制阀和电磁流量，位于下游坝坡穿出处。</w:t>
            </w:r>
            <w:r>
              <w:rPr>
                <w:rFonts w:hint="eastAsia" w:ascii="Arial" w:hAnsi="宋体" w:cs="Arial"/>
                <w:sz w:val="22"/>
                <w:szCs w:val="22"/>
              </w:rPr>
              <w:t>五</w:t>
            </w:r>
            <w:r>
              <w:rPr>
                <w:rFonts w:hint="default" w:ascii="Arial" w:hAnsi="宋体" w:cs="Arial"/>
                <w:sz w:val="22"/>
                <w:szCs w:val="22"/>
              </w:rPr>
              <w:t>层取水管（1#、2#、3#、4#</w:t>
            </w:r>
            <w:r>
              <w:rPr>
                <w:rFonts w:hint="eastAsia" w:ascii="Arial" w:hAnsi="宋体" w:cs="Arial"/>
                <w:sz w:val="22"/>
                <w:szCs w:val="22"/>
              </w:rPr>
              <w:t>、5</w:t>
            </w:r>
            <w:r>
              <w:rPr>
                <w:rFonts w:hint="default" w:ascii="Arial" w:hAnsi="宋体" w:cs="Arial"/>
                <w:sz w:val="22"/>
                <w:szCs w:val="22"/>
              </w:rPr>
              <w:t>#取水管）位于坝体内共长110</w:t>
            </w:r>
            <w:r>
              <w:rPr>
                <w:rFonts w:hint="eastAsia" w:ascii="Arial" w:hAnsi="宋体" w:cs="Arial"/>
                <w:sz w:val="22"/>
                <w:szCs w:val="22"/>
                <w:lang w:val="en-US" w:eastAsia="zh-CN"/>
              </w:rPr>
              <w:t>.0</w:t>
            </w:r>
            <w:r>
              <w:rPr>
                <w:rFonts w:hint="default" w:ascii="Arial" w:hAnsi="宋体" w:cs="Arial"/>
                <w:sz w:val="22"/>
                <w:szCs w:val="22"/>
              </w:rPr>
              <w:t>m，</w:t>
            </w:r>
            <w:r>
              <w:rPr>
                <w:rFonts w:hint="eastAsia" w:ascii="Arial" w:hAnsi="宋体" w:cs="Arial"/>
                <w:sz w:val="22"/>
                <w:szCs w:val="22"/>
              </w:rPr>
              <w:t>五</w:t>
            </w:r>
            <w:r>
              <w:rPr>
                <w:rFonts w:hint="default" w:ascii="Arial" w:hAnsi="宋体" w:cs="Arial"/>
                <w:sz w:val="22"/>
                <w:szCs w:val="22"/>
              </w:rPr>
              <w:t>层取水管从坝体下游坝坡穿出后汇合成一根引水管，引水管沿大坝下游坝坡左侧坝脚布置，汇合后管长62m，采用内径D1000×8mm钢管，取水管、引水管全管段采用C20砼外包，砼外包厚0.2m。</w:t>
            </w:r>
          </w:p>
        </w:tc>
      </w:tr>
      <w:tr w14:paraId="6EC132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656" w:type="dxa"/>
            <w:vMerge w:val="continue"/>
            <w:noWrap w:val="0"/>
            <w:vAlign w:val="center"/>
          </w:tcPr>
          <w:p w14:paraId="2155D0A6">
            <w:pPr>
              <w:spacing w:line="300" w:lineRule="exact"/>
              <w:jc w:val="center"/>
              <w:rPr>
                <w:rFonts w:ascii="Arial" w:hAnsi="Arial" w:cs="Arial"/>
                <w:bCs/>
                <w:sz w:val="22"/>
                <w:szCs w:val="22"/>
              </w:rPr>
            </w:pPr>
          </w:p>
        </w:tc>
        <w:tc>
          <w:tcPr>
            <w:tcW w:w="645" w:type="dxa"/>
            <w:gridSpan w:val="2"/>
            <w:vMerge w:val="continue"/>
            <w:noWrap w:val="0"/>
            <w:vAlign w:val="center"/>
          </w:tcPr>
          <w:p w14:paraId="756573B7">
            <w:pPr>
              <w:spacing w:line="300" w:lineRule="exact"/>
              <w:jc w:val="center"/>
              <w:rPr>
                <w:rFonts w:ascii="Arial" w:hAnsi="Arial" w:cs="Arial"/>
                <w:bCs/>
                <w:sz w:val="22"/>
                <w:szCs w:val="22"/>
              </w:rPr>
            </w:pPr>
          </w:p>
        </w:tc>
        <w:tc>
          <w:tcPr>
            <w:tcW w:w="1247" w:type="dxa"/>
            <w:gridSpan w:val="2"/>
            <w:noWrap w:val="0"/>
            <w:vAlign w:val="center"/>
          </w:tcPr>
          <w:p w14:paraId="72136955">
            <w:pPr>
              <w:spacing w:line="300" w:lineRule="exact"/>
              <w:jc w:val="center"/>
              <w:rPr>
                <w:rFonts w:hint="eastAsia" w:ascii="Arial" w:hAnsi="宋体" w:eastAsia="宋体" w:cs="Arial"/>
                <w:bCs/>
                <w:color w:val="auto"/>
                <w:sz w:val="22"/>
                <w:szCs w:val="22"/>
                <w:lang w:eastAsia="zh-CN"/>
              </w:rPr>
            </w:pPr>
            <w:r>
              <w:rPr>
                <w:rFonts w:hint="eastAsia" w:ascii="Arial" w:hAnsi="宋体" w:cs="Arial"/>
                <w:bCs/>
                <w:color w:val="auto"/>
                <w:sz w:val="22"/>
                <w:szCs w:val="22"/>
              </w:rPr>
              <w:t>生态放水</w:t>
            </w:r>
            <w:r>
              <w:rPr>
                <w:rFonts w:hint="eastAsia" w:ascii="Arial" w:hAnsi="宋体" w:cs="Arial"/>
                <w:bCs/>
                <w:color w:val="auto"/>
                <w:sz w:val="22"/>
                <w:szCs w:val="22"/>
                <w:lang w:eastAsia="zh-CN"/>
              </w:rPr>
              <w:t>设施</w:t>
            </w:r>
          </w:p>
        </w:tc>
        <w:tc>
          <w:tcPr>
            <w:tcW w:w="6979" w:type="dxa"/>
            <w:noWrap w:val="0"/>
            <w:vAlign w:val="center"/>
          </w:tcPr>
          <w:p w14:paraId="24E3E124">
            <w:pPr>
              <w:spacing w:line="300" w:lineRule="exact"/>
              <w:rPr>
                <w:rFonts w:hint="eastAsia" w:ascii="Arial" w:hAnsi="宋体" w:cs="Arial"/>
                <w:sz w:val="22"/>
                <w:szCs w:val="22"/>
              </w:rPr>
            </w:pPr>
            <w:r>
              <w:rPr>
                <w:rFonts w:hint="default" w:ascii="Arial" w:hAnsi="宋体" w:cs="Arial"/>
                <w:sz w:val="22"/>
                <w:szCs w:val="22"/>
              </w:rPr>
              <w:t>水库生态放水采用内径D100×8mm钢管，管道长15.0m，从取水闸阀房中控制分水，沿消力池左边墙外侧埋地铺设，出口置于护坦上放水。</w:t>
            </w:r>
          </w:p>
        </w:tc>
      </w:tr>
      <w:tr w14:paraId="3664D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shd w:val="clear" w:color="auto" w:fill="auto"/>
            <w:noWrap w:val="0"/>
            <w:vAlign w:val="center"/>
          </w:tcPr>
          <w:p w14:paraId="62A3DCFB">
            <w:pPr>
              <w:spacing w:line="300" w:lineRule="exact"/>
              <w:jc w:val="center"/>
              <w:rPr>
                <w:rFonts w:ascii="Arial" w:hAnsi="Arial" w:cs="Arial"/>
                <w:bCs/>
                <w:sz w:val="22"/>
                <w:szCs w:val="22"/>
              </w:rPr>
            </w:pPr>
          </w:p>
        </w:tc>
        <w:tc>
          <w:tcPr>
            <w:tcW w:w="645" w:type="dxa"/>
            <w:gridSpan w:val="2"/>
            <w:vMerge w:val="restart"/>
            <w:shd w:val="clear" w:color="auto" w:fill="auto"/>
            <w:noWrap w:val="0"/>
            <w:vAlign w:val="center"/>
          </w:tcPr>
          <w:p w14:paraId="05E7D4C7">
            <w:pPr>
              <w:spacing w:line="300" w:lineRule="exact"/>
              <w:jc w:val="center"/>
              <w:rPr>
                <w:rFonts w:ascii="Arial" w:hAnsi="Arial" w:cs="Arial"/>
                <w:bCs/>
                <w:sz w:val="22"/>
                <w:szCs w:val="22"/>
              </w:rPr>
            </w:pPr>
            <w:r>
              <w:rPr>
                <w:rFonts w:ascii="Arial" w:hAnsi="宋体" w:cs="Arial"/>
                <w:bCs/>
                <w:sz w:val="22"/>
                <w:szCs w:val="22"/>
              </w:rPr>
              <w:t>输水工程</w:t>
            </w:r>
          </w:p>
        </w:tc>
        <w:tc>
          <w:tcPr>
            <w:tcW w:w="513" w:type="dxa"/>
            <w:vMerge w:val="restart"/>
            <w:shd w:val="clear" w:color="auto" w:fill="auto"/>
            <w:noWrap w:val="0"/>
            <w:vAlign w:val="center"/>
          </w:tcPr>
          <w:p w14:paraId="6234811B">
            <w:pPr>
              <w:spacing w:line="300" w:lineRule="exact"/>
              <w:jc w:val="center"/>
              <w:rPr>
                <w:rFonts w:hint="eastAsia" w:ascii="Arial" w:hAnsi="Arial" w:eastAsia="宋体" w:cs="Arial"/>
                <w:bCs/>
                <w:sz w:val="22"/>
                <w:szCs w:val="22"/>
                <w:lang w:eastAsia="zh-CN"/>
              </w:rPr>
            </w:pPr>
            <w:r>
              <w:rPr>
                <w:rFonts w:hint="eastAsia" w:ascii="Arial" w:hAnsi="Arial" w:cs="Arial"/>
                <w:bCs/>
                <w:sz w:val="22"/>
                <w:szCs w:val="22"/>
                <w:lang w:eastAsia="zh-CN"/>
              </w:rPr>
              <w:t>双龙干管</w:t>
            </w:r>
          </w:p>
        </w:tc>
        <w:tc>
          <w:tcPr>
            <w:tcW w:w="734" w:type="dxa"/>
            <w:shd w:val="clear" w:color="auto" w:fill="auto"/>
            <w:noWrap w:val="0"/>
            <w:vAlign w:val="center"/>
          </w:tcPr>
          <w:p w14:paraId="67C29AF0">
            <w:pPr>
              <w:spacing w:line="300" w:lineRule="exact"/>
              <w:jc w:val="center"/>
              <w:rPr>
                <w:rFonts w:hint="eastAsia" w:ascii="Arial" w:hAnsi="Arial" w:cs="Arial"/>
                <w:bCs/>
                <w:sz w:val="22"/>
                <w:szCs w:val="22"/>
              </w:rPr>
            </w:pPr>
            <w:r>
              <w:rPr>
                <w:rFonts w:hint="eastAsia" w:ascii="Arial" w:hAnsi="Arial" w:cs="Arial"/>
                <w:bCs/>
                <w:sz w:val="22"/>
                <w:szCs w:val="22"/>
              </w:rPr>
              <w:t>管线</w:t>
            </w:r>
          </w:p>
        </w:tc>
        <w:tc>
          <w:tcPr>
            <w:tcW w:w="6979" w:type="dxa"/>
            <w:noWrap w:val="0"/>
            <w:vAlign w:val="center"/>
          </w:tcPr>
          <w:p w14:paraId="7A6F1ED0">
            <w:pPr>
              <w:spacing w:line="300" w:lineRule="exact"/>
              <w:jc w:val="both"/>
              <w:rPr>
                <w:rFonts w:hint="eastAsia" w:ascii="Arial" w:hAnsi="宋体" w:cs="Arial"/>
                <w:bCs/>
                <w:spacing w:val="-4"/>
                <w:sz w:val="22"/>
                <w:szCs w:val="22"/>
              </w:rPr>
            </w:pPr>
            <w:r>
              <w:rPr>
                <w:rFonts w:hint="eastAsia" w:ascii="Arial" w:hAnsi="宋体" w:cs="Arial"/>
                <w:bCs/>
                <w:spacing w:val="-4"/>
                <w:sz w:val="22"/>
                <w:szCs w:val="22"/>
              </w:rPr>
              <w:t>双龙干管设计线路为：海螺沟水库坝体取水管→双龙干管→双龙水厂。长5270.51m，</w:t>
            </w:r>
            <w:r>
              <w:rPr>
                <w:rFonts w:hint="eastAsia" w:ascii="Arial" w:hAnsi="宋体" w:cs="Arial"/>
                <w:bCs/>
                <w:spacing w:val="-4"/>
                <w:sz w:val="22"/>
                <w:szCs w:val="22"/>
                <w:lang w:eastAsia="zh-CN"/>
              </w:rPr>
              <w:t>桩号为</w:t>
            </w:r>
            <w:r>
              <w:rPr>
                <w:rFonts w:hint="eastAsia" w:ascii="Arial" w:hAnsi="宋体" w:cs="Arial"/>
                <w:bCs/>
                <w:spacing w:val="-4"/>
                <w:sz w:val="22"/>
                <w:szCs w:val="22"/>
                <w:lang w:val="en-US" w:eastAsia="zh-CN"/>
              </w:rPr>
              <w:t>K0+000~K5+270，</w:t>
            </w:r>
            <w:r>
              <w:rPr>
                <w:rFonts w:hint="eastAsia" w:ascii="Arial" w:hAnsi="宋体" w:cs="Arial"/>
                <w:bCs/>
                <w:spacing w:val="-4"/>
                <w:sz w:val="22"/>
                <w:szCs w:val="22"/>
              </w:rPr>
              <w:t>管首设计流量0.1074m</w:t>
            </w:r>
            <w:r>
              <w:rPr>
                <w:rFonts w:hint="eastAsia" w:ascii="Arial" w:hAnsi="宋体" w:cs="Arial"/>
                <w:bCs/>
                <w:spacing w:val="-4"/>
                <w:sz w:val="22"/>
                <w:szCs w:val="22"/>
                <w:vertAlign w:val="superscript"/>
                <w:lang w:val="en-US" w:eastAsia="zh-CN"/>
              </w:rPr>
              <w:t>3</w:t>
            </w:r>
            <w:r>
              <w:rPr>
                <w:rFonts w:hint="eastAsia" w:ascii="Arial" w:hAnsi="宋体" w:cs="Arial"/>
                <w:bCs/>
                <w:spacing w:val="-4"/>
                <w:sz w:val="22"/>
                <w:szCs w:val="22"/>
              </w:rPr>
              <w:t>/s，由输水管道组成，采用地埋式，埋深不小于0.7m。</w:t>
            </w:r>
          </w:p>
          <w:p w14:paraId="37E1BBBF">
            <w:pPr>
              <w:spacing w:line="300" w:lineRule="exact"/>
              <w:jc w:val="both"/>
              <w:rPr>
                <w:rFonts w:hint="eastAsia" w:ascii="Arial" w:hAnsi="宋体" w:cs="Arial"/>
                <w:bCs/>
                <w:spacing w:val="-4"/>
                <w:sz w:val="22"/>
                <w:szCs w:val="22"/>
              </w:rPr>
            </w:pPr>
            <w:r>
              <w:rPr>
                <w:rFonts w:hint="eastAsia" w:ascii="Arial" w:hAnsi="宋体" w:cs="Arial"/>
                <w:bCs/>
                <w:spacing w:val="-4"/>
                <w:sz w:val="22"/>
                <w:szCs w:val="22"/>
              </w:rPr>
              <w:t>管首配套流量计（</w:t>
            </w:r>
            <w:r>
              <w:rPr>
                <w:rFonts w:hint="eastAsia" w:ascii="Arial" w:hAnsi="宋体" w:cs="Arial"/>
                <w:bCs/>
                <w:spacing w:val="-4"/>
                <w:sz w:val="22"/>
                <w:szCs w:val="22"/>
                <w:lang w:val="en-US" w:eastAsia="zh-CN"/>
              </w:rPr>
              <w:t>DN</w:t>
            </w:r>
            <w:r>
              <w:rPr>
                <w:rFonts w:hint="eastAsia" w:ascii="Arial" w:hAnsi="宋体" w:cs="Arial"/>
                <w:bCs/>
                <w:spacing w:val="-4"/>
                <w:sz w:val="22"/>
                <w:szCs w:val="22"/>
              </w:rPr>
              <w:t>400）1个，控制阀（</w:t>
            </w:r>
            <w:r>
              <w:rPr>
                <w:rFonts w:hint="eastAsia" w:ascii="Arial" w:hAnsi="宋体" w:cs="Arial"/>
                <w:bCs/>
                <w:spacing w:val="-4"/>
                <w:sz w:val="22"/>
                <w:szCs w:val="22"/>
                <w:lang w:val="en-US" w:eastAsia="zh-CN"/>
              </w:rPr>
              <w:t>DN</w:t>
            </w:r>
            <w:r>
              <w:rPr>
                <w:rFonts w:hint="eastAsia" w:ascii="Arial" w:hAnsi="宋体" w:cs="Arial"/>
                <w:bCs/>
                <w:spacing w:val="-4"/>
                <w:sz w:val="22"/>
                <w:szCs w:val="22"/>
              </w:rPr>
              <w:t>400，2.0Mpa）1套和（</w:t>
            </w:r>
            <w:r>
              <w:rPr>
                <w:rFonts w:hint="eastAsia" w:ascii="Arial" w:hAnsi="宋体" w:cs="Arial"/>
                <w:bCs/>
                <w:spacing w:val="-4"/>
                <w:sz w:val="22"/>
                <w:szCs w:val="22"/>
                <w:lang w:val="en-US" w:eastAsia="zh-CN"/>
              </w:rPr>
              <w:t>DN</w:t>
            </w:r>
            <w:r>
              <w:rPr>
                <w:rFonts w:hint="eastAsia" w:ascii="Arial" w:hAnsi="宋体" w:cs="Arial"/>
                <w:bCs/>
                <w:spacing w:val="-4"/>
                <w:sz w:val="22"/>
                <w:szCs w:val="22"/>
              </w:rPr>
              <w:t>100，2.0Mpa）1套，分水阀（</w:t>
            </w:r>
            <w:r>
              <w:rPr>
                <w:rFonts w:hint="eastAsia" w:ascii="Arial" w:hAnsi="宋体" w:cs="Arial"/>
                <w:bCs/>
                <w:spacing w:val="-4"/>
                <w:sz w:val="22"/>
                <w:szCs w:val="22"/>
                <w:lang w:val="en-US" w:eastAsia="zh-CN"/>
              </w:rPr>
              <w:t>DN</w:t>
            </w:r>
            <w:r>
              <w:rPr>
                <w:rFonts w:hint="eastAsia" w:ascii="Arial" w:hAnsi="宋体" w:cs="Arial"/>
                <w:bCs/>
                <w:spacing w:val="-4"/>
                <w:sz w:val="22"/>
                <w:szCs w:val="22"/>
              </w:rPr>
              <w:t>300，2.0Mpa）4套，检修阀（</w:t>
            </w:r>
            <w:r>
              <w:rPr>
                <w:rFonts w:hint="eastAsia" w:ascii="Arial" w:hAnsi="宋体" w:cs="Arial"/>
                <w:bCs/>
                <w:spacing w:val="-4"/>
                <w:sz w:val="22"/>
                <w:szCs w:val="22"/>
                <w:lang w:val="en-US" w:eastAsia="zh-CN"/>
              </w:rPr>
              <w:t>DN</w:t>
            </w:r>
            <w:r>
              <w:rPr>
                <w:rFonts w:hint="eastAsia" w:ascii="Arial" w:hAnsi="宋体" w:cs="Arial"/>
                <w:bCs/>
                <w:spacing w:val="-4"/>
                <w:sz w:val="22"/>
                <w:szCs w:val="22"/>
              </w:rPr>
              <w:t>300，2.0Mpa）3套和（</w:t>
            </w:r>
            <w:r>
              <w:rPr>
                <w:rFonts w:hint="eastAsia" w:ascii="Arial" w:hAnsi="宋体" w:cs="Arial"/>
                <w:bCs/>
                <w:spacing w:val="-4"/>
                <w:sz w:val="22"/>
                <w:szCs w:val="22"/>
                <w:lang w:val="en-US" w:eastAsia="zh-CN"/>
              </w:rPr>
              <w:t>DN</w:t>
            </w:r>
            <w:r>
              <w:rPr>
                <w:rFonts w:hint="eastAsia" w:ascii="Arial" w:hAnsi="宋体" w:cs="Arial"/>
                <w:bCs/>
                <w:spacing w:val="-4"/>
                <w:sz w:val="22"/>
                <w:szCs w:val="22"/>
              </w:rPr>
              <w:t>100，2.0Mpa）1套；沿线凸起处增设排气阀（</w:t>
            </w:r>
            <w:r>
              <w:rPr>
                <w:rFonts w:hint="eastAsia" w:ascii="Arial" w:hAnsi="宋体" w:cs="Arial"/>
                <w:bCs/>
                <w:spacing w:val="-4"/>
                <w:sz w:val="22"/>
                <w:szCs w:val="22"/>
                <w:lang w:val="en-US" w:eastAsia="zh-CN"/>
              </w:rPr>
              <w:t>DN</w:t>
            </w:r>
            <w:r>
              <w:rPr>
                <w:rFonts w:hint="eastAsia" w:ascii="Arial" w:hAnsi="宋体" w:cs="Arial"/>
                <w:bCs/>
                <w:spacing w:val="-4"/>
                <w:sz w:val="22"/>
                <w:szCs w:val="22"/>
              </w:rPr>
              <w:t>500）共计9个，管道沿线低洼处增设排泥阀（</w:t>
            </w:r>
            <w:r>
              <w:rPr>
                <w:rFonts w:hint="eastAsia" w:ascii="Arial" w:hAnsi="宋体" w:cs="Arial"/>
                <w:bCs/>
                <w:spacing w:val="-4"/>
                <w:sz w:val="22"/>
                <w:szCs w:val="22"/>
                <w:lang w:val="en-US" w:eastAsia="zh-CN"/>
              </w:rPr>
              <w:t>DN</w:t>
            </w:r>
            <w:r>
              <w:rPr>
                <w:rFonts w:hint="eastAsia" w:ascii="Arial" w:hAnsi="宋体" w:cs="Arial"/>
                <w:bCs/>
                <w:spacing w:val="-4"/>
                <w:sz w:val="22"/>
                <w:szCs w:val="22"/>
              </w:rPr>
              <w:t>50）共计9个。</w:t>
            </w:r>
            <w:r>
              <w:rPr>
                <w:rFonts w:hint="eastAsia" w:ascii="Arial" w:hAnsi="宋体" w:cs="Arial"/>
                <w:bCs/>
                <w:spacing w:val="-4"/>
                <w:sz w:val="22"/>
                <w:szCs w:val="22"/>
                <w:lang w:val="en-US" w:eastAsia="zh-CN"/>
              </w:rPr>
              <w:t>K</w:t>
            </w:r>
            <w:r>
              <w:rPr>
                <w:rFonts w:hint="eastAsia" w:ascii="Arial" w:hAnsi="宋体" w:cs="Arial"/>
                <w:bCs/>
                <w:spacing w:val="-4"/>
                <w:sz w:val="22"/>
                <w:szCs w:val="22"/>
              </w:rPr>
              <w:t>0+000.0</w:t>
            </w:r>
            <w:r>
              <w:rPr>
                <w:rFonts w:hint="eastAsia" w:ascii="Arial" w:hAnsi="宋体" w:cs="Arial"/>
                <w:bCs/>
                <w:spacing w:val="-4"/>
                <w:sz w:val="22"/>
                <w:szCs w:val="22"/>
                <w:lang w:val="en-US" w:eastAsia="zh-CN"/>
              </w:rPr>
              <w:t>~K</w:t>
            </w:r>
            <w:r>
              <w:rPr>
                <w:rFonts w:hint="eastAsia" w:ascii="Arial" w:hAnsi="宋体" w:cs="Arial"/>
                <w:bCs/>
                <w:spacing w:val="-4"/>
                <w:sz w:val="22"/>
                <w:szCs w:val="22"/>
              </w:rPr>
              <w:t>1+098.32段直径为400mm，管材采用1.6Mpa的100级PE管，长1109.71m；桩号</w:t>
            </w:r>
            <w:r>
              <w:rPr>
                <w:rFonts w:hint="eastAsia" w:ascii="Arial" w:hAnsi="宋体" w:cs="Arial"/>
                <w:bCs/>
                <w:spacing w:val="-4"/>
                <w:sz w:val="22"/>
                <w:szCs w:val="22"/>
                <w:lang w:val="en-US" w:eastAsia="zh-CN"/>
              </w:rPr>
              <w:t>K</w:t>
            </w:r>
            <w:r>
              <w:rPr>
                <w:rFonts w:hint="eastAsia" w:ascii="Arial" w:hAnsi="宋体" w:cs="Arial"/>
                <w:bCs/>
                <w:spacing w:val="-4"/>
                <w:sz w:val="22"/>
                <w:szCs w:val="22"/>
              </w:rPr>
              <w:t>1+098.32</w:t>
            </w:r>
            <w:r>
              <w:rPr>
                <w:rFonts w:hint="eastAsia" w:ascii="Arial" w:hAnsi="宋体" w:cs="Arial"/>
                <w:bCs/>
                <w:spacing w:val="-4"/>
                <w:sz w:val="22"/>
                <w:szCs w:val="22"/>
                <w:lang w:val="en-US" w:eastAsia="zh-CN"/>
              </w:rPr>
              <w:t>~K</w:t>
            </w:r>
            <w:r>
              <w:rPr>
                <w:rFonts w:hint="eastAsia" w:ascii="Arial" w:hAnsi="宋体" w:cs="Arial"/>
                <w:bCs/>
                <w:spacing w:val="-4"/>
                <w:sz w:val="22"/>
                <w:szCs w:val="22"/>
              </w:rPr>
              <w:t>1+567.51段直径为325mm，长476.48m，管材采用涂塑钢管；桩号</w:t>
            </w:r>
            <w:r>
              <w:rPr>
                <w:rFonts w:hint="eastAsia" w:ascii="Arial" w:hAnsi="宋体" w:cs="Arial"/>
                <w:bCs/>
                <w:spacing w:val="-4"/>
                <w:sz w:val="22"/>
                <w:szCs w:val="22"/>
                <w:lang w:val="en-US" w:eastAsia="zh-CN"/>
              </w:rPr>
              <w:t>K</w:t>
            </w:r>
            <w:r>
              <w:rPr>
                <w:rFonts w:hint="eastAsia" w:ascii="Arial" w:hAnsi="宋体" w:cs="Arial"/>
                <w:bCs/>
                <w:spacing w:val="-4"/>
                <w:sz w:val="22"/>
                <w:szCs w:val="22"/>
              </w:rPr>
              <w:t>1+567.51</w:t>
            </w:r>
            <w:r>
              <w:rPr>
                <w:rFonts w:hint="eastAsia" w:ascii="Arial" w:hAnsi="宋体" w:cs="Arial"/>
                <w:bCs/>
                <w:spacing w:val="-4"/>
                <w:sz w:val="22"/>
                <w:szCs w:val="22"/>
                <w:lang w:val="en-US" w:eastAsia="zh-CN"/>
              </w:rPr>
              <w:t>~K</w:t>
            </w:r>
            <w:r>
              <w:rPr>
                <w:rFonts w:hint="eastAsia" w:ascii="Arial" w:hAnsi="宋体" w:cs="Arial"/>
                <w:bCs/>
                <w:spacing w:val="-4"/>
                <w:sz w:val="22"/>
                <w:szCs w:val="22"/>
              </w:rPr>
              <w:t>4+042.97段直径为273mm，长2481.18m，管材采用涂塑钢管；桩号</w:t>
            </w:r>
            <w:r>
              <w:rPr>
                <w:rFonts w:hint="eastAsia" w:ascii="Arial" w:hAnsi="宋体" w:cs="Arial"/>
                <w:bCs/>
                <w:spacing w:val="-4"/>
                <w:sz w:val="22"/>
                <w:szCs w:val="22"/>
                <w:lang w:val="en-US" w:eastAsia="zh-CN"/>
              </w:rPr>
              <w:t>K</w:t>
            </w:r>
            <w:r>
              <w:rPr>
                <w:rFonts w:hint="eastAsia" w:ascii="Arial" w:hAnsi="宋体" w:cs="Arial"/>
                <w:bCs/>
                <w:spacing w:val="-4"/>
                <w:sz w:val="22"/>
                <w:szCs w:val="22"/>
              </w:rPr>
              <w:t>4+042.97</w:t>
            </w:r>
            <w:r>
              <w:rPr>
                <w:rFonts w:hint="eastAsia" w:ascii="Arial" w:hAnsi="宋体" w:cs="Arial"/>
                <w:bCs/>
                <w:spacing w:val="-4"/>
                <w:sz w:val="22"/>
                <w:szCs w:val="22"/>
                <w:lang w:val="en-US" w:eastAsia="zh-CN"/>
              </w:rPr>
              <w:t>~K</w:t>
            </w:r>
            <w:r>
              <w:rPr>
                <w:rFonts w:hint="eastAsia" w:ascii="Arial" w:hAnsi="宋体" w:cs="Arial"/>
                <w:bCs/>
                <w:spacing w:val="-4"/>
                <w:sz w:val="22"/>
                <w:szCs w:val="22"/>
              </w:rPr>
              <w:t>5+221.9段直径为108mm，长1203.14m，管材采用涂塑钢管。</w:t>
            </w:r>
          </w:p>
          <w:p w14:paraId="238D7CD1">
            <w:pPr>
              <w:spacing w:line="300" w:lineRule="exact"/>
              <w:jc w:val="both"/>
              <w:rPr>
                <w:rFonts w:ascii="Arial" w:hAnsi="Arial" w:cs="Arial"/>
                <w:sz w:val="22"/>
                <w:szCs w:val="22"/>
              </w:rPr>
            </w:pPr>
            <w:r>
              <w:rPr>
                <w:rFonts w:hint="eastAsia" w:ascii="Arial" w:hAnsi="宋体" w:cs="Arial"/>
                <w:bCs/>
                <w:spacing w:val="-4"/>
                <w:sz w:val="22"/>
                <w:szCs w:val="22"/>
              </w:rPr>
              <w:t>DN400、DN325、DN273管段平面和剖面转弯处均设置C20砼镇墩，管道进出口和管段间距</w:t>
            </w:r>
            <w:r>
              <w:rPr>
                <w:rFonts w:hint="eastAsia" w:ascii="Arial" w:hAnsi="宋体" w:cs="Arial"/>
                <w:bCs/>
                <w:spacing w:val="-4"/>
                <w:sz w:val="22"/>
                <w:szCs w:val="22"/>
                <w:lang w:eastAsia="zh-CN"/>
              </w:rPr>
              <w:t>≥</w:t>
            </w:r>
            <w:r>
              <w:rPr>
                <w:rFonts w:hint="eastAsia" w:ascii="Arial" w:hAnsi="宋体" w:cs="Arial"/>
                <w:bCs/>
                <w:spacing w:val="-4"/>
                <w:sz w:val="22"/>
                <w:szCs w:val="22"/>
              </w:rPr>
              <w:t>150m处均设置C20砼镇墩。</w:t>
            </w:r>
          </w:p>
        </w:tc>
      </w:tr>
      <w:tr w14:paraId="6DC39C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shd w:val="clear" w:color="auto" w:fill="auto"/>
            <w:noWrap w:val="0"/>
            <w:vAlign w:val="center"/>
          </w:tcPr>
          <w:p w14:paraId="4EDFE20B">
            <w:pPr>
              <w:spacing w:line="300" w:lineRule="exact"/>
              <w:jc w:val="center"/>
              <w:rPr>
                <w:rFonts w:ascii="Arial" w:hAnsi="Arial" w:cs="Arial"/>
                <w:bCs/>
                <w:sz w:val="22"/>
                <w:szCs w:val="22"/>
              </w:rPr>
            </w:pPr>
          </w:p>
        </w:tc>
        <w:tc>
          <w:tcPr>
            <w:tcW w:w="645" w:type="dxa"/>
            <w:gridSpan w:val="2"/>
            <w:vMerge w:val="continue"/>
            <w:shd w:val="clear" w:color="auto" w:fill="auto"/>
            <w:noWrap w:val="0"/>
            <w:vAlign w:val="center"/>
          </w:tcPr>
          <w:p w14:paraId="4DDEC0E3">
            <w:pPr>
              <w:spacing w:line="300" w:lineRule="exact"/>
              <w:jc w:val="center"/>
              <w:rPr>
                <w:rFonts w:ascii="Arial" w:hAnsi="宋体" w:cs="Arial"/>
                <w:bCs/>
                <w:sz w:val="22"/>
                <w:szCs w:val="22"/>
              </w:rPr>
            </w:pPr>
          </w:p>
        </w:tc>
        <w:tc>
          <w:tcPr>
            <w:tcW w:w="513" w:type="dxa"/>
            <w:vMerge w:val="continue"/>
            <w:shd w:val="clear" w:color="auto" w:fill="auto"/>
            <w:noWrap w:val="0"/>
            <w:vAlign w:val="center"/>
          </w:tcPr>
          <w:p w14:paraId="75428330">
            <w:pPr>
              <w:spacing w:line="300" w:lineRule="exact"/>
              <w:jc w:val="center"/>
              <w:rPr>
                <w:rFonts w:hint="eastAsia" w:ascii="Arial" w:hAnsi="Arial" w:cs="Arial"/>
                <w:bCs/>
                <w:sz w:val="22"/>
                <w:szCs w:val="22"/>
              </w:rPr>
            </w:pPr>
          </w:p>
        </w:tc>
        <w:tc>
          <w:tcPr>
            <w:tcW w:w="734" w:type="dxa"/>
            <w:shd w:val="clear" w:color="auto" w:fill="auto"/>
            <w:noWrap w:val="0"/>
            <w:vAlign w:val="center"/>
          </w:tcPr>
          <w:p w14:paraId="60BF199B">
            <w:pPr>
              <w:spacing w:line="300" w:lineRule="exact"/>
              <w:jc w:val="center"/>
              <w:rPr>
                <w:rFonts w:hint="eastAsia" w:ascii="Arial" w:hAnsi="Arial" w:eastAsia="宋体" w:cs="Arial"/>
                <w:bCs/>
                <w:sz w:val="22"/>
                <w:szCs w:val="22"/>
                <w:lang w:eastAsia="zh-CN"/>
              </w:rPr>
            </w:pPr>
            <w:r>
              <w:rPr>
                <w:rFonts w:hint="eastAsia" w:ascii="Arial" w:hAnsi="Arial" w:cs="Arial"/>
                <w:bCs/>
                <w:sz w:val="22"/>
                <w:szCs w:val="22"/>
                <w:lang w:eastAsia="zh-CN"/>
              </w:rPr>
              <w:t>分水阀</w:t>
            </w:r>
          </w:p>
        </w:tc>
        <w:tc>
          <w:tcPr>
            <w:tcW w:w="6979" w:type="dxa"/>
            <w:noWrap w:val="0"/>
            <w:vAlign w:val="center"/>
          </w:tcPr>
          <w:p w14:paraId="74A18B67">
            <w:pPr>
              <w:spacing w:line="300" w:lineRule="exact"/>
              <w:jc w:val="center"/>
              <w:rPr>
                <w:rFonts w:ascii="Arial" w:hAnsi="宋体" w:cs="Arial"/>
                <w:spacing w:val="-4"/>
                <w:sz w:val="22"/>
                <w:szCs w:val="22"/>
              </w:rPr>
            </w:pPr>
            <w:r>
              <w:rPr>
                <w:rFonts w:hint="eastAsia" w:ascii="Arial" w:hAnsi="宋体" w:cs="Arial"/>
                <w:bCs/>
                <w:spacing w:val="-4"/>
                <w:sz w:val="22"/>
                <w:szCs w:val="22"/>
              </w:rPr>
              <w:t>设置有4处分水阀，分别为1#分水阀（</w:t>
            </w:r>
            <w:r>
              <w:rPr>
                <w:rFonts w:hint="eastAsia" w:ascii="Arial" w:hAnsi="宋体" w:cs="Arial"/>
                <w:bCs/>
                <w:spacing w:val="-4"/>
                <w:sz w:val="22"/>
                <w:szCs w:val="22"/>
                <w:lang w:val="en-US" w:eastAsia="zh-CN"/>
              </w:rPr>
              <w:t>K</w:t>
            </w:r>
            <w:r>
              <w:rPr>
                <w:rFonts w:hint="eastAsia" w:ascii="Arial" w:hAnsi="宋体" w:cs="Arial"/>
                <w:bCs/>
                <w:spacing w:val="-4"/>
                <w:sz w:val="22"/>
                <w:szCs w:val="22"/>
              </w:rPr>
              <w:t>1+360.04），2#分水阀（</w:t>
            </w:r>
            <w:r>
              <w:rPr>
                <w:rFonts w:hint="eastAsia" w:ascii="Arial" w:hAnsi="宋体" w:cs="Arial"/>
                <w:bCs/>
                <w:spacing w:val="-4"/>
                <w:sz w:val="22"/>
                <w:szCs w:val="22"/>
                <w:lang w:val="en-US" w:eastAsia="zh-CN"/>
              </w:rPr>
              <w:t>K</w:t>
            </w:r>
            <w:r>
              <w:rPr>
                <w:rFonts w:hint="eastAsia" w:ascii="Arial" w:hAnsi="宋体" w:cs="Arial"/>
                <w:bCs/>
                <w:spacing w:val="-4"/>
                <w:sz w:val="22"/>
                <w:szCs w:val="22"/>
              </w:rPr>
              <w:t>1+567.51），3#分水阀（</w:t>
            </w:r>
            <w:r>
              <w:rPr>
                <w:rFonts w:hint="eastAsia" w:ascii="Arial" w:hAnsi="宋体" w:cs="Arial"/>
                <w:bCs/>
                <w:spacing w:val="-4"/>
                <w:sz w:val="22"/>
                <w:szCs w:val="22"/>
                <w:lang w:val="en-US" w:eastAsia="zh-CN"/>
              </w:rPr>
              <w:t>K</w:t>
            </w:r>
            <w:r>
              <w:rPr>
                <w:rFonts w:hint="eastAsia" w:ascii="Arial" w:hAnsi="宋体" w:cs="Arial"/>
                <w:bCs/>
                <w:spacing w:val="-4"/>
                <w:sz w:val="22"/>
                <w:szCs w:val="22"/>
              </w:rPr>
              <w:t>2+138.81），4#分水阀（</w:t>
            </w:r>
            <w:r>
              <w:rPr>
                <w:rFonts w:hint="eastAsia" w:ascii="Arial" w:hAnsi="宋体" w:cs="Arial"/>
                <w:bCs/>
                <w:spacing w:val="-4"/>
                <w:sz w:val="22"/>
                <w:szCs w:val="22"/>
                <w:lang w:val="en-US" w:eastAsia="zh-CN"/>
              </w:rPr>
              <w:t>K</w:t>
            </w:r>
            <w:r>
              <w:rPr>
                <w:rFonts w:hint="eastAsia" w:ascii="Arial" w:hAnsi="宋体" w:cs="Arial"/>
                <w:bCs/>
                <w:spacing w:val="-4"/>
                <w:sz w:val="22"/>
                <w:szCs w:val="22"/>
              </w:rPr>
              <w:t>4+042.97）。</w:t>
            </w:r>
          </w:p>
        </w:tc>
      </w:tr>
      <w:tr w14:paraId="160D25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shd w:val="clear" w:color="auto" w:fill="auto"/>
            <w:noWrap w:val="0"/>
            <w:vAlign w:val="center"/>
          </w:tcPr>
          <w:p w14:paraId="2E89DB2E">
            <w:pPr>
              <w:spacing w:line="300" w:lineRule="exact"/>
              <w:jc w:val="center"/>
              <w:rPr>
                <w:rFonts w:ascii="Arial" w:hAnsi="Arial" w:cs="Arial"/>
                <w:bCs/>
                <w:sz w:val="22"/>
                <w:szCs w:val="22"/>
              </w:rPr>
            </w:pPr>
          </w:p>
        </w:tc>
        <w:tc>
          <w:tcPr>
            <w:tcW w:w="645" w:type="dxa"/>
            <w:gridSpan w:val="2"/>
            <w:vMerge w:val="continue"/>
            <w:shd w:val="clear" w:color="auto" w:fill="auto"/>
            <w:noWrap w:val="0"/>
            <w:vAlign w:val="center"/>
          </w:tcPr>
          <w:p w14:paraId="77680320">
            <w:pPr>
              <w:spacing w:line="300" w:lineRule="exact"/>
              <w:jc w:val="center"/>
              <w:rPr>
                <w:rFonts w:ascii="Arial" w:hAnsi="宋体" w:cs="Arial"/>
                <w:bCs/>
                <w:sz w:val="22"/>
                <w:szCs w:val="22"/>
              </w:rPr>
            </w:pPr>
          </w:p>
        </w:tc>
        <w:tc>
          <w:tcPr>
            <w:tcW w:w="513" w:type="dxa"/>
            <w:shd w:val="clear" w:color="auto" w:fill="auto"/>
            <w:noWrap w:val="0"/>
            <w:vAlign w:val="center"/>
          </w:tcPr>
          <w:p w14:paraId="7E4B5FBD">
            <w:pPr>
              <w:spacing w:line="300" w:lineRule="exact"/>
              <w:jc w:val="center"/>
              <w:rPr>
                <w:rFonts w:hint="eastAsia" w:ascii="Arial" w:hAnsi="Arial" w:eastAsia="宋体" w:cs="Arial"/>
                <w:bCs/>
                <w:sz w:val="22"/>
                <w:szCs w:val="22"/>
                <w:lang w:eastAsia="zh-CN"/>
              </w:rPr>
            </w:pPr>
            <w:r>
              <w:rPr>
                <w:rFonts w:hint="eastAsia" w:ascii="Arial" w:hAnsi="Arial" w:cs="Arial"/>
                <w:bCs/>
                <w:sz w:val="22"/>
                <w:szCs w:val="22"/>
                <w:lang w:eastAsia="zh-CN"/>
              </w:rPr>
              <w:t>新华支管</w:t>
            </w:r>
          </w:p>
        </w:tc>
        <w:tc>
          <w:tcPr>
            <w:tcW w:w="734" w:type="dxa"/>
            <w:shd w:val="clear" w:color="auto" w:fill="auto"/>
            <w:noWrap w:val="0"/>
            <w:vAlign w:val="center"/>
          </w:tcPr>
          <w:p w14:paraId="506FE076">
            <w:pPr>
              <w:spacing w:line="300" w:lineRule="exact"/>
              <w:jc w:val="center"/>
              <w:rPr>
                <w:rFonts w:hint="eastAsia" w:ascii="Arial" w:hAnsi="Arial" w:cs="Arial"/>
                <w:bCs/>
                <w:sz w:val="22"/>
                <w:szCs w:val="22"/>
                <w:lang w:eastAsia="zh-CN"/>
              </w:rPr>
            </w:pPr>
            <w:r>
              <w:rPr>
                <w:rFonts w:hint="eastAsia" w:ascii="Arial" w:hAnsi="Arial" w:cs="Arial"/>
                <w:bCs/>
                <w:sz w:val="22"/>
                <w:szCs w:val="22"/>
                <w:lang w:eastAsia="zh-CN"/>
              </w:rPr>
              <w:t>管线</w:t>
            </w:r>
          </w:p>
        </w:tc>
        <w:tc>
          <w:tcPr>
            <w:tcW w:w="6979" w:type="dxa"/>
            <w:noWrap w:val="0"/>
            <w:vAlign w:val="center"/>
          </w:tcPr>
          <w:p w14:paraId="3A481BF2">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新华支管设计线路为：双龙干管1#分水口→新华支管→新华水厂。长</w:t>
            </w:r>
            <w:r>
              <w:rPr>
                <w:rFonts w:hint="eastAsia" w:ascii="Arial" w:hAnsi="Arial" w:cs="Arial"/>
                <w:bCs/>
                <w:sz w:val="22"/>
                <w:szCs w:val="22"/>
                <w:lang w:val="en-US" w:eastAsia="zh-CN"/>
              </w:rPr>
              <w:t>160</w:t>
            </w:r>
            <w:r>
              <w:rPr>
                <w:rFonts w:hint="eastAsia" w:ascii="Arial" w:hAnsi="Arial" w:cs="Arial"/>
                <w:bCs/>
                <w:sz w:val="22"/>
                <w:szCs w:val="22"/>
                <w:lang w:eastAsia="zh-CN"/>
              </w:rPr>
              <w:t>m，桩号为</w:t>
            </w:r>
            <w:r>
              <w:rPr>
                <w:rFonts w:hint="eastAsia" w:ascii="Arial" w:hAnsi="Arial" w:cs="Arial"/>
                <w:bCs/>
                <w:sz w:val="22"/>
                <w:szCs w:val="22"/>
                <w:lang w:val="en-US" w:eastAsia="zh-CN"/>
              </w:rPr>
              <w:t>XZ0+000~XZ0+160，</w:t>
            </w:r>
            <w:r>
              <w:rPr>
                <w:rFonts w:hint="eastAsia" w:ascii="Arial" w:hAnsi="Arial" w:cs="Arial"/>
                <w:bCs/>
                <w:sz w:val="22"/>
                <w:szCs w:val="22"/>
                <w:lang w:eastAsia="zh-CN"/>
              </w:rPr>
              <w:t>管首设计流量0.0005m</w:t>
            </w:r>
            <w:r>
              <w:rPr>
                <w:rFonts w:hint="eastAsia" w:ascii="Arial" w:hAnsi="Arial" w:cs="Arial"/>
                <w:bCs/>
                <w:sz w:val="22"/>
                <w:szCs w:val="22"/>
                <w:vertAlign w:val="superscript"/>
                <w:lang w:val="en-US" w:eastAsia="zh-CN"/>
              </w:rPr>
              <w:t>3</w:t>
            </w:r>
            <w:r>
              <w:rPr>
                <w:rFonts w:hint="eastAsia" w:ascii="Arial" w:hAnsi="Arial" w:cs="Arial"/>
                <w:bCs/>
                <w:sz w:val="22"/>
                <w:szCs w:val="22"/>
                <w:lang w:eastAsia="zh-CN"/>
              </w:rPr>
              <w:t>/s，由输水管道组成，采用地埋式，埋深不小于0.7m。</w:t>
            </w:r>
          </w:p>
          <w:p w14:paraId="36D8C009">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管首配套流量计（</w:t>
            </w:r>
            <w:r>
              <w:rPr>
                <w:rFonts w:hint="eastAsia" w:ascii="Arial" w:hAnsi="Arial" w:cs="Arial"/>
                <w:bCs/>
                <w:sz w:val="22"/>
                <w:szCs w:val="22"/>
                <w:lang w:val="en-US" w:eastAsia="zh-CN"/>
              </w:rPr>
              <w:t>DN</w:t>
            </w:r>
            <w:r>
              <w:rPr>
                <w:rFonts w:hint="eastAsia" w:ascii="Arial" w:hAnsi="Arial" w:cs="Arial"/>
                <w:bCs/>
                <w:sz w:val="22"/>
                <w:szCs w:val="22"/>
                <w:lang w:eastAsia="zh-CN"/>
              </w:rPr>
              <w:t>100）1个，控制阀（</w:t>
            </w:r>
            <w:r>
              <w:rPr>
                <w:rFonts w:hint="eastAsia" w:ascii="Arial" w:hAnsi="Arial" w:cs="Arial"/>
                <w:bCs/>
                <w:sz w:val="22"/>
                <w:szCs w:val="22"/>
                <w:lang w:val="en-US" w:eastAsia="zh-CN"/>
              </w:rPr>
              <w:t>DN</w:t>
            </w:r>
            <w:r>
              <w:rPr>
                <w:rFonts w:hint="eastAsia" w:ascii="Arial" w:hAnsi="Arial" w:cs="Arial"/>
                <w:bCs/>
                <w:sz w:val="22"/>
                <w:szCs w:val="22"/>
                <w:lang w:eastAsia="zh-CN"/>
              </w:rPr>
              <w:t>100，2.0Mpa）2套，检修阀（</w:t>
            </w:r>
            <w:r>
              <w:rPr>
                <w:rFonts w:hint="eastAsia" w:ascii="Arial" w:hAnsi="Arial" w:cs="Arial"/>
                <w:bCs/>
                <w:sz w:val="22"/>
                <w:szCs w:val="22"/>
                <w:lang w:val="en-US" w:eastAsia="zh-CN"/>
              </w:rPr>
              <w:t>DN1</w:t>
            </w:r>
            <w:r>
              <w:rPr>
                <w:rFonts w:hint="eastAsia" w:ascii="Arial" w:hAnsi="Arial" w:cs="Arial"/>
                <w:bCs/>
                <w:sz w:val="22"/>
                <w:szCs w:val="22"/>
                <w:lang w:eastAsia="zh-CN"/>
              </w:rPr>
              <w:t>00，2.0Mpa）1套；沿线凸起处增设排气阀（</w:t>
            </w:r>
            <w:r>
              <w:rPr>
                <w:rFonts w:hint="eastAsia" w:ascii="Arial" w:hAnsi="Arial" w:cs="Arial"/>
                <w:bCs/>
                <w:sz w:val="22"/>
                <w:szCs w:val="22"/>
                <w:lang w:val="en-US" w:eastAsia="zh-CN"/>
              </w:rPr>
              <w:t>DN</w:t>
            </w:r>
            <w:r>
              <w:rPr>
                <w:rFonts w:hint="eastAsia" w:ascii="Arial" w:hAnsi="Arial" w:cs="Arial"/>
                <w:bCs/>
                <w:sz w:val="22"/>
                <w:szCs w:val="22"/>
                <w:lang w:eastAsia="zh-CN"/>
              </w:rPr>
              <w:t>500）共计2个，管道沿线低洼处增设排泥阀（</w:t>
            </w:r>
            <w:r>
              <w:rPr>
                <w:rFonts w:hint="eastAsia" w:ascii="Arial" w:hAnsi="Arial" w:cs="Arial"/>
                <w:bCs/>
                <w:sz w:val="22"/>
                <w:szCs w:val="22"/>
                <w:lang w:val="en-US" w:eastAsia="zh-CN"/>
              </w:rPr>
              <w:t>DN</w:t>
            </w:r>
            <w:r>
              <w:rPr>
                <w:rFonts w:hint="eastAsia" w:ascii="Arial" w:hAnsi="Arial" w:cs="Arial"/>
                <w:bCs/>
                <w:sz w:val="22"/>
                <w:szCs w:val="22"/>
                <w:lang w:eastAsia="zh-CN"/>
              </w:rPr>
              <w:t>50）共计2个。</w:t>
            </w:r>
          </w:p>
          <w:p w14:paraId="19C09B28">
            <w:pPr>
              <w:spacing w:line="300" w:lineRule="exact"/>
              <w:jc w:val="both"/>
              <w:rPr>
                <w:rFonts w:hint="eastAsia" w:ascii="Arial" w:hAnsi="宋体" w:cs="Arial"/>
                <w:bCs/>
                <w:spacing w:val="-4"/>
                <w:sz w:val="22"/>
                <w:szCs w:val="22"/>
              </w:rPr>
            </w:pPr>
            <w:r>
              <w:rPr>
                <w:rFonts w:hint="eastAsia" w:ascii="Arial" w:hAnsi="Arial" w:cs="Arial"/>
                <w:bCs/>
                <w:sz w:val="22"/>
                <w:szCs w:val="22"/>
                <w:lang w:eastAsia="zh-CN"/>
              </w:rPr>
              <w:t>管材采用DN32涂塑钢管，长</w:t>
            </w:r>
            <w:r>
              <w:rPr>
                <w:rFonts w:hint="eastAsia" w:ascii="Arial" w:hAnsi="Arial" w:cs="Arial"/>
                <w:bCs/>
                <w:sz w:val="22"/>
                <w:szCs w:val="22"/>
                <w:lang w:val="en-US" w:eastAsia="zh-CN"/>
              </w:rPr>
              <w:t>160</w:t>
            </w:r>
            <w:r>
              <w:rPr>
                <w:rFonts w:hint="eastAsia" w:ascii="Arial" w:hAnsi="Arial" w:cs="Arial"/>
                <w:bCs/>
                <w:sz w:val="22"/>
                <w:szCs w:val="22"/>
                <w:lang w:eastAsia="zh-CN"/>
              </w:rPr>
              <w:t>m。进出口和管段间距</w:t>
            </w:r>
            <w:r>
              <w:rPr>
                <w:rFonts w:hint="eastAsia" w:ascii="Arial" w:hAnsi="Arial" w:cs="Arial"/>
                <w:bCs/>
                <w:sz w:val="22"/>
                <w:szCs w:val="22"/>
                <w:lang w:val="en-US" w:eastAsia="zh-CN"/>
              </w:rPr>
              <w:t>≥</w:t>
            </w:r>
            <w:r>
              <w:rPr>
                <w:rFonts w:hint="eastAsia" w:ascii="Arial" w:hAnsi="Arial" w:cs="Arial"/>
                <w:bCs/>
                <w:sz w:val="22"/>
                <w:szCs w:val="22"/>
                <w:lang w:eastAsia="zh-CN"/>
              </w:rPr>
              <w:t>150m处均设置C20砼镇墩。</w:t>
            </w:r>
          </w:p>
        </w:tc>
      </w:tr>
      <w:tr w14:paraId="29B502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shd w:val="clear" w:color="auto" w:fill="auto"/>
            <w:noWrap w:val="0"/>
            <w:vAlign w:val="center"/>
          </w:tcPr>
          <w:p w14:paraId="278BC934">
            <w:pPr>
              <w:spacing w:line="300" w:lineRule="exact"/>
              <w:jc w:val="center"/>
              <w:rPr>
                <w:rFonts w:ascii="Arial" w:hAnsi="Arial" w:cs="Arial"/>
                <w:bCs/>
                <w:sz w:val="22"/>
                <w:szCs w:val="22"/>
              </w:rPr>
            </w:pPr>
          </w:p>
        </w:tc>
        <w:tc>
          <w:tcPr>
            <w:tcW w:w="645" w:type="dxa"/>
            <w:gridSpan w:val="2"/>
            <w:vMerge w:val="continue"/>
            <w:shd w:val="clear" w:color="auto" w:fill="auto"/>
            <w:noWrap w:val="0"/>
            <w:vAlign w:val="center"/>
          </w:tcPr>
          <w:p w14:paraId="03A4A0F2">
            <w:pPr>
              <w:spacing w:line="300" w:lineRule="exact"/>
              <w:jc w:val="center"/>
              <w:rPr>
                <w:rFonts w:ascii="Arial" w:hAnsi="宋体" w:cs="Arial"/>
                <w:bCs/>
                <w:sz w:val="22"/>
                <w:szCs w:val="22"/>
              </w:rPr>
            </w:pPr>
          </w:p>
        </w:tc>
        <w:tc>
          <w:tcPr>
            <w:tcW w:w="513" w:type="dxa"/>
            <w:shd w:val="clear" w:color="auto" w:fill="auto"/>
            <w:noWrap w:val="0"/>
            <w:vAlign w:val="center"/>
          </w:tcPr>
          <w:p w14:paraId="071B079A">
            <w:pPr>
              <w:spacing w:line="300" w:lineRule="exact"/>
              <w:jc w:val="center"/>
              <w:rPr>
                <w:rFonts w:hint="eastAsia" w:ascii="Arial" w:hAnsi="Arial" w:eastAsia="宋体" w:cs="Arial"/>
                <w:bCs/>
                <w:sz w:val="22"/>
                <w:szCs w:val="22"/>
                <w:lang w:eastAsia="zh-CN"/>
              </w:rPr>
            </w:pPr>
            <w:r>
              <w:rPr>
                <w:rFonts w:hint="eastAsia" w:ascii="Arial" w:hAnsi="Arial" w:cs="Arial"/>
                <w:bCs/>
                <w:sz w:val="22"/>
                <w:szCs w:val="22"/>
                <w:lang w:eastAsia="zh-CN"/>
              </w:rPr>
              <w:t>范家湾支管</w:t>
            </w:r>
          </w:p>
        </w:tc>
        <w:tc>
          <w:tcPr>
            <w:tcW w:w="734" w:type="dxa"/>
            <w:shd w:val="clear" w:color="auto" w:fill="auto"/>
            <w:noWrap w:val="0"/>
            <w:vAlign w:val="center"/>
          </w:tcPr>
          <w:p w14:paraId="53304E3F">
            <w:pPr>
              <w:spacing w:line="300" w:lineRule="exact"/>
              <w:jc w:val="center"/>
              <w:rPr>
                <w:rFonts w:hint="eastAsia" w:ascii="Arial" w:hAnsi="Arial" w:cs="Arial"/>
                <w:bCs/>
                <w:sz w:val="22"/>
                <w:szCs w:val="22"/>
                <w:lang w:eastAsia="zh-CN"/>
              </w:rPr>
            </w:pPr>
            <w:r>
              <w:rPr>
                <w:rFonts w:hint="eastAsia" w:ascii="Arial" w:hAnsi="Arial" w:cs="Arial"/>
                <w:bCs/>
                <w:sz w:val="22"/>
                <w:szCs w:val="22"/>
                <w:lang w:eastAsia="zh-CN"/>
              </w:rPr>
              <w:t>管线</w:t>
            </w:r>
          </w:p>
        </w:tc>
        <w:tc>
          <w:tcPr>
            <w:tcW w:w="6979" w:type="dxa"/>
            <w:noWrap w:val="0"/>
            <w:vAlign w:val="center"/>
          </w:tcPr>
          <w:p w14:paraId="32BE98E1">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范家湾支管设计线路为：双龙干管2#分水口→范家湾支管→范家湾水池。长18</w:t>
            </w:r>
            <w:r>
              <w:rPr>
                <w:rFonts w:hint="eastAsia" w:ascii="Arial" w:hAnsi="Arial" w:cs="Arial"/>
                <w:bCs/>
                <w:sz w:val="22"/>
                <w:szCs w:val="22"/>
                <w:lang w:val="en-US" w:eastAsia="zh-CN"/>
              </w:rPr>
              <w:t>50</w:t>
            </w:r>
            <w:r>
              <w:rPr>
                <w:rFonts w:hint="eastAsia" w:ascii="Arial" w:hAnsi="Arial" w:cs="Arial"/>
                <w:bCs/>
                <w:sz w:val="22"/>
                <w:szCs w:val="22"/>
                <w:lang w:eastAsia="zh-CN"/>
              </w:rPr>
              <w:t>m，桩号为</w:t>
            </w:r>
            <w:r>
              <w:rPr>
                <w:rFonts w:hint="eastAsia" w:ascii="Arial" w:hAnsi="Arial" w:cs="Arial"/>
                <w:bCs/>
                <w:sz w:val="22"/>
                <w:szCs w:val="22"/>
                <w:lang w:val="en-US" w:eastAsia="zh-CN"/>
              </w:rPr>
              <w:t>FZ0+000~FZ1+850，</w:t>
            </w:r>
            <w:r>
              <w:rPr>
                <w:rFonts w:hint="eastAsia" w:ascii="Arial" w:hAnsi="Arial" w:cs="Arial"/>
                <w:bCs/>
                <w:sz w:val="22"/>
                <w:szCs w:val="22"/>
                <w:lang w:eastAsia="zh-CN"/>
              </w:rPr>
              <w:t>管首设计流量0.0005m</w:t>
            </w:r>
            <w:r>
              <w:rPr>
                <w:rFonts w:hint="eastAsia" w:ascii="Arial" w:hAnsi="Arial" w:cs="Arial"/>
                <w:bCs/>
                <w:sz w:val="22"/>
                <w:szCs w:val="22"/>
                <w:vertAlign w:val="superscript"/>
                <w:lang w:val="en-US" w:eastAsia="zh-CN"/>
              </w:rPr>
              <w:t>3</w:t>
            </w:r>
            <w:r>
              <w:rPr>
                <w:rFonts w:hint="eastAsia" w:ascii="Arial" w:hAnsi="Arial" w:cs="Arial"/>
                <w:bCs/>
                <w:sz w:val="22"/>
                <w:szCs w:val="22"/>
                <w:lang w:eastAsia="zh-CN"/>
              </w:rPr>
              <w:t>/s，由输水管道组成，采用地埋式，埋深不小于0.7m。</w:t>
            </w:r>
          </w:p>
          <w:p w14:paraId="1E7F300A">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管首配套流量计（</w:t>
            </w:r>
            <w:r>
              <w:rPr>
                <w:rFonts w:hint="eastAsia" w:ascii="Arial" w:hAnsi="Arial" w:cs="Arial"/>
                <w:bCs/>
                <w:sz w:val="22"/>
                <w:szCs w:val="22"/>
                <w:lang w:val="en-US" w:eastAsia="zh-CN"/>
              </w:rPr>
              <w:t>DN</w:t>
            </w:r>
            <w:r>
              <w:rPr>
                <w:rFonts w:hint="eastAsia" w:ascii="Arial" w:hAnsi="Arial" w:cs="Arial"/>
                <w:bCs/>
                <w:sz w:val="22"/>
                <w:szCs w:val="22"/>
                <w:lang w:eastAsia="zh-CN"/>
              </w:rPr>
              <w:t>100）1个，控制阀（</w:t>
            </w:r>
            <w:r>
              <w:rPr>
                <w:rFonts w:hint="eastAsia" w:ascii="Arial" w:hAnsi="Arial" w:cs="Arial"/>
                <w:bCs/>
                <w:sz w:val="22"/>
                <w:szCs w:val="22"/>
                <w:lang w:val="en-US" w:eastAsia="zh-CN"/>
              </w:rPr>
              <w:t>DN</w:t>
            </w:r>
            <w:r>
              <w:rPr>
                <w:rFonts w:hint="eastAsia" w:ascii="Arial" w:hAnsi="Arial" w:cs="Arial"/>
                <w:bCs/>
                <w:sz w:val="22"/>
                <w:szCs w:val="22"/>
                <w:lang w:eastAsia="zh-CN"/>
              </w:rPr>
              <w:t>100，2.0Mpa）2套，检修阀（</w:t>
            </w:r>
            <w:r>
              <w:rPr>
                <w:rFonts w:hint="eastAsia" w:ascii="Arial" w:hAnsi="Arial" w:cs="Arial"/>
                <w:bCs/>
                <w:sz w:val="22"/>
                <w:szCs w:val="22"/>
                <w:lang w:val="en-US" w:eastAsia="zh-CN"/>
              </w:rPr>
              <w:t>DN</w:t>
            </w:r>
            <w:r>
              <w:rPr>
                <w:rFonts w:hint="eastAsia" w:ascii="Arial" w:hAnsi="Arial" w:cs="Arial"/>
                <w:bCs/>
                <w:sz w:val="22"/>
                <w:szCs w:val="22"/>
                <w:lang w:eastAsia="zh-CN"/>
              </w:rPr>
              <w:t>100，2.0Mpa）1套；沿线凸起处增设排气阀（</w:t>
            </w:r>
            <w:r>
              <w:rPr>
                <w:rFonts w:hint="eastAsia" w:ascii="Arial" w:hAnsi="Arial" w:cs="Arial"/>
                <w:bCs/>
                <w:sz w:val="22"/>
                <w:szCs w:val="22"/>
                <w:lang w:val="en-US" w:eastAsia="zh-CN"/>
              </w:rPr>
              <w:t>DN</w:t>
            </w:r>
            <w:r>
              <w:rPr>
                <w:rFonts w:hint="eastAsia" w:ascii="Arial" w:hAnsi="Arial" w:cs="Arial"/>
                <w:bCs/>
                <w:sz w:val="22"/>
                <w:szCs w:val="22"/>
                <w:lang w:eastAsia="zh-CN"/>
              </w:rPr>
              <w:t>500）共计6个，管道沿线低洼处增设排泥阀（</w:t>
            </w:r>
            <w:r>
              <w:rPr>
                <w:rFonts w:hint="eastAsia" w:ascii="Arial" w:hAnsi="Arial" w:cs="Arial"/>
                <w:bCs/>
                <w:sz w:val="22"/>
                <w:szCs w:val="22"/>
                <w:lang w:val="en-US" w:eastAsia="zh-CN"/>
              </w:rPr>
              <w:t>DN</w:t>
            </w:r>
            <w:r>
              <w:rPr>
                <w:rFonts w:hint="eastAsia" w:ascii="Arial" w:hAnsi="Arial" w:cs="Arial"/>
                <w:bCs/>
                <w:sz w:val="22"/>
                <w:szCs w:val="22"/>
                <w:lang w:eastAsia="zh-CN"/>
              </w:rPr>
              <w:t>50）共计6个。</w:t>
            </w:r>
          </w:p>
          <w:p w14:paraId="10CE66FB">
            <w:pPr>
              <w:spacing w:line="300" w:lineRule="exact"/>
              <w:jc w:val="both"/>
              <w:rPr>
                <w:rFonts w:hint="eastAsia" w:ascii="Arial" w:hAnsi="Arial" w:cs="Arial"/>
                <w:bCs/>
                <w:sz w:val="22"/>
                <w:szCs w:val="22"/>
                <w:lang w:eastAsia="zh-CN"/>
              </w:rPr>
            </w:pPr>
            <w:r>
              <w:rPr>
                <w:rFonts w:hint="eastAsia" w:ascii="Arial" w:hAnsi="Arial" w:cs="Arial"/>
                <w:bCs/>
                <w:sz w:val="22"/>
                <w:szCs w:val="22"/>
                <w:lang w:val="en-US" w:eastAsia="zh-CN"/>
              </w:rPr>
              <w:t>FZ</w:t>
            </w:r>
            <w:r>
              <w:rPr>
                <w:rFonts w:hint="eastAsia" w:ascii="Arial" w:hAnsi="Arial" w:cs="Arial"/>
                <w:bCs/>
                <w:sz w:val="22"/>
                <w:szCs w:val="22"/>
                <w:lang w:eastAsia="zh-CN"/>
              </w:rPr>
              <w:t>0+000.0</w:t>
            </w:r>
            <w:r>
              <w:rPr>
                <w:rFonts w:hint="eastAsia" w:ascii="Arial" w:hAnsi="Arial" w:cs="Arial"/>
                <w:bCs/>
                <w:sz w:val="22"/>
                <w:szCs w:val="22"/>
                <w:lang w:val="en-US" w:eastAsia="zh-CN"/>
              </w:rPr>
              <w:t>~FZ</w:t>
            </w:r>
            <w:r>
              <w:rPr>
                <w:rFonts w:hint="eastAsia" w:ascii="Arial" w:hAnsi="Arial" w:cs="Arial"/>
                <w:bCs/>
                <w:sz w:val="22"/>
                <w:szCs w:val="22"/>
                <w:lang w:eastAsia="zh-CN"/>
              </w:rPr>
              <w:t>1+567.46段管材采用DN48涂塑钢管，长1581.23m；</w:t>
            </w:r>
            <w:r>
              <w:rPr>
                <w:rFonts w:hint="eastAsia" w:ascii="Arial" w:hAnsi="Arial" w:cs="Arial"/>
                <w:bCs/>
                <w:sz w:val="22"/>
                <w:szCs w:val="22"/>
                <w:lang w:val="en-US" w:eastAsia="zh-CN"/>
              </w:rPr>
              <w:t>FZ</w:t>
            </w:r>
            <w:r>
              <w:rPr>
                <w:rFonts w:hint="eastAsia" w:ascii="Arial" w:hAnsi="Arial" w:cs="Arial"/>
                <w:bCs/>
                <w:sz w:val="22"/>
                <w:szCs w:val="22"/>
                <w:lang w:eastAsia="zh-CN"/>
              </w:rPr>
              <w:t>1+567.46</w:t>
            </w:r>
            <w:r>
              <w:rPr>
                <w:rFonts w:hint="eastAsia" w:ascii="Arial" w:hAnsi="Arial" w:cs="Arial"/>
                <w:bCs/>
                <w:sz w:val="22"/>
                <w:szCs w:val="22"/>
                <w:lang w:val="en-US" w:eastAsia="zh-CN"/>
              </w:rPr>
              <w:t>~FZ</w:t>
            </w:r>
            <w:r>
              <w:rPr>
                <w:rFonts w:hint="eastAsia" w:ascii="Arial" w:hAnsi="Arial" w:cs="Arial"/>
                <w:bCs/>
                <w:sz w:val="22"/>
                <w:szCs w:val="22"/>
                <w:lang w:eastAsia="zh-CN"/>
              </w:rPr>
              <w:t>1+8</w:t>
            </w:r>
            <w:r>
              <w:rPr>
                <w:rFonts w:hint="eastAsia" w:ascii="Arial" w:hAnsi="Arial" w:cs="Arial"/>
                <w:bCs/>
                <w:sz w:val="22"/>
                <w:szCs w:val="22"/>
                <w:lang w:val="en-US" w:eastAsia="zh-CN"/>
              </w:rPr>
              <w:t>50</w:t>
            </w:r>
            <w:r>
              <w:rPr>
                <w:rFonts w:hint="eastAsia" w:ascii="Arial" w:hAnsi="Arial" w:cs="Arial"/>
                <w:bCs/>
                <w:sz w:val="22"/>
                <w:szCs w:val="22"/>
                <w:lang w:eastAsia="zh-CN"/>
              </w:rPr>
              <w:t>段管材采用1.6Mpa的100级DN32PE管，长266.6m。</w:t>
            </w:r>
          </w:p>
          <w:p w14:paraId="022DB121">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进出口和管段间距≥150m处均设置C20砼镇墩。</w:t>
            </w:r>
          </w:p>
        </w:tc>
      </w:tr>
      <w:tr w14:paraId="16C5AB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shd w:val="clear" w:color="auto" w:fill="auto"/>
            <w:noWrap w:val="0"/>
            <w:vAlign w:val="center"/>
          </w:tcPr>
          <w:p w14:paraId="64569150">
            <w:pPr>
              <w:spacing w:line="300" w:lineRule="exact"/>
              <w:jc w:val="center"/>
              <w:rPr>
                <w:rFonts w:ascii="Arial" w:hAnsi="Arial" w:cs="Arial"/>
                <w:bCs/>
                <w:sz w:val="22"/>
                <w:szCs w:val="22"/>
              </w:rPr>
            </w:pPr>
          </w:p>
        </w:tc>
        <w:tc>
          <w:tcPr>
            <w:tcW w:w="645" w:type="dxa"/>
            <w:gridSpan w:val="2"/>
            <w:vMerge w:val="continue"/>
            <w:shd w:val="clear" w:color="auto" w:fill="auto"/>
            <w:noWrap w:val="0"/>
            <w:vAlign w:val="center"/>
          </w:tcPr>
          <w:p w14:paraId="0CA58A43">
            <w:pPr>
              <w:spacing w:line="300" w:lineRule="exact"/>
              <w:jc w:val="center"/>
              <w:rPr>
                <w:rFonts w:ascii="Arial" w:hAnsi="宋体" w:cs="Arial"/>
                <w:bCs/>
                <w:sz w:val="22"/>
                <w:szCs w:val="22"/>
              </w:rPr>
            </w:pPr>
          </w:p>
        </w:tc>
        <w:tc>
          <w:tcPr>
            <w:tcW w:w="513" w:type="dxa"/>
            <w:vMerge w:val="restart"/>
            <w:shd w:val="clear" w:color="auto" w:fill="auto"/>
            <w:noWrap w:val="0"/>
            <w:vAlign w:val="center"/>
          </w:tcPr>
          <w:p w14:paraId="0F77C809">
            <w:pPr>
              <w:spacing w:line="300" w:lineRule="exact"/>
              <w:jc w:val="center"/>
              <w:rPr>
                <w:rFonts w:hint="eastAsia" w:ascii="Arial" w:hAnsi="Arial" w:cs="Arial"/>
                <w:bCs/>
                <w:sz w:val="22"/>
                <w:szCs w:val="22"/>
                <w:lang w:eastAsia="zh-CN"/>
              </w:rPr>
            </w:pPr>
            <w:r>
              <w:rPr>
                <w:rFonts w:hint="eastAsia" w:ascii="Arial" w:hAnsi="Arial" w:cs="Arial"/>
                <w:bCs/>
                <w:sz w:val="22"/>
                <w:szCs w:val="22"/>
                <w:lang w:eastAsia="zh-CN"/>
              </w:rPr>
              <w:t>樊家湾支管</w:t>
            </w:r>
          </w:p>
        </w:tc>
        <w:tc>
          <w:tcPr>
            <w:tcW w:w="734" w:type="dxa"/>
            <w:shd w:val="clear" w:color="auto" w:fill="auto"/>
            <w:noWrap w:val="0"/>
            <w:vAlign w:val="center"/>
          </w:tcPr>
          <w:p w14:paraId="350EE3BF">
            <w:pPr>
              <w:spacing w:line="300" w:lineRule="exact"/>
              <w:jc w:val="center"/>
              <w:rPr>
                <w:rFonts w:hint="eastAsia" w:ascii="Arial" w:hAnsi="Arial" w:cs="Arial"/>
                <w:bCs/>
                <w:sz w:val="22"/>
                <w:szCs w:val="22"/>
                <w:lang w:eastAsia="zh-CN"/>
              </w:rPr>
            </w:pPr>
            <w:r>
              <w:rPr>
                <w:rFonts w:hint="eastAsia" w:ascii="Arial" w:hAnsi="Arial" w:cs="Arial"/>
                <w:bCs/>
                <w:sz w:val="22"/>
                <w:szCs w:val="22"/>
                <w:lang w:eastAsia="zh-CN"/>
              </w:rPr>
              <w:t>管线</w:t>
            </w:r>
          </w:p>
        </w:tc>
        <w:tc>
          <w:tcPr>
            <w:tcW w:w="6979" w:type="dxa"/>
            <w:noWrap w:val="0"/>
            <w:vAlign w:val="center"/>
          </w:tcPr>
          <w:p w14:paraId="00A8847A">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樊家湾支管设计线路为：双龙干管3#分水口→樊家湾支管→樊家湾水池。长7</w:t>
            </w:r>
            <w:r>
              <w:rPr>
                <w:rFonts w:hint="eastAsia" w:ascii="Arial" w:hAnsi="Arial" w:cs="Arial"/>
                <w:bCs/>
                <w:sz w:val="22"/>
                <w:szCs w:val="22"/>
                <w:lang w:val="en-US" w:eastAsia="zh-CN"/>
              </w:rPr>
              <w:t>10</w:t>
            </w:r>
            <w:r>
              <w:rPr>
                <w:rFonts w:hint="eastAsia" w:ascii="Arial" w:hAnsi="Arial" w:cs="Arial"/>
                <w:bCs/>
                <w:sz w:val="22"/>
                <w:szCs w:val="22"/>
                <w:lang w:eastAsia="zh-CN"/>
              </w:rPr>
              <w:t>m，桩号为</w:t>
            </w:r>
            <w:r>
              <w:rPr>
                <w:rFonts w:hint="eastAsia" w:ascii="Arial" w:hAnsi="Arial" w:cs="Arial"/>
                <w:bCs/>
                <w:sz w:val="22"/>
                <w:szCs w:val="22"/>
                <w:lang w:val="en-US" w:eastAsia="zh-CN"/>
              </w:rPr>
              <w:t>FZ0+000~FZ0+710，</w:t>
            </w:r>
            <w:r>
              <w:rPr>
                <w:rFonts w:hint="eastAsia" w:ascii="Arial" w:hAnsi="Arial" w:cs="Arial"/>
                <w:bCs/>
                <w:sz w:val="22"/>
                <w:szCs w:val="22"/>
                <w:lang w:eastAsia="zh-CN"/>
              </w:rPr>
              <w:t>管首设计流量0.0005m</w:t>
            </w:r>
            <w:r>
              <w:rPr>
                <w:rFonts w:hint="eastAsia" w:ascii="Arial" w:hAnsi="Arial" w:cs="Arial"/>
                <w:bCs/>
                <w:sz w:val="22"/>
                <w:szCs w:val="22"/>
                <w:vertAlign w:val="superscript"/>
                <w:lang w:val="en-US" w:eastAsia="zh-CN"/>
              </w:rPr>
              <w:t>3</w:t>
            </w:r>
            <w:r>
              <w:rPr>
                <w:rFonts w:hint="eastAsia" w:ascii="Arial" w:hAnsi="Arial" w:cs="Arial"/>
                <w:bCs/>
                <w:sz w:val="22"/>
                <w:szCs w:val="22"/>
                <w:lang w:eastAsia="zh-CN"/>
              </w:rPr>
              <w:t>/s，由输水管道组成，采用地埋式，埋深不小于0.7m。</w:t>
            </w:r>
          </w:p>
          <w:p w14:paraId="033AA09B">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管首配套流量计（</w:t>
            </w:r>
            <w:r>
              <w:rPr>
                <w:rFonts w:hint="eastAsia" w:ascii="Arial" w:hAnsi="Arial" w:cs="Arial"/>
                <w:bCs/>
                <w:sz w:val="22"/>
                <w:szCs w:val="22"/>
                <w:lang w:val="en-US" w:eastAsia="zh-CN"/>
              </w:rPr>
              <w:t>DN</w:t>
            </w:r>
            <w:r>
              <w:rPr>
                <w:rFonts w:hint="eastAsia" w:ascii="Arial" w:hAnsi="Arial" w:cs="Arial"/>
                <w:bCs/>
                <w:sz w:val="22"/>
                <w:szCs w:val="22"/>
                <w:lang w:eastAsia="zh-CN"/>
              </w:rPr>
              <w:t>100）1个，控制阀（</w:t>
            </w:r>
            <w:r>
              <w:rPr>
                <w:rFonts w:hint="eastAsia" w:ascii="Arial" w:hAnsi="Arial" w:cs="Arial"/>
                <w:bCs/>
                <w:sz w:val="22"/>
                <w:szCs w:val="22"/>
                <w:lang w:val="en-US" w:eastAsia="zh-CN"/>
              </w:rPr>
              <w:t>DN</w:t>
            </w:r>
            <w:r>
              <w:rPr>
                <w:rFonts w:hint="eastAsia" w:ascii="Arial" w:hAnsi="Arial" w:cs="Arial"/>
                <w:bCs/>
                <w:sz w:val="22"/>
                <w:szCs w:val="22"/>
                <w:lang w:eastAsia="zh-CN"/>
              </w:rPr>
              <w:t>100，2.0Mpa）2套，分水阀（</w:t>
            </w:r>
            <w:r>
              <w:rPr>
                <w:rFonts w:hint="eastAsia" w:ascii="Arial" w:hAnsi="Arial" w:cs="Arial"/>
                <w:bCs/>
                <w:sz w:val="22"/>
                <w:szCs w:val="22"/>
                <w:lang w:val="en-US" w:eastAsia="zh-CN"/>
              </w:rPr>
              <w:t>DN</w:t>
            </w:r>
            <w:r>
              <w:rPr>
                <w:rFonts w:hint="eastAsia" w:ascii="Arial" w:hAnsi="Arial" w:cs="Arial"/>
                <w:bCs/>
                <w:sz w:val="22"/>
                <w:szCs w:val="22"/>
                <w:lang w:eastAsia="zh-CN"/>
              </w:rPr>
              <w:t>100，2.0Mpa）1套，检修阀（</w:t>
            </w:r>
            <w:r>
              <w:rPr>
                <w:rFonts w:hint="eastAsia" w:ascii="Arial" w:hAnsi="Arial" w:cs="Arial"/>
                <w:bCs/>
                <w:sz w:val="22"/>
                <w:szCs w:val="22"/>
                <w:lang w:val="en-US" w:eastAsia="zh-CN"/>
              </w:rPr>
              <w:t>DN</w:t>
            </w:r>
            <w:r>
              <w:rPr>
                <w:rFonts w:hint="eastAsia" w:ascii="Arial" w:hAnsi="Arial" w:cs="Arial"/>
                <w:bCs/>
                <w:sz w:val="22"/>
                <w:szCs w:val="22"/>
                <w:lang w:eastAsia="zh-CN"/>
              </w:rPr>
              <w:t>100，2.0Mpa）2套；沿线凸起处增设排气阀（</w:t>
            </w:r>
            <w:r>
              <w:rPr>
                <w:rFonts w:hint="eastAsia" w:ascii="Arial" w:hAnsi="Arial" w:cs="Arial"/>
                <w:bCs/>
                <w:sz w:val="22"/>
                <w:szCs w:val="22"/>
                <w:lang w:val="en-US" w:eastAsia="zh-CN"/>
              </w:rPr>
              <w:t>DN</w:t>
            </w:r>
            <w:r>
              <w:rPr>
                <w:rFonts w:hint="eastAsia" w:ascii="Arial" w:hAnsi="Arial" w:cs="Arial"/>
                <w:bCs/>
                <w:sz w:val="22"/>
                <w:szCs w:val="22"/>
                <w:lang w:eastAsia="zh-CN"/>
              </w:rPr>
              <w:t>500）共计2个，管道沿线低洼处增设排泥阀（</w:t>
            </w:r>
            <w:r>
              <w:rPr>
                <w:rFonts w:hint="eastAsia" w:ascii="Arial" w:hAnsi="Arial" w:cs="Arial"/>
                <w:bCs/>
                <w:sz w:val="22"/>
                <w:szCs w:val="22"/>
                <w:lang w:val="en-US" w:eastAsia="zh-CN"/>
              </w:rPr>
              <w:t>DN</w:t>
            </w:r>
            <w:r>
              <w:rPr>
                <w:rFonts w:hint="eastAsia" w:ascii="Arial" w:hAnsi="Arial" w:cs="Arial"/>
                <w:bCs/>
                <w:sz w:val="22"/>
                <w:szCs w:val="22"/>
                <w:lang w:eastAsia="zh-CN"/>
              </w:rPr>
              <w:t>50）共计2个。</w:t>
            </w:r>
          </w:p>
          <w:p w14:paraId="3FB9D90F">
            <w:pPr>
              <w:spacing w:line="300" w:lineRule="exact"/>
              <w:jc w:val="both"/>
              <w:rPr>
                <w:rFonts w:hint="eastAsia" w:ascii="Arial" w:hAnsi="Arial" w:cs="Arial"/>
                <w:bCs/>
                <w:sz w:val="22"/>
                <w:szCs w:val="22"/>
                <w:lang w:eastAsia="zh-CN"/>
              </w:rPr>
            </w:pPr>
            <w:r>
              <w:rPr>
                <w:rFonts w:hint="eastAsia" w:ascii="Arial" w:hAnsi="Arial" w:cs="Arial"/>
                <w:bCs/>
                <w:sz w:val="22"/>
                <w:szCs w:val="22"/>
                <w:lang w:val="en-US" w:eastAsia="zh-CN"/>
              </w:rPr>
              <w:t>FZ</w:t>
            </w:r>
            <w:r>
              <w:rPr>
                <w:rFonts w:hint="eastAsia" w:ascii="Arial" w:hAnsi="Arial" w:cs="Arial"/>
                <w:bCs/>
                <w:sz w:val="22"/>
                <w:szCs w:val="22"/>
                <w:lang w:eastAsia="zh-CN"/>
              </w:rPr>
              <w:t>0+000.0</w:t>
            </w:r>
            <w:r>
              <w:rPr>
                <w:rFonts w:hint="eastAsia" w:ascii="Arial" w:hAnsi="Arial" w:cs="Arial"/>
                <w:bCs/>
                <w:sz w:val="22"/>
                <w:szCs w:val="22"/>
                <w:lang w:val="en-US" w:eastAsia="zh-CN"/>
              </w:rPr>
              <w:t>~FZ</w:t>
            </w:r>
            <w:r>
              <w:rPr>
                <w:rFonts w:hint="eastAsia" w:ascii="Arial" w:hAnsi="Arial" w:cs="Arial"/>
                <w:bCs/>
                <w:sz w:val="22"/>
                <w:szCs w:val="22"/>
                <w:lang w:eastAsia="zh-CN"/>
              </w:rPr>
              <w:t>0+524.54段管材采用DN48涂塑钢管，长534.71m；</w:t>
            </w:r>
            <w:r>
              <w:rPr>
                <w:rFonts w:hint="eastAsia" w:ascii="Arial" w:hAnsi="Arial" w:cs="Arial"/>
                <w:bCs/>
                <w:sz w:val="22"/>
                <w:szCs w:val="22"/>
                <w:lang w:val="en-US" w:eastAsia="zh-CN"/>
              </w:rPr>
              <w:t>FZ</w:t>
            </w:r>
            <w:r>
              <w:rPr>
                <w:rFonts w:hint="eastAsia" w:ascii="Arial" w:hAnsi="Arial" w:cs="Arial"/>
                <w:bCs/>
                <w:sz w:val="22"/>
                <w:szCs w:val="22"/>
                <w:lang w:eastAsia="zh-CN"/>
              </w:rPr>
              <w:t>0+524.54</w:t>
            </w:r>
            <w:r>
              <w:rPr>
                <w:rFonts w:hint="eastAsia" w:ascii="Arial" w:hAnsi="Arial" w:cs="Arial"/>
                <w:bCs/>
                <w:sz w:val="22"/>
                <w:szCs w:val="22"/>
                <w:lang w:val="en-US" w:eastAsia="zh-CN"/>
              </w:rPr>
              <w:t>~FZ</w:t>
            </w:r>
            <w:r>
              <w:rPr>
                <w:rFonts w:hint="eastAsia" w:ascii="Arial" w:hAnsi="Arial" w:cs="Arial"/>
                <w:bCs/>
                <w:sz w:val="22"/>
                <w:szCs w:val="22"/>
                <w:lang w:eastAsia="zh-CN"/>
              </w:rPr>
              <w:t>0+</w:t>
            </w:r>
            <w:r>
              <w:rPr>
                <w:rFonts w:hint="eastAsia" w:ascii="Arial" w:hAnsi="Arial" w:cs="Arial"/>
                <w:bCs/>
                <w:sz w:val="22"/>
                <w:szCs w:val="22"/>
                <w:lang w:val="en-US" w:eastAsia="zh-CN"/>
              </w:rPr>
              <w:t>710</w:t>
            </w:r>
            <w:r>
              <w:rPr>
                <w:rFonts w:hint="eastAsia" w:ascii="Arial" w:hAnsi="Arial" w:cs="Arial"/>
                <w:bCs/>
                <w:sz w:val="22"/>
                <w:szCs w:val="22"/>
                <w:lang w:eastAsia="zh-CN"/>
              </w:rPr>
              <w:t>段管材采用1.6Mpa的100级DN32PE管，长173.65m。</w:t>
            </w:r>
          </w:p>
          <w:p w14:paraId="06AA662A">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进出口和管段间距≥150m处均设置C20砼镇墩。</w:t>
            </w:r>
          </w:p>
        </w:tc>
      </w:tr>
      <w:tr w14:paraId="745B38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656" w:type="dxa"/>
            <w:vMerge w:val="continue"/>
            <w:shd w:val="clear" w:color="auto" w:fill="auto"/>
            <w:noWrap w:val="0"/>
            <w:vAlign w:val="center"/>
          </w:tcPr>
          <w:p w14:paraId="02DA0BFA">
            <w:pPr>
              <w:spacing w:line="300" w:lineRule="exact"/>
              <w:jc w:val="center"/>
              <w:rPr>
                <w:rFonts w:ascii="Arial" w:hAnsi="Arial" w:cs="Arial"/>
                <w:bCs/>
                <w:sz w:val="22"/>
                <w:szCs w:val="22"/>
              </w:rPr>
            </w:pPr>
          </w:p>
        </w:tc>
        <w:tc>
          <w:tcPr>
            <w:tcW w:w="645" w:type="dxa"/>
            <w:gridSpan w:val="2"/>
            <w:vMerge w:val="continue"/>
            <w:shd w:val="clear" w:color="auto" w:fill="auto"/>
            <w:noWrap w:val="0"/>
            <w:vAlign w:val="center"/>
          </w:tcPr>
          <w:p w14:paraId="0EF39056">
            <w:pPr>
              <w:spacing w:line="300" w:lineRule="exact"/>
              <w:jc w:val="center"/>
              <w:rPr>
                <w:rFonts w:ascii="Arial" w:hAnsi="宋体" w:cs="Arial"/>
                <w:bCs/>
                <w:sz w:val="22"/>
                <w:szCs w:val="22"/>
              </w:rPr>
            </w:pPr>
          </w:p>
        </w:tc>
        <w:tc>
          <w:tcPr>
            <w:tcW w:w="513" w:type="dxa"/>
            <w:vMerge w:val="continue"/>
            <w:shd w:val="clear" w:color="auto" w:fill="auto"/>
            <w:noWrap w:val="0"/>
            <w:vAlign w:val="center"/>
          </w:tcPr>
          <w:p w14:paraId="49B798AE">
            <w:pPr>
              <w:spacing w:line="300" w:lineRule="exact"/>
              <w:jc w:val="center"/>
              <w:rPr>
                <w:rFonts w:hint="eastAsia" w:ascii="Arial" w:hAnsi="Arial" w:cs="Arial"/>
                <w:bCs/>
                <w:sz w:val="22"/>
                <w:szCs w:val="22"/>
                <w:lang w:eastAsia="zh-CN"/>
              </w:rPr>
            </w:pPr>
          </w:p>
        </w:tc>
        <w:tc>
          <w:tcPr>
            <w:tcW w:w="734" w:type="dxa"/>
            <w:shd w:val="clear" w:color="auto" w:fill="auto"/>
            <w:noWrap w:val="0"/>
            <w:vAlign w:val="center"/>
          </w:tcPr>
          <w:p w14:paraId="3CE734F0">
            <w:pPr>
              <w:spacing w:line="300" w:lineRule="exact"/>
              <w:jc w:val="center"/>
              <w:rPr>
                <w:rFonts w:hint="eastAsia" w:ascii="Arial" w:hAnsi="Arial" w:cs="Arial"/>
                <w:bCs/>
                <w:sz w:val="22"/>
                <w:szCs w:val="22"/>
                <w:lang w:eastAsia="zh-CN"/>
              </w:rPr>
            </w:pPr>
            <w:r>
              <w:rPr>
                <w:rFonts w:hint="eastAsia" w:ascii="Arial" w:hAnsi="Arial" w:cs="Arial"/>
                <w:bCs/>
                <w:sz w:val="22"/>
                <w:szCs w:val="22"/>
                <w:lang w:eastAsia="zh-CN"/>
              </w:rPr>
              <w:t>分水阀</w:t>
            </w:r>
          </w:p>
        </w:tc>
        <w:tc>
          <w:tcPr>
            <w:tcW w:w="6979" w:type="dxa"/>
            <w:noWrap w:val="0"/>
            <w:vAlign w:val="center"/>
          </w:tcPr>
          <w:p w14:paraId="18F214E9">
            <w:pPr>
              <w:spacing w:line="300" w:lineRule="exact"/>
              <w:jc w:val="both"/>
              <w:rPr>
                <w:rFonts w:hint="eastAsia" w:ascii="Arial" w:hAnsi="Arial" w:cs="Arial"/>
                <w:bCs/>
                <w:sz w:val="22"/>
                <w:szCs w:val="22"/>
                <w:lang w:val="en-US" w:eastAsia="zh-CN"/>
              </w:rPr>
            </w:pPr>
            <w:r>
              <w:rPr>
                <w:rFonts w:hint="eastAsia" w:ascii="Arial" w:hAnsi="Arial" w:cs="Arial"/>
                <w:bCs/>
                <w:sz w:val="22"/>
                <w:szCs w:val="22"/>
                <w:lang w:eastAsia="zh-CN"/>
              </w:rPr>
              <w:t>在樊家湾支管</w:t>
            </w:r>
            <w:r>
              <w:rPr>
                <w:rFonts w:hint="eastAsia" w:ascii="Arial" w:hAnsi="Arial" w:cs="Arial"/>
                <w:bCs/>
                <w:sz w:val="22"/>
                <w:szCs w:val="22"/>
                <w:lang w:val="en-US" w:eastAsia="zh-CN"/>
              </w:rPr>
              <w:t>FZ</w:t>
            </w:r>
            <w:r>
              <w:rPr>
                <w:rFonts w:hint="eastAsia" w:ascii="Arial" w:hAnsi="Arial" w:cs="Arial"/>
                <w:bCs/>
                <w:sz w:val="22"/>
                <w:szCs w:val="22"/>
                <w:lang w:eastAsia="zh-CN"/>
              </w:rPr>
              <w:t>0+685.54处设置有1个分水阀。</w:t>
            </w:r>
          </w:p>
        </w:tc>
      </w:tr>
      <w:tr w14:paraId="5A7E6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shd w:val="clear" w:color="auto" w:fill="auto"/>
            <w:noWrap w:val="0"/>
            <w:vAlign w:val="center"/>
          </w:tcPr>
          <w:p w14:paraId="5A9C9535">
            <w:pPr>
              <w:spacing w:line="300" w:lineRule="exact"/>
              <w:jc w:val="center"/>
              <w:rPr>
                <w:rFonts w:ascii="Arial" w:hAnsi="Arial" w:cs="Arial"/>
                <w:bCs/>
                <w:sz w:val="22"/>
                <w:szCs w:val="22"/>
              </w:rPr>
            </w:pPr>
          </w:p>
        </w:tc>
        <w:tc>
          <w:tcPr>
            <w:tcW w:w="645" w:type="dxa"/>
            <w:gridSpan w:val="2"/>
            <w:vMerge w:val="continue"/>
            <w:shd w:val="clear" w:color="auto" w:fill="auto"/>
            <w:noWrap w:val="0"/>
            <w:vAlign w:val="center"/>
          </w:tcPr>
          <w:p w14:paraId="296FFB31">
            <w:pPr>
              <w:spacing w:line="300" w:lineRule="exact"/>
              <w:jc w:val="center"/>
              <w:rPr>
                <w:rFonts w:ascii="Arial" w:hAnsi="宋体" w:cs="Arial"/>
                <w:bCs/>
                <w:sz w:val="22"/>
                <w:szCs w:val="22"/>
              </w:rPr>
            </w:pPr>
          </w:p>
        </w:tc>
        <w:tc>
          <w:tcPr>
            <w:tcW w:w="513" w:type="dxa"/>
            <w:shd w:val="clear" w:color="auto" w:fill="auto"/>
            <w:noWrap w:val="0"/>
            <w:vAlign w:val="center"/>
          </w:tcPr>
          <w:p w14:paraId="151A0888">
            <w:pPr>
              <w:spacing w:line="300" w:lineRule="exact"/>
              <w:jc w:val="center"/>
              <w:rPr>
                <w:rFonts w:hint="eastAsia" w:ascii="Arial" w:hAnsi="Arial" w:cs="Arial"/>
                <w:bCs/>
                <w:sz w:val="22"/>
                <w:szCs w:val="22"/>
                <w:lang w:eastAsia="zh-CN"/>
              </w:rPr>
            </w:pPr>
            <w:r>
              <w:rPr>
                <w:rFonts w:hint="eastAsia" w:ascii="Arial" w:hAnsi="Arial" w:cs="Arial"/>
                <w:bCs/>
                <w:sz w:val="22"/>
                <w:szCs w:val="22"/>
                <w:lang w:eastAsia="zh-CN"/>
              </w:rPr>
              <w:t>三角冲支管</w:t>
            </w:r>
          </w:p>
        </w:tc>
        <w:tc>
          <w:tcPr>
            <w:tcW w:w="734" w:type="dxa"/>
            <w:shd w:val="clear" w:color="auto" w:fill="auto"/>
            <w:noWrap w:val="0"/>
            <w:vAlign w:val="center"/>
          </w:tcPr>
          <w:p w14:paraId="4ADEF760">
            <w:pPr>
              <w:spacing w:line="300" w:lineRule="exact"/>
              <w:jc w:val="center"/>
              <w:rPr>
                <w:rFonts w:hint="eastAsia" w:ascii="Arial" w:hAnsi="Arial" w:cs="Arial"/>
                <w:bCs/>
                <w:sz w:val="22"/>
                <w:szCs w:val="22"/>
                <w:lang w:eastAsia="zh-CN"/>
              </w:rPr>
            </w:pPr>
            <w:r>
              <w:rPr>
                <w:rFonts w:hint="eastAsia" w:ascii="Arial" w:hAnsi="Arial" w:cs="Arial"/>
                <w:bCs/>
                <w:sz w:val="22"/>
                <w:szCs w:val="22"/>
                <w:lang w:eastAsia="zh-CN"/>
              </w:rPr>
              <w:t>管线</w:t>
            </w:r>
          </w:p>
        </w:tc>
        <w:tc>
          <w:tcPr>
            <w:tcW w:w="6979" w:type="dxa"/>
            <w:noWrap w:val="0"/>
            <w:vAlign w:val="center"/>
          </w:tcPr>
          <w:p w14:paraId="632116D4">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三角冲支管设计线路为：樊家湾支管分水口→三角冲支管→三角冲水池。长3</w:t>
            </w:r>
            <w:r>
              <w:rPr>
                <w:rFonts w:hint="eastAsia" w:ascii="Arial" w:hAnsi="Arial" w:cs="Arial"/>
                <w:bCs/>
                <w:sz w:val="22"/>
                <w:szCs w:val="22"/>
                <w:lang w:val="en-US" w:eastAsia="zh-CN"/>
              </w:rPr>
              <w:t>10</w:t>
            </w:r>
            <w:r>
              <w:rPr>
                <w:rFonts w:hint="eastAsia" w:ascii="Arial" w:hAnsi="Arial" w:cs="Arial"/>
                <w:bCs/>
                <w:sz w:val="22"/>
                <w:szCs w:val="22"/>
                <w:lang w:eastAsia="zh-CN"/>
              </w:rPr>
              <w:t>m，桩号为</w:t>
            </w:r>
            <w:r>
              <w:rPr>
                <w:rFonts w:hint="eastAsia" w:ascii="Arial" w:hAnsi="Arial" w:cs="Arial"/>
                <w:bCs/>
                <w:sz w:val="22"/>
                <w:szCs w:val="22"/>
                <w:lang w:val="en-US" w:eastAsia="zh-CN"/>
              </w:rPr>
              <w:t>SZ0+000~SZ0+310，</w:t>
            </w:r>
            <w:r>
              <w:rPr>
                <w:rFonts w:hint="eastAsia" w:ascii="Arial" w:hAnsi="Arial" w:cs="Arial"/>
                <w:bCs/>
                <w:sz w:val="22"/>
                <w:szCs w:val="22"/>
                <w:lang w:eastAsia="zh-CN"/>
              </w:rPr>
              <w:t>管首设计流量0.0002m</w:t>
            </w:r>
            <w:r>
              <w:rPr>
                <w:rFonts w:hint="eastAsia" w:ascii="Arial" w:hAnsi="Arial" w:cs="Arial"/>
                <w:bCs/>
                <w:sz w:val="22"/>
                <w:szCs w:val="22"/>
                <w:vertAlign w:val="superscript"/>
                <w:lang w:val="en-US" w:eastAsia="zh-CN"/>
              </w:rPr>
              <w:t>3</w:t>
            </w:r>
            <w:r>
              <w:rPr>
                <w:rFonts w:hint="eastAsia" w:ascii="Arial" w:hAnsi="Arial" w:cs="Arial"/>
                <w:bCs/>
                <w:sz w:val="22"/>
                <w:szCs w:val="22"/>
                <w:lang w:eastAsia="zh-CN"/>
              </w:rPr>
              <w:t>/s，由输水管道组成，采用地埋式，埋深不小于0.7m。</w:t>
            </w:r>
          </w:p>
          <w:p w14:paraId="2EF1AB22">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管首配套流量计（</w:t>
            </w:r>
            <w:r>
              <w:rPr>
                <w:rFonts w:hint="eastAsia" w:ascii="Arial" w:hAnsi="Arial" w:cs="Arial"/>
                <w:bCs/>
                <w:sz w:val="22"/>
                <w:szCs w:val="22"/>
                <w:lang w:val="en-US" w:eastAsia="zh-CN"/>
              </w:rPr>
              <w:t>DN</w:t>
            </w:r>
            <w:r>
              <w:rPr>
                <w:rFonts w:hint="eastAsia" w:ascii="Arial" w:hAnsi="Arial" w:cs="Arial"/>
                <w:bCs/>
                <w:sz w:val="22"/>
                <w:szCs w:val="22"/>
                <w:lang w:eastAsia="zh-CN"/>
              </w:rPr>
              <w:t>100）1个，控制阀（</w:t>
            </w:r>
            <w:r>
              <w:rPr>
                <w:rFonts w:hint="eastAsia" w:ascii="Arial" w:hAnsi="Arial" w:cs="Arial"/>
                <w:bCs/>
                <w:sz w:val="22"/>
                <w:szCs w:val="22"/>
                <w:lang w:val="en-US" w:eastAsia="zh-CN"/>
              </w:rPr>
              <w:t>DN</w:t>
            </w:r>
            <w:r>
              <w:rPr>
                <w:rFonts w:hint="eastAsia" w:ascii="Arial" w:hAnsi="Arial" w:cs="Arial"/>
                <w:bCs/>
                <w:sz w:val="22"/>
                <w:szCs w:val="22"/>
                <w:lang w:eastAsia="zh-CN"/>
              </w:rPr>
              <w:t>100，2.0Mpa）1套，检修阀（</w:t>
            </w:r>
            <w:r>
              <w:rPr>
                <w:rFonts w:hint="eastAsia" w:ascii="Arial" w:hAnsi="Arial" w:cs="Arial"/>
                <w:bCs/>
                <w:sz w:val="22"/>
                <w:szCs w:val="22"/>
                <w:lang w:val="en-US" w:eastAsia="zh-CN"/>
              </w:rPr>
              <w:t>DN</w:t>
            </w:r>
            <w:r>
              <w:rPr>
                <w:rFonts w:hint="eastAsia" w:ascii="Arial" w:hAnsi="Arial" w:cs="Arial"/>
                <w:bCs/>
                <w:sz w:val="22"/>
                <w:szCs w:val="22"/>
                <w:lang w:eastAsia="zh-CN"/>
              </w:rPr>
              <w:t>100，2.0Mpa）1套；沿线凸起处增设排气阀（</w:t>
            </w:r>
            <w:r>
              <w:rPr>
                <w:rFonts w:hint="eastAsia" w:ascii="Arial" w:hAnsi="Arial" w:cs="Arial"/>
                <w:bCs/>
                <w:sz w:val="22"/>
                <w:szCs w:val="22"/>
                <w:lang w:val="en-US" w:eastAsia="zh-CN"/>
              </w:rPr>
              <w:t>DN</w:t>
            </w:r>
            <w:r>
              <w:rPr>
                <w:rFonts w:hint="eastAsia" w:ascii="Arial" w:hAnsi="Arial" w:cs="Arial"/>
                <w:bCs/>
                <w:sz w:val="22"/>
                <w:szCs w:val="22"/>
                <w:lang w:eastAsia="zh-CN"/>
              </w:rPr>
              <w:t>500）共计4个，管道沿线低洼处增设排泥阀（</w:t>
            </w:r>
            <w:r>
              <w:rPr>
                <w:rFonts w:hint="eastAsia" w:ascii="Arial" w:hAnsi="Arial" w:cs="Arial"/>
                <w:bCs/>
                <w:sz w:val="22"/>
                <w:szCs w:val="22"/>
                <w:lang w:val="en-US" w:eastAsia="zh-CN"/>
              </w:rPr>
              <w:t>ND</w:t>
            </w:r>
            <w:r>
              <w:rPr>
                <w:rFonts w:hint="eastAsia" w:ascii="Arial" w:hAnsi="Arial" w:cs="Arial"/>
                <w:bCs/>
                <w:sz w:val="22"/>
                <w:szCs w:val="22"/>
                <w:lang w:eastAsia="zh-CN"/>
              </w:rPr>
              <w:t>50）共计4个。</w:t>
            </w:r>
          </w:p>
          <w:p w14:paraId="3C20B312">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管材采用1.6Mpa的100级DN32PE管，长3</w:t>
            </w:r>
            <w:r>
              <w:rPr>
                <w:rFonts w:hint="eastAsia" w:ascii="Arial" w:hAnsi="Arial" w:cs="Arial"/>
                <w:bCs/>
                <w:sz w:val="22"/>
                <w:szCs w:val="22"/>
                <w:lang w:val="en-US" w:eastAsia="zh-CN"/>
              </w:rPr>
              <w:t>10</w:t>
            </w:r>
            <w:r>
              <w:rPr>
                <w:rFonts w:hint="eastAsia" w:ascii="Arial" w:hAnsi="Arial" w:cs="Arial"/>
                <w:bCs/>
                <w:sz w:val="22"/>
                <w:szCs w:val="22"/>
                <w:lang w:eastAsia="zh-CN"/>
              </w:rPr>
              <w:t>m。</w:t>
            </w:r>
          </w:p>
          <w:p w14:paraId="2F7702E2">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进出口和管段间距≥150m处均设置C20砼镇墩</w:t>
            </w:r>
            <w:r>
              <w:rPr>
                <w:rFonts w:hint="default" w:ascii="Arial" w:hAnsi="Arial" w:cs="Arial"/>
                <w:bCs/>
                <w:sz w:val="22"/>
                <w:szCs w:val="22"/>
                <w:lang w:val="zh-CN" w:eastAsia="zh-CN"/>
              </w:rPr>
              <w:t>。</w:t>
            </w:r>
          </w:p>
        </w:tc>
      </w:tr>
      <w:tr w14:paraId="7F9A5F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shd w:val="clear" w:color="auto" w:fill="auto"/>
            <w:noWrap w:val="0"/>
            <w:vAlign w:val="center"/>
          </w:tcPr>
          <w:p w14:paraId="00BA14E6">
            <w:pPr>
              <w:spacing w:line="300" w:lineRule="exact"/>
              <w:jc w:val="center"/>
              <w:rPr>
                <w:rFonts w:ascii="Arial" w:hAnsi="Arial" w:cs="Arial"/>
                <w:bCs/>
                <w:sz w:val="22"/>
                <w:szCs w:val="22"/>
              </w:rPr>
            </w:pPr>
          </w:p>
        </w:tc>
        <w:tc>
          <w:tcPr>
            <w:tcW w:w="645" w:type="dxa"/>
            <w:gridSpan w:val="2"/>
            <w:vMerge w:val="continue"/>
            <w:shd w:val="clear" w:color="auto" w:fill="auto"/>
            <w:noWrap w:val="0"/>
            <w:vAlign w:val="center"/>
          </w:tcPr>
          <w:p w14:paraId="67DE9AEF">
            <w:pPr>
              <w:spacing w:line="300" w:lineRule="exact"/>
              <w:jc w:val="center"/>
              <w:rPr>
                <w:rFonts w:ascii="Arial" w:hAnsi="宋体" w:cs="Arial"/>
                <w:bCs/>
                <w:sz w:val="22"/>
                <w:szCs w:val="22"/>
              </w:rPr>
            </w:pPr>
          </w:p>
        </w:tc>
        <w:tc>
          <w:tcPr>
            <w:tcW w:w="513" w:type="dxa"/>
            <w:shd w:val="clear" w:color="auto" w:fill="auto"/>
            <w:noWrap w:val="0"/>
            <w:vAlign w:val="center"/>
          </w:tcPr>
          <w:p w14:paraId="15CEB339">
            <w:pPr>
              <w:spacing w:line="300" w:lineRule="exact"/>
              <w:jc w:val="center"/>
              <w:rPr>
                <w:rFonts w:hint="eastAsia" w:ascii="Arial" w:hAnsi="Arial" w:cs="Arial"/>
                <w:bCs/>
                <w:sz w:val="22"/>
                <w:szCs w:val="22"/>
                <w:lang w:eastAsia="zh-CN"/>
              </w:rPr>
            </w:pPr>
            <w:r>
              <w:rPr>
                <w:rFonts w:hint="eastAsia" w:ascii="Arial" w:hAnsi="Arial" w:cs="Arial"/>
                <w:bCs/>
                <w:sz w:val="22"/>
                <w:szCs w:val="22"/>
                <w:lang w:eastAsia="zh-CN"/>
              </w:rPr>
              <w:t>鸦雀湾支管</w:t>
            </w:r>
          </w:p>
        </w:tc>
        <w:tc>
          <w:tcPr>
            <w:tcW w:w="734" w:type="dxa"/>
            <w:shd w:val="clear" w:color="auto" w:fill="auto"/>
            <w:noWrap w:val="0"/>
            <w:vAlign w:val="center"/>
          </w:tcPr>
          <w:p w14:paraId="448FE659">
            <w:pPr>
              <w:spacing w:line="300" w:lineRule="exact"/>
              <w:jc w:val="center"/>
              <w:rPr>
                <w:rFonts w:hint="eastAsia" w:ascii="Arial" w:hAnsi="Arial" w:cs="Arial"/>
                <w:bCs/>
                <w:sz w:val="22"/>
                <w:szCs w:val="22"/>
                <w:lang w:eastAsia="zh-CN"/>
              </w:rPr>
            </w:pPr>
            <w:r>
              <w:rPr>
                <w:rFonts w:hint="eastAsia" w:ascii="Arial" w:hAnsi="Arial" w:cs="Arial"/>
                <w:bCs/>
                <w:sz w:val="22"/>
                <w:szCs w:val="22"/>
                <w:lang w:eastAsia="zh-CN"/>
              </w:rPr>
              <w:t>管线</w:t>
            </w:r>
          </w:p>
        </w:tc>
        <w:tc>
          <w:tcPr>
            <w:tcW w:w="6979" w:type="dxa"/>
            <w:noWrap w:val="0"/>
            <w:vAlign w:val="center"/>
          </w:tcPr>
          <w:p w14:paraId="4402D92F">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鸦雀湾支管设计线路为：双龙干管4#分水口→鸦雀湾支管→鸦雀湾水池。长610m，桩号为</w:t>
            </w:r>
            <w:r>
              <w:rPr>
                <w:rFonts w:hint="eastAsia" w:ascii="Arial" w:hAnsi="Arial" w:cs="Arial"/>
                <w:bCs/>
                <w:sz w:val="22"/>
                <w:szCs w:val="22"/>
                <w:lang w:val="en-US" w:eastAsia="zh-CN"/>
              </w:rPr>
              <w:t>YZ0+000~YZ0+610，</w:t>
            </w:r>
            <w:r>
              <w:rPr>
                <w:rFonts w:hint="eastAsia" w:ascii="Arial" w:hAnsi="Arial" w:cs="Arial"/>
                <w:bCs/>
                <w:sz w:val="22"/>
                <w:szCs w:val="22"/>
                <w:lang w:eastAsia="zh-CN"/>
              </w:rPr>
              <w:t>管首设计流量0.0002m</w:t>
            </w:r>
            <w:r>
              <w:rPr>
                <w:rFonts w:hint="eastAsia" w:ascii="Arial" w:hAnsi="Arial" w:cs="Arial"/>
                <w:bCs/>
                <w:sz w:val="22"/>
                <w:szCs w:val="22"/>
                <w:vertAlign w:val="superscript"/>
                <w:lang w:val="en-US" w:eastAsia="zh-CN"/>
              </w:rPr>
              <w:t>3</w:t>
            </w:r>
            <w:r>
              <w:rPr>
                <w:rFonts w:hint="eastAsia" w:ascii="Arial" w:hAnsi="Arial" w:cs="Arial"/>
                <w:bCs/>
                <w:sz w:val="22"/>
                <w:szCs w:val="22"/>
                <w:lang w:eastAsia="zh-CN"/>
              </w:rPr>
              <w:t>/s，由输水管道组成，采用地埋式，埋深不小于0.7m。</w:t>
            </w:r>
          </w:p>
          <w:p w14:paraId="3B0C434D">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管首配套流量计（</w:t>
            </w:r>
            <w:r>
              <w:rPr>
                <w:rFonts w:hint="eastAsia" w:ascii="Arial" w:hAnsi="Arial" w:cs="Arial"/>
                <w:bCs/>
                <w:sz w:val="22"/>
                <w:szCs w:val="22"/>
                <w:lang w:val="en-US" w:eastAsia="zh-CN"/>
              </w:rPr>
              <w:t>DN</w:t>
            </w:r>
            <w:r>
              <w:rPr>
                <w:rFonts w:hint="eastAsia" w:ascii="Arial" w:hAnsi="Arial" w:cs="Arial"/>
                <w:bCs/>
                <w:sz w:val="22"/>
                <w:szCs w:val="22"/>
                <w:lang w:eastAsia="zh-CN"/>
              </w:rPr>
              <w:t>100）1个，控制阀（</w:t>
            </w:r>
            <w:r>
              <w:rPr>
                <w:rFonts w:hint="eastAsia" w:ascii="Arial" w:hAnsi="Arial" w:cs="Arial"/>
                <w:bCs/>
                <w:sz w:val="22"/>
                <w:szCs w:val="22"/>
                <w:lang w:val="en-US" w:eastAsia="zh-CN"/>
              </w:rPr>
              <w:t>DN</w:t>
            </w:r>
            <w:r>
              <w:rPr>
                <w:rFonts w:hint="eastAsia" w:ascii="Arial" w:hAnsi="Arial" w:cs="Arial"/>
                <w:bCs/>
                <w:sz w:val="22"/>
                <w:szCs w:val="22"/>
                <w:lang w:eastAsia="zh-CN"/>
              </w:rPr>
              <w:t>100，2.0Mpa）2套，检修阀（</w:t>
            </w:r>
            <w:r>
              <w:rPr>
                <w:rFonts w:hint="eastAsia" w:ascii="Arial" w:hAnsi="Arial" w:cs="Arial"/>
                <w:bCs/>
                <w:sz w:val="22"/>
                <w:szCs w:val="22"/>
                <w:lang w:val="en-US" w:eastAsia="zh-CN"/>
              </w:rPr>
              <w:t>DN</w:t>
            </w:r>
            <w:r>
              <w:rPr>
                <w:rFonts w:hint="eastAsia" w:ascii="Arial" w:hAnsi="Arial" w:cs="Arial"/>
                <w:bCs/>
                <w:sz w:val="22"/>
                <w:szCs w:val="22"/>
                <w:lang w:eastAsia="zh-CN"/>
              </w:rPr>
              <w:t>100，2.0Mpa）1套；沿线凸起处增设排气阀（</w:t>
            </w:r>
            <w:r>
              <w:rPr>
                <w:rFonts w:hint="eastAsia" w:ascii="Arial" w:hAnsi="Arial" w:cs="Arial"/>
                <w:bCs/>
                <w:sz w:val="22"/>
                <w:szCs w:val="22"/>
                <w:lang w:val="en-US" w:eastAsia="zh-CN"/>
              </w:rPr>
              <w:t>DN</w:t>
            </w:r>
            <w:r>
              <w:rPr>
                <w:rFonts w:hint="eastAsia" w:ascii="Arial" w:hAnsi="Arial" w:cs="Arial"/>
                <w:bCs/>
                <w:sz w:val="22"/>
                <w:szCs w:val="22"/>
                <w:lang w:eastAsia="zh-CN"/>
              </w:rPr>
              <w:t>500）共计2个，管道沿线低洼处增设排泥阀（</w:t>
            </w:r>
            <w:r>
              <w:rPr>
                <w:rFonts w:hint="eastAsia" w:ascii="Arial" w:hAnsi="Arial" w:cs="Arial"/>
                <w:bCs/>
                <w:sz w:val="22"/>
                <w:szCs w:val="22"/>
                <w:lang w:val="en-US" w:eastAsia="zh-CN"/>
              </w:rPr>
              <w:t>DN</w:t>
            </w:r>
            <w:r>
              <w:rPr>
                <w:rFonts w:hint="eastAsia" w:ascii="Arial" w:hAnsi="Arial" w:cs="Arial"/>
                <w:bCs/>
                <w:sz w:val="22"/>
                <w:szCs w:val="22"/>
                <w:lang w:eastAsia="zh-CN"/>
              </w:rPr>
              <w:t>50）共计2个。</w:t>
            </w:r>
            <w:r>
              <w:rPr>
                <w:rFonts w:hint="eastAsia" w:ascii="Arial" w:hAnsi="Arial" w:cs="Arial"/>
                <w:bCs/>
                <w:sz w:val="22"/>
                <w:szCs w:val="22"/>
                <w:lang w:val="en-US" w:eastAsia="zh-CN"/>
              </w:rPr>
              <w:t>YZ</w:t>
            </w:r>
            <w:r>
              <w:rPr>
                <w:rFonts w:hint="eastAsia" w:ascii="Arial" w:hAnsi="Arial" w:cs="Arial"/>
                <w:bCs/>
                <w:sz w:val="22"/>
                <w:szCs w:val="22"/>
                <w:lang w:eastAsia="zh-CN"/>
              </w:rPr>
              <w:t>0+000</w:t>
            </w:r>
            <w:r>
              <w:rPr>
                <w:rFonts w:hint="eastAsia" w:ascii="Arial" w:hAnsi="Arial" w:cs="Arial"/>
                <w:bCs/>
                <w:sz w:val="22"/>
                <w:szCs w:val="22"/>
                <w:lang w:val="en-US" w:eastAsia="zh-CN"/>
              </w:rPr>
              <w:t>~YZ</w:t>
            </w:r>
            <w:r>
              <w:rPr>
                <w:rFonts w:hint="eastAsia" w:ascii="Arial" w:hAnsi="Arial" w:cs="Arial"/>
                <w:bCs/>
                <w:sz w:val="22"/>
                <w:szCs w:val="22"/>
                <w:lang w:eastAsia="zh-CN"/>
              </w:rPr>
              <w:t>0+</w:t>
            </w:r>
            <w:r>
              <w:rPr>
                <w:rFonts w:hint="eastAsia" w:ascii="Arial" w:hAnsi="Arial" w:cs="Arial"/>
                <w:bCs/>
                <w:sz w:val="22"/>
                <w:szCs w:val="22"/>
                <w:lang w:val="en-US" w:eastAsia="zh-CN"/>
              </w:rPr>
              <w:t>610</w:t>
            </w:r>
            <w:r>
              <w:rPr>
                <w:rFonts w:hint="eastAsia" w:ascii="Arial" w:hAnsi="Arial" w:cs="Arial"/>
                <w:bCs/>
                <w:sz w:val="22"/>
                <w:szCs w:val="22"/>
                <w:lang w:eastAsia="zh-CN"/>
              </w:rPr>
              <w:t>段管材采用DN32涂塑钢管，长610m。</w:t>
            </w:r>
          </w:p>
          <w:p w14:paraId="416F2628">
            <w:pPr>
              <w:spacing w:line="300" w:lineRule="exact"/>
              <w:jc w:val="both"/>
              <w:rPr>
                <w:rFonts w:hint="eastAsia" w:ascii="Arial" w:hAnsi="Arial" w:cs="Arial"/>
                <w:bCs/>
                <w:sz w:val="22"/>
                <w:szCs w:val="22"/>
                <w:lang w:eastAsia="zh-CN"/>
              </w:rPr>
            </w:pPr>
            <w:r>
              <w:rPr>
                <w:rFonts w:hint="eastAsia" w:ascii="Arial" w:hAnsi="Arial" w:cs="Arial"/>
                <w:bCs/>
                <w:sz w:val="22"/>
                <w:szCs w:val="22"/>
                <w:lang w:eastAsia="zh-CN"/>
              </w:rPr>
              <w:t>进出口和管段间距≥150m处均设置C20砼镇墩。</w:t>
            </w:r>
          </w:p>
        </w:tc>
      </w:tr>
      <w:tr w14:paraId="74548B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restart"/>
            <w:noWrap w:val="0"/>
            <w:vAlign w:val="center"/>
          </w:tcPr>
          <w:p w14:paraId="44D3A3BF">
            <w:pPr>
              <w:spacing w:line="300" w:lineRule="exact"/>
              <w:jc w:val="center"/>
              <w:rPr>
                <w:rFonts w:hint="eastAsia" w:ascii="Arial" w:hAnsi="Arial" w:cs="Arial"/>
                <w:bCs/>
                <w:sz w:val="22"/>
                <w:szCs w:val="22"/>
              </w:rPr>
            </w:pPr>
            <w:r>
              <w:rPr>
                <w:rFonts w:hint="eastAsia" w:ascii="Arial" w:hAnsi="Arial" w:cs="Arial"/>
                <w:bCs/>
                <w:sz w:val="22"/>
                <w:szCs w:val="22"/>
              </w:rPr>
              <w:t>辅助工程</w:t>
            </w:r>
          </w:p>
        </w:tc>
        <w:tc>
          <w:tcPr>
            <w:tcW w:w="1892" w:type="dxa"/>
            <w:gridSpan w:val="4"/>
            <w:noWrap w:val="0"/>
            <w:vAlign w:val="center"/>
          </w:tcPr>
          <w:p w14:paraId="38172E33">
            <w:pPr>
              <w:spacing w:line="300" w:lineRule="exact"/>
              <w:jc w:val="center"/>
              <w:rPr>
                <w:rFonts w:hint="eastAsia" w:ascii="Arial" w:hAnsi="宋体" w:eastAsia="宋体" w:cs="Arial"/>
                <w:bCs/>
                <w:color w:val="FF0000"/>
                <w:sz w:val="22"/>
                <w:szCs w:val="22"/>
                <w:lang w:eastAsia="zh-CN"/>
              </w:rPr>
            </w:pPr>
            <w:r>
              <w:rPr>
                <w:rFonts w:hint="eastAsia" w:ascii="Arial" w:hAnsi="宋体" w:cs="Arial"/>
                <w:bCs/>
                <w:color w:val="auto"/>
                <w:sz w:val="22"/>
                <w:szCs w:val="22"/>
                <w:lang w:eastAsia="zh-CN"/>
              </w:rPr>
              <w:t>水库管理房</w:t>
            </w:r>
          </w:p>
        </w:tc>
        <w:tc>
          <w:tcPr>
            <w:tcW w:w="6979" w:type="dxa"/>
            <w:noWrap w:val="0"/>
            <w:vAlign w:val="center"/>
          </w:tcPr>
          <w:p w14:paraId="05BBA7A4">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宋体" w:eastAsia="宋体" w:cs="Arial"/>
                <w:color w:val="FF0000"/>
                <w:spacing w:val="-4"/>
                <w:sz w:val="22"/>
                <w:szCs w:val="22"/>
                <w:lang w:val="en-US" w:eastAsia="zh-CN"/>
              </w:rPr>
            </w:pPr>
            <w:r>
              <w:rPr>
                <w:rFonts w:hint="eastAsia" w:ascii="Arial" w:hAnsi="Arial" w:cs="Arial"/>
                <w:bCs/>
                <w:sz w:val="22"/>
                <w:szCs w:val="22"/>
                <w:lang w:val="zh-CN" w:eastAsia="zh-CN"/>
              </w:rPr>
              <w:t>位于大坝左岸，标高为</w:t>
            </w:r>
            <w:r>
              <w:rPr>
                <w:rFonts w:hint="eastAsia" w:ascii="Arial" w:hAnsi="Arial" w:cs="Arial"/>
                <w:bCs/>
                <w:sz w:val="22"/>
                <w:szCs w:val="22"/>
                <w:lang w:val="en-US" w:eastAsia="zh-CN"/>
              </w:rPr>
              <w:t>+424.5m，</w:t>
            </w:r>
            <w:r>
              <w:rPr>
                <w:rFonts w:hint="eastAsia" w:ascii="Arial" w:hAnsi="Arial" w:cs="Arial"/>
                <w:bCs/>
                <w:sz w:val="22"/>
                <w:szCs w:val="22"/>
                <w:lang w:val="zh-CN" w:eastAsia="zh-CN"/>
              </w:rPr>
              <w:t>建筑占地面积</w:t>
            </w:r>
            <w:r>
              <w:rPr>
                <w:rFonts w:hint="eastAsia" w:ascii="Arial" w:hAnsi="Arial" w:cs="Arial"/>
                <w:bCs/>
                <w:sz w:val="22"/>
                <w:szCs w:val="22"/>
                <w:lang w:eastAsia="zh-CN"/>
              </w:rPr>
              <w:t>92</w:t>
            </w:r>
            <w:r>
              <w:rPr>
                <w:rFonts w:hint="eastAsia" w:ascii="Arial" w:hAnsi="Arial" w:cs="Arial"/>
                <w:bCs/>
                <w:sz w:val="22"/>
                <w:szCs w:val="22"/>
                <w:lang w:val="zh-CN" w:eastAsia="zh-CN"/>
              </w:rPr>
              <w:t>m</w:t>
            </w:r>
            <w:r>
              <w:rPr>
                <w:rFonts w:hint="eastAsia" w:ascii="Arial" w:hAnsi="Arial" w:cs="Arial"/>
                <w:bCs/>
                <w:sz w:val="22"/>
                <w:szCs w:val="22"/>
                <w:vertAlign w:val="superscript"/>
                <w:lang w:val="en-US" w:eastAsia="zh-CN"/>
              </w:rPr>
              <w:t>2</w:t>
            </w:r>
            <w:r>
              <w:rPr>
                <w:rFonts w:hint="eastAsia" w:ascii="Arial" w:hAnsi="Arial" w:cs="Arial"/>
                <w:bCs/>
                <w:sz w:val="22"/>
                <w:szCs w:val="22"/>
                <w:lang w:val="zh-CN" w:eastAsia="zh-CN"/>
              </w:rPr>
              <w:t>，总建筑面积</w:t>
            </w:r>
            <w:r>
              <w:rPr>
                <w:rFonts w:hint="eastAsia" w:ascii="Arial" w:hAnsi="Arial" w:cs="Arial"/>
                <w:bCs/>
                <w:sz w:val="22"/>
                <w:szCs w:val="22"/>
                <w:lang w:eastAsia="zh-CN"/>
              </w:rPr>
              <w:t>184</w:t>
            </w:r>
            <w:r>
              <w:rPr>
                <w:rFonts w:hint="eastAsia" w:ascii="Arial" w:hAnsi="Arial" w:cs="Arial"/>
                <w:bCs/>
                <w:sz w:val="22"/>
                <w:szCs w:val="22"/>
                <w:lang w:val="zh-CN" w:eastAsia="zh-CN"/>
              </w:rPr>
              <w:t>m</w:t>
            </w:r>
            <w:r>
              <w:rPr>
                <w:rFonts w:hint="eastAsia" w:ascii="Arial" w:hAnsi="Arial" w:cs="Arial"/>
                <w:bCs/>
                <w:sz w:val="22"/>
                <w:szCs w:val="22"/>
                <w:vertAlign w:val="superscript"/>
                <w:lang w:val="en-US" w:eastAsia="zh-CN"/>
              </w:rPr>
              <w:t>2</w:t>
            </w:r>
            <w:r>
              <w:rPr>
                <w:rFonts w:hint="eastAsia" w:ascii="Arial" w:hAnsi="Arial" w:cs="Arial"/>
                <w:bCs/>
                <w:sz w:val="22"/>
                <w:szCs w:val="22"/>
                <w:lang w:val="zh-CN" w:eastAsia="zh-CN"/>
              </w:rPr>
              <w:t>，采用砼框架砌体两层结构，一层层高3.30m，二层层高3.00m，总高8.06m。管理房平台边缘设1.2m高C25钢筋砼栏杆，总长约79m。</w:t>
            </w:r>
          </w:p>
        </w:tc>
      </w:tr>
      <w:tr w14:paraId="7EE08C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4B09016D">
            <w:pPr>
              <w:spacing w:line="300" w:lineRule="exact"/>
              <w:jc w:val="center"/>
              <w:rPr>
                <w:rFonts w:hint="eastAsia" w:ascii="Arial" w:hAnsi="Arial" w:cs="Arial"/>
                <w:bCs/>
                <w:sz w:val="22"/>
                <w:szCs w:val="22"/>
              </w:rPr>
            </w:pPr>
          </w:p>
        </w:tc>
        <w:tc>
          <w:tcPr>
            <w:tcW w:w="1892" w:type="dxa"/>
            <w:gridSpan w:val="4"/>
            <w:noWrap w:val="0"/>
            <w:vAlign w:val="center"/>
          </w:tcPr>
          <w:p w14:paraId="0D66D9D8">
            <w:pPr>
              <w:spacing w:line="300" w:lineRule="exact"/>
              <w:jc w:val="center"/>
              <w:rPr>
                <w:rFonts w:hint="eastAsia" w:ascii="Arial" w:hAnsi="宋体" w:cs="Arial"/>
                <w:bCs/>
                <w:color w:val="auto"/>
                <w:sz w:val="22"/>
                <w:szCs w:val="22"/>
                <w:lang w:eastAsia="zh-CN"/>
              </w:rPr>
            </w:pPr>
            <w:r>
              <w:rPr>
                <w:rFonts w:hint="eastAsia" w:ascii="Arial" w:hAnsi="宋体" w:cs="Arial"/>
                <w:bCs/>
                <w:color w:val="auto"/>
                <w:sz w:val="22"/>
                <w:szCs w:val="22"/>
                <w:lang w:eastAsia="zh-CN"/>
              </w:rPr>
              <w:t>闸阀房</w:t>
            </w:r>
          </w:p>
        </w:tc>
        <w:tc>
          <w:tcPr>
            <w:tcW w:w="6979" w:type="dxa"/>
            <w:noWrap w:val="0"/>
            <w:vAlign w:val="center"/>
          </w:tcPr>
          <w:p w14:paraId="6BB7CDA7">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Arial" w:hAnsi="Arial" w:cs="Arial"/>
                <w:bCs/>
                <w:sz w:val="22"/>
                <w:szCs w:val="22"/>
                <w:lang w:val="zh-CN" w:eastAsia="zh-CN"/>
              </w:rPr>
            </w:pPr>
            <w:r>
              <w:rPr>
                <w:rFonts w:hint="eastAsia" w:ascii="Arial" w:hAnsi="Arial" w:cs="Arial"/>
                <w:bCs/>
                <w:sz w:val="22"/>
                <w:szCs w:val="22"/>
                <w:lang w:val="zh-CN" w:eastAsia="zh-CN"/>
              </w:rPr>
              <w:t>为取水、放空闸阀房，位于大坝下游尾水渠左边墙外侧，标高为</w:t>
            </w:r>
            <w:r>
              <w:rPr>
                <w:rFonts w:hint="eastAsia" w:ascii="Arial" w:hAnsi="Arial" w:cs="Arial"/>
                <w:bCs/>
                <w:sz w:val="22"/>
                <w:szCs w:val="22"/>
                <w:lang w:val="en-US" w:eastAsia="zh-CN"/>
              </w:rPr>
              <w:t>+</w:t>
            </w:r>
            <w:r>
              <w:rPr>
                <w:rFonts w:hint="eastAsia" w:ascii="Arial" w:hAnsi="Arial" w:cs="Arial"/>
                <w:bCs/>
                <w:sz w:val="22"/>
                <w:szCs w:val="22"/>
                <w:lang w:val="zh-CN" w:eastAsia="zh-CN"/>
              </w:rPr>
              <w:t>399.7m，总建筑面积20m</w:t>
            </w:r>
            <w:r>
              <w:rPr>
                <w:rFonts w:hint="eastAsia" w:ascii="Arial" w:hAnsi="Arial" w:cs="Arial"/>
                <w:bCs/>
                <w:sz w:val="22"/>
                <w:szCs w:val="22"/>
                <w:vertAlign w:val="superscript"/>
                <w:lang w:val="en-US" w:eastAsia="zh-CN"/>
              </w:rPr>
              <w:t>2</w:t>
            </w:r>
            <w:r>
              <w:rPr>
                <w:rFonts w:hint="eastAsia" w:ascii="Arial" w:hAnsi="Arial" w:cs="Arial"/>
                <w:bCs/>
                <w:sz w:val="22"/>
                <w:szCs w:val="22"/>
                <w:lang w:val="zh-CN" w:eastAsia="zh-CN"/>
              </w:rPr>
              <w:t>，砼框架砌体结构，层高3.5m。</w:t>
            </w:r>
          </w:p>
        </w:tc>
      </w:tr>
      <w:tr w14:paraId="419043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7AABFE7C">
            <w:pPr>
              <w:spacing w:line="300" w:lineRule="exact"/>
              <w:jc w:val="center"/>
              <w:rPr>
                <w:rFonts w:hint="eastAsia" w:ascii="Arial" w:hAnsi="Arial" w:cs="Arial"/>
                <w:bCs/>
                <w:sz w:val="22"/>
                <w:szCs w:val="22"/>
              </w:rPr>
            </w:pPr>
          </w:p>
        </w:tc>
        <w:tc>
          <w:tcPr>
            <w:tcW w:w="1892" w:type="dxa"/>
            <w:gridSpan w:val="4"/>
            <w:shd w:val="clear" w:color="auto" w:fill="auto"/>
            <w:noWrap w:val="0"/>
            <w:vAlign w:val="center"/>
          </w:tcPr>
          <w:p w14:paraId="3186978A">
            <w:pPr>
              <w:spacing w:line="300" w:lineRule="exact"/>
              <w:jc w:val="center"/>
              <w:rPr>
                <w:rFonts w:hint="eastAsia" w:ascii="Arial" w:hAnsi="宋体" w:eastAsia="宋体" w:cs="Arial"/>
                <w:bCs/>
                <w:color w:val="auto"/>
                <w:kern w:val="2"/>
                <w:sz w:val="22"/>
                <w:szCs w:val="22"/>
                <w:lang w:val="en-US" w:eastAsia="zh-CN" w:bidi="ar-SA"/>
              </w:rPr>
            </w:pPr>
            <w:r>
              <w:rPr>
                <w:rFonts w:hint="eastAsia" w:ascii="Arial" w:hAnsi="宋体" w:cs="Arial"/>
                <w:bCs/>
                <w:color w:val="auto"/>
                <w:kern w:val="2"/>
                <w:sz w:val="22"/>
                <w:szCs w:val="22"/>
                <w:lang w:val="en-US" w:eastAsia="zh-CN" w:bidi="ar-SA"/>
              </w:rPr>
              <w:t>上坝道路</w:t>
            </w:r>
          </w:p>
        </w:tc>
        <w:tc>
          <w:tcPr>
            <w:tcW w:w="6979" w:type="dxa"/>
            <w:shd w:val="clear" w:color="auto" w:fill="auto"/>
            <w:noWrap w:val="0"/>
            <w:vAlign w:val="center"/>
          </w:tcPr>
          <w:p w14:paraId="52FEB0B5">
            <w:pPr>
              <w:spacing w:line="300" w:lineRule="exact"/>
              <w:jc w:val="center"/>
              <w:rPr>
                <w:rFonts w:hint="eastAsia" w:ascii="Arial" w:hAnsi="宋体" w:eastAsia="宋体" w:cs="Arial"/>
                <w:color w:val="auto"/>
                <w:spacing w:val="-4"/>
                <w:kern w:val="2"/>
                <w:sz w:val="22"/>
                <w:szCs w:val="22"/>
                <w:lang w:val="en-US" w:eastAsia="zh-CN" w:bidi="ar-SA"/>
              </w:rPr>
            </w:pPr>
            <w:r>
              <w:rPr>
                <w:rFonts w:hint="eastAsia" w:ascii="Arial" w:hAnsi="Arial" w:cs="Arial"/>
                <w:color w:val="auto"/>
                <w:spacing w:val="-4"/>
                <w:sz w:val="22"/>
                <w:szCs w:val="22"/>
                <w:lang w:eastAsia="zh-CN"/>
              </w:rPr>
              <w:t>因项目所在地基础设施建设较为落后，现状无道路与项目拟建坝址处进行衔接，为满足水库运行管理需求</w:t>
            </w:r>
            <w:r>
              <w:rPr>
                <w:rFonts w:hint="eastAsia" w:ascii="Arial" w:hAnsi="Arial" w:cs="Arial"/>
                <w:color w:val="auto"/>
                <w:spacing w:val="-4"/>
                <w:sz w:val="22"/>
                <w:szCs w:val="22"/>
                <w:lang w:val="zh-CN" w:eastAsia="zh-CN"/>
              </w:rPr>
              <w:t>，需建设上坝公路总长</w:t>
            </w:r>
            <w:r>
              <w:rPr>
                <w:rFonts w:hint="eastAsia" w:ascii="Arial" w:hAnsi="Arial" w:cs="Arial"/>
                <w:color w:val="auto"/>
                <w:spacing w:val="-4"/>
                <w:sz w:val="22"/>
                <w:szCs w:val="22"/>
                <w:lang w:val="en-US" w:eastAsia="zh-CN"/>
              </w:rPr>
              <w:t>1762m，</w:t>
            </w:r>
            <w:r>
              <w:rPr>
                <w:rFonts w:hint="eastAsia" w:ascii="Arial" w:hAnsi="Arial" w:cs="Arial"/>
                <w:color w:val="auto"/>
                <w:spacing w:val="-4"/>
                <w:sz w:val="22"/>
                <w:szCs w:val="22"/>
                <w:lang w:val="zh-CN"/>
              </w:rPr>
              <w:t>其中扩建现状机耕道段长331m，新建段长1431m。起点接已建成农村公路，终点接大坝下游闸阀房，中途经过大坝坝顶，沿等高线往西南方向布置，沿右库岸布置，路路面宽4.5m，起点高程512.48m，终点高程401.0m</w:t>
            </w:r>
            <w:r>
              <w:rPr>
                <w:rFonts w:hint="eastAsia" w:ascii="Arial" w:hAnsi="Arial" w:cs="Arial"/>
                <w:color w:val="auto"/>
                <w:spacing w:val="-4"/>
                <w:sz w:val="22"/>
                <w:szCs w:val="22"/>
              </w:rPr>
              <w:t>。</w:t>
            </w:r>
          </w:p>
        </w:tc>
      </w:tr>
      <w:tr w14:paraId="0EF057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2BB4DD09">
            <w:pPr>
              <w:spacing w:line="300" w:lineRule="exact"/>
              <w:jc w:val="center"/>
              <w:rPr>
                <w:rFonts w:hint="eastAsia" w:ascii="Arial" w:hAnsi="Arial" w:cs="Arial"/>
                <w:bCs/>
                <w:sz w:val="22"/>
                <w:szCs w:val="22"/>
              </w:rPr>
            </w:pPr>
          </w:p>
        </w:tc>
        <w:tc>
          <w:tcPr>
            <w:tcW w:w="1892" w:type="dxa"/>
            <w:gridSpan w:val="4"/>
            <w:noWrap w:val="0"/>
            <w:vAlign w:val="center"/>
          </w:tcPr>
          <w:p w14:paraId="6115182B">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环库巡检步道</w:t>
            </w:r>
          </w:p>
        </w:tc>
        <w:tc>
          <w:tcPr>
            <w:tcW w:w="6979" w:type="dxa"/>
            <w:noWrap w:val="0"/>
            <w:vAlign w:val="center"/>
          </w:tcPr>
          <w:p w14:paraId="1858B6D9">
            <w:pPr>
              <w:spacing w:line="300" w:lineRule="exact"/>
              <w:jc w:val="center"/>
              <w:rPr>
                <w:rFonts w:hint="eastAsia" w:ascii="Arial" w:hAnsi="Arial" w:cs="Arial"/>
                <w:spacing w:val="-4"/>
                <w:sz w:val="22"/>
                <w:szCs w:val="22"/>
              </w:rPr>
            </w:pPr>
            <w:r>
              <w:rPr>
                <w:rFonts w:hint="eastAsia" w:ascii="Arial" w:hAnsi="Arial" w:cs="Arial"/>
                <w:color w:val="auto"/>
                <w:spacing w:val="-4"/>
                <w:sz w:val="22"/>
                <w:szCs w:val="22"/>
                <w:lang w:eastAsia="zh-CN"/>
              </w:rPr>
              <w:t>海螺沟水库建成后具有人饮供水功能，为便于管理人员进行日常的巡检，需沿库区新建巡检步道</w:t>
            </w:r>
            <w:r>
              <w:rPr>
                <w:rFonts w:hint="eastAsia" w:ascii="Arial" w:hAnsi="Arial" w:cs="Arial"/>
                <w:color w:val="auto"/>
                <w:spacing w:val="-4"/>
                <w:sz w:val="22"/>
                <w:szCs w:val="22"/>
                <w:lang w:val="en-US" w:eastAsia="zh-CN"/>
              </w:rPr>
              <w:t>2504m，路面宽1.5m，</w:t>
            </w:r>
            <w:r>
              <w:rPr>
                <w:rFonts w:hint="eastAsia" w:ascii="Arial" w:hAnsi="Arial" w:cs="Arial"/>
                <w:color w:val="auto"/>
                <w:spacing w:val="-4"/>
                <w:sz w:val="22"/>
                <w:szCs w:val="22"/>
                <w:lang w:val="zh-CN" w:eastAsia="zh-CN"/>
              </w:rPr>
              <w:t>沿等库区四周高线布置，起点接新建上坝公路，高程435.44m，终点接坝顶，高程424.0m。</w:t>
            </w:r>
          </w:p>
        </w:tc>
      </w:tr>
      <w:tr w14:paraId="3B18B5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01648DC2">
            <w:pPr>
              <w:spacing w:line="300" w:lineRule="exact"/>
              <w:jc w:val="center"/>
              <w:rPr>
                <w:rFonts w:hint="eastAsia" w:ascii="Arial" w:hAnsi="Arial" w:cs="Arial"/>
                <w:bCs/>
                <w:sz w:val="22"/>
                <w:szCs w:val="22"/>
              </w:rPr>
            </w:pPr>
          </w:p>
        </w:tc>
        <w:tc>
          <w:tcPr>
            <w:tcW w:w="1892" w:type="dxa"/>
            <w:gridSpan w:val="4"/>
            <w:shd w:val="clear" w:color="auto" w:fill="auto"/>
            <w:noWrap w:val="0"/>
            <w:vAlign w:val="center"/>
          </w:tcPr>
          <w:p w14:paraId="5C718201">
            <w:pPr>
              <w:spacing w:line="300" w:lineRule="exact"/>
              <w:jc w:val="center"/>
              <w:rPr>
                <w:rFonts w:hint="eastAsia" w:ascii="Arial" w:hAnsi="宋体" w:eastAsia="宋体" w:cs="Arial"/>
                <w:bCs/>
                <w:kern w:val="2"/>
                <w:sz w:val="22"/>
                <w:szCs w:val="22"/>
                <w:lang w:val="en-US" w:eastAsia="zh-CN" w:bidi="ar-SA"/>
              </w:rPr>
            </w:pPr>
            <w:r>
              <w:rPr>
                <w:rFonts w:hint="eastAsia" w:ascii="Arial" w:hAnsi="宋体" w:cs="Arial"/>
                <w:bCs/>
                <w:sz w:val="22"/>
                <w:szCs w:val="22"/>
                <w:lang w:eastAsia="zh-CN"/>
              </w:rPr>
              <w:t>监测设施</w:t>
            </w:r>
          </w:p>
        </w:tc>
        <w:tc>
          <w:tcPr>
            <w:tcW w:w="6979" w:type="dxa"/>
            <w:shd w:val="clear" w:color="auto" w:fill="auto"/>
            <w:noWrap w:val="0"/>
            <w:vAlign w:val="center"/>
          </w:tcPr>
          <w:p w14:paraId="5E398842">
            <w:pPr>
              <w:spacing w:line="300" w:lineRule="exact"/>
              <w:jc w:val="center"/>
              <w:rPr>
                <w:rFonts w:hint="eastAsia" w:ascii="Arial" w:hAnsi="Arial" w:eastAsia="宋体" w:cs="Arial"/>
                <w:bCs/>
                <w:kern w:val="2"/>
                <w:sz w:val="22"/>
                <w:szCs w:val="22"/>
                <w:lang w:val="en-US" w:eastAsia="zh-CN" w:bidi="ar-SA"/>
              </w:rPr>
            </w:pPr>
            <w:r>
              <w:rPr>
                <w:rFonts w:hint="eastAsia" w:ascii="Arial" w:hAnsi="Arial" w:cs="Arial"/>
                <w:color w:val="auto"/>
                <w:kern w:val="0"/>
                <w:sz w:val="22"/>
                <w:szCs w:val="22"/>
                <w:highlight w:val="none"/>
                <w:lang w:val="en-US" w:eastAsia="zh-CN"/>
              </w:rPr>
              <w:t>包括变形监测桩、渗流监测、量水堰、应力应变监测点、流速仪、水位监测设施、水温监测设施、气温监测系统、降雨量监测系统、水质监测设备等。</w:t>
            </w:r>
          </w:p>
        </w:tc>
      </w:tr>
      <w:tr w14:paraId="0C4275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5CEEA93F">
            <w:pPr>
              <w:spacing w:line="300" w:lineRule="exact"/>
              <w:jc w:val="center"/>
              <w:rPr>
                <w:rFonts w:hint="eastAsia" w:ascii="Arial" w:hAnsi="Arial" w:cs="Arial"/>
                <w:bCs/>
                <w:sz w:val="22"/>
                <w:szCs w:val="22"/>
              </w:rPr>
            </w:pPr>
          </w:p>
        </w:tc>
        <w:tc>
          <w:tcPr>
            <w:tcW w:w="1892" w:type="dxa"/>
            <w:gridSpan w:val="4"/>
            <w:noWrap w:val="0"/>
            <w:vAlign w:val="center"/>
          </w:tcPr>
          <w:p w14:paraId="1F2C3E52">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其他</w:t>
            </w:r>
          </w:p>
        </w:tc>
        <w:tc>
          <w:tcPr>
            <w:tcW w:w="6979" w:type="dxa"/>
            <w:noWrap w:val="0"/>
            <w:vAlign w:val="center"/>
          </w:tcPr>
          <w:p w14:paraId="0518A261">
            <w:pPr>
              <w:spacing w:line="300" w:lineRule="exact"/>
              <w:jc w:val="center"/>
              <w:rPr>
                <w:rFonts w:hint="eastAsia" w:ascii="Arial" w:hAnsi="Arial" w:cs="Arial"/>
                <w:bCs/>
                <w:sz w:val="26"/>
              </w:rPr>
            </w:pPr>
            <w:r>
              <w:rPr>
                <w:rFonts w:hint="eastAsia" w:ascii="Arial" w:hAnsi="Arial" w:cs="Arial"/>
                <w:color w:val="auto"/>
                <w:kern w:val="0"/>
                <w:sz w:val="22"/>
                <w:szCs w:val="22"/>
                <w:highlight w:val="none"/>
                <w:lang w:val="en-US" w:eastAsia="zh-CN"/>
              </w:rPr>
              <w:t>新建大理石竣工碑1座，增设安全警示牌10个。</w:t>
            </w:r>
          </w:p>
        </w:tc>
      </w:tr>
      <w:tr w14:paraId="48216F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restart"/>
            <w:noWrap w:val="0"/>
            <w:vAlign w:val="center"/>
          </w:tcPr>
          <w:p w14:paraId="3AA1850A">
            <w:pPr>
              <w:spacing w:line="300" w:lineRule="exact"/>
              <w:jc w:val="center"/>
              <w:rPr>
                <w:rFonts w:hint="eastAsia" w:ascii="Arial" w:hAnsi="Arial" w:cs="Arial"/>
                <w:bCs/>
                <w:sz w:val="22"/>
                <w:szCs w:val="22"/>
              </w:rPr>
            </w:pPr>
            <w:r>
              <w:rPr>
                <w:rFonts w:hint="eastAsia" w:ascii="Arial" w:hAnsi="Arial" w:cs="Arial"/>
                <w:bCs/>
                <w:sz w:val="22"/>
                <w:szCs w:val="22"/>
              </w:rPr>
              <w:t>施工临时工程</w:t>
            </w:r>
          </w:p>
        </w:tc>
        <w:tc>
          <w:tcPr>
            <w:tcW w:w="645" w:type="dxa"/>
            <w:gridSpan w:val="2"/>
            <w:vMerge w:val="restart"/>
            <w:noWrap w:val="0"/>
            <w:vAlign w:val="center"/>
          </w:tcPr>
          <w:p w14:paraId="73A27B42">
            <w:pPr>
              <w:spacing w:line="300" w:lineRule="exact"/>
              <w:jc w:val="center"/>
              <w:rPr>
                <w:rFonts w:hint="eastAsia" w:ascii="Arial" w:hAnsi="宋体" w:cs="Arial"/>
                <w:bCs/>
                <w:sz w:val="22"/>
                <w:szCs w:val="22"/>
              </w:rPr>
            </w:pPr>
            <w:r>
              <w:rPr>
                <w:rFonts w:hint="eastAsia" w:ascii="Arial" w:hAnsi="宋体" w:cs="Arial"/>
                <w:bCs/>
                <w:sz w:val="22"/>
                <w:szCs w:val="22"/>
              </w:rPr>
              <w:t>导流工程</w:t>
            </w:r>
          </w:p>
        </w:tc>
        <w:tc>
          <w:tcPr>
            <w:tcW w:w="1247" w:type="dxa"/>
            <w:gridSpan w:val="2"/>
            <w:noWrap w:val="0"/>
            <w:vAlign w:val="center"/>
          </w:tcPr>
          <w:p w14:paraId="677F7F01">
            <w:pPr>
              <w:spacing w:line="300" w:lineRule="exact"/>
              <w:jc w:val="center"/>
              <w:rPr>
                <w:rFonts w:hint="eastAsia" w:ascii="Arial" w:hAnsi="宋体" w:cs="Arial"/>
                <w:bCs/>
                <w:sz w:val="22"/>
                <w:szCs w:val="22"/>
              </w:rPr>
            </w:pPr>
            <w:r>
              <w:rPr>
                <w:rFonts w:hint="eastAsia" w:ascii="Arial" w:hAnsi="宋体" w:cs="Arial"/>
                <w:bCs/>
                <w:sz w:val="22"/>
                <w:szCs w:val="22"/>
              </w:rPr>
              <w:t>枢纽工程</w:t>
            </w:r>
          </w:p>
        </w:tc>
        <w:tc>
          <w:tcPr>
            <w:tcW w:w="6979" w:type="dxa"/>
            <w:noWrap w:val="0"/>
            <w:vAlign w:val="center"/>
          </w:tcPr>
          <w:p w14:paraId="692412ED">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Arial" w:hAnsi="Arial" w:cs="Arial"/>
                <w:sz w:val="22"/>
                <w:szCs w:val="22"/>
                <w:lang w:eastAsia="zh-CN"/>
              </w:rPr>
            </w:pPr>
            <w:r>
              <w:rPr>
                <w:rFonts w:hint="eastAsia" w:ascii="Arial" w:hAnsi="Arial" w:cs="Arial"/>
                <w:b/>
                <w:bCs/>
                <w:sz w:val="22"/>
                <w:szCs w:val="22"/>
                <w:lang w:eastAsia="zh-CN"/>
              </w:rPr>
              <w:t>导流涵管：</w:t>
            </w:r>
            <w:r>
              <w:rPr>
                <w:rFonts w:hint="eastAsia" w:ascii="Arial" w:hAnsi="Arial" w:cs="Arial"/>
                <w:b w:val="0"/>
                <w:bCs w:val="0"/>
                <w:sz w:val="22"/>
                <w:szCs w:val="22"/>
                <w:lang w:eastAsia="zh-CN"/>
              </w:rPr>
              <w:t>位于河道左侧，</w:t>
            </w:r>
            <w:r>
              <w:rPr>
                <w:rFonts w:hint="eastAsia" w:ascii="Arial" w:hAnsi="Arial" w:cs="Arial"/>
                <w:sz w:val="22"/>
                <w:szCs w:val="22"/>
                <w:lang w:eastAsia="zh-CN"/>
              </w:rPr>
              <w:t>进口中心线高程定位401.86m，出口高程为400.94m，穿坝段涵管采用</w:t>
            </w:r>
            <w:r>
              <w:rPr>
                <w:rFonts w:hint="eastAsia" w:ascii="Arial" w:hAnsi="Arial" w:cs="Arial"/>
                <w:sz w:val="22"/>
                <w:szCs w:val="22"/>
                <w:lang w:val="en-US" w:eastAsia="zh-CN"/>
              </w:rPr>
              <w:t>DN</w:t>
            </w:r>
            <w:r>
              <w:rPr>
                <w:rFonts w:hint="eastAsia" w:ascii="Arial" w:hAnsi="Arial" w:cs="Arial"/>
                <w:sz w:val="22"/>
                <w:szCs w:val="22"/>
                <w:lang w:eastAsia="zh-CN"/>
              </w:rPr>
              <w:t>1000焊接钢管，长约</w:t>
            </w:r>
            <w:r>
              <w:rPr>
                <w:rFonts w:hint="eastAsia" w:ascii="Arial" w:hAnsi="Arial" w:cs="Arial"/>
                <w:sz w:val="22"/>
                <w:szCs w:val="22"/>
                <w:lang w:val="en-US" w:eastAsia="zh-CN"/>
              </w:rPr>
              <w:t>282m，</w:t>
            </w:r>
            <w:r>
              <w:rPr>
                <w:rFonts w:hint="eastAsia" w:ascii="Arial" w:hAnsi="Arial" w:cs="Arial"/>
                <w:sz w:val="22"/>
                <w:szCs w:val="22"/>
                <w:lang w:eastAsia="zh-CN"/>
              </w:rPr>
              <w:t>穿坝段与延伸段采用法兰连接，导流任务结束后，拆卸法兰连接处，拆除前端管道，关闭下游闸阀，作为水库检修的放空管使用。</w:t>
            </w:r>
          </w:p>
          <w:p w14:paraId="58213FF8">
            <w:pPr>
              <w:spacing w:line="300" w:lineRule="exact"/>
              <w:rPr>
                <w:rFonts w:hint="eastAsia" w:ascii="Arial" w:hAnsi="Arial" w:cs="Arial"/>
                <w:bCs/>
                <w:color w:val="auto"/>
                <w:sz w:val="22"/>
                <w:szCs w:val="22"/>
              </w:rPr>
            </w:pPr>
            <w:r>
              <w:rPr>
                <w:rFonts w:hint="eastAsia" w:ascii="Arial" w:hAnsi="Arial" w:cs="Arial"/>
                <w:b/>
                <w:bCs/>
                <w:sz w:val="22"/>
                <w:szCs w:val="22"/>
                <w:lang w:eastAsia="zh-CN"/>
              </w:rPr>
              <w:t>挡水围挡</w:t>
            </w:r>
            <w:r>
              <w:rPr>
                <w:rFonts w:hint="eastAsia" w:ascii="Arial" w:hAnsi="Arial" w:cs="Arial"/>
                <w:b/>
                <w:bCs/>
                <w:color w:val="auto"/>
                <w:sz w:val="22"/>
                <w:szCs w:val="22"/>
                <w:lang w:eastAsia="zh-CN"/>
              </w:rPr>
              <w:t>：</w:t>
            </w:r>
            <w:r>
              <w:rPr>
                <w:rFonts w:hint="eastAsia" w:ascii="Arial" w:hAnsi="Arial" w:cs="Arial"/>
                <w:bCs/>
                <w:color w:val="auto"/>
                <w:sz w:val="22"/>
                <w:szCs w:val="22"/>
              </w:rPr>
              <w:t>上、下游围堰均为土石围堰，采用开挖料装袋后填筑，并于上、下游围堰四面敷设防渗膜，以防基坑废水渗出。</w:t>
            </w:r>
          </w:p>
          <w:p w14:paraId="4A38DFC8">
            <w:pPr>
              <w:spacing w:line="300" w:lineRule="exact"/>
              <w:rPr>
                <w:rFonts w:hint="eastAsia" w:ascii="Arial" w:hAnsi="Arial" w:cs="Arial"/>
                <w:bCs/>
                <w:sz w:val="22"/>
                <w:szCs w:val="22"/>
              </w:rPr>
            </w:pPr>
            <w:r>
              <w:rPr>
                <w:rFonts w:hint="eastAsia" w:ascii="Arial" w:hAnsi="Arial" w:cs="Arial"/>
                <w:b/>
                <w:bCs/>
                <w:sz w:val="22"/>
                <w:szCs w:val="22"/>
              </w:rPr>
              <w:t>纵向围堰</w:t>
            </w:r>
            <w:r>
              <w:rPr>
                <w:rFonts w:hint="eastAsia" w:ascii="Arial" w:hAnsi="Arial" w:cs="Arial"/>
                <w:bCs/>
                <w:sz w:val="22"/>
                <w:szCs w:val="22"/>
              </w:rPr>
              <w:t>：上、下游纵向围堰均为土石围堰，</w:t>
            </w:r>
            <w:r>
              <w:rPr>
                <w:rFonts w:hint="eastAsia" w:ascii="Arial" w:hAnsi="Arial" w:cs="Arial"/>
                <w:sz w:val="22"/>
                <w:szCs w:val="22"/>
                <w:lang w:eastAsia="zh-CN"/>
              </w:rPr>
              <w:t>上游围堰围堰顶高程为402.70m，最大堰高约2.5m，围堰轴线长18.0m，堰顶宽度为3.0m。下游围堰围堰顶高程为401.00m，最大堰高约1.52m，围堰轴线长55.0m，堰顶宽度为3.0m。</w:t>
            </w:r>
          </w:p>
        </w:tc>
      </w:tr>
      <w:tr w14:paraId="6EDCDD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6B239804">
            <w:pPr>
              <w:spacing w:line="300" w:lineRule="exact"/>
              <w:jc w:val="center"/>
              <w:rPr>
                <w:rFonts w:hint="eastAsia" w:ascii="Arial" w:hAnsi="Arial" w:cs="Arial"/>
                <w:bCs/>
                <w:sz w:val="22"/>
                <w:szCs w:val="22"/>
              </w:rPr>
            </w:pPr>
          </w:p>
        </w:tc>
        <w:tc>
          <w:tcPr>
            <w:tcW w:w="645" w:type="dxa"/>
            <w:gridSpan w:val="2"/>
            <w:vMerge w:val="continue"/>
            <w:noWrap w:val="0"/>
            <w:vAlign w:val="center"/>
          </w:tcPr>
          <w:p w14:paraId="50953054">
            <w:pPr>
              <w:spacing w:line="300" w:lineRule="exact"/>
              <w:jc w:val="center"/>
              <w:rPr>
                <w:rFonts w:hint="eastAsia" w:ascii="Arial" w:hAnsi="宋体" w:cs="Arial"/>
                <w:bCs/>
                <w:sz w:val="22"/>
                <w:szCs w:val="22"/>
              </w:rPr>
            </w:pPr>
          </w:p>
        </w:tc>
        <w:tc>
          <w:tcPr>
            <w:tcW w:w="1247" w:type="dxa"/>
            <w:gridSpan w:val="2"/>
            <w:noWrap w:val="0"/>
            <w:vAlign w:val="center"/>
          </w:tcPr>
          <w:p w14:paraId="28EB05F7">
            <w:pPr>
              <w:spacing w:line="300" w:lineRule="exact"/>
              <w:jc w:val="center"/>
              <w:rPr>
                <w:rFonts w:hint="eastAsia" w:ascii="Arial" w:hAnsi="宋体" w:cs="Arial"/>
                <w:bCs/>
                <w:sz w:val="22"/>
                <w:szCs w:val="22"/>
              </w:rPr>
            </w:pPr>
            <w:r>
              <w:rPr>
                <w:rFonts w:hint="eastAsia" w:ascii="Arial" w:hAnsi="宋体" w:cs="Arial"/>
                <w:bCs/>
                <w:sz w:val="22"/>
                <w:szCs w:val="22"/>
                <w:highlight w:val="none"/>
              </w:rPr>
              <w:t>输水工程</w:t>
            </w:r>
          </w:p>
        </w:tc>
        <w:tc>
          <w:tcPr>
            <w:tcW w:w="6979" w:type="dxa"/>
            <w:noWrap w:val="0"/>
            <w:vAlign w:val="center"/>
          </w:tcPr>
          <w:p w14:paraId="0B3CD080">
            <w:pPr>
              <w:spacing w:line="300" w:lineRule="exact"/>
              <w:jc w:val="center"/>
              <w:rPr>
                <w:rFonts w:hint="eastAsia" w:ascii="Arial" w:hAnsi="Arial" w:cs="Arial"/>
                <w:sz w:val="22"/>
                <w:szCs w:val="22"/>
                <w:lang w:val="en-US" w:eastAsia="zh-CN"/>
              </w:rPr>
            </w:pPr>
            <w:r>
              <w:rPr>
                <w:rFonts w:hint="eastAsia" w:ascii="Arial" w:hAnsi="Arial" w:cs="Arial"/>
                <w:sz w:val="22"/>
                <w:szCs w:val="22"/>
                <w:lang w:eastAsia="zh-CN"/>
              </w:rPr>
              <w:t>结合各输水管线走向，共有</w:t>
            </w:r>
            <w:r>
              <w:rPr>
                <w:rFonts w:hint="eastAsia" w:ascii="Arial" w:hAnsi="Arial" w:cs="Arial"/>
                <w:sz w:val="22"/>
                <w:szCs w:val="22"/>
                <w:lang w:val="en-US" w:eastAsia="zh-CN"/>
              </w:rPr>
              <w:t>5处穿越现状河道，其中1次穿越海螺沟、3次穿越高洞桥河、1次穿越双龙河，本评价建议优先选用顶管、定向钻等不涉水施工工艺，无法采用时，需做好施工导流、围堰等工作，</w:t>
            </w:r>
            <w:r>
              <w:rPr>
                <w:rFonts w:hint="eastAsia"/>
                <w:snapToGrid w:val="0"/>
                <w:color w:val="auto"/>
                <w:kern w:val="24"/>
                <w:sz w:val="22"/>
                <w:szCs w:val="22"/>
                <w:highlight w:val="none"/>
              </w:rPr>
              <w:t>采用围堰一次断流、枯期围堰挡水、导流涵管泄流的导流方式。</w:t>
            </w:r>
            <w:r>
              <w:rPr>
                <w:snapToGrid w:val="0"/>
                <w:color w:val="auto"/>
                <w:kern w:val="24"/>
                <w:sz w:val="22"/>
                <w:szCs w:val="22"/>
                <w:highlight w:val="none"/>
              </w:rPr>
              <w:t>上</w:t>
            </w:r>
            <w:r>
              <w:rPr>
                <w:rFonts w:hint="eastAsia"/>
                <w:snapToGrid w:val="0"/>
                <w:color w:val="auto"/>
                <w:kern w:val="24"/>
                <w:sz w:val="22"/>
                <w:szCs w:val="22"/>
                <w:highlight w:val="none"/>
              </w:rPr>
              <w:t>、下</w:t>
            </w:r>
            <w:r>
              <w:rPr>
                <w:snapToGrid w:val="0"/>
                <w:color w:val="auto"/>
                <w:kern w:val="24"/>
                <w:sz w:val="22"/>
                <w:szCs w:val="22"/>
                <w:highlight w:val="none"/>
              </w:rPr>
              <w:t>游围堰采用土石围堰，堰体上游侧采用粘土+土工膜防渗</w:t>
            </w:r>
            <w:r>
              <w:rPr>
                <w:rFonts w:hint="eastAsia"/>
                <w:snapToGrid w:val="0"/>
                <w:color w:val="auto"/>
                <w:kern w:val="24"/>
                <w:sz w:val="22"/>
                <w:szCs w:val="22"/>
                <w:highlight w:val="none"/>
                <w:lang w:eastAsia="zh-CN"/>
              </w:rPr>
              <w:t>。</w:t>
            </w:r>
          </w:p>
        </w:tc>
      </w:tr>
      <w:tr w14:paraId="13EE13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6" w:type="dxa"/>
            <w:vMerge w:val="continue"/>
            <w:noWrap w:val="0"/>
            <w:vAlign w:val="center"/>
          </w:tcPr>
          <w:p w14:paraId="3BFDB954">
            <w:pPr>
              <w:spacing w:line="300" w:lineRule="exact"/>
              <w:jc w:val="center"/>
              <w:rPr>
                <w:rFonts w:hint="eastAsia" w:ascii="Arial" w:hAnsi="Arial" w:cs="Arial"/>
                <w:bCs/>
                <w:sz w:val="22"/>
                <w:szCs w:val="22"/>
              </w:rPr>
            </w:pPr>
          </w:p>
        </w:tc>
        <w:tc>
          <w:tcPr>
            <w:tcW w:w="645" w:type="dxa"/>
            <w:gridSpan w:val="2"/>
            <w:vMerge w:val="restart"/>
            <w:noWrap w:val="0"/>
            <w:vAlign w:val="center"/>
          </w:tcPr>
          <w:p w14:paraId="35CE1D5B">
            <w:pPr>
              <w:spacing w:line="300" w:lineRule="exact"/>
              <w:jc w:val="center"/>
              <w:rPr>
                <w:rFonts w:hint="eastAsia" w:ascii="Arial" w:hAnsi="宋体" w:cs="Arial"/>
                <w:bCs/>
                <w:sz w:val="22"/>
                <w:szCs w:val="22"/>
              </w:rPr>
            </w:pPr>
            <w:r>
              <w:rPr>
                <w:rFonts w:hint="eastAsia" w:ascii="Arial" w:hAnsi="宋体" w:cs="Arial"/>
                <w:bCs/>
                <w:sz w:val="22"/>
                <w:szCs w:val="22"/>
              </w:rPr>
              <w:t>施工便道</w:t>
            </w:r>
          </w:p>
        </w:tc>
        <w:tc>
          <w:tcPr>
            <w:tcW w:w="1247" w:type="dxa"/>
            <w:gridSpan w:val="2"/>
            <w:noWrap w:val="0"/>
            <w:vAlign w:val="center"/>
          </w:tcPr>
          <w:p w14:paraId="3B50CADC">
            <w:pPr>
              <w:spacing w:line="300" w:lineRule="exact"/>
              <w:jc w:val="center"/>
              <w:rPr>
                <w:rFonts w:hint="eastAsia" w:ascii="Arial" w:hAnsi="宋体" w:cs="Arial"/>
                <w:bCs/>
                <w:sz w:val="22"/>
                <w:szCs w:val="22"/>
              </w:rPr>
            </w:pPr>
            <w:r>
              <w:rPr>
                <w:rFonts w:hint="eastAsia" w:ascii="Arial" w:hAnsi="宋体" w:cs="Arial"/>
                <w:bCs/>
                <w:sz w:val="22"/>
                <w:szCs w:val="22"/>
              </w:rPr>
              <w:t>枢纽工程</w:t>
            </w:r>
          </w:p>
        </w:tc>
        <w:tc>
          <w:tcPr>
            <w:tcW w:w="6979" w:type="dxa"/>
            <w:noWrap w:val="0"/>
            <w:vAlign w:val="center"/>
          </w:tcPr>
          <w:p w14:paraId="3117F04B">
            <w:pPr>
              <w:spacing w:line="300" w:lineRule="exact"/>
              <w:jc w:val="center"/>
              <w:rPr>
                <w:rFonts w:hint="default" w:ascii="Arial" w:hAnsi="宋体" w:eastAsia="宋体" w:cs="Arial"/>
                <w:spacing w:val="-4"/>
                <w:sz w:val="22"/>
                <w:szCs w:val="22"/>
                <w:lang w:val="en-US" w:eastAsia="zh-CN"/>
              </w:rPr>
            </w:pPr>
            <w:r>
              <w:rPr>
                <w:rFonts w:hint="eastAsia" w:ascii="Arial" w:hAnsi="宋体" w:cs="Arial"/>
                <w:spacing w:val="-4"/>
                <w:sz w:val="22"/>
                <w:szCs w:val="22"/>
                <w:lang w:eastAsia="zh-CN"/>
              </w:rPr>
              <w:t>新建</w:t>
            </w:r>
            <w:r>
              <w:rPr>
                <w:rFonts w:hint="eastAsia" w:ascii="Arial" w:hAnsi="宋体" w:cs="Arial"/>
                <w:spacing w:val="-4"/>
                <w:sz w:val="22"/>
                <w:szCs w:val="22"/>
                <w:lang w:val="en-US" w:eastAsia="zh-CN"/>
              </w:rPr>
              <w:t>2条施工便道，</w:t>
            </w:r>
            <w:r>
              <w:rPr>
                <w:rFonts w:hint="eastAsia" w:ascii="Arial" w:hAnsi="Arial" w:cs="Arial"/>
                <w:sz w:val="22"/>
                <w:szCs w:val="22"/>
                <w:lang w:val="en-US" w:eastAsia="zh-CN"/>
              </w:rPr>
              <w:t>1#施工便道长0.78km，由库尾现状公路连接施工场地；2#施工便道长0.43km，由项目施工场地连接枢纽工程施工区；以便于物料、人员的输送。施工便道路路面宽度4.5~5m，采取30</w:t>
            </w:r>
            <w:r>
              <w:rPr>
                <w:rFonts w:hint="eastAsia" w:ascii="Arial" w:hAnsi="Arial" w:cs="Arial"/>
                <w:sz w:val="22"/>
                <w:szCs w:val="22"/>
                <w:lang w:eastAsia="zh-CN"/>
              </w:rPr>
              <w:t>cm厚</w:t>
            </w:r>
            <w:r>
              <w:rPr>
                <w:rFonts w:hint="eastAsia" w:ascii="Arial" w:hAnsi="Arial" w:cs="Arial"/>
                <w:sz w:val="22"/>
                <w:szCs w:val="22"/>
                <w:lang w:val="en-US" w:eastAsia="zh-CN"/>
              </w:rPr>
              <w:t>干砌片石基础+</w:t>
            </w:r>
            <w:r>
              <w:rPr>
                <w:rFonts w:hint="eastAsia" w:ascii="Arial" w:hAnsi="Arial" w:cs="Arial"/>
                <w:sz w:val="22"/>
                <w:szCs w:val="22"/>
                <w:lang w:eastAsia="zh-CN"/>
              </w:rPr>
              <w:t>15cm厚碎石垫层+15cm厚泥结石路面结构。</w:t>
            </w:r>
          </w:p>
        </w:tc>
      </w:tr>
      <w:tr w14:paraId="3F6CF5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74ABD766">
            <w:pPr>
              <w:spacing w:line="300" w:lineRule="exact"/>
              <w:jc w:val="center"/>
              <w:rPr>
                <w:rFonts w:hint="eastAsia" w:ascii="Arial" w:hAnsi="Arial" w:cs="Arial"/>
                <w:bCs/>
                <w:sz w:val="22"/>
                <w:szCs w:val="22"/>
              </w:rPr>
            </w:pPr>
          </w:p>
        </w:tc>
        <w:tc>
          <w:tcPr>
            <w:tcW w:w="645" w:type="dxa"/>
            <w:gridSpan w:val="2"/>
            <w:vMerge w:val="continue"/>
            <w:noWrap w:val="0"/>
            <w:vAlign w:val="center"/>
          </w:tcPr>
          <w:p w14:paraId="27506327">
            <w:pPr>
              <w:spacing w:line="300" w:lineRule="exact"/>
              <w:jc w:val="center"/>
              <w:rPr>
                <w:rFonts w:hint="eastAsia" w:ascii="Arial" w:hAnsi="宋体" w:cs="Arial"/>
                <w:bCs/>
                <w:sz w:val="22"/>
                <w:szCs w:val="22"/>
              </w:rPr>
            </w:pPr>
          </w:p>
        </w:tc>
        <w:tc>
          <w:tcPr>
            <w:tcW w:w="1247" w:type="dxa"/>
            <w:gridSpan w:val="2"/>
            <w:shd w:val="clear" w:color="auto" w:fill="auto"/>
            <w:noWrap w:val="0"/>
            <w:vAlign w:val="center"/>
          </w:tcPr>
          <w:p w14:paraId="6A0411D5">
            <w:pPr>
              <w:spacing w:line="300" w:lineRule="exact"/>
              <w:jc w:val="center"/>
              <w:rPr>
                <w:rFonts w:hint="eastAsia" w:ascii="Arial" w:hAnsi="宋体" w:eastAsia="宋体" w:cs="Arial"/>
                <w:bCs/>
                <w:kern w:val="2"/>
                <w:sz w:val="22"/>
                <w:szCs w:val="22"/>
                <w:lang w:val="en-US" w:eastAsia="zh-CN" w:bidi="ar-SA"/>
              </w:rPr>
            </w:pPr>
            <w:r>
              <w:rPr>
                <w:rFonts w:hint="eastAsia" w:ascii="Arial" w:hAnsi="宋体" w:cs="Arial"/>
                <w:bCs/>
                <w:sz w:val="22"/>
                <w:szCs w:val="22"/>
              </w:rPr>
              <w:t>输水工程</w:t>
            </w:r>
          </w:p>
        </w:tc>
        <w:tc>
          <w:tcPr>
            <w:tcW w:w="6979" w:type="dxa"/>
            <w:shd w:val="clear" w:color="auto" w:fill="auto"/>
            <w:noWrap w:val="0"/>
            <w:vAlign w:val="center"/>
          </w:tcPr>
          <w:p w14:paraId="3793840D">
            <w:pPr>
              <w:spacing w:line="300" w:lineRule="exact"/>
              <w:jc w:val="center"/>
              <w:rPr>
                <w:rFonts w:hint="eastAsia" w:ascii="Arial" w:hAnsi="宋体" w:eastAsia="宋体" w:cs="Arial"/>
                <w:bCs/>
                <w:kern w:val="2"/>
                <w:sz w:val="22"/>
                <w:szCs w:val="22"/>
                <w:lang w:val="en-US" w:eastAsia="zh-CN" w:bidi="ar-SA"/>
              </w:rPr>
            </w:pPr>
            <w:r>
              <w:rPr>
                <w:rFonts w:hint="eastAsia" w:ascii="Arial" w:hAnsi="Arial" w:cs="Arial"/>
                <w:sz w:val="22"/>
                <w:szCs w:val="22"/>
                <w:lang w:eastAsia="zh-CN"/>
              </w:rPr>
              <w:t>新建</w:t>
            </w:r>
            <w:r>
              <w:rPr>
                <w:rFonts w:hint="eastAsia" w:ascii="Arial" w:hAnsi="Arial" w:cs="Arial"/>
                <w:sz w:val="22"/>
                <w:szCs w:val="22"/>
                <w:lang w:val="en-US" w:eastAsia="zh-CN"/>
              </w:rPr>
              <w:t>1条施工便道，长0.44km，由大坝枢纽沿双龙干线输水管线建设，接下游已建农村道路。施工便道路路面宽度3m，采取20cm厚C20砼路面结构，下设15cm厚碎石基层。</w:t>
            </w:r>
          </w:p>
        </w:tc>
      </w:tr>
      <w:tr w14:paraId="157E3E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5996EA15">
            <w:pPr>
              <w:spacing w:line="300" w:lineRule="exact"/>
              <w:jc w:val="center"/>
              <w:rPr>
                <w:rFonts w:hint="eastAsia" w:ascii="Arial" w:hAnsi="Arial" w:cs="Arial"/>
                <w:bCs/>
                <w:sz w:val="22"/>
                <w:szCs w:val="22"/>
              </w:rPr>
            </w:pPr>
          </w:p>
        </w:tc>
        <w:tc>
          <w:tcPr>
            <w:tcW w:w="645" w:type="dxa"/>
            <w:gridSpan w:val="2"/>
            <w:vMerge w:val="continue"/>
            <w:noWrap w:val="0"/>
            <w:vAlign w:val="center"/>
          </w:tcPr>
          <w:p w14:paraId="53C30811">
            <w:pPr>
              <w:spacing w:line="300" w:lineRule="exact"/>
              <w:jc w:val="center"/>
              <w:rPr>
                <w:rFonts w:hint="eastAsia" w:ascii="Arial" w:hAnsi="宋体" w:cs="Arial"/>
                <w:bCs/>
                <w:sz w:val="22"/>
                <w:szCs w:val="22"/>
              </w:rPr>
            </w:pPr>
          </w:p>
        </w:tc>
        <w:tc>
          <w:tcPr>
            <w:tcW w:w="1247" w:type="dxa"/>
            <w:gridSpan w:val="2"/>
            <w:noWrap w:val="0"/>
            <w:vAlign w:val="center"/>
          </w:tcPr>
          <w:p w14:paraId="6F492EC8">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弃渣场</w:t>
            </w:r>
          </w:p>
        </w:tc>
        <w:tc>
          <w:tcPr>
            <w:tcW w:w="6979" w:type="dxa"/>
            <w:noWrap w:val="0"/>
            <w:vAlign w:val="center"/>
          </w:tcPr>
          <w:p w14:paraId="730DF5E7">
            <w:pPr>
              <w:spacing w:line="300" w:lineRule="exact"/>
              <w:jc w:val="center"/>
              <w:rPr>
                <w:rFonts w:hint="default" w:ascii="Arial" w:hAnsi="宋体" w:eastAsia="宋体" w:cs="Arial"/>
                <w:bCs/>
                <w:sz w:val="22"/>
                <w:szCs w:val="22"/>
                <w:lang w:val="en-US" w:eastAsia="zh-CN"/>
              </w:rPr>
            </w:pPr>
            <w:r>
              <w:rPr>
                <w:rFonts w:hint="eastAsia" w:ascii="Arial" w:hAnsi="Arial" w:cs="Arial"/>
                <w:sz w:val="22"/>
                <w:szCs w:val="22"/>
                <w:lang w:eastAsia="zh-CN"/>
              </w:rPr>
              <w:t>新建</w:t>
            </w:r>
            <w:r>
              <w:rPr>
                <w:rFonts w:hint="eastAsia" w:ascii="Arial" w:hAnsi="Arial" w:cs="Arial"/>
                <w:sz w:val="22"/>
                <w:szCs w:val="22"/>
                <w:lang w:val="en-US" w:eastAsia="zh-CN"/>
              </w:rPr>
              <w:t>1条施工便道，长0.4km，由现状农村公路连接挡渣墙，以便于施工弃渣的分层堆存夯实。施工便道路路面宽度4.5m，采取20cm厚C20砼路面结构，下设15cm厚碎石基层。</w:t>
            </w:r>
          </w:p>
        </w:tc>
      </w:tr>
      <w:tr w14:paraId="5C2BDB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225E5C9B">
            <w:pPr>
              <w:spacing w:line="300" w:lineRule="exact"/>
              <w:jc w:val="center"/>
              <w:rPr>
                <w:rFonts w:hint="eastAsia" w:ascii="Arial" w:hAnsi="Arial" w:cs="Arial"/>
                <w:bCs/>
                <w:sz w:val="22"/>
                <w:szCs w:val="22"/>
              </w:rPr>
            </w:pPr>
          </w:p>
        </w:tc>
        <w:tc>
          <w:tcPr>
            <w:tcW w:w="645" w:type="dxa"/>
            <w:gridSpan w:val="2"/>
            <w:vMerge w:val="restart"/>
            <w:noWrap w:val="0"/>
            <w:vAlign w:val="center"/>
          </w:tcPr>
          <w:p w14:paraId="0184DC9A">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rPr>
              <w:t>施工</w:t>
            </w:r>
            <w:r>
              <w:rPr>
                <w:rFonts w:hint="eastAsia" w:ascii="Arial" w:hAnsi="宋体" w:cs="Arial"/>
                <w:bCs/>
                <w:sz w:val="22"/>
                <w:szCs w:val="22"/>
                <w:lang w:eastAsia="zh-CN"/>
              </w:rPr>
              <w:t>场地</w:t>
            </w:r>
          </w:p>
        </w:tc>
        <w:tc>
          <w:tcPr>
            <w:tcW w:w="1247" w:type="dxa"/>
            <w:gridSpan w:val="2"/>
            <w:noWrap w:val="0"/>
            <w:vAlign w:val="center"/>
          </w:tcPr>
          <w:p w14:paraId="1675E172">
            <w:pPr>
              <w:spacing w:line="300" w:lineRule="exact"/>
              <w:jc w:val="center"/>
              <w:rPr>
                <w:rFonts w:hint="eastAsia" w:ascii="Arial" w:hAnsi="宋体" w:cs="Arial"/>
                <w:bCs/>
                <w:sz w:val="22"/>
                <w:szCs w:val="22"/>
              </w:rPr>
            </w:pPr>
            <w:r>
              <w:rPr>
                <w:rFonts w:hint="eastAsia" w:ascii="Arial" w:hAnsi="宋体" w:cs="Arial"/>
                <w:bCs/>
                <w:sz w:val="22"/>
                <w:szCs w:val="22"/>
              </w:rPr>
              <w:t>枢纽工程</w:t>
            </w:r>
          </w:p>
        </w:tc>
        <w:tc>
          <w:tcPr>
            <w:tcW w:w="6979" w:type="dxa"/>
            <w:noWrap w:val="0"/>
            <w:vAlign w:val="center"/>
          </w:tcPr>
          <w:p w14:paraId="702F6F23">
            <w:pPr>
              <w:spacing w:line="300" w:lineRule="exact"/>
              <w:jc w:val="center"/>
              <w:rPr>
                <w:rFonts w:hint="eastAsia" w:ascii="Arial" w:hAnsi="Arial" w:cs="Arial"/>
                <w:sz w:val="22"/>
                <w:szCs w:val="22"/>
                <w:lang w:eastAsia="zh-CN"/>
              </w:rPr>
            </w:pPr>
            <w:r>
              <w:rPr>
                <w:rFonts w:hint="eastAsia" w:ascii="Arial" w:hAnsi="Arial" w:cs="Arial"/>
                <w:sz w:val="22"/>
                <w:szCs w:val="22"/>
                <w:lang w:eastAsia="zh-CN"/>
              </w:rPr>
              <w:t>设置1个工区，位于枢纽工程下游左岸约</w:t>
            </w:r>
            <w:r>
              <w:rPr>
                <w:rFonts w:hint="eastAsia" w:ascii="Arial" w:hAnsi="Arial" w:cs="Arial"/>
                <w:sz w:val="22"/>
                <w:szCs w:val="22"/>
                <w:lang w:val="en-US" w:eastAsia="zh-CN"/>
              </w:rPr>
              <w:t>200m处，地势较为平坦，占地面积约5000m</w:t>
            </w:r>
            <w:r>
              <w:rPr>
                <w:rFonts w:hint="eastAsia" w:ascii="Arial" w:hAnsi="Arial" w:cs="Arial"/>
                <w:sz w:val="22"/>
                <w:szCs w:val="22"/>
                <w:vertAlign w:val="superscript"/>
                <w:lang w:val="en-US" w:eastAsia="zh-CN"/>
              </w:rPr>
              <w:t>2</w:t>
            </w:r>
            <w:r>
              <w:rPr>
                <w:rFonts w:hint="eastAsia" w:ascii="Arial" w:hAnsi="Arial" w:cs="Arial"/>
                <w:sz w:val="22"/>
                <w:szCs w:val="22"/>
                <w:lang w:val="en-US" w:eastAsia="zh-CN"/>
              </w:rPr>
              <w:t>，主要布置为机械停放场、综合加工场、混凝土拌合场、物料堆场、油料区、</w:t>
            </w:r>
            <w:r>
              <w:rPr>
                <w:rFonts w:hint="eastAsia" w:ascii="Arial" w:hAnsi="Arial" w:cs="Arial"/>
                <w:sz w:val="22"/>
                <w:szCs w:val="22"/>
                <w:lang w:eastAsia="zh-CN"/>
              </w:rPr>
              <w:t>供风站、供水站等施工工厂和设施等。</w:t>
            </w:r>
          </w:p>
        </w:tc>
      </w:tr>
      <w:tr w14:paraId="5A5A24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00D679F5">
            <w:pPr>
              <w:spacing w:line="300" w:lineRule="exact"/>
              <w:jc w:val="center"/>
              <w:rPr>
                <w:rFonts w:hint="eastAsia" w:ascii="Arial" w:hAnsi="Arial" w:cs="Arial"/>
                <w:bCs/>
                <w:sz w:val="22"/>
                <w:szCs w:val="22"/>
              </w:rPr>
            </w:pPr>
          </w:p>
        </w:tc>
        <w:tc>
          <w:tcPr>
            <w:tcW w:w="645" w:type="dxa"/>
            <w:gridSpan w:val="2"/>
            <w:vMerge w:val="continue"/>
            <w:noWrap w:val="0"/>
            <w:vAlign w:val="center"/>
          </w:tcPr>
          <w:p w14:paraId="0A5467F9">
            <w:pPr>
              <w:spacing w:line="300" w:lineRule="exact"/>
              <w:jc w:val="center"/>
              <w:rPr>
                <w:rFonts w:hint="eastAsia" w:ascii="Arial" w:hAnsi="宋体" w:cs="Arial"/>
                <w:bCs/>
                <w:sz w:val="22"/>
                <w:szCs w:val="22"/>
              </w:rPr>
            </w:pPr>
          </w:p>
        </w:tc>
        <w:tc>
          <w:tcPr>
            <w:tcW w:w="1247" w:type="dxa"/>
            <w:gridSpan w:val="2"/>
            <w:noWrap w:val="0"/>
            <w:vAlign w:val="center"/>
          </w:tcPr>
          <w:p w14:paraId="3BF18DF2">
            <w:pPr>
              <w:spacing w:line="300" w:lineRule="exact"/>
              <w:jc w:val="center"/>
              <w:rPr>
                <w:rFonts w:hint="eastAsia" w:ascii="Arial" w:hAnsi="宋体" w:cs="Arial"/>
                <w:bCs/>
                <w:sz w:val="22"/>
                <w:szCs w:val="22"/>
              </w:rPr>
            </w:pPr>
            <w:r>
              <w:rPr>
                <w:rFonts w:hint="eastAsia" w:ascii="Arial" w:hAnsi="宋体" w:cs="Arial"/>
                <w:bCs/>
                <w:sz w:val="22"/>
                <w:szCs w:val="22"/>
              </w:rPr>
              <w:t>输水工程</w:t>
            </w:r>
          </w:p>
        </w:tc>
        <w:tc>
          <w:tcPr>
            <w:tcW w:w="6979" w:type="dxa"/>
            <w:noWrap w:val="0"/>
            <w:vAlign w:val="center"/>
          </w:tcPr>
          <w:p w14:paraId="047FD6D8">
            <w:pPr>
              <w:spacing w:line="300" w:lineRule="exact"/>
              <w:jc w:val="center"/>
              <w:rPr>
                <w:rFonts w:hint="eastAsia" w:ascii="Arial" w:hAnsi="Arial" w:cs="Arial"/>
                <w:sz w:val="22"/>
                <w:szCs w:val="22"/>
                <w:lang w:eastAsia="zh-CN"/>
              </w:rPr>
            </w:pPr>
            <w:r>
              <w:rPr>
                <w:rFonts w:hint="eastAsia" w:ascii="Arial" w:hAnsi="Arial" w:cs="Arial"/>
                <w:sz w:val="22"/>
                <w:szCs w:val="22"/>
                <w:lang w:eastAsia="zh-CN"/>
              </w:rPr>
              <w:t>设置1个工区，位于双龙干管</w:t>
            </w:r>
            <w:r>
              <w:rPr>
                <w:rFonts w:hint="eastAsia" w:ascii="Arial" w:hAnsi="Arial" w:cs="Arial"/>
                <w:sz w:val="22"/>
                <w:szCs w:val="22"/>
                <w:lang w:val="en-US" w:eastAsia="zh-CN"/>
              </w:rPr>
              <w:t>K1+950左侧，占地面积约1600m</w:t>
            </w:r>
            <w:r>
              <w:rPr>
                <w:rFonts w:hint="eastAsia" w:ascii="Arial" w:hAnsi="Arial" w:cs="Arial"/>
                <w:sz w:val="22"/>
                <w:szCs w:val="22"/>
                <w:vertAlign w:val="superscript"/>
                <w:lang w:val="en-US" w:eastAsia="zh-CN"/>
              </w:rPr>
              <w:t>2</w:t>
            </w:r>
            <w:r>
              <w:rPr>
                <w:rFonts w:hint="eastAsia" w:ascii="Arial" w:hAnsi="Arial" w:cs="Arial"/>
                <w:sz w:val="22"/>
                <w:szCs w:val="22"/>
                <w:lang w:val="en-US" w:eastAsia="zh-CN"/>
              </w:rPr>
              <w:t>，主要布置有物料堆场、综合加工场、机械停放场等，沿线施工区设置可移动式搅拌机。</w:t>
            </w:r>
          </w:p>
        </w:tc>
      </w:tr>
      <w:tr w14:paraId="5F6EF3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114567B6">
            <w:pPr>
              <w:spacing w:line="300" w:lineRule="exact"/>
              <w:jc w:val="center"/>
              <w:rPr>
                <w:rFonts w:hint="eastAsia" w:ascii="Arial" w:hAnsi="Arial" w:cs="Arial"/>
                <w:bCs/>
                <w:sz w:val="22"/>
                <w:szCs w:val="22"/>
              </w:rPr>
            </w:pPr>
          </w:p>
        </w:tc>
        <w:tc>
          <w:tcPr>
            <w:tcW w:w="1892" w:type="dxa"/>
            <w:gridSpan w:val="4"/>
            <w:noWrap w:val="0"/>
            <w:vAlign w:val="center"/>
          </w:tcPr>
          <w:p w14:paraId="549F7F8C">
            <w:pPr>
              <w:spacing w:line="300" w:lineRule="exact"/>
              <w:jc w:val="center"/>
              <w:rPr>
                <w:rFonts w:hint="eastAsia" w:ascii="Arial" w:hAnsi="宋体" w:cs="Arial"/>
                <w:bCs/>
                <w:color w:val="auto"/>
                <w:sz w:val="22"/>
                <w:szCs w:val="22"/>
              </w:rPr>
            </w:pPr>
            <w:r>
              <w:rPr>
                <w:rFonts w:hint="eastAsia" w:ascii="Arial" w:hAnsi="宋体" w:cs="Arial"/>
                <w:bCs/>
                <w:color w:val="auto"/>
                <w:sz w:val="22"/>
                <w:szCs w:val="22"/>
              </w:rPr>
              <w:t>料场</w:t>
            </w:r>
          </w:p>
        </w:tc>
        <w:tc>
          <w:tcPr>
            <w:tcW w:w="6979" w:type="dxa"/>
            <w:noWrap w:val="0"/>
            <w:vAlign w:val="center"/>
          </w:tcPr>
          <w:p w14:paraId="4313934B">
            <w:pPr>
              <w:spacing w:line="300" w:lineRule="exact"/>
              <w:jc w:val="center"/>
              <w:rPr>
                <w:rFonts w:hint="eastAsia" w:ascii="Arial" w:hAnsi="宋体" w:cs="Arial"/>
                <w:bCs/>
                <w:color w:val="auto"/>
                <w:sz w:val="22"/>
                <w:szCs w:val="22"/>
              </w:rPr>
            </w:pPr>
            <w:r>
              <w:rPr>
                <w:rFonts w:hint="eastAsia" w:ascii="Arial" w:cs="Arial"/>
                <w:bCs/>
                <w:color w:val="auto"/>
                <w:sz w:val="22"/>
                <w:szCs w:val="22"/>
              </w:rPr>
              <w:t>项目不设料场，施工所需块石可外购于</w:t>
            </w:r>
            <w:r>
              <w:rPr>
                <w:rFonts w:hint="eastAsia" w:ascii="Arial" w:cs="Arial"/>
                <w:bCs/>
                <w:color w:val="auto"/>
                <w:sz w:val="22"/>
                <w:szCs w:val="22"/>
                <w:lang w:eastAsia="zh-CN"/>
              </w:rPr>
              <w:t>青龙乡黄泥村石料场</w:t>
            </w:r>
            <w:r>
              <w:rPr>
                <w:rFonts w:hint="eastAsia" w:ascii="Arial" w:cs="Arial"/>
                <w:bCs/>
                <w:color w:val="auto"/>
                <w:sz w:val="22"/>
                <w:szCs w:val="22"/>
              </w:rPr>
              <w:t>，</w:t>
            </w:r>
            <w:r>
              <w:rPr>
                <w:rFonts w:hint="eastAsia" w:ascii="Arial" w:cs="Arial"/>
                <w:bCs/>
                <w:color w:val="auto"/>
                <w:sz w:val="22"/>
                <w:szCs w:val="22"/>
                <w:lang w:eastAsia="zh-CN"/>
              </w:rPr>
              <w:t>特细砂料可在丰都县购买合法采沙场开采的长江砂，水泥可在东方希望重庆水泥有限公司购买，混凝土在枢纽工程施工场地和输水工程沿线设置的移动式搅拌机内进行拌合。</w:t>
            </w:r>
          </w:p>
        </w:tc>
      </w:tr>
      <w:tr w14:paraId="04CF26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29A8C5D3">
            <w:pPr>
              <w:spacing w:line="300" w:lineRule="exact"/>
              <w:jc w:val="center"/>
              <w:rPr>
                <w:rFonts w:hint="eastAsia" w:ascii="Arial" w:hAnsi="Arial" w:cs="Arial"/>
                <w:bCs/>
                <w:sz w:val="22"/>
                <w:szCs w:val="22"/>
              </w:rPr>
            </w:pPr>
          </w:p>
        </w:tc>
        <w:tc>
          <w:tcPr>
            <w:tcW w:w="1892" w:type="dxa"/>
            <w:gridSpan w:val="4"/>
            <w:shd w:val="clear" w:color="auto" w:fill="auto"/>
            <w:noWrap w:val="0"/>
            <w:vAlign w:val="center"/>
          </w:tcPr>
          <w:p w14:paraId="7698AAB3">
            <w:pPr>
              <w:spacing w:line="300" w:lineRule="exact"/>
              <w:jc w:val="center"/>
              <w:rPr>
                <w:rFonts w:hint="eastAsia" w:ascii="Arial" w:hAnsi="宋体" w:eastAsia="宋体" w:cs="Arial"/>
                <w:bCs/>
                <w:color w:val="auto"/>
                <w:kern w:val="2"/>
                <w:sz w:val="22"/>
                <w:szCs w:val="22"/>
                <w:lang w:val="en-US" w:eastAsia="zh-CN" w:bidi="ar-SA"/>
              </w:rPr>
            </w:pPr>
            <w:r>
              <w:rPr>
                <w:rFonts w:hint="eastAsia" w:ascii="Arial" w:hAnsi="宋体" w:cs="Arial"/>
                <w:bCs/>
                <w:color w:val="auto"/>
                <w:sz w:val="22"/>
                <w:szCs w:val="22"/>
                <w:lang w:eastAsia="zh-CN"/>
              </w:rPr>
              <w:t>弃渣场</w:t>
            </w:r>
          </w:p>
        </w:tc>
        <w:tc>
          <w:tcPr>
            <w:tcW w:w="6979" w:type="dxa"/>
            <w:shd w:val="clear" w:color="auto" w:fill="auto"/>
            <w:noWrap w:val="0"/>
            <w:vAlign w:val="center"/>
          </w:tcPr>
          <w:p w14:paraId="330DE5DC">
            <w:pPr>
              <w:spacing w:line="300" w:lineRule="exact"/>
              <w:jc w:val="center"/>
              <w:rPr>
                <w:rFonts w:hint="eastAsia" w:ascii="Arial" w:hAnsi="Times New Roman" w:eastAsia="宋体" w:cs="Arial"/>
                <w:bCs/>
                <w:color w:val="auto"/>
                <w:kern w:val="2"/>
                <w:sz w:val="22"/>
                <w:szCs w:val="22"/>
                <w:lang w:val="en-US" w:eastAsia="zh-CN" w:bidi="ar-SA"/>
              </w:rPr>
            </w:pPr>
            <w:r>
              <w:rPr>
                <w:rFonts w:hint="eastAsia" w:ascii="Arial" w:cs="Arial"/>
                <w:bCs/>
                <w:color w:val="auto"/>
                <w:sz w:val="22"/>
                <w:szCs w:val="22"/>
              </w:rPr>
              <w:t>设置弃渣场1处，位于</w:t>
            </w:r>
            <w:r>
              <w:rPr>
                <w:rFonts w:hint="eastAsia" w:ascii="Arial" w:cs="Arial"/>
                <w:bCs/>
                <w:color w:val="auto"/>
                <w:sz w:val="22"/>
                <w:szCs w:val="22"/>
                <w:lang w:eastAsia="zh-CN"/>
              </w:rPr>
              <w:t>田家山村村委会附近</w:t>
            </w:r>
            <w:r>
              <w:rPr>
                <w:rFonts w:hint="eastAsia" w:ascii="Arial" w:cs="Arial"/>
                <w:bCs/>
                <w:color w:val="auto"/>
                <w:sz w:val="22"/>
                <w:szCs w:val="22"/>
                <w:lang w:val="en-US" w:eastAsia="zh-CN"/>
              </w:rPr>
              <w:t>200m处，</w:t>
            </w:r>
            <w:r>
              <w:rPr>
                <w:rFonts w:hint="eastAsia" w:ascii="Arial" w:cs="Arial"/>
                <w:bCs/>
                <w:color w:val="auto"/>
                <w:sz w:val="22"/>
                <w:szCs w:val="22"/>
              </w:rPr>
              <w:t>距离大坝枢纽运距约</w:t>
            </w:r>
            <w:r>
              <w:rPr>
                <w:rFonts w:hint="eastAsia" w:ascii="Arial" w:cs="Arial"/>
                <w:bCs/>
                <w:color w:val="auto"/>
                <w:sz w:val="22"/>
                <w:szCs w:val="22"/>
                <w:lang w:val="en-US" w:eastAsia="zh-CN"/>
              </w:rPr>
              <w:t>6</w:t>
            </w:r>
            <w:r>
              <w:rPr>
                <w:rFonts w:ascii="Arial" w:cs="Arial"/>
                <w:bCs/>
                <w:color w:val="auto"/>
                <w:sz w:val="22"/>
                <w:szCs w:val="22"/>
              </w:rPr>
              <w:t>km</w:t>
            </w:r>
            <w:r>
              <w:rPr>
                <w:rFonts w:hint="eastAsia" w:ascii="Arial" w:cs="Arial"/>
                <w:bCs/>
                <w:color w:val="auto"/>
                <w:sz w:val="22"/>
                <w:szCs w:val="22"/>
              </w:rPr>
              <w:t>，占地面积</w:t>
            </w:r>
            <w:r>
              <w:rPr>
                <w:rFonts w:hint="eastAsia" w:ascii="Arial" w:cs="Arial"/>
                <w:bCs/>
                <w:color w:val="auto"/>
                <w:sz w:val="22"/>
                <w:szCs w:val="22"/>
                <w:lang w:val="en-US" w:eastAsia="zh-CN"/>
              </w:rPr>
              <w:t>49.47亩</w:t>
            </w:r>
            <w:r>
              <w:rPr>
                <w:rFonts w:hint="eastAsia" w:ascii="Arial" w:cs="Arial"/>
                <w:bCs/>
                <w:color w:val="auto"/>
                <w:sz w:val="22"/>
                <w:szCs w:val="22"/>
              </w:rPr>
              <w:t>，弃渣容量约</w:t>
            </w:r>
            <w:r>
              <w:rPr>
                <w:rFonts w:hint="eastAsia" w:ascii="Arial" w:cs="Arial"/>
                <w:bCs/>
                <w:color w:val="auto"/>
                <w:sz w:val="22"/>
                <w:szCs w:val="22"/>
                <w:lang w:val="en-US" w:eastAsia="zh-CN"/>
              </w:rPr>
              <w:t>1</w:t>
            </w:r>
            <w:r>
              <w:rPr>
                <w:rFonts w:hint="eastAsia" w:ascii="Arial" w:cs="Arial"/>
                <w:bCs/>
                <w:color w:val="auto"/>
                <w:sz w:val="22"/>
                <w:szCs w:val="22"/>
              </w:rPr>
              <w:t>2万</w:t>
            </w:r>
            <w:r>
              <w:rPr>
                <w:rFonts w:ascii="Arial" w:cs="Arial"/>
                <w:bCs/>
                <w:color w:val="auto"/>
                <w:sz w:val="22"/>
                <w:szCs w:val="22"/>
              </w:rPr>
              <w:t>m</w:t>
            </w:r>
            <w:r>
              <w:rPr>
                <w:rFonts w:ascii="Arial" w:cs="Arial"/>
                <w:bCs/>
                <w:color w:val="auto"/>
                <w:sz w:val="22"/>
                <w:szCs w:val="22"/>
                <w:vertAlign w:val="superscript"/>
              </w:rPr>
              <w:t>3</w:t>
            </w:r>
            <w:r>
              <w:rPr>
                <w:rFonts w:hint="eastAsia" w:ascii="Arial" w:cs="Arial"/>
                <w:bCs/>
                <w:color w:val="auto"/>
                <w:sz w:val="22"/>
                <w:szCs w:val="22"/>
              </w:rPr>
              <w:t>，用于堆存处置枢纽工程</w:t>
            </w:r>
            <w:r>
              <w:rPr>
                <w:rFonts w:hint="eastAsia" w:ascii="Arial" w:cs="Arial"/>
                <w:bCs/>
                <w:color w:val="auto"/>
                <w:sz w:val="22"/>
                <w:szCs w:val="22"/>
                <w:lang w:eastAsia="zh-CN"/>
              </w:rPr>
              <w:t>、输水工程</w:t>
            </w:r>
            <w:r>
              <w:rPr>
                <w:rFonts w:hint="eastAsia" w:ascii="Arial" w:cs="Arial"/>
                <w:bCs/>
                <w:color w:val="auto"/>
                <w:sz w:val="22"/>
                <w:szCs w:val="22"/>
              </w:rPr>
              <w:t>施工产生的废弃土石方。</w:t>
            </w:r>
            <w:r>
              <w:rPr>
                <w:rFonts w:hint="default" w:ascii="Arial" w:hAnsi="Arial" w:cs="Arial"/>
                <w:color w:val="auto"/>
                <w:sz w:val="22"/>
                <w:szCs w:val="22"/>
                <w:lang w:val="en-US" w:eastAsia="zh-CN"/>
              </w:rPr>
              <w:t>堆渣前于</w:t>
            </w:r>
            <w:r>
              <w:rPr>
                <w:rFonts w:hint="default" w:ascii="Arial" w:hAnsi="Arial" w:cs="Arial"/>
                <w:color w:val="auto"/>
                <w:sz w:val="22"/>
                <w:szCs w:val="22"/>
                <w:highlight w:val="none"/>
              </w:rPr>
              <w:t>坡脚</w:t>
            </w:r>
            <w:r>
              <w:rPr>
                <w:rFonts w:hint="default" w:ascii="Arial" w:hAnsi="Arial" w:cs="Arial"/>
                <w:color w:val="auto"/>
                <w:sz w:val="22"/>
                <w:szCs w:val="22"/>
                <w:highlight w:val="none"/>
                <w:lang w:eastAsia="zh-CN"/>
              </w:rPr>
              <w:t>修建</w:t>
            </w:r>
            <w:r>
              <w:rPr>
                <w:rFonts w:hint="default" w:ascii="Arial" w:hAnsi="Arial" w:cs="Arial"/>
                <w:color w:val="auto"/>
                <w:sz w:val="22"/>
                <w:szCs w:val="22"/>
                <w:highlight w:val="none"/>
              </w:rPr>
              <w:t xml:space="preserve"> C20埋石砼</w:t>
            </w:r>
            <w:r>
              <w:rPr>
                <w:rFonts w:hint="default" w:ascii="Arial" w:hAnsi="Arial" w:cs="Arial"/>
                <w:color w:val="auto"/>
                <w:sz w:val="22"/>
                <w:szCs w:val="22"/>
                <w:highlight w:val="none"/>
                <w:lang w:val="en-US" w:eastAsia="zh-CN"/>
              </w:rPr>
              <w:t>重力式</w:t>
            </w:r>
            <w:r>
              <w:rPr>
                <w:rFonts w:hint="default" w:ascii="Arial" w:hAnsi="Arial" w:cs="Arial"/>
                <w:color w:val="auto"/>
                <w:sz w:val="22"/>
                <w:szCs w:val="22"/>
                <w:highlight w:val="none"/>
              </w:rPr>
              <w:t>挡土墙拦挡</w:t>
            </w:r>
            <w:r>
              <w:rPr>
                <w:rFonts w:hint="default" w:ascii="Arial" w:hAnsi="Arial" w:cs="Arial"/>
                <w:color w:val="auto"/>
                <w:sz w:val="22"/>
                <w:szCs w:val="22"/>
                <w:lang w:val="en-US" w:eastAsia="zh-CN"/>
              </w:rPr>
              <w:t>，</w:t>
            </w:r>
            <w:r>
              <w:rPr>
                <w:rFonts w:hint="eastAsia" w:ascii="Arial" w:hAnsi="Arial" w:cs="Arial"/>
                <w:color w:val="auto"/>
                <w:sz w:val="22"/>
                <w:szCs w:val="22"/>
                <w:lang w:val="en-US" w:eastAsia="zh-CN"/>
              </w:rPr>
              <w:t>长95m。</w:t>
            </w:r>
            <w:r>
              <w:rPr>
                <w:rFonts w:hint="eastAsia" w:ascii="Arial" w:hAnsi="Times New Roman" w:cs="Arial"/>
                <w:bCs/>
                <w:color w:val="auto"/>
                <w:sz w:val="22"/>
                <w:szCs w:val="22"/>
                <w:lang w:val="en-US" w:eastAsia="zh-CN"/>
              </w:rPr>
              <w:t>采取多级放坡方式布置，平均堆渣厚度5.0m</w:t>
            </w:r>
            <w:r>
              <w:rPr>
                <w:rFonts w:hint="eastAsia" w:ascii="Arial" w:hAnsi="Times New Roman" w:cs="Arial"/>
                <w:bCs/>
                <w:color w:val="auto"/>
                <w:sz w:val="22"/>
                <w:szCs w:val="22"/>
                <w:lang w:eastAsia="zh-CN"/>
              </w:rPr>
              <w:t>，堆渣边坡不陡</w:t>
            </w:r>
            <w:r>
              <w:rPr>
                <w:rFonts w:hint="eastAsia" w:ascii="Arial" w:hAnsi="Times New Roman" w:cs="Arial"/>
                <w:bCs/>
                <w:color w:val="auto"/>
                <w:sz w:val="22"/>
                <w:szCs w:val="22"/>
                <w:lang w:val="en-US" w:eastAsia="zh-CN"/>
              </w:rPr>
              <w:t>于1:3.0，堆渣体</w:t>
            </w:r>
            <w:r>
              <w:rPr>
                <w:rFonts w:hint="eastAsia" w:ascii="Arial" w:hAnsi="Times New Roman" w:cs="Arial"/>
                <w:bCs/>
                <w:color w:val="auto"/>
                <w:sz w:val="22"/>
                <w:szCs w:val="22"/>
                <w:lang w:eastAsia="zh-CN"/>
              </w:rPr>
              <w:t>应采取分层碾压，压实系数不低于 0.91。沿渣场</w:t>
            </w:r>
            <w:r>
              <w:rPr>
                <w:rFonts w:hint="eastAsia" w:ascii="Arial" w:hAnsi="Times New Roman" w:cs="Arial"/>
                <w:bCs/>
                <w:color w:val="auto"/>
                <w:sz w:val="22"/>
                <w:szCs w:val="22"/>
                <w:lang w:val="en-US" w:eastAsia="zh-CN"/>
              </w:rPr>
              <w:t>外围</w:t>
            </w:r>
            <w:r>
              <w:rPr>
                <w:rFonts w:hint="eastAsia" w:ascii="Arial" w:hAnsi="Times New Roman" w:cs="Arial"/>
                <w:bCs/>
                <w:color w:val="auto"/>
                <w:sz w:val="22"/>
                <w:szCs w:val="22"/>
                <w:lang w:eastAsia="zh-CN"/>
              </w:rPr>
              <w:t>边界及坡顶布置</w:t>
            </w:r>
            <w:r>
              <w:rPr>
                <w:rFonts w:hint="eastAsia" w:ascii="Arial" w:hAnsi="Times New Roman" w:cs="Arial"/>
                <w:bCs/>
                <w:color w:val="auto"/>
                <w:sz w:val="22"/>
                <w:szCs w:val="22"/>
                <w:lang w:val="en-US" w:eastAsia="zh-CN"/>
              </w:rPr>
              <w:t>M10浆砌块石</w:t>
            </w:r>
            <w:r>
              <w:rPr>
                <w:rFonts w:hint="eastAsia" w:ascii="Arial" w:hAnsi="Times New Roman" w:cs="Arial"/>
                <w:bCs/>
                <w:color w:val="auto"/>
                <w:sz w:val="22"/>
                <w:szCs w:val="22"/>
                <w:lang w:eastAsia="zh-CN"/>
              </w:rPr>
              <w:t>排水沟，排水沟出口处设沉砂池，经沉沙后接入附近天然沟道。渣场堆填完成后，应对渣场实施覆土、绿化等水土保持最终封场措施。</w:t>
            </w:r>
          </w:p>
        </w:tc>
      </w:tr>
      <w:tr w14:paraId="60ECE4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4E13A034">
            <w:pPr>
              <w:spacing w:line="300" w:lineRule="exact"/>
              <w:jc w:val="center"/>
              <w:rPr>
                <w:rFonts w:hint="eastAsia" w:ascii="Arial" w:hAnsi="Arial" w:cs="Arial"/>
                <w:bCs/>
                <w:sz w:val="22"/>
                <w:szCs w:val="22"/>
              </w:rPr>
            </w:pPr>
          </w:p>
        </w:tc>
        <w:tc>
          <w:tcPr>
            <w:tcW w:w="1892" w:type="dxa"/>
            <w:gridSpan w:val="4"/>
            <w:noWrap w:val="0"/>
            <w:vAlign w:val="center"/>
          </w:tcPr>
          <w:p w14:paraId="59D899E8">
            <w:pPr>
              <w:spacing w:line="300" w:lineRule="exact"/>
              <w:jc w:val="center"/>
              <w:rPr>
                <w:rFonts w:hint="eastAsia" w:ascii="Arial" w:hAnsi="宋体" w:eastAsia="宋体" w:cs="Arial"/>
                <w:bCs/>
                <w:color w:val="auto"/>
                <w:sz w:val="22"/>
                <w:szCs w:val="22"/>
                <w:lang w:eastAsia="zh-CN"/>
              </w:rPr>
            </w:pPr>
            <w:r>
              <w:rPr>
                <w:rFonts w:hint="eastAsia" w:ascii="Arial" w:hAnsi="宋体" w:cs="Arial"/>
                <w:bCs/>
                <w:color w:val="auto"/>
                <w:sz w:val="22"/>
                <w:szCs w:val="22"/>
                <w:lang w:eastAsia="zh-CN"/>
              </w:rPr>
              <w:t>施工营地</w:t>
            </w:r>
          </w:p>
        </w:tc>
        <w:tc>
          <w:tcPr>
            <w:tcW w:w="6979" w:type="dxa"/>
            <w:noWrap w:val="0"/>
            <w:vAlign w:val="center"/>
          </w:tcPr>
          <w:p w14:paraId="175687C7">
            <w:pPr>
              <w:spacing w:line="300" w:lineRule="exact"/>
              <w:jc w:val="center"/>
              <w:rPr>
                <w:rFonts w:hint="eastAsia" w:ascii="Arial" w:eastAsia="宋体" w:cs="Arial"/>
                <w:bCs/>
                <w:color w:val="auto"/>
                <w:sz w:val="22"/>
                <w:szCs w:val="22"/>
                <w:lang w:eastAsia="zh-CN"/>
              </w:rPr>
            </w:pPr>
            <w:r>
              <w:rPr>
                <w:rFonts w:hint="eastAsia" w:ascii="Arial" w:cs="Arial"/>
                <w:bCs/>
                <w:color w:val="auto"/>
                <w:sz w:val="22"/>
                <w:szCs w:val="22"/>
                <w:lang w:eastAsia="zh-CN"/>
              </w:rPr>
              <w:t>租用周边居民房屋作施工营地，不新增占地和建构筑物。</w:t>
            </w:r>
          </w:p>
        </w:tc>
      </w:tr>
      <w:tr w14:paraId="2779B7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656" w:type="dxa"/>
            <w:vMerge w:val="restart"/>
            <w:noWrap w:val="0"/>
            <w:vAlign w:val="center"/>
          </w:tcPr>
          <w:p w14:paraId="163756A2">
            <w:pPr>
              <w:spacing w:line="300" w:lineRule="exact"/>
              <w:jc w:val="center"/>
              <w:rPr>
                <w:rFonts w:hint="eastAsia" w:ascii="Arial" w:hAnsi="Arial" w:cs="Arial"/>
                <w:bCs/>
                <w:sz w:val="22"/>
                <w:szCs w:val="22"/>
              </w:rPr>
            </w:pPr>
            <w:r>
              <w:rPr>
                <w:rFonts w:hint="eastAsia" w:ascii="Arial" w:hAnsi="Arial" w:cs="Arial"/>
                <w:bCs/>
                <w:sz w:val="22"/>
                <w:szCs w:val="22"/>
              </w:rPr>
              <w:t>公用工程</w:t>
            </w:r>
          </w:p>
        </w:tc>
        <w:tc>
          <w:tcPr>
            <w:tcW w:w="641" w:type="dxa"/>
            <w:vMerge w:val="restart"/>
            <w:noWrap w:val="0"/>
            <w:vAlign w:val="center"/>
          </w:tcPr>
          <w:p w14:paraId="45E62124">
            <w:pPr>
              <w:spacing w:line="300" w:lineRule="exact"/>
              <w:jc w:val="center"/>
              <w:rPr>
                <w:rFonts w:hint="eastAsia" w:ascii="Arial" w:hAnsi="宋体" w:cs="Arial"/>
                <w:bCs/>
                <w:sz w:val="22"/>
                <w:szCs w:val="22"/>
              </w:rPr>
            </w:pPr>
            <w:r>
              <w:rPr>
                <w:rFonts w:hint="eastAsia" w:ascii="Arial" w:hAnsi="宋体" w:cs="Arial"/>
                <w:bCs/>
                <w:sz w:val="22"/>
                <w:szCs w:val="22"/>
              </w:rPr>
              <w:t>供水</w:t>
            </w:r>
          </w:p>
        </w:tc>
        <w:tc>
          <w:tcPr>
            <w:tcW w:w="1251" w:type="dxa"/>
            <w:gridSpan w:val="3"/>
            <w:noWrap w:val="0"/>
            <w:vAlign w:val="center"/>
          </w:tcPr>
          <w:p w14:paraId="6A741345">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枢纽工程</w:t>
            </w:r>
          </w:p>
        </w:tc>
        <w:tc>
          <w:tcPr>
            <w:tcW w:w="6979" w:type="dxa"/>
            <w:noWrap w:val="0"/>
            <w:vAlign w:val="center"/>
          </w:tcPr>
          <w:p w14:paraId="38DD9213">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rPr>
              <w:t>施工期生产用水直接从工程河段下游抽取，</w:t>
            </w:r>
            <w:r>
              <w:rPr>
                <w:rFonts w:hint="eastAsia" w:ascii="Arial" w:hAnsi="宋体" w:cs="Arial"/>
                <w:bCs/>
                <w:sz w:val="22"/>
                <w:szCs w:val="22"/>
                <w:lang w:eastAsia="zh-CN"/>
              </w:rPr>
              <w:t>暂存于大坝左岸永久占地范围内设置的容积为</w:t>
            </w:r>
            <w:r>
              <w:rPr>
                <w:rFonts w:hint="eastAsia" w:ascii="Arial" w:hAnsi="宋体" w:cs="Arial"/>
                <w:bCs/>
                <w:sz w:val="22"/>
                <w:szCs w:val="22"/>
                <w:lang w:val="en-US" w:eastAsia="zh-CN"/>
              </w:rPr>
              <w:t>60m</w:t>
            </w:r>
            <w:r>
              <w:rPr>
                <w:rFonts w:hint="eastAsia" w:ascii="Arial" w:hAnsi="宋体" w:cs="Arial"/>
                <w:bCs/>
                <w:sz w:val="22"/>
                <w:szCs w:val="22"/>
                <w:vertAlign w:val="superscript"/>
                <w:lang w:val="en-US" w:eastAsia="zh-CN"/>
              </w:rPr>
              <w:t>3</w:t>
            </w:r>
            <w:r>
              <w:rPr>
                <w:rFonts w:hint="eastAsia" w:ascii="Arial" w:hAnsi="宋体" w:cs="Arial"/>
                <w:bCs/>
                <w:sz w:val="22"/>
                <w:szCs w:val="22"/>
                <w:lang w:val="en-US" w:eastAsia="zh-CN"/>
              </w:rPr>
              <w:t>水池内，</w:t>
            </w:r>
            <w:r>
              <w:rPr>
                <w:rFonts w:hint="eastAsia" w:ascii="Arial" w:hAnsi="宋体" w:cs="Arial"/>
                <w:bCs/>
                <w:sz w:val="22"/>
                <w:szCs w:val="22"/>
              </w:rPr>
              <w:t>其水质及水量均能满足要求。</w:t>
            </w:r>
            <w:r>
              <w:rPr>
                <w:rFonts w:hint="eastAsia" w:ascii="Arial" w:hAnsi="宋体" w:cs="Arial"/>
                <w:bCs/>
                <w:sz w:val="22"/>
                <w:szCs w:val="22"/>
                <w:lang w:eastAsia="zh-CN"/>
              </w:rPr>
              <w:t>租赁居民房屋作施工营地，生活用水</w:t>
            </w:r>
            <w:r>
              <w:rPr>
                <w:rFonts w:hint="eastAsia" w:ascii="Arial" w:hAnsi="Arial" w:cs="Arial"/>
                <w:color w:val="auto"/>
                <w:kern w:val="0"/>
                <w:sz w:val="22"/>
                <w:szCs w:val="22"/>
                <w:highlight w:val="none"/>
                <w:lang w:eastAsia="zh-CN"/>
              </w:rPr>
              <w:t>采取当地已供给的自来水或桶装水。</w:t>
            </w:r>
          </w:p>
        </w:tc>
      </w:tr>
      <w:tr w14:paraId="53E3BA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656" w:type="dxa"/>
            <w:vMerge w:val="continue"/>
            <w:noWrap w:val="0"/>
            <w:vAlign w:val="center"/>
          </w:tcPr>
          <w:p w14:paraId="778C4359">
            <w:pPr>
              <w:spacing w:line="300" w:lineRule="exact"/>
              <w:jc w:val="center"/>
            </w:pPr>
          </w:p>
        </w:tc>
        <w:tc>
          <w:tcPr>
            <w:tcW w:w="641" w:type="dxa"/>
            <w:vMerge w:val="continue"/>
            <w:noWrap w:val="0"/>
            <w:vAlign w:val="center"/>
          </w:tcPr>
          <w:p w14:paraId="7F72FDDF">
            <w:pPr>
              <w:spacing w:line="300" w:lineRule="exact"/>
              <w:jc w:val="center"/>
            </w:pPr>
          </w:p>
        </w:tc>
        <w:tc>
          <w:tcPr>
            <w:tcW w:w="1251" w:type="dxa"/>
            <w:gridSpan w:val="3"/>
            <w:noWrap w:val="0"/>
            <w:vAlign w:val="center"/>
          </w:tcPr>
          <w:p w14:paraId="2B6E5EBC">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输水工程</w:t>
            </w:r>
          </w:p>
        </w:tc>
        <w:tc>
          <w:tcPr>
            <w:tcW w:w="6979" w:type="dxa"/>
            <w:noWrap w:val="0"/>
            <w:vAlign w:val="center"/>
          </w:tcPr>
          <w:p w14:paraId="0CD97CCA">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直接从河道内抽取。</w:t>
            </w:r>
          </w:p>
        </w:tc>
      </w:tr>
      <w:tr w14:paraId="29FA1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5" w:hRule="atLeast"/>
          <w:jc w:val="center"/>
        </w:trPr>
        <w:tc>
          <w:tcPr>
            <w:tcW w:w="656" w:type="dxa"/>
            <w:vMerge w:val="continue"/>
            <w:noWrap w:val="0"/>
            <w:vAlign w:val="center"/>
          </w:tcPr>
          <w:p w14:paraId="628624E1">
            <w:pPr>
              <w:spacing w:line="300" w:lineRule="exact"/>
              <w:jc w:val="center"/>
              <w:rPr>
                <w:rFonts w:hint="eastAsia" w:ascii="Arial" w:hAnsi="Arial" w:cs="Arial"/>
                <w:bCs/>
                <w:sz w:val="22"/>
                <w:szCs w:val="22"/>
              </w:rPr>
            </w:pPr>
          </w:p>
        </w:tc>
        <w:tc>
          <w:tcPr>
            <w:tcW w:w="641" w:type="dxa"/>
            <w:vMerge w:val="restart"/>
            <w:noWrap w:val="0"/>
            <w:vAlign w:val="center"/>
          </w:tcPr>
          <w:p w14:paraId="49C3D916">
            <w:pPr>
              <w:spacing w:line="300" w:lineRule="exact"/>
              <w:jc w:val="center"/>
              <w:rPr>
                <w:rFonts w:hint="eastAsia" w:ascii="Arial" w:hAnsi="宋体" w:cs="Arial"/>
                <w:bCs/>
                <w:sz w:val="22"/>
                <w:szCs w:val="22"/>
              </w:rPr>
            </w:pPr>
            <w:r>
              <w:rPr>
                <w:rFonts w:hint="eastAsia" w:ascii="Arial" w:hAnsi="宋体" w:cs="Arial"/>
                <w:bCs/>
                <w:sz w:val="22"/>
                <w:szCs w:val="22"/>
              </w:rPr>
              <w:t>供电</w:t>
            </w:r>
          </w:p>
        </w:tc>
        <w:tc>
          <w:tcPr>
            <w:tcW w:w="1251" w:type="dxa"/>
            <w:gridSpan w:val="3"/>
            <w:shd w:val="clear" w:color="auto" w:fill="auto"/>
            <w:noWrap w:val="0"/>
            <w:vAlign w:val="center"/>
          </w:tcPr>
          <w:p w14:paraId="10E297AD">
            <w:pPr>
              <w:spacing w:line="300" w:lineRule="exact"/>
              <w:jc w:val="center"/>
              <w:rPr>
                <w:rFonts w:hint="eastAsia" w:ascii="Arial" w:hAnsi="宋体" w:eastAsia="宋体" w:cs="Arial"/>
                <w:bCs/>
                <w:kern w:val="2"/>
                <w:sz w:val="22"/>
                <w:szCs w:val="22"/>
                <w:lang w:val="en-US" w:eastAsia="zh-CN" w:bidi="ar-SA"/>
              </w:rPr>
            </w:pPr>
            <w:r>
              <w:rPr>
                <w:rFonts w:hint="eastAsia" w:ascii="Arial" w:hAnsi="宋体" w:cs="Arial"/>
                <w:bCs/>
                <w:sz w:val="22"/>
                <w:szCs w:val="22"/>
                <w:lang w:eastAsia="zh-CN"/>
              </w:rPr>
              <w:t>枢纽工程</w:t>
            </w:r>
          </w:p>
        </w:tc>
        <w:tc>
          <w:tcPr>
            <w:tcW w:w="6979" w:type="dxa"/>
            <w:noWrap w:val="0"/>
            <w:vAlign w:val="center"/>
          </w:tcPr>
          <w:p w14:paraId="6F62CA54">
            <w:pPr>
              <w:spacing w:line="300" w:lineRule="exact"/>
              <w:jc w:val="center"/>
              <w:rPr>
                <w:rFonts w:hint="eastAsia" w:ascii="Arial" w:hAnsi="宋体" w:cs="Arial"/>
                <w:bCs/>
                <w:sz w:val="22"/>
                <w:szCs w:val="22"/>
              </w:rPr>
            </w:pPr>
            <w:r>
              <w:rPr>
                <w:rFonts w:hint="eastAsia" w:ascii="Arial" w:cs="Arial"/>
                <w:bCs/>
                <w:sz w:val="22"/>
                <w:szCs w:val="22"/>
              </w:rPr>
              <w:t>施工用电直接从附近10KV线路</w:t>
            </w:r>
            <w:r>
              <w:rPr>
                <w:rFonts w:hint="eastAsia" w:ascii="Arial" w:cs="Arial"/>
                <w:bCs/>
                <w:sz w:val="22"/>
                <w:szCs w:val="22"/>
                <w:lang w:eastAsia="zh-CN"/>
              </w:rPr>
              <w:t>“</w:t>
            </w:r>
            <w:r>
              <w:rPr>
                <w:rFonts w:hint="eastAsia" w:ascii="Arial" w:cs="Arial"/>
                <w:bCs/>
                <w:sz w:val="22"/>
                <w:szCs w:val="22"/>
              </w:rPr>
              <w:t>T</w:t>
            </w:r>
            <w:r>
              <w:rPr>
                <w:rFonts w:hint="eastAsia" w:ascii="Arial" w:cs="Arial"/>
                <w:bCs/>
                <w:sz w:val="22"/>
                <w:szCs w:val="22"/>
                <w:lang w:eastAsia="zh-CN"/>
              </w:rPr>
              <w:t>”</w:t>
            </w:r>
            <w:r>
              <w:rPr>
                <w:rFonts w:hint="eastAsia" w:ascii="Arial" w:cs="Arial"/>
                <w:bCs/>
                <w:sz w:val="22"/>
                <w:szCs w:val="22"/>
              </w:rPr>
              <w:t>接向施工区供电，后期作为管理房设施设备用电。在施工区的大坝施工</w:t>
            </w:r>
            <w:r>
              <w:rPr>
                <w:rFonts w:hint="eastAsia" w:ascii="Arial" w:cs="Arial"/>
                <w:bCs/>
                <w:sz w:val="22"/>
                <w:szCs w:val="22"/>
                <w:lang w:val="en-US" w:eastAsia="zh-CN"/>
              </w:rPr>
              <w:t>内共计布置4</w:t>
            </w:r>
            <w:r>
              <w:rPr>
                <w:rFonts w:hint="eastAsia" w:ascii="Arial" w:cs="Arial"/>
                <w:bCs/>
                <w:sz w:val="22"/>
                <w:szCs w:val="22"/>
              </w:rPr>
              <w:t>台10/0.4kV预装式箱式变电站，另外，配置 2台50kW可移动式柴油发电机，以保证供电可靠性。</w:t>
            </w:r>
          </w:p>
        </w:tc>
      </w:tr>
      <w:tr w14:paraId="38EA3C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2" w:hRule="atLeast"/>
          <w:jc w:val="center"/>
        </w:trPr>
        <w:tc>
          <w:tcPr>
            <w:tcW w:w="656" w:type="dxa"/>
            <w:vMerge w:val="continue"/>
            <w:noWrap w:val="0"/>
            <w:vAlign w:val="center"/>
          </w:tcPr>
          <w:p w14:paraId="1A6E3DEC">
            <w:pPr>
              <w:spacing w:line="300" w:lineRule="exact"/>
              <w:jc w:val="center"/>
            </w:pPr>
          </w:p>
        </w:tc>
        <w:tc>
          <w:tcPr>
            <w:tcW w:w="641" w:type="dxa"/>
            <w:vMerge w:val="continue"/>
            <w:noWrap w:val="0"/>
            <w:vAlign w:val="center"/>
          </w:tcPr>
          <w:p w14:paraId="0F76574F">
            <w:pPr>
              <w:spacing w:line="300" w:lineRule="exact"/>
              <w:jc w:val="center"/>
            </w:pPr>
          </w:p>
        </w:tc>
        <w:tc>
          <w:tcPr>
            <w:tcW w:w="1251" w:type="dxa"/>
            <w:gridSpan w:val="3"/>
            <w:shd w:val="clear" w:color="auto" w:fill="auto"/>
            <w:noWrap w:val="0"/>
            <w:vAlign w:val="center"/>
          </w:tcPr>
          <w:p w14:paraId="32A0199D">
            <w:pPr>
              <w:spacing w:line="300" w:lineRule="exact"/>
              <w:jc w:val="center"/>
              <w:rPr>
                <w:rFonts w:hint="eastAsia" w:ascii="Arial" w:hAnsi="宋体" w:eastAsia="宋体" w:cs="Arial"/>
                <w:bCs/>
                <w:kern w:val="2"/>
                <w:sz w:val="22"/>
                <w:szCs w:val="22"/>
                <w:lang w:val="en-US" w:eastAsia="zh-CN" w:bidi="ar-SA"/>
              </w:rPr>
            </w:pPr>
            <w:r>
              <w:rPr>
                <w:rFonts w:hint="eastAsia" w:ascii="Arial" w:hAnsi="宋体" w:cs="Arial"/>
                <w:bCs/>
                <w:sz w:val="22"/>
                <w:szCs w:val="22"/>
                <w:lang w:eastAsia="zh-CN"/>
              </w:rPr>
              <w:t>输水工程</w:t>
            </w:r>
          </w:p>
        </w:tc>
        <w:tc>
          <w:tcPr>
            <w:tcW w:w="6979" w:type="dxa"/>
            <w:noWrap w:val="0"/>
            <w:vAlign w:val="center"/>
          </w:tcPr>
          <w:p w14:paraId="1A07F8A1">
            <w:pPr>
              <w:spacing w:line="300" w:lineRule="exact"/>
              <w:jc w:val="center"/>
              <w:rPr>
                <w:rFonts w:hint="eastAsia" w:ascii="Arial" w:hAnsi="宋体" w:cs="Arial"/>
                <w:bCs/>
                <w:sz w:val="22"/>
                <w:szCs w:val="22"/>
              </w:rPr>
            </w:pPr>
            <w:r>
              <w:rPr>
                <w:rFonts w:hint="eastAsia" w:ascii="Arial" w:cs="Arial"/>
                <w:bCs/>
                <w:sz w:val="22"/>
                <w:szCs w:val="22"/>
              </w:rPr>
              <w:t>采用</w:t>
            </w:r>
            <w:r>
              <w:rPr>
                <w:rFonts w:hint="eastAsia" w:ascii="Arial" w:cs="Arial"/>
                <w:bCs/>
                <w:sz w:val="22"/>
                <w:szCs w:val="22"/>
                <w:lang w:val="en-US" w:eastAsia="zh-CN"/>
              </w:rPr>
              <w:t>2台</w:t>
            </w:r>
            <w:r>
              <w:rPr>
                <w:rFonts w:hint="eastAsia" w:ascii="Arial" w:cs="Arial"/>
                <w:bCs/>
                <w:sz w:val="22"/>
                <w:szCs w:val="22"/>
              </w:rPr>
              <w:t>12</w:t>
            </w:r>
            <w:r>
              <w:rPr>
                <w:rFonts w:hint="eastAsia" w:ascii="Arial" w:cs="Arial"/>
                <w:bCs/>
                <w:sz w:val="22"/>
                <w:szCs w:val="22"/>
                <w:lang w:val="en-US" w:eastAsia="zh-CN"/>
              </w:rPr>
              <w:t>KW</w:t>
            </w:r>
            <w:r>
              <w:rPr>
                <w:rFonts w:hint="eastAsia" w:ascii="Arial" w:cs="Arial"/>
                <w:bCs/>
                <w:sz w:val="22"/>
                <w:szCs w:val="22"/>
              </w:rPr>
              <w:t>小型柴油发电机组供电，一供一备。</w:t>
            </w:r>
          </w:p>
        </w:tc>
      </w:tr>
      <w:tr w14:paraId="60FD63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3" w:hRule="atLeast"/>
          <w:jc w:val="center"/>
        </w:trPr>
        <w:tc>
          <w:tcPr>
            <w:tcW w:w="656" w:type="dxa"/>
            <w:vMerge w:val="continue"/>
            <w:noWrap w:val="0"/>
            <w:vAlign w:val="center"/>
          </w:tcPr>
          <w:p w14:paraId="709EF9C3">
            <w:pPr>
              <w:spacing w:line="300" w:lineRule="exact"/>
              <w:jc w:val="center"/>
              <w:rPr>
                <w:rFonts w:hint="eastAsia" w:ascii="Arial" w:hAnsi="Arial" w:cs="Arial"/>
                <w:bCs/>
                <w:sz w:val="22"/>
                <w:szCs w:val="22"/>
              </w:rPr>
            </w:pPr>
          </w:p>
        </w:tc>
        <w:tc>
          <w:tcPr>
            <w:tcW w:w="641" w:type="dxa"/>
            <w:vMerge w:val="restart"/>
            <w:noWrap w:val="0"/>
            <w:vAlign w:val="center"/>
          </w:tcPr>
          <w:p w14:paraId="0A21DE9D">
            <w:pPr>
              <w:spacing w:line="300" w:lineRule="exact"/>
              <w:jc w:val="center"/>
              <w:rPr>
                <w:rFonts w:hint="eastAsia" w:ascii="Arial" w:hAnsi="宋体" w:cs="Arial"/>
                <w:bCs/>
                <w:sz w:val="22"/>
                <w:szCs w:val="22"/>
              </w:rPr>
            </w:pPr>
            <w:r>
              <w:rPr>
                <w:rFonts w:hint="eastAsia" w:ascii="Arial" w:hAnsi="宋体" w:cs="Arial"/>
                <w:bCs/>
                <w:sz w:val="22"/>
                <w:szCs w:val="22"/>
              </w:rPr>
              <w:t>供风</w:t>
            </w:r>
          </w:p>
        </w:tc>
        <w:tc>
          <w:tcPr>
            <w:tcW w:w="1251" w:type="dxa"/>
            <w:gridSpan w:val="3"/>
            <w:noWrap w:val="0"/>
            <w:vAlign w:val="center"/>
          </w:tcPr>
          <w:p w14:paraId="2D859624">
            <w:pPr>
              <w:spacing w:line="300" w:lineRule="exact"/>
              <w:jc w:val="center"/>
              <w:rPr>
                <w:rFonts w:hint="eastAsia" w:ascii="Arial" w:hAnsi="宋体" w:cs="Arial"/>
                <w:bCs/>
                <w:sz w:val="22"/>
                <w:szCs w:val="22"/>
              </w:rPr>
            </w:pPr>
            <w:r>
              <w:rPr>
                <w:rFonts w:hint="eastAsia" w:ascii="Arial" w:hAnsi="宋体" w:cs="Arial"/>
                <w:bCs/>
                <w:sz w:val="22"/>
                <w:szCs w:val="22"/>
                <w:lang w:eastAsia="zh-CN"/>
              </w:rPr>
              <w:t>枢纽工程</w:t>
            </w:r>
          </w:p>
        </w:tc>
        <w:tc>
          <w:tcPr>
            <w:tcW w:w="6979" w:type="dxa"/>
            <w:noWrap w:val="0"/>
            <w:vAlign w:val="center"/>
          </w:tcPr>
          <w:p w14:paraId="6CDF6924">
            <w:pPr>
              <w:spacing w:line="300" w:lineRule="exact"/>
              <w:jc w:val="center"/>
              <w:rPr>
                <w:rFonts w:hint="eastAsia" w:ascii="Arial" w:cs="Arial"/>
                <w:bCs/>
                <w:sz w:val="22"/>
                <w:szCs w:val="22"/>
              </w:rPr>
            </w:pPr>
            <w:r>
              <w:rPr>
                <w:rFonts w:hint="eastAsia" w:ascii="Arial" w:cs="Arial"/>
                <w:bCs/>
                <w:sz w:val="22"/>
                <w:szCs w:val="22"/>
              </w:rPr>
              <w:t>在大坝右岸</w:t>
            </w:r>
            <w:r>
              <w:rPr>
                <w:rFonts w:hint="eastAsia" w:ascii="Arial" w:cs="Arial"/>
                <w:bCs/>
                <w:sz w:val="22"/>
                <w:szCs w:val="22"/>
                <w:lang w:eastAsia="zh-CN"/>
              </w:rPr>
              <w:t>永久占地范围内</w:t>
            </w:r>
            <w:r>
              <w:rPr>
                <w:rFonts w:hint="eastAsia" w:ascii="Arial" w:cs="Arial"/>
                <w:bCs/>
                <w:sz w:val="22"/>
                <w:szCs w:val="22"/>
              </w:rPr>
              <w:t>集中设一座空压站，站内设4台LGFD40/8型固定空压机供风，主要供工程石方开挖、大坝灌浆等供风使用。</w:t>
            </w:r>
          </w:p>
        </w:tc>
      </w:tr>
      <w:tr w14:paraId="1376D0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656" w:type="dxa"/>
            <w:vMerge w:val="continue"/>
            <w:noWrap w:val="0"/>
            <w:vAlign w:val="center"/>
          </w:tcPr>
          <w:p w14:paraId="2C17E869">
            <w:pPr>
              <w:spacing w:line="300" w:lineRule="exact"/>
              <w:jc w:val="center"/>
            </w:pPr>
          </w:p>
        </w:tc>
        <w:tc>
          <w:tcPr>
            <w:tcW w:w="641" w:type="dxa"/>
            <w:vMerge w:val="continue"/>
            <w:noWrap w:val="0"/>
            <w:vAlign w:val="center"/>
          </w:tcPr>
          <w:p w14:paraId="08580ECE">
            <w:pPr>
              <w:spacing w:line="300" w:lineRule="exact"/>
              <w:jc w:val="center"/>
            </w:pPr>
          </w:p>
        </w:tc>
        <w:tc>
          <w:tcPr>
            <w:tcW w:w="1251" w:type="dxa"/>
            <w:gridSpan w:val="3"/>
            <w:noWrap w:val="0"/>
            <w:vAlign w:val="center"/>
          </w:tcPr>
          <w:p w14:paraId="309CA357">
            <w:pPr>
              <w:spacing w:line="300" w:lineRule="exact"/>
              <w:jc w:val="center"/>
              <w:rPr>
                <w:rFonts w:hint="eastAsia" w:ascii="Arial" w:hAnsi="宋体" w:cs="Arial"/>
                <w:bCs/>
                <w:sz w:val="22"/>
                <w:szCs w:val="22"/>
              </w:rPr>
            </w:pPr>
            <w:r>
              <w:rPr>
                <w:rFonts w:hint="eastAsia" w:ascii="Arial" w:hAnsi="宋体" w:cs="Arial"/>
                <w:bCs/>
                <w:sz w:val="22"/>
                <w:szCs w:val="22"/>
                <w:lang w:eastAsia="zh-CN"/>
              </w:rPr>
              <w:t>输水工程</w:t>
            </w:r>
          </w:p>
        </w:tc>
        <w:tc>
          <w:tcPr>
            <w:tcW w:w="6979" w:type="dxa"/>
            <w:noWrap w:val="0"/>
            <w:vAlign w:val="center"/>
          </w:tcPr>
          <w:p w14:paraId="5A92E8A5">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输水工程</w:t>
            </w:r>
            <w:r>
              <w:rPr>
                <w:rFonts w:hint="eastAsia" w:ascii="Arial" w:cs="Arial"/>
                <w:bCs/>
                <w:sz w:val="22"/>
                <w:szCs w:val="22"/>
              </w:rPr>
              <w:t>作业点各配置1台3m</w:t>
            </w:r>
            <w:r>
              <w:rPr>
                <w:rFonts w:hint="eastAsia" w:ascii="Arial" w:cs="Arial"/>
                <w:bCs/>
                <w:sz w:val="22"/>
                <w:szCs w:val="22"/>
                <w:vertAlign w:val="superscript"/>
              </w:rPr>
              <w:t>3</w:t>
            </w:r>
            <w:r>
              <w:rPr>
                <w:rFonts w:hint="eastAsia" w:ascii="Arial" w:cs="Arial"/>
                <w:bCs/>
                <w:sz w:val="22"/>
                <w:szCs w:val="22"/>
              </w:rPr>
              <w:t>/min移动空压机及相应配套的辅助设备，以供应施工区钻孔用风。</w:t>
            </w:r>
          </w:p>
        </w:tc>
      </w:tr>
      <w:tr w14:paraId="73671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2" w:hRule="atLeast"/>
          <w:jc w:val="center"/>
        </w:trPr>
        <w:tc>
          <w:tcPr>
            <w:tcW w:w="656" w:type="dxa"/>
            <w:vMerge w:val="restart"/>
            <w:noWrap w:val="0"/>
            <w:vAlign w:val="center"/>
          </w:tcPr>
          <w:p w14:paraId="46C9BE00">
            <w:pPr>
              <w:spacing w:line="300" w:lineRule="exact"/>
              <w:jc w:val="center"/>
              <w:rPr>
                <w:rFonts w:hint="eastAsia" w:ascii="Arial" w:hAnsi="Arial" w:cs="Arial"/>
                <w:bCs/>
                <w:sz w:val="22"/>
                <w:szCs w:val="22"/>
              </w:rPr>
            </w:pPr>
            <w:r>
              <w:rPr>
                <w:rFonts w:hint="eastAsia" w:ascii="Arial" w:hAnsi="Arial" w:cs="Arial"/>
                <w:bCs/>
                <w:sz w:val="22"/>
                <w:szCs w:val="22"/>
              </w:rPr>
              <w:t>环保工程</w:t>
            </w:r>
          </w:p>
        </w:tc>
        <w:tc>
          <w:tcPr>
            <w:tcW w:w="641" w:type="dxa"/>
            <w:vMerge w:val="restart"/>
            <w:noWrap w:val="0"/>
            <w:vAlign w:val="center"/>
          </w:tcPr>
          <w:p w14:paraId="70569666">
            <w:pPr>
              <w:spacing w:line="300" w:lineRule="exact"/>
              <w:jc w:val="center"/>
              <w:rPr>
                <w:rFonts w:hint="eastAsia" w:ascii="Arial" w:hAnsi="宋体" w:cs="Arial"/>
                <w:bCs/>
                <w:sz w:val="22"/>
                <w:szCs w:val="22"/>
              </w:rPr>
            </w:pPr>
            <w:r>
              <w:rPr>
                <w:rFonts w:hint="eastAsia" w:ascii="Arial" w:hAnsi="宋体" w:cs="Arial"/>
                <w:bCs/>
                <w:sz w:val="22"/>
                <w:szCs w:val="22"/>
              </w:rPr>
              <w:t>废水</w:t>
            </w:r>
          </w:p>
        </w:tc>
        <w:tc>
          <w:tcPr>
            <w:tcW w:w="1251" w:type="dxa"/>
            <w:gridSpan w:val="3"/>
            <w:noWrap w:val="0"/>
            <w:vAlign w:val="center"/>
          </w:tcPr>
          <w:p w14:paraId="53F4DDBE">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施工期</w:t>
            </w:r>
          </w:p>
        </w:tc>
        <w:tc>
          <w:tcPr>
            <w:tcW w:w="6979" w:type="dxa"/>
            <w:noWrap w:val="0"/>
            <w:vAlign w:val="center"/>
          </w:tcPr>
          <w:p w14:paraId="6CCC4F4E">
            <w:pPr>
              <w:spacing w:line="300" w:lineRule="exact"/>
              <w:rPr>
                <w:rFonts w:hint="eastAsia" w:ascii="Arial" w:cs="Arial"/>
                <w:bCs/>
                <w:sz w:val="26"/>
              </w:rPr>
            </w:pPr>
            <w:r>
              <w:rPr>
                <w:rFonts w:hint="eastAsia" w:ascii="Arial" w:cs="Arial"/>
                <w:bCs/>
                <w:color w:val="auto"/>
                <w:sz w:val="22"/>
                <w:szCs w:val="22"/>
              </w:rPr>
              <w:t>施工</w:t>
            </w:r>
            <w:r>
              <w:rPr>
                <w:rFonts w:hint="eastAsia" w:ascii="Arial" w:cs="Arial"/>
                <w:bCs/>
                <w:color w:val="auto"/>
                <w:sz w:val="22"/>
                <w:szCs w:val="22"/>
                <w:lang w:eastAsia="zh-CN"/>
              </w:rPr>
              <w:t>场地内拌合系统清洗、运输车辆冲洗、初期雨水等</w:t>
            </w:r>
            <w:r>
              <w:rPr>
                <w:rFonts w:hint="eastAsia" w:ascii="Arial" w:cs="Arial"/>
                <w:bCs/>
                <w:color w:val="auto"/>
                <w:sz w:val="22"/>
                <w:szCs w:val="22"/>
              </w:rPr>
              <w:t>生产废水</w:t>
            </w:r>
            <w:r>
              <w:rPr>
                <w:rFonts w:hint="eastAsia" w:ascii="Arial" w:cs="Arial"/>
                <w:bCs/>
                <w:color w:val="auto"/>
                <w:sz w:val="22"/>
                <w:szCs w:val="22"/>
                <w:lang w:eastAsia="zh-CN"/>
              </w:rPr>
              <w:t>经</w:t>
            </w:r>
            <w:r>
              <w:rPr>
                <w:rFonts w:hint="eastAsia" w:ascii="Arial" w:cs="Arial"/>
                <w:bCs/>
                <w:color w:val="auto"/>
                <w:sz w:val="22"/>
                <w:szCs w:val="22"/>
              </w:rPr>
              <w:t>收集</w:t>
            </w:r>
            <w:r>
              <w:rPr>
                <w:rFonts w:hint="eastAsia" w:ascii="Arial" w:cs="Arial"/>
                <w:bCs/>
                <w:color w:val="auto"/>
                <w:sz w:val="22"/>
                <w:szCs w:val="22"/>
                <w:lang w:eastAsia="zh-CN"/>
              </w:rPr>
              <w:t>并</w:t>
            </w:r>
            <w:r>
              <w:rPr>
                <w:rFonts w:hint="eastAsia" w:ascii="Arial" w:cs="Arial"/>
                <w:bCs/>
                <w:color w:val="auto"/>
                <w:sz w:val="22"/>
                <w:szCs w:val="22"/>
              </w:rPr>
              <w:t>沉淀</w:t>
            </w:r>
            <w:r>
              <w:rPr>
                <w:rFonts w:hint="eastAsia" w:ascii="Arial" w:cs="Arial"/>
                <w:bCs/>
                <w:color w:val="auto"/>
                <w:sz w:val="22"/>
                <w:szCs w:val="22"/>
                <w:lang w:eastAsia="zh-CN"/>
              </w:rPr>
              <w:t>处置</w:t>
            </w:r>
            <w:r>
              <w:rPr>
                <w:rFonts w:hint="eastAsia" w:ascii="Arial" w:cs="Arial"/>
                <w:bCs/>
                <w:color w:val="auto"/>
                <w:sz w:val="22"/>
                <w:szCs w:val="22"/>
              </w:rPr>
              <w:t>后，全部回用于生产</w:t>
            </w:r>
            <w:r>
              <w:rPr>
                <w:rFonts w:hint="eastAsia" w:ascii="Arial" w:cs="Arial"/>
                <w:bCs/>
                <w:color w:val="auto"/>
                <w:sz w:val="22"/>
                <w:szCs w:val="22"/>
                <w:lang w:eastAsia="zh-CN"/>
              </w:rPr>
              <w:t>，不外排</w:t>
            </w:r>
            <w:r>
              <w:rPr>
                <w:rFonts w:hint="eastAsia" w:ascii="Arial" w:cs="Arial"/>
                <w:bCs/>
                <w:color w:val="auto"/>
                <w:sz w:val="22"/>
                <w:szCs w:val="22"/>
              </w:rPr>
              <w:t>；</w:t>
            </w:r>
            <w:r>
              <w:rPr>
                <w:rFonts w:hint="eastAsia" w:ascii="Arial" w:cs="Arial"/>
                <w:bCs/>
                <w:color w:val="auto"/>
                <w:sz w:val="22"/>
                <w:szCs w:val="22"/>
                <w:lang w:eastAsia="zh-CN"/>
              </w:rPr>
              <w:t>围堰采取土工膜防渗，减少基坑废水产生，</w:t>
            </w:r>
            <w:r>
              <w:rPr>
                <w:rFonts w:hint="eastAsia" w:ascii="Arial" w:cs="Arial"/>
                <w:bCs/>
                <w:color w:val="auto"/>
                <w:sz w:val="22"/>
                <w:szCs w:val="22"/>
              </w:rPr>
              <w:t>基坑废水经围堰、集水坑收集沉淀处理后，尽可能回用</w:t>
            </w:r>
            <w:r>
              <w:rPr>
                <w:rFonts w:hint="eastAsia" w:ascii="Arial" w:cs="Arial"/>
                <w:bCs/>
                <w:color w:val="auto"/>
                <w:sz w:val="22"/>
                <w:szCs w:val="22"/>
                <w:lang w:eastAsia="zh-CN"/>
              </w:rPr>
              <w:t>作施工用水、抑尘</w:t>
            </w:r>
            <w:r>
              <w:rPr>
                <w:rFonts w:hint="eastAsia" w:ascii="Arial" w:cs="Arial"/>
                <w:bCs/>
                <w:color w:val="auto"/>
                <w:sz w:val="22"/>
                <w:szCs w:val="22"/>
              </w:rPr>
              <w:t>洒水、车辆冲洗</w:t>
            </w:r>
            <w:r>
              <w:rPr>
                <w:rFonts w:hint="eastAsia" w:ascii="Arial" w:cs="Arial"/>
                <w:bCs/>
                <w:color w:val="auto"/>
                <w:sz w:val="22"/>
                <w:szCs w:val="22"/>
                <w:lang w:eastAsia="zh-CN"/>
              </w:rPr>
              <w:t>等</w:t>
            </w:r>
            <w:r>
              <w:rPr>
                <w:rFonts w:hint="eastAsia" w:ascii="Arial" w:cs="Arial"/>
                <w:bCs/>
                <w:color w:val="auto"/>
                <w:sz w:val="22"/>
                <w:szCs w:val="22"/>
              </w:rPr>
              <w:t>，</w:t>
            </w:r>
            <w:r>
              <w:rPr>
                <w:rFonts w:hint="eastAsia" w:ascii="Arial" w:hAnsi="宋体" w:cs="Arial"/>
                <w:color w:val="auto"/>
                <w:spacing w:val="-4"/>
                <w:sz w:val="22"/>
                <w:szCs w:val="22"/>
              </w:rPr>
              <w:t>多余部分需沉淀处理</w:t>
            </w:r>
            <w:r>
              <w:rPr>
                <w:rFonts w:hint="eastAsia" w:ascii="Arial" w:hAnsi="宋体" w:cs="Arial"/>
                <w:color w:val="auto"/>
                <w:spacing w:val="-4"/>
                <w:sz w:val="22"/>
                <w:szCs w:val="22"/>
                <w:lang w:eastAsia="zh-CN"/>
              </w:rPr>
              <w:t>后引至下游河道</w:t>
            </w:r>
            <w:r>
              <w:rPr>
                <w:rFonts w:hint="eastAsia" w:ascii="Arial" w:hAnsi="宋体" w:cs="Arial"/>
                <w:color w:val="auto"/>
                <w:spacing w:val="-4"/>
                <w:sz w:val="22"/>
                <w:szCs w:val="22"/>
              </w:rPr>
              <w:t>排放</w:t>
            </w:r>
            <w:r>
              <w:rPr>
                <w:rFonts w:hint="eastAsia" w:ascii="Arial" w:hAnsi="宋体" w:cs="Arial"/>
                <w:color w:val="auto"/>
                <w:spacing w:val="-4"/>
                <w:sz w:val="22"/>
                <w:szCs w:val="22"/>
                <w:lang w:eastAsia="zh-CN"/>
              </w:rPr>
              <w:t>。</w:t>
            </w:r>
            <w:r>
              <w:rPr>
                <w:rFonts w:hint="eastAsia" w:ascii="Arial" w:cs="Arial"/>
                <w:bCs/>
                <w:color w:val="auto"/>
                <w:sz w:val="22"/>
                <w:szCs w:val="22"/>
              </w:rPr>
              <w:t>生活废水经</w:t>
            </w:r>
            <w:r>
              <w:rPr>
                <w:rFonts w:hint="eastAsia" w:ascii="Arial" w:cs="Arial"/>
                <w:bCs/>
                <w:color w:val="auto"/>
                <w:sz w:val="22"/>
                <w:szCs w:val="22"/>
                <w:lang w:eastAsia="zh-CN"/>
              </w:rPr>
              <w:t>租赁民房内已有的</w:t>
            </w:r>
            <w:r>
              <w:rPr>
                <w:rFonts w:hint="eastAsia" w:ascii="Arial" w:cs="Arial"/>
                <w:bCs/>
                <w:color w:val="auto"/>
                <w:sz w:val="22"/>
                <w:szCs w:val="22"/>
              </w:rPr>
              <w:t>旱厕收集后</w:t>
            </w:r>
            <w:r>
              <w:rPr>
                <w:rFonts w:hint="eastAsia" w:ascii="Arial" w:cs="Arial"/>
                <w:bCs/>
                <w:color w:val="auto"/>
                <w:sz w:val="22"/>
                <w:szCs w:val="22"/>
                <w:lang w:eastAsia="zh-CN"/>
              </w:rPr>
              <w:t>，用作农肥，不外排</w:t>
            </w:r>
            <w:r>
              <w:rPr>
                <w:rFonts w:hint="eastAsia" w:ascii="Arial" w:cs="Arial"/>
                <w:bCs/>
                <w:color w:val="auto"/>
                <w:sz w:val="22"/>
                <w:szCs w:val="22"/>
              </w:rPr>
              <w:t>。</w:t>
            </w:r>
          </w:p>
        </w:tc>
      </w:tr>
      <w:tr w14:paraId="08DF03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656" w:type="dxa"/>
            <w:vMerge w:val="continue"/>
            <w:noWrap w:val="0"/>
            <w:vAlign w:val="center"/>
          </w:tcPr>
          <w:p w14:paraId="3189266A">
            <w:pPr>
              <w:spacing w:line="300" w:lineRule="exact"/>
              <w:jc w:val="center"/>
            </w:pPr>
          </w:p>
        </w:tc>
        <w:tc>
          <w:tcPr>
            <w:tcW w:w="641" w:type="dxa"/>
            <w:vMerge w:val="continue"/>
            <w:noWrap w:val="0"/>
            <w:vAlign w:val="center"/>
          </w:tcPr>
          <w:p w14:paraId="391AB97D">
            <w:pPr>
              <w:spacing w:line="300" w:lineRule="exact"/>
              <w:jc w:val="center"/>
            </w:pPr>
          </w:p>
        </w:tc>
        <w:tc>
          <w:tcPr>
            <w:tcW w:w="1251" w:type="dxa"/>
            <w:gridSpan w:val="3"/>
            <w:noWrap w:val="0"/>
            <w:vAlign w:val="center"/>
          </w:tcPr>
          <w:p w14:paraId="50B6DDB8">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运营期</w:t>
            </w:r>
          </w:p>
        </w:tc>
        <w:tc>
          <w:tcPr>
            <w:tcW w:w="6979" w:type="dxa"/>
            <w:noWrap w:val="0"/>
            <w:vAlign w:val="center"/>
          </w:tcPr>
          <w:p w14:paraId="30B6BAF2">
            <w:pPr>
              <w:spacing w:line="300" w:lineRule="exact"/>
              <w:jc w:val="center"/>
              <w:rPr>
                <w:rFonts w:hint="eastAsia" w:ascii="Arial" w:hAnsi="宋体" w:cs="Arial"/>
                <w:bCs/>
                <w:sz w:val="22"/>
                <w:szCs w:val="22"/>
              </w:rPr>
            </w:pPr>
            <w:r>
              <w:rPr>
                <w:rFonts w:hint="eastAsia" w:ascii="Arial" w:cs="Arial"/>
                <w:bCs/>
                <w:color w:val="auto"/>
                <w:sz w:val="22"/>
                <w:szCs w:val="22"/>
              </w:rPr>
              <w:t>营运期管理用房产生的生活污水经化粪池收集后用于绿化或农灌。</w:t>
            </w:r>
          </w:p>
        </w:tc>
      </w:tr>
      <w:tr w14:paraId="66E004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656" w:type="dxa"/>
            <w:vMerge w:val="continue"/>
            <w:noWrap w:val="0"/>
            <w:vAlign w:val="center"/>
          </w:tcPr>
          <w:p w14:paraId="6F7B0321">
            <w:pPr>
              <w:spacing w:line="300" w:lineRule="exact"/>
              <w:jc w:val="center"/>
              <w:rPr>
                <w:rFonts w:hint="eastAsia" w:ascii="Arial" w:hAnsi="Arial" w:cs="Arial"/>
                <w:bCs/>
                <w:sz w:val="22"/>
                <w:szCs w:val="22"/>
              </w:rPr>
            </w:pPr>
          </w:p>
        </w:tc>
        <w:tc>
          <w:tcPr>
            <w:tcW w:w="641" w:type="dxa"/>
            <w:vMerge w:val="restart"/>
            <w:noWrap w:val="0"/>
            <w:vAlign w:val="center"/>
          </w:tcPr>
          <w:p w14:paraId="620E3BD7">
            <w:pPr>
              <w:spacing w:line="300" w:lineRule="exact"/>
              <w:jc w:val="center"/>
              <w:rPr>
                <w:rFonts w:hint="eastAsia" w:ascii="Arial" w:hAnsi="宋体" w:cs="Arial"/>
                <w:bCs/>
                <w:sz w:val="22"/>
                <w:szCs w:val="22"/>
              </w:rPr>
            </w:pPr>
            <w:r>
              <w:rPr>
                <w:rFonts w:hint="eastAsia" w:ascii="Arial" w:hAnsi="宋体" w:cs="Arial"/>
                <w:bCs/>
                <w:sz w:val="22"/>
                <w:szCs w:val="22"/>
              </w:rPr>
              <w:t>废气</w:t>
            </w:r>
          </w:p>
        </w:tc>
        <w:tc>
          <w:tcPr>
            <w:tcW w:w="1251" w:type="dxa"/>
            <w:gridSpan w:val="3"/>
            <w:shd w:val="clear" w:color="auto" w:fill="auto"/>
            <w:noWrap w:val="0"/>
            <w:vAlign w:val="center"/>
          </w:tcPr>
          <w:p w14:paraId="03DDE78D">
            <w:pPr>
              <w:spacing w:line="300" w:lineRule="exact"/>
              <w:jc w:val="center"/>
              <w:rPr>
                <w:rFonts w:hint="eastAsia" w:ascii="Arial" w:hAnsi="宋体" w:eastAsia="宋体" w:cs="Arial"/>
                <w:bCs/>
                <w:kern w:val="2"/>
                <w:sz w:val="22"/>
                <w:szCs w:val="22"/>
                <w:lang w:val="en-US" w:eastAsia="zh-CN" w:bidi="ar-SA"/>
              </w:rPr>
            </w:pPr>
            <w:r>
              <w:rPr>
                <w:rFonts w:hint="eastAsia" w:ascii="Arial" w:hAnsi="宋体" w:cs="Arial"/>
                <w:bCs/>
                <w:sz w:val="22"/>
                <w:szCs w:val="22"/>
                <w:lang w:eastAsia="zh-CN"/>
              </w:rPr>
              <w:t>施工期</w:t>
            </w:r>
          </w:p>
        </w:tc>
        <w:tc>
          <w:tcPr>
            <w:tcW w:w="6979" w:type="dxa"/>
            <w:noWrap w:val="0"/>
            <w:vAlign w:val="center"/>
          </w:tcPr>
          <w:p w14:paraId="772018B0">
            <w:pPr>
              <w:spacing w:line="300" w:lineRule="exact"/>
              <w:jc w:val="center"/>
              <w:rPr>
                <w:rFonts w:hint="eastAsia" w:ascii="Arial" w:eastAsia="宋体" w:cs="Arial"/>
                <w:bCs/>
                <w:sz w:val="26"/>
                <w:lang w:eastAsia="zh-CN"/>
              </w:rPr>
            </w:pPr>
            <w:r>
              <w:rPr>
                <w:rFonts w:hint="eastAsia" w:ascii="Arial" w:cs="Arial"/>
                <w:bCs/>
                <w:sz w:val="22"/>
                <w:szCs w:val="22"/>
              </w:rPr>
              <w:t>湿法作业，洒水抑尘</w:t>
            </w:r>
            <w:r>
              <w:rPr>
                <w:rFonts w:hint="eastAsia" w:ascii="Arial" w:cs="Arial"/>
                <w:bCs/>
                <w:sz w:val="22"/>
                <w:szCs w:val="22"/>
                <w:lang w:eastAsia="zh-CN"/>
              </w:rPr>
              <w:t>；</w:t>
            </w:r>
            <w:r>
              <w:rPr>
                <w:rFonts w:hint="eastAsia" w:ascii="Arial" w:cs="Arial"/>
                <w:bCs/>
                <w:sz w:val="22"/>
                <w:szCs w:val="22"/>
              </w:rPr>
              <w:t>粉质物料</w:t>
            </w:r>
            <w:r>
              <w:rPr>
                <w:rFonts w:hint="eastAsia" w:ascii="Arial" w:cs="Arial"/>
                <w:bCs/>
                <w:sz w:val="22"/>
                <w:szCs w:val="22"/>
                <w:lang w:eastAsia="zh-CN"/>
              </w:rPr>
              <w:t>袋装集中</w:t>
            </w:r>
            <w:r>
              <w:rPr>
                <w:rFonts w:hint="eastAsia" w:ascii="Arial" w:cs="Arial"/>
                <w:bCs/>
                <w:sz w:val="22"/>
                <w:szCs w:val="22"/>
              </w:rPr>
              <w:t>堆存</w:t>
            </w:r>
            <w:r>
              <w:rPr>
                <w:rFonts w:hint="eastAsia" w:ascii="Arial" w:cs="Arial"/>
                <w:bCs/>
                <w:sz w:val="22"/>
                <w:szCs w:val="22"/>
                <w:lang w:eastAsia="zh-CN"/>
              </w:rPr>
              <w:t>，并</w:t>
            </w:r>
            <w:r>
              <w:rPr>
                <w:rFonts w:hint="eastAsia" w:ascii="Arial" w:cs="Arial"/>
                <w:bCs/>
                <w:sz w:val="22"/>
                <w:szCs w:val="22"/>
              </w:rPr>
              <w:t>采取篷布遮盖</w:t>
            </w:r>
            <w:r>
              <w:rPr>
                <w:rFonts w:hint="eastAsia" w:ascii="Arial" w:cs="Arial"/>
                <w:bCs/>
                <w:sz w:val="22"/>
                <w:szCs w:val="22"/>
                <w:lang w:eastAsia="zh-CN"/>
              </w:rPr>
              <w:t>；分段作业，避免大面积开挖；大风天气对开挖边坡、基础等采取密目网遮盖；物料、弃渣运输过程中限速限载，设置车辆冲洗装置，避免带泥上路引起二次扬尘；及时清运暂不利用的弃渣，避免场地内长时间、大容量堆存；枢纽工程施工场地内拌合系统采取筒仓储存水泥、粉煤灰等物料，安装仓顶除尘器，搅拌罐密闭运行。</w:t>
            </w:r>
          </w:p>
        </w:tc>
      </w:tr>
      <w:tr w14:paraId="274FFD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0" w:hRule="atLeast"/>
          <w:jc w:val="center"/>
        </w:trPr>
        <w:tc>
          <w:tcPr>
            <w:tcW w:w="656" w:type="dxa"/>
            <w:vMerge w:val="continue"/>
            <w:noWrap w:val="0"/>
            <w:vAlign w:val="center"/>
          </w:tcPr>
          <w:p w14:paraId="6767C22D">
            <w:pPr>
              <w:spacing w:line="300" w:lineRule="exact"/>
              <w:jc w:val="center"/>
            </w:pPr>
          </w:p>
        </w:tc>
        <w:tc>
          <w:tcPr>
            <w:tcW w:w="641" w:type="dxa"/>
            <w:vMerge w:val="continue"/>
            <w:noWrap w:val="0"/>
            <w:vAlign w:val="center"/>
          </w:tcPr>
          <w:p w14:paraId="04DC68F0">
            <w:pPr>
              <w:spacing w:line="300" w:lineRule="exact"/>
              <w:jc w:val="center"/>
            </w:pPr>
          </w:p>
        </w:tc>
        <w:tc>
          <w:tcPr>
            <w:tcW w:w="1251" w:type="dxa"/>
            <w:gridSpan w:val="3"/>
            <w:shd w:val="clear" w:color="auto" w:fill="auto"/>
            <w:noWrap w:val="0"/>
            <w:vAlign w:val="center"/>
          </w:tcPr>
          <w:p w14:paraId="4BDC6B3E">
            <w:pPr>
              <w:spacing w:line="300" w:lineRule="exact"/>
              <w:jc w:val="center"/>
              <w:rPr>
                <w:rFonts w:hint="eastAsia" w:ascii="Arial" w:hAnsi="宋体" w:eastAsia="宋体" w:cs="Arial"/>
                <w:bCs/>
                <w:kern w:val="2"/>
                <w:sz w:val="22"/>
                <w:szCs w:val="22"/>
                <w:lang w:val="en-US" w:eastAsia="zh-CN" w:bidi="ar-SA"/>
              </w:rPr>
            </w:pPr>
            <w:r>
              <w:rPr>
                <w:rFonts w:hint="eastAsia" w:ascii="Arial" w:hAnsi="宋体" w:cs="Arial"/>
                <w:bCs/>
                <w:sz w:val="22"/>
                <w:szCs w:val="22"/>
                <w:lang w:eastAsia="zh-CN"/>
              </w:rPr>
              <w:t>运营期</w:t>
            </w:r>
          </w:p>
        </w:tc>
        <w:tc>
          <w:tcPr>
            <w:tcW w:w="6979" w:type="dxa"/>
            <w:noWrap w:val="0"/>
            <w:vAlign w:val="center"/>
          </w:tcPr>
          <w:p w14:paraId="10474290">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管理用房内食堂油烟经油烟净化器收集处理后，引至超屋顶外排。</w:t>
            </w:r>
          </w:p>
        </w:tc>
      </w:tr>
      <w:tr w14:paraId="70CB22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0" w:hRule="atLeast"/>
          <w:jc w:val="center"/>
        </w:trPr>
        <w:tc>
          <w:tcPr>
            <w:tcW w:w="656" w:type="dxa"/>
            <w:vMerge w:val="continue"/>
            <w:noWrap w:val="0"/>
            <w:vAlign w:val="center"/>
          </w:tcPr>
          <w:p w14:paraId="136698E4">
            <w:pPr>
              <w:spacing w:line="300" w:lineRule="exact"/>
              <w:jc w:val="center"/>
            </w:pPr>
          </w:p>
        </w:tc>
        <w:tc>
          <w:tcPr>
            <w:tcW w:w="641" w:type="dxa"/>
            <w:vMerge w:val="restart"/>
            <w:noWrap w:val="0"/>
            <w:vAlign w:val="center"/>
          </w:tcPr>
          <w:p w14:paraId="0A6E40D9">
            <w:pPr>
              <w:spacing w:line="300" w:lineRule="exact"/>
              <w:jc w:val="center"/>
            </w:pPr>
            <w:r>
              <w:rPr>
                <w:rFonts w:hint="eastAsia" w:ascii="Arial" w:hAnsi="宋体" w:cs="Arial"/>
                <w:bCs/>
                <w:sz w:val="22"/>
                <w:szCs w:val="22"/>
              </w:rPr>
              <w:t>固体废弃物</w:t>
            </w:r>
          </w:p>
        </w:tc>
        <w:tc>
          <w:tcPr>
            <w:tcW w:w="1251" w:type="dxa"/>
            <w:gridSpan w:val="3"/>
            <w:shd w:val="clear" w:color="auto" w:fill="auto"/>
            <w:noWrap w:val="0"/>
            <w:vAlign w:val="center"/>
          </w:tcPr>
          <w:p w14:paraId="5079A83E">
            <w:pPr>
              <w:spacing w:line="300" w:lineRule="exact"/>
              <w:jc w:val="center"/>
              <w:rPr>
                <w:rFonts w:hint="eastAsia" w:ascii="Arial" w:hAnsi="宋体" w:eastAsia="宋体" w:cs="Arial"/>
                <w:bCs/>
                <w:kern w:val="2"/>
                <w:sz w:val="22"/>
                <w:szCs w:val="22"/>
                <w:lang w:val="en-US" w:eastAsia="zh-CN" w:bidi="ar-SA"/>
              </w:rPr>
            </w:pPr>
            <w:r>
              <w:rPr>
                <w:rFonts w:hint="eastAsia" w:ascii="Arial" w:hAnsi="宋体" w:cs="Arial"/>
                <w:bCs/>
                <w:sz w:val="22"/>
                <w:szCs w:val="22"/>
                <w:lang w:eastAsia="zh-CN"/>
              </w:rPr>
              <w:t>施工期</w:t>
            </w:r>
          </w:p>
        </w:tc>
        <w:tc>
          <w:tcPr>
            <w:tcW w:w="6979" w:type="dxa"/>
            <w:noWrap w:val="0"/>
            <w:vAlign w:val="center"/>
          </w:tcPr>
          <w:p w14:paraId="29E34571">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施工产生的弃渣、建筑垃圾及时清运至弃渣场内夯实堆存；表土清理至弃渣场内分区暂存，后期全部用作生态覆土；施工人员生活垃圾袋装收集后，交当地市政环卫部门统一清运处置；餐厨垃圾桶装收集后，交有资质单位处置；</w:t>
            </w:r>
            <w:r>
              <w:rPr>
                <w:rFonts w:hint="eastAsia" w:ascii="Arial" w:hAnsi="宋体" w:cs="Arial"/>
                <w:bCs/>
                <w:sz w:val="22"/>
                <w:szCs w:val="22"/>
              </w:rPr>
              <w:t>库底清理包括淹没区内林木清理、卫生清理，清理出来的废物按要求进行分类收集处置</w:t>
            </w:r>
            <w:r>
              <w:rPr>
                <w:rFonts w:hint="eastAsia" w:ascii="Arial" w:hAnsi="宋体" w:cs="Arial"/>
                <w:bCs/>
                <w:sz w:val="22"/>
                <w:szCs w:val="22"/>
                <w:lang w:eastAsia="zh-CN"/>
              </w:rPr>
              <w:t>；设备维护、检修产生的废矿物油、含油棉纱手套等属于危险废物，需交有资质的单位处置。</w:t>
            </w:r>
          </w:p>
        </w:tc>
      </w:tr>
      <w:tr w14:paraId="74EEE7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0" w:hRule="atLeast"/>
          <w:jc w:val="center"/>
        </w:trPr>
        <w:tc>
          <w:tcPr>
            <w:tcW w:w="656" w:type="dxa"/>
            <w:vMerge w:val="continue"/>
            <w:noWrap w:val="0"/>
            <w:vAlign w:val="center"/>
          </w:tcPr>
          <w:p w14:paraId="4DE443D6">
            <w:pPr>
              <w:spacing w:line="300" w:lineRule="exact"/>
              <w:jc w:val="center"/>
            </w:pPr>
          </w:p>
        </w:tc>
        <w:tc>
          <w:tcPr>
            <w:tcW w:w="641" w:type="dxa"/>
            <w:vMerge w:val="continue"/>
            <w:noWrap w:val="0"/>
            <w:vAlign w:val="center"/>
          </w:tcPr>
          <w:p w14:paraId="44F85F6C">
            <w:pPr>
              <w:spacing w:line="300" w:lineRule="exact"/>
              <w:jc w:val="center"/>
            </w:pPr>
          </w:p>
        </w:tc>
        <w:tc>
          <w:tcPr>
            <w:tcW w:w="1251" w:type="dxa"/>
            <w:gridSpan w:val="3"/>
            <w:shd w:val="clear" w:color="auto" w:fill="auto"/>
            <w:noWrap w:val="0"/>
            <w:vAlign w:val="center"/>
          </w:tcPr>
          <w:p w14:paraId="05CAD2EE">
            <w:pPr>
              <w:spacing w:line="300" w:lineRule="exact"/>
              <w:jc w:val="center"/>
              <w:rPr>
                <w:rFonts w:hint="eastAsia" w:ascii="Arial" w:hAnsi="宋体" w:eastAsia="宋体" w:cs="Arial"/>
                <w:bCs/>
                <w:kern w:val="2"/>
                <w:sz w:val="22"/>
                <w:szCs w:val="22"/>
                <w:lang w:val="en-US" w:eastAsia="zh-CN" w:bidi="ar-SA"/>
              </w:rPr>
            </w:pPr>
            <w:r>
              <w:rPr>
                <w:rFonts w:hint="eastAsia" w:ascii="Arial" w:hAnsi="宋体" w:cs="Arial"/>
                <w:bCs/>
                <w:sz w:val="22"/>
                <w:szCs w:val="22"/>
                <w:lang w:eastAsia="zh-CN"/>
              </w:rPr>
              <w:t>运营期</w:t>
            </w:r>
          </w:p>
        </w:tc>
        <w:tc>
          <w:tcPr>
            <w:tcW w:w="6979" w:type="dxa"/>
            <w:noWrap w:val="0"/>
            <w:vAlign w:val="center"/>
          </w:tcPr>
          <w:p w14:paraId="02E277EF">
            <w:pPr>
              <w:spacing w:line="300" w:lineRule="exact"/>
              <w:jc w:val="center"/>
              <w:rPr>
                <w:rFonts w:hint="eastAsia" w:ascii="Arial" w:hAnsi="宋体" w:cs="Arial"/>
                <w:bCs/>
                <w:sz w:val="22"/>
                <w:szCs w:val="22"/>
                <w:lang w:eastAsia="zh-CN"/>
              </w:rPr>
            </w:pPr>
            <w:r>
              <w:rPr>
                <w:rFonts w:hint="eastAsia" w:ascii="Arial" w:hAnsi="宋体" w:cs="Arial"/>
                <w:bCs/>
                <w:sz w:val="22"/>
                <w:szCs w:val="22"/>
                <w:lang w:eastAsia="zh-CN"/>
              </w:rPr>
              <w:t>职工生活垃圾袋装收集后，交当地市政环卫部门统一清运处置。</w:t>
            </w:r>
          </w:p>
        </w:tc>
      </w:tr>
      <w:tr w14:paraId="4E6A8E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7B9B80A4">
            <w:pPr>
              <w:spacing w:line="300" w:lineRule="exact"/>
              <w:jc w:val="center"/>
              <w:rPr>
                <w:rFonts w:hint="eastAsia" w:ascii="Arial" w:hAnsi="Arial" w:cs="Arial"/>
                <w:bCs/>
                <w:sz w:val="22"/>
                <w:szCs w:val="22"/>
              </w:rPr>
            </w:pPr>
          </w:p>
        </w:tc>
        <w:tc>
          <w:tcPr>
            <w:tcW w:w="1892" w:type="dxa"/>
            <w:gridSpan w:val="4"/>
            <w:noWrap w:val="0"/>
            <w:vAlign w:val="center"/>
          </w:tcPr>
          <w:p w14:paraId="3D6C119E">
            <w:pPr>
              <w:spacing w:line="300" w:lineRule="exact"/>
              <w:jc w:val="center"/>
              <w:rPr>
                <w:rFonts w:hint="eastAsia" w:ascii="Arial" w:hAnsi="宋体" w:cs="Arial"/>
                <w:bCs/>
                <w:sz w:val="22"/>
                <w:szCs w:val="22"/>
              </w:rPr>
            </w:pPr>
            <w:r>
              <w:rPr>
                <w:rFonts w:hint="eastAsia" w:ascii="Arial" w:hAnsi="宋体" w:cs="Arial"/>
                <w:bCs/>
                <w:sz w:val="22"/>
                <w:szCs w:val="22"/>
              </w:rPr>
              <w:t>生态放流</w:t>
            </w:r>
          </w:p>
        </w:tc>
        <w:tc>
          <w:tcPr>
            <w:tcW w:w="6979" w:type="dxa"/>
            <w:noWrap w:val="0"/>
            <w:vAlign w:val="center"/>
          </w:tcPr>
          <w:p w14:paraId="453F7765">
            <w:pPr>
              <w:spacing w:line="300" w:lineRule="exact"/>
              <w:jc w:val="center"/>
              <w:rPr>
                <w:rFonts w:hint="eastAsia" w:ascii="Arial" w:cs="Arial"/>
                <w:bCs/>
                <w:color w:val="FF0000"/>
                <w:sz w:val="26"/>
              </w:rPr>
            </w:pPr>
            <w:r>
              <w:rPr>
                <w:rFonts w:hint="eastAsia" w:ascii="Arial" w:cs="Arial"/>
                <w:bCs/>
                <w:color w:val="auto"/>
                <w:sz w:val="22"/>
                <w:szCs w:val="22"/>
                <w:lang w:eastAsia="zh-CN"/>
              </w:rPr>
              <w:t>下泄生态流量为坝址处多年平均流量的</w:t>
            </w:r>
            <w:r>
              <w:rPr>
                <w:rFonts w:hint="eastAsia" w:ascii="Arial" w:cs="Arial"/>
                <w:bCs/>
                <w:color w:val="auto"/>
                <w:sz w:val="22"/>
                <w:szCs w:val="22"/>
                <w:lang w:val="en-US" w:eastAsia="zh-CN"/>
              </w:rPr>
              <w:t>15%，为0.005</w:t>
            </w:r>
            <w:r>
              <w:rPr>
                <w:rFonts w:ascii="Arial" w:cs="Arial"/>
                <w:bCs/>
                <w:color w:val="auto"/>
                <w:sz w:val="22"/>
                <w:szCs w:val="22"/>
              </w:rPr>
              <w:t>m</w:t>
            </w:r>
            <w:r>
              <w:rPr>
                <w:rFonts w:ascii="Arial" w:cs="Arial"/>
                <w:bCs/>
                <w:color w:val="auto"/>
                <w:sz w:val="22"/>
                <w:szCs w:val="22"/>
                <w:vertAlign w:val="superscript"/>
              </w:rPr>
              <w:t>3</w:t>
            </w:r>
            <w:r>
              <w:rPr>
                <w:rFonts w:ascii="Arial" w:cs="Arial"/>
                <w:bCs/>
                <w:color w:val="auto"/>
                <w:sz w:val="22"/>
                <w:szCs w:val="22"/>
              </w:rPr>
              <w:t>/s</w:t>
            </w:r>
            <w:r>
              <w:rPr>
                <w:rFonts w:hint="eastAsia" w:ascii="Arial" w:cs="Arial"/>
                <w:bCs/>
                <w:color w:val="auto"/>
                <w:sz w:val="22"/>
                <w:szCs w:val="22"/>
                <w:lang w:eastAsia="zh-CN"/>
              </w:rPr>
              <w:t>。</w:t>
            </w:r>
            <w:r>
              <w:rPr>
                <w:rFonts w:hint="eastAsia" w:ascii="Arial" w:cs="Arial"/>
                <w:bCs/>
                <w:color w:val="auto"/>
                <w:sz w:val="22"/>
                <w:szCs w:val="22"/>
              </w:rPr>
              <w:t>为避免低温水下泄对坝后减水河段内水生生物造成影响，</w:t>
            </w:r>
            <w:r>
              <w:rPr>
                <w:rFonts w:hint="eastAsia" w:ascii="Arial" w:cs="Arial"/>
                <w:bCs/>
                <w:color w:val="auto"/>
                <w:sz w:val="22"/>
                <w:szCs w:val="22"/>
                <w:lang w:eastAsia="zh-CN"/>
              </w:rPr>
              <w:t>本项目采取分成取水方式，从上到下设置</w:t>
            </w:r>
            <w:r>
              <w:rPr>
                <w:rFonts w:hint="eastAsia" w:ascii="Arial" w:cs="Arial"/>
                <w:bCs/>
                <w:color w:val="auto"/>
                <w:sz w:val="22"/>
                <w:szCs w:val="22"/>
                <w:lang w:val="en-US" w:eastAsia="zh-CN"/>
              </w:rPr>
              <w:t>5个取水口，高程分别</w:t>
            </w:r>
            <w:r>
              <w:rPr>
                <w:rFonts w:hint="default" w:ascii="Arial" w:hAnsi="Arial" w:cs="Arial"/>
                <w:color w:val="auto"/>
                <w:sz w:val="22"/>
                <w:szCs w:val="22"/>
              </w:rPr>
              <w:t>为418.0m、415.0m、412.0m</w:t>
            </w:r>
            <w:r>
              <w:rPr>
                <w:rFonts w:hint="eastAsia" w:ascii="Arial" w:hAnsi="Arial" w:cs="Arial"/>
                <w:color w:val="auto"/>
                <w:sz w:val="22"/>
                <w:szCs w:val="22"/>
              </w:rPr>
              <w:t>、</w:t>
            </w:r>
            <w:r>
              <w:rPr>
                <w:rFonts w:hint="default" w:ascii="Arial" w:hAnsi="Arial" w:cs="Arial"/>
                <w:color w:val="auto"/>
                <w:sz w:val="22"/>
                <w:szCs w:val="22"/>
              </w:rPr>
              <w:t>409.0m</w:t>
            </w:r>
            <w:r>
              <w:rPr>
                <w:rFonts w:hint="eastAsia" w:ascii="Arial" w:hAnsi="Arial" w:cs="Arial"/>
                <w:color w:val="auto"/>
                <w:sz w:val="22"/>
                <w:szCs w:val="22"/>
              </w:rPr>
              <w:t>、</w:t>
            </w:r>
            <w:r>
              <w:rPr>
                <w:rFonts w:hint="default" w:ascii="Arial" w:hAnsi="Arial" w:cs="Arial"/>
                <w:color w:val="auto"/>
                <w:sz w:val="22"/>
                <w:szCs w:val="22"/>
              </w:rPr>
              <w:t>405.5m，</w:t>
            </w:r>
            <w:r>
              <w:rPr>
                <w:rFonts w:hint="eastAsia" w:ascii="Arial" w:hAnsi="Arial" w:cs="Arial"/>
                <w:color w:val="auto"/>
                <w:sz w:val="22"/>
                <w:szCs w:val="22"/>
                <w:lang w:eastAsia="zh-CN"/>
              </w:rPr>
              <w:t>分层取水后汇合成一根引水管，</w:t>
            </w:r>
            <w:r>
              <w:rPr>
                <w:rFonts w:hint="default" w:ascii="Arial" w:hAnsi="Arial" w:cs="Arial"/>
                <w:color w:val="auto"/>
                <w:sz w:val="22"/>
                <w:szCs w:val="22"/>
              </w:rPr>
              <w:t>引水管</w:t>
            </w:r>
            <w:r>
              <w:rPr>
                <w:rFonts w:hint="eastAsia" w:ascii="Arial" w:hAnsi="Arial" w:cs="Arial"/>
                <w:color w:val="auto"/>
                <w:sz w:val="22"/>
                <w:szCs w:val="22"/>
                <w:lang w:eastAsia="zh-CN"/>
              </w:rPr>
              <w:t>经</w:t>
            </w:r>
            <w:r>
              <w:rPr>
                <w:rFonts w:hint="default" w:ascii="Arial" w:hAnsi="Arial" w:cs="Arial"/>
                <w:color w:val="auto"/>
                <w:sz w:val="22"/>
                <w:szCs w:val="22"/>
              </w:rPr>
              <w:t>大坝下游坝坡左侧坝脚</w:t>
            </w:r>
            <w:r>
              <w:rPr>
                <w:rFonts w:hint="eastAsia" w:ascii="Arial" w:hAnsi="Arial" w:cs="Arial"/>
                <w:color w:val="auto"/>
                <w:sz w:val="22"/>
                <w:szCs w:val="22"/>
                <w:lang w:eastAsia="zh-CN"/>
              </w:rPr>
              <w:t>后引入闸阀房</w:t>
            </w:r>
            <w:r>
              <w:rPr>
                <w:rFonts w:hint="default" w:ascii="Arial" w:hAnsi="Arial" w:cs="Arial"/>
                <w:color w:val="auto"/>
                <w:sz w:val="22"/>
                <w:szCs w:val="22"/>
              </w:rPr>
              <w:t>，</w:t>
            </w:r>
            <w:r>
              <w:rPr>
                <w:rFonts w:hint="eastAsia" w:ascii="Arial" w:cs="Arial"/>
                <w:bCs/>
                <w:color w:val="auto"/>
                <w:sz w:val="22"/>
                <w:szCs w:val="22"/>
              </w:rPr>
              <w:t>充分混合后，根据用水性质分类，</w:t>
            </w:r>
            <w:r>
              <w:rPr>
                <w:rFonts w:hint="eastAsia" w:ascii="Arial" w:cs="Arial"/>
                <w:bCs/>
                <w:color w:val="auto"/>
                <w:sz w:val="22"/>
                <w:szCs w:val="22"/>
                <w:lang w:eastAsia="zh-CN"/>
              </w:rPr>
              <w:t>室内设</w:t>
            </w:r>
            <w:r>
              <w:rPr>
                <w:rFonts w:hint="eastAsia" w:ascii="Arial" w:cs="Arial"/>
                <w:bCs/>
                <w:color w:val="auto"/>
                <w:sz w:val="22"/>
                <w:szCs w:val="22"/>
              </w:rPr>
              <w:t>3根管道</w:t>
            </w:r>
            <w:r>
              <w:rPr>
                <w:rFonts w:hint="eastAsia" w:ascii="Arial" w:cs="Arial"/>
                <w:bCs/>
                <w:color w:val="auto"/>
                <w:sz w:val="22"/>
                <w:szCs w:val="22"/>
                <w:lang w:eastAsia="zh-CN"/>
              </w:rPr>
              <w:t>、</w:t>
            </w:r>
            <w:r>
              <w:rPr>
                <w:rFonts w:hint="eastAsia" w:ascii="Arial" w:cs="Arial"/>
                <w:bCs/>
                <w:color w:val="auto"/>
                <w:sz w:val="22"/>
                <w:szCs w:val="22"/>
                <w:lang w:val="en-US" w:eastAsia="zh-CN"/>
              </w:rPr>
              <w:t>3个</w:t>
            </w:r>
            <w:r>
              <w:rPr>
                <w:rFonts w:hint="eastAsia" w:ascii="Arial" w:cs="Arial"/>
                <w:bCs/>
                <w:color w:val="auto"/>
                <w:sz w:val="22"/>
                <w:szCs w:val="22"/>
                <w:lang w:eastAsia="zh-CN"/>
              </w:rPr>
              <w:t>控制阀</w:t>
            </w:r>
            <w:r>
              <w:rPr>
                <w:rFonts w:hint="eastAsia" w:ascii="Arial" w:cs="Arial"/>
                <w:bCs/>
                <w:color w:val="auto"/>
                <w:sz w:val="22"/>
                <w:szCs w:val="22"/>
                <w:lang w:val="en-US" w:eastAsia="zh-CN"/>
              </w:rPr>
              <w:t>，其中一根</w:t>
            </w:r>
            <w:r>
              <w:rPr>
                <w:rFonts w:ascii="Arial" w:cs="Arial"/>
                <w:bCs/>
                <w:color w:val="auto"/>
                <w:sz w:val="22"/>
                <w:szCs w:val="22"/>
              </w:rPr>
              <w:t>DN</w:t>
            </w:r>
            <w:r>
              <w:rPr>
                <w:rFonts w:hint="eastAsia" w:ascii="Arial" w:cs="Arial"/>
                <w:bCs/>
                <w:color w:val="auto"/>
                <w:sz w:val="22"/>
                <w:szCs w:val="22"/>
                <w:lang w:val="en-US" w:eastAsia="zh-CN"/>
              </w:rPr>
              <w:t>1</w:t>
            </w:r>
            <w:r>
              <w:rPr>
                <w:rFonts w:ascii="Arial" w:cs="Arial"/>
                <w:bCs/>
                <w:color w:val="auto"/>
                <w:sz w:val="22"/>
                <w:szCs w:val="22"/>
              </w:rPr>
              <w:t>00</w:t>
            </w:r>
            <w:r>
              <w:rPr>
                <w:rFonts w:hint="eastAsia" w:ascii="Arial" w:cs="Arial"/>
                <w:bCs/>
                <w:color w:val="auto"/>
                <w:sz w:val="22"/>
                <w:szCs w:val="22"/>
                <w:lang w:eastAsia="zh-CN"/>
              </w:rPr>
              <w:t>钢管为</w:t>
            </w:r>
            <w:r>
              <w:rPr>
                <w:rFonts w:hint="eastAsia" w:ascii="Arial" w:cs="Arial"/>
                <w:bCs/>
                <w:color w:val="auto"/>
                <w:sz w:val="22"/>
                <w:szCs w:val="22"/>
              </w:rPr>
              <w:t>生态放水</w:t>
            </w:r>
            <w:r>
              <w:rPr>
                <w:rFonts w:hint="eastAsia" w:ascii="Arial" w:cs="Arial"/>
                <w:bCs/>
                <w:color w:val="auto"/>
                <w:sz w:val="22"/>
                <w:szCs w:val="22"/>
                <w:lang w:eastAsia="zh-CN"/>
              </w:rPr>
              <w:t>管，</w:t>
            </w:r>
            <w:r>
              <w:rPr>
                <w:rFonts w:hint="eastAsia" w:ascii="Arial" w:cs="Arial"/>
                <w:bCs/>
                <w:color w:val="auto"/>
                <w:sz w:val="22"/>
                <w:szCs w:val="22"/>
                <w:lang w:val="en-US" w:eastAsia="zh-CN"/>
              </w:rPr>
              <w:t>出水口处</w:t>
            </w:r>
            <w:r>
              <w:rPr>
                <w:rFonts w:hint="eastAsia" w:ascii="Arial" w:cs="Arial"/>
                <w:bCs/>
                <w:color w:val="auto"/>
                <w:sz w:val="22"/>
                <w:szCs w:val="22"/>
              </w:rPr>
              <w:t>安装</w:t>
            </w:r>
            <w:r>
              <w:rPr>
                <w:rFonts w:hint="eastAsia" w:ascii="Arial" w:cs="Arial"/>
                <w:bCs/>
                <w:color w:val="auto"/>
                <w:sz w:val="22"/>
                <w:szCs w:val="22"/>
                <w:lang w:eastAsia="zh-CN"/>
              </w:rPr>
              <w:t>在线监控装置并联网运行</w:t>
            </w:r>
            <w:r>
              <w:rPr>
                <w:rFonts w:hint="eastAsia" w:ascii="Arial" w:cs="Arial"/>
                <w:bCs/>
                <w:color w:val="auto"/>
                <w:sz w:val="22"/>
                <w:szCs w:val="22"/>
              </w:rPr>
              <w:t>，确保满足坝后减水河段的用水需求。</w:t>
            </w:r>
          </w:p>
        </w:tc>
      </w:tr>
      <w:tr w14:paraId="2D43D2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restart"/>
            <w:noWrap w:val="0"/>
            <w:vAlign w:val="center"/>
          </w:tcPr>
          <w:p w14:paraId="667CF489">
            <w:pPr>
              <w:spacing w:line="300" w:lineRule="exact"/>
              <w:jc w:val="center"/>
              <w:rPr>
                <w:rFonts w:hint="eastAsia" w:ascii="Arial" w:hAnsi="Arial" w:cs="Arial"/>
                <w:bCs/>
                <w:sz w:val="22"/>
                <w:szCs w:val="22"/>
              </w:rPr>
            </w:pPr>
            <w:r>
              <w:rPr>
                <w:rFonts w:hint="eastAsia" w:ascii="Arial" w:hAnsi="Arial" w:cs="Arial"/>
                <w:bCs/>
                <w:sz w:val="22"/>
                <w:szCs w:val="22"/>
              </w:rPr>
              <w:t>水库淹没、移民安置</w:t>
            </w:r>
          </w:p>
        </w:tc>
        <w:tc>
          <w:tcPr>
            <w:tcW w:w="1892" w:type="dxa"/>
            <w:gridSpan w:val="4"/>
            <w:noWrap w:val="0"/>
            <w:vAlign w:val="center"/>
          </w:tcPr>
          <w:p w14:paraId="0CFC02B1">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工程征地</w:t>
            </w:r>
          </w:p>
        </w:tc>
        <w:tc>
          <w:tcPr>
            <w:tcW w:w="6979" w:type="dxa"/>
            <w:noWrap w:val="0"/>
            <w:vAlign w:val="center"/>
          </w:tcPr>
          <w:p w14:paraId="1759A6C5">
            <w:pPr>
              <w:spacing w:line="300" w:lineRule="exact"/>
              <w:jc w:val="center"/>
              <w:rPr>
                <w:rFonts w:hint="eastAsia" w:ascii="Arial" w:eastAsia="宋体" w:cs="Arial"/>
                <w:bCs/>
                <w:sz w:val="26"/>
                <w:lang w:val="en-US" w:eastAsia="zh-CN"/>
              </w:rPr>
            </w:pPr>
            <w:r>
              <w:rPr>
                <w:rFonts w:hint="eastAsia" w:ascii="Arial" w:cs="Arial"/>
                <w:bCs/>
                <w:sz w:val="22"/>
                <w:szCs w:val="22"/>
                <w:lang w:eastAsia="zh-CN"/>
              </w:rPr>
              <w:t>项目总用地面积为</w:t>
            </w:r>
            <w:r>
              <w:rPr>
                <w:rFonts w:hint="eastAsia" w:ascii="Arial" w:cs="Arial"/>
                <w:bCs/>
                <w:sz w:val="22"/>
                <w:szCs w:val="22"/>
                <w:lang w:val="en-US" w:eastAsia="zh-CN"/>
              </w:rPr>
              <w:t>11.3182hm</w:t>
            </w:r>
            <w:r>
              <w:rPr>
                <w:rFonts w:hint="eastAsia" w:ascii="Arial" w:cs="Arial"/>
                <w:bCs/>
                <w:sz w:val="22"/>
                <w:szCs w:val="22"/>
                <w:vertAlign w:val="superscript"/>
                <w:lang w:val="en-US" w:eastAsia="zh-CN"/>
              </w:rPr>
              <w:t>2</w:t>
            </w:r>
            <w:r>
              <w:rPr>
                <w:rFonts w:hint="eastAsia" w:ascii="Arial" w:cs="Arial"/>
                <w:bCs/>
                <w:sz w:val="22"/>
                <w:szCs w:val="22"/>
              </w:rPr>
              <w:t>，</w:t>
            </w:r>
            <w:r>
              <w:rPr>
                <w:rFonts w:hint="eastAsia" w:ascii="Arial" w:cs="Arial"/>
                <w:bCs/>
                <w:sz w:val="22"/>
                <w:szCs w:val="22"/>
                <w:lang w:eastAsia="zh-CN"/>
              </w:rPr>
              <w:t>其中</w:t>
            </w:r>
            <w:r>
              <w:rPr>
                <w:rFonts w:hint="eastAsia" w:ascii="Arial" w:cs="Arial"/>
                <w:bCs/>
                <w:sz w:val="22"/>
                <w:szCs w:val="22"/>
              </w:rPr>
              <w:t>库区淹没面积</w:t>
            </w:r>
            <w:r>
              <w:rPr>
                <w:rFonts w:hint="eastAsia" w:ascii="Arial" w:cs="Arial"/>
                <w:bCs/>
                <w:sz w:val="22"/>
                <w:szCs w:val="22"/>
                <w:lang w:val="en-US" w:eastAsia="zh-CN"/>
              </w:rPr>
              <w:t>8.3026hm</w:t>
            </w:r>
            <w:r>
              <w:rPr>
                <w:rFonts w:hint="eastAsia" w:ascii="Arial" w:cs="Arial"/>
                <w:bCs/>
                <w:sz w:val="22"/>
                <w:szCs w:val="22"/>
                <w:vertAlign w:val="superscript"/>
                <w:lang w:val="en-US" w:eastAsia="zh-CN"/>
              </w:rPr>
              <w:t>2</w:t>
            </w:r>
            <w:r>
              <w:rPr>
                <w:rFonts w:hint="eastAsia" w:ascii="Arial" w:cs="Arial"/>
                <w:bCs/>
                <w:sz w:val="22"/>
                <w:szCs w:val="22"/>
              </w:rPr>
              <w:t>，回水段长约</w:t>
            </w:r>
            <w:r>
              <w:rPr>
                <w:rFonts w:hint="eastAsia" w:ascii="Arial" w:cs="Arial"/>
                <w:bCs/>
                <w:sz w:val="22"/>
                <w:szCs w:val="22"/>
                <w:lang w:val="en-US" w:eastAsia="zh-CN"/>
              </w:rPr>
              <w:t>0.55</w:t>
            </w:r>
            <w:r>
              <w:rPr>
                <w:rFonts w:hint="eastAsia" w:ascii="Arial" w:cs="Arial"/>
                <w:bCs/>
                <w:sz w:val="22"/>
                <w:szCs w:val="22"/>
              </w:rPr>
              <w:t>km</w:t>
            </w:r>
            <w:r>
              <w:rPr>
                <w:rFonts w:hint="eastAsia" w:ascii="Arial" w:cs="Arial"/>
                <w:bCs/>
                <w:sz w:val="22"/>
                <w:szCs w:val="22"/>
                <w:lang w:eastAsia="zh-CN"/>
              </w:rPr>
              <w:t>；临时占地面积为</w:t>
            </w:r>
            <w:r>
              <w:rPr>
                <w:rFonts w:hint="eastAsia" w:ascii="Arial" w:cs="Arial"/>
                <w:bCs/>
                <w:sz w:val="22"/>
                <w:szCs w:val="22"/>
                <w:lang w:val="en-US" w:eastAsia="zh-CN"/>
              </w:rPr>
              <w:t>12.7944hm</w:t>
            </w:r>
            <w:r>
              <w:rPr>
                <w:rFonts w:hint="eastAsia" w:ascii="Arial" w:cs="Arial"/>
                <w:bCs/>
                <w:sz w:val="22"/>
                <w:szCs w:val="22"/>
                <w:vertAlign w:val="superscript"/>
                <w:lang w:val="en-US" w:eastAsia="zh-CN"/>
              </w:rPr>
              <w:t>2</w:t>
            </w:r>
            <w:r>
              <w:rPr>
                <w:rFonts w:hint="eastAsia" w:ascii="Arial" w:cs="Arial"/>
                <w:bCs/>
                <w:sz w:val="22"/>
                <w:szCs w:val="22"/>
                <w:lang w:eastAsia="zh-CN"/>
              </w:rPr>
              <w:t>。</w:t>
            </w:r>
          </w:p>
        </w:tc>
      </w:tr>
      <w:tr w14:paraId="211FEA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76FB4354">
            <w:pPr>
              <w:spacing w:line="300" w:lineRule="exact"/>
              <w:jc w:val="center"/>
              <w:rPr>
                <w:rFonts w:hint="eastAsia" w:ascii="Arial" w:hAnsi="Arial" w:cs="Arial"/>
                <w:bCs/>
                <w:sz w:val="22"/>
                <w:szCs w:val="22"/>
              </w:rPr>
            </w:pPr>
          </w:p>
        </w:tc>
        <w:tc>
          <w:tcPr>
            <w:tcW w:w="1892" w:type="dxa"/>
            <w:gridSpan w:val="4"/>
            <w:noWrap w:val="0"/>
            <w:vAlign w:val="center"/>
          </w:tcPr>
          <w:p w14:paraId="48D67771">
            <w:pPr>
              <w:spacing w:line="300" w:lineRule="exact"/>
              <w:jc w:val="center"/>
              <w:rPr>
                <w:rFonts w:hint="eastAsia" w:ascii="Arial" w:hAnsi="宋体" w:cs="Arial"/>
                <w:bCs/>
                <w:sz w:val="22"/>
                <w:szCs w:val="22"/>
              </w:rPr>
            </w:pPr>
            <w:r>
              <w:rPr>
                <w:rFonts w:hint="eastAsia" w:ascii="Arial" w:hAnsi="宋体" w:cs="Arial"/>
                <w:bCs/>
                <w:sz w:val="22"/>
                <w:szCs w:val="22"/>
              </w:rPr>
              <w:t>库底清理</w:t>
            </w:r>
          </w:p>
        </w:tc>
        <w:tc>
          <w:tcPr>
            <w:tcW w:w="6979" w:type="dxa"/>
            <w:noWrap w:val="0"/>
            <w:vAlign w:val="center"/>
          </w:tcPr>
          <w:p w14:paraId="417B0259">
            <w:pPr>
              <w:spacing w:line="300" w:lineRule="exact"/>
              <w:jc w:val="center"/>
              <w:rPr>
                <w:rFonts w:hint="eastAsia" w:ascii="Arial" w:hAnsi="宋体" w:cs="Arial"/>
                <w:spacing w:val="1"/>
                <w:sz w:val="22"/>
                <w:szCs w:val="22"/>
              </w:rPr>
            </w:pPr>
            <w:r>
              <w:rPr>
                <w:rFonts w:hint="eastAsia" w:ascii="Arial" w:hAnsi="宋体" w:cs="Arial"/>
                <w:spacing w:val="1"/>
                <w:sz w:val="22"/>
                <w:szCs w:val="22"/>
              </w:rPr>
              <w:t>包括淹没区内林木清理、卫生清理，清理出来的废物按要求进行分类收集处置。</w:t>
            </w:r>
            <w:r>
              <w:rPr>
                <w:rFonts w:ascii="Arial" w:hAnsi="宋体" w:cs="Arial"/>
                <w:spacing w:val="1"/>
                <w:sz w:val="22"/>
                <w:szCs w:val="22"/>
              </w:rPr>
              <w:t xml:space="preserve"> </w:t>
            </w:r>
          </w:p>
        </w:tc>
      </w:tr>
      <w:tr w14:paraId="69F630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3EC80C74">
            <w:pPr>
              <w:spacing w:line="300" w:lineRule="exact"/>
              <w:jc w:val="center"/>
              <w:rPr>
                <w:rFonts w:hint="eastAsia" w:ascii="Arial" w:hAnsi="Arial" w:cs="Arial"/>
                <w:bCs/>
                <w:sz w:val="22"/>
                <w:szCs w:val="22"/>
              </w:rPr>
            </w:pPr>
          </w:p>
        </w:tc>
        <w:tc>
          <w:tcPr>
            <w:tcW w:w="1892" w:type="dxa"/>
            <w:gridSpan w:val="4"/>
            <w:noWrap w:val="0"/>
            <w:vAlign w:val="center"/>
          </w:tcPr>
          <w:p w14:paraId="53BD2469">
            <w:pPr>
              <w:spacing w:line="300" w:lineRule="exact"/>
              <w:jc w:val="center"/>
              <w:rPr>
                <w:rFonts w:hint="eastAsia" w:ascii="Arial" w:hAnsi="宋体" w:eastAsia="宋体" w:cs="Arial"/>
                <w:bCs/>
                <w:sz w:val="22"/>
                <w:szCs w:val="22"/>
                <w:lang w:eastAsia="zh-CN"/>
              </w:rPr>
            </w:pPr>
            <w:r>
              <w:rPr>
                <w:rFonts w:hint="eastAsia" w:ascii="Arial" w:hAnsi="宋体" w:cs="Arial"/>
                <w:bCs/>
                <w:sz w:val="22"/>
                <w:szCs w:val="22"/>
                <w:lang w:eastAsia="zh-CN"/>
              </w:rPr>
              <w:t>专业项目处理</w:t>
            </w:r>
          </w:p>
        </w:tc>
        <w:tc>
          <w:tcPr>
            <w:tcW w:w="6979" w:type="dxa"/>
            <w:noWrap w:val="0"/>
            <w:vAlign w:val="center"/>
          </w:tcPr>
          <w:p w14:paraId="35FFE90A">
            <w:pPr>
              <w:spacing w:line="300" w:lineRule="exact"/>
              <w:jc w:val="center"/>
              <w:rPr>
                <w:rFonts w:hint="eastAsia" w:ascii="Arial" w:hAnsi="宋体" w:cs="Arial"/>
                <w:spacing w:val="1"/>
                <w:sz w:val="22"/>
                <w:szCs w:val="22"/>
              </w:rPr>
            </w:pPr>
            <w:r>
              <w:rPr>
                <w:rFonts w:hint="eastAsia" w:ascii="Arial" w:hAnsi="宋体" w:cs="Arial"/>
                <w:spacing w:val="1"/>
                <w:sz w:val="22"/>
                <w:szCs w:val="22"/>
                <w:lang w:val="en-US" w:eastAsia="zh-CN"/>
              </w:rPr>
              <w:t>库区不会淹没道路、桥梁、输电线路、电杆等专项设施处理，</w:t>
            </w:r>
          </w:p>
        </w:tc>
      </w:tr>
      <w:tr w14:paraId="41A254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56" w:type="dxa"/>
            <w:vMerge w:val="continue"/>
            <w:noWrap w:val="0"/>
            <w:vAlign w:val="center"/>
          </w:tcPr>
          <w:p w14:paraId="3CA74412">
            <w:pPr>
              <w:spacing w:line="300" w:lineRule="exact"/>
              <w:jc w:val="center"/>
              <w:rPr>
                <w:rFonts w:hint="eastAsia" w:ascii="Arial" w:hAnsi="Arial" w:cs="Arial"/>
                <w:bCs/>
                <w:sz w:val="22"/>
                <w:szCs w:val="22"/>
              </w:rPr>
            </w:pPr>
          </w:p>
        </w:tc>
        <w:tc>
          <w:tcPr>
            <w:tcW w:w="1892" w:type="dxa"/>
            <w:gridSpan w:val="4"/>
            <w:noWrap w:val="0"/>
            <w:vAlign w:val="center"/>
          </w:tcPr>
          <w:p w14:paraId="2BFD6A9A">
            <w:pPr>
              <w:spacing w:line="300" w:lineRule="exact"/>
              <w:jc w:val="center"/>
              <w:rPr>
                <w:rFonts w:hint="eastAsia" w:ascii="Arial" w:hAnsi="宋体" w:cs="Arial"/>
                <w:bCs/>
                <w:sz w:val="22"/>
                <w:szCs w:val="22"/>
              </w:rPr>
            </w:pPr>
            <w:r>
              <w:rPr>
                <w:rFonts w:hint="eastAsia" w:ascii="Arial" w:hAnsi="宋体" w:cs="Arial"/>
                <w:bCs/>
                <w:sz w:val="22"/>
                <w:szCs w:val="22"/>
              </w:rPr>
              <w:t>移民安置</w:t>
            </w:r>
          </w:p>
        </w:tc>
        <w:tc>
          <w:tcPr>
            <w:tcW w:w="6979" w:type="dxa"/>
            <w:noWrap w:val="0"/>
            <w:vAlign w:val="center"/>
          </w:tcPr>
          <w:p w14:paraId="6465DF42">
            <w:pPr>
              <w:spacing w:line="300" w:lineRule="exact"/>
              <w:jc w:val="center"/>
              <w:rPr>
                <w:rFonts w:hint="eastAsia" w:ascii="Arial" w:hAnsi="宋体" w:cs="Arial"/>
                <w:spacing w:val="1"/>
                <w:sz w:val="22"/>
                <w:szCs w:val="22"/>
              </w:rPr>
            </w:pPr>
            <w:r>
              <w:rPr>
                <w:rFonts w:hint="eastAsia" w:ascii="Arial" w:hAnsi="宋体" w:cs="Arial"/>
                <w:spacing w:val="1"/>
                <w:sz w:val="22"/>
                <w:szCs w:val="22"/>
                <w:lang w:val="en-US" w:eastAsia="zh-CN"/>
              </w:rPr>
              <w:t>库区不会淹没居民房屋，但因征地需安置人口34人，均采取货币安置的方式。</w:t>
            </w:r>
          </w:p>
        </w:tc>
      </w:tr>
    </w:tbl>
    <w:p w14:paraId="12D1BE2F">
      <w:pPr>
        <w:pStyle w:val="5"/>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ascii="Arial" w:hAnsi="Arial" w:cs="Arial"/>
          <w:color w:val="auto"/>
          <w:kern w:val="0"/>
          <w:sz w:val="26"/>
          <w:szCs w:val="26"/>
          <w:highlight w:val="none"/>
          <w:lang w:val="en-US" w:eastAsia="zh-CN"/>
        </w:rPr>
      </w:pPr>
    </w:p>
    <w:p w14:paraId="62BD3D98">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2.2.4工程任务、规模、等级及调度运行方式</w:t>
      </w:r>
    </w:p>
    <w:p w14:paraId="3B4F833F">
      <w:pPr>
        <w:spacing w:line="480" w:lineRule="exact"/>
        <w:ind w:firstLine="392" w:firstLineChars="150"/>
        <w:rPr>
          <w:rFonts w:hint="eastAsia" w:ascii="Arial" w:hAnsi="Arial" w:cs="Arial"/>
          <w:b/>
          <w:sz w:val="26"/>
          <w:szCs w:val="26"/>
        </w:rPr>
      </w:pPr>
      <w:r>
        <w:rPr>
          <w:rFonts w:hint="eastAsia" w:ascii="Arial" w:hAnsi="Arial" w:cs="Arial"/>
          <w:b/>
          <w:sz w:val="26"/>
          <w:szCs w:val="26"/>
        </w:rPr>
        <w:t>（1）工程任务</w:t>
      </w:r>
    </w:p>
    <w:p w14:paraId="5D99DB3F">
      <w:pPr>
        <w:spacing w:line="480" w:lineRule="exact"/>
        <w:ind w:firstLine="520" w:firstLineChars="200"/>
        <w:rPr>
          <w:rFonts w:hint="eastAsia" w:ascii="Arial" w:hAnsi="Arial" w:cs="Arial"/>
          <w:bCs/>
          <w:sz w:val="26"/>
          <w:szCs w:val="26"/>
        </w:rPr>
      </w:pPr>
      <w:r>
        <w:rPr>
          <w:rFonts w:hint="eastAsia" w:ascii="Arial" w:cs="Arial"/>
          <w:bCs/>
          <w:sz w:val="26"/>
          <w:lang w:eastAsia="zh-CN"/>
        </w:rPr>
        <w:t>海螺沟</w:t>
      </w:r>
      <w:r>
        <w:rPr>
          <w:rFonts w:hint="eastAsia" w:ascii="Arial" w:cs="Arial"/>
          <w:bCs/>
          <w:sz w:val="26"/>
        </w:rPr>
        <w:t>水库工程的开发任务</w:t>
      </w:r>
      <w:r>
        <w:rPr>
          <w:rFonts w:hint="eastAsia" w:ascii="Arial" w:hAnsi="Arial" w:cs="Arial"/>
          <w:color w:val="auto"/>
          <w:kern w:val="0"/>
          <w:sz w:val="26"/>
          <w:szCs w:val="26"/>
          <w:highlight w:val="none"/>
          <w:lang w:val="en-US" w:eastAsia="zh-CN"/>
        </w:rPr>
        <w:t>是</w:t>
      </w:r>
      <w:r>
        <w:rPr>
          <w:rFonts w:hint="eastAsia" w:ascii="Arial" w:hAnsi="Arial" w:eastAsia="宋体" w:cs="Arial"/>
          <w:color w:val="auto"/>
          <w:kern w:val="0"/>
          <w:sz w:val="26"/>
          <w:szCs w:val="26"/>
          <w:highlight w:val="none"/>
          <w:lang w:val="en-US" w:eastAsia="zh-CN"/>
        </w:rPr>
        <w:t>一座以供水和农业灌溉为主要开发功能的小（2）型水利工程</w:t>
      </w:r>
      <w:r>
        <w:rPr>
          <w:rFonts w:hint="eastAsia" w:ascii="Arial" w:hAnsi="Arial" w:cs="Arial"/>
          <w:bCs/>
          <w:sz w:val="26"/>
          <w:szCs w:val="26"/>
        </w:rPr>
        <w:t>。</w:t>
      </w:r>
    </w:p>
    <w:p w14:paraId="1A928277">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① 灌溉供水</w:t>
      </w:r>
    </w:p>
    <w:p w14:paraId="121AC8FE">
      <w:pPr>
        <w:spacing w:line="480" w:lineRule="exact"/>
        <w:ind w:firstLine="520" w:firstLineChars="200"/>
        <w:rPr>
          <w:rFonts w:hint="eastAsia" w:ascii="Arial" w:cs="Arial"/>
          <w:bCs/>
          <w:sz w:val="26"/>
          <w:lang w:eastAsia="zh-CN"/>
        </w:rPr>
      </w:pPr>
      <w:r>
        <w:rPr>
          <w:rFonts w:hint="eastAsia" w:ascii="Arial" w:cs="Arial"/>
          <w:bCs/>
          <w:sz w:val="26"/>
          <w:lang w:eastAsia="zh-CN"/>
        </w:rPr>
        <w:t>本项目灌区主要集中在双龙镇双龙社区、回龙场村，设计灌溉面积2000亩。灌区灌溉水利用系数为0.831，多年平均灌溉净需水量43.52万m</w:t>
      </w:r>
      <w:r>
        <w:rPr>
          <w:rFonts w:hint="eastAsia" w:ascii="Arial" w:cs="Arial"/>
          <w:bCs/>
          <w:sz w:val="26"/>
          <w:vertAlign w:val="superscript"/>
          <w:lang w:eastAsia="zh-CN"/>
        </w:rPr>
        <w:t>3</w:t>
      </w:r>
      <w:r>
        <w:rPr>
          <w:rFonts w:hint="eastAsia" w:ascii="Arial" w:cs="Arial"/>
          <w:bCs/>
          <w:sz w:val="26"/>
          <w:lang w:eastAsia="zh-CN"/>
        </w:rPr>
        <w:t>，毛需水量52.36万m</w:t>
      </w:r>
      <w:r>
        <w:rPr>
          <w:rFonts w:hint="eastAsia" w:ascii="Arial" w:cs="Arial"/>
          <w:bCs/>
          <w:sz w:val="26"/>
          <w:vertAlign w:val="superscript"/>
          <w:lang w:eastAsia="zh-CN"/>
        </w:rPr>
        <w:t>3</w:t>
      </w:r>
      <w:r>
        <w:rPr>
          <w:rFonts w:hint="eastAsia" w:ascii="Arial" w:cs="Arial"/>
          <w:bCs/>
          <w:sz w:val="26"/>
          <w:lang w:eastAsia="zh-CN"/>
        </w:rPr>
        <w:t>，扣除现有小型水利设施供水0.94万m</w:t>
      </w:r>
      <w:r>
        <w:rPr>
          <w:rFonts w:hint="eastAsia" w:ascii="Arial" w:cs="Arial"/>
          <w:bCs/>
          <w:sz w:val="26"/>
          <w:vertAlign w:val="superscript"/>
          <w:lang w:eastAsia="zh-CN"/>
        </w:rPr>
        <w:t>3</w:t>
      </w:r>
      <w:r>
        <w:rPr>
          <w:rFonts w:hint="eastAsia" w:ascii="Arial" w:cs="Arial"/>
          <w:bCs/>
          <w:sz w:val="26"/>
          <w:lang w:eastAsia="zh-CN"/>
        </w:rPr>
        <w:t>，灌区毛缺水量51.42万m</w:t>
      </w:r>
      <w:r>
        <w:rPr>
          <w:rFonts w:hint="eastAsia" w:ascii="Arial" w:cs="Arial"/>
          <w:bCs/>
          <w:sz w:val="26"/>
          <w:vertAlign w:val="superscript"/>
          <w:lang w:eastAsia="zh-CN"/>
        </w:rPr>
        <w:t>3</w:t>
      </w:r>
      <w:r>
        <w:rPr>
          <w:rFonts w:hint="eastAsia" w:ascii="Arial" w:cs="Arial"/>
          <w:bCs/>
          <w:sz w:val="26"/>
          <w:lang w:eastAsia="zh-CN"/>
        </w:rPr>
        <w:t>；灌溉设计保证率P=75%年灌溉净需水量48.67万m</w:t>
      </w:r>
      <w:r>
        <w:rPr>
          <w:rFonts w:hint="eastAsia" w:ascii="Arial" w:cs="Arial"/>
          <w:bCs/>
          <w:sz w:val="26"/>
          <w:vertAlign w:val="superscript"/>
          <w:lang w:eastAsia="zh-CN"/>
        </w:rPr>
        <w:t>3</w:t>
      </w:r>
      <w:r>
        <w:rPr>
          <w:rFonts w:hint="eastAsia" w:ascii="Arial" w:cs="Arial"/>
          <w:bCs/>
          <w:sz w:val="26"/>
          <w:lang w:eastAsia="zh-CN"/>
        </w:rPr>
        <w:t>，毛需水量58.55万m</w:t>
      </w:r>
      <w:r>
        <w:rPr>
          <w:rFonts w:hint="eastAsia" w:ascii="Arial" w:cs="Arial"/>
          <w:bCs/>
          <w:sz w:val="26"/>
          <w:vertAlign w:val="superscript"/>
          <w:lang w:eastAsia="zh-CN"/>
        </w:rPr>
        <w:t>3</w:t>
      </w:r>
      <w:r>
        <w:rPr>
          <w:rFonts w:hint="eastAsia" w:ascii="Arial" w:cs="Arial"/>
          <w:bCs/>
          <w:sz w:val="26"/>
          <w:lang w:eastAsia="zh-CN"/>
        </w:rPr>
        <w:t>，扣除现有小型水利设施供水1.05万m</w:t>
      </w:r>
      <w:r>
        <w:rPr>
          <w:rFonts w:hint="eastAsia" w:ascii="Arial" w:cs="Arial"/>
          <w:bCs/>
          <w:sz w:val="26"/>
          <w:vertAlign w:val="superscript"/>
          <w:lang w:eastAsia="zh-CN"/>
        </w:rPr>
        <w:t>3</w:t>
      </w:r>
      <w:r>
        <w:rPr>
          <w:rFonts w:hint="eastAsia" w:ascii="Arial" w:cs="Arial"/>
          <w:bCs/>
          <w:sz w:val="26"/>
          <w:lang w:eastAsia="zh-CN"/>
        </w:rPr>
        <w:t>，灌区毛缺水量57.5万m</w:t>
      </w:r>
      <w:r>
        <w:rPr>
          <w:rFonts w:hint="eastAsia" w:ascii="Arial" w:cs="Arial"/>
          <w:bCs/>
          <w:sz w:val="26"/>
          <w:vertAlign w:val="superscript"/>
          <w:lang w:eastAsia="zh-CN"/>
        </w:rPr>
        <w:t>3</w:t>
      </w:r>
      <w:r>
        <w:rPr>
          <w:rFonts w:hint="eastAsia" w:ascii="Arial" w:cs="Arial"/>
          <w:bCs/>
          <w:sz w:val="26"/>
          <w:lang w:eastAsia="zh-CN"/>
        </w:rPr>
        <w:t>。</w:t>
      </w:r>
    </w:p>
    <w:p w14:paraId="4BC65C89">
      <w:pPr>
        <w:spacing w:line="480" w:lineRule="exact"/>
        <w:ind w:firstLine="520" w:firstLineChars="200"/>
        <w:rPr>
          <w:rFonts w:hint="eastAsia" w:ascii="Arial" w:cs="Arial"/>
          <w:bCs/>
          <w:sz w:val="26"/>
          <w:lang w:eastAsia="zh-CN"/>
        </w:rPr>
      </w:pPr>
      <w:r>
        <w:rPr>
          <w:rFonts w:hint="eastAsia" w:ascii="Arial" w:cs="Arial"/>
          <w:bCs/>
          <w:sz w:val="26"/>
          <w:lang w:eastAsia="zh-CN"/>
        </w:rPr>
        <w:t>灌区设计净灌水率为0.41m</w:t>
      </w:r>
      <w:r>
        <w:rPr>
          <w:rFonts w:hint="eastAsia" w:ascii="Arial" w:cs="Arial"/>
          <w:bCs/>
          <w:sz w:val="26"/>
          <w:vertAlign w:val="superscript"/>
          <w:lang w:eastAsia="zh-CN"/>
        </w:rPr>
        <w:t>3</w:t>
      </w:r>
      <w:r>
        <w:rPr>
          <w:rFonts w:hint="eastAsia" w:ascii="Arial" w:cs="Arial"/>
          <w:bCs/>
          <w:sz w:val="26"/>
          <w:lang w:eastAsia="zh-CN"/>
        </w:rPr>
        <w:t>/s/万亩，灌区综合利用系数为0.831，渠首灌溉设计总流量为0.0987m</w:t>
      </w:r>
      <w:r>
        <w:rPr>
          <w:rFonts w:hint="eastAsia" w:ascii="Arial" w:cs="Arial"/>
          <w:bCs/>
          <w:sz w:val="26"/>
          <w:vertAlign w:val="superscript"/>
          <w:lang w:eastAsia="zh-CN"/>
        </w:rPr>
        <w:t>3</w:t>
      </w:r>
      <w:r>
        <w:rPr>
          <w:rFonts w:hint="eastAsia" w:ascii="Arial" w:cs="Arial"/>
          <w:bCs/>
          <w:sz w:val="26"/>
          <w:lang w:eastAsia="zh-CN"/>
        </w:rPr>
        <w:t>/s。</w:t>
      </w:r>
    </w:p>
    <w:p w14:paraId="22E72E75">
      <w:pPr>
        <w:spacing w:line="440" w:lineRule="exact"/>
        <w:ind w:firstLine="522" w:firstLineChars="200"/>
        <w:rPr>
          <w:rFonts w:hint="eastAsia" w:ascii="Arial" w:hAnsi="Arial" w:cs="Arial"/>
          <w:b/>
          <w:bCs/>
          <w:sz w:val="26"/>
        </w:rPr>
      </w:pPr>
      <w:r>
        <w:rPr>
          <w:rFonts w:hint="eastAsia" w:ascii="Arial" w:hAnsi="Arial" w:cs="Arial"/>
          <w:b/>
          <w:bCs/>
          <w:sz w:val="26"/>
        </w:rPr>
        <w:t xml:space="preserve">② </w:t>
      </w:r>
      <w:r>
        <w:rPr>
          <w:rFonts w:hint="eastAsia" w:ascii="Arial" w:hAnsi="Arial" w:cs="Arial"/>
          <w:b/>
          <w:bCs/>
          <w:sz w:val="26"/>
          <w:lang w:eastAsia="zh-CN"/>
        </w:rPr>
        <w:t>人饮</w:t>
      </w:r>
      <w:r>
        <w:rPr>
          <w:rFonts w:ascii="Arial" w:hAnsi="Arial" w:cs="Arial"/>
          <w:b/>
          <w:bCs/>
          <w:sz w:val="26"/>
        </w:rPr>
        <w:t>供水</w:t>
      </w:r>
    </w:p>
    <w:p w14:paraId="7C164648">
      <w:pPr>
        <w:spacing w:line="480" w:lineRule="exact"/>
        <w:ind w:firstLine="520" w:firstLineChars="200"/>
        <w:rPr>
          <w:rFonts w:hint="eastAsia" w:ascii="Arial" w:cs="Arial"/>
          <w:bCs/>
          <w:sz w:val="26"/>
          <w:lang w:eastAsia="zh-CN"/>
        </w:rPr>
      </w:pPr>
      <w:r>
        <w:rPr>
          <w:rFonts w:hint="eastAsia" w:ascii="Arial" w:cs="Arial"/>
          <w:bCs/>
          <w:sz w:val="26"/>
          <w:lang w:eastAsia="zh-CN"/>
        </w:rPr>
        <w:t>海螺沟水库向双龙社区、双龙场村、田家山村供水，供水对象为农村居民7000人、大牲畜330头、小牲畜1280只。综合考虑用水定额、管网漏损后，海螺沟水库向双龙镇供水量为</w:t>
      </w:r>
      <w:r>
        <w:rPr>
          <w:rFonts w:hint="eastAsia" w:ascii="Arial" w:cs="Arial"/>
          <w:bCs/>
          <w:sz w:val="26"/>
          <w:lang w:val="en-US" w:eastAsia="zh-CN"/>
        </w:rPr>
        <w:t>18.78</w:t>
      </w:r>
      <w:r>
        <w:rPr>
          <w:rFonts w:hint="eastAsia" w:ascii="Arial" w:cs="Arial"/>
          <w:bCs/>
          <w:sz w:val="26"/>
          <w:lang w:eastAsia="zh-CN"/>
        </w:rPr>
        <w:t>万m</w:t>
      </w:r>
      <w:r>
        <w:rPr>
          <w:rFonts w:hint="eastAsia" w:ascii="Arial" w:cs="Arial"/>
          <w:bCs/>
          <w:sz w:val="26"/>
          <w:vertAlign w:val="superscript"/>
          <w:lang w:eastAsia="zh-CN"/>
        </w:rPr>
        <w:t>3</w:t>
      </w:r>
      <w:r>
        <w:rPr>
          <w:rFonts w:hint="eastAsia" w:ascii="Arial" w:cs="Arial"/>
          <w:bCs/>
          <w:sz w:val="26"/>
          <w:lang w:eastAsia="zh-CN"/>
        </w:rPr>
        <w:t>。供水干管设计流量为0.0087m</w:t>
      </w:r>
      <w:r>
        <w:rPr>
          <w:rFonts w:hint="eastAsia" w:ascii="Arial" w:cs="Arial"/>
          <w:bCs/>
          <w:sz w:val="26"/>
          <w:vertAlign w:val="superscript"/>
          <w:lang w:eastAsia="zh-CN"/>
        </w:rPr>
        <w:t>3</w:t>
      </w:r>
      <w:r>
        <w:rPr>
          <w:rFonts w:hint="eastAsia" w:ascii="Arial" w:cs="Arial"/>
          <w:bCs/>
          <w:sz w:val="26"/>
          <w:lang w:eastAsia="zh-CN"/>
        </w:rPr>
        <w:t>/s。</w:t>
      </w:r>
    </w:p>
    <w:p w14:paraId="6527684A">
      <w:pPr>
        <w:spacing w:line="440" w:lineRule="exact"/>
        <w:ind w:firstLine="522" w:firstLineChars="200"/>
        <w:rPr>
          <w:rFonts w:hint="eastAsia" w:ascii="Arial" w:hAnsi="Arial" w:eastAsia="宋体" w:cs="Arial"/>
          <w:b/>
          <w:bCs/>
          <w:sz w:val="26"/>
          <w:lang w:eastAsia="zh-CN"/>
        </w:rPr>
      </w:pPr>
      <w:r>
        <w:rPr>
          <w:rFonts w:hint="eastAsia" w:ascii="Arial" w:hAnsi="Arial" w:cs="Arial"/>
          <w:b/>
          <w:bCs/>
          <w:sz w:val="26"/>
        </w:rPr>
        <w:t>③</w:t>
      </w:r>
      <w:r>
        <w:rPr>
          <w:rFonts w:ascii="Arial" w:hAnsi="Arial" w:cs="Arial"/>
          <w:b/>
          <w:bCs/>
          <w:sz w:val="26"/>
        </w:rPr>
        <w:t xml:space="preserve"> </w:t>
      </w:r>
      <w:r>
        <w:rPr>
          <w:rFonts w:hint="eastAsia" w:ascii="Arial" w:hAnsi="Arial" w:cs="Arial"/>
          <w:b/>
          <w:bCs/>
          <w:sz w:val="26"/>
          <w:lang w:eastAsia="zh-CN"/>
        </w:rPr>
        <w:t>生态流量</w:t>
      </w:r>
    </w:p>
    <w:p w14:paraId="348C65C6">
      <w:pPr>
        <w:spacing w:line="480" w:lineRule="exact"/>
        <w:ind w:firstLine="520" w:firstLineChars="200"/>
        <w:rPr>
          <w:rFonts w:hint="eastAsia" w:ascii="Arial" w:cs="Arial"/>
          <w:bCs/>
          <w:sz w:val="26"/>
          <w:lang w:eastAsia="zh-CN"/>
        </w:rPr>
      </w:pPr>
      <w:r>
        <w:rPr>
          <w:rFonts w:hint="eastAsia" w:ascii="Arial" w:cs="Arial"/>
          <w:bCs/>
          <w:sz w:val="26"/>
          <w:lang w:eastAsia="zh-CN"/>
        </w:rPr>
        <w:t>经对水库坝址处径流系列的分析，本次生态流量按多年平均径流量的1</w:t>
      </w:r>
      <w:r>
        <w:rPr>
          <w:rFonts w:hint="eastAsia" w:ascii="Arial" w:cs="Arial"/>
          <w:bCs/>
          <w:sz w:val="26"/>
          <w:lang w:val="en-US" w:eastAsia="zh-CN"/>
        </w:rPr>
        <w:t>5</w:t>
      </w:r>
      <w:r>
        <w:rPr>
          <w:rFonts w:hint="eastAsia" w:ascii="Arial" w:cs="Arial"/>
          <w:bCs/>
          <w:sz w:val="26"/>
          <w:lang w:eastAsia="zh-CN"/>
        </w:rPr>
        <w:t>%下泄，折合流量0.00</w:t>
      </w:r>
      <w:r>
        <w:rPr>
          <w:rFonts w:hint="eastAsia" w:ascii="Arial" w:cs="Arial"/>
          <w:bCs/>
          <w:sz w:val="26"/>
          <w:lang w:val="en-US" w:eastAsia="zh-CN"/>
        </w:rPr>
        <w:t>5</w:t>
      </w:r>
      <w:r>
        <w:rPr>
          <w:rFonts w:hint="eastAsia" w:ascii="Arial" w:cs="Arial"/>
          <w:bCs/>
          <w:sz w:val="26"/>
          <w:lang w:eastAsia="zh-CN"/>
        </w:rPr>
        <w:t>m</w:t>
      </w:r>
      <w:r>
        <w:rPr>
          <w:rFonts w:hint="eastAsia" w:ascii="Arial" w:cs="Arial"/>
          <w:bCs/>
          <w:sz w:val="26"/>
          <w:vertAlign w:val="superscript"/>
          <w:lang w:eastAsia="zh-CN"/>
        </w:rPr>
        <w:t>3</w:t>
      </w:r>
      <w:r>
        <w:rPr>
          <w:rFonts w:hint="eastAsia" w:ascii="Arial" w:cs="Arial"/>
          <w:bCs/>
          <w:sz w:val="26"/>
          <w:lang w:eastAsia="zh-CN"/>
        </w:rPr>
        <w:t>/s。坝址处多年平均径流量105万m</w:t>
      </w:r>
      <w:r>
        <w:rPr>
          <w:rFonts w:hint="eastAsia" w:ascii="Arial" w:cs="Arial"/>
          <w:bCs/>
          <w:sz w:val="26"/>
          <w:vertAlign w:val="superscript"/>
          <w:lang w:eastAsia="zh-CN"/>
        </w:rPr>
        <w:t>3</w:t>
      </w:r>
      <w:r>
        <w:rPr>
          <w:rFonts w:hint="eastAsia" w:ascii="Arial" w:cs="Arial"/>
          <w:bCs/>
          <w:sz w:val="26"/>
          <w:lang w:eastAsia="zh-CN"/>
        </w:rPr>
        <w:t>，则水库多年平均下泄生态年用水量为</w:t>
      </w:r>
      <w:r>
        <w:rPr>
          <w:rFonts w:hint="eastAsia" w:ascii="Arial" w:cs="Arial"/>
          <w:bCs/>
          <w:sz w:val="26"/>
          <w:lang w:val="en-US" w:eastAsia="zh-CN"/>
        </w:rPr>
        <w:t>15.75</w:t>
      </w:r>
      <w:r>
        <w:rPr>
          <w:rFonts w:hint="eastAsia" w:ascii="Arial" w:cs="Arial"/>
          <w:bCs/>
          <w:sz w:val="26"/>
          <w:lang w:eastAsia="zh-CN"/>
        </w:rPr>
        <w:t>万m</w:t>
      </w:r>
      <w:r>
        <w:rPr>
          <w:rFonts w:hint="eastAsia" w:ascii="Arial" w:cs="Arial"/>
          <w:bCs/>
          <w:sz w:val="26"/>
          <w:vertAlign w:val="superscript"/>
          <w:lang w:eastAsia="zh-CN"/>
        </w:rPr>
        <w:t>3</w:t>
      </w:r>
      <w:r>
        <w:rPr>
          <w:rFonts w:hint="eastAsia" w:ascii="Arial" w:cs="Arial"/>
          <w:bCs/>
          <w:sz w:val="26"/>
          <w:lang w:eastAsia="zh-CN"/>
        </w:rPr>
        <w:t>。</w:t>
      </w:r>
    </w:p>
    <w:p w14:paraId="6D48B8CC">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sz w:val="26"/>
          <w:lang w:eastAsia="zh-CN"/>
        </w:rPr>
      </w:pPr>
      <w:r>
        <w:rPr>
          <w:rFonts w:hint="eastAsia" w:ascii="宋体" w:hAnsi="宋体" w:eastAsia="宋体" w:cs="宋体"/>
          <w:b/>
          <w:bCs/>
          <w:sz w:val="26"/>
        </w:rPr>
        <w:t>④</w:t>
      </w:r>
      <w:r>
        <w:rPr>
          <w:rFonts w:ascii="Arial" w:hAnsi="Arial" w:cs="Arial"/>
          <w:b/>
          <w:bCs/>
          <w:sz w:val="26"/>
        </w:rPr>
        <w:t xml:space="preserve"> </w:t>
      </w:r>
      <w:r>
        <w:rPr>
          <w:rFonts w:hint="eastAsia" w:ascii="Arial" w:hAnsi="Arial" w:cs="Arial"/>
          <w:b/>
          <w:bCs/>
          <w:sz w:val="26"/>
          <w:lang w:eastAsia="zh-CN"/>
        </w:rPr>
        <w:t>水资源分析</w:t>
      </w:r>
    </w:p>
    <w:p w14:paraId="22A3B34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cs="Arial"/>
          <w:sz w:val="26"/>
          <w:szCs w:val="26"/>
        </w:rPr>
      </w:pPr>
      <w:r>
        <w:rPr>
          <w:rFonts w:hint="eastAsia" w:ascii="Arial" w:cs="Arial"/>
          <w:bCs/>
          <w:sz w:val="26"/>
          <w:lang w:eastAsia="zh-CN"/>
        </w:rPr>
        <w:t>海螺沟水库坝址处多年平均径流量105万m</w:t>
      </w:r>
      <w:r>
        <w:rPr>
          <w:rFonts w:hint="eastAsia" w:ascii="Arial" w:cs="Arial"/>
          <w:bCs/>
          <w:sz w:val="26"/>
          <w:vertAlign w:val="superscript"/>
          <w:lang w:eastAsia="zh-CN"/>
        </w:rPr>
        <w:t>3</w:t>
      </w:r>
      <w:r>
        <w:rPr>
          <w:rFonts w:hint="eastAsia" w:ascii="Arial" w:cs="Arial"/>
          <w:bCs/>
          <w:sz w:val="26"/>
          <w:lang w:eastAsia="zh-CN"/>
        </w:rPr>
        <w:t>，灌溉、人饮供水量合计为</w:t>
      </w:r>
      <w:r>
        <w:rPr>
          <w:rFonts w:hint="eastAsia" w:ascii="Arial" w:cs="Arial"/>
          <w:bCs/>
          <w:sz w:val="26"/>
          <w:lang w:val="en-US" w:eastAsia="zh-CN"/>
        </w:rPr>
        <w:t>76.28万m</w:t>
      </w:r>
      <w:r>
        <w:rPr>
          <w:rFonts w:hint="eastAsia" w:ascii="Arial" w:cs="Arial"/>
          <w:bCs/>
          <w:sz w:val="26"/>
          <w:vertAlign w:val="superscript"/>
          <w:lang w:val="en-US" w:eastAsia="zh-CN"/>
        </w:rPr>
        <w:t>3</w:t>
      </w:r>
      <w:r>
        <w:rPr>
          <w:rFonts w:hint="eastAsia" w:ascii="Arial" w:cs="Arial"/>
          <w:bCs/>
          <w:sz w:val="26"/>
          <w:lang w:val="en-US" w:eastAsia="zh-CN"/>
        </w:rPr>
        <w:t>，生态下泄量为15.75</w:t>
      </w:r>
      <w:r>
        <w:rPr>
          <w:rFonts w:hint="eastAsia" w:ascii="Arial" w:cs="Arial"/>
          <w:bCs/>
          <w:sz w:val="26"/>
          <w:lang w:eastAsia="zh-CN"/>
        </w:rPr>
        <w:t>万m</w:t>
      </w:r>
      <w:r>
        <w:rPr>
          <w:rFonts w:hint="eastAsia" w:ascii="Arial" w:cs="Arial"/>
          <w:bCs/>
          <w:sz w:val="26"/>
          <w:vertAlign w:val="superscript"/>
          <w:lang w:eastAsia="zh-CN"/>
        </w:rPr>
        <w:t>3</w:t>
      </w:r>
      <w:r>
        <w:rPr>
          <w:rFonts w:hint="eastAsia" w:ascii="Arial" w:cs="Arial"/>
          <w:bCs/>
          <w:sz w:val="26"/>
          <w:lang w:eastAsia="zh-CN"/>
        </w:rPr>
        <w:t>，则弃水量为</w:t>
      </w:r>
      <w:r>
        <w:rPr>
          <w:rFonts w:hint="eastAsia" w:ascii="Arial" w:cs="Arial"/>
          <w:bCs/>
          <w:sz w:val="26"/>
          <w:lang w:val="en-US" w:eastAsia="zh-CN"/>
        </w:rPr>
        <w:t>12.97万</w:t>
      </w:r>
      <w:r>
        <w:rPr>
          <w:rFonts w:hint="eastAsia" w:ascii="Arial" w:cs="Arial"/>
          <w:bCs/>
          <w:sz w:val="26"/>
          <w:lang w:eastAsia="zh-CN"/>
        </w:rPr>
        <w:t>m</w:t>
      </w:r>
      <w:r>
        <w:rPr>
          <w:rFonts w:hint="eastAsia" w:ascii="Arial" w:cs="Arial"/>
          <w:bCs/>
          <w:sz w:val="26"/>
          <w:vertAlign w:val="superscript"/>
          <w:lang w:eastAsia="zh-CN"/>
        </w:rPr>
        <w:t>3</w:t>
      </w:r>
      <w:r>
        <w:rPr>
          <w:rFonts w:hint="eastAsia" w:ascii="Arial" w:cs="Arial"/>
          <w:bCs/>
          <w:sz w:val="26"/>
          <w:lang w:eastAsia="zh-CN"/>
        </w:rPr>
        <w:t>。</w:t>
      </w:r>
      <w:r>
        <w:rPr>
          <w:rFonts w:hint="eastAsia" w:ascii="Arial" w:hAnsi="宋体" w:cs="Arial"/>
          <w:sz w:val="26"/>
          <w:szCs w:val="26"/>
        </w:rPr>
        <w:t>水库水量平衡详见图2.</w:t>
      </w:r>
      <w:r>
        <w:rPr>
          <w:rFonts w:hint="eastAsia" w:ascii="Arial" w:hAnsi="宋体" w:cs="Arial"/>
          <w:sz w:val="26"/>
          <w:szCs w:val="26"/>
          <w:lang w:val="en-US" w:eastAsia="zh-CN"/>
        </w:rPr>
        <w:t>2</w:t>
      </w:r>
      <w:r>
        <w:rPr>
          <w:rFonts w:hint="eastAsia" w:ascii="Arial" w:hAnsi="宋体" w:cs="Arial"/>
          <w:sz w:val="26"/>
          <w:szCs w:val="26"/>
        </w:rPr>
        <w:t>-1所示。</w:t>
      </w:r>
    </w:p>
    <w:p w14:paraId="064BBFE2">
      <w:pPr>
        <w:spacing w:line="440" w:lineRule="exact"/>
        <w:ind w:firstLine="520" w:firstLineChars="200"/>
        <w:rPr>
          <w:rFonts w:hint="eastAsia" w:ascii="Arial" w:hAnsi="宋体" w:cs="Arial"/>
          <w:sz w:val="26"/>
          <w:szCs w:val="26"/>
        </w:rPr>
      </w:pPr>
      <w:r>
        <w:rPr>
          <w:rFonts w:hint="eastAsia" w:ascii="Arial" w:hAnsi="宋体" w:cs="Arial"/>
          <w:sz w:val="26"/>
          <w:szCs w:val="26"/>
        </w:rPr>
        <mc:AlternateContent>
          <mc:Choice Requires="wps">
            <w:drawing>
              <wp:anchor distT="0" distB="0" distL="114300" distR="114300" simplePos="0" relativeHeight="251665408" behindDoc="0" locked="0" layoutInCell="1" allowOverlap="1">
                <wp:simplePos x="0" y="0"/>
                <wp:positionH relativeFrom="column">
                  <wp:posOffset>2437765</wp:posOffset>
                </wp:positionH>
                <wp:positionV relativeFrom="paragraph">
                  <wp:posOffset>83820</wp:posOffset>
                </wp:positionV>
                <wp:extent cx="1743075" cy="285750"/>
                <wp:effectExtent l="4445" t="4445" r="5080" b="14605"/>
                <wp:wrapNone/>
                <wp:docPr id="40" name="矩形 40"/>
                <wp:cNvGraphicFramePr/>
                <a:graphic xmlns:a="http://schemas.openxmlformats.org/drawingml/2006/main">
                  <a:graphicData uri="http://schemas.microsoft.com/office/word/2010/wordprocessingShape">
                    <wps:wsp>
                      <wps:cNvSpPr/>
                      <wps:spPr>
                        <a:xfrm>
                          <a:off x="0" y="0"/>
                          <a:ext cx="1743075" cy="285750"/>
                        </a:xfrm>
                        <a:prstGeom prst="rect">
                          <a:avLst/>
                        </a:prstGeom>
                        <a:solidFill>
                          <a:srgbClr val="92D050"/>
                        </a:solidFill>
                        <a:ln w="9525" cap="flat" cmpd="sng">
                          <a:solidFill>
                            <a:srgbClr val="000000"/>
                          </a:solidFill>
                          <a:prstDash val="solid"/>
                          <a:miter/>
                          <a:headEnd type="none" w="med" len="med"/>
                          <a:tailEnd type="none" w="med" len="med"/>
                        </a:ln>
                      </wps:spPr>
                      <wps:txbx>
                        <w:txbxContent>
                          <w:p w14:paraId="1FB4B083">
                            <w:pPr>
                              <w:rPr>
                                <w:rFonts w:ascii="Arial" w:hAnsi="Arial" w:cs="Arial"/>
                              </w:rPr>
                            </w:pPr>
                            <w:r>
                              <w:rPr>
                                <w:rFonts w:ascii="Arial" w:cs="Arial"/>
                              </w:rPr>
                              <w:t>多年平均来水</w:t>
                            </w:r>
                            <w:r>
                              <w:rPr>
                                <w:rFonts w:hint="eastAsia" w:ascii="Arial" w:hAnsi="Arial" w:cs="Arial"/>
                                <w:lang w:val="en-US" w:eastAsia="zh-CN"/>
                              </w:rPr>
                              <w:t>105</w:t>
                            </w:r>
                            <w:r>
                              <w:rPr>
                                <w:rFonts w:ascii="Arial" w:cs="Arial"/>
                              </w:rPr>
                              <w:t>万</w:t>
                            </w:r>
                            <w:r>
                              <w:rPr>
                                <w:rFonts w:ascii="Arial" w:hAnsi="Arial" w:cs="Arial"/>
                              </w:rPr>
                              <w:t>m</w:t>
                            </w:r>
                            <w:r>
                              <w:rPr>
                                <w:rFonts w:ascii="Arial" w:hAnsi="Arial" w:cs="Arial"/>
                                <w:vertAlign w:val="superscript"/>
                              </w:rPr>
                              <w:t>3</w:t>
                            </w:r>
                          </w:p>
                        </w:txbxContent>
                      </wps:txbx>
                      <wps:bodyPr upright="1"/>
                    </wps:wsp>
                  </a:graphicData>
                </a:graphic>
              </wp:anchor>
            </w:drawing>
          </mc:Choice>
          <mc:Fallback>
            <w:pict>
              <v:rect id="_x0000_s1026" o:spid="_x0000_s1026" o:spt="1" style="position:absolute;left:0pt;margin-left:191.95pt;margin-top:6.6pt;height:22.5pt;width:137.25pt;z-index:251665408;mso-width-relative:page;mso-height-relative:page;" fillcolor="#92D050" filled="t" stroked="t" coordsize="21600,21600" o:gfxdata="UEsDBAoAAAAAAIdO4kAAAAAAAAAAAAAAAAAEAAAAZHJzL1BLAwQUAAAACACHTuJAq6oboNkAAAAJ&#10;AQAADwAAAGRycy9kb3ducmV2LnhtbE2Py07DMBBF90j8gzVI7KjzIGkIcbpAQnQFooUFOzcZ4oR4&#10;HMXug7/vdAXL0T2690y1OtlRHHD2vSMF8SICgdS4tqdOwcf2+a4A4YOmVo+OUMEveljV11eVLlt3&#10;pHc8bEInuIR8qRWYEKZSSt8YtNov3ITE2bebrQ58zp1sZ33kcjvKJIpyaXVPvGD0hE8Gm5/N3ioY&#10;QjYs43yQy6919rL1n3JtXt+Uur2Jo0cQAU/hD4aLPqtDzU47t6fWi1FBWqQPjHKQJiAYyLPiHsRO&#10;QVYkIOtK/v+gPgNQSwMEFAAAAAgAh07iQGD3OjoGAgAAKwQAAA4AAABkcnMvZTJvRG9jLnhtbK1T&#10;S27bMBDdF+gdCO5ryWpcp4LlLOqmm6INkPYANElJBPgDh7bk0xTorofocYpeo0PKdeJk40W0kIac&#10;0eN7b4arm9FospcBlLMNnc9KSqTlTijbNfT7t9s315RAZFYw7axs6EECvVm/frUafC0r1zstZCAI&#10;YqEefEP7GH1dFMB7aRjMnJcWk60LhkVchq4QgQ2IbnRRleW7YnBB+OC4BMDdzZSkR8RwCaBrW8Xl&#10;xvGdkTZOqEFqFlES9MoDXWe2bSt5/Nq2ICPRDUWlMb/xEIy36V2sV6zuAvO94kcK7BIKTzQZpiwe&#10;eoLasMjILqhnUEbx4MC1ccadKSYh2RFUMS+feHPfMy+zFrQa/Ml0eDlY/mV/F4gSDb1CSywz2PG/&#10;P379+f2T4Aa6M3ioseje34XjCjBMUsc2mPRFEWTMjh5OjsoxEo6b8+XV23K5oIRjrrpeLBcZtHj4&#10;2weIn6QzJAUNDdixbCTbf4aIJ2Lp/5J0GDitxK3SOi9Ct/2gA9kz7O77alOe0M/KtCUD5hdV4sFw&#10;ZFscFQyNR9lgu3ze2R/wGLjMT/ICuZyVJWIbBv1EIKemgTIqymQXq3vJxEcrSDx4dNbijaKJjJGC&#10;Ei3xAqYoV0am9CWVSEJb5JIaM7UiRXHcjgiTwq0TB+zpzgfV9WjpPFNPGZyhLOI472lIH68z6MMd&#10;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6oboNkAAAAJAQAADwAAAAAAAAABACAAAAAiAAAA&#10;ZHJzL2Rvd25yZXYueG1sUEsBAhQAFAAAAAgAh07iQGD3OjoGAgAAKwQAAA4AAAAAAAAAAQAgAAAA&#10;KAEAAGRycy9lMm9Eb2MueG1sUEsFBgAAAAAGAAYAWQEAAKAFAAAAAA==&#10;">
                <v:fill on="t" focussize="0,0"/>
                <v:stroke color="#000000" joinstyle="miter"/>
                <v:imagedata o:title=""/>
                <o:lock v:ext="edit" aspectratio="f"/>
                <v:textbox>
                  <w:txbxContent>
                    <w:p w14:paraId="1FB4B083">
                      <w:pPr>
                        <w:rPr>
                          <w:rFonts w:ascii="Arial" w:hAnsi="Arial" w:cs="Arial"/>
                        </w:rPr>
                      </w:pPr>
                      <w:r>
                        <w:rPr>
                          <w:rFonts w:ascii="Arial" w:cs="Arial"/>
                        </w:rPr>
                        <w:t>多年平均来水</w:t>
                      </w:r>
                      <w:r>
                        <w:rPr>
                          <w:rFonts w:hint="eastAsia" w:ascii="Arial" w:hAnsi="Arial" w:cs="Arial"/>
                          <w:lang w:val="en-US" w:eastAsia="zh-CN"/>
                        </w:rPr>
                        <w:t>105</w:t>
                      </w:r>
                      <w:r>
                        <w:rPr>
                          <w:rFonts w:ascii="Arial" w:cs="Arial"/>
                        </w:rPr>
                        <w:t>万</w:t>
                      </w:r>
                      <w:r>
                        <w:rPr>
                          <w:rFonts w:ascii="Arial" w:hAnsi="Arial" w:cs="Arial"/>
                        </w:rPr>
                        <w:t>m</w:t>
                      </w:r>
                      <w:r>
                        <w:rPr>
                          <w:rFonts w:ascii="Arial" w:hAnsi="Arial" w:cs="Arial"/>
                          <w:vertAlign w:val="superscript"/>
                        </w:rPr>
                        <w:t>3</w:t>
                      </w:r>
                    </w:p>
                  </w:txbxContent>
                </v:textbox>
              </v:rect>
            </w:pict>
          </mc:Fallback>
        </mc:AlternateContent>
      </w:r>
    </w:p>
    <w:p w14:paraId="30904132">
      <w:pPr>
        <w:spacing w:line="440" w:lineRule="exact"/>
        <w:ind w:firstLine="520" w:firstLineChars="200"/>
        <w:rPr>
          <w:rFonts w:hint="eastAsia" w:ascii="Arial" w:hAnsi="宋体" w:cs="Arial"/>
          <w:sz w:val="26"/>
          <w:szCs w:val="26"/>
        </w:rPr>
      </w:pPr>
      <w:r>
        <w:rPr>
          <w:rFonts w:hint="eastAsia" w:ascii="Arial" w:hAnsi="宋体" w:cs="Arial"/>
          <w:sz w:val="26"/>
          <w:szCs w:val="26"/>
        </w:rPr>
        <mc:AlternateContent>
          <mc:Choice Requires="wps">
            <w:drawing>
              <wp:anchor distT="0" distB="0" distL="114300" distR="114300" simplePos="0" relativeHeight="251666432" behindDoc="0" locked="0" layoutInCell="1" allowOverlap="1">
                <wp:simplePos x="0" y="0"/>
                <wp:positionH relativeFrom="column">
                  <wp:posOffset>3323590</wp:posOffset>
                </wp:positionH>
                <wp:positionV relativeFrom="paragraph">
                  <wp:posOffset>90170</wp:posOffset>
                </wp:positionV>
                <wp:extent cx="0" cy="288290"/>
                <wp:effectExtent l="38100" t="0" r="38100" b="16510"/>
                <wp:wrapNone/>
                <wp:docPr id="36" name="直接箭头连接符 36"/>
                <wp:cNvGraphicFramePr/>
                <a:graphic xmlns:a="http://schemas.openxmlformats.org/drawingml/2006/main">
                  <a:graphicData uri="http://schemas.microsoft.com/office/word/2010/wordprocessingShape">
                    <wps:wsp>
                      <wps:cNvCnPr/>
                      <wps:spPr>
                        <a:xfrm>
                          <a:off x="0" y="0"/>
                          <a:ext cx="0" cy="2882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1.7pt;margin-top:7.1pt;height:22.7pt;width:0pt;z-index:251666432;mso-width-relative:page;mso-height-relative:page;" filled="f" stroked="t" coordsize="21600,21600" o:gfxdata="UEsDBAoAAAAAAIdO4kAAAAAAAAAAAAAAAAAEAAAAZHJzL1BLAwQUAAAACACHTuJAZh6oE9gAAAAJ&#10;AQAADwAAAGRycy9kb3ducmV2LnhtbE2PzU7DMBCE70i8g7VI3KjTUCIa4lSCCpELlWgR4ujGS2wR&#10;r6PY/ePpWcQBbrs7o9lvqsXR92KPY3SBFEwnGQikNhhHnYLXzePVLYiYNBndB0IFJ4ywqM/PKl2a&#10;cKAX3K9TJziEYqkV2JSGUsrYWvQ6TsKAxNpHGL1OvI6dNKM+cLjvZZ5lhfTaEX+wesAHi+3neucV&#10;pOX7yRZv7f3crTZPz4X7appmqdTlxTS7A5HwmP7M8IPP6FAz0zbsyETRK7jJr2dsZWGWg2DD72HL&#10;w7wAWVfyf4P6G1BLAwQUAAAACACHTuJA0yGjigUCAADxAwAADgAAAGRycy9lMm9Eb2MueG1srVPN&#10;jtMwEL4j8Q6W7zRt0a66UdM9tCwXBJWAB5g6TmLJf/J4m/YleAEkTsAJOO2dp4HlMRg7pYVFSHsg&#10;B2c8nvlmvs/j+eXOaLaVAZWzFZ+MxpxJK1ytbFvx16+uHs04wwi2Bu2srPheIr9cPHww730pp65z&#10;upaBEYjFsvcV72L0ZVGg6KQBHDkvLR02LhiItA1tUQfoCd3oYjoenxe9C7UPTkhE8q6GQ35ADPcB&#10;dE2jhFw5cW2kjQNqkBoiUcJOeeSL3G3TSBFfNA3KyHTFiWnMKxUhe5PWYjGHsg3gOyUOLcB9WrjD&#10;yYCyVPQItYII7Dqov6CMEsGha+JIOFMMRLIixGIyvqPNyw68zFxIavRH0fH/wYrn23Vgqq7443PO&#10;LBi68du3N9/ffLj98vnb+5sfX98l+9NHRuckVu+xpJylXYfDDv06JOa7Jpj0J05slwXeHwWWu8jE&#10;4BTknc5m04usfXHK8wHjU+kMS0bFMQZQbReXzlq6RRcmWV/YPsNIlSnxV0Iqqi3rK35xNj3jTABN&#10;ZUPTQKbxxAxtm3PRaVVfKa1TBoZ2s9SBbSFNRv4SP8L9IywVWQF2Q1w+Gmamk1A/sTWLe0+SWXoq&#10;PLVgZM2ZlvSykkWAUEZQ+hQZgwLb6n9EU3ltqYsk8yBssjau3me9s58mIfd5mNo0ar/vc/bpp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YeqBPYAAAACQEAAA8AAAAAAAAAAQAgAAAAIgAAAGRy&#10;cy9kb3ducmV2LnhtbFBLAQIUABQAAAAIAIdO4kDTIaOKBQIAAPEDAAAOAAAAAAAAAAEAIAAAACcB&#10;AABkcnMvZTJvRG9jLnhtbFBLBQYAAAAABgAGAFkBAACeBQAAAAA=&#10;">
                <v:fill on="f" focussize="0,0"/>
                <v:stroke color="#000000" joinstyle="round" endarrow="block"/>
                <v:imagedata o:title=""/>
                <o:lock v:ext="edit" aspectratio="f"/>
              </v:shape>
            </w:pict>
          </mc:Fallback>
        </mc:AlternateContent>
      </w:r>
    </w:p>
    <w:p w14:paraId="63F6640B">
      <w:pPr>
        <w:spacing w:line="440" w:lineRule="exact"/>
        <w:ind w:firstLine="520" w:firstLineChars="200"/>
        <w:rPr>
          <w:rFonts w:hint="eastAsia" w:ascii="Arial" w:hAnsi="宋体" w:cs="Arial"/>
          <w:sz w:val="26"/>
          <w:szCs w:val="26"/>
        </w:rPr>
      </w:pPr>
      <w:r>
        <w:rPr>
          <w:rFonts w:hint="eastAsia" w:ascii="Arial" w:hAnsi="宋体" w:cs="Arial"/>
          <w:sz w:val="26"/>
          <w:szCs w:val="26"/>
        </w:rPr>
        <mc:AlternateContent>
          <mc:Choice Requires="wps">
            <w:drawing>
              <wp:anchor distT="0" distB="0" distL="114300" distR="114300" simplePos="0" relativeHeight="251667456" behindDoc="0" locked="0" layoutInCell="1" allowOverlap="1">
                <wp:simplePos x="0" y="0"/>
                <wp:positionH relativeFrom="column">
                  <wp:posOffset>2875915</wp:posOffset>
                </wp:positionH>
                <wp:positionV relativeFrom="paragraph">
                  <wp:posOffset>99060</wp:posOffset>
                </wp:positionV>
                <wp:extent cx="885825" cy="285750"/>
                <wp:effectExtent l="4445" t="5080" r="5080" b="13970"/>
                <wp:wrapNone/>
                <wp:docPr id="39" name="矩形 39"/>
                <wp:cNvGraphicFramePr/>
                <a:graphic xmlns:a="http://schemas.openxmlformats.org/drawingml/2006/main">
                  <a:graphicData uri="http://schemas.microsoft.com/office/word/2010/wordprocessingShape">
                    <wps:wsp>
                      <wps:cNvSpPr/>
                      <wps:spPr>
                        <a:xfrm>
                          <a:off x="0" y="0"/>
                          <a:ext cx="885825" cy="285750"/>
                        </a:xfrm>
                        <a:prstGeom prst="rect">
                          <a:avLst/>
                        </a:prstGeom>
                        <a:solidFill>
                          <a:srgbClr val="92D050"/>
                        </a:solidFill>
                        <a:ln w="9525" cap="flat" cmpd="sng">
                          <a:solidFill>
                            <a:srgbClr val="000000"/>
                          </a:solidFill>
                          <a:prstDash val="solid"/>
                          <a:miter/>
                          <a:headEnd type="none" w="med" len="med"/>
                          <a:tailEnd type="none" w="med" len="med"/>
                        </a:ln>
                      </wps:spPr>
                      <wps:txbx>
                        <w:txbxContent>
                          <w:p w14:paraId="23B9BE4C">
                            <w:pPr>
                              <w:jc w:val="center"/>
                              <w:rPr>
                                <w:rFonts w:ascii="Arial" w:hAnsi="Arial" w:cs="Arial"/>
                              </w:rPr>
                            </w:pPr>
                            <w:r>
                              <w:rPr>
                                <w:rFonts w:hint="eastAsia" w:ascii="Arial" w:cs="Arial"/>
                                <w:lang w:eastAsia="zh-CN"/>
                              </w:rPr>
                              <w:t>海螺沟</w:t>
                            </w:r>
                            <w:r>
                              <w:rPr>
                                <w:rFonts w:hint="eastAsia" w:ascii="Arial" w:cs="Arial"/>
                              </w:rPr>
                              <w:t>水库</w:t>
                            </w:r>
                          </w:p>
                        </w:txbxContent>
                      </wps:txbx>
                      <wps:bodyPr upright="1"/>
                    </wps:wsp>
                  </a:graphicData>
                </a:graphic>
              </wp:anchor>
            </w:drawing>
          </mc:Choice>
          <mc:Fallback>
            <w:pict>
              <v:rect id="_x0000_s1026" o:spid="_x0000_s1026" o:spt="1" style="position:absolute;left:0pt;margin-left:226.45pt;margin-top:7.8pt;height:22.5pt;width:69.75pt;z-index:251667456;mso-width-relative:page;mso-height-relative:page;" fillcolor="#92D050" filled="t" stroked="t" coordsize="21600,21600" o:gfxdata="UEsDBAoAAAAAAIdO4kAAAAAAAAAAAAAAAAAEAAAAZHJzL1BLAwQUAAAACACHTuJARHhL5dkAAAAJ&#10;AQAADwAAAGRycy9kb3ducmV2LnhtbE2Py07DMBBF90j8gzVI7KidqE5pGqcLJERXIFpYdOfGQ5wQ&#10;j6PYffD3mFVZju7RvWeq9cUN7IRT6DwpyGYCGFLjTUetgo/d88MjsBA1GT14QgU/GGBd395UujT+&#10;TO942saWpRIKpVZgYxxLzkNj0ekw8yNSyr785HRM59RyM+lzKncDz4UouNMdpQWrR3yy2Hxvj05B&#10;H2W/yIqeL/Yb+bILn3xjX9+Uur/LxApYxEu8wvCnn9ShTk4HfyQT2KBgLvNlQlMgC2AJkMt8Duyg&#10;oBAF8Lri/z+ofwFQSwMEFAAAAAgAh07iQHMkdIEEAgAAKgQAAA4AAABkcnMvZTJvRG9jLnhtbK1T&#10;zY7TMBC+I/EOlu80aVEgGzXdA2W5IFhp4QFc20ks+U8et0mfBokbD8HjIF6DsVO62+XSAzkkY8/k&#10;8/d9M17fTkaTgwygnG3pclFSIi13Qtm+pV+/3L2qKYHIrGDaWdnSowR6u3n5Yj36Rq7c4LSQgSCI&#10;hWb0LR1i9E1RAB+kYbBwXlpMdi4YFnEZ+kIENiK60cWqLN8UowvCB8clAO5u5yQ9IYZrAF3XKS63&#10;ju+NtHFGDVKziJJgUB7oJrPtOsnj564DGYluKSqN+Y2HYLxL72KzZk0fmB8UP1Fg11B4pskwZfHQ&#10;M9SWRUb2Qf0DZRQPDlwXF9yZYhaSHUEVy/KZNw8D8zJrQavBn02H/wfLPx3uA1Gipa9vKLHMYMd/&#10;f/vx6+d3ghvozuihwaIHfx9OK8AwSZ26YNIXRZApO3o8OyqnSDhu1nVVrypKOKZWdfW2yo4Xjz/7&#10;APGDdIakoKUBG5Z9ZIePEPFALP1bks4Cp5W4U1rnReh373QgB4bNvVltyzP6RZm2ZMR8lXkwnNgO&#10;JwUpGY+qwfb5vIs/4ClwmZ9kBXK5KEvEtgyGmUBOzfNkVJTJLdYMkon3VpB49GisxQtFExkjBSVa&#10;4v1LUa6MTOlrKpGEtsgl9WXuRIritJsQJoU7J47Y0r0Pqh/Q0mWmnjI4QlnEadzTjD5dZ9DHK77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R4S+XZAAAACQEAAA8AAAAAAAAAAQAgAAAAIgAAAGRy&#10;cy9kb3ducmV2LnhtbFBLAQIUABQAAAAIAIdO4kBzJHSBBAIAACoEAAAOAAAAAAAAAAEAIAAAACgB&#10;AABkcnMvZTJvRG9jLnhtbFBLBQYAAAAABgAGAFkBAACeBQAAAAA=&#10;">
                <v:fill on="t" focussize="0,0"/>
                <v:stroke color="#000000" joinstyle="miter"/>
                <v:imagedata o:title=""/>
                <o:lock v:ext="edit" aspectratio="f"/>
                <v:textbox>
                  <w:txbxContent>
                    <w:p w14:paraId="23B9BE4C">
                      <w:pPr>
                        <w:jc w:val="center"/>
                        <w:rPr>
                          <w:rFonts w:ascii="Arial" w:hAnsi="Arial" w:cs="Arial"/>
                        </w:rPr>
                      </w:pPr>
                      <w:r>
                        <w:rPr>
                          <w:rFonts w:hint="eastAsia" w:ascii="Arial" w:cs="Arial"/>
                          <w:lang w:eastAsia="zh-CN"/>
                        </w:rPr>
                        <w:t>海螺沟</w:t>
                      </w:r>
                      <w:r>
                        <w:rPr>
                          <w:rFonts w:hint="eastAsia" w:ascii="Arial" w:cs="Arial"/>
                        </w:rPr>
                        <w:t>水库</w:t>
                      </w:r>
                    </w:p>
                  </w:txbxContent>
                </v:textbox>
              </v:rect>
            </w:pict>
          </mc:Fallback>
        </mc:AlternateContent>
      </w:r>
    </w:p>
    <w:p w14:paraId="5A468879">
      <w:pPr>
        <w:spacing w:line="440" w:lineRule="exact"/>
        <w:ind w:firstLine="520" w:firstLineChars="200"/>
        <w:rPr>
          <w:rFonts w:hint="eastAsia" w:ascii="Arial" w:hAnsi="宋体" w:cs="Arial"/>
          <w:sz w:val="26"/>
          <w:szCs w:val="26"/>
        </w:rPr>
      </w:pPr>
      <w:r>
        <w:rPr>
          <w:rFonts w:hint="eastAsia" w:ascii="Arial" w:hAnsi="宋体" w:cs="Arial"/>
          <w:sz w:val="26"/>
          <w:szCs w:val="26"/>
        </w:rPr>
        <mc:AlternateContent>
          <mc:Choice Requires="wps">
            <w:drawing>
              <wp:anchor distT="0" distB="0" distL="114300" distR="114300" simplePos="0" relativeHeight="251668480" behindDoc="0" locked="0" layoutInCell="1" allowOverlap="1">
                <wp:simplePos x="0" y="0"/>
                <wp:positionH relativeFrom="column">
                  <wp:posOffset>3323590</wp:posOffset>
                </wp:positionH>
                <wp:positionV relativeFrom="paragraph">
                  <wp:posOffset>105410</wp:posOffset>
                </wp:positionV>
                <wp:extent cx="0" cy="288290"/>
                <wp:effectExtent l="38100" t="0" r="38100" b="16510"/>
                <wp:wrapNone/>
                <wp:docPr id="48" name="直接箭头连接符 48"/>
                <wp:cNvGraphicFramePr/>
                <a:graphic xmlns:a="http://schemas.openxmlformats.org/drawingml/2006/main">
                  <a:graphicData uri="http://schemas.microsoft.com/office/word/2010/wordprocessingShape">
                    <wps:wsp>
                      <wps:cNvCnPr/>
                      <wps:spPr>
                        <a:xfrm>
                          <a:off x="0" y="0"/>
                          <a:ext cx="0" cy="2882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1.7pt;margin-top:8.3pt;height:22.7pt;width:0pt;z-index:251668480;mso-width-relative:page;mso-height-relative:page;" filled="f" stroked="t" coordsize="21600,21600" o:gfxdata="UEsDBAoAAAAAAIdO4kAAAAAAAAAAAAAAAAAEAAAAZHJzL1BLAwQUAAAACACHTuJABnzZJdcAAAAJ&#10;AQAADwAAAGRycy9kb3ducmV2LnhtbE2PTUsDMRCG74L/IYzgzSZdNei62YIWcS8WbEvxmG7GTXAz&#10;WTbpl7/eiAc9zrwP7zxTzY6+Z3scowukYDoRwJDaYBx1Ctar56s7YDFpMroPhApOGGFWn59VujTh&#10;QG+4X6aO5RKKpVZgUxpKzmNr0es4CQNSzj7C6HXK49hxM+pDLvc9L4SQ3GtH+YLVAz5ZbD+XO68g&#10;zd9PVm7ax3u3WL28SvfVNM1cqcuLqXgAlvCY/mD40c/qUGenbdiRiaxXcFtc32Q0B1ICy8DvYqtA&#10;FgJ4XfH/H9TfUEsDBBQAAAAIAIdO4kBQY+EDBAIAAPEDAAAOAAAAZHJzL2Uyb0RvYy54bWytU82O&#10;0zAQviPxDpbvNG3Fom7UdA8tywVBJeABpo6TWPKfPN6mfQleAIkTcAJOe9+ngeUxGDulhUVIeyAH&#10;Zzye+Wa+z+P5xc5otpUBlbMVn4zGnEkrXK1sW/E3ry8fzTjDCLYG7ays+F4iv1g8fDDvfSmnrnO6&#10;loERiMWy9xXvYvRlUaDopAEcOS8tHTYuGIi0DW1RB+gJ3ehiOh4/KXoXah+ckIjkXQ2H/IAY7gPo&#10;mkYJuXLiykgbB9QgNUSihJ3yyBe526aRIr5sGpSR6YoT05hXKkL2Jq3FYg5lG8B3ShxagPu0cIeT&#10;AWWp6BFqBRHYVVB/QRklgkPXxJFwphiIZEWIxWR8R5tXHXiZuZDU6I+i4/+DFS+268BUXfHHdO8W&#10;DN347bvr728/3n798u3D9Y+b98n+/InROYnVeywpZ2nX4bBDvw6J+a4JJv2JE9tlgfdHgeUuMjE4&#10;BXmns9n0PGtfnPJ8wPhMOsOSUXGMAVTbxaWzlm7RhUnWF7bPMVJlSvyVkIpqy/qKn59NzzgTQFPZ&#10;0DSQaTwxQ9vmXHRa1ZdK65SBod0sdWBbSJORv8SPcP8IS0VWgN0Ql4+Gmekk1E9tzeLek2SWngpP&#10;LRhZc6YlvaxkESCUEZQ+RcagwLb6H9FUXlvqIsk8CJusjav3We/sp0nIfR6mNo3a7/ucfXqp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GfNkl1wAAAAkBAAAPAAAAAAAAAAEAIAAAACIAAABkcnMv&#10;ZG93bnJldi54bWxQSwECFAAUAAAACACHTuJAUGPhAwQCAADxAwAADgAAAAAAAAABACAAAAAmAQAA&#10;ZHJzL2Uyb0RvYy54bWxQSwUGAAAAAAYABgBZAQAAnAUAAAAA&#10;">
                <v:fill on="f" focussize="0,0"/>
                <v:stroke color="#000000" joinstyle="round" endarrow="block"/>
                <v:imagedata o:title=""/>
                <o:lock v:ext="edit" aspectratio="f"/>
              </v:shape>
            </w:pict>
          </mc:Fallback>
        </mc:AlternateContent>
      </w:r>
    </w:p>
    <w:p w14:paraId="245C10E0">
      <w:pPr>
        <w:spacing w:line="440" w:lineRule="exact"/>
        <w:ind w:firstLine="520" w:firstLineChars="200"/>
        <w:rPr>
          <w:rFonts w:hint="eastAsia" w:ascii="Arial" w:hAnsi="宋体" w:cs="Arial"/>
          <w:sz w:val="26"/>
          <w:szCs w:val="26"/>
        </w:rPr>
      </w:pPr>
      <w:r>
        <w:rPr>
          <w:rFonts w:hint="eastAsia" w:ascii="Arial" w:hAnsi="宋体" w:cs="Arial"/>
          <w:sz w:val="26"/>
          <w:szCs w:val="26"/>
        </w:rPr>
        <mc:AlternateContent>
          <mc:Choice Requires="wps">
            <w:drawing>
              <wp:anchor distT="0" distB="0" distL="114300" distR="114300" simplePos="0" relativeHeight="251673600" behindDoc="0" locked="0" layoutInCell="1" allowOverlap="1">
                <wp:simplePos x="0" y="0"/>
                <wp:positionH relativeFrom="column">
                  <wp:posOffset>4763770</wp:posOffset>
                </wp:positionH>
                <wp:positionV relativeFrom="paragraph">
                  <wp:posOffset>138430</wp:posOffset>
                </wp:positionV>
                <wp:extent cx="0" cy="288290"/>
                <wp:effectExtent l="38100" t="0" r="38100" b="16510"/>
                <wp:wrapNone/>
                <wp:docPr id="27" name="直接箭头连接符 27"/>
                <wp:cNvGraphicFramePr/>
                <a:graphic xmlns:a="http://schemas.openxmlformats.org/drawingml/2006/main">
                  <a:graphicData uri="http://schemas.microsoft.com/office/word/2010/wordprocessingShape">
                    <wps:wsp>
                      <wps:cNvCnPr/>
                      <wps:spPr>
                        <a:xfrm>
                          <a:off x="0" y="0"/>
                          <a:ext cx="0" cy="2882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75.1pt;margin-top:10.9pt;height:22.7pt;width:0pt;z-index:251673600;mso-width-relative:page;mso-height-relative:page;" filled="f" stroked="t" coordsize="21600,21600" o:gfxdata="UEsDBAoAAAAAAIdO4kAAAAAAAAAAAAAAAAAEAAAAZHJzL1BLAwQUAAAACACHTuJAZC25O9gAAAAJ&#10;AQAADwAAAGRycy9kb3ducmV2LnhtbE2PTUvEMBCG74L/IYzgzU1asKu10wVdxF4UdlfEY7YZm2KT&#10;lCb75a93xIMeZ+bhneetFkc3iD1NsQ8eIZspEOTbYHrfIbxuHq9uQMSkvdFD8IRwogiL+vys0qUJ&#10;B7+i/Tp1gkN8LDWCTWkspYytJafjLIzk+fYRJqcTj1MnzaQPHO4GmStVSKd7zx+sHunBUvu53jmE&#10;tHw/2eKtvb/tXzZPz0X/1TTNEvHyIlN3IBId0x8MP/qsDjU7bcPOmygGhPm1yhlFyDOuwMDvYotQ&#10;zHOQdSX/N6i/AVBLAwQUAAAACACHTuJAKKsD6gUCAADxAwAADgAAAGRycy9lMm9Eb2MueG1srVPN&#10;jtMwEL4j8Q6W7zRtpYVu1HQPLcsFQSXgAaaOk1jynzzepn0JXgCJE3ACTnvfp4HlMRg7pYVFSHsg&#10;B2c8nvlmvs/j+cXOaLaVAZWzFZ+MxpxJK1ytbFvxN68vH804wwi2Bu2srPheIr9YPHww730pp65z&#10;upaBEYjFsvcV72L0ZVGg6KQBHDkvLR02LhiItA1tUQfoCd3oYjoePy56F2ofnJCI5F0Nh/yAGO4D&#10;6JpGCbly4spIGwfUIDVEooSd8sgXudumkSK+bBqUkemKE9OYVypC9iatxWIOZRvAd0ocWoD7tHCH&#10;kwFlqegRagUR2FVQf0EZJYJD18SRcKYYiGRFiMVkfEebVx14mbmQ1OiPouP/gxUvtuvAVF3x6RPO&#10;LBi68dt319/ffrz9+uXbh+sfN++T/fkTo3MSq/dYUs7SrsNhh34dEvNdE0z6Eye2ywLvjwLLXWRi&#10;cAryTmez6XnWvjjl+YDxmXSGJaPiGAOototLZy3doguTrC9sn2OkypT4KyEV1Zb1FT8/m55xJoCm&#10;sqFpINN4Yoa2zbnotKovldYpA0O7WerAtpAmI3+JH+H+EZaKrAC7IS4fDTPTSaif2prFvSfJLD0V&#10;nlowsuZMS3pZySJAKCMofYqMQYFt9T+iqby21EWSeRA2WRtX77Pe2U+TkPs8TG0atd/3Ofv0Uh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QtuTvYAAAACQEAAA8AAAAAAAAAAQAgAAAAIgAAAGRy&#10;cy9kb3ducmV2LnhtbFBLAQIUABQAAAAIAIdO4kAoqwPqBQIAAPEDAAAOAAAAAAAAAAEAIAAAACcB&#10;AABkcnMvZTJvRG9jLnhtbFBLBQYAAAAABgAGAFkBAACeBQAAAAA=&#10;">
                <v:fill on="f" focussize="0,0"/>
                <v:stroke color="#000000" joinstyle="round" endarrow="block"/>
                <v:imagedata o:title=""/>
                <o:lock v:ext="edit" aspectratio="f"/>
              </v:shape>
            </w:pict>
          </mc:Fallback>
        </mc:AlternateContent>
      </w:r>
      <w:r>
        <w:rPr>
          <w:rFonts w:hint="eastAsia" w:ascii="Arial" w:hAnsi="宋体" w:cs="Arial"/>
          <w:sz w:val="26"/>
          <w:szCs w:val="26"/>
        </w:rPr>
        <mc:AlternateContent>
          <mc:Choice Requires="wps">
            <w:drawing>
              <wp:anchor distT="0" distB="0" distL="114300" distR="114300" simplePos="0" relativeHeight="251675648" behindDoc="0" locked="0" layoutInCell="1" allowOverlap="1">
                <wp:simplePos x="0" y="0"/>
                <wp:positionH relativeFrom="column">
                  <wp:posOffset>1266190</wp:posOffset>
                </wp:positionH>
                <wp:positionV relativeFrom="paragraph">
                  <wp:posOffset>128270</wp:posOffset>
                </wp:positionV>
                <wp:extent cx="0" cy="288290"/>
                <wp:effectExtent l="38100" t="0" r="38100" b="16510"/>
                <wp:wrapNone/>
                <wp:docPr id="25" name="直接箭头连接符 25"/>
                <wp:cNvGraphicFramePr/>
                <a:graphic xmlns:a="http://schemas.openxmlformats.org/drawingml/2006/main">
                  <a:graphicData uri="http://schemas.microsoft.com/office/word/2010/wordprocessingShape">
                    <wps:wsp>
                      <wps:cNvCnPr/>
                      <wps:spPr>
                        <a:xfrm>
                          <a:off x="0" y="0"/>
                          <a:ext cx="0" cy="2882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9.7pt;margin-top:10.1pt;height:22.7pt;width:0pt;z-index:251675648;mso-width-relative:page;mso-height-relative:page;" filled="f" stroked="t" coordsize="21600,21600" o:gfxdata="UEsDBAoAAAAAAIdO4kAAAAAAAAAAAAAAAAAEAAAAZHJzL1BLAwQUAAAACACHTuJAjpdyWtcAAAAJ&#10;AQAADwAAAGRycy9kb3ducmV2LnhtbE2PTUvEMBCG74L/IYzgzU22aLC16YIuYi8K7op4zDZjE2wm&#10;pcl++evNetHjO/PwzjP14uAHtsMpukAK5jMBDKkLxlGv4G39eHULLCZNRg+BUMERIyya87NaVybs&#10;6RV3q9SzXEKx0gpsSmPFeewseh1nYUTKu88weZ1ynHpuJr3P5X7ghRCSe+0oX7B6xAeL3ddq6xWk&#10;5cfRyvfuvnQv66dn6b7btl0qdXkxF3fAEh7SHwwn/awOTXbahC2ZyIacy/I6owoKUQA7Ab+DjQJ5&#10;I4E3Nf//QfMDUEsDBBQAAAAIAIdO4kDM2EOMAwIAAPEDAAAOAAAAZHJzL2Uyb0RvYy54bWytU82O&#10;0zAQviPxDpbvNG2lRd2o6R5alguCSsADTB0nseQ/ebxN+xK8ABIn4ASc9s7TwPIYjJ3S7i5C2gM5&#10;OOPxzDfzfR7PL3ZGs60MqJyt+GQ05kxa4Wpl24q/fXP5ZMYZRrA1aGdlxfcS+cXi8aN570s5dZ3T&#10;tQyMQCyWva94F6MviwJFJw3gyHlp6bBxwUCkbWiLOkBP6EYX0/H4adG7UPvghEQk72o45AfE8BBA&#10;1zRKyJUTV0baOKAGqSESJeyUR77I3TaNFPFV06CMTFecmMa8UhGyN2ktFnMo2wC+U+LQAjykhXuc&#10;DChLRY9QK4jAroL6C8ooERy6Jo6EM8VAJCtCLCbje9q87sDLzIWkRn8UHf8frHi5XQem6opPzziz&#10;YOjGb95f/3z36ebb1x8fr399/5DsL58ZnZNYvceScpZ2HQ479OuQmO+aYNKfOLFdFnh/FFjuIhOD&#10;U5B3OptNz7P2xSnPB4zPpTMsGRXHGEC1XVw6a+kWXZhkfWH7AiNVpsQ/Camotqyv+PlZIiGAprKh&#10;aSDTeGKGts256LSqL5XWKQNDu1nqwLaQJiN/iR/h3glLRVaA3RCXj4aZ6STUz2zN4t6TZJaeCk8t&#10;GFlzpiW9rGQRIJQRlD5FxqDAtvof0VReW+oiyTwIm6yNq/dZ7+ynSch9HqY2jdrtfc4+vdT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6XclrXAAAACQEAAA8AAAAAAAAAAQAgAAAAIgAAAGRycy9k&#10;b3ducmV2LnhtbFBLAQIUABQAAAAIAIdO4kDM2EOMAwIAAPEDAAAOAAAAAAAAAAEAIAAAACYBAABk&#10;cnMvZTJvRG9jLnhtbFBLBQYAAAAABgAGAFkBAACbBQAAAAA=&#10;">
                <v:fill on="f" focussize="0,0"/>
                <v:stroke color="#000000" joinstyle="round" endarrow="block"/>
                <v:imagedata o:title=""/>
                <o:lock v:ext="edit" aspectratio="f"/>
              </v:shape>
            </w:pict>
          </mc:Fallback>
        </mc:AlternateContent>
      </w:r>
      <w:r>
        <w:rPr>
          <w:rFonts w:hint="eastAsia" w:ascii="Arial" w:hAnsi="宋体" w:cs="Arial"/>
          <w:sz w:val="26"/>
          <w:szCs w:val="26"/>
        </w:rPr>
        <mc:AlternateContent>
          <mc:Choice Requires="wps">
            <w:drawing>
              <wp:anchor distT="0" distB="0" distL="114300" distR="114300" simplePos="0" relativeHeight="251672576" behindDoc="0" locked="0" layoutInCell="1" allowOverlap="1">
                <wp:simplePos x="0" y="0"/>
                <wp:positionH relativeFrom="column">
                  <wp:posOffset>3308985</wp:posOffset>
                </wp:positionH>
                <wp:positionV relativeFrom="paragraph">
                  <wp:posOffset>138430</wp:posOffset>
                </wp:positionV>
                <wp:extent cx="0" cy="288290"/>
                <wp:effectExtent l="38100" t="0" r="38100" b="16510"/>
                <wp:wrapNone/>
                <wp:docPr id="31" name="直接箭头连接符 31"/>
                <wp:cNvGraphicFramePr/>
                <a:graphic xmlns:a="http://schemas.openxmlformats.org/drawingml/2006/main">
                  <a:graphicData uri="http://schemas.microsoft.com/office/word/2010/wordprocessingShape">
                    <wps:wsp>
                      <wps:cNvCnPr/>
                      <wps:spPr>
                        <a:xfrm>
                          <a:off x="0" y="0"/>
                          <a:ext cx="0" cy="2882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0.55pt;margin-top:10.9pt;height:22.7pt;width:0pt;z-index:251672576;mso-width-relative:page;mso-height-relative:page;" filled="f" stroked="t" coordsize="21600,21600" o:gfxdata="UEsDBAoAAAAAAIdO4kAAAAAAAAAAAAAAAAAEAAAAZHJzL1BLAwQUAAAACACHTuJAj4AuqNcAAAAJ&#10;AQAADwAAAGRycy9kb3ducmV2LnhtbE2PTUvEMBCG74L/IYzgzU1TsLq16YIuYi8K7sriMduOTbCZ&#10;lCb75a93xIMeZ+bhneetFkc/iD1O0QXSoGYZCKQ2dI56DW/rx6tbEDEZ6swQCDWcMMKiPj+rTNmF&#10;A73ifpV6wSEUS6PBpjSWUsbWojdxFkYkvn2EyZvE49TLbjIHDveDzLOskN444g/WjPhgsf1c7byG&#10;tHw/2WLT3s/dy/rpuXBfTdMstb68UNkdiITH9AfDjz6rQ81O27CjLopBw3WuFKMacsUVGPhdbDUU&#10;NznIupL/G9TfUEsDBBQAAAAIAIdO4kANjEMTBQIAAPEDAAAOAAAAZHJzL2Uyb0RvYy54bWytU82O&#10;0zAQviPxDpbvNG3Rom7UdA8tywVBJeABpo6TWPKfPN6mfQleAIkTcAJOe9+ngeUxGDulhUVIeyAH&#10;Zzye+Wa+z+P5xc5otpUBlbMVn4zGnEkrXK1sW/E3ry8fzTjDCLYG7ays+F4iv1g8fDDvfSmnrnO6&#10;loERiMWy9xXvYvRlUaDopAEcOS8tHTYuGIi0DW1RB+gJ3ehiOh4/KXoXah+ckIjkXQ2H/IAY7gPo&#10;mkYJuXLiykgbB9QgNUSihJ3yyBe526aRIr5sGpSR6YoT05hXKkL2Jq3FYg5lG8B3ShxagPu0cIeT&#10;AWWp6BFqBRHYVVB/QRklgkPXxJFwphiIZEWIxWR8R5tXHXiZuZDU6I+i4/+DFS+268BUXfHHE84s&#10;GLrx23fX399+vP365duH6x8375P9+ROjcxKr91hSztKuw2GHfh0S810TTPoTJ7bLAu+PAstdZGJw&#10;CvJOZ7Ppeda+OOX5gPGZdIYlo+IYA6i2i0tnLd2iC5OsL2yfY6TKlPgrIRXVlvUVPz+bnnEmgKay&#10;oWkg03hihrbNuei0qi+V1ikDQ7tZ6sC2kCYjf4kf4f4RloqsALshLh8NM9NJqJ/amsW9J8ksPRWe&#10;WjCy5kxLelnJIkAoIyh9ioxBgW31P6KpvLbURZJ5EDZZG1fvs97ZT5OQ+zxMbRq13/c5+/RS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4AuqNcAAAAJAQAADwAAAAAAAAABACAAAAAiAAAAZHJz&#10;L2Rvd25yZXYueG1sUEsBAhQAFAAAAAgAh07iQA2MQxMFAgAA8QMAAA4AAAAAAAAAAQAgAAAAJgEA&#10;AGRycy9lMm9Eb2MueG1sUEsFBgAAAAAGAAYAWQEAAJ0FAAAAAA==&#10;">
                <v:fill on="f" focussize="0,0"/>
                <v:stroke color="#000000" joinstyle="round" endarrow="block"/>
                <v:imagedata o:title=""/>
                <o:lock v:ext="edit" aspectratio="f"/>
              </v:shape>
            </w:pict>
          </mc:Fallback>
        </mc:AlternateContent>
      </w:r>
      <w:r>
        <w:rPr>
          <w:rFonts w:hint="eastAsia" w:ascii="Arial" w:hAnsi="宋体" w:cs="Arial"/>
          <w:sz w:val="26"/>
          <w:szCs w:val="26"/>
        </w:rPr>
        <mc:AlternateContent>
          <mc:Choice Requires="wps">
            <w:drawing>
              <wp:anchor distT="0" distB="0" distL="114300" distR="114300" simplePos="0" relativeHeight="251669504" behindDoc="0" locked="0" layoutInCell="1" allowOverlap="1">
                <wp:simplePos x="0" y="0"/>
                <wp:positionH relativeFrom="column">
                  <wp:posOffset>1266190</wp:posOffset>
                </wp:positionH>
                <wp:positionV relativeFrom="paragraph">
                  <wp:posOffset>128270</wp:posOffset>
                </wp:positionV>
                <wp:extent cx="3491865" cy="0"/>
                <wp:effectExtent l="0" t="5080" r="0" b="4445"/>
                <wp:wrapNone/>
                <wp:docPr id="19" name="直接箭头连接符 19"/>
                <wp:cNvGraphicFramePr/>
                <a:graphic xmlns:a="http://schemas.openxmlformats.org/drawingml/2006/main">
                  <a:graphicData uri="http://schemas.microsoft.com/office/word/2010/wordprocessingShape">
                    <wps:wsp>
                      <wps:cNvCnPr/>
                      <wps:spPr>
                        <a:xfrm>
                          <a:off x="0" y="0"/>
                          <a:ext cx="349186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99.7pt;margin-top:10.1pt;height:0pt;width:274.95pt;z-index:251669504;mso-width-relative:page;mso-height-relative:page;" filled="f" stroked="t" coordsize="21600,21600" o:gfxdata="UEsDBAoAAAAAAIdO4kAAAAAAAAAAAAAAAAAEAAAAZHJzL1BLAwQUAAAACACHTuJA9pdClNYAAAAJ&#10;AQAADwAAAGRycy9kb3ducmV2LnhtbE2PwU7DMAyG70i8Q+RJXBBLWjagpemEkDhwZJvENWtMW9Y4&#10;VZOuY0+PEYft+Nuffn8uVkfXiQMOofWkIZkrEEiVty3VGrabt7snECEasqbzhBp+MMCqvL4qTG79&#10;RB94WMdacAmF3GhoYuxzKUPVoDNh7nsk3n35wZnIcailHczE5a6TqVIP0pmW+EJjenxtsNqvR6cB&#10;w7hM1Evm6u37abr9TE/fU7/R+maWqGcQEY/xDMOfPqtDyU47P5INouOcZQtGNaQqBcHA4yK7B7H7&#10;H8iykJcflL9QSwMEFAAAAAgAh07iQCX0Mxj/AQAA7gMAAA4AAABkcnMvZTJvRG9jLnhtbK1TzY7T&#10;MBC+I/EOlu80bWFX26jpHlqWC4JKwANMHSex5D95vE37ErwAEifgBHvaO08Dy2MwdrpdWC57IIdk&#10;7PF8M9+Xz/PzndFsKwMqZys+GY05k1a4Wtm24u/eXjw54wwj2Bq0s7Lie4n8fPH40bz3pZy6zula&#10;BkYgFsveV7yL0ZdFgaKTBnDkvLSUbFwwEGkZ2qIO0BO60cV0PD4tehdqH5yQiLS7GpL8gBgeAuia&#10;Rgm5cuLSSBsH1CA1RKKEnfLIF3nappEivm4alJHpihPTmN/UhOJNeheLOZRtAN8pcRgBHjLCPU4G&#10;lKWmR6gVRGCXQf0DZZQIDl0TR8KZYiCSFSEWk/E9bd504GXmQlKjP4qO/w9WvNquA1M1OWHGmQVD&#10;f/zmw/XP959vrr79+HT96/vHFH/9wihPYvUeS6pZ2nU4rNCvQ2K+a4JJX+LEdlng/VFguYtM0ObT&#10;Z7PJ2ekJZ+I2V9wV+oDxhXSGpaDiGAOototLZy39RhcmWWDYvsRIranwtiB11Zb1FZ+dTBM4kC0b&#10;sgOFxhM1tG2uRadVfaG0ThUY2s1SB7aFZI38JIKE+9ex1GQF2A3ncmowTSehfm5rFveeNLN0V3ga&#10;wciaMy3paqWIAKGMoPRDTlJrbWmCpPGgaoo2rt5nsfM+2SDPeLBs8tmf61x9d00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2l0KU1gAAAAkBAAAPAAAAAAAAAAEAIAAAACIAAABkcnMvZG93bnJl&#10;di54bWxQSwECFAAUAAAACACHTuJAJfQzGP8BAADuAwAADgAAAAAAAAABACAAAAAlAQAAZHJzL2Uy&#10;b0RvYy54bWxQSwUGAAAAAAYABgBZAQAAlgUAAAAA&#10;">
                <v:fill on="f" focussize="0,0"/>
                <v:stroke color="#000000" joinstyle="round"/>
                <v:imagedata o:title=""/>
                <o:lock v:ext="edit" aspectratio="f"/>
              </v:shape>
            </w:pict>
          </mc:Fallback>
        </mc:AlternateContent>
      </w:r>
      <w:r>
        <w:rPr>
          <w:rFonts w:hint="eastAsia" w:ascii="Arial" w:hAnsi="宋体" w:cs="Arial"/>
          <w:sz w:val="26"/>
          <w:szCs w:val="26"/>
        </w:rPr>
        <mc:AlternateContent>
          <mc:Choice Requires="wps">
            <w:drawing>
              <wp:anchor distT="0" distB="0" distL="114300" distR="114300" simplePos="0" relativeHeight="251670528" behindDoc="0" locked="0" layoutInCell="1" allowOverlap="1">
                <wp:simplePos x="0" y="0"/>
                <wp:positionH relativeFrom="column">
                  <wp:posOffset>2468880</wp:posOffset>
                </wp:positionH>
                <wp:positionV relativeFrom="paragraph">
                  <wp:posOffset>128270</wp:posOffset>
                </wp:positionV>
                <wp:extent cx="0" cy="288290"/>
                <wp:effectExtent l="38100" t="0" r="38100" b="16510"/>
                <wp:wrapNone/>
                <wp:docPr id="24" name="直接箭头连接符 24"/>
                <wp:cNvGraphicFramePr/>
                <a:graphic xmlns:a="http://schemas.openxmlformats.org/drawingml/2006/main">
                  <a:graphicData uri="http://schemas.microsoft.com/office/word/2010/wordprocessingShape">
                    <wps:wsp>
                      <wps:cNvCnPr/>
                      <wps:spPr>
                        <a:xfrm>
                          <a:off x="0" y="0"/>
                          <a:ext cx="0" cy="2882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4.4pt;margin-top:10.1pt;height:22.7pt;width:0pt;z-index:251670528;mso-width-relative:page;mso-height-relative:page;" filled="f" stroked="t" coordsize="21600,21600" o:gfxdata="UEsDBAoAAAAAAIdO4kAAAAAAAAAAAAAAAAAEAAAAZHJzL1BLAwQUAAAACACHTuJApEn/z9gAAAAJ&#10;AQAADwAAAGRycy9kb3ducmV2LnhtbE2PT0vEMBDF74LfIYzgzU22Yqi16YIuYi8KuyviMduMTbCZ&#10;lCb7z09vxIMe583jvd+rF0c/sD1O0QVSMJ8JYEhdMI56Ba+bx6sSWEyajB4CoYITRlg052e1rkw4&#10;0Ar369SzHEKx0gpsSmPFeewseh1nYUTKv48weZ3yOfXcTPqQw/3ACyEk99pRbrB6xAeL3ed65xWk&#10;5fvJyrfu/ta9bJ6epftq23ap1OXFXNwBS3hMf2b4wc/o0GSmbdiRiWxQcF2WGT0pKEQBLBt+ha0C&#10;eSOBNzX/v6D5BlBLAwQUAAAACACHTuJAPuFjvwQCAADxAwAADgAAAGRycy9lMm9Eb2MueG1srVNL&#10;jhMxEN0jcQfLe9JJi0GZVjqzSBg2CCIBB6i43d2W/JPLk88luAASK2AFrGY/p4HhGJTdIYFBSLOg&#10;F+5yuepVvefy7GJnNNvIgMrZmk9GY86kFa5Rtqv5m9eXj6acYQTbgHZW1nwvkV/MHz6YbX0lS9c7&#10;3cjACMRitfU172P0VVGg6KUBHDkvLR22LhiItA1d0QTYErrRRTkePym2LjQ+OCERybscDvkBMdwH&#10;0LWtEnLpxJWRNg6oQWqIRAl75ZHPc7dtK0V82bYoI9M1J6Yxr1SE7HVai/kMqi6A75U4tAD3aeEO&#10;JwPKUtEj1BIisKug/oIySgSHro0j4UwxEMmKEIvJ+I42r3rwMnMhqdEfRcf/BytebFaBqabm5WPO&#10;LBi68dt319/ffrz9+uXbh+sfN++T/fkTo3MSa+uxopyFXYXDDv0qJOa7Npj0J05slwXeHwWWu8jE&#10;4BTkLafT8jxrX5zyfMD4TDrDklFzjAFU18eFs5Zu0YVJ1hc2zzFSZUr8lZCKasu2NT8/K884E0BT&#10;2dI0kGk8MUPb5Vx0WjWXSuuUgaFbL3RgG0iTkb/Ej3D/CEtFloD9EJePhpnpJTRPbcPi3pNklp4K&#10;Ty0Y2XCmJb2sZBEgVBGUPkXGoMB2+h/RVF5b6iLJPAibrLVr9lnv7KdJyH0epjaN2u/7nH16qf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En/z9gAAAAJAQAADwAAAAAAAAABACAAAAAiAAAAZHJz&#10;L2Rvd25yZXYueG1sUEsBAhQAFAAAAAgAh07iQD7hY78EAgAA8QMAAA4AAAAAAAAAAQAgAAAAJwEA&#10;AGRycy9lMm9Eb2MueG1sUEsFBgAAAAAGAAYAWQEAAJ0FAAAAAA==&#10;">
                <v:fill on="f" focussize="0,0"/>
                <v:stroke color="#000000" joinstyle="round" endarrow="block"/>
                <v:imagedata o:title=""/>
                <o:lock v:ext="edit" aspectratio="f"/>
              </v:shape>
            </w:pict>
          </mc:Fallback>
        </mc:AlternateContent>
      </w:r>
    </w:p>
    <w:p w14:paraId="2B8850A9">
      <w:pPr>
        <w:spacing w:line="440" w:lineRule="exact"/>
        <w:ind w:firstLine="520" w:firstLineChars="200"/>
        <w:rPr>
          <w:rFonts w:hint="eastAsia" w:ascii="Arial" w:hAnsi="宋体" w:cs="Arial"/>
          <w:sz w:val="26"/>
          <w:szCs w:val="26"/>
        </w:rPr>
      </w:pPr>
      <w:r>
        <w:rPr>
          <w:rFonts w:hint="eastAsia" w:ascii="Arial" w:hAnsi="宋体" w:cs="Arial"/>
          <w:sz w:val="26"/>
          <w:szCs w:val="26"/>
        </w:rPr>
        <mc:AlternateContent>
          <mc:Choice Requires="wps">
            <w:drawing>
              <wp:anchor distT="0" distB="0" distL="114300" distR="114300" simplePos="0" relativeHeight="251677696" behindDoc="0" locked="0" layoutInCell="1" allowOverlap="1">
                <wp:simplePos x="0" y="0"/>
                <wp:positionH relativeFrom="column">
                  <wp:posOffset>4216400</wp:posOffset>
                </wp:positionH>
                <wp:positionV relativeFrom="paragraph">
                  <wp:posOffset>137160</wp:posOffset>
                </wp:positionV>
                <wp:extent cx="885825" cy="483235"/>
                <wp:effectExtent l="4445" t="5080" r="5080" b="6985"/>
                <wp:wrapNone/>
                <wp:docPr id="49" name="矩形 49"/>
                <wp:cNvGraphicFramePr/>
                <a:graphic xmlns:a="http://schemas.openxmlformats.org/drawingml/2006/main">
                  <a:graphicData uri="http://schemas.microsoft.com/office/word/2010/wordprocessingShape">
                    <wps:wsp>
                      <wps:cNvSpPr/>
                      <wps:spPr>
                        <a:xfrm>
                          <a:off x="0" y="0"/>
                          <a:ext cx="885825" cy="483235"/>
                        </a:xfrm>
                        <a:prstGeom prst="rect">
                          <a:avLst/>
                        </a:prstGeom>
                        <a:solidFill>
                          <a:srgbClr val="92D050"/>
                        </a:solidFill>
                        <a:ln w="9525" cap="flat" cmpd="sng">
                          <a:solidFill>
                            <a:srgbClr val="000000"/>
                          </a:solidFill>
                          <a:prstDash val="solid"/>
                          <a:miter/>
                          <a:headEnd type="none" w="med" len="med"/>
                          <a:tailEnd type="none" w="med" len="med"/>
                        </a:ln>
                      </wps:spPr>
                      <wps:txbx>
                        <w:txbxContent>
                          <w:p w14:paraId="35C03B2A">
                            <w:pPr>
                              <w:jc w:val="center"/>
                              <w:rPr>
                                <w:rFonts w:hint="eastAsia" w:ascii="Arial" w:cs="Arial"/>
                              </w:rPr>
                            </w:pPr>
                            <w:r>
                              <w:rPr>
                                <w:rFonts w:hint="eastAsia" w:ascii="Arial" w:cs="Arial"/>
                              </w:rPr>
                              <w:t>生态放水</w:t>
                            </w:r>
                          </w:p>
                          <w:p w14:paraId="61E1ADD8">
                            <w:pPr>
                              <w:jc w:val="center"/>
                              <w:rPr>
                                <w:rFonts w:ascii="Arial" w:hAnsi="Arial" w:cs="Arial"/>
                              </w:rPr>
                            </w:pPr>
                            <w:r>
                              <w:rPr>
                                <w:rFonts w:hint="eastAsia" w:ascii="Arial" w:cs="Arial"/>
                                <w:lang w:val="en-US" w:eastAsia="zh-CN"/>
                              </w:rPr>
                              <w:t>15.75</w:t>
                            </w:r>
                            <w:r>
                              <w:rPr>
                                <w:rFonts w:hint="eastAsia" w:ascii="Arial" w:cs="Arial"/>
                              </w:rPr>
                              <w:t>万m</w:t>
                            </w:r>
                            <w:r>
                              <w:rPr>
                                <w:rFonts w:hint="eastAsia" w:ascii="Arial" w:cs="Arial"/>
                                <w:vertAlign w:val="superscript"/>
                              </w:rPr>
                              <w:t>3</w:t>
                            </w:r>
                          </w:p>
                        </w:txbxContent>
                      </wps:txbx>
                      <wps:bodyPr upright="1"/>
                    </wps:wsp>
                  </a:graphicData>
                </a:graphic>
              </wp:anchor>
            </w:drawing>
          </mc:Choice>
          <mc:Fallback>
            <w:pict>
              <v:rect id="_x0000_s1026" o:spid="_x0000_s1026" o:spt="1" style="position:absolute;left:0pt;margin-left:332pt;margin-top:10.8pt;height:38.05pt;width:69.75pt;z-index:251677696;mso-width-relative:page;mso-height-relative:page;" fillcolor="#92D050" filled="t" stroked="t" coordsize="21600,21600" o:gfxdata="UEsDBAoAAAAAAIdO4kAAAAAAAAAAAAAAAAAEAAAAZHJzL1BLAwQUAAAACACHTuJA7LYSZtkAAAAJ&#10;AQAADwAAAGRycy9kb3ducmV2LnhtbE2PP0/DMBTEdyS+g/WQ2KidQpw2xOmAhOgEagsDmxu/xgnx&#10;cxS7f/j2mAnG053ufletLm5gJ5xC50lBNhPAkBpvOmoVvO+e7xbAQtRk9OAJFXxjgFV9fVXp0vgz&#10;bfC0jS1LJRRKrcDGOJach8ai02HmR6TkHfzkdExyarmZ9DmVu4HPhZDc6Y7SgtUjPllsvrZHp6CP&#10;eV9ksufF5zp/2YUPvravb0rd3mTiEVjES/wLwy9+Qoc6Me39kUxggwIpH9KXqGCeSWApsBD3ObC9&#10;gmVRAK8r/v9B/QNQSwMEFAAAAAgAh07iQDMbz1YGAgAAKgQAAA4AAABkcnMvZTJvRG9jLnhtbK1T&#10;S27bMBDdF+gdCO5ryU5cOILlLOqmm6INkPYAY4qSCPAHDm3JpynQXQ/R4xS9RoeU68TpJotqIQ05&#10;o8f33gzXt6PR7CADKmdrPp+VnEkrXKNsV/OvX+7erDjDCLYB7ays+VEiv928frUefCUXrne6kYER&#10;iMVq8DXvY/RVUaDopQGcOS8tJVsXDERahq5oAgyEbnSxKMu3xeBC44MTEpF2t1OSnxDDSwBd2yoh&#10;t07sjbRxQg1SQyRJ2CuPfJPZtq0U8XPbooxM15yUxvymQyjepXexWUPVBfC9EicK8BIKzzQZUJYO&#10;PUNtIQLbB/UPlFEiOHRtnAlniklIdoRUzMtn3jz04GXWQlajP5uO/w9WfDrcB6aaml/fcGbBUMd/&#10;f/vx6+d3RhvkzuCxoqIHfx9OK6QwSR3bYNKXRLAxO3o8OyrHyARtrlbL1WLJmaDU9epqcbVMmMXj&#10;zz5g/CCdYSmoeaCGZR/h8BHjVPq3JJ2FTqvmTmmdF6HbvdOBHYCae7PYlsvcT0K/KNOWDZRfZh5A&#10;E9vSpBAl40k12i6fd/EHPgUu83OifVGWiG0B+4lATqUyqIyKMrkFVS+heW8bFo+ejLV0oXgiY2TD&#10;mZZ0/1KUKyMo/ZJKUqctWZj6MnUiRXHcjQSTwp1rjtTSvQ+q68nSeaaeMjRC2fvTuKcZfbrOoI9X&#10;fP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LYSZtkAAAAJAQAADwAAAAAAAAABACAAAAAiAAAA&#10;ZHJzL2Rvd25yZXYueG1sUEsBAhQAFAAAAAgAh07iQDMbz1YGAgAAKgQAAA4AAAAAAAAAAQAgAAAA&#10;KAEAAGRycy9lMm9Eb2MueG1sUEsFBgAAAAAGAAYAWQEAAKAFAAAAAA==&#10;">
                <v:fill on="t" focussize="0,0"/>
                <v:stroke color="#000000" joinstyle="miter"/>
                <v:imagedata o:title=""/>
                <o:lock v:ext="edit" aspectratio="f"/>
                <v:textbox>
                  <w:txbxContent>
                    <w:p w14:paraId="35C03B2A">
                      <w:pPr>
                        <w:jc w:val="center"/>
                        <w:rPr>
                          <w:rFonts w:hint="eastAsia" w:ascii="Arial" w:cs="Arial"/>
                        </w:rPr>
                      </w:pPr>
                      <w:r>
                        <w:rPr>
                          <w:rFonts w:hint="eastAsia" w:ascii="Arial" w:cs="Arial"/>
                        </w:rPr>
                        <w:t>生态放水</w:t>
                      </w:r>
                    </w:p>
                    <w:p w14:paraId="61E1ADD8">
                      <w:pPr>
                        <w:jc w:val="center"/>
                        <w:rPr>
                          <w:rFonts w:ascii="Arial" w:hAnsi="Arial" w:cs="Arial"/>
                        </w:rPr>
                      </w:pPr>
                      <w:r>
                        <w:rPr>
                          <w:rFonts w:hint="eastAsia" w:ascii="Arial" w:cs="Arial"/>
                          <w:lang w:val="en-US" w:eastAsia="zh-CN"/>
                        </w:rPr>
                        <w:t>15.75</w:t>
                      </w:r>
                      <w:r>
                        <w:rPr>
                          <w:rFonts w:hint="eastAsia" w:ascii="Arial" w:cs="Arial"/>
                        </w:rPr>
                        <w:t>万m</w:t>
                      </w:r>
                      <w:r>
                        <w:rPr>
                          <w:rFonts w:hint="eastAsia" w:ascii="Arial" w:cs="Arial"/>
                          <w:vertAlign w:val="superscript"/>
                        </w:rPr>
                        <w:t>3</w:t>
                      </w:r>
                    </w:p>
                  </w:txbxContent>
                </v:textbox>
              </v:rect>
            </w:pict>
          </mc:Fallback>
        </mc:AlternateContent>
      </w:r>
      <w:r>
        <w:rPr>
          <w:rFonts w:hint="eastAsia" w:ascii="Arial" w:hAnsi="宋体" w:cs="Arial"/>
          <w:sz w:val="26"/>
          <w:szCs w:val="26"/>
        </w:rPr>
        <mc:AlternateContent>
          <mc:Choice Requires="wps">
            <w:drawing>
              <wp:anchor distT="0" distB="0" distL="114300" distR="114300" simplePos="0" relativeHeight="251674624" behindDoc="0" locked="0" layoutInCell="1" allowOverlap="1">
                <wp:simplePos x="0" y="0"/>
                <wp:positionH relativeFrom="column">
                  <wp:posOffset>3001010</wp:posOffset>
                </wp:positionH>
                <wp:positionV relativeFrom="paragraph">
                  <wp:posOffset>137795</wp:posOffset>
                </wp:positionV>
                <wp:extent cx="904875" cy="483235"/>
                <wp:effectExtent l="4445" t="4445" r="5080" b="7620"/>
                <wp:wrapNone/>
                <wp:docPr id="34" name="矩形 34"/>
                <wp:cNvGraphicFramePr/>
                <a:graphic xmlns:a="http://schemas.openxmlformats.org/drawingml/2006/main">
                  <a:graphicData uri="http://schemas.microsoft.com/office/word/2010/wordprocessingShape">
                    <wps:wsp>
                      <wps:cNvSpPr/>
                      <wps:spPr>
                        <a:xfrm>
                          <a:off x="0" y="0"/>
                          <a:ext cx="904875" cy="483235"/>
                        </a:xfrm>
                        <a:prstGeom prst="rect">
                          <a:avLst/>
                        </a:prstGeom>
                        <a:solidFill>
                          <a:srgbClr val="92D050"/>
                        </a:solidFill>
                        <a:ln w="9525" cap="flat" cmpd="sng">
                          <a:solidFill>
                            <a:srgbClr val="000000"/>
                          </a:solidFill>
                          <a:prstDash val="solid"/>
                          <a:miter/>
                          <a:headEnd type="none" w="med" len="med"/>
                          <a:tailEnd type="none" w="med" len="med"/>
                        </a:ln>
                      </wps:spPr>
                      <wps:txbx>
                        <w:txbxContent>
                          <w:p w14:paraId="4A892FF6">
                            <w:pPr>
                              <w:jc w:val="center"/>
                              <w:rPr>
                                <w:rFonts w:hint="eastAsia" w:ascii="Arial" w:cs="Arial"/>
                              </w:rPr>
                            </w:pPr>
                            <w:r>
                              <w:rPr>
                                <w:rFonts w:hint="eastAsia" w:ascii="Arial" w:cs="Arial"/>
                              </w:rPr>
                              <w:t>人饮供水</w:t>
                            </w:r>
                          </w:p>
                          <w:p w14:paraId="129F2B02">
                            <w:pPr>
                              <w:jc w:val="center"/>
                              <w:rPr>
                                <w:rFonts w:ascii="Arial" w:hAnsi="Arial" w:cs="Arial"/>
                              </w:rPr>
                            </w:pPr>
                            <w:r>
                              <w:rPr>
                                <w:rFonts w:hint="eastAsia" w:ascii="Arial" w:cs="Arial"/>
                                <w:lang w:val="en-US" w:eastAsia="zh-CN"/>
                              </w:rPr>
                              <w:t>18.78</w:t>
                            </w:r>
                            <w:r>
                              <w:rPr>
                                <w:rFonts w:hint="eastAsia" w:ascii="Arial" w:cs="Arial"/>
                              </w:rPr>
                              <w:t>万m</w:t>
                            </w:r>
                            <w:r>
                              <w:rPr>
                                <w:rFonts w:hint="eastAsia" w:ascii="Arial" w:cs="Arial"/>
                                <w:vertAlign w:val="superscript"/>
                              </w:rPr>
                              <w:t>3</w:t>
                            </w:r>
                          </w:p>
                        </w:txbxContent>
                      </wps:txbx>
                      <wps:bodyPr upright="1"/>
                    </wps:wsp>
                  </a:graphicData>
                </a:graphic>
              </wp:anchor>
            </w:drawing>
          </mc:Choice>
          <mc:Fallback>
            <w:pict>
              <v:rect id="_x0000_s1026" o:spid="_x0000_s1026" o:spt="1" style="position:absolute;left:0pt;margin-left:236.3pt;margin-top:10.85pt;height:38.05pt;width:71.25pt;z-index:251674624;mso-width-relative:page;mso-height-relative:page;" fillcolor="#92D050" filled="t" stroked="t" coordsize="21600,21600" o:gfxdata="UEsDBAoAAAAAAIdO4kAAAAAAAAAAAAAAAAAEAAAAZHJzL1BLAwQUAAAACACHTuJAlv1uKNkAAAAJ&#10;AQAADwAAAGRycy9kb3ducmV2LnhtbE2Py07DMBBF90j8gzVI7KjjiMRtiNMFEqIrEC0sunPjIU6I&#10;x1HsPvh7zAqWo3t075l6fXEjO+Ecek8KxCIDhtR601On4H33dLcEFqImo0dPqOAbA6yb66taV8af&#10;6Q1P29ixVEKh0gpsjFPFeWgtOh0WfkJK2aefnY7pnDtuZn1O5W7keZaV3Ome0oLVEz5abL+2R6dg&#10;iMUgRTlwud8Uz7vwwTf25VWp2xuRPQCLeIl/MPzqJ3VoktPBH8kENiq4l3mZUAW5kMASUIpCADso&#10;WMkl8Kbm/z9ofgBQSwMEFAAAAAgAh07iQB0u43wGAgAAKgQAAA4AAABkcnMvZTJvRG9jLnhtbK1T&#10;zY7TMBC+I/EOlu806R90o6Z7oCwXBCvt8gBT20ks+U+226RPg8SNh+BxEK/B2Cnd7XLpgRySsWfy&#10;+fu+Ga9vB63IQfggranpdFJSIgyzXJq2pl8f796sKAkRDAdljajpUQR6u3n9at27SsxsZxUXniCI&#10;CVXvatrF6KqiCKwTGsLEOmEw2VivIeLStwX30CO6VsWsLN8WvfXcectECLi7HZP0hOivAbRNI5nY&#10;WrbXwsQR1QsFESWFTrpAN5lt0wgWvzRNEJGomqLSmN94CMa79C42a6haD66T7EQBrqHwQpMGafDQ&#10;M9QWIpC9l/9Aacm8DbaJE2Z1MQrJjqCKafnCm4cOnMha0OrgzqaH/wfLPh/uPZG8pvMFJQY0dvz3&#10;tx+/fn4nuIHu9C5UWPTg7v1pFTBMUofG6/RFEWTIjh7PjoohEoabN+Vi9W5JCcPUYjWfzZcJs3j6&#10;2fkQPwqrSQpq6rFh2Uc4fApxLP1bks4KVkl+J5XKC9/u3itPDoDNvZlty2XuJ6JflClDeswvZ4kH&#10;4MQ2OCkYaoeqg2nzeRd/hOfAZX5OtC/KErEthG4kkFOpDCoto0huQdUJ4B8MJ/Ho0FiDF4omMlpw&#10;SpTA+5eiXBlBqmsqUZ0yaGHqy9iJFMVhNyBMCneWH7Gle+dl26Gl00w9ZXCEsvencU8z+nydQZ+u&#10;+O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v1uKNkAAAAJAQAADwAAAAAAAAABACAAAAAiAAAA&#10;ZHJzL2Rvd25yZXYueG1sUEsBAhQAFAAAAAgAh07iQB0u43wGAgAAKgQAAA4AAAAAAAAAAQAgAAAA&#10;KAEAAGRycy9lMm9Eb2MueG1sUEsFBgAAAAAGAAYAWQEAAKAFAAAAAA==&#10;">
                <v:fill on="t" focussize="0,0"/>
                <v:stroke color="#000000" joinstyle="miter"/>
                <v:imagedata o:title=""/>
                <o:lock v:ext="edit" aspectratio="f"/>
                <v:textbox>
                  <w:txbxContent>
                    <w:p w14:paraId="4A892FF6">
                      <w:pPr>
                        <w:jc w:val="center"/>
                        <w:rPr>
                          <w:rFonts w:hint="eastAsia" w:ascii="Arial" w:cs="Arial"/>
                        </w:rPr>
                      </w:pPr>
                      <w:r>
                        <w:rPr>
                          <w:rFonts w:hint="eastAsia" w:ascii="Arial" w:cs="Arial"/>
                        </w:rPr>
                        <w:t>人饮供水</w:t>
                      </w:r>
                    </w:p>
                    <w:p w14:paraId="129F2B02">
                      <w:pPr>
                        <w:jc w:val="center"/>
                        <w:rPr>
                          <w:rFonts w:ascii="Arial" w:hAnsi="Arial" w:cs="Arial"/>
                        </w:rPr>
                      </w:pPr>
                      <w:r>
                        <w:rPr>
                          <w:rFonts w:hint="eastAsia" w:ascii="Arial" w:cs="Arial"/>
                          <w:lang w:val="en-US" w:eastAsia="zh-CN"/>
                        </w:rPr>
                        <w:t>18.78</w:t>
                      </w:r>
                      <w:r>
                        <w:rPr>
                          <w:rFonts w:hint="eastAsia" w:ascii="Arial" w:cs="Arial"/>
                        </w:rPr>
                        <w:t>万m</w:t>
                      </w:r>
                      <w:r>
                        <w:rPr>
                          <w:rFonts w:hint="eastAsia" w:ascii="Arial" w:cs="Arial"/>
                          <w:vertAlign w:val="superscript"/>
                        </w:rPr>
                        <w:t>3</w:t>
                      </w:r>
                    </w:p>
                  </w:txbxContent>
                </v:textbox>
              </v:rect>
            </w:pict>
          </mc:Fallback>
        </mc:AlternateContent>
      </w:r>
      <w:r>
        <w:rPr>
          <w:rFonts w:hint="eastAsia" w:ascii="Arial" w:hAnsi="宋体" w:cs="Arial"/>
          <w:sz w:val="26"/>
          <w:szCs w:val="26"/>
        </w:rPr>
        <mc:AlternateContent>
          <mc:Choice Requires="wps">
            <w:drawing>
              <wp:anchor distT="0" distB="0" distL="114300" distR="114300" simplePos="0" relativeHeight="251676672" behindDoc="0" locked="0" layoutInCell="1" allowOverlap="1">
                <wp:simplePos x="0" y="0"/>
                <wp:positionH relativeFrom="column">
                  <wp:posOffset>713740</wp:posOffset>
                </wp:positionH>
                <wp:positionV relativeFrom="paragraph">
                  <wp:posOffset>137160</wp:posOffset>
                </wp:positionV>
                <wp:extent cx="885825" cy="483235"/>
                <wp:effectExtent l="4445" t="5080" r="5080" b="6985"/>
                <wp:wrapNone/>
                <wp:docPr id="35" name="矩形 35"/>
                <wp:cNvGraphicFramePr/>
                <a:graphic xmlns:a="http://schemas.openxmlformats.org/drawingml/2006/main">
                  <a:graphicData uri="http://schemas.microsoft.com/office/word/2010/wordprocessingShape">
                    <wps:wsp>
                      <wps:cNvSpPr/>
                      <wps:spPr>
                        <a:xfrm>
                          <a:off x="0" y="0"/>
                          <a:ext cx="885825" cy="483235"/>
                        </a:xfrm>
                        <a:prstGeom prst="rect">
                          <a:avLst/>
                        </a:prstGeom>
                        <a:solidFill>
                          <a:srgbClr val="92D050"/>
                        </a:solidFill>
                        <a:ln w="9525" cap="flat" cmpd="sng">
                          <a:solidFill>
                            <a:srgbClr val="000000"/>
                          </a:solidFill>
                          <a:prstDash val="solid"/>
                          <a:miter/>
                          <a:headEnd type="none" w="med" len="med"/>
                          <a:tailEnd type="none" w="med" len="med"/>
                        </a:ln>
                      </wps:spPr>
                      <wps:txbx>
                        <w:txbxContent>
                          <w:p w14:paraId="3569AB30">
                            <w:pPr>
                              <w:jc w:val="center"/>
                              <w:rPr>
                                <w:rFonts w:hint="eastAsia" w:ascii="Arial" w:cs="Arial"/>
                              </w:rPr>
                            </w:pPr>
                            <w:r>
                              <w:rPr>
                                <w:rFonts w:hint="eastAsia" w:ascii="Arial" w:cs="Arial"/>
                              </w:rPr>
                              <w:t>弃水量</w:t>
                            </w:r>
                          </w:p>
                          <w:p w14:paraId="7046EBBA">
                            <w:pPr>
                              <w:jc w:val="center"/>
                              <w:rPr>
                                <w:rFonts w:ascii="Arial" w:hAnsi="Arial" w:cs="Arial"/>
                              </w:rPr>
                            </w:pPr>
                            <w:r>
                              <w:rPr>
                                <w:rFonts w:hint="eastAsia" w:ascii="Arial" w:cs="Arial"/>
                                <w:lang w:val="en-US" w:eastAsia="zh-CN"/>
                              </w:rPr>
                              <w:t>12.97</w:t>
                            </w:r>
                            <w:r>
                              <w:rPr>
                                <w:rFonts w:hint="eastAsia" w:ascii="Arial" w:cs="Arial"/>
                              </w:rPr>
                              <w:t>万m</w:t>
                            </w:r>
                            <w:r>
                              <w:rPr>
                                <w:rFonts w:hint="eastAsia" w:ascii="Arial" w:cs="Arial"/>
                                <w:vertAlign w:val="superscript"/>
                              </w:rPr>
                              <w:t>3</w:t>
                            </w:r>
                          </w:p>
                        </w:txbxContent>
                      </wps:txbx>
                      <wps:bodyPr upright="1"/>
                    </wps:wsp>
                  </a:graphicData>
                </a:graphic>
              </wp:anchor>
            </w:drawing>
          </mc:Choice>
          <mc:Fallback>
            <w:pict>
              <v:rect id="_x0000_s1026" o:spid="_x0000_s1026" o:spt="1" style="position:absolute;left:0pt;margin-left:56.2pt;margin-top:10.8pt;height:38.05pt;width:69.75pt;z-index:251676672;mso-width-relative:page;mso-height-relative:page;" fillcolor="#92D050" filled="t" stroked="t" coordsize="21600,21600" o:gfxdata="UEsDBAoAAAAAAIdO4kAAAAAAAAAAAAAAAAAEAAAAZHJzL1BLAwQUAAAACACHTuJAnXxBBNgAAAAJ&#10;AQAADwAAAGRycy9kb3ducmV2LnhtbE2Py07DMBBF90j8gzVI7KjjiCRtiNMFEqIrEC0sunOTIU6I&#10;x1HsPvh7hhUsr+bo3jPV+uJGccI59J40qEUCAqnxbU+dhvfd090SRIiGWjN6Qg3fGGBdX19Vpmz9&#10;md7wtI2d4BIKpdFgY5xKKUNj0Zmw8BMS3z797EzkOHeync2Zy90o0yTJpTM98YI1Ez5abL62R6dh&#10;iNlQqHyQxX6TPe/Ch9zYl1etb29U8gAi4iX+wfCrz+pQs9PBH6kNYuSs0ntGNaQqB8FAmqkViIOG&#10;VVGArCv5/4P6B1BLAwQUAAAACACHTuJAf55nkAMCAAAqBAAADgAAAGRycy9lMm9Eb2MueG1srVPN&#10;jtMwEL4j8Q6W7zRplqISNd0DYbkgWGnhAVzbSSz5Tx63SZ8GiRsPweMgXoOxU7q75dIDPaRje/zN&#10;930z3txORpODDKCcbehyUVIiLXdC2b6hX7/cvVpTApFZwbSzsqFHCfR2+/LFZvS1rNzgtJCBIIiF&#10;evQNHWL0dVEAH6RhsHBeWjzsXDAs4jL0hQhsRHSji6os3xSjC8IHxyUA7rbzIT0hhmsAXdcpLlvH&#10;90baOKMGqVlESTAoD3Sb2Xad5PFz14GMRDcUlcb8xSIY79K32G5Y3QfmB8VPFNg1FC40GaYsFj1D&#10;tSwysg/qHyijeHDgurjgzhSzkOwIqliWF948DMzLrAWtBn82Hf4fLP90uA9EiYberCixzGDHf3/7&#10;8evnd4Ib6M7oocakB38fTivAMEmdumDSP4ogU3b0eHZUTpFw3FyvV+sKgTkevV7fVDNm8XjZB4gf&#10;pDMkBQ0N2LDsIzt8hIgFMfVvSqoFTitxp7TOi9Dv3ulADgyb+7Zqy1XuJ155lqYtGfF8lXkwnNgO&#10;JwUpGY+qwfa53rMb8BS4zL9kxSVwItYyGGYCGWGeJ6OiTG6xepBMvLeCxKNHYy0+KJrIGCko0RLf&#10;X4pyZmRKX5OJJLRFLqkvcydSFKfdhDAp3DlxxJbufVD9gJYuM/V0giOURZzGPc3o03UGfXzi2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fEEE2AAAAAkBAAAPAAAAAAAAAAEAIAAAACIAAABkcnMv&#10;ZG93bnJldi54bWxQSwECFAAUAAAACACHTuJAf55nkAMCAAAqBAAADgAAAAAAAAABACAAAAAnAQAA&#10;ZHJzL2Uyb0RvYy54bWxQSwUGAAAAAAYABgBZAQAAnAUAAAAA&#10;">
                <v:fill on="t" focussize="0,0"/>
                <v:stroke color="#000000" joinstyle="miter"/>
                <v:imagedata o:title=""/>
                <o:lock v:ext="edit" aspectratio="f"/>
                <v:textbox>
                  <w:txbxContent>
                    <w:p w14:paraId="3569AB30">
                      <w:pPr>
                        <w:jc w:val="center"/>
                        <w:rPr>
                          <w:rFonts w:hint="eastAsia" w:ascii="Arial" w:cs="Arial"/>
                        </w:rPr>
                      </w:pPr>
                      <w:r>
                        <w:rPr>
                          <w:rFonts w:hint="eastAsia" w:ascii="Arial" w:cs="Arial"/>
                        </w:rPr>
                        <w:t>弃水量</w:t>
                      </w:r>
                    </w:p>
                    <w:p w14:paraId="7046EBBA">
                      <w:pPr>
                        <w:jc w:val="center"/>
                        <w:rPr>
                          <w:rFonts w:ascii="Arial" w:hAnsi="Arial" w:cs="Arial"/>
                        </w:rPr>
                      </w:pPr>
                      <w:r>
                        <w:rPr>
                          <w:rFonts w:hint="eastAsia" w:ascii="Arial" w:cs="Arial"/>
                          <w:lang w:val="en-US" w:eastAsia="zh-CN"/>
                        </w:rPr>
                        <w:t>12.97</w:t>
                      </w:r>
                      <w:r>
                        <w:rPr>
                          <w:rFonts w:hint="eastAsia" w:ascii="Arial" w:cs="Arial"/>
                        </w:rPr>
                        <w:t>万m</w:t>
                      </w:r>
                      <w:r>
                        <w:rPr>
                          <w:rFonts w:hint="eastAsia" w:ascii="Arial" w:cs="Arial"/>
                          <w:vertAlign w:val="superscript"/>
                        </w:rPr>
                        <w:t>3</w:t>
                      </w:r>
                    </w:p>
                  </w:txbxContent>
                </v:textbox>
              </v:rect>
            </w:pict>
          </mc:Fallback>
        </mc:AlternateContent>
      </w:r>
      <w:r>
        <w:rPr>
          <w:rFonts w:hint="eastAsia" w:ascii="Arial" w:hAnsi="宋体" w:cs="Arial"/>
          <w:sz w:val="26"/>
          <w:szCs w:val="26"/>
        </w:rPr>
        <mc:AlternateContent>
          <mc:Choice Requires="wps">
            <w:drawing>
              <wp:anchor distT="0" distB="0" distL="114300" distR="114300" simplePos="0" relativeHeight="251671552" behindDoc="0" locked="0" layoutInCell="1" allowOverlap="1">
                <wp:simplePos x="0" y="0"/>
                <wp:positionH relativeFrom="column">
                  <wp:posOffset>1899920</wp:posOffset>
                </wp:positionH>
                <wp:positionV relativeFrom="paragraph">
                  <wp:posOffset>137160</wp:posOffset>
                </wp:positionV>
                <wp:extent cx="914400" cy="483235"/>
                <wp:effectExtent l="4445" t="4445" r="14605" b="7620"/>
                <wp:wrapNone/>
                <wp:docPr id="30" name="矩形 30"/>
                <wp:cNvGraphicFramePr/>
                <a:graphic xmlns:a="http://schemas.openxmlformats.org/drawingml/2006/main">
                  <a:graphicData uri="http://schemas.microsoft.com/office/word/2010/wordprocessingShape">
                    <wps:wsp>
                      <wps:cNvSpPr/>
                      <wps:spPr>
                        <a:xfrm>
                          <a:off x="0" y="0"/>
                          <a:ext cx="914400" cy="483235"/>
                        </a:xfrm>
                        <a:prstGeom prst="rect">
                          <a:avLst/>
                        </a:prstGeom>
                        <a:solidFill>
                          <a:srgbClr val="92D050"/>
                        </a:solidFill>
                        <a:ln w="9525" cap="flat" cmpd="sng">
                          <a:solidFill>
                            <a:srgbClr val="000000"/>
                          </a:solidFill>
                          <a:prstDash val="solid"/>
                          <a:miter/>
                          <a:headEnd type="none" w="med" len="med"/>
                          <a:tailEnd type="none" w="med" len="med"/>
                        </a:ln>
                      </wps:spPr>
                      <wps:txbx>
                        <w:txbxContent>
                          <w:p w14:paraId="4761FCBD">
                            <w:pPr>
                              <w:jc w:val="center"/>
                              <w:rPr>
                                <w:rFonts w:hint="eastAsia" w:ascii="Arial" w:cs="Arial"/>
                              </w:rPr>
                            </w:pPr>
                            <w:r>
                              <w:rPr>
                                <w:rFonts w:hint="eastAsia" w:ascii="Arial" w:cs="Arial"/>
                              </w:rPr>
                              <w:t>农灌用水</w:t>
                            </w:r>
                          </w:p>
                          <w:p w14:paraId="6E2DAFA0">
                            <w:pPr>
                              <w:jc w:val="center"/>
                              <w:rPr>
                                <w:rFonts w:ascii="Arial" w:hAnsi="Arial" w:cs="Arial"/>
                              </w:rPr>
                            </w:pPr>
                            <w:r>
                              <w:rPr>
                                <w:rFonts w:hint="eastAsia" w:ascii="Arial" w:cs="Arial"/>
                                <w:lang w:val="en-US" w:eastAsia="zh-CN"/>
                              </w:rPr>
                              <w:t>57.5</w:t>
                            </w:r>
                            <w:r>
                              <w:rPr>
                                <w:rFonts w:hint="eastAsia" w:ascii="Arial" w:cs="Arial"/>
                              </w:rPr>
                              <w:t>万m</w:t>
                            </w:r>
                            <w:r>
                              <w:rPr>
                                <w:rFonts w:hint="eastAsia" w:ascii="Arial" w:cs="Arial"/>
                                <w:vertAlign w:val="superscript"/>
                              </w:rPr>
                              <w:t>3</w:t>
                            </w:r>
                          </w:p>
                        </w:txbxContent>
                      </wps:txbx>
                      <wps:bodyPr upright="1"/>
                    </wps:wsp>
                  </a:graphicData>
                </a:graphic>
              </wp:anchor>
            </w:drawing>
          </mc:Choice>
          <mc:Fallback>
            <w:pict>
              <v:rect id="_x0000_s1026" o:spid="_x0000_s1026" o:spt="1" style="position:absolute;left:0pt;margin-left:149.6pt;margin-top:10.8pt;height:38.05pt;width:72pt;z-index:251671552;mso-width-relative:page;mso-height-relative:page;" fillcolor="#92D050" filled="t" stroked="t" coordsize="21600,21600" o:gfxdata="UEsDBAoAAAAAAIdO4kAAAAAAAAAAAAAAAAAEAAAAZHJzL1BLAwQUAAAACACHTuJAMZ2BsNgAAAAJ&#10;AQAADwAAAGRycy9kb3ducmV2LnhtbE2PPU/DMBCGdyT+g3VIbNRJaBMS4nRAQnQC0cLA5sZHnBCf&#10;o9j94N9zTLDdx6P3nqvXZzeKI86h96QgXSQgkFpveuoUvO0eb+5AhKjJ6NETKvjGAOvm8qLWlfEn&#10;esXjNnaCQyhUWoGNcaqkDK1Fp8PCT0i8+/Sz05HbuZNm1icOd6PMkiSXTvfEF6ye8MFi+7U9OAVD&#10;XA1Fmg+y+NisnnbhXW7s84tS11dpcg8i4jn+wfCrz+rQsNPeH8gEMSrIyjJjlIs0B8HAcnnLg72C&#10;sihANrX8/0HzA1BLAwQUAAAACACHTuJAQiFwXQUCAAAqBAAADgAAAGRycy9lMm9Eb2MueG1srVNL&#10;jtQwEN0jcQfLezrpH5qJOj0LmmGDYKSBA7htJ7Hkn1zuTvo0SOw4BMdBXIOyE3qmh00vyCIpuyrP&#10;770qb+4Go8lRBlDO1nQ+KymRljuhbFvTr1/u39xQApFZwbSzsqYnCfRu+/rVpveVXLjOaSEDQRAL&#10;Ve9r2sXoq6IA3knDYOa8tJhsXDAs4jK0hQisR3Sji0VZvi16F4QPjksA3N2NSTohhmsAXdMoLneO&#10;H4y0cUQNUrOIkqBTHug2s20ayePnpgEZia4pKo35jYdgvE/vYrthVRuY7xSfKLBrKLzQZJiyeOgZ&#10;asciI4eg/oEyigcHrokz7kwxCsmOoIp5+cKbx455mbWg1eDPpsP/g+Wfjg+BKFHTJVpimcGO//72&#10;49fP7wQ30J3eQ4VFj/4hTCvAMEkdmmDSF0WQITt6Ojsqh0g4bt7OV6sSgTmmVjfLxXKdMIunn32A&#10;+EE6Q1JQ04ANyz6y40eIY+nfknQWOK3EvdI6L0K7f6cDOTJs7u1iV64zY0S/KNOW9JhfL9bIg+HE&#10;NjgpGBqPqsG2+byLP+A5cJmfifZFWSK2Y9CNBHIqlbHKqCiTW6zqJBPvrSDx5NFYixeKJjJGCkq0&#10;xPuXolwZmdLXVKI6bdHC1JexEymKw35AmBTunThhSw8+qLZDS+eZesrgCGXvp3FPM/p8nUGfrvj2&#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GdgbDYAAAACQEAAA8AAAAAAAAAAQAgAAAAIgAAAGRy&#10;cy9kb3ducmV2LnhtbFBLAQIUABQAAAAIAIdO4kBCIXBdBQIAACoEAAAOAAAAAAAAAAEAIAAAACcB&#10;AABkcnMvZTJvRG9jLnhtbFBLBQYAAAAABgAGAFkBAACeBQAAAAA=&#10;">
                <v:fill on="t" focussize="0,0"/>
                <v:stroke color="#000000" joinstyle="miter"/>
                <v:imagedata o:title=""/>
                <o:lock v:ext="edit" aspectratio="f"/>
                <v:textbox>
                  <w:txbxContent>
                    <w:p w14:paraId="4761FCBD">
                      <w:pPr>
                        <w:jc w:val="center"/>
                        <w:rPr>
                          <w:rFonts w:hint="eastAsia" w:ascii="Arial" w:cs="Arial"/>
                        </w:rPr>
                      </w:pPr>
                      <w:r>
                        <w:rPr>
                          <w:rFonts w:hint="eastAsia" w:ascii="Arial" w:cs="Arial"/>
                        </w:rPr>
                        <w:t>农灌用水</w:t>
                      </w:r>
                    </w:p>
                    <w:p w14:paraId="6E2DAFA0">
                      <w:pPr>
                        <w:jc w:val="center"/>
                        <w:rPr>
                          <w:rFonts w:ascii="Arial" w:hAnsi="Arial" w:cs="Arial"/>
                        </w:rPr>
                      </w:pPr>
                      <w:r>
                        <w:rPr>
                          <w:rFonts w:hint="eastAsia" w:ascii="Arial" w:cs="Arial"/>
                          <w:lang w:val="en-US" w:eastAsia="zh-CN"/>
                        </w:rPr>
                        <w:t>57.5</w:t>
                      </w:r>
                      <w:r>
                        <w:rPr>
                          <w:rFonts w:hint="eastAsia" w:ascii="Arial" w:cs="Arial"/>
                        </w:rPr>
                        <w:t>万m</w:t>
                      </w:r>
                      <w:r>
                        <w:rPr>
                          <w:rFonts w:hint="eastAsia" w:ascii="Arial" w:cs="Arial"/>
                          <w:vertAlign w:val="superscript"/>
                        </w:rPr>
                        <w:t>3</w:t>
                      </w:r>
                    </w:p>
                  </w:txbxContent>
                </v:textbox>
              </v:rect>
            </w:pict>
          </mc:Fallback>
        </mc:AlternateContent>
      </w:r>
    </w:p>
    <w:p w14:paraId="4AA15D00">
      <w:pPr>
        <w:spacing w:line="440" w:lineRule="exact"/>
        <w:ind w:firstLine="520" w:firstLineChars="200"/>
        <w:rPr>
          <w:rFonts w:hint="eastAsia" w:ascii="Arial" w:hAnsi="宋体" w:cs="Arial"/>
          <w:sz w:val="26"/>
          <w:szCs w:val="26"/>
        </w:rPr>
      </w:pPr>
    </w:p>
    <w:p w14:paraId="25FD4D94">
      <w:pPr>
        <w:spacing w:line="240" w:lineRule="exact"/>
        <w:ind w:firstLine="520" w:firstLineChars="200"/>
        <w:rPr>
          <w:rFonts w:hint="eastAsia" w:ascii="Arial" w:hAnsi="宋体" w:cs="Arial"/>
          <w:sz w:val="26"/>
          <w:szCs w:val="26"/>
        </w:rPr>
      </w:pPr>
    </w:p>
    <w:p w14:paraId="006CD029">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宋体" w:cs="Arial"/>
          <w:b/>
          <w:color w:val="auto"/>
          <w:sz w:val="26"/>
          <w:szCs w:val="26"/>
        </w:rPr>
      </w:pPr>
      <w:r>
        <w:rPr>
          <w:rFonts w:hint="eastAsia" w:ascii="Arial" w:hAnsi="宋体" w:cs="Arial"/>
          <w:b/>
          <w:color w:val="auto"/>
          <w:sz w:val="26"/>
          <w:szCs w:val="26"/>
        </w:rPr>
        <w:t>图2.</w:t>
      </w:r>
      <w:r>
        <w:rPr>
          <w:rFonts w:hint="eastAsia" w:ascii="Arial" w:hAnsi="宋体" w:cs="Arial"/>
          <w:b/>
          <w:color w:val="auto"/>
          <w:sz w:val="26"/>
          <w:szCs w:val="26"/>
          <w:lang w:val="en-US" w:eastAsia="zh-CN"/>
        </w:rPr>
        <w:t>2</w:t>
      </w:r>
      <w:r>
        <w:rPr>
          <w:rFonts w:hint="eastAsia" w:ascii="Arial" w:hAnsi="宋体" w:cs="Arial"/>
          <w:b/>
          <w:color w:val="auto"/>
          <w:sz w:val="26"/>
          <w:szCs w:val="26"/>
        </w:rPr>
        <w:t xml:space="preserve">-1 </w:t>
      </w:r>
      <w:r>
        <w:rPr>
          <w:rFonts w:hint="eastAsia" w:ascii="Arial" w:hAnsi="宋体" w:cs="Arial"/>
          <w:b/>
          <w:color w:val="auto"/>
          <w:sz w:val="26"/>
          <w:szCs w:val="26"/>
          <w:lang w:eastAsia="zh-CN"/>
        </w:rPr>
        <w:t>海螺沟</w:t>
      </w:r>
      <w:r>
        <w:rPr>
          <w:rFonts w:hint="eastAsia" w:ascii="Arial" w:hAnsi="宋体" w:cs="Arial"/>
          <w:b/>
          <w:color w:val="auto"/>
          <w:sz w:val="26"/>
          <w:szCs w:val="26"/>
        </w:rPr>
        <w:t>水库运营期水量平衡图</w:t>
      </w:r>
    </w:p>
    <w:p w14:paraId="1372DD78">
      <w:pPr>
        <w:spacing w:line="480" w:lineRule="exact"/>
        <w:ind w:firstLine="392" w:firstLineChars="150"/>
        <w:rPr>
          <w:rFonts w:hint="eastAsia" w:ascii="Arial" w:hAnsi="Arial" w:eastAsia="宋体" w:cs="Arial"/>
          <w:b/>
          <w:sz w:val="26"/>
          <w:szCs w:val="26"/>
          <w:lang w:eastAsia="zh-CN"/>
        </w:rPr>
      </w:pPr>
      <w:r>
        <w:rPr>
          <w:rFonts w:hint="eastAsia" w:ascii="Arial" w:hAnsi="Arial" w:cs="Arial"/>
          <w:b/>
          <w:sz w:val="26"/>
          <w:szCs w:val="26"/>
        </w:rPr>
        <w:t>（</w:t>
      </w:r>
      <w:r>
        <w:rPr>
          <w:rFonts w:hint="eastAsia" w:ascii="Arial" w:hAnsi="Arial" w:cs="Arial"/>
          <w:b/>
          <w:sz w:val="26"/>
          <w:szCs w:val="26"/>
          <w:lang w:val="en-US" w:eastAsia="zh-CN"/>
        </w:rPr>
        <w:t>2</w:t>
      </w:r>
      <w:r>
        <w:rPr>
          <w:rFonts w:hint="eastAsia" w:ascii="Arial" w:hAnsi="Arial" w:cs="Arial"/>
          <w:b/>
          <w:sz w:val="26"/>
          <w:szCs w:val="26"/>
        </w:rPr>
        <w:t>）</w:t>
      </w:r>
      <w:r>
        <w:rPr>
          <w:rFonts w:hint="eastAsia" w:ascii="Arial" w:hAnsi="Arial" w:cs="Arial"/>
          <w:b/>
          <w:sz w:val="26"/>
          <w:szCs w:val="26"/>
          <w:lang w:eastAsia="zh-CN"/>
        </w:rPr>
        <w:t>水库规模</w:t>
      </w:r>
    </w:p>
    <w:p w14:paraId="59EFE7D8">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sz w:val="26"/>
          <w:szCs w:val="26"/>
        </w:rPr>
      </w:pPr>
      <w:r>
        <w:rPr>
          <w:rFonts w:hint="default" w:ascii="Arial" w:hAnsi="Arial" w:cs="Arial"/>
          <w:bCs/>
          <w:sz w:val="26"/>
          <w:szCs w:val="26"/>
          <w:lang w:val="en-US" w:eastAsia="zh-CN"/>
        </w:rPr>
        <w:t>海螺沟水库为小（2）型水库，</w:t>
      </w:r>
      <w:r>
        <w:rPr>
          <w:rFonts w:hint="default" w:ascii="Arial" w:hAnsi="Arial" w:cs="Arial"/>
          <w:sz w:val="26"/>
          <w:szCs w:val="26"/>
        </w:rPr>
        <w:t>正常蓄水位为420.0m，相应库容65.36万m</w:t>
      </w:r>
      <w:r>
        <w:rPr>
          <w:rFonts w:hint="default" w:ascii="Arial" w:hAnsi="Arial" w:cs="Arial"/>
          <w:sz w:val="26"/>
          <w:szCs w:val="26"/>
          <w:vertAlign w:val="superscript"/>
        </w:rPr>
        <w:t>3</w:t>
      </w:r>
      <w:r>
        <w:rPr>
          <w:rFonts w:hint="eastAsia" w:ascii="Arial" w:hAnsi="Arial" w:cs="Arial"/>
          <w:sz w:val="26"/>
          <w:szCs w:val="26"/>
          <w:lang w:eastAsia="zh-CN"/>
        </w:rPr>
        <w:t>；</w:t>
      </w:r>
      <w:r>
        <w:rPr>
          <w:rFonts w:hint="default" w:ascii="Arial" w:hAnsi="Arial" w:cs="Arial"/>
          <w:sz w:val="26"/>
          <w:szCs w:val="26"/>
        </w:rPr>
        <w:t>死水位407.5m，死库容5.62万m</w:t>
      </w:r>
      <w:r>
        <w:rPr>
          <w:rFonts w:hint="default" w:ascii="Arial" w:hAnsi="Arial" w:cs="Arial"/>
          <w:sz w:val="26"/>
          <w:szCs w:val="26"/>
          <w:vertAlign w:val="superscript"/>
        </w:rPr>
        <w:t>3</w:t>
      </w:r>
      <w:r>
        <w:rPr>
          <w:rFonts w:hint="eastAsia" w:ascii="Arial" w:hAnsi="Arial" w:cs="Arial"/>
          <w:sz w:val="26"/>
          <w:szCs w:val="26"/>
          <w:lang w:eastAsia="zh-CN"/>
        </w:rPr>
        <w:t>；</w:t>
      </w:r>
      <w:r>
        <w:rPr>
          <w:rFonts w:hint="default" w:ascii="Arial" w:hAnsi="Arial" w:cs="Arial"/>
          <w:sz w:val="26"/>
          <w:szCs w:val="26"/>
        </w:rPr>
        <w:t>调节库容59.74万m</w:t>
      </w:r>
      <w:r>
        <w:rPr>
          <w:rFonts w:hint="default" w:ascii="Arial" w:hAnsi="Arial" w:cs="Arial"/>
          <w:sz w:val="26"/>
          <w:szCs w:val="26"/>
          <w:vertAlign w:val="superscript"/>
        </w:rPr>
        <w:t>3</w:t>
      </w:r>
      <w:r>
        <w:rPr>
          <w:rFonts w:hint="eastAsia" w:ascii="Arial" w:hAnsi="Arial" w:cs="Arial"/>
          <w:sz w:val="26"/>
          <w:szCs w:val="26"/>
          <w:vertAlign w:val="baseline"/>
          <w:lang w:eastAsia="zh-CN"/>
        </w:rPr>
        <w:t>，水库回水总长</w:t>
      </w:r>
      <w:r>
        <w:rPr>
          <w:rFonts w:hint="eastAsia" w:ascii="Arial" w:hAnsi="Arial" w:cs="Arial"/>
          <w:sz w:val="26"/>
          <w:szCs w:val="26"/>
          <w:vertAlign w:val="baseline"/>
          <w:lang w:val="en-US" w:eastAsia="zh-CN"/>
        </w:rPr>
        <w:t>0.55km</w:t>
      </w:r>
      <w:r>
        <w:rPr>
          <w:rFonts w:hint="eastAsia" w:ascii="Arial" w:hAnsi="Arial" w:cs="Arial"/>
          <w:sz w:val="26"/>
          <w:szCs w:val="26"/>
          <w:lang w:eastAsia="zh-CN"/>
        </w:rPr>
        <w:t>；</w:t>
      </w:r>
      <w:r>
        <w:rPr>
          <w:rFonts w:hint="default" w:ascii="Arial" w:hAnsi="Arial" w:cs="Arial"/>
          <w:sz w:val="26"/>
          <w:szCs w:val="26"/>
        </w:rPr>
        <w:t>校核洪水位421.78m，总库容80.51万m</w:t>
      </w:r>
      <w:r>
        <w:rPr>
          <w:rFonts w:hint="default" w:ascii="Arial" w:hAnsi="Arial" w:cs="Arial"/>
          <w:sz w:val="26"/>
          <w:szCs w:val="26"/>
          <w:vertAlign w:val="superscript"/>
        </w:rPr>
        <w:t>3</w:t>
      </w:r>
      <w:r>
        <w:rPr>
          <w:rFonts w:hint="default" w:ascii="Arial" w:hAnsi="Arial" w:cs="Arial"/>
          <w:sz w:val="26"/>
          <w:szCs w:val="26"/>
        </w:rPr>
        <w:t>。多年平均总供水量76.28万m</w:t>
      </w:r>
      <w:r>
        <w:rPr>
          <w:rFonts w:hint="default" w:ascii="Arial" w:hAnsi="Arial" w:cs="Arial"/>
          <w:sz w:val="26"/>
          <w:szCs w:val="26"/>
          <w:vertAlign w:val="superscript"/>
        </w:rPr>
        <w:t>3</w:t>
      </w:r>
      <w:r>
        <w:rPr>
          <w:rFonts w:hint="default" w:ascii="Arial" w:hAnsi="Arial" w:cs="Arial"/>
          <w:sz w:val="26"/>
          <w:szCs w:val="26"/>
        </w:rPr>
        <w:t>，</w:t>
      </w:r>
      <w:r>
        <w:rPr>
          <w:rFonts w:hint="default" w:ascii="Arial" w:hAnsi="Arial" w:cs="Arial"/>
          <w:kern w:val="0"/>
          <w:sz w:val="26"/>
          <w:szCs w:val="26"/>
        </w:rPr>
        <w:t>渠首设计总流量为</w:t>
      </w:r>
      <w:r>
        <w:rPr>
          <w:rFonts w:hint="default" w:ascii="Arial" w:hAnsi="Arial" w:cs="Arial"/>
          <w:sz w:val="26"/>
          <w:szCs w:val="26"/>
        </w:rPr>
        <w:t>0.1</w:t>
      </w:r>
      <w:r>
        <w:rPr>
          <w:rFonts w:hint="eastAsia" w:ascii="Arial" w:hAnsi="Arial" w:cs="Arial"/>
          <w:sz w:val="26"/>
          <w:szCs w:val="26"/>
          <w:lang w:val="en-US" w:eastAsia="zh-CN"/>
        </w:rPr>
        <w:t>124</w:t>
      </w:r>
      <w:r>
        <w:rPr>
          <w:rFonts w:hint="default" w:ascii="Arial" w:hAnsi="Arial" w:cs="Arial"/>
          <w:sz w:val="26"/>
          <w:szCs w:val="26"/>
        </w:rPr>
        <w:t>m</w:t>
      </w:r>
      <w:r>
        <w:rPr>
          <w:rFonts w:hint="default" w:ascii="Arial" w:hAnsi="Arial" w:cs="Arial"/>
          <w:sz w:val="26"/>
          <w:szCs w:val="26"/>
          <w:vertAlign w:val="superscript"/>
        </w:rPr>
        <w:t>3</w:t>
      </w:r>
      <w:r>
        <w:rPr>
          <w:rFonts w:hint="default" w:ascii="Arial" w:hAnsi="Arial" w:cs="Arial"/>
          <w:sz w:val="26"/>
          <w:szCs w:val="26"/>
        </w:rPr>
        <w:t>/s，其中供水流量0.0087m</w:t>
      </w:r>
      <w:r>
        <w:rPr>
          <w:rFonts w:hint="default" w:ascii="Arial" w:hAnsi="Arial" w:cs="Arial"/>
          <w:sz w:val="26"/>
          <w:szCs w:val="26"/>
          <w:vertAlign w:val="superscript"/>
        </w:rPr>
        <w:t>3</w:t>
      </w:r>
      <w:r>
        <w:rPr>
          <w:rFonts w:hint="default" w:ascii="Arial" w:hAnsi="Arial" w:cs="Arial"/>
          <w:sz w:val="26"/>
          <w:szCs w:val="26"/>
        </w:rPr>
        <w:t>/s，灌溉流量0.0987m</w:t>
      </w:r>
      <w:r>
        <w:rPr>
          <w:rFonts w:hint="default" w:ascii="Arial" w:hAnsi="Arial" w:cs="Arial"/>
          <w:sz w:val="26"/>
          <w:szCs w:val="26"/>
          <w:vertAlign w:val="superscript"/>
        </w:rPr>
        <w:t>3</w:t>
      </w:r>
      <w:r>
        <w:rPr>
          <w:rFonts w:hint="default" w:ascii="Arial" w:hAnsi="Arial" w:cs="Arial"/>
          <w:sz w:val="26"/>
          <w:szCs w:val="26"/>
        </w:rPr>
        <w:t>/s</w:t>
      </w:r>
      <w:r>
        <w:rPr>
          <w:rFonts w:hint="eastAsia" w:ascii="Arial" w:hAnsi="Arial" w:cs="Arial"/>
          <w:sz w:val="26"/>
          <w:szCs w:val="26"/>
          <w:lang w:eastAsia="zh-CN"/>
        </w:rPr>
        <w:t>；</w:t>
      </w:r>
      <w:r>
        <w:rPr>
          <w:rFonts w:hint="default" w:ascii="Arial" w:hAnsi="Arial" w:cs="Arial"/>
          <w:sz w:val="26"/>
          <w:szCs w:val="26"/>
        </w:rPr>
        <w:t>生态放水流量0.00</w:t>
      </w:r>
      <w:r>
        <w:rPr>
          <w:rFonts w:hint="eastAsia" w:ascii="Arial" w:hAnsi="Arial" w:cs="Arial"/>
          <w:sz w:val="26"/>
          <w:szCs w:val="26"/>
          <w:lang w:val="en-US" w:eastAsia="zh-CN"/>
        </w:rPr>
        <w:t>5</w:t>
      </w:r>
      <w:r>
        <w:rPr>
          <w:rFonts w:hint="default" w:ascii="Arial" w:hAnsi="Arial" w:cs="Arial"/>
          <w:sz w:val="26"/>
          <w:szCs w:val="26"/>
        </w:rPr>
        <w:t>m</w:t>
      </w:r>
      <w:r>
        <w:rPr>
          <w:rFonts w:hint="default" w:ascii="Arial" w:hAnsi="Arial" w:cs="Arial"/>
          <w:sz w:val="26"/>
          <w:szCs w:val="26"/>
          <w:vertAlign w:val="superscript"/>
        </w:rPr>
        <w:t>3</w:t>
      </w:r>
      <w:r>
        <w:rPr>
          <w:rFonts w:hint="default" w:ascii="Arial" w:hAnsi="Arial" w:cs="Arial"/>
          <w:sz w:val="26"/>
          <w:szCs w:val="26"/>
        </w:rPr>
        <w:t>/s。</w:t>
      </w:r>
      <w:r>
        <w:rPr>
          <w:rFonts w:hint="eastAsia" w:ascii="Arial" w:hAnsi="Arial" w:cs="Arial"/>
          <w:bCs/>
          <w:sz w:val="26"/>
          <w:szCs w:val="26"/>
        </w:rPr>
        <w:t>水库规模特性详见表2.</w:t>
      </w:r>
      <w:r>
        <w:rPr>
          <w:rFonts w:hint="eastAsia" w:ascii="Arial" w:hAnsi="Arial" w:cs="Arial"/>
          <w:bCs/>
          <w:sz w:val="26"/>
          <w:szCs w:val="26"/>
          <w:lang w:val="en-US" w:eastAsia="zh-CN"/>
        </w:rPr>
        <w:t>2</w:t>
      </w:r>
      <w:r>
        <w:rPr>
          <w:rFonts w:hint="eastAsia" w:ascii="Arial" w:hAnsi="Arial" w:cs="Arial"/>
          <w:bCs/>
          <w:sz w:val="26"/>
          <w:szCs w:val="26"/>
        </w:rPr>
        <w:t>-2所示。</w:t>
      </w:r>
    </w:p>
    <w:p w14:paraId="56144EBE">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宋体" w:cs="Arial"/>
          <w:b/>
          <w:color w:val="auto"/>
          <w:sz w:val="26"/>
          <w:szCs w:val="26"/>
          <w:lang w:eastAsia="zh-CN"/>
        </w:rPr>
      </w:pPr>
      <w:r>
        <w:rPr>
          <w:rFonts w:hint="eastAsia" w:ascii="Arial" w:hAnsi="宋体" w:cs="Arial"/>
          <w:b/>
          <w:color w:val="auto"/>
          <w:sz w:val="26"/>
          <w:szCs w:val="26"/>
          <w:lang w:eastAsia="zh-CN"/>
        </w:rPr>
        <w:t>表</w:t>
      </w:r>
      <w:r>
        <w:rPr>
          <w:rFonts w:hint="eastAsia" w:ascii="Arial" w:hAnsi="宋体" w:cs="Arial"/>
          <w:b/>
          <w:color w:val="auto"/>
          <w:sz w:val="26"/>
          <w:szCs w:val="26"/>
        </w:rPr>
        <w:t>2.</w:t>
      </w:r>
      <w:r>
        <w:rPr>
          <w:rFonts w:hint="eastAsia" w:ascii="Arial" w:hAnsi="宋体" w:cs="Arial"/>
          <w:b/>
          <w:color w:val="auto"/>
          <w:sz w:val="26"/>
          <w:szCs w:val="26"/>
          <w:lang w:val="en-US" w:eastAsia="zh-CN"/>
        </w:rPr>
        <w:t>2</w:t>
      </w:r>
      <w:r>
        <w:rPr>
          <w:rFonts w:hint="eastAsia" w:ascii="Arial" w:hAnsi="宋体" w:cs="Arial"/>
          <w:b/>
          <w:color w:val="auto"/>
          <w:sz w:val="26"/>
          <w:szCs w:val="26"/>
        </w:rPr>
        <w:t>-</w:t>
      </w:r>
      <w:r>
        <w:rPr>
          <w:rFonts w:hint="eastAsia" w:ascii="Arial" w:hAnsi="宋体" w:cs="Arial"/>
          <w:b/>
          <w:color w:val="auto"/>
          <w:sz w:val="26"/>
          <w:szCs w:val="26"/>
          <w:lang w:val="en-US" w:eastAsia="zh-CN"/>
        </w:rPr>
        <w:t>2</w:t>
      </w:r>
      <w:r>
        <w:rPr>
          <w:rFonts w:hint="eastAsia" w:ascii="Arial" w:hAnsi="宋体" w:cs="Arial"/>
          <w:b/>
          <w:color w:val="auto"/>
          <w:sz w:val="26"/>
          <w:szCs w:val="26"/>
        </w:rPr>
        <w:t xml:space="preserve"> </w:t>
      </w:r>
      <w:r>
        <w:rPr>
          <w:rFonts w:hint="eastAsia" w:ascii="Arial" w:hAnsi="宋体" w:cs="Arial"/>
          <w:b/>
          <w:color w:val="auto"/>
          <w:sz w:val="26"/>
          <w:szCs w:val="26"/>
          <w:lang w:eastAsia="zh-CN"/>
        </w:rPr>
        <w:t>海螺沟</w:t>
      </w:r>
      <w:r>
        <w:rPr>
          <w:rFonts w:hint="eastAsia" w:ascii="Arial" w:hAnsi="宋体" w:cs="Arial"/>
          <w:b/>
          <w:color w:val="auto"/>
          <w:sz w:val="26"/>
          <w:szCs w:val="26"/>
        </w:rPr>
        <w:t>水库</w:t>
      </w:r>
      <w:r>
        <w:rPr>
          <w:rFonts w:hint="eastAsia" w:ascii="Arial" w:hAnsi="宋体" w:cs="Arial"/>
          <w:b/>
          <w:color w:val="auto"/>
          <w:sz w:val="26"/>
          <w:szCs w:val="26"/>
          <w:lang w:eastAsia="zh-CN"/>
        </w:rPr>
        <w:t>规模特性表</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32"/>
        <w:gridCol w:w="1756"/>
        <w:gridCol w:w="1680"/>
        <w:gridCol w:w="2321"/>
      </w:tblGrid>
      <w:tr w14:paraId="0CF50F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132" w:type="dxa"/>
            <w:tcBorders>
              <w:bottom w:val="single" w:color="auto" w:sz="4" w:space="0"/>
              <w:right w:val="single" w:color="auto" w:sz="4" w:space="0"/>
            </w:tcBorders>
            <w:noWrap w:val="0"/>
            <w:vAlign w:val="center"/>
          </w:tcPr>
          <w:p w14:paraId="2B7ABD2D">
            <w:pPr>
              <w:spacing w:line="300" w:lineRule="exact"/>
              <w:jc w:val="center"/>
              <w:rPr>
                <w:rFonts w:ascii="Arial" w:hAnsi="Arial" w:cs="Arial"/>
                <w:sz w:val="22"/>
              </w:rPr>
            </w:pPr>
            <w:r>
              <w:rPr>
                <w:rFonts w:ascii="Arial" w:hAnsi="宋体" w:cs="Arial"/>
                <w:sz w:val="22"/>
              </w:rPr>
              <w:t>项目</w:t>
            </w:r>
          </w:p>
        </w:tc>
        <w:tc>
          <w:tcPr>
            <w:tcW w:w="1756" w:type="dxa"/>
            <w:tcBorders>
              <w:left w:val="single" w:color="auto" w:sz="4" w:space="0"/>
              <w:bottom w:val="single" w:color="auto" w:sz="4" w:space="0"/>
              <w:right w:val="single" w:color="auto" w:sz="4" w:space="0"/>
            </w:tcBorders>
            <w:noWrap w:val="0"/>
            <w:vAlign w:val="center"/>
          </w:tcPr>
          <w:p w14:paraId="1EEFE8A4">
            <w:pPr>
              <w:spacing w:line="300" w:lineRule="exact"/>
              <w:jc w:val="center"/>
              <w:rPr>
                <w:rFonts w:ascii="Arial" w:hAnsi="Arial" w:cs="Arial"/>
                <w:sz w:val="22"/>
              </w:rPr>
            </w:pPr>
            <w:r>
              <w:rPr>
                <w:rFonts w:ascii="Arial" w:hAnsi="宋体" w:cs="Arial"/>
                <w:sz w:val="22"/>
              </w:rPr>
              <w:t>水位（</w:t>
            </w:r>
            <w:r>
              <w:rPr>
                <w:rFonts w:ascii="Arial" w:hAnsi="Arial" w:cs="Arial"/>
                <w:sz w:val="22"/>
              </w:rPr>
              <w:t>m</w:t>
            </w:r>
            <w:r>
              <w:rPr>
                <w:rFonts w:ascii="Arial" w:hAnsi="宋体" w:cs="Arial"/>
                <w:sz w:val="22"/>
              </w:rPr>
              <w:t>）</w:t>
            </w:r>
          </w:p>
        </w:tc>
        <w:tc>
          <w:tcPr>
            <w:tcW w:w="1680" w:type="dxa"/>
            <w:tcBorders>
              <w:left w:val="single" w:color="auto" w:sz="4" w:space="0"/>
              <w:bottom w:val="single" w:color="auto" w:sz="4" w:space="0"/>
              <w:right w:val="single" w:color="auto" w:sz="4" w:space="0"/>
            </w:tcBorders>
            <w:noWrap w:val="0"/>
            <w:vAlign w:val="center"/>
          </w:tcPr>
          <w:p w14:paraId="30DB9953">
            <w:pPr>
              <w:spacing w:line="300" w:lineRule="exact"/>
              <w:jc w:val="center"/>
              <w:rPr>
                <w:rFonts w:ascii="Arial" w:hAnsi="Arial" w:cs="Arial"/>
                <w:sz w:val="22"/>
              </w:rPr>
            </w:pPr>
            <w:r>
              <w:rPr>
                <w:rFonts w:hint="eastAsia" w:ascii="Arial" w:hAnsi="宋体" w:cs="Arial"/>
                <w:sz w:val="22"/>
                <w:lang w:eastAsia="zh-CN"/>
              </w:rPr>
              <w:t>库容</w:t>
            </w:r>
            <w:r>
              <w:rPr>
                <w:rFonts w:ascii="Arial" w:hAnsi="宋体" w:cs="Arial"/>
                <w:sz w:val="22"/>
              </w:rPr>
              <w:t>（万</w:t>
            </w:r>
            <w:r>
              <w:rPr>
                <w:rFonts w:ascii="Arial" w:hAnsi="Arial" w:cs="Arial"/>
                <w:sz w:val="22"/>
              </w:rPr>
              <w:t>m</w:t>
            </w:r>
            <w:r>
              <w:rPr>
                <w:rFonts w:ascii="Arial" w:hAnsi="Arial" w:cs="Arial"/>
                <w:sz w:val="22"/>
                <w:vertAlign w:val="superscript"/>
              </w:rPr>
              <w:t>3</w:t>
            </w:r>
            <w:r>
              <w:rPr>
                <w:rFonts w:ascii="Arial" w:hAnsi="宋体" w:cs="Arial"/>
                <w:sz w:val="22"/>
              </w:rPr>
              <w:t>）</w:t>
            </w:r>
          </w:p>
        </w:tc>
        <w:tc>
          <w:tcPr>
            <w:tcW w:w="2321" w:type="dxa"/>
            <w:tcBorders>
              <w:left w:val="single" w:color="auto" w:sz="4" w:space="0"/>
              <w:bottom w:val="single" w:color="auto" w:sz="4" w:space="0"/>
            </w:tcBorders>
            <w:noWrap w:val="0"/>
            <w:vAlign w:val="center"/>
          </w:tcPr>
          <w:p w14:paraId="52109DE7">
            <w:pPr>
              <w:spacing w:line="300" w:lineRule="exact"/>
              <w:jc w:val="center"/>
              <w:rPr>
                <w:rFonts w:ascii="Arial" w:hAnsi="Arial" w:cs="Arial"/>
                <w:sz w:val="22"/>
              </w:rPr>
            </w:pPr>
            <w:r>
              <w:rPr>
                <w:rFonts w:ascii="Arial" w:hAnsi="宋体" w:cs="Arial"/>
                <w:sz w:val="22"/>
              </w:rPr>
              <w:t>备注</w:t>
            </w:r>
          </w:p>
        </w:tc>
      </w:tr>
      <w:tr w14:paraId="6E61B8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132" w:type="dxa"/>
            <w:tcBorders>
              <w:top w:val="single" w:color="auto" w:sz="4" w:space="0"/>
              <w:bottom w:val="single" w:color="auto" w:sz="4" w:space="0"/>
              <w:right w:val="single" w:color="auto" w:sz="4" w:space="0"/>
            </w:tcBorders>
            <w:noWrap w:val="0"/>
            <w:vAlign w:val="center"/>
          </w:tcPr>
          <w:p w14:paraId="7A3B5E61">
            <w:pPr>
              <w:spacing w:line="300" w:lineRule="exact"/>
              <w:jc w:val="center"/>
              <w:rPr>
                <w:rFonts w:hint="eastAsia" w:ascii="Arial" w:hAnsi="Arial" w:cs="Arial"/>
                <w:sz w:val="22"/>
              </w:rPr>
            </w:pPr>
            <w:r>
              <w:rPr>
                <w:rFonts w:hint="eastAsia" w:ascii="Arial" w:hAnsi="Arial" w:cs="Arial"/>
                <w:sz w:val="22"/>
              </w:rPr>
              <w:t>正常蓄水位</w:t>
            </w:r>
          </w:p>
        </w:tc>
        <w:tc>
          <w:tcPr>
            <w:tcW w:w="1756" w:type="dxa"/>
            <w:tcBorders>
              <w:top w:val="single" w:color="auto" w:sz="4" w:space="0"/>
              <w:left w:val="single" w:color="auto" w:sz="4" w:space="0"/>
              <w:bottom w:val="single" w:color="auto" w:sz="4" w:space="0"/>
              <w:right w:val="single" w:color="auto" w:sz="4" w:space="0"/>
            </w:tcBorders>
            <w:noWrap w:val="0"/>
            <w:vAlign w:val="center"/>
          </w:tcPr>
          <w:p w14:paraId="198E8488">
            <w:pPr>
              <w:spacing w:line="300" w:lineRule="exact"/>
              <w:jc w:val="center"/>
              <w:rPr>
                <w:rFonts w:hint="default" w:ascii="Arial" w:hAnsi="Arial" w:eastAsia="宋体" w:cs="Arial"/>
                <w:sz w:val="22"/>
                <w:lang w:val="en-US" w:eastAsia="zh-CN"/>
              </w:rPr>
            </w:pPr>
            <w:r>
              <w:rPr>
                <w:rFonts w:hint="eastAsia" w:ascii="Arial" w:hAnsi="Arial" w:cs="Arial"/>
                <w:sz w:val="22"/>
                <w:lang w:val="en-US" w:eastAsia="zh-CN"/>
              </w:rPr>
              <w:t>420</w:t>
            </w:r>
          </w:p>
        </w:tc>
        <w:tc>
          <w:tcPr>
            <w:tcW w:w="1680" w:type="dxa"/>
            <w:tcBorders>
              <w:top w:val="single" w:color="auto" w:sz="4" w:space="0"/>
              <w:left w:val="single" w:color="auto" w:sz="4" w:space="0"/>
              <w:bottom w:val="single" w:color="auto" w:sz="4" w:space="0"/>
              <w:right w:val="single" w:color="auto" w:sz="4" w:space="0"/>
            </w:tcBorders>
            <w:noWrap w:val="0"/>
            <w:vAlign w:val="center"/>
          </w:tcPr>
          <w:p w14:paraId="514E2B65">
            <w:pPr>
              <w:spacing w:line="300" w:lineRule="exact"/>
              <w:jc w:val="center"/>
              <w:rPr>
                <w:rFonts w:hint="default" w:ascii="Arial" w:hAnsi="Arial" w:eastAsia="宋体" w:cs="Arial"/>
                <w:sz w:val="22"/>
                <w:lang w:val="en-US" w:eastAsia="zh-CN"/>
              </w:rPr>
            </w:pPr>
            <w:r>
              <w:rPr>
                <w:rFonts w:hint="eastAsia" w:ascii="Arial" w:hAnsi="Arial" w:cs="Arial"/>
                <w:sz w:val="22"/>
                <w:lang w:val="en-US" w:eastAsia="zh-CN"/>
              </w:rPr>
              <w:t>65.36</w:t>
            </w:r>
          </w:p>
        </w:tc>
        <w:tc>
          <w:tcPr>
            <w:tcW w:w="2321" w:type="dxa"/>
            <w:tcBorders>
              <w:top w:val="single" w:color="auto" w:sz="4" w:space="0"/>
              <w:left w:val="single" w:color="auto" w:sz="4" w:space="0"/>
              <w:bottom w:val="single" w:color="auto" w:sz="4" w:space="0"/>
            </w:tcBorders>
            <w:noWrap w:val="0"/>
            <w:vAlign w:val="center"/>
          </w:tcPr>
          <w:p w14:paraId="72D3D108">
            <w:pPr>
              <w:spacing w:line="300" w:lineRule="exact"/>
              <w:jc w:val="center"/>
              <w:rPr>
                <w:rFonts w:ascii="Arial" w:hAnsi="Arial" w:cs="Arial"/>
                <w:sz w:val="22"/>
              </w:rPr>
            </w:pPr>
          </w:p>
        </w:tc>
      </w:tr>
      <w:tr w14:paraId="32DB4E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2132" w:type="dxa"/>
            <w:tcBorders>
              <w:top w:val="single" w:color="auto" w:sz="4" w:space="0"/>
              <w:bottom w:val="single" w:color="auto" w:sz="4" w:space="0"/>
              <w:right w:val="single" w:color="auto" w:sz="4" w:space="0"/>
            </w:tcBorders>
            <w:noWrap w:val="0"/>
            <w:vAlign w:val="center"/>
          </w:tcPr>
          <w:p w14:paraId="298BD632">
            <w:pPr>
              <w:spacing w:line="300" w:lineRule="exact"/>
              <w:jc w:val="center"/>
              <w:rPr>
                <w:rFonts w:hint="eastAsia" w:ascii="Arial" w:hAnsi="Arial" w:cs="Arial"/>
                <w:sz w:val="22"/>
              </w:rPr>
            </w:pPr>
            <w:r>
              <w:rPr>
                <w:rFonts w:hint="eastAsia" w:ascii="Arial" w:hAnsi="Arial" w:cs="Arial"/>
                <w:sz w:val="22"/>
              </w:rPr>
              <w:t>死水位</w:t>
            </w:r>
          </w:p>
        </w:tc>
        <w:tc>
          <w:tcPr>
            <w:tcW w:w="1756" w:type="dxa"/>
            <w:tcBorders>
              <w:top w:val="single" w:color="auto" w:sz="4" w:space="0"/>
              <w:left w:val="single" w:color="auto" w:sz="4" w:space="0"/>
              <w:bottom w:val="single" w:color="auto" w:sz="4" w:space="0"/>
              <w:right w:val="single" w:color="auto" w:sz="4" w:space="0"/>
            </w:tcBorders>
            <w:noWrap w:val="0"/>
            <w:vAlign w:val="center"/>
          </w:tcPr>
          <w:p w14:paraId="1F52C973">
            <w:pPr>
              <w:spacing w:line="300" w:lineRule="exact"/>
              <w:jc w:val="center"/>
              <w:rPr>
                <w:rFonts w:hint="default" w:ascii="Arial" w:hAnsi="Arial" w:eastAsia="宋体" w:cs="Arial"/>
                <w:sz w:val="22"/>
                <w:lang w:val="en-US" w:eastAsia="zh-CN"/>
              </w:rPr>
            </w:pPr>
            <w:r>
              <w:rPr>
                <w:rFonts w:hint="eastAsia" w:ascii="Arial" w:hAnsi="Arial" w:cs="Arial"/>
                <w:sz w:val="22"/>
                <w:lang w:val="en-US" w:eastAsia="zh-CN"/>
              </w:rPr>
              <w:t>407.5</w:t>
            </w:r>
          </w:p>
        </w:tc>
        <w:tc>
          <w:tcPr>
            <w:tcW w:w="1680" w:type="dxa"/>
            <w:tcBorders>
              <w:top w:val="single" w:color="auto" w:sz="4" w:space="0"/>
              <w:left w:val="single" w:color="auto" w:sz="4" w:space="0"/>
              <w:bottom w:val="single" w:color="auto" w:sz="4" w:space="0"/>
              <w:right w:val="single" w:color="auto" w:sz="4" w:space="0"/>
            </w:tcBorders>
            <w:noWrap w:val="0"/>
            <w:vAlign w:val="center"/>
          </w:tcPr>
          <w:p w14:paraId="7CC6F218">
            <w:pPr>
              <w:spacing w:line="300" w:lineRule="exact"/>
              <w:jc w:val="center"/>
              <w:rPr>
                <w:rFonts w:hint="default" w:ascii="Arial" w:hAnsi="Arial" w:eastAsia="宋体" w:cs="Arial"/>
                <w:sz w:val="22"/>
                <w:lang w:val="en-US" w:eastAsia="zh-CN"/>
              </w:rPr>
            </w:pPr>
            <w:r>
              <w:rPr>
                <w:rFonts w:hint="eastAsia" w:ascii="Arial" w:hAnsi="Arial" w:cs="Arial"/>
                <w:sz w:val="22"/>
                <w:lang w:val="en-US" w:eastAsia="zh-CN"/>
              </w:rPr>
              <w:t>5.62</w:t>
            </w:r>
          </w:p>
        </w:tc>
        <w:tc>
          <w:tcPr>
            <w:tcW w:w="2321" w:type="dxa"/>
            <w:tcBorders>
              <w:top w:val="single" w:color="auto" w:sz="4" w:space="0"/>
              <w:left w:val="single" w:color="auto" w:sz="4" w:space="0"/>
              <w:bottom w:val="single" w:color="auto" w:sz="4" w:space="0"/>
            </w:tcBorders>
            <w:noWrap w:val="0"/>
            <w:vAlign w:val="center"/>
          </w:tcPr>
          <w:p w14:paraId="3ADC93FA">
            <w:pPr>
              <w:spacing w:line="300" w:lineRule="exact"/>
              <w:jc w:val="center"/>
              <w:rPr>
                <w:rFonts w:ascii="Arial" w:hAnsi="Arial" w:cs="Arial"/>
                <w:sz w:val="22"/>
              </w:rPr>
            </w:pPr>
          </w:p>
        </w:tc>
      </w:tr>
      <w:tr w14:paraId="66F529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132" w:type="dxa"/>
            <w:tcBorders>
              <w:top w:val="single" w:color="auto" w:sz="4" w:space="0"/>
              <w:bottom w:val="single" w:color="auto" w:sz="4" w:space="0"/>
              <w:right w:val="single" w:color="auto" w:sz="4" w:space="0"/>
            </w:tcBorders>
            <w:noWrap w:val="0"/>
            <w:vAlign w:val="center"/>
          </w:tcPr>
          <w:p w14:paraId="421D491B">
            <w:pPr>
              <w:spacing w:line="300" w:lineRule="exact"/>
              <w:jc w:val="center"/>
              <w:rPr>
                <w:rFonts w:hint="eastAsia" w:ascii="Arial" w:hAnsi="Arial" w:cs="Arial"/>
                <w:sz w:val="22"/>
              </w:rPr>
            </w:pPr>
            <w:r>
              <w:rPr>
                <w:rFonts w:hint="eastAsia" w:ascii="Arial" w:hAnsi="Arial" w:cs="Arial"/>
                <w:sz w:val="22"/>
              </w:rPr>
              <w:t>调节库容</w:t>
            </w:r>
          </w:p>
        </w:tc>
        <w:tc>
          <w:tcPr>
            <w:tcW w:w="1756" w:type="dxa"/>
            <w:tcBorders>
              <w:top w:val="single" w:color="auto" w:sz="4" w:space="0"/>
              <w:left w:val="single" w:color="auto" w:sz="4" w:space="0"/>
              <w:bottom w:val="single" w:color="auto" w:sz="4" w:space="0"/>
              <w:right w:val="single" w:color="auto" w:sz="4" w:space="0"/>
            </w:tcBorders>
            <w:noWrap w:val="0"/>
            <w:vAlign w:val="center"/>
          </w:tcPr>
          <w:p w14:paraId="570839B4">
            <w:pPr>
              <w:spacing w:line="300" w:lineRule="exact"/>
              <w:jc w:val="center"/>
              <w:rPr>
                <w:rFonts w:hint="eastAsia" w:ascii="Arial" w:hAnsi="Arial" w:cs="Arial"/>
                <w:sz w:val="22"/>
              </w:rPr>
            </w:pPr>
            <w:r>
              <w:rPr>
                <w:rFonts w:hint="eastAsia" w:ascii="Arial" w:hAnsi="Arial" w:cs="Arial"/>
                <w:sz w:val="22"/>
              </w:rPr>
              <w:t>/</w:t>
            </w:r>
          </w:p>
        </w:tc>
        <w:tc>
          <w:tcPr>
            <w:tcW w:w="1680" w:type="dxa"/>
            <w:tcBorders>
              <w:top w:val="single" w:color="auto" w:sz="4" w:space="0"/>
              <w:left w:val="single" w:color="auto" w:sz="4" w:space="0"/>
              <w:bottom w:val="single" w:color="auto" w:sz="4" w:space="0"/>
              <w:right w:val="single" w:color="auto" w:sz="4" w:space="0"/>
            </w:tcBorders>
            <w:noWrap w:val="0"/>
            <w:vAlign w:val="center"/>
          </w:tcPr>
          <w:p w14:paraId="64553B89">
            <w:pPr>
              <w:spacing w:line="300" w:lineRule="exact"/>
              <w:jc w:val="center"/>
              <w:rPr>
                <w:rFonts w:hint="default" w:ascii="Arial" w:hAnsi="Arial" w:eastAsia="宋体" w:cs="Arial"/>
                <w:sz w:val="22"/>
                <w:lang w:val="en-US" w:eastAsia="zh-CN"/>
              </w:rPr>
            </w:pPr>
            <w:r>
              <w:rPr>
                <w:rFonts w:hint="eastAsia" w:ascii="Arial" w:hAnsi="Arial" w:cs="Arial"/>
                <w:sz w:val="22"/>
                <w:lang w:val="en-US" w:eastAsia="zh-CN"/>
              </w:rPr>
              <w:t>59.74</w:t>
            </w:r>
          </w:p>
        </w:tc>
        <w:tc>
          <w:tcPr>
            <w:tcW w:w="2321" w:type="dxa"/>
            <w:tcBorders>
              <w:top w:val="single" w:color="auto" w:sz="4" w:space="0"/>
              <w:left w:val="single" w:color="auto" w:sz="4" w:space="0"/>
              <w:bottom w:val="single" w:color="auto" w:sz="4" w:space="0"/>
            </w:tcBorders>
            <w:noWrap w:val="0"/>
            <w:vAlign w:val="center"/>
          </w:tcPr>
          <w:p w14:paraId="3B90B8AF">
            <w:pPr>
              <w:spacing w:line="300" w:lineRule="exact"/>
              <w:jc w:val="center"/>
              <w:rPr>
                <w:rFonts w:ascii="Arial" w:hAnsi="Arial" w:cs="Arial"/>
                <w:sz w:val="22"/>
              </w:rPr>
            </w:pPr>
          </w:p>
        </w:tc>
      </w:tr>
      <w:tr w14:paraId="770242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132" w:type="dxa"/>
            <w:tcBorders>
              <w:top w:val="single" w:color="auto" w:sz="4" w:space="0"/>
              <w:right w:val="single" w:color="auto" w:sz="4" w:space="0"/>
            </w:tcBorders>
            <w:noWrap w:val="0"/>
            <w:vAlign w:val="center"/>
          </w:tcPr>
          <w:p w14:paraId="7FC49E61">
            <w:pPr>
              <w:spacing w:line="300" w:lineRule="exact"/>
              <w:jc w:val="center"/>
              <w:rPr>
                <w:rFonts w:hint="eastAsia" w:ascii="Arial" w:hAnsi="Arial" w:cs="Arial"/>
                <w:sz w:val="22"/>
              </w:rPr>
            </w:pPr>
            <w:r>
              <w:rPr>
                <w:rFonts w:hint="eastAsia" w:ascii="Arial" w:hAnsi="Arial" w:cs="Arial"/>
                <w:sz w:val="22"/>
                <w:lang w:eastAsia="zh-CN"/>
              </w:rPr>
              <w:t>校核</w:t>
            </w:r>
            <w:r>
              <w:rPr>
                <w:rFonts w:hint="eastAsia" w:ascii="Arial" w:hAnsi="Arial" w:cs="Arial"/>
                <w:sz w:val="22"/>
              </w:rPr>
              <w:t>洪水位</w:t>
            </w:r>
          </w:p>
        </w:tc>
        <w:tc>
          <w:tcPr>
            <w:tcW w:w="1756" w:type="dxa"/>
            <w:tcBorders>
              <w:top w:val="single" w:color="auto" w:sz="4" w:space="0"/>
              <w:left w:val="single" w:color="auto" w:sz="4" w:space="0"/>
              <w:right w:val="single" w:color="auto" w:sz="4" w:space="0"/>
            </w:tcBorders>
            <w:noWrap w:val="0"/>
            <w:vAlign w:val="center"/>
          </w:tcPr>
          <w:p w14:paraId="4B1F9A59">
            <w:pPr>
              <w:spacing w:line="300" w:lineRule="exact"/>
              <w:jc w:val="center"/>
              <w:rPr>
                <w:rFonts w:hint="default" w:ascii="Arial" w:hAnsi="Arial" w:eastAsia="宋体" w:cs="Arial"/>
                <w:sz w:val="22"/>
                <w:lang w:val="en-US" w:eastAsia="zh-CN"/>
              </w:rPr>
            </w:pPr>
            <w:r>
              <w:rPr>
                <w:rFonts w:hint="eastAsia" w:ascii="Arial" w:hAnsi="Arial" w:cs="Arial"/>
                <w:sz w:val="22"/>
                <w:lang w:val="en-US" w:eastAsia="zh-CN"/>
              </w:rPr>
              <w:t>421.78</w:t>
            </w:r>
          </w:p>
        </w:tc>
        <w:tc>
          <w:tcPr>
            <w:tcW w:w="1680" w:type="dxa"/>
            <w:tcBorders>
              <w:top w:val="single" w:color="auto" w:sz="4" w:space="0"/>
              <w:left w:val="single" w:color="auto" w:sz="4" w:space="0"/>
              <w:right w:val="single" w:color="auto" w:sz="4" w:space="0"/>
            </w:tcBorders>
            <w:noWrap w:val="0"/>
            <w:vAlign w:val="center"/>
          </w:tcPr>
          <w:p w14:paraId="2E95E0CD">
            <w:pPr>
              <w:spacing w:line="300" w:lineRule="exact"/>
              <w:jc w:val="center"/>
              <w:rPr>
                <w:rFonts w:hint="default" w:ascii="Arial" w:hAnsi="Arial" w:eastAsia="宋体" w:cs="Arial"/>
                <w:sz w:val="22"/>
                <w:lang w:val="en-US" w:eastAsia="zh-CN"/>
              </w:rPr>
            </w:pPr>
            <w:r>
              <w:rPr>
                <w:rFonts w:hint="eastAsia" w:ascii="Arial" w:hAnsi="Arial" w:cs="Arial"/>
                <w:sz w:val="22"/>
                <w:lang w:val="en-US" w:eastAsia="zh-CN"/>
              </w:rPr>
              <w:t>80.51</w:t>
            </w:r>
          </w:p>
        </w:tc>
        <w:tc>
          <w:tcPr>
            <w:tcW w:w="2321" w:type="dxa"/>
            <w:tcBorders>
              <w:top w:val="single" w:color="auto" w:sz="4" w:space="0"/>
              <w:left w:val="single" w:color="auto" w:sz="4" w:space="0"/>
            </w:tcBorders>
            <w:noWrap w:val="0"/>
            <w:vAlign w:val="center"/>
          </w:tcPr>
          <w:p w14:paraId="7F710066">
            <w:pPr>
              <w:spacing w:line="300" w:lineRule="exact"/>
              <w:jc w:val="center"/>
              <w:rPr>
                <w:rFonts w:ascii="Arial" w:hAnsi="Arial" w:cs="Arial"/>
                <w:sz w:val="22"/>
              </w:rPr>
            </w:pPr>
            <w:r>
              <w:rPr>
                <w:rFonts w:ascii="Arial" w:hAnsi="Arial" w:cs="Arial"/>
                <w:sz w:val="22"/>
              </w:rPr>
              <w:t>P=</w:t>
            </w:r>
            <w:r>
              <w:rPr>
                <w:rFonts w:hint="eastAsia" w:ascii="Arial" w:hAnsi="Arial" w:cs="Arial"/>
                <w:sz w:val="22"/>
                <w:lang w:val="en-US" w:eastAsia="zh-CN"/>
              </w:rPr>
              <w:t>0.</w:t>
            </w:r>
            <w:r>
              <w:rPr>
                <w:rFonts w:ascii="Arial" w:hAnsi="Arial" w:cs="Arial"/>
                <w:sz w:val="22"/>
              </w:rPr>
              <w:t xml:space="preserve">5% </w:t>
            </w:r>
          </w:p>
        </w:tc>
      </w:tr>
    </w:tbl>
    <w:p w14:paraId="10AF274F">
      <w:pPr>
        <w:pStyle w:val="5"/>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lang w:eastAsia="zh-CN"/>
        </w:rPr>
      </w:pPr>
    </w:p>
    <w:p w14:paraId="61A772CD">
      <w:pPr>
        <w:spacing w:line="480" w:lineRule="exact"/>
        <w:ind w:firstLine="392" w:firstLineChars="150"/>
        <w:rPr>
          <w:rFonts w:hint="eastAsia" w:ascii="Arial" w:hAnsi="Arial" w:eastAsia="宋体" w:cs="Arial"/>
          <w:b/>
          <w:sz w:val="26"/>
          <w:szCs w:val="26"/>
          <w:lang w:eastAsia="zh-CN"/>
        </w:rPr>
      </w:pPr>
      <w:r>
        <w:rPr>
          <w:rFonts w:hint="eastAsia" w:ascii="Arial" w:hAnsi="Arial" w:cs="Arial"/>
          <w:b/>
          <w:sz w:val="26"/>
          <w:szCs w:val="26"/>
        </w:rPr>
        <w:t>（</w:t>
      </w:r>
      <w:r>
        <w:rPr>
          <w:rFonts w:hint="eastAsia" w:ascii="Arial" w:hAnsi="Arial" w:cs="Arial"/>
          <w:b/>
          <w:sz w:val="26"/>
          <w:szCs w:val="26"/>
          <w:lang w:val="en-US" w:eastAsia="zh-CN"/>
        </w:rPr>
        <w:t>3</w:t>
      </w:r>
      <w:r>
        <w:rPr>
          <w:rFonts w:hint="eastAsia" w:ascii="Arial" w:hAnsi="Arial" w:cs="Arial"/>
          <w:b/>
          <w:sz w:val="26"/>
          <w:szCs w:val="26"/>
        </w:rPr>
        <w:t>）</w:t>
      </w:r>
      <w:r>
        <w:rPr>
          <w:rFonts w:hint="eastAsia" w:ascii="Arial" w:hAnsi="Arial" w:cs="Arial"/>
          <w:b/>
          <w:sz w:val="26"/>
          <w:szCs w:val="26"/>
          <w:lang w:eastAsia="zh-CN"/>
        </w:rPr>
        <w:t>工程等级和设计标准</w:t>
      </w:r>
    </w:p>
    <w:p w14:paraId="470A134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cs="Arial"/>
          <w:sz w:val="26"/>
          <w:szCs w:val="26"/>
        </w:rPr>
      </w:pPr>
      <w:r>
        <w:rPr>
          <w:rFonts w:hint="eastAsia" w:ascii="Arial" w:cs="Arial"/>
          <w:sz w:val="26"/>
          <w:szCs w:val="26"/>
          <w:lang w:eastAsia="zh-CN"/>
        </w:rPr>
        <w:t>海螺沟</w:t>
      </w:r>
      <w:r>
        <w:rPr>
          <w:rFonts w:hint="eastAsia" w:ascii="Arial" w:cs="Arial"/>
          <w:sz w:val="26"/>
          <w:szCs w:val="26"/>
        </w:rPr>
        <w:t>水库总库容</w:t>
      </w:r>
      <w:r>
        <w:rPr>
          <w:rFonts w:hint="eastAsia" w:ascii="Arial" w:cs="Arial"/>
          <w:sz w:val="26"/>
          <w:szCs w:val="26"/>
          <w:lang w:val="en-US" w:eastAsia="zh-CN"/>
        </w:rPr>
        <w:t>80.51</w:t>
      </w:r>
      <w:r>
        <w:rPr>
          <w:rFonts w:hint="eastAsia" w:ascii="Arial" w:cs="Arial"/>
          <w:sz w:val="26"/>
          <w:szCs w:val="26"/>
        </w:rPr>
        <w:t>万m</w:t>
      </w:r>
      <w:r>
        <w:rPr>
          <w:rFonts w:hint="eastAsia" w:ascii="Arial" w:cs="Arial"/>
          <w:sz w:val="26"/>
          <w:szCs w:val="26"/>
          <w:vertAlign w:val="superscript"/>
        </w:rPr>
        <w:t>3</w:t>
      </w:r>
      <w:r>
        <w:rPr>
          <w:rFonts w:hint="eastAsia" w:ascii="Arial" w:cs="Arial"/>
          <w:sz w:val="26"/>
          <w:szCs w:val="26"/>
        </w:rPr>
        <w:t>，设计控灌面积</w:t>
      </w:r>
      <w:r>
        <w:rPr>
          <w:rFonts w:hint="eastAsia" w:ascii="Arial" w:cs="Arial"/>
          <w:sz w:val="26"/>
          <w:szCs w:val="26"/>
          <w:lang w:val="en-US" w:eastAsia="zh-CN"/>
        </w:rPr>
        <w:t>2000</w:t>
      </w:r>
      <w:r>
        <w:rPr>
          <w:rFonts w:hint="eastAsia" w:ascii="Arial" w:cs="Arial"/>
          <w:sz w:val="26"/>
          <w:szCs w:val="26"/>
        </w:rPr>
        <w:t>亩，根据</w:t>
      </w:r>
      <w:r>
        <w:rPr>
          <w:rFonts w:hint="eastAsia" w:ascii="Arial" w:cs="Arial"/>
          <w:sz w:val="26"/>
          <w:szCs w:val="26"/>
          <w:lang w:eastAsia="zh-CN"/>
        </w:rPr>
        <w:t>《水利水电工程合理使用年限及耐久性设计规范》（SL654-2014）</w:t>
      </w:r>
      <w:r>
        <w:rPr>
          <w:rFonts w:hint="eastAsia" w:ascii="Arial" w:cs="Arial"/>
          <w:sz w:val="26"/>
          <w:szCs w:val="26"/>
        </w:rPr>
        <w:t>的规定，</w:t>
      </w:r>
      <w:r>
        <w:rPr>
          <w:rFonts w:hint="eastAsia" w:ascii="Arial" w:cs="Arial"/>
          <w:sz w:val="26"/>
          <w:szCs w:val="26"/>
          <w:lang w:eastAsia="zh-CN"/>
        </w:rPr>
        <w:t>海螺沟</w:t>
      </w:r>
      <w:r>
        <w:rPr>
          <w:rFonts w:hint="eastAsia" w:ascii="Arial" w:cs="Arial"/>
          <w:sz w:val="26"/>
          <w:szCs w:val="26"/>
        </w:rPr>
        <w:t>水库属</w:t>
      </w:r>
      <w:r>
        <w:rPr>
          <w:rFonts w:hint="default" w:ascii="Arial" w:hAnsi="Arial" w:eastAsia="微软雅黑" w:cs="Arial"/>
          <w:sz w:val="26"/>
          <w:szCs w:val="26"/>
        </w:rPr>
        <w:t>Ⅴ</w:t>
      </w:r>
      <w:r>
        <w:rPr>
          <w:rFonts w:hint="eastAsia" w:ascii="Arial" w:cs="Arial"/>
          <w:sz w:val="26"/>
          <w:szCs w:val="26"/>
        </w:rPr>
        <w:t>等小（</w:t>
      </w:r>
      <w:r>
        <w:rPr>
          <w:rFonts w:hint="eastAsia" w:ascii="Arial" w:cs="Arial"/>
          <w:sz w:val="26"/>
          <w:szCs w:val="26"/>
          <w:lang w:val="en-US" w:eastAsia="zh-CN"/>
        </w:rPr>
        <w:t>2</w:t>
      </w:r>
      <w:r>
        <w:rPr>
          <w:rFonts w:hint="eastAsia" w:ascii="Arial" w:cs="Arial"/>
          <w:sz w:val="26"/>
          <w:szCs w:val="26"/>
        </w:rPr>
        <w:t>）型工程，</w:t>
      </w:r>
      <w:r>
        <w:rPr>
          <w:rFonts w:hint="eastAsia" w:ascii="Arial" w:cs="Arial"/>
          <w:sz w:val="26"/>
          <w:szCs w:val="26"/>
          <w:lang w:eastAsia="zh-CN"/>
        </w:rPr>
        <w:t>枢纽工程建筑物级别为</w:t>
      </w:r>
      <w:r>
        <w:rPr>
          <w:rFonts w:hint="eastAsia" w:ascii="Arial" w:cs="Arial"/>
          <w:sz w:val="26"/>
          <w:szCs w:val="26"/>
          <w:lang w:val="en-US" w:eastAsia="zh-CN"/>
        </w:rPr>
        <w:t>5级，输水工程建筑物级别为4级，</w:t>
      </w:r>
      <w:r>
        <w:rPr>
          <w:rFonts w:hint="eastAsia" w:ascii="Arial" w:cs="Arial"/>
          <w:sz w:val="26"/>
          <w:szCs w:val="26"/>
        </w:rPr>
        <w:t>临时建筑物级别为5级。</w:t>
      </w:r>
    </w:p>
    <w:p w14:paraId="778C027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cs="Arial"/>
          <w:sz w:val="26"/>
          <w:szCs w:val="26"/>
        </w:rPr>
      </w:pPr>
      <w:r>
        <w:rPr>
          <w:rFonts w:hint="eastAsia" w:ascii="Arial" w:cs="Arial"/>
          <w:sz w:val="26"/>
          <w:szCs w:val="26"/>
        </w:rPr>
        <w:t>根据《防洪标准》（</w:t>
      </w:r>
      <w:r>
        <w:rPr>
          <w:rFonts w:ascii="Arial" w:cs="Arial"/>
          <w:sz w:val="26"/>
          <w:szCs w:val="26"/>
        </w:rPr>
        <w:t>GB50201-2014</w:t>
      </w:r>
      <w:r>
        <w:rPr>
          <w:rFonts w:hint="eastAsia" w:ascii="Arial" w:cs="Arial"/>
          <w:sz w:val="26"/>
          <w:szCs w:val="26"/>
        </w:rPr>
        <w:t>）、《水利水电工程等级划分及洪水标准》（</w:t>
      </w:r>
      <w:r>
        <w:rPr>
          <w:rFonts w:ascii="Arial" w:cs="Arial"/>
          <w:sz w:val="26"/>
          <w:szCs w:val="26"/>
        </w:rPr>
        <w:t>SL252-2017</w:t>
      </w:r>
      <w:r>
        <w:rPr>
          <w:rFonts w:hint="eastAsia" w:ascii="Arial" w:cs="Arial"/>
          <w:sz w:val="26"/>
          <w:szCs w:val="26"/>
        </w:rPr>
        <w:t>）和《灌溉与排水工程设计规范》（</w:t>
      </w:r>
      <w:r>
        <w:rPr>
          <w:rFonts w:ascii="Arial" w:cs="Arial"/>
          <w:sz w:val="26"/>
          <w:szCs w:val="26"/>
        </w:rPr>
        <w:t>GB50288-99</w:t>
      </w:r>
      <w:r>
        <w:rPr>
          <w:rFonts w:hint="eastAsia" w:ascii="Arial" w:cs="Arial"/>
          <w:sz w:val="26"/>
          <w:szCs w:val="26"/>
        </w:rPr>
        <w:t>）中采用洪水标准，应根据建筑物级别并结合规定确定。本工程各建筑物采用的洪水标准见表2.</w:t>
      </w:r>
      <w:r>
        <w:rPr>
          <w:rFonts w:hint="eastAsia" w:ascii="Arial" w:cs="Arial"/>
          <w:sz w:val="26"/>
          <w:szCs w:val="26"/>
          <w:lang w:val="en-US" w:eastAsia="zh-CN"/>
        </w:rPr>
        <w:t>2</w:t>
      </w:r>
      <w:r>
        <w:rPr>
          <w:rFonts w:hint="eastAsia" w:ascii="Arial" w:cs="Arial"/>
          <w:sz w:val="26"/>
          <w:szCs w:val="26"/>
        </w:rPr>
        <w:t>-</w:t>
      </w:r>
      <w:r>
        <w:rPr>
          <w:rFonts w:hint="eastAsia" w:ascii="Arial" w:cs="Arial"/>
          <w:sz w:val="26"/>
          <w:szCs w:val="26"/>
          <w:lang w:val="en-US" w:eastAsia="zh-CN"/>
        </w:rPr>
        <w:t>3</w:t>
      </w:r>
      <w:r>
        <w:rPr>
          <w:rFonts w:hint="eastAsia" w:ascii="Arial" w:cs="Arial"/>
          <w:sz w:val="26"/>
          <w:szCs w:val="26"/>
        </w:rPr>
        <w:t>。</w:t>
      </w:r>
    </w:p>
    <w:p w14:paraId="16276AE6">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cs="Arial"/>
          <w:b/>
          <w:sz w:val="26"/>
          <w:szCs w:val="26"/>
        </w:rPr>
      </w:pPr>
      <w:r>
        <w:rPr>
          <w:rFonts w:hint="eastAsia" w:ascii="Arial" w:hAnsi="Arial" w:cs="Arial"/>
          <w:b/>
          <w:bCs/>
          <w:sz w:val="26"/>
          <w:szCs w:val="26"/>
        </w:rPr>
        <w:t>表2</w:t>
      </w:r>
      <w:r>
        <w:rPr>
          <w:rFonts w:hint="eastAsia" w:ascii="Arial" w:hAnsi="Arial" w:cs="Arial"/>
          <w:b/>
          <w:bCs/>
          <w:sz w:val="26"/>
          <w:szCs w:val="26"/>
          <w:lang w:val="en-US" w:eastAsia="zh-CN"/>
        </w:rPr>
        <w:t>.2</w:t>
      </w:r>
      <w:r>
        <w:rPr>
          <w:rFonts w:hint="eastAsia" w:ascii="Arial" w:hAnsi="Arial" w:cs="Arial"/>
          <w:b/>
          <w:bCs/>
          <w:sz w:val="26"/>
          <w:szCs w:val="26"/>
        </w:rPr>
        <w:t>-</w:t>
      </w:r>
      <w:r>
        <w:rPr>
          <w:rFonts w:hint="eastAsia" w:ascii="Arial" w:hAnsi="Arial" w:cs="Arial"/>
          <w:b/>
          <w:bCs/>
          <w:sz w:val="26"/>
          <w:szCs w:val="26"/>
          <w:lang w:val="en-US" w:eastAsia="zh-CN"/>
        </w:rPr>
        <w:t>3</w:t>
      </w:r>
      <w:r>
        <w:rPr>
          <w:rFonts w:hint="eastAsia" w:ascii="Arial" w:hAnsi="Arial" w:cs="Arial"/>
          <w:b/>
          <w:bCs/>
          <w:sz w:val="26"/>
          <w:szCs w:val="26"/>
        </w:rPr>
        <w:t xml:space="preserve"> </w:t>
      </w:r>
      <w:r>
        <w:rPr>
          <w:rFonts w:hint="eastAsia" w:ascii="Arial" w:hAnsi="Arial" w:cs="Arial"/>
          <w:b/>
          <w:bCs/>
          <w:sz w:val="26"/>
          <w:szCs w:val="26"/>
          <w:lang w:eastAsia="zh-CN"/>
        </w:rPr>
        <w:t>海螺沟</w:t>
      </w:r>
      <w:r>
        <w:rPr>
          <w:rFonts w:hint="eastAsia" w:ascii="Arial" w:hAnsi="Arial" w:cs="Arial"/>
          <w:b/>
          <w:bCs/>
          <w:sz w:val="26"/>
          <w:szCs w:val="26"/>
        </w:rPr>
        <w:t>水库工程水工建筑物洪水标准</w:t>
      </w:r>
    </w:p>
    <w:tbl>
      <w:tblPr>
        <w:tblStyle w:val="77"/>
        <w:tblW w:w="89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38"/>
        <w:gridCol w:w="630"/>
        <w:gridCol w:w="1871"/>
        <w:gridCol w:w="1433"/>
        <w:gridCol w:w="2156"/>
        <w:gridCol w:w="1900"/>
      </w:tblGrid>
      <w:tr w14:paraId="36CE98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39" w:type="dxa"/>
            <w:gridSpan w:val="3"/>
            <w:noWrap w:val="0"/>
            <w:vAlign w:val="center"/>
          </w:tcPr>
          <w:p w14:paraId="55DDEA2A">
            <w:pPr>
              <w:spacing w:line="300" w:lineRule="exact"/>
              <w:jc w:val="center"/>
              <w:rPr>
                <w:rFonts w:hint="eastAsia" w:ascii="宋体" w:hAnsi="宋体" w:cs="Arial"/>
                <w:sz w:val="22"/>
                <w:szCs w:val="22"/>
              </w:rPr>
            </w:pPr>
            <w:r>
              <w:rPr>
                <w:rFonts w:hint="eastAsia" w:ascii="宋体" w:hAnsi="宋体" w:cs="Arial"/>
                <w:sz w:val="22"/>
                <w:szCs w:val="22"/>
              </w:rPr>
              <w:t>建筑物名称</w:t>
            </w:r>
          </w:p>
        </w:tc>
        <w:tc>
          <w:tcPr>
            <w:tcW w:w="1433" w:type="dxa"/>
            <w:noWrap w:val="0"/>
            <w:vAlign w:val="center"/>
          </w:tcPr>
          <w:p w14:paraId="2515AB66">
            <w:pPr>
              <w:spacing w:line="300" w:lineRule="exact"/>
              <w:jc w:val="center"/>
              <w:rPr>
                <w:rFonts w:hint="eastAsia" w:ascii="宋体" w:hAnsi="宋体" w:cs="Arial"/>
                <w:sz w:val="22"/>
                <w:szCs w:val="22"/>
              </w:rPr>
            </w:pPr>
            <w:r>
              <w:rPr>
                <w:rFonts w:hint="eastAsia" w:ascii="宋体" w:hAnsi="宋体" w:cs="Arial"/>
                <w:sz w:val="22"/>
                <w:szCs w:val="22"/>
              </w:rPr>
              <w:t>建筑物级别</w:t>
            </w:r>
          </w:p>
        </w:tc>
        <w:tc>
          <w:tcPr>
            <w:tcW w:w="2156" w:type="dxa"/>
            <w:noWrap w:val="0"/>
            <w:vAlign w:val="center"/>
          </w:tcPr>
          <w:p w14:paraId="4B00C5DA">
            <w:pPr>
              <w:spacing w:line="300" w:lineRule="exact"/>
              <w:jc w:val="center"/>
              <w:rPr>
                <w:rFonts w:hint="eastAsia" w:ascii="宋体" w:hAnsi="宋体" w:cs="Arial"/>
                <w:sz w:val="22"/>
                <w:szCs w:val="22"/>
              </w:rPr>
            </w:pPr>
            <w:r>
              <w:rPr>
                <w:rFonts w:hint="eastAsia" w:ascii="宋体" w:hAnsi="宋体" w:cs="Arial"/>
                <w:sz w:val="22"/>
                <w:szCs w:val="22"/>
              </w:rPr>
              <w:t>设计洪水标准重现期（年）</w:t>
            </w:r>
          </w:p>
        </w:tc>
        <w:tc>
          <w:tcPr>
            <w:tcW w:w="1900" w:type="dxa"/>
            <w:noWrap w:val="0"/>
            <w:vAlign w:val="center"/>
          </w:tcPr>
          <w:p w14:paraId="0202D58F">
            <w:pPr>
              <w:spacing w:line="300" w:lineRule="exact"/>
              <w:jc w:val="center"/>
              <w:rPr>
                <w:rFonts w:hint="eastAsia" w:ascii="宋体" w:hAnsi="宋体" w:cs="Arial"/>
                <w:sz w:val="22"/>
                <w:szCs w:val="22"/>
              </w:rPr>
            </w:pPr>
            <w:r>
              <w:rPr>
                <w:rFonts w:hint="eastAsia" w:ascii="宋体" w:hAnsi="宋体" w:cs="Arial"/>
                <w:sz w:val="22"/>
                <w:szCs w:val="22"/>
              </w:rPr>
              <w:t>校核洪水标准重现期（年）</w:t>
            </w:r>
          </w:p>
        </w:tc>
      </w:tr>
      <w:tr w14:paraId="39D0F2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8" w:type="dxa"/>
            <w:vMerge w:val="restart"/>
            <w:noWrap w:val="0"/>
            <w:vAlign w:val="center"/>
          </w:tcPr>
          <w:p w14:paraId="5FF27007">
            <w:pPr>
              <w:spacing w:line="300" w:lineRule="exact"/>
              <w:jc w:val="center"/>
              <w:rPr>
                <w:rFonts w:hint="eastAsia" w:ascii="宋体" w:hAnsi="宋体" w:cs="Arial"/>
                <w:sz w:val="22"/>
                <w:szCs w:val="22"/>
              </w:rPr>
            </w:pPr>
            <w:r>
              <w:rPr>
                <w:rFonts w:hint="eastAsia" w:ascii="宋体" w:hAnsi="宋体" w:cs="Arial"/>
                <w:sz w:val="22"/>
                <w:szCs w:val="22"/>
              </w:rPr>
              <w:t>永久性水工建筑物</w:t>
            </w:r>
          </w:p>
        </w:tc>
        <w:tc>
          <w:tcPr>
            <w:tcW w:w="630" w:type="dxa"/>
            <w:vMerge w:val="restart"/>
            <w:noWrap w:val="0"/>
            <w:vAlign w:val="center"/>
          </w:tcPr>
          <w:p w14:paraId="5F21D6B9">
            <w:pPr>
              <w:spacing w:line="300" w:lineRule="exact"/>
              <w:jc w:val="center"/>
              <w:rPr>
                <w:rFonts w:hint="eastAsia" w:ascii="宋体" w:hAnsi="宋体" w:cs="Arial"/>
                <w:sz w:val="22"/>
                <w:szCs w:val="22"/>
              </w:rPr>
            </w:pPr>
            <w:r>
              <w:rPr>
                <w:rFonts w:hint="eastAsia" w:ascii="宋体" w:hAnsi="宋体" w:cs="Arial"/>
                <w:sz w:val="22"/>
                <w:szCs w:val="22"/>
              </w:rPr>
              <w:t>主要建筑物</w:t>
            </w:r>
          </w:p>
        </w:tc>
        <w:tc>
          <w:tcPr>
            <w:tcW w:w="1871" w:type="dxa"/>
            <w:noWrap w:val="0"/>
            <w:vAlign w:val="center"/>
          </w:tcPr>
          <w:p w14:paraId="6F97D6A4">
            <w:pPr>
              <w:spacing w:line="300" w:lineRule="exact"/>
              <w:jc w:val="center"/>
              <w:rPr>
                <w:rFonts w:hint="eastAsia" w:ascii="宋体" w:hAnsi="宋体" w:eastAsia="宋体" w:cs="Arial"/>
                <w:sz w:val="22"/>
                <w:szCs w:val="22"/>
                <w:lang w:eastAsia="zh-CN"/>
              </w:rPr>
            </w:pPr>
            <w:r>
              <w:rPr>
                <w:rFonts w:hint="eastAsia" w:ascii="宋体" w:hAnsi="宋体" w:cs="Arial"/>
                <w:sz w:val="22"/>
                <w:szCs w:val="22"/>
                <w:lang w:eastAsia="zh-CN"/>
              </w:rPr>
              <w:t>挡水建筑物</w:t>
            </w:r>
          </w:p>
        </w:tc>
        <w:tc>
          <w:tcPr>
            <w:tcW w:w="1433" w:type="dxa"/>
            <w:noWrap w:val="0"/>
            <w:vAlign w:val="center"/>
          </w:tcPr>
          <w:p w14:paraId="18616AF5">
            <w:pPr>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5</w:t>
            </w:r>
          </w:p>
        </w:tc>
        <w:tc>
          <w:tcPr>
            <w:tcW w:w="2156" w:type="dxa"/>
            <w:noWrap w:val="0"/>
            <w:vAlign w:val="center"/>
          </w:tcPr>
          <w:p w14:paraId="5F6897EA">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20</w:t>
            </w:r>
          </w:p>
        </w:tc>
        <w:tc>
          <w:tcPr>
            <w:tcW w:w="1900" w:type="dxa"/>
            <w:noWrap w:val="0"/>
            <w:vAlign w:val="center"/>
          </w:tcPr>
          <w:p w14:paraId="3DAF66E3">
            <w:pPr>
              <w:spacing w:line="300" w:lineRule="exact"/>
              <w:jc w:val="center"/>
              <w:rPr>
                <w:rFonts w:hint="eastAsia" w:ascii="Arial" w:hAnsi="Arial" w:cs="Arial"/>
                <w:sz w:val="22"/>
                <w:szCs w:val="22"/>
              </w:rPr>
            </w:pPr>
            <w:r>
              <w:rPr>
                <w:rFonts w:hint="eastAsia" w:ascii="Arial" w:hAnsi="Arial" w:cs="Arial"/>
                <w:sz w:val="22"/>
                <w:szCs w:val="22"/>
              </w:rPr>
              <w:t>200</w:t>
            </w:r>
          </w:p>
        </w:tc>
      </w:tr>
      <w:tr w14:paraId="7FF36F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8" w:type="dxa"/>
            <w:vMerge w:val="continue"/>
            <w:noWrap w:val="0"/>
            <w:vAlign w:val="center"/>
          </w:tcPr>
          <w:p w14:paraId="7E67F63B">
            <w:pPr>
              <w:spacing w:line="300" w:lineRule="exact"/>
              <w:jc w:val="center"/>
              <w:rPr>
                <w:rFonts w:hint="eastAsia" w:ascii="宋体" w:hAnsi="宋体" w:cs="Arial"/>
                <w:sz w:val="22"/>
                <w:szCs w:val="22"/>
              </w:rPr>
            </w:pPr>
          </w:p>
        </w:tc>
        <w:tc>
          <w:tcPr>
            <w:tcW w:w="630" w:type="dxa"/>
            <w:vMerge w:val="continue"/>
            <w:noWrap w:val="0"/>
            <w:vAlign w:val="center"/>
          </w:tcPr>
          <w:p w14:paraId="555D7B9F">
            <w:pPr>
              <w:spacing w:line="300" w:lineRule="exact"/>
              <w:jc w:val="center"/>
              <w:rPr>
                <w:rFonts w:hint="eastAsia" w:ascii="宋体" w:hAnsi="宋体" w:cs="Arial"/>
                <w:sz w:val="22"/>
                <w:szCs w:val="22"/>
              </w:rPr>
            </w:pPr>
          </w:p>
        </w:tc>
        <w:tc>
          <w:tcPr>
            <w:tcW w:w="1871" w:type="dxa"/>
            <w:noWrap w:val="0"/>
            <w:vAlign w:val="center"/>
          </w:tcPr>
          <w:p w14:paraId="0A4E4F50">
            <w:pPr>
              <w:spacing w:line="300" w:lineRule="exact"/>
              <w:jc w:val="center"/>
              <w:rPr>
                <w:rFonts w:hint="eastAsia" w:ascii="宋体" w:hAnsi="宋体" w:eastAsia="宋体" w:cs="Arial"/>
                <w:sz w:val="22"/>
                <w:szCs w:val="22"/>
                <w:lang w:eastAsia="zh-CN"/>
              </w:rPr>
            </w:pPr>
            <w:r>
              <w:rPr>
                <w:rFonts w:hint="eastAsia" w:ascii="宋体" w:hAnsi="宋体" w:cs="Arial"/>
                <w:sz w:val="22"/>
                <w:szCs w:val="22"/>
                <w:lang w:eastAsia="zh-CN"/>
              </w:rPr>
              <w:t>泄水建筑物</w:t>
            </w:r>
          </w:p>
        </w:tc>
        <w:tc>
          <w:tcPr>
            <w:tcW w:w="1433" w:type="dxa"/>
            <w:noWrap w:val="0"/>
            <w:vAlign w:val="center"/>
          </w:tcPr>
          <w:p w14:paraId="349EABEF">
            <w:pPr>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5</w:t>
            </w:r>
          </w:p>
        </w:tc>
        <w:tc>
          <w:tcPr>
            <w:tcW w:w="2156" w:type="dxa"/>
            <w:noWrap w:val="0"/>
            <w:vAlign w:val="center"/>
          </w:tcPr>
          <w:p w14:paraId="2B4A46CE">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10</w:t>
            </w:r>
          </w:p>
        </w:tc>
        <w:tc>
          <w:tcPr>
            <w:tcW w:w="1900" w:type="dxa"/>
            <w:noWrap w:val="0"/>
            <w:vAlign w:val="center"/>
          </w:tcPr>
          <w:p w14:paraId="645C946A">
            <w:pPr>
              <w:spacing w:line="300" w:lineRule="exact"/>
              <w:jc w:val="center"/>
              <w:rPr>
                <w:rFonts w:hint="eastAsia" w:ascii="Arial" w:hAnsi="Arial" w:cs="Arial"/>
                <w:sz w:val="22"/>
                <w:szCs w:val="22"/>
              </w:rPr>
            </w:pPr>
            <w:r>
              <w:rPr>
                <w:rFonts w:hint="eastAsia" w:ascii="Arial" w:hAnsi="Arial" w:cs="Arial"/>
                <w:sz w:val="22"/>
                <w:szCs w:val="22"/>
              </w:rPr>
              <w:t>300</w:t>
            </w:r>
          </w:p>
        </w:tc>
      </w:tr>
      <w:tr w14:paraId="0FC7F3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8" w:type="dxa"/>
            <w:vMerge w:val="continue"/>
            <w:noWrap w:val="0"/>
            <w:vAlign w:val="center"/>
          </w:tcPr>
          <w:p w14:paraId="791F2B4F">
            <w:pPr>
              <w:spacing w:line="300" w:lineRule="exact"/>
              <w:jc w:val="center"/>
              <w:rPr>
                <w:rFonts w:hint="eastAsia" w:ascii="宋体" w:hAnsi="宋体" w:cs="Arial"/>
                <w:sz w:val="22"/>
                <w:szCs w:val="22"/>
              </w:rPr>
            </w:pPr>
          </w:p>
        </w:tc>
        <w:tc>
          <w:tcPr>
            <w:tcW w:w="630" w:type="dxa"/>
            <w:vMerge w:val="continue"/>
            <w:noWrap w:val="0"/>
            <w:vAlign w:val="center"/>
          </w:tcPr>
          <w:p w14:paraId="0022B456">
            <w:pPr>
              <w:spacing w:line="300" w:lineRule="exact"/>
              <w:jc w:val="center"/>
              <w:rPr>
                <w:rFonts w:hint="eastAsia" w:ascii="宋体" w:hAnsi="宋体" w:cs="Arial"/>
                <w:sz w:val="22"/>
                <w:szCs w:val="22"/>
              </w:rPr>
            </w:pPr>
          </w:p>
        </w:tc>
        <w:tc>
          <w:tcPr>
            <w:tcW w:w="1871" w:type="dxa"/>
            <w:noWrap w:val="0"/>
            <w:vAlign w:val="center"/>
          </w:tcPr>
          <w:p w14:paraId="7B2D5432">
            <w:pPr>
              <w:spacing w:line="300" w:lineRule="exact"/>
              <w:jc w:val="center"/>
              <w:rPr>
                <w:rFonts w:hint="default" w:ascii="宋体" w:hAnsi="宋体" w:eastAsia="宋体" w:cs="Arial"/>
                <w:sz w:val="22"/>
                <w:szCs w:val="22"/>
                <w:lang w:val="en-US" w:eastAsia="zh-CN"/>
              </w:rPr>
            </w:pPr>
            <w:r>
              <w:rPr>
                <w:rFonts w:hint="eastAsia" w:ascii="宋体" w:hAnsi="宋体" w:cs="Arial"/>
                <w:sz w:val="22"/>
                <w:szCs w:val="22"/>
                <w:lang w:eastAsia="zh-CN"/>
              </w:rPr>
              <w:t>取水建筑物</w:t>
            </w:r>
          </w:p>
        </w:tc>
        <w:tc>
          <w:tcPr>
            <w:tcW w:w="1433" w:type="dxa"/>
            <w:noWrap w:val="0"/>
            <w:vAlign w:val="center"/>
          </w:tcPr>
          <w:p w14:paraId="2028636E">
            <w:pPr>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5</w:t>
            </w:r>
          </w:p>
        </w:tc>
        <w:tc>
          <w:tcPr>
            <w:tcW w:w="2156" w:type="dxa"/>
            <w:shd w:val="clear" w:color="auto" w:fill="auto"/>
            <w:noWrap w:val="0"/>
            <w:vAlign w:val="center"/>
          </w:tcPr>
          <w:p w14:paraId="69CF5E79">
            <w:pPr>
              <w:spacing w:line="300" w:lineRule="exact"/>
              <w:jc w:val="center"/>
              <w:rPr>
                <w:rFonts w:hint="default" w:ascii="Arial" w:hAnsi="Arial" w:eastAsia="宋体" w:cs="Arial"/>
                <w:kern w:val="2"/>
                <w:sz w:val="22"/>
                <w:szCs w:val="22"/>
                <w:lang w:val="en-US" w:eastAsia="zh-CN" w:bidi="ar-SA"/>
              </w:rPr>
            </w:pPr>
            <w:r>
              <w:rPr>
                <w:rFonts w:hint="eastAsia" w:ascii="Arial" w:hAnsi="Arial" w:cs="Arial"/>
                <w:sz w:val="22"/>
                <w:szCs w:val="22"/>
                <w:lang w:val="en-US" w:eastAsia="zh-CN"/>
              </w:rPr>
              <w:t>20</w:t>
            </w:r>
          </w:p>
        </w:tc>
        <w:tc>
          <w:tcPr>
            <w:tcW w:w="1900" w:type="dxa"/>
            <w:shd w:val="clear" w:color="auto" w:fill="auto"/>
            <w:noWrap w:val="0"/>
            <w:vAlign w:val="center"/>
          </w:tcPr>
          <w:p w14:paraId="08C8B43C">
            <w:pPr>
              <w:spacing w:line="300" w:lineRule="exact"/>
              <w:jc w:val="center"/>
              <w:rPr>
                <w:rFonts w:hint="eastAsia" w:ascii="Arial" w:hAnsi="Arial" w:eastAsia="宋体" w:cs="Arial"/>
                <w:kern w:val="2"/>
                <w:sz w:val="22"/>
                <w:szCs w:val="22"/>
                <w:lang w:val="en-US" w:eastAsia="zh-CN" w:bidi="ar-SA"/>
              </w:rPr>
            </w:pPr>
            <w:r>
              <w:rPr>
                <w:rFonts w:hint="eastAsia" w:ascii="Arial" w:hAnsi="Arial" w:cs="Arial"/>
                <w:sz w:val="22"/>
                <w:szCs w:val="22"/>
              </w:rPr>
              <w:t>200</w:t>
            </w:r>
          </w:p>
        </w:tc>
      </w:tr>
      <w:tr w14:paraId="485CB9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8" w:type="dxa"/>
            <w:vMerge w:val="continue"/>
            <w:noWrap w:val="0"/>
            <w:vAlign w:val="center"/>
          </w:tcPr>
          <w:p w14:paraId="7F878A8D">
            <w:pPr>
              <w:spacing w:line="300" w:lineRule="exact"/>
              <w:jc w:val="center"/>
              <w:rPr>
                <w:rFonts w:hint="eastAsia" w:ascii="宋体" w:hAnsi="宋体" w:cs="Arial"/>
                <w:sz w:val="22"/>
                <w:szCs w:val="22"/>
              </w:rPr>
            </w:pPr>
          </w:p>
        </w:tc>
        <w:tc>
          <w:tcPr>
            <w:tcW w:w="630" w:type="dxa"/>
            <w:vMerge w:val="continue"/>
            <w:noWrap w:val="0"/>
            <w:vAlign w:val="center"/>
          </w:tcPr>
          <w:p w14:paraId="6D4931AB">
            <w:pPr>
              <w:spacing w:line="300" w:lineRule="exact"/>
              <w:jc w:val="center"/>
              <w:rPr>
                <w:rFonts w:hint="eastAsia" w:ascii="宋体" w:hAnsi="宋体" w:cs="Arial"/>
                <w:sz w:val="22"/>
                <w:szCs w:val="22"/>
              </w:rPr>
            </w:pPr>
          </w:p>
        </w:tc>
        <w:tc>
          <w:tcPr>
            <w:tcW w:w="1871" w:type="dxa"/>
            <w:noWrap w:val="0"/>
            <w:vAlign w:val="center"/>
          </w:tcPr>
          <w:p w14:paraId="68F471BD">
            <w:pPr>
              <w:spacing w:line="300" w:lineRule="exact"/>
              <w:jc w:val="center"/>
              <w:rPr>
                <w:rFonts w:hint="eastAsia" w:eastAsia="宋体"/>
                <w:sz w:val="22"/>
                <w:szCs w:val="22"/>
                <w:lang w:eastAsia="zh-CN"/>
              </w:rPr>
            </w:pPr>
            <w:r>
              <w:rPr>
                <w:rFonts w:hint="eastAsia"/>
                <w:sz w:val="22"/>
                <w:szCs w:val="22"/>
                <w:lang w:eastAsia="zh-CN"/>
              </w:rPr>
              <w:t>边坡工程</w:t>
            </w:r>
          </w:p>
        </w:tc>
        <w:tc>
          <w:tcPr>
            <w:tcW w:w="1433" w:type="dxa"/>
            <w:noWrap w:val="0"/>
            <w:vAlign w:val="center"/>
          </w:tcPr>
          <w:p w14:paraId="056394E0">
            <w:pPr>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5</w:t>
            </w:r>
          </w:p>
        </w:tc>
        <w:tc>
          <w:tcPr>
            <w:tcW w:w="2156" w:type="dxa"/>
            <w:shd w:val="clear" w:color="auto" w:fill="auto"/>
            <w:noWrap w:val="0"/>
            <w:vAlign w:val="center"/>
          </w:tcPr>
          <w:p w14:paraId="12684CCE">
            <w:pPr>
              <w:spacing w:line="300" w:lineRule="exact"/>
              <w:jc w:val="center"/>
              <w:rPr>
                <w:rFonts w:hint="default" w:ascii="Arial" w:hAnsi="Arial" w:eastAsia="宋体" w:cs="Arial"/>
                <w:kern w:val="2"/>
                <w:sz w:val="22"/>
                <w:szCs w:val="22"/>
                <w:lang w:val="en-US" w:eastAsia="zh-CN" w:bidi="ar-SA"/>
              </w:rPr>
            </w:pPr>
            <w:r>
              <w:rPr>
                <w:rFonts w:hint="eastAsia" w:ascii="Arial" w:hAnsi="Arial" w:cs="Arial"/>
                <w:sz w:val="22"/>
                <w:szCs w:val="22"/>
                <w:lang w:val="en-US" w:eastAsia="zh-CN"/>
              </w:rPr>
              <w:t>20</w:t>
            </w:r>
          </w:p>
        </w:tc>
        <w:tc>
          <w:tcPr>
            <w:tcW w:w="1900" w:type="dxa"/>
            <w:shd w:val="clear" w:color="auto" w:fill="auto"/>
            <w:noWrap w:val="0"/>
            <w:vAlign w:val="center"/>
          </w:tcPr>
          <w:p w14:paraId="4C936C36">
            <w:pPr>
              <w:spacing w:line="300" w:lineRule="exact"/>
              <w:jc w:val="center"/>
              <w:rPr>
                <w:rFonts w:hint="eastAsia" w:ascii="Arial" w:hAnsi="Arial" w:eastAsia="宋体" w:cs="Arial"/>
                <w:kern w:val="2"/>
                <w:sz w:val="22"/>
                <w:szCs w:val="22"/>
                <w:lang w:val="en-US" w:eastAsia="zh-CN" w:bidi="ar-SA"/>
              </w:rPr>
            </w:pPr>
            <w:r>
              <w:rPr>
                <w:rFonts w:hint="eastAsia" w:ascii="Arial" w:hAnsi="Arial" w:cs="Arial"/>
                <w:sz w:val="22"/>
                <w:szCs w:val="22"/>
              </w:rPr>
              <w:t>200</w:t>
            </w:r>
          </w:p>
        </w:tc>
      </w:tr>
      <w:tr w14:paraId="63CEC7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8" w:type="dxa"/>
            <w:vMerge w:val="continue"/>
            <w:noWrap w:val="0"/>
            <w:vAlign w:val="center"/>
          </w:tcPr>
          <w:p w14:paraId="068EF64E">
            <w:pPr>
              <w:spacing w:line="300" w:lineRule="exact"/>
              <w:jc w:val="center"/>
              <w:rPr>
                <w:rFonts w:hint="eastAsia" w:ascii="宋体" w:hAnsi="宋体" w:cs="Arial"/>
                <w:sz w:val="22"/>
                <w:szCs w:val="22"/>
              </w:rPr>
            </w:pPr>
          </w:p>
        </w:tc>
        <w:tc>
          <w:tcPr>
            <w:tcW w:w="630" w:type="dxa"/>
            <w:vMerge w:val="continue"/>
            <w:noWrap w:val="0"/>
            <w:vAlign w:val="center"/>
          </w:tcPr>
          <w:p w14:paraId="436A9FB2">
            <w:pPr>
              <w:spacing w:line="300" w:lineRule="exact"/>
              <w:jc w:val="center"/>
              <w:rPr>
                <w:rFonts w:hint="eastAsia" w:ascii="宋体" w:hAnsi="宋体" w:cs="Arial"/>
                <w:sz w:val="22"/>
                <w:szCs w:val="22"/>
              </w:rPr>
            </w:pPr>
          </w:p>
        </w:tc>
        <w:tc>
          <w:tcPr>
            <w:tcW w:w="1871" w:type="dxa"/>
            <w:noWrap w:val="0"/>
            <w:vAlign w:val="center"/>
          </w:tcPr>
          <w:p w14:paraId="32C2CD7C">
            <w:pPr>
              <w:spacing w:line="300" w:lineRule="exact"/>
              <w:jc w:val="center"/>
              <w:rPr>
                <w:rFonts w:hint="eastAsia"/>
                <w:sz w:val="22"/>
                <w:szCs w:val="22"/>
                <w:lang w:eastAsia="zh-CN"/>
              </w:rPr>
            </w:pPr>
            <w:r>
              <w:rPr>
                <w:rFonts w:hint="eastAsia" w:ascii="宋体" w:hAnsi="宋体" w:cs="Arial"/>
                <w:sz w:val="22"/>
                <w:szCs w:val="22"/>
                <w:lang w:eastAsia="zh-CN"/>
              </w:rPr>
              <w:t>供水建筑物</w:t>
            </w:r>
          </w:p>
        </w:tc>
        <w:tc>
          <w:tcPr>
            <w:tcW w:w="1433" w:type="dxa"/>
            <w:noWrap w:val="0"/>
            <w:vAlign w:val="center"/>
          </w:tcPr>
          <w:p w14:paraId="661FAA34">
            <w:pPr>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4</w:t>
            </w:r>
          </w:p>
        </w:tc>
        <w:tc>
          <w:tcPr>
            <w:tcW w:w="2156" w:type="dxa"/>
            <w:noWrap w:val="0"/>
            <w:vAlign w:val="center"/>
          </w:tcPr>
          <w:p w14:paraId="590506F9">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10</w:t>
            </w:r>
          </w:p>
        </w:tc>
        <w:tc>
          <w:tcPr>
            <w:tcW w:w="1900" w:type="dxa"/>
            <w:noWrap w:val="0"/>
            <w:vAlign w:val="center"/>
          </w:tcPr>
          <w:p w14:paraId="6617FBFA">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30</w:t>
            </w:r>
          </w:p>
        </w:tc>
      </w:tr>
      <w:tr w14:paraId="35E096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8" w:type="dxa"/>
            <w:vMerge w:val="continue"/>
            <w:noWrap w:val="0"/>
            <w:vAlign w:val="center"/>
          </w:tcPr>
          <w:p w14:paraId="77248DF0">
            <w:pPr>
              <w:spacing w:line="300" w:lineRule="exact"/>
              <w:jc w:val="center"/>
              <w:rPr>
                <w:rFonts w:hint="eastAsia" w:ascii="宋体" w:hAnsi="宋体" w:cs="Arial"/>
                <w:sz w:val="22"/>
                <w:szCs w:val="22"/>
              </w:rPr>
            </w:pPr>
          </w:p>
        </w:tc>
        <w:tc>
          <w:tcPr>
            <w:tcW w:w="630" w:type="dxa"/>
            <w:vMerge w:val="continue"/>
            <w:noWrap w:val="0"/>
            <w:vAlign w:val="center"/>
          </w:tcPr>
          <w:p w14:paraId="7BB7AC0E">
            <w:pPr>
              <w:spacing w:line="300" w:lineRule="exact"/>
              <w:jc w:val="center"/>
              <w:rPr>
                <w:rFonts w:hint="eastAsia" w:ascii="宋体" w:hAnsi="宋体" w:cs="Arial"/>
                <w:sz w:val="22"/>
                <w:szCs w:val="22"/>
              </w:rPr>
            </w:pPr>
          </w:p>
        </w:tc>
        <w:tc>
          <w:tcPr>
            <w:tcW w:w="1871" w:type="dxa"/>
            <w:noWrap w:val="0"/>
            <w:vAlign w:val="center"/>
          </w:tcPr>
          <w:p w14:paraId="791E1A03">
            <w:pPr>
              <w:spacing w:line="300" w:lineRule="exact"/>
              <w:jc w:val="center"/>
              <w:rPr>
                <w:rFonts w:hint="eastAsia" w:ascii="宋体" w:hAnsi="宋体" w:eastAsia="宋体" w:cs="Arial"/>
                <w:sz w:val="22"/>
                <w:szCs w:val="22"/>
                <w:lang w:eastAsia="zh-CN"/>
              </w:rPr>
            </w:pPr>
            <w:r>
              <w:rPr>
                <w:rFonts w:hint="eastAsia" w:ascii="宋体" w:hAnsi="宋体" w:cs="Arial"/>
                <w:sz w:val="22"/>
                <w:szCs w:val="22"/>
                <w:lang w:eastAsia="zh-CN"/>
              </w:rPr>
              <w:t>渠系建筑物</w:t>
            </w:r>
          </w:p>
        </w:tc>
        <w:tc>
          <w:tcPr>
            <w:tcW w:w="1433" w:type="dxa"/>
            <w:noWrap w:val="0"/>
            <w:vAlign w:val="center"/>
          </w:tcPr>
          <w:p w14:paraId="538171EF">
            <w:pPr>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4</w:t>
            </w:r>
          </w:p>
        </w:tc>
        <w:tc>
          <w:tcPr>
            <w:tcW w:w="2156" w:type="dxa"/>
            <w:noWrap w:val="0"/>
            <w:vAlign w:val="center"/>
          </w:tcPr>
          <w:p w14:paraId="6E4C3622">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10</w:t>
            </w:r>
          </w:p>
        </w:tc>
        <w:tc>
          <w:tcPr>
            <w:tcW w:w="1900" w:type="dxa"/>
            <w:noWrap w:val="0"/>
            <w:vAlign w:val="center"/>
          </w:tcPr>
          <w:p w14:paraId="77ADF964">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30</w:t>
            </w:r>
          </w:p>
        </w:tc>
      </w:tr>
      <w:tr w14:paraId="4522D9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8" w:type="dxa"/>
            <w:noWrap w:val="0"/>
            <w:vAlign w:val="center"/>
          </w:tcPr>
          <w:p w14:paraId="50991A1B">
            <w:pPr>
              <w:spacing w:line="300" w:lineRule="exact"/>
              <w:jc w:val="center"/>
              <w:rPr>
                <w:rFonts w:hint="eastAsia" w:ascii="宋体" w:hAnsi="宋体" w:cs="Arial"/>
                <w:sz w:val="22"/>
                <w:szCs w:val="22"/>
              </w:rPr>
            </w:pPr>
            <w:r>
              <w:rPr>
                <w:rFonts w:hint="eastAsia" w:ascii="宋体" w:hAnsi="宋体" w:cs="Arial"/>
                <w:sz w:val="22"/>
                <w:szCs w:val="22"/>
              </w:rPr>
              <w:t>临时建筑物</w:t>
            </w:r>
          </w:p>
        </w:tc>
        <w:tc>
          <w:tcPr>
            <w:tcW w:w="2501" w:type="dxa"/>
            <w:gridSpan w:val="2"/>
            <w:noWrap w:val="0"/>
            <w:vAlign w:val="center"/>
          </w:tcPr>
          <w:p w14:paraId="2DB99103">
            <w:pPr>
              <w:spacing w:line="300" w:lineRule="exact"/>
              <w:jc w:val="center"/>
              <w:rPr>
                <w:rFonts w:hint="eastAsia" w:ascii="宋体" w:hAnsi="宋体" w:cs="Arial"/>
                <w:sz w:val="22"/>
                <w:szCs w:val="22"/>
              </w:rPr>
            </w:pPr>
            <w:r>
              <w:rPr>
                <w:rFonts w:hint="eastAsia" w:ascii="宋体" w:hAnsi="宋体" w:cs="Arial"/>
                <w:sz w:val="22"/>
                <w:szCs w:val="22"/>
              </w:rPr>
              <w:t>导流</w:t>
            </w:r>
            <w:r>
              <w:rPr>
                <w:rFonts w:hint="eastAsia" w:ascii="宋体" w:hAnsi="宋体" w:cs="Arial"/>
                <w:sz w:val="22"/>
                <w:szCs w:val="22"/>
                <w:lang w:eastAsia="zh-CN"/>
              </w:rPr>
              <w:t>围堰等临时</w:t>
            </w:r>
            <w:r>
              <w:rPr>
                <w:rFonts w:hint="eastAsia" w:ascii="宋体" w:hAnsi="宋体" w:cs="Arial"/>
                <w:sz w:val="22"/>
                <w:szCs w:val="22"/>
              </w:rPr>
              <w:t>建筑物</w:t>
            </w:r>
          </w:p>
        </w:tc>
        <w:tc>
          <w:tcPr>
            <w:tcW w:w="1433" w:type="dxa"/>
            <w:noWrap w:val="0"/>
            <w:vAlign w:val="center"/>
          </w:tcPr>
          <w:p w14:paraId="651DE417">
            <w:pPr>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5</w:t>
            </w:r>
          </w:p>
        </w:tc>
        <w:tc>
          <w:tcPr>
            <w:tcW w:w="2156" w:type="dxa"/>
            <w:noWrap w:val="0"/>
            <w:vAlign w:val="center"/>
          </w:tcPr>
          <w:p w14:paraId="1F9A6A80">
            <w:pPr>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5</w:t>
            </w:r>
          </w:p>
        </w:tc>
        <w:tc>
          <w:tcPr>
            <w:tcW w:w="1900" w:type="dxa"/>
            <w:noWrap w:val="0"/>
            <w:vAlign w:val="center"/>
          </w:tcPr>
          <w:p w14:paraId="739DF9AB">
            <w:pPr>
              <w:spacing w:line="300" w:lineRule="exact"/>
              <w:jc w:val="center"/>
              <w:rPr>
                <w:rFonts w:hint="eastAsia" w:ascii="Arial" w:hAnsi="Arial" w:cs="Arial"/>
                <w:sz w:val="22"/>
                <w:szCs w:val="22"/>
              </w:rPr>
            </w:pPr>
            <w:r>
              <w:rPr>
                <w:rFonts w:hint="eastAsia" w:ascii="Arial" w:hAnsi="Arial" w:cs="Arial"/>
                <w:sz w:val="22"/>
                <w:szCs w:val="22"/>
              </w:rPr>
              <w:t>/</w:t>
            </w:r>
          </w:p>
        </w:tc>
      </w:tr>
    </w:tbl>
    <w:p w14:paraId="6F79C88E">
      <w:pPr>
        <w:pStyle w:val="5"/>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lang w:eastAsia="zh-CN"/>
        </w:rPr>
      </w:pPr>
    </w:p>
    <w:p w14:paraId="56FD37CD">
      <w:pPr>
        <w:spacing w:line="480" w:lineRule="exact"/>
        <w:ind w:firstLine="392" w:firstLineChars="150"/>
        <w:rPr>
          <w:rFonts w:hint="eastAsia" w:ascii="Arial" w:hAnsi="Arial" w:eastAsia="宋体" w:cs="Arial"/>
          <w:b/>
          <w:sz w:val="26"/>
          <w:szCs w:val="26"/>
          <w:lang w:eastAsia="zh-CN"/>
        </w:rPr>
      </w:pPr>
      <w:r>
        <w:rPr>
          <w:rFonts w:hint="eastAsia" w:ascii="Arial" w:hAnsi="Arial" w:cs="Arial"/>
          <w:b/>
          <w:sz w:val="26"/>
          <w:szCs w:val="26"/>
        </w:rPr>
        <w:t>（</w:t>
      </w:r>
      <w:r>
        <w:rPr>
          <w:rFonts w:hint="eastAsia" w:ascii="Arial" w:hAnsi="Arial" w:cs="Arial"/>
          <w:b/>
          <w:sz w:val="26"/>
          <w:szCs w:val="26"/>
          <w:lang w:val="en-US" w:eastAsia="zh-CN"/>
        </w:rPr>
        <w:t>4</w:t>
      </w:r>
      <w:r>
        <w:rPr>
          <w:rFonts w:hint="eastAsia" w:ascii="Arial" w:hAnsi="Arial" w:cs="Arial"/>
          <w:b/>
          <w:sz w:val="26"/>
          <w:szCs w:val="26"/>
        </w:rPr>
        <w:t>）</w:t>
      </w:r>
      <w:r>
        <w:rPr>
          <w:rFonts w:hint="eastAsia" w:ascii="Arial" w:hAnsi="Arial" w:cs="Arial"/>
          <w:b/>
          <w:sz w:val="26"/>
          <w:szCs w:val="26"/>
          <w:lang w:eastAsia="zh-CN"/>
        </w:rPr>
        <w:t>工程运行调度</w:t>
      </w:r>
    </w:p>
    <w:p w14:paraId="4A1D0661">
      <w:pPr>
        <w:pStyle w:val="2105"/>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default" w:ascii="Arial" w:hAnsi="Arial" w:cs="Arial"/>
          <w:sz w:val="26"/>
          <w:szCs w:val="26"/>
        </w:rPr>
        <w:t>海螺沟水库正常蓄水位420.0m，正常库容65.36万m</w:t>
      </w:r>
      <w:r>
        <w:rPr>
          <w:rFonts w:hint="default" w:ascii="Arial" w:hAnsi="Arial" w:cs="Arial"/>
          <w:sz w:val="26"/>
          <w:szCs w:val="26"/>
          <w:vertAlign w:val="superscript"/>
        </w:rPr>
        <w:t>3</w:t>
      </w:r>
      <w:r>
        <w:rPr>
          <w:rFonts w:hint="default" w:ascii="Arial" w:hAnsi="Arial" w:cs="Arial"/>
          <w:sz w:val="26"/>
          <w:szCs w:val="26"/>
        </w:rPr>
        <w:t>，死水位407.5m，死库容5.62万m</w:t>
      </w:r>
      <w:r>
        <w:rPr>
          <w:rFonts w:hint="default" w:ascii="Arial" w:hAnsi="Arial" w:cs="Arial"/>
          <w:sz w:val="26"/>
          <w:szCs w:val="26"/>
          <w:vertAlign w:val="superscript"/>
        </w:rPr>
        <w:t>3</w:t>
      </w:r>
      <w:r>
        <w:rPr>
          <w:rFonts w:hint="default" w:ascii="Arial" w:hAnsi="Arial" w:cs="Arial"/>
          <w:sz w:val="26"/>
          <w:szCs w:val="26"/>
        </w:rPr>
        <w:t>，调节库容59.74万m</w:t>
      </w:r>
      <w:r>
        <w:rPr>
          <w:rFonts w:hint="default" w:ascii="Arial" w:hAnsi="Arial" w:cs="Arial"/>
          <w:sz w:val="26"/>
          <w:szCs w:val="26"/>
          <w:vertAlign w:val="superscript"/>
        </w:rPr>
        <w:t>3</w:t>
      </w:r>
      <w:r>
        <w:rPr>
          <w:rFonts w:hint="default" w:ascii="Arial" w:hAnsi="Arial" w:cs="Arial"/>
          <w:sz w:val="26"/>
          <w:szCs w:val="26"/>
        </w:rPr>
        <w:t>，水库总库容80.51万m</w:t>
      </w:r>
      <w:r>
        <w:rPr>
          <w:rFonts w:hint="default" w:ascii="Arial" w:hAnsi="Arial" w:cs="Arial"/>
          <w:sz w:val="26"/>
          <w:szCs w:val="26"/>
          <w:vertAlign w:val="superscript"/>
        </w:rPr>
        <w:t>3</w:t>
      </w:r>
      <w:r>
        <w:rPr>
          <w:rFonts w:hint="default" w:ascii="Arial" w:hAnsi="Arial" w:cs="Arial"/>
          <w:sz w:val="26"/>
          <w:szCs w:val="26"/>
        </w:rPr>
        <w:t>。为多年调节水库，为使水库不在枯水年时提前放空，使供水遭到破坏，或丰水年时水库长期蓄满水形成大量弃水，充分发挥水库的调节功能，最大程度地利用水库的综合效益，拟定水库调度原则如下：</w:t>
      </w:r>
    </w:p>
    <w:p w14:paraId="31699BDA">
      <w:pPr>
        <w:pStyle w:val="2105"/>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eastAsia" w:ascii="Arial" w:hAnsi="Arial" w:cs="Arial"/>
          <w:sz w:val="26"/>
          <w:szCs w:val="26"/>
        </w:rPr>
        <w:t>①</w:t>
      </w:r>
      <w:r>
        <w:rPr>
          <w:rFonts w:hint="default" w:ascii="Arial" w:hAnsi="Arial" w:cs="Arial"/>
          <w:sz w:val="26"/>
          <w:szCs w:val="26"/>
        </w:rPr>
        <w:t>水库水位在保证供水区范围时，按正常需要供水；</w:t>
      </w:r>
    </w:p>
    <w:p w14:paraId="2B3D2B08">
      <w:pPr>
        <w:pStyle w:val="2105"/>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default" w:ascii="Arial" w:hAnsi="Arial" w:cs="Arial"/>
          <w:sz w:val="26"/>
          <w:szCs w:val="26"/>
        </w:rPr>
        <w:t>②水库运行方式是：针对供水对象，在保证生态流量的前提下，优先保证场镇及农村生活用水，其次是灌溉用水；</w:t>
      </w:r>
    </w:p>
    <w:p w14:paraId="3E399F55">
      <w:pPr>
        <w:pStyle w:val="2105"/>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eastAsia" w:ascii="Arial" w:hAnsi="Arial" w:cs="Arial"/>
          <w:sz w:val="26"/>
          <w:szCs w:val="26"/>
        </w:rPr>
        <w:t>③</w:t>
      </w:r>
      <w:r>
        <w:rPr>
          <w:rFonts w:hint="default" w:ascii="Arial" w:hAnsi="Arial" w:cs="Arial"/>
          <w:sz w:val="26"/>
          <w:szCs w:val="26"/>
        </w:rPr>
        <w:t>水库供水遭到破坏年份时，须限制供水，在满足下泄最小生态用水前提下，供水顺序应优先满足场镇及农村生活饮水，然后是灌溉用水；</w:t>
      </w:r>
    </w:p>
    <w:p w14:paraId="40DD823D">
      <w:pPr>
        <w:pStyle w:val="2105"/>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eastAsia" w:ascii="Arial" w:hAnsi="Arial" w:cs="Arial"/>
          <w:sz w:val="26"/>
          <w:szCs w:val="26"/>
        </w:rPr>
        <w:t>④</w:t>
      </w:r>
      <w:r>
        <w:rPr>
          <w:rFonts w:hint="default" w:ascii="Arial" w:hAnsi="Arial" w:cs="Arial"/>
          <w:sz w:val="26"/>
          <w:szCs w:val="26"/>
        </w:rPr>
        <w:t>水库水位超过正常蓄水位时，可加大放水流量，尽可能减少弃水；</w:t>
      </w:r>
    </w:p>
    <w:p w14:paraId="7789B8E3">
      <w:pPr>
        <w:pStyle w:val="2105"/>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eastAsia" w:ascii="Arial" w:hAnsi="Arial" w:cs="Arial"/>
          <w:sz w:val="26"/>
          <w:szCs w:val="26"/>
        </w:rPr>
        <w:t>⑤</w:t>
      </w:r>
      <w:r>
        <w:rPr>
          <w:rFonts w:hint="default" w:ascii="Arial" w:hAnsi="Arial" w:cs="Arial"/>
          <w:sz w:val="26"/>
          <w:szCs w:val="26"/>
        </w:rPr>
        <w:t>水库水位消落至死水位时，应停止供水，不能随意动用死库容，防止下一年供水遭破坏。</w:t>
      </w:r>
    </w:p>
    <w:p w14:paraId="7F69138D">
      <w:pPr>
        <w:spacing w:line="480" w:lineRule="exact"/>
        <w:ind w:firstLine="392" w:firstLineChars="150"/>
        <w:rPr>
          <w:rFonts w:hint="eastAsia" w:ascii="Arial" w:hAnsi="Arial" w:eastAsia="宋体" w:cs="Arial"/>
          <w:b/>
          <w:sz w:val="26"/>
          <w:szCs w:val="26"/>
          <w:lang w:eastAsia="zh-CN"/>
        </w:rPr>
      </w:pPr>
      <w:r>
        <w:rPr>
          <w:rFonts w:hint="eastAsia" w:ascii="Arial" w:hAnsi="Arial" w:cs="Arial"/>
          <w:b/>
          <w:sz w:val="26"/>
          <w:szCs w:val="26"/>
        </w:rPr>
        <w:t>（</w:t>
      </w:r>
      <w:r>
        <w:rPr>
          <w:rFonts w:hint="eastAsia" w:ascii="Arial" w:hAnsi="Arial" w:cs="Arial"/>
          <w:b/>
          <w:sz w:val="26"/>
          <w:szCs w:val="26"/>
          <w:lang w:val="en-US" w:eastAsia="zh-CN"/>
        </w:rPr>
        <w:t>5</w:t>
      </w:r>
      <w:r>
        <w:rPr>
          <w:rFonts w:hint="eastAsia" w:ascii="Arial" w:hAnsi="Arial" w:cs="Arial"/>
          <w:b/>
          <w:sz w:val="26"/>
          <w:szCs w:val="26"/>
        </w:rPr>
        <w:t>）</w:t>
      </w:r>
      <w:r>
        <w:rPr>
          <w:rFonts w:hint="eastAsia" w:ascii="Arial" w:hAnsi="Arial" w:cs="Arial"/>
          <w:b/>
          <w:sz w:val="26"/>
          <w:szCs w:val="26"/>
          <w:lang w:eastAsia="zh-CN"/>
        </w:rPr>
        <w:t>初期蓄水</w:t>
      </w:r>
    </w:p>
    <w:p w14:paraId="08093B44">
      <w:pPr>
        <w:spacing w:line="460" w:lineRule="exact"/>
        <w:ind w:firstLine="520" w:firstLineChars="200"/>
        <w:rPr>
          <w:rFonts w:ascii="Arial" w:hAnsi="Arial" w:cs="Arial"/>
          <w:bCs/>
          <w:sz w:val="26"/>
          <w:szCs w:val="26"/>
        </w:rPr>
      </w:pPr>
      <w:r>
        <w:rPr>
          <w:rFonts w:hint="eastAsia" w:ascii="Arial" w:hAnsi="Arial" w:cs="Arial"/>
          <w:bCs/>
          <w:sz w:val="26"/>
          <w:szCs w:val="26"/>
        </w:rPr>
        <w:t>在</w:t>
      </w:r>
      <w:r>
        <w:rPr>
          <w:rFonts w:hint="eastAsia" w:ascii="Arial" w:hAnsi="Arial" w:cs="Arial"/>
          <w:bCs/>
          <w:sz w:val="26"/>
          <w:szCs w:val="26"/>
          <w:lang w:eastAsia="zh-CN"/>
        </w:rPr>
        <w:t>海螺沟</w:t>
      </w:r>
      <w:r>
        <w:rPr>
          <w:rFonts w:hint="eastAsia" w:ascii="Arial" w:hAnsi="Arial" w:cs="Arial"/>
          <w:bCs/>
          <w:sz w:val="26"/>
          <w:szCs w:val="26"/>
        </w:rPr>
        <w:t>水库建成后，经检验具备投入正常运行条件的情况下，进行初期蓄水，具体方案由业主单位根据实际情况制定。一般需要经过</w:t>
      </w:r>
      <w:r>
        <w:rPr>
          <w:rFonts w:ascii="Arial" w:hAnsi="Arial" w:cs="Arial"/>
          <w:bCs/>
          <w:sz w:val="26"/>
          <w:szCs w:val="26"/>
        </w:rPr>
        <w:t>3</w:t>
      </w:r>
      <w:r>
        <w:rPr>
          <w:rFonts w:hint="eastAsia" w:ascii="Arial" w:hAnsi="Arial" w:cs="Arial"/>
          <w:bCs/>
          <w:sz w:val="26"/>
          <w:szCs w:val="26"/>
        </w:rPr>
        <w:t>次蓄水，其中：第一阶段为封堵导流设施，蓄水至死水位</w:t>
      </w:r>
      <w:r>
        <w:rPr>
          <w:rFonts w:hint="eastAsia" w:ascii="Arial" w:hAnsi="Arial" w:cs="Arial"/>
          <w:bCs/>
          <w:sz w:val="26"/>
          <w:szCs w:val="26"/>
          <w:lang w:val="en-US" w:eastAsia="zh-CN"/>
        </w:rPr>
        <w:t>407.5</w:t>
      </w:r>
      <w:r>
        <w:rPr>
          <w:rFonts w:ascii="Arial" w:hAnsi="Arial" w:cs="Arial"/>
          <w:bCs/>
          <w:sz w:val="26"/>
          <w:szCs w:val="26"/>
        </w:rPr>
        <w:t>m</w:t>
      </w:r>
      <w:r>
        <w:rPr>
          <w:rFonts w:hint="eastAsia" w:ascii="Arial" w:hAnsi="Arial" w:cs="Arial"/>
          <w:bCs/>
          <w:sz w:val="26"/>
          <w:szCs w:val="26"/>
        </w:rPr>
        <w:t>，该阶段生态流量采用抽水泵站供给，以后阶段均采用生态流量下放设施放水；第二阶段由死水位蓄水至</w:t>
      </w:r>
      <w:r>
        <w:rPr>
          <w:rFonts w:hint="eastAsia" w:ascii="Arial" w:hAnsi="Arial" w:cs="Arial"/>
          <w:bCs/>
          <w:sz w:val="26"/>
          <w:szCs w:val="26"/>
          <w:lang w:val="en-US" w:eastAsia="zh-CN"/>
        </w:rPr>
        <w:t>415.0</w:t>
      </w:r>
      <w:r>
        <w:rPr>
          <w:rFonts w:hint="eastAsia" w:ascii="Arial" w:hAnsi="Arial" w:cs="Arial"/>
          <w:bCs/>
          <w:sz w:val="26"/>
          <w:szCs w:val="26"/>
        </w:rPr>
        <w:t>m高程；第三阶段蓄水至4</w:t>
      </w:r>
      <w:r>
        <w:rPr>
          <w:rFonts w:hint="eastAsia" w:ascii="Arial" w:hAnsi="Arial" w:cs="Arial"/>
          <w:bCs/>
          <w:sz w:val="26"/>
          <w:szCs w:val="26"/>
          <w:lang w:val="en-US" w:eastAsia="zh-CN"/>
        </w:rPr>
        <w:t>20.0</w:t>
      </w:r>
      <w:r>
        <w:rPr>
          <w:rFonts w:ascii="Arial" w:hAnsi="Arial" w:cs="Arial"/>
          <w:bCs/>
          <w:sz w:val="26"/>
          <w:szCs w:val="26"/>
        </w:rPr>
        <w:t>m</w:t>
      </w:r>
      <w:r>
        <w:rPr>
          <w:rFonts w:hint="eastAsia" w:ascii="Arial" w:hAnsi="Arial" w:cs="Arial"/>
          <w:bCs/>
          <w:sz w:val="26"/>
          <w:szCs w:val="26"/>
        </w:rPr>
        <w:t>正常蓄水位。</w:t>
      </w:r>
    </w:p>
    <w:p w14:paraId="56603911">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cs="Arial"/>
          <w:sz w:val="26"/>
          <w:szCs w:val="26"/>
        </w:rPr>
      </w:pPr>
      <w:r>
        <w:rPr>
          <w:rFonts w:hint="eastAsia" w:ascii="Arial" w:hAnsi="Arial" w:cs="Arial"/>
          <w:bCs/>
          <w:sz w:val="26"/>
          <w:szCs w:val="26"/>
        </w:rPr>
        <w:t>各个阶段之间间隔</w:t>
      </w:r>
      <w:r>
        <w:rPr>
          <w:rFonts w:ascii="Arial" w:hAnsi="Arial" w:cs="Arial"/>
          <w:bCs/>
          <w:sz w:val="26"/>
          <w:szCs w:val="26"/>
        </w:rPr>
        <w:t>15d</w:t>
      </w:r>
      <w:r>
        <w:rPr>
          <w:rFonts w:hint="eastAsia" w:ascii="Arial" w:hAnsi="Arial" w:cs="Arial"/>
          <w:bCs/>
          <w:sz w:val="26"/>
          <w:szCs w:val="26"/>
        </w:rPr>
        <w:t>观测时间。操作中严格按批准的初期蓄水方案，有序组织进行蓄水；坚决杜绝未验收及蓄水，超设计标准蓄水行为发生。</w:t>
      </w:r>
    </w:p>
    <w:p w14:paraId="18D5E291">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2.2.5工程布置及主要建筑物</w:t>
      </w:r>
    </w:p>
    <w:p w14:paraId="2D5C2897">
      <w:pPr>
        <w:spacing w:line="440" w:lineRule="exact"/>
        <w:ind w:firstLine="520" w:firstLineChars="200"/>
        <w:rPr>
          <w:rFonts w:hint="eastAsia" w:ascii="Arial" w:cs="Arial"/>
          <w:sz w:val="26"/>
          <w:szCs w:val="26"/>
        </w:rPr>
      </w:pPr>
      <w:r>
        <w:rPr>
          <w:rFonts w:hint="eastAsia" w:ascii="Arial" w:cs="Arial"/>
          <w:sz w:val="26"/>
          <w:szCs w:val="26"/>
        </w:rPr>
        <w:t>本项目由大坝枢纽工程、输水工程</w:t>
      </w:r>
      <w:r>
        <w:rPr>
          <w:rFonts w:hint="eastAsia" w:ascii="Arial" w:cs="Arial"/>
          <w:sz w:val="26"/>
          <w:szCs w:val="26"/>
          <w:lang w:eastAsia="zh-CN"/>
        </w:rPr>
        <w:t>和附属设施工程三</w:t>
      </w:r>
      <w:r>
        <w:rPr>
          <w:rFonts w:hint="eastAsia" w:ascii="Arial" w:cs="Arial"/>
          <w:sz w:val="26"/>
          <w:szCs w:val="26"/>
        </w:rPr>
        <w:t>部分组成。</w:t>
      </w:r>
    </w:p>
    <w:p w14:paraId="0729934F">
      <w:pPr>
        <w:spacing w:line="440" w:lineRule="exact"/>
        <w:ind w:firstLine="392" w:firstLineChars="150"/>
        <w:rPr>
          <w:rFonts w:hint="eastAsia" w:ascii="Arial" w:hAnsi="Arial" w:cs="Arial"/>
          <w:b/>
          <w:sz w:val="26"/>
          <w:szCs w:val="26"/>
        </w:rPr>
      </w:pPr>
      <w:r>
        <w:rPr>
          <w:rFonts w:hint="eastAsia" w:ascii="Arial" w:hAnsi="Arial" w:cs="Arial"/>
          <w:b/>
          <w:sz w:val="26"/>
          <w:szCs w:val="26"/>
        </w:rPr>
        <w:t>（1）大坝枢纽工程</w:t>
      </w:r>
    </w:p>
    <w:p w14:paraId="1702824A">
      <w:pPr>
        <w:spacing w:line="440" w:lineRule="exact"/>
        <w:ind w:firstLine="522" w:firstLineChars="200"/>
        <w:rPr>
          <w:rFonts w:ascii="Arial" w:hAnsi="Arial" w:cs="Arial"/>
          <w:b/>
          <w:bCs/>
          <w:sz w:val="26"/>
        </w:rPr>
      </w:pPr>
      <w:r>
        <w:rPr>
          <w:rFonts w:hint="eastAsia" w:ascii="Arial" w:hAnsi="Arial" w:cs="Arial"/>
          <w:b/>
          <w:bCs/>
          <w:sz w:val="26"/>
        </w:rPr>
        <w:t>① 挡水</w:t>
      </w:r>
      <w:r>
        <w:rPr>
          <w:rFonts w:hint="eastAsia" w:ascii="Arial" w:hAnsi="Arial" w:cs="Arial"/>
          <w:b/>
          <w:bCs/>
          <w:sz w:val="26"/>
          <w:lang w:eastAsia="zh-CN"/>
        </w:rPr>
        <w:t>、泄水</w:t>
      </w:r>
      <w:r>
        <w:rPr>
          <w:rFonts w:hint="eastAsia" w:ascii="Arial" w:hAnsi="Arial" w:cs="Arial"/>
          <w:b/>
          <w:bCs/>
          <w:sz w:val="26"/>
        </w:rPr>
        <w:t>建筑物</w:t>
      </w:r>
    </w:p>
    <w:p w14:paraId="551453F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default" w:ascii="Arial" w:hAnsi="Arial" w:cs="Arial"/>
          <w:sz w:val="26"/>
          <w:szCs w:val="26"/>
        </w:rPr>
        <w:t>挡水建筑物为C20埋石砼重力坝，埋石率20%，坝轴线长112.0m，坝顶宽度8.0m，坝顶高程424.0m，坝顶上下游侧设防撞设施栏杆，建议购买或者防撞设施替代，高1.2m。坝体由左岸非溢流坝段、溢流坝段、右岸非溢流坝段组成。</w:t>
      </w:r>
    </w:p>
    <w:p w14:paraId="37D1309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default" w:ascii="Arial" w:hAnsi="Arial" w:cs="Arial"/>
          <w:sz w:val="26"/>
          <w:szCs w:val="26"/>
        </w:rPr>
        <w:t>溢流坝段位于河床中部，溢流坝段长12.0m，堰顶高程420.0m，桥墩顶部高程423.7m，溢流坝段最低建基面高程393.5m，最大坝高30.5m。堰顶采用宽顶堰，溢流净宽9.0m，2孔布置，中墩厚1.0m，中墩及边墩的墩头采用半圆形，墩尾采用矩形。桥墩上设板梁式交通桥，交通桥顶高程与坝顶齐平为424.0m，梁底高程为423.3m。溢流堰堰顶曲线后设置消能阶梯，每阶宽0.4m，高0.5m，阶梯整体坡比为1：0.8，首尾顺接上下游结构，溢流斜坡宽度保持10.0m不变，消能阶梯下游接消力池，消力池池长19.5m，池深2.0m，池宽10.0m；消力池底板厚1.0m，采用C30钢筋砼结构，垂直设置直径d=110mm的PVC排水管，梅花型布置，排间距2</w:t>
      </w:r>
      <w:r>
        <w:rPr>
          <w:rFonts w:hint="eastAsia" w:ascii="Arial" w:hAnsi="Arial" w:cs="Arial"/>
          <w:sz w:val="26"/>
          <w:szCs w:val="26"/>
          <w:lang w:val="en-US" w:eastAsia="zh-CN"/>
        </w:rPr>
        <w:t>.0</w:t>
      </w:r>
      <w:r>
        <w:rPr>
          <w:rFonts w:hint="default" w:ascii="Arial" w:hAnsi="Arial" w:cs="Arial"/>
          <w:sz w:val="26"/>
          <w:szCs w:val="26"/>
        </w:rPr>
        <w:t>m，伸入基岩内3</w:t>
      </w:r>
      <w:r>
        <w:rPr>
          <w:rFonts w:hint="eastAsia" w:ascii="Arial" w:hAnsi="Arial" w:cs="Arial"/>
          <w:sz w:val="26"/>
          <w:szCs w:val="26"/>
          <w:lang w:val="en-US" w:eastAsia="zh-CN"/>
        </w:rPr>
        <w:t>.0</w:t>
      </w:r>
      <w:r>
        <w:rPr>
          <w:rFonts w:hint="default" w:ascii="Arial" w:hAnsi="Arial" w:cs="Arial"/>
          <w:sz w:val="26"/>
          <w:szCs w:val="26"/>
        </w:rPr>
        <w:t>m；消力池边墙高5.5m，埋深1.5m，墙身高4.0m，采用C25埋石砼衡重式挡墙，墙顶宽0.7m，墙底宽1.94m，在最大墙高1/2处设置0.7m宽平台，边墙临水侧坡比为1：0.1，背水坡坡比为1：0.3，墙身预埋φ50PVC排水管，间距2.0m，呈梅花形布置，孔后布置0.5m×0.5m土工布，土工布后设置0.4m×0.4m×0.4m反滤堆囊。尾水渠长64.74m，其中桩号坝纵0+047.84~坝纵0+057.84，宽度由10.0m收缩至7.0m，桩号坝纵0+057.84~坝纵0+112.58，宽度为7</w:t>
      </w:r>
      <w:r>
        <w:rPr>
          <w:rFonts w:hint="eastAsia" w:ascii="Arial" w:hAnsi="Arial" w:cs="Arial"/>
          <w:sz w:val="26"/>
          <w:szCs w:val="26"/>
          <w:lang w:val="en-US" w:eastAsia="zh-CN"/>
        </w:rPr>
        <w:t>.0</w:t>
      </w:r>
      <w:r>
        <w:rPr>
          <w:rFonts w:hint="default" w:ascii="Arial" w:hAnsi="Arial" w:cs="Arial"/>
          <w:sz w:val="26"/>
          <w:szCs w:val="26"/>
        </w:rPr>
        <w:t>m，采用浆砌块石铺砌，厚0.5m，边墙高2</w:t>
      </w:r>
      <w:r>
        <w:rPr>
          <w:rFonts w:hint="eastAsia" w:ascii="Arial" w:hAnsi="Arial" w:cs="Arial"/>
          <w:sz w:val="26"/>
          <w:szCs w:val="26"/>
          <w:lang w:val="en-US" w:eastAsia="zh-CN"/>
        </w:rPr>
        <w:t>.0</w:t>
      </w:r>
      <w:r>
        <w:rPr>
          <w:rFonts w:hint="default" w:ascii="Arial" w:hAnsi="Arial" w:cs="Arial"/>
          <w:sz w:val="26"/>
          <w:szCs w:val="26"/>
        </w:rPr>
        <w:t>m，采用C25埋石砼重力式挡墙，墙顶宽0.6m，底宽1.1m，边墙临水侧直立，背水坡坡比为1：0.3，墙身预埋φ50PVC排水管，间距2.0m，呈梅花形布置，孔后布置0.5m×0.5m土工布，土工布后设置0.4m×0.4m×0.4m反滤堆囊。桩号坝纵0+057.84处布置人行桥1座，桥面尺寸（L×b×h）8.0×2.0×0.3m，C30钢筋砼板式结构。</w:t>
      </w:r>
    </w:p>
    <w:p w14:paraId="5FF7925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default" w:ascii="Arial" w:hAnsi="Arial" w:cs="Arial"/>
          <w:sz w:val="26"/>
          <w:szCs w:val="26"/>
        </w:rPr>
        <w:t>非溢流坝段布置于左、右两岸。左岸非溢流坝段长54.0m，坝顶宽8.0m。坝顶高程424.0m，上游坝面410.5m高程以上铅直，以下1：0.3，下游坝坡418.12m高程以上铅直，以下1：0.8。右岸非溢流坝段长46.0m，坝顶宽8.0m，坝体基本剖面与左岸非溢流坝相同。</w:t>
      </w:r>
    </w:p>
    <w:p w14:paraId="09D3FEF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default" w:ascii="Arial" w:hAnsi="Arial" w:cs="Arial"/>
          <w:sz w:val="26"/>
          <w:szCs w:val="26"/>
        </w:rPr>
        <w:t>坝基基岩采用单排帷幕防渗，帷幕灌浆及防渗墙均伸入相对不透水层（≤5Lu）以下5m。</w:t>
      </w:r>
    </w:p>
    <w:p w14:paraId="2B896F2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default" w:ascii="Arial" w:hAnsi="Arial" w:cs="Arial"/>
          <w:sz w:val="26"/>
          <w:szCs w:val="26"/>
        </w:rPr>
        <w:t>大坝下游坝坡至尾水渠两侧与原地面线交接处布置1.5m宽步道，步道采用C20砼现浇，步道临自然边坡侧设置C20砼排水沟，排水沟净空宽×高为0.3m×0.3m，底板及边墙厚0.2m。</w:t>
      </w:r>
    </w:p>
    <w:p w14:paraId="5E751233">
      <w:pPr>
        <w:spacing w:line="440" w:lineRule="exact"/>
        <w:ind w:firstLine="522" w:firstLineChars="200"/>
        <w:rPr>
          <w:rFonts w:hint="eastAsia" w:ascii="Arial" w:hAnsi="Arial" w:cs="Arial"/>
          <w:b/>
          <w:bCs/>
          <w:sz w:val="26"/>
          <w:lang w:eastAsia="zh-CN"/>
        </w:rPr>
      </w:pPr>
      <w:r>
        <w:rPr>
          <w:rFonts w:hint="default" w:ascii="Arial" w:hAnsi="Arial" w:cs="Arial"/>
          <w:b/>
          <w:bCs/>
          <w:sz w:val="26"/>
        </w:rPr>
        <w:t>②</w:t>
      </w:r>
      <w:r>
        <w:rPr>
          <w:rFonts w:hint="eastAsia" w:ascii="Arial" w:hAnsi="Arial" w:cs="Arial"/>
          <w:b/>
          <w:bCs/>
          <w:sz w:val="26"/>
          <w:lang w:val="en-US" w:eastAsia="zh-CN"/>
        </w:rPr>
        <w:t xml:space="preserve"> 放空建筑物及生态放水管</w:t>
      </w:r>
    </w:p>
    <w:p w14:paraId="5F6C8BB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lang w:val="en-US" w:eastAsia="zh-CN"/>
        </w:rPr>
      </w:pPr>
      <w:r>
        <w:rPr>
          <w:rFonts w:hint="default" w:ascii="Arial" w:hAnsi="Arial" w:cs="Arial"/>
          <w:sz w:val="26"/>
          <w:szCs w:val="26"/>
        </w:rPr>
        <w:t>水库放空管采用永临结合的方式，利用导流管穿大坝段，采用内径D1000×8mm钢管，利用管道长89m，设控制阀1个，检修阀1个，在</w:t>
      </w:r>
      <w:r>
        <w:rPr>
          <w:rFonts w:hint="eastAsia" w:ascii="Arial" w:hAnsi="Arial" w:cs="Arial"/>
          <w:sz w:val="26"/>
          <w:szCs w:val="26"/>
        </w:rPr>
        <w:t>尾水渠</w:t>
      </w:r>
      <w:r>
        <w:rPr>
          <w:rFonts w:hint="default" w:ascii="Arial" w:hAnsi="Arial" w:cs="Arial"/>
          <w:sz w:val="26"/>
          <w:szCs w:val="26"/>
        </w:rPr>
        <w:t>左侧边墙左侧设面积为20m²的</w:t>
      </w:r>
      <w:r>
        <w:rPr>
          <w:rFonts w:hint="default" w:ascii="Arial" w:hAnsi="Arial" w:cs="Arial"/>
          <w:sz w:val="26"/>
          <w:szCs w:val="26"/>
          <w:lang w:val="zh-CN"/>
        </w:rPr>
        <w:t>闸阀房安装控制设备</w:t>
      </w:r>
      <w:r>
        <w:rPr>
          <w:rFonts w:hint="eastAsia" w:ascii="Arial" w:hAnsi="Arial" w:cs="Arial"/>
          <w:sz w:val="26"/>
          <w:szCs w:val="26"/>
          <w:lang w:val="zh-CN"/>
        </w:rPr>
        <w:t>，</w:t>
      </w:r>
      <w:r>
        <w:rPr>
          <w:rFonts w:hint="default" w:ascii="Arial" w:hAnsi="Arial" w:cs="Arial"/>
          <w:sz w:val="26"/>
          <w:szCs w:val="26"/>
        </w:rPr>
        <w:t>采用C25钢筋砼框架结构，预留灌区、供水、生态放水等接水处，设控制阀3个。</w:t>
      </w:r>
    </w:p>
    <w:p w14:paraId="000BC93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rPr>
      </w:pPr>
      <w:r>
        <w:rPr>
          <w:rFonts w:hint="default" w:ascii="Arial" w:hAnsi="Arial" w:cs="Arial"/>
          <w:sz w:val="26"/>
          <w:szCs w:val="26"/>
        </w:rPr>
        <w:t>本工程放水设施（兼做放生态流量功能）采用管道穿坝输水的型式。共设</w:t>
      </w:r>
      <w:r>
        <w:rPr>
          <w:rFonts w:hint="eastAsia" w:ascii="Arial" w:hAnsi="Arial" w:cs="Arial"/>
          <w:sz w:val="26"/>
          <w:szCs w:val="26"/>
        </w:rPr>
        <w:t>五</w:t>
      </w:r>
      <w:r>
        <w:rPr>
          <w:rFonts w:hint="default" w:ascii="Arial" w:hAnsi="Arial" w:cs="Arial"/>
          <w:sz w:val="26"/>
          <w:szCs w:val="26"/>
        </w:rPr>
        <w:t>层取水口，从上至下依次为1~5#取水口，1#、2#、3#</w:t>
      </w:r>
      <w:r>
        <w:rPr>
          <w:rFonts w:hint="eastAsia" w:ascii="Arial" w:hAnsi="Arial" w:cs="Arial"/>
          <w:sz w:val="26"/>
          <w:szCs w:val="26"/>
        </w:rPr>
        <w:t>、4</w:t>
      </w:r>
      <w:r>
        <w:rPr>
          <w:rFonts w:hint="default" w:ascii="Arial" w:hAnsi="Arial" w:cs="Arial"/>
          <w:sz w:val="26"/>
          <w:szCs w:val="26"/>
        </w:rPr>
        <w:t>#取水管采用D400×8mm钢管取水，最下层取水口利用导流管，内径D1000×8mm钢管取水，取水口高程（管顶高程）为418.0m、415.0m、412.0m</w:t>
      </w:r>
      <w:r>
        <w:rPr>
          <w:rFonts w:hint="eastAsia" w:ascii="Arial" w:hAnsi="Arial" w:cs="Arial"/>
          <w:sz w:val="26"/>
          <w:szCs w:val="26"/>
        </w:rPr>
        <w:t>、</w:t>
      </w:r>
      <w:r>
        <w:rPr>
          <w:rFonts w:hint="default" w:ascii="Arial" w:hAnsi="Arial" w:cs="Arial"/>
          <w:sz w:val="26"/>
          <w:szCs w:val="26"/>
        </w:rPr>
        <w:t>409.0m</w:t>
      </w:r>
      <w:r>
        <w:rPr>
          <w:rFonts w:hint="eastAsia" w:ascii="Arial" w:hAnsi="Arial" w:cs="Arial"/>
          <w:sz w:val="26"/>
          <w:szCs w:val="26"/>
        </w:rPr>
        <w:t>、</w:t>
      </w:r>
      <w:r>
        <w:rPr>
          <w:rFonts w:hint="default" w:ascii="Arial" w:hAnsi="Arial" w:cs="Arial"/>
          <w:sz w:val="26"/>
          <w:szCs w:val="26"/>
        </w:rPr>
        <w:t>405.5m，管道中心线分别位于桩号坝横0+036.0、坝横0+040.0、坝横0+044.0、坝横0+048.5、坝横0+052.28，出口中心线高程分别为415.0m、412.0m、409.0m、406.0m、400.94m。每根取水管进口处设置</w:t>
      </w:r>
      <w:r>
        <w:rPr>
          <w:rFonts w:hint="eastAsia" w:ascii="Arial" w:hAnsi="Arial" w:cs="Arial"/>
          <w:sz w:val="26"/>
          <w:szCs w:val="26"/>
        </w:rPr>
        <w:t>两道钢板</w:t>
      </w:r>
      <w:r>
        <w:rPr>
          <w:rFonts w:hint="default" w:ascii="Arial" w:hAnsi="Arial" w:cs="Arial"/>
          <w:sz w:val="26"/>
          <w:szCs w:val="26"/>
        </w:rPr>
        <w:t>截流环，上</w:t>
      </w:r>
      <w:r>
        <w:rPr>
          <w:rFonts w:hint="eastAsia" w:ascii="Arial" w:hAnsi="Arial" w:cs="Arial"/>
          <w:sz w:val="26"/>
          <w:szCs w:val="26"/>
        </w:rPr>
        <w:t>四</w:t>
      </w:r>
      <w:r>
        <w:rPr>
          <w:rFonts w:hint="default" w:ascii="Arial" w:hAnsi="Arial" w:cs="Arial"/>
          <w:sz w:val="26"/>
          <w:szCs w:val="26"/>
        </w:rPr>
        <w:t>层截流环为直径2.60m的圆环，最下层截流环为直径3.0m的圆环，包裹取水管道，厚10mm。坝内取水管分别设置控制阀和电磁流量，位于下游坝坡穿出处。</w:t>
      </w:r>
      <w:r>
        <w:rPr>
          <w:rFonts w:hint="eastAsia" w:ascii="Arial" w:hAnsi="Arial" w:cs="Arial"/>
          <w:sz w:val="26"/>
          <w:szCs w:val="26"/>
        </w:rPr>
        <w:t>五</w:t>
      </w:r>
      <w:r>
        <w:rPr>
          <w:rFonts w:hint="default" w:ascii="Arial" w:hAnsi="Arial" w:cs="Arial"/>
          <w:sz w:val="26"/>
          <w:szCs w:val="26"/>
        </w:rPr>
        <w:t>层取水管（1#、2#、3#、4#</w:t>
      </w:r>
      <w:r>
        <w:rPr>
          <w:rFonts w:hint="eastAsia" w:ascii="Arial" w:hAnsi="Arial" w:cs="Arial"/>
          <w:sz w:val="26"/>
          <w:szCs w:val="26"/>
        </w:rPr>
        <w:t>、5</w:t>
      </w:r>
      <w:r>
        <w:rPr>
          <w:rFonts w:hint="default" w:ascii="Arial" w:hAnsi="Arial" w:cs="Arial"/>
          <w:sz w:val="26"/>
          <w:szCs w:val="26"/>
        </w:rPr>
        <w:t>#取水管）位于坝体内共长110</w:t>
      </w:r>
      <w:r>
        <w:rPr>
          <w:rFonts w:hint="eastAsia" w:ascii="Arial" w:hAnsi="Arial" w:cs="Arial"/>
          <w:sz w:val="26"/>
          <w:szCs w:val="26"/>
          <w:lang w:val="en-US" w:eastAsia="zh-CN"/>
        </w:rPr>
        <w:t>.0</w:t>
      </w:r>
      <w:r>
        <w:rPr>
          <w:rFonts w:hint="default" w:ascii="Arial" w:hAnsi="Arial" w:cs="Arial"/>
          <w:sz w:val="26"/>
          <w:szCs w:val="26"/>
        </w:rPr>
        <w:t>m，</w:t>
      </w:r>
      <w:r>
        <w:rPr>
          <w:rFonts w:hint="eastAsia" w:ascii="Arial" w:hAnsi="Arial" w:cs="Arial"/>
          <w:sz w:val="26"/>
          <w:szCs w:val="26"/>
        </w:rPr>
        <w:t>五</w:t>
      </w:r>
      <w:r>
        <w:rPr>
          <w:rFonts w:hint="default" w:ascii="Arial" w:hAnsi="Arial" w:cs="Arial"/>
          <w:sz w:val="26"/>
          <w:szCs w:val="26"/>
        </w:rPr>
        <w:t>层取水管从坝体下游坝坡穿出后汇合成一根引水管，引水管沿大坝下游坝坡左侧坝脚布置，汇合后管长62</w:t>
      </w:r>
      <w:r>
        <w:rPr>
          <w:rFonts w:hint="eastAsia" w:ascii="Arial" w:hAnsi="Arial" w:cs="Arial"/>
          <w:sz w:val="26"/>
          <w:szCs w:val="26"/>
          <w:lang w:val="en-US" w:eastAsia="zh-CN"/>
        </w:rPr>
        <w:t>.0</w:t>
      </w:r>
      <w:r>
        <w:rPr>
          <w:rFonts w:hint="default" w:ascii="Arial" w:hAnsi="Arial" w:cs="Arial"/>
          <w:sz w:val="26"/>
          <w:szCs w:val="26"/>
        </w:rPr>
        <w:t>m，采用内径D1000×8mm钢管，取水管、引水管全管段采用C20砼外包，砼外包厚0.2m。</w:t>
      </w:r>
    </w:p>
    <w:p w14:paraId="1E29D1A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default" w:ascii="Arial" w:hAnsi="Arial" w:cs="Arial"/>
          <w:sz w:val="26"/>
          <w:szCs w:val="26"/>
        </w:rPr>
        <w:t>水库生态放水采用内径D100×8mm钢管，管道长15.0m，从取水闸阀房中控制分水，沿消力池左边墙外侧埋地铺设，出口置于护坦上放水。</w:t>
      </w:r>
    </w:p>
    <w:p w14:paraId="02B9101B">
      <w:pPr>
        <w:spacing w:line="440" w:lineRule="exact"/>
        <w:ind w:firstLine="392" w:firstLineChars="150"/>
        <w:rPr>
          <w:rFonts w:hint="eastAsia" w:ascii="Arial" w:hAnsi="Arial" w:cs="Arial"/>
          <w:b/>
          <w:sz w:val="26"/>
          <w:szCs w:val="26"/>
        </w:rPr>
      </w:pPr>
      <w:r>
        <w:rPr>
          <w:rFonts w:hint="eastAsia" w:ascii="Arial" w:hAnsi="Arial" w:cs="Arial"/>
          <w:b/>
          <w:sz w:val="26"/>
          <w:szCs w:val="26"/>
        </w:rPr>
        <w:t>（</w:t>
      </w:r>
      <w:r>
        <w:rPr>
          <w:rFonts w:hint="eastAsia" w:ascii="Arial" w:hAnsi="Arial" w:cs="Arial"/>
          <w:b/>
          <w:sz w:val="26"/>
          <w:szCs w:val="26"/>
          <w:lang w:val="en-US" w:eastAsia="zh-CN"/>
        </w:rPr>
        <w:t>2</w:t>
      </w:r>
      <w:r>
        <w:rPr>
          <w:rFonts w:hint="eastAsia" w:ascii="Arial" w:hAnsi="Arial" w:cs="Arial"/>
          <w:b/>
          <w:sz w:val="26"/>
          <w:szCs w:val="26"/>
        </w:rPr>
        <w:t>）</w:t>
      </w:r>
      <w:r>
        <w:rPr>
          <w:rFonts w:hint="eastAsia" w:ascii="Arial" w:hAnsi="Arial" w:cs="Arial"/>
          <w:b/>
          <w:sz w:val="26"/>
          <w:szCs w:val="26"/>
          <w:lang w:eastAsia="zh-CN"/>
        </w:rPr>
        <w:t>输水</w:t>
      </w:r>
      <w:r>
        <w:rPr>
          <w:rFonts w:hint="eastAsia" w:ascii="Arial" w:hAnsi="Arial" w:cs="Arial"/>
          <w:b/>
          <w:sz w:val="26"/>
          <w:szCs w:val="26"/>
        </w:rPr>
        <w:t>工程</w:t>
      </w:r>
    </w:p>
    <w:p w14:paraId="2BD1049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海螺沟水库主要解决双龙镇双龙社区、回龙场村2000亩农田灌溉，供水量57.5万m</w:t>
      </w:r>
      <w:r>
        <w:rPr>
          <w:rFonts w:hint="eastAsia" w:ascii="Arial" w:hAnsi="Arial" w:cs="Arial"/>
          <w:sz w:val="26"/>
          <w:szCs w:val="26"/>
          <w:vertAlign w:val="superscript"/>
        </w:rPr>
        <w:t>3</w:t>
      </w:r>
      <w:r>
        <w:rPr>
          <w:rFonts w:hint="eastAsia" w:ascii="Arial" w:hAnsi="Arial" w:cs="Arial"/>
          <w:sz w:val="26"/>
          <w:szCs w:val="26"/>
          <w:vertAlign w:val="baseline"/>
          <w:lang w:eastAsia="zh-CN"/>
        </w:rPr>
        <w:t>；</w:t>
      </w:r>
      <w:r>
        <w:rPr>
          <w:rFonts w:hint="eastAsia" w:ascii="Arial" w:hAnsi="Arial" w:cs="Arial"/>
          <w:sz w:val="26"/>
          <w:szCs w:val="26"/>
        </w:rPr>
        <w:t>和7000人农村人饮用水，供水量18.</w:t>
      </w:r>
      <w:r>
        <w:rPr>
          <w:rFonts w:hint="eastAsia" w:ascii="Arial" w:hAnsi="Arial" w:cs="Arial"/>
          <w:sz w:val="26"/>
          <w:szCs w:val="26"/>
          <w:lang w:val="en-US" w:eastAsia="zh-CN"/>
        </w:rPr>
        <w:t>78</w:t>
      </w:r>
      <w:r>
        <w:rPr>
          <w:rFonts w:hint="eastAsia" w:ascii="Arial" w:hAnsi="Arial" w:cs="Arial"/>
          <w:sz w:val="26"/>
          <w:szCs w:val="26"/>
        </w:rPr>
        <w:t>万m</w:t>
      </w:r>
      <w:r>
        <w:rPr>
          <w:rFonts w:hint="eastAsia" w:ascii="Arial" w:hAnsi="Arial" w:cs="Arial"/>
          <w:sz w:val="26"/>
          <w:szCs w:val="26"/>
          <w:vertAlign w:val="superscript"/>
        </w:rPr>
        <w:t>3</w:t>
      </w:r>
      <w:r>
        <w:rPr>
          <w:rFonts w:hint="eastAsia" w:ascii="Arial" w:hAnsi="Arial" w:cs="Arial"/>
          <w:sz w:val="26"/>
          <w:szCs w:val="26"/>
        </w:rPr>
        <w:t>。输水工程管线总长8.9km，设计引用总流量为0.</w:t>
      </w:r>
      <w:r>
        <w:rPr>
          <w:rFonts w:hint="eastAsia" w:ascii="Arial" w:hAnsi="Arial" w:cs="Arial"/>
          <w:sz w:val="26"/>
          <w:szCs w:val="26"/>
          <w:lang w:val="en-US" w:eastAsia="zh-CN"/>
        </w:rPr>
        <w:t>107</w:t>
      </w:r>
      <w:r>
        <w:rPr>
          <w:rFonts w:hint="eastAsia" w:ascii="Arial" w:hAnsi="Arial" w:cs="Arial"/>
          <w:sz w:val="26"/>
          <w:szCs w:val="26"/>
        </w:rPr>
        <w:t>4m</w:t>
      </w:r>
      <w:r>
        <w:rPr>
          <w:rFonts w:hint="eastAsia" w:ascii="Arial" w:hAnsi="Arial" w:cs="Arial"/>
          <w:sz w:val="26"/>
          <w:szCs w:val="26"/>
          <w:vertAlign w:val="superscript"/>
        </w:rPr>
        <w:t>3</w:t>
      </w:r>
      <w:r>
        <w:rPr>
          <w:rFonts w:hint="eastAsia" w:ascii="Arial" w:hAnsi="Arial" w:cs="Arial"/>
          <w:sz w:val="26"/>
          <w:szCs w:val="26"/>
        </w:rPr>
        <w:t>/s。</w:t>
      </w:r>
    </w:p>
    <w:p w14:paraId="3369BD0E">
      <w:pPr>
        <w:spacing w:line="440" w:lineRule="exact"/>
        <w:ind w:firstLine="522" w:firstLineChars="200"/>
        <w:rPr>
          <w:rFonts w:hint="eastAsia" w:ascii="Arial" w:hAnsi="Arial" w:cs="Arial"/>
          <w:b/>
          <w:bCs/>
          <w:sz w:val="26"/>
        </w:rPr>
      </w:pPr>
      <w:r>
        <w:rPr>
          <w:rFonts w:hint="eastAsia" w:ascii="Arial" w:hAnsi="Arial" w:cs="Arial"/>
          <w:b/>
          <w:bCs/>
          <w:sz w:val="26"/>
        </w:rPr>
        <w:t>①</w:t>
      </w:r>
      <w:r>
        <w:rPr>
          <w:rFonts w:hint="eastAsia" w:ascii="Arial" w:hAnsi="Arial" w:cs="Arial"/>
          <w:b/>
          <w:bCs/>
          <w:sz w:val="26"/>
          <w:lang w:val="en-US" w:eastAsia="zh-CN"/>
        </w:rPr>
        <w:t xml:space="preserve"> </w:t>
      </w:r>
      <w:r>
        <w:rPr>
          <w:rFonts w:hint="eastAsia" w:ascii="Arial" w:hAnsi="Arial" w:cs="Arial"/>
          <w:b/>
          <w:bCs/>
          <w:sz w:val="26"/>
        </w:rPr>
        <w:t>双龙干管</w:t>
      </w:r>
    </w:p>
    <w:p w14:paraId="18B264F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双龙干管设计线路为：海螺沟水库坝体取水管→双龙干管→双龙水厂。</w:t>
      </w:r>
    </w:p>
    <w:p w14:paraId="35A897E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双龙干管长5270.51m，</w:t>
      </w:r>
      <w:r>
        <w:rPr>
          <w:rFonts w:hint="eastAsia" w:ascii="Arial" w:hAnsi="Arial" w:cs="Arial"/>
          <w:sz w:val="26"/>
          <w:szCs w:val="26"/>
          <w:lang w:eastAsia="zh-CN"/>
        </w:rPr>
        <w:t>桩号为</w:t>
      </w:r>
      <w:r>
        <w:rPr>
          <w:rFonts w:hint="eastAsia" w:ascii="Arial" w:hAnsi="Arial" w:cs="Arial"/>
          <w:sz w:val="26"/>
          <w:szCs w:val="26"/>
          <w:lang w:val="en-US" w:eastAsia="zh-CN"/>
        </w:rPr>
        <w:t>K0+000~K5+270，</w:t>
      </w:r>
      <w:r>
        <w:rPr>
          <w:rFonts w:hint="eastAsia" w:ascii="Arial" w:hAnsi="Arial" w:cs="Arial"/>
          <w:sz w:val="26"/>
          <w:szCs w:val="26"/>
        </w:rPr>
        <w:t>管首设计流量0.1074m</w:t>
      </w:r>
      <w:r>
        <w:rPr>
          <w:rFonts w:hint="eastAsia" w:ascii="Arial" w:hAnsi="Arial" w:cs="Arial"/>
          <w:sz w:val="26"/>
          <w:szCs w:val="26"/>
          <w:vertAlign w:val="superscript"/>
          <w:lang w:val="en-US" w:eastAsia="zh-CN"/>
        </w:rPr>
        <w:t>3</w:t>
      </w:r>
      <w:r>
        <w:rPr>
          <w:rFonts w:hint="eastAsia" w:ascii="Arial" w:hAnsi="Arial" w:cs="Arial"/>
          <w:sz w:val="26"/>
          <w:szCs w:val="26"/>
        </w:rPr>
        <w:t>/s，由输水管道组成，采用地埋式，埋深不小于0.7m。</w:t>
      </w:r>
    </w:p>
    <w:p w14:paraId="322215B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双龙干管管首配套流量计（</w:t>
      </w:r>
      <w:r>
        <w:rPr>
          <w:rFonts w:hint="eastAsia" w:ascii="Arial" w:hAnsi="Arial" w:cs="Arial"/>
          <w:sz w:val="26"/>
          <w:szCs w:val="26"/>
          <w:lang w:val="en-US" w:eastAsia="zh-CN"/>
        </w:rPr>
        <w:t>DN</w:t>
      </w:r>
      <w:r>
        <w:rPr>
          <w:rFonts w:hint="eastAsia" w:ascii="Arial" w:hAnsi="Arial" w:cs="Arial"/>
          <w:sz w:val="26"/>
          <w:szCs w:val="26"/>
        </w:rPr>
        <w:t>400）1个，控制阀（</w:t>
      </w:r>
      <w:r>
        <w:rPr>
          <w:rFonts w:hint="eastAsia" w:ascii="Arial" w:hAnsi="Arial" w:cs="Arial"/>
          <w:sz w:val="26"/>
          <w:szCs w:val="26"/>
          <w:lang w:val="en-US" w:eastAsia="zh-CN"/>
        </w:rPr>
        <w:t>DN</w:t>
      </w:r>
      <w:r>
        <w:rPr>
          <w:rFonts w:hint="eastAsia" w:ascii="Arial" w:hAnsi="Arial" w:cs="Arial"/>
          <w:sz w:val="26"/>
          <w:szCs w:val="26"/>
        </w:rPr>
        <w:t>400，2.0Mpa）1套和（</w:t>
      </w:r>
      <w:r>
        <w:rPr>
          <w:rFonts w:hint="eastAsia" w:ascii="Arial" w:hAnsi="Arial" w:cs="Arial"/>
          <w:sz w:val="26"/>
          <w:szCs w:val="26"/>
          <w:lang w:val="en-US" w:eastAsia="zh-CN"/>
        </w:rPr>
        <w:t>DN</w:t>
      </w:r>
      <w:r>
        <w:rPr>
          <w:rFonts w:hint="eastAsia" w:ascii="Arial" w:hAnsi="Arial" w:cs="Arial"/>
          <w:sz w:val="26"/>
          <w:szCs w:val="26"/>
        </w:rPr>
        <w:t>100，2.0Mpa）1套，分水阀（</w:t>
      </w:r>
      <w:r>
        <w:rPr>
          <w:rFonts w:hint="eastAsia" w:ascii="Arial" w:hAnsi="Arial" w:cs="Arial"/>
          <w:sz w:val="26"/>
          <w:szCs w:val="26"/>
          <w:lang w:val="en-US" w:eastAsia="zh-CN"/>
        </w:rPr>
        <w:t>DN</w:t>
      </w:r>
      <w:r>
        <w:rPr>
          <w:rFonts w:hint="eastAsia" w:ascii="Arial" w:hAnsi="Arial" w:cs="Arial"/>
          <w:sz w:val="26"/>
          <w:szCs w:val="26"/>
        </w:rPr>
        <w:t>300，2.0Mpa）4套，检修阀（</w:t>
      </w:r>
      <w:r>
        <w:rPr>
          <w:rFonts w:hint="eastAsia" w:ascii="Arial" w:hAnsi="Arial" w:cs="Arial"/>
          <w:sz w:val="26"/>
          <w:szCs w:val="26"/>
          <w:lang w:val="en-US" w:eastAsia="zh-CN"/>
        </w:rPr>
        <w:t>DN</w:t>
      </w:r>
      <w:r>
        <w:rPr>
          <w:rFonts w:hint="eastAsia" w:ascii="Arial" w:hAnsi="Arial" w:cs="Arial"/>
          <w:sz w:val="26"/>
          <w:szCs w:val="26"/>
        </w:rPr>
        <w:t>300，2.0Mpa）3套和（</w:t>
      </w:r>
      <w:r>
        <w:rPr>
          <w:rFonts w:hint="eastAsia" w:ascii="Arial" w:hAnsi="Arial" w:cs="Arial"/>
          <w:sz w:val="26"/>
          <w:szCs w:val="26"/>
          <w:lang w:val="en-US" w:eastAsia="zh-CN"/>
        </w:rPr>
        <w:t>DN</w:t>
      </w:r>
      <w:r>
        <w:rPr>
          <w:rFonts w:hint="eastAsia" w:ascii="Arial" w:hAnsi="Arial" w:cs="Arial"/>
          <w:sz w:val="26"/>
          <w:szCs w:val="26"/>
        </w:rPr>
        <w:t>100，2.0Mpa）1套；沿线凸起处增设排气阀（</w:t>
      </w:r>
      <w:r>
        <w:rPr>
          <w:rFonts w:hint="eastAsia" w:ascii="Arial" w:hAnsi="Arial" w:cs="Arial"/>
          <w:sz w:val="26"/>
          <w:szCs w:val="26"/>
          <w:lang w:val="en-US" w:eastAsia="zh-CN"/>
        </w:rPr>
        <w:t>DN</w:t>
      </w:r>
      <w:r>
        <w:rPr>
          <w:rFonts w:hint="eastAsia" w:ascii="Arial" w:hAnsi="Arial" w:cs="Arial"/>
          <w:sz w:val="26"/>
          <w:szCs w:val="26"/>
        </w:rPr>
        <w:t>500）共计9个，管道沿线低洼处增设排泥阀（</w:t>
      </w:r>
      <w:r>
        <w:rPr>
          <w:rFonts w:hint="eastAsia" w:ascii="Arial" w:hAnsi="Arial" w:cs="Arial"/>
          <w:sz w:val="26"/>
          <w:szCs w:val="26"/>
          <w:lang w:val="en-US" w:eastAsia="zh-CN"/>
        </w:rPr>
        <w:t>DN</w:t>
      </w:r>
      <w:r>
        <w:rPr>
          <w:rFonts w:hint="eastAsia" w:ascii="Arial" w:hAnsi="Arial" w:cs="Arial"/>
          <w:sz w:val="26"/>
          <w:szCs w:val="26"/>
        </w:rPr>
        <w:t>50）共计9个。</w:t>
      </w:r>
    </w:p>
    <w:p w14:paraId="1736D6A1">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双龙干管桩号</w:t>
      </w:r>
      <w:r>
        <w:rPr>
          <w:rFonts w:hint="eastAsia" w:ascii="Arial" w:hAnsi="Arial" w:cs="Arial"/>
          <w:sz w:val="26"/>
          <w:szCs w:val="26"/>
          <w:lang w:val="en-US" w:eastAsia="zh-CN"/>
        </w:rPr>
        <w:t>K</w:t>
      </w:r>
      <w:r>
        <w:rPr>
          <w:rFonts w:hint="eastAsia" w:ascii="Arial" w:hAnsi="Arial" w:cs="Arial"/>
          <w:sz w:val="26"/>
          <w:szCs w:val="26"/>
        </w:rPr>
        <w:t>0+000.0</w:t>
      </w:r>
      <w:r>
        <w:rPr>
          <w:rFonts w:hint="eastAsia" w:ascii="Arial" w:hAnsi="Arial" w:cs="Arial"/>
          <w:sz w:val="26"/>
          <w:szCs w:val="26"/>
          <w:lang w:val="en-US" w:eastAsia="zh-CN"/>
        </w:rPr>
        <w:t>~K</w:t>
      </w:r>
      <w:r>
        <w:rPr>
          <w:rFonts w:hint="eastAsia" w:ascii="Arial" w:hAnsi="Arial" w:cs="Arial"/>
          <w:sz w:val="26"/>
          <w:szCs w:val="26"/>
        </w:rPr>
        <w:t>1+098.32段直径为400mm，管材采用1.6Mpa的100级PE管，长1109.71m；桩号</w:t>
      </w:r>
      <w:r>
        <w:rPr>
          <w:rFonts w:hint="eastAsia" w:ascii="Arial" w:hAnsi="Arial" w:cs="Arial"/>
          <w:sz w:val="26"/>
          <w:szCs w:val="26"/>
          <w:lang w:val="en-US" w:eastAsia="zh-CN"/>
        </w:rPr>
        <w:t>K</w:t>
      </w:r>
      <w:r>
        <w:rPr>
          <w:rFonts w:hint="eastAsia" w:ascii="Arial" w:hAnsi="Arial" w:cs="Arial"/>
          <w:sz w:val="26"/>
          <w:szCs w:val="26"/>
        </w:rPr>
        <w:t>1+098.32</w:t>
      </w:r>
      <w:r>
        <w:rPr>
          <w:rFonts w:hint="eastAsia" w:ascii="Arial" w:hAnsi="Arial" w:cs="Arial"/>
          <w:sz w:val="26"/>
          <w:szCs w:val="26"/>
          <w:lang w:val="en-US" w:eastAsia="zh-CN"/>
        </w:rPr>
        <w:t>~K</w:t>
      </w:r>
      <w:r>
        <w:rPr>
          <w:rFonts w:hint="eastAsia" w:ascii="Arial" w:hAnsi="Arial" w:cs="Arial"/>
          <w:sz w:val="26"/>
          <w:szCs w:val="26"/>
        </w:rPr>
        <w:t>1+567.51段直径为325mm，长476.48m，管材采用涂塑钢管；桩号</w:t>
      </w:r>
      <w:r>
        <w:rPr>
          <w:rFonts w:hint="eastAsia" w:ascii="Arial" w:hAnsi="Arial" w:cs="Arial"/>
          <w:sz w:val="26"/>
          <w:szCs w:val="26"/>
          <w:lang w:val="en-US" w:eastAsia="zh-CN"/>
        </w:rPr>
        <w:t>K</w:t>
      </w:r>
      <w:r>
        <w:rPr>
          <w:rFonts w:hint="eastAsia" w:ascii="Arial" w:hAnsi="Arial" w:cs="Arial"/>
          <w:sz w:val="26"/>
          <w:szCs w:val="26"/>
        </w:rPr>
        <w:t>1+567.51</w:t>
      </w:r>
      <w:r>
        <w:rPr>
          <w:rFonts w:hint="eastAsia" w:ascii="Arial" w:hAnsi="Arial" w:cs="Arial"/>
          <w:sz w:val="26"/>
          <w:szCs w:val="26"/>
          <w:lang w:val="en-US" w:eastAsia="zh-CN"/>
        </w:rPr>
        <w:t>~K</w:t>
      </w:r>
      <w:r>
        <w:rPr>
          <w:rFonts w:hint="eastAsia" w:ascii="Arial" w:hAnsi="Arial" w:cs="Arial"/>
          <w:sz w:val="26"/>
          <w:szCs w:val="26"/>
        </w:rPr>
        <w:t>4+042.97段直径为273mm，长2481.18m，管材采用涂塑钢管；桩号</w:t>
      </w:r>
      <w:r>
        <w:rPr>
          <w:rFonts w:hint="eastAsia" w:ascii="Arial" w:hAnsi="Arial" w:cs="Arial"/>
          <w:sz w:val="26"/>
          <w:szCs w:val="26"/>
          <w:lang w:val="en-US" w:eastAsia="zh-CN"/>
        </w:rPr>
        <w:t>K</w:t>
      </w:r>
      <w:r>
        <w:rPr>
          <w:rFonts w:hint="eastAsia" w:ascii="Arial" w:hAnsi="Arial" w:cs="Arial"/>
          <w:sz w:val="26"/>
          <w:szCs w:val="26"/>
        </w:rPr>
        <w:t>4+042.97</w:t>
      </w:r>
      <w:r>
        <w:rPr>
          <w:rFonts w:hint="eastAsia" w:ascii="Arial" w:hAnsi="Arial" w:cs="Arial"/>
          <w:sz w:val="26"/>
          <w:szCs w:val="26"/>
          <w:lang w:val="en-US" w:eastAsia="zh-CN"/>
        </w:rPr>
        <w:t>~K</w:t>
      </w:r>
      <w:r>
        <w:rPr>
          <w:rFonts w:hint="eastAsia" w:ascii="Arial" w:hAnsi="Arial" w:cs="Arial"/>
          <w:sz w:val="26"/>
          <w:szCs w:val="26"/>
        </w:rPr>
        <w:t>5+221.9段直径为108mm，长1203.14m，管材采用涂塑钢管。</w:t>
      </w:r>
    </w:p>
    <w:p w14:paraId="7320E48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双龙干管DN400、DN325、DN273管段平面和剖面转弯处均设置C20砼镇墩，管道进出口和管段间距</w:t>
      </w:r>
      <w:r>
        <w:rPr>
          <w:rFonts w:hint="eastAsia" w:ascii="Arial" w:hAnsi="Arial" w:cs="Arial"/>
          <w:sz w:val="26"/>
          <w:szCs w:val="26"/>
          <w:lang w:eastAsia="zh-CN"/>
        </w:rPr>
        <w:t>≥</w:t>
      </w:r>
      <w:r>
        <w:rPr>
          <w:rFonts w:hint="eastAsia" w:ascii="Arial" w:hAnsi="Arial" w:cs="Arial"/>
          <w:sz w:val="26"/>
          <w:szCs w:val="26"/>
        </w:rPr>
        <w:t>150m处均设置C20砼镇墩。</w:t>
      </w:r>
    </w:p>
    <w:p w14:paraId="5DED0A4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为满足灌区的灌溉以及供水需求，本次设计时在双龙干管上设置有4处分水阀，分别为1#分水阀（</w:t>
      </w:r>
      <w:r>
        <w:rPr>
          <w:rFonts w:hint="eastAsia" w:ascii="Arial" w:hAnsi="Arial" w:cs="Arial"/>
          <w:sz w:val="26"/>
          <w:szCs w:val="26"/>
          <w:lang w:val="en-US" w:eastAsia="zh-CN"/>
        </w:rPr>
        <w:t>K</w:t>
      </w:r>
      <w:r>
        <w:rPr>
          <w:rFonts w:hint="eastAsia" w:ascii="Arial" w:hAnsi="Arial" w:cs="Arial"/>
          <w:sz w:val="26"/>
          <w:szCs w:val="26"/>
        </w:rPr>
        <w:t>1+360.04），2#分水阀（</w:t>
      </w:r>
      <w:r>
        <w:rPr>
          <w:rFonts w:hint="eastAsia" w:ascii="Arial" w:hAnsi="Arial" w:cs="Arial"/>
          <w:sz w:val="26"/>
          <w:szCs w:val="26"/>
          <w:lang w:val="en-US" w:eastAsia="zh-CN"/>
        </w:rPr>
        <w:t>K</w:t>
      </w:r>
      <w:r>
        <w:rPr>
          <w:rFonts w:hint="eastAsia" w:ascii="Arial" w:hAnsi="Arial" w:cs="Arial"/>
          <w:sz w:val="26"/>
          <w:szCs w:val="26"/>
        </w:rPr>
        <w:t>1+567.51），3#分水阀（</w:t>
      </w:r>
      <w:r>
        <w:rPr>
          <w:rFonts w:hint="eastAsia" w:ascii="Arial" w:hAnsi="Arial" w:cs="Arial"/>
          <w:sz w:val="26"/>
          <w:szCs w:val="26"/>
          <w:lang w:val="en-US" w:eastAsia="zh-CN"/>
        </w:rPr>
        <w:t>K</w:t>
      </w:r>
      <w:r>
        <w:rPr>
          <w:rFonts w:hint="eastAsia" w:ascii="Arial" w:hAnsi="Arial" w:cs="Arial"/>
          <w:sz w:val="26"/>
          <w:szCs w:val="26"/>
        </w:rPr>
        <w:t>2+138.81），4#分水阀（</w:t>
      </w:r>
      <w:r>
        <w:rPr>
          <w:rFonts w:hint="eastAsia" w:ascii="Arial" w:hAnsi="Arial" w:cs="Arial"/>
          <w:sz w:val="26"/>
          <w:szCs w:val="26"/>
          <w:lang w:val="en-US" w:eastAsia="zh-CN"/>
        </w:rPr>
        <w:t>K</w:t>
      </w:r>
      <w:r>
        <w:rPr>
          <w:rFonts w:hint="eastAsia" w:ascii="Arial" w:hAnsi="Arial" w:cs="Arial"/>
          <w:sz w:val="26"/>
          <w:szCs w:val="26"/>
        </w:rPr>
        <w:t>4+042.97）。</w:t>
      </w:r>
    </w:p>
    <w:p w14:paraId="3B3E6622">
      <w:pPr>
        <w:spacing w:line="440" w:lineRule="exact"/>
        <w:ind w:firstLine="522" w:firstLineChars="200"/>
        <w:rPr>
          <w:rFonts w:hint="eastAsia" w:ascii="Arial" w:hAnsi="Arial" w:cs="Arial"/>
          <w:b/>
          <w:bCs/>
          <w:sz w:val="26"/>
        </w:rPr>
      </w:pPr>
      <w:r>
        <w:rPr>
          <w:rFonts w:hint="default" w:ascii="Arial" w:hAnsi="Arial" w:cs="Arial"/>
          <w:b/>
          <w:bCs/>
          <w:sz w:val="26"/>
        </w:rPr>
        <w:t>②</w:t>
      </w:r>
      <w:r>
        <w:rPr>
          <w:rFonts w:hint="eastAsia" w:ascii="Arial" w:hAnsi="Arial" w:cs="Arial"/>
          <w:b/>
          <w:bCs/>
          <w:sz w:val="26"/>
          <w:lang w:val="en-US" w:eastAsia="zh-CN"/>
        </w:rPr>
        <w:t xml:space="preserve"> </w:t>
      </w:r>
      <w:r>
        <w:rPr>
          <w:rFonts w:hint="eastAsia" w:ascii="Arial" w:hAnsi="Arial" w:cs="Arial"/>
          <w:b/>
          <w:bCs/>
          <w:sz w:val="26"/>
        </w:rPr>
        <w:t>新华支管</w:t>
      </w:r>
    </w:p>
    <w:p w14:paraId="308958E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新华支管设计线路为：双龙干管1#分水口→新华支管→新华</w:t>
      </w:r>
      <w:r>
        <w:rPr>
          <w:rFonts w:hint="eastAsia" w:ascii="Arial" w:hAnsi="Arial" w:cs="Arial"/>
          <w:sz w:val="26"/>
          <w:szCs w:val="26"/>
          <w:lang w:eastAsia="zh-CN"/>
        </w:rPr>
        <w:t>水池</w:t>
      </w:r>
      <w:r>
        <w:rPr>
          <w:rFonts w:hint="eastAsia" w:ascii="Arial" w:hAnsi="Arial" w:cs="Arial"/>
          <w:sz w:val="26"/>
          <w:szCs w:val="26"/>
        </w:rPr>
        <w:t>。</w:t>
      </w:r>
    </w:p>
    <w:p w14:paraId="4D0BCEF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新华支管长</w:t>
      </w:r>
      <w:r>
        <w:rPr>
          <w:rFonts w:hint="eastAsia" w:ascii="Arial" w:hAnsi="Arial" w:cs="Arial"/>
          <w:sz w:val="26"/>
          <w:szCs w:val="26"/>
          <w:lang w:val="en-US" w:eastAsia="zh-CN"/>
        </w:rPr>
        <w:t>160</w:t>
      </w:r>
      <w:r>
        <w:rPr>
          <w:rFonts w:hint="eastAsia" w:ascii="Arial" w:hAnsi="Arial" w:cs="Arial"/>
          <w:sz w:val="26"/>
          <w:szCs w:val="26"/>
        </w:rPr>
        <w:t>m，</w:t>
      </w:r>
      <w:r>
        <w:rPr>
          <w:rFonts w:hint="eastAsia" w:ascii="Arial" w:hAnsi="Arial" w:cs="Arial"/>
          <w:sz w:val="26"/>
          <w:szCs w:val="26"/>
          <w:lang w:eastAsia="zh-CN"/>
        </w:rPr>
        <w:t>桩号为</w:t>
      </w:r>
      <w:r>
        <w:rPr>
          <w:rFonts w:hint="eastAsia" w:ascii="Arial" w:hAnsi="Arial" w:cs="Arial"/>
          <w:sz w:val="26"/>
          <w:szCs w:val="26"/>
          <w:lang w:val="en-US" w:eastAsia="zh-CN"/>
        </w:rPr>
        <w:t>XZ0+000~XZ0+160，</w:t>
      </w:r>
      <w:r>
        <w:rPr>
          <w:rFonts w:hint="eastAsia" w:ascii="Arial" w:hAnsi="Arial" w:cs="Arial"/>
          <w:sz w:val="26"/>
          <w:szCs w:val="26"/>
        </w:rPr>
        <w:t>管首设计流量0.0005m</w:t>
      </w:r>
      <w:r>
        <w:rPr>
          <w:rFonts w:hint="eastAsia" w:ascii="Arial" w:hAnsi="Arial" w:cs="Arial"/>
          <w:sz w:val="26"/>
          <w:szCs w:val="26"/>
          <w:vertAlign w:val="superscript"/>
          <w:lang w:val="en-US" w:eastAsia="zh-CN"/>
        </w:rPr>
        <w:t>3</w:t>
      </w:r>
      <w:r>
        <w:rPr>
          <w:rFonts w:hint="eastAsia" w:ascii="Arial" w:hAnsi="Arial" w:cs="Arial"/>
          <w:sz w:val="26"/>
          <w:szCs w:val="26"/>
        </w:rPr>
        <w:t>/s，由输水管道组成，采用地埋式，埋深不小于0.7m。</w:t>
      </w:r>
    </w:p>
    <w:p w14:paraId="6099DDD5">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新华支管管首配套流量计（</w:t>
      </w:r>
      <w:r>
        <w:rPr>
          <w:rFonts w:hint="eastAsia" w:ascii="Arial" w:hAnsi="Arial" w:cs="Arial"/>
          <w:sz w:val="26"/>
          <w:szCs w:val="26"/>
          <w:lang w:val="en-US" w:eastAsia="zh-CN"/>
        </w:rPr>
        <w:t>DN</w:t>
      </w:r>
      <w:r>
        <w:rPr>
          <w:rFonts w:hint="eastAsia" w:ascii="Arial" w:hAnsi="Arial" w:cs="Arial"/>
          <w:sz w:val="26"/>
          <w:szCs w:val="26"/>
        </w:rPr>
        <w:t>100）1个，控制阀（</w:t>
      </w:r>
      <w:r>
        <w:rPr>
          <w:rFonts w:hint="eastAsia" w:ascii="Arial" w:hAnsi="Arial" w:cs="Arial"/>
          <w:sz w:val="26"/>
          <w:szCs w:val="26"/>
          <w:lang w:val="en-US" w:eastAsia="zh-CN"/>
        </w:rPr>
        <w:t>DN</w:t>
      </w:r>
      <w:r>
        <w:rPr>
          <w:rFonts w:hint="eastAsia" w:ascii="Arial" w:hAnsi="Arial" w:cs="Arial"/>
          <w:sz w:val="26"/>
          <w:szCs w:val="26"/>
        </w:rPr>
        <w:t>100，2.0Mpa）2套，检修阀（</w:t>
      </w:r>
      <w:r>
        <w:rPr>
          <w:rFonts w:hint="eastAsia" w:ascii="Arial" w:hAnsi="Arial" w:cs="Arial"/>
          <w:sz w:val="26"/>
          <w:szCs w:val="26"/>
          <w:lang w:val="en-US" w:eastAsia="zh-CN"/>
        </w:rPr>
        <w:t>DN1</w:t>
      </w:r>
      <w:r>
        <w:rPr>
          <w:rFonts w:hint="eastAsia" w:ascii="Arial" w:hAnsi="Arial" w:cs="Arial"/>
          <w:sz w:val="26"/>
          <w:szCs w:val="26"/>
        </w:rPr>
        <w:t>00，2.0Mpa）1套；沿线凸起处增设排气阀（</w:t>
      </w:r>
      <w:r>
        <w:rPr>
          <w:rFonts w:hint="eastAsia" w:ascii="Arial" w:hAnsi="Arial" w:cs="Arial"/>
          <w:sz w:val="26"/>
          <w:szCs w:val="26"/>
          <w:lang w:val="en-US" w:eastAsia="zh-CN"/>
        </w:rPr>
        <w:t>DN</w:t>
      </w:r>
      <w:r>
        <w:rPr>
          <w:rFonts w:hint="eastAsia" w:ascii="Arial" w:hAnsi="Arial" w:cs="Arial"/>
          <w:sz w:val="26"/>
          <w:szCs w:val="26"/>
        </w:rPr>
        <w:t>500）共计2个，管道沿线低洼处增设排泥阀（</w:t>
      </w:r>
      <w:r>
        <w:rPr>
          <w:rFonts w:hint="eastAsia" w:ascii="Arial" w:hAnsi="Arial" w:cs="Arial"/>
          <w:sz w:val="26"/>
          <w:szCs w:val="26"/>
          <w:lang w:val="en-US" w:eastAsia="zh-CN"/>
        </w:rPr>
        <w:t>DN</w:t>
      </w:r>
      <w:r>
        <w:rPr>
          <w:rFonts w:hint="eastAsia" w:ascii="Arial" w:hAnsi="Arial" w:cs="Arial"/>
          <w:sz w:val="26"/>
          <w:szCs w:val="26"/>
        </w:rPr>
        <w:t>50）共计2个。</w:t>
      </w:r>
    </w:p>
    <w:p w14:paraId="604D8C5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新华支管管材采用DN32涂塑钢管，长</w:t>
      </w:r>
      <w:r>
        <w:rPr>
          <w:rFonts w:hint="eastAsia" w:ascii="Arial" w:hAnsi="Arial" w:cs="Arial"/>
          <w:sz w:val="26"/>
          <w:szCs w:val="26"/>
          <w:lang w:val="en-US" w:eastAsia="zh-CN"/>
        </w:rPr>
        <w:t>160</w:t>
      </w:r>
      <w:r>
        <w:rPr>
          <w:rFonts w:hint="eastAsia" w:ascii="Arial" w:hAnsi="Arial" w:cs="Arial"/>
          <w:sz w:val="26"/>
          <w:szCs w:val="26"/>
        </w:rPr>
        <w:t>m。进出口和管段间距</w:t>
      </w:r>
      <w:r>
        <w:rPr>
          <w:rFonts w:hint="eastAsia" w:ascii="Arial" w:hAnsi="Arial" w:cs="Arial"/>
          <w:sz w:val="26"/>
          <w:szCs w:val="26"/>
          <w:lang w:val="en-US" w:eastAsia="zh-CN"/>
        </w:rPr>
        <w:t>≥</w:t>
      </w:r>
      <w:r>
        <w:rPr>
          <w:rFonts w:hint="eastAsia" w:ascii="Arial" w:hAnsi="Arial" w:cs="Arial"/>
          <w:sz w:val="26"/>
          <w:szCs w:val="26"/>
        </w:rPr>
        <w:t>150m处均设置C20砼镇墩。</w:t>
      </w:r>
    </w:p>
    <w:p w14:paraId="79452D0C">
      <w:pPr>
        <w:spacing w:line="440" w:lineRule="exact"/>
        <w:ind w:firstLine="522" w:firstLineChars="200"/>
        <w:rPr>
          <w:rFonts w:hint="eastAsia" w:ascii="Arial" w:hAnsi="Arial" w:cs="Arial"/>
          <w:b/>
          <w:bCs/>
          <w:sz w:val="26"/>
        </w:rPr>
      </w:pPr>
      <w:r>
        <w:rPr>
          <w:rFonts w:hint="eastAsia" w:ascii="Arial" w:hAnsi="Arial" w:cs="Arial"/>
          <w:b/>
          <w:bCs/>
          <w:sz w:val="26"/>
        </w:rPr>
        <w:t>③</w:t>
      </w:r>
      <w:r>
        <w:rPr>
          <w:rFonts w:hint="eastAsia" w:ascii="Arial" w:hAnsi="Arial" w:cs="Arial"/>
          <w:b/>
          <w:bCs/>
          <w:sz w:val="26"/>
          <w:lang w:val="en-US" w:eastAsia="zh-CN"/>
        </w:rPr>
        <w:t xml:space="preserve"> </w:t>
      </w:r>
      <w:r>
        <w:rPr>
          <w:rFonts w:hint="eastAsia" w:ascii="Arial" w:hAnsi="Arial" w:cs="Arial"/>
          <w:b/>
          <w:bCs/>
          <w:sz w:val="26"/>
        </w:rPr>
        <w:t>范家湾支管</w:t>
      </w:r>
    </w:p>
    <w:p w14:paraId="649C47D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范家湾支管设计线路为：双龙干管2#分水口→范家湾支管→</w:t>
      </w:r>
      <w:r>
        <w:rPr>
          <w:rFonts w:hint="eastAsia" w:ascii="Arial" w:hAnsi="Arial" w:cs="Arial"/>
          <w:sz w:val="26"/>
          <w:szCs w:val="26"/>
          <w:lang w:eastAsia="zh-CN"/>
        </w:rPr>
        <w:t>范家湾水池</w:t>
      </w:r>
      <w:r>
        <w:rPr>
          <w:rFonts w:hint="eastAsia" w:ascii="Arial" w:hAnsi="Arial" w:cs="Arial"/>
          <w:sz w:val="26"/>
          <w:szCs w:val="26"/>
        </w:rPr>
        <w:t>。</w:t>
      </w:r>
    </w:p>
    <w:p w14:paraId="7D91154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范家湾支管长18</w:t>
      </w:r>
      <w:r>
        <w:rPr>
          <w:rFonts w:hint="eastAsia" w:ascii="Arial" w:hAnsi="Arial" w:cs="Arial"/>
          <w:sz w:val="26"/>
          <w:szCs w:val="26"/>
          <w:lang w:val="en-US" w:eastAsia="zh-CN"/>
        </w:rPr>
        <w:t>50</w:t>
      </w:r>
      <w:r>
        <w:rPr>
          <w:rFonts w:hint="eastAsia" w:ascii="Arial" w:hAnsi="Arial" w:cs="Arial"/>
          <w:sz w:val="26"/>
          <w:szCs w:val="26"/>
        </w:rPr>
        <w:t>m，</w:t>
      </w:r>
      <w:r>
        <w:rPr>
          <w:rFonts w:hint="eastAsia" w:ascii="Arial" w:hAnsi="Arial" w:cs="Arial"/>
          <w:sz w:val="26"/>
          <w:szCs w:val="26"/>
          <w:lang w:eastAsia="zh-CN"/>
        </w:rPr>
        <w:t>桩号为</w:t>
      </w:r>
      <w:r>
        <w:rPr>
          <w:rFonts w:hint="eastAsia" w:ascii="Arial" w:hAnsi="Arial" w:cs="Arial"/>
          <w:sz w:val="26"/>
          <w:szCs w:val="26"/>
          <w:lang w:val="en-US" w:eastAsia="zh-CN"/>
        </w:rPr>
        <w:t>FZ0+000~FZ1+850，</w:t>
      </w:r>
      <w:r>
        <w:rPr>
          <w:rFonts w:hint="eastAsia" w:ascii="Arial" w:hAnsi="Arial" w:cs="Arial"/>
          <w:sz w:val="26"/>
          <w:szCs w:val="26"/>
        </w:rPr>
        <w:t>管首设计流量0.0005m</w:t>
      </w:r>
      <w:r>
        <w:rPr>
          <w:rFonts w:hint="eastAsia" w:ascii="Arial" w:hAnsi="Arial" w:cs="Arial"/>
          <w:sz w:val="26"/>
          <w:szCs w:val="26"/>
          <w:vertAlign w:val="superscript"/>
          <w:lang w:val="en-US" w:eastAsia="zh-CN"/>
        </w:rPr>
        <w:t>3</w:t>
      </w:r>
      <w:r>
        <w:rPr>
          <w:rFonts w:hint="eastAsia" w:ascii="Arial" w:hAnsi="Arial" w:cs="Arial"/>
          <w:sz w:val="26"/>
          <w:szCs w:val="26"/>
        </w:rPr>
        <w:t>/s，由输水管道组成，采用地埋式，埋深不小于0.7m。</w:t>
      </w:r>
    </w:p>
    <w:p w14:paraId="7C0D2AC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范家湾支管管首配套流量计（</w:t>
      </w:r>
      <w:r>
        <w:rPr>
          <w:rFonts w:hint="eastAsia" w:ascii="Arial" w:hAnsi="Arial" w:cs="Arial"/>
          <w:sz w:val="26"/>
          <w:szCs w:val="26"/>
          <w:lang w:val="en-US" w:eastAsia="zh-CN"/>
        </w:rPr>
        <w:t>DN</w:t>
      </w:r>
      <w:r>
        <w:rPr>
          <w:rFonts w:hint="eastAsia" w:ascii="Arial" w:hAnsi="Arial" w:cs="Arial"/>
          <w:sz w:val="26"/>
          <w:szCs w:val="26"/>
        </w:rPr>
        <w:t>100）1个，控制阀（</w:t>
      </w:r>
      <w:r>
        <w:rPr>
          <w:rFonts w:hint="eastAsia" w:ascii="Arial" w:hAnsi="Arial" w:cs="Arial"/>
          <w:sz w:val="26"/>
          <w:szCs w:val="26"/>
          <w:lang w:val="en-US" w:eastAsia="zh-CN"/>
        </w:rPr>
        <w:t>DN</w:t>
      </w:r>
      <w:r>
        <w:rPr>
          <w:rFonts w:hint="eastAsia" w:ascii="Arial" w:hAnsi="Arial" w:cs="Arial"/>
          <w:sz w:val="26"/>
          <w:szCs w:val="26"/>
        </w:rPr>
        <w:t>100，2.0Mpa）2套，检修阀（</w:t>
      </w:r>
      <w:r>
        <w:rPr>
          <w:rFonts w:hint="eastAsia" w:ascii="Arial" w:hAnsi="Arial" w:cs="Arial"/>
          <w:sz w:val="26"/>
          <w:szCs w:val="26"/>
          <w:lang w:val="en-US" w:eastAsia="zh-CN"/>
        </w:rPr>
        <w:t>DN</w:t>
      </w:r>
      <w:r>
        <w:rPr>
          <w:rFonts w:hint="eastAsia" w:ascii="Arial" w:hAnsi="Arial" w:cs="Arial"/>
          <w:sz w:val="26"/>
          <w:szCs w:val="26"/>
        </w:rPr>
        <w:t>100，2.0Mpa）1套；沿线凸起处增设排气阀（</w:t>
      </w:r>
      <w:r>
        <w:rPr>
          <w:rFonts w:hint="eastAsia" w:ascii="Arial" w:hAnsi="Arial" w:cs="Arial"/>
          <w:sz w:val="26"/>
          <w:szCs w:val="26"/>
          <w:lang w:val="en-US" w:eastAsia="zh-CN"/>
        </w:rPr>
        <w:t>DN</w:t>
      </w:r>
      <w:r>
        <w:rPr>
          <w:rFonts w:hint="eastAsia" w:ascii="Arial" w:hAnsi="Arial" w:cs="Arial"/>
          <w:sz w:val="26"/>
          <w:szCs w:val="26"/>
        </w:rPr>
        <w:t>500）共计6个，管道沿线低洼处增设排泥阀（</w:t>
      </w:r>
      <w:r>
        <w:rPr>
          <w:rFonts w:hint="eastAsia" w:ascii="Arial" w:hAnsi="Arial" w:cs="Arial"/>
          <w:sz w:val="26"/>
          <w:szCs w:val="26"/>
          <w:lang w:val="en-US" w:eastAsia="zh-CN"/>
        </w:rPr>
        <w:t>DN</w:t>
      </w:r>
      <w:r>
        <w:rPr>
          <w:rFonts w:hint="eastAsia" w:ascii="Arial" w:hAnsi="Arial" w:cs="Arial"/>
          <w:sz w:val="26"/>
          <w:szCs w:val="26"/>
        </w:rPr>
        <w:t>50）共计6个。</w:t>
      </w:r>
    </w:p>
    <w:p w14:paraId="2F14D7E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范家湾支管</w:t>
      </w:r>
      <w:r>
        <w:rPr>
          <w:rFonts w:hint="eastAsia" w:ascii="Arial" w:hAnsi="Arial" w:cs="Arial"/>
          <w:sz w:val="26"/>
          <w:szCs w:val="26"/>
          <w:lang w:val="en-US" w:eastAsia="zh-CN"/>
        </w:rPr>
        <w:t>FZ</w:t>
      </w:r>
      <w:r>
        <w:rPr>
          <w:rFonts w:hint="eastAsia" w:ascii="Arial" w:hAnsi="Arial" w:cs="Arial"/>
          <w:sz w:val="26"/>
          <w:szCs w:val="26"/>
        </w:rPr>
        <w:t>0+000.0</w:t>
      </w:r>
      <w:r>
        <w:rPr>
          <w:rFonts w:hint="eastAsia" w:ascii="Arial" w:hAnsi="Arial" w:cs="Arial"/>
          <w:sz w:val="26"/>
          <w:szCs w:val="26"/>
          <w:lang w:val="en-US" w:eastAsia="zh-CN"/>
        </w:rPr>
        <w:t>~FZ</w:t>
      </w:r>
      <w:r>
        <w:rPr>
          <w:rFonts w:hint="eastAsia" w:ascii="Arial" w:hAnsi="Arial" w:cs="Arial"/>
          <w:sz w:val="26"/>
          <w:szCs w:val="26"/>
        </w:rPr>
        <w:t>1+567.46段管材采用DN48涂塑钢管，长1581.23m；</w:t>
      </w:r>
      <w:r>
        <w:rPr>
          <w:rFonts w:hint="eastAsia" w:ascii="Arial" w:hAnsi="Arial" w:cs="Arial"/>
          <w:sz w:val="26"/>
          <w:szCs w:val="26"/>
          <w:lang w:val="en-US" w:eastAsia="zh-CN"/>
        </w:rPr>
        <w:t>FZ</w:t>
      </w:r>
      <w:r>
        <w:rPr>
          <w:rFonts w:hint="eastAsia" w:ascii="Arial" w:hAnsi="Arial" w:cs="Arial"/>
          <w:sz w:val="26"/>
          <w:szCs w:val="26"/>
        </w:rPr>
        <w:t>1+567.46</w:t>
      </w:r>
      <w:r>
        <w:rPr>
          <w:rFonts w:hint="eastAsia" w:ascii="Arial" w:hAnsi="Arial" w:cs="Arial"/>
          <w:sz w:val="26"/>
          <w:szCs w:val="26"/>
          <w:lang w:val="en-US" w:eastAsia="zh-CN"/>
        </w:rPr>
        <w:t>~FZ</w:t>
      </w:r>
      <w:r>
        <w:rPr>
          <w:rFonts w:hint="eastAsia" w:ascii="Arial" w:hAnsi="Arial" w:cs="Arial"/>
          <w:sz w:val="26"/>
          <w:szCs w:val="26"/>
        </w:rPr>
        <w:t>1+8</w:t>
      </w:r>
      <w:r>
        <w:rPr>
          <w:rFonts w:hint="eastAsia" w:ascii="Arial" w:hAnsi="Arial" w:cs="Arial"/>
          <w:sz w:val="26"/>
          <w:szCs w:val="26"/>
          <w:lang w:val="en-US" w:eastAsia="zh-CN"/>
        </w:rPr>
        <w:t>50</w:t>
      </w:r>
      <w:r>
        <w:rPr>
          <w:rFonts w:hint="eastAsia" w:ascii="Arial" w:hAnsi="Arial" w:cs="Arial"/>
          <w:sz w:val="26"/>
          <w:szCs w:val="26"/>
        </w:rPr>
        <w:t>段管材采用1.6Mpa的100级DN32PE管，长266.6m。</w:t>
      </w:r>
    </w:p>
    <w:p w14:paraId="480E7665">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范家湾支管进出口和管段间距</w:t>
      </w:r>
      <w:r>
        <w:rPr>
          <w:rFonts w:hint="eastAsia" w:ascii="Arial" w:hAnsi="Arial" w:cs="Arial"/>
          <w:sz w:val="26"/>
          <w:szCs w:val="26"/>
          <w:lang w:eastAsia="zh-CN"/>
        </w:rPr>
        <w:t>≥</w:t>
      </w:r>
      <w:r>
        <w:rPr>
          <w:rFonts w:hint="eastAsia" w:ascii="Arial" w:hAnsi="Arial" w:cs="Arial"/>
          <w:sz w:val="26"/>
          <w:szCs w:val="26"/>
        </w:rPr>
        <w:t>150m处均设置C20砼镇墩。</w:t>
      </w:r>
    </w:p>
    <w:p w14:paraId="6E263BEE">
      <w:pPr>
        <w:spacing w:line="440" w:lineRule="exact"/>
        <w:ind w:firstLine="522" w:firstLineChars="200"/>
        <w:rPr>
          <w:rFonts w:hint="eastAsia" w:ascii="Arial" w:hAnsi="Arial" w:cs="Arial"/>
          <w:b/>
          <w:bCs/>
          <w:sz w:val="26"/>
        </w:rPr>
      </w:pPr>
      <w:r>
        <w:rPr>
          <w:rFonts w:hint="eastAsia" w:ascii="Arial" w:hAnsi="Arial" w:cs="Arial"/>
          <w:b/>
          <w:bCs/>
          <w:sz w:val="26"/>
        </w:rPr>
        <w:t>④</w:t>
      </w:r>
      <w:r>
        <w:rPr>
          <w:rFonts w:hint="eastAsia" w:ascii="Arial" w:hAnsi="Arial" w:cs="Arial"/>
          <w:b/>
          <w:bCs/>
          <w:sz w:val="26"/>
          <w:lang w:val="en-US" w:eastAsia="zh-CN"/>
        </w:rPr>
        <w:t xml:space="preserve"> </w:t>
      </w:r>
      <w:r>
        <w:rPr>
          <w:rFonts w:hint="eastAsia" w:ascii="Arial" w:hAnsi="Arial" w:cs="Arial"/>
          <w:b/>
          <w:bCs/>
          <w:sz w:val="26"/>
        </w:rPr>
        <w:t>樊家湾支管</w:t>
      </w:r>
    </w:p>
    <w:p w14:paraId="29F42F7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樊家湾支管设计线路为：双龙干管3#分水口→樊家湾支管→樊家湾</w:t>
      </w:r>
      <w:r>
        <w:rPr>
          <w:rFonts w:hint="eastAsia" w:ascii="Arial" w:hAnsi="Arial" w:cs="Arial"/>
          <w:sz w:val="26"/>
          <w:szCs w:val="26"/>
          <w:lang w:eastAsia="zh-CN"/>
        </w:rPr>
        <w:t>水池</w:t>
      </w:r>
      <w:r>
        <w:rPr>
          <w:rFonts w:hint="eastAsia" w:ascii="Arial" w:hAnsi="Arial" w:cs="Arial"/>
          <w:sz w:val="26"/>
          <w:szCs w:val="26"/>
        </w:rPr>
        <w:t>。</w:t>
      </w:r>
    </w:p>
    <w:p w14:paraId="168AC6A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樊家湾支管长7</w:t>
      </w:r>
      <w:r>
        <w:rPr>
          <w:rFonts w:hint="eastAsia" w:ascii="Arial" w:hAnsi="Arial" w:cs="Arial"/>
          <w:sz w:val="26"/>
          <w:szCs w:val="26"/>
          <w:lang w:val="en-US" w:eastAsia="zh-CN"/>
        </w:rPr>
        <w:t>10</w:t>
      </w:r>
      <w:r>
        <w:rPr>
          <w:rFonts w:hint="eastAsia" w:ascii="Arial" w:hAnsi="Arial" w:cs="Arial"/>
          <w:sz w:val="26"/>
          <w:szCs w:val="26"/>
        </w:rPr>
        <w:t>m，</w:t>
      </w:r>
      <w:r>
        <w:rPr>
          <w:rFonts w:hint="eastAsia" w:ascii="Arial" w:hAnsi="Arial" w:cs="Arial"/>
          <w:sz w:val="26"/>
          <w:szCs w:val="26"/>
          <w:lang w:eastAsia="zh-CN"/>
        </w:rPr>
        <w:t>桩号为</w:t>
      </w:r>
      <w:r>
        <w:rPr>
          <w:rFonts w:hint="eastAsia" w:ascii="Arial" w:hAnsi="Arial" w:cs="Arial"/>
          <w:sz w:val="26"/>
          <w:szCs w:val="26"/>
          <w:lang w:val="en-US" w:eastAsia="zh-CN"/>
        </w:rPr>
        <w:t>FZ0+000~FZ0+710，</w:t>
      </w:r>
      <w:r>
        <w:rPr>
          <w:rFonts w:hint="eastAsia" w:ascii="Arial" w:hAnsi="Arial" w:cs="Arial"/>
          <w:sz w:val="26"/>
          <w:szCs w:val="26"/>
        </w:rPr>
        <w:t>管首设计流量0.0005m</w:t>
      </w:r>
      <w:r>
        <w:rPr>
          <w:rFonts w:hint="eastAsia" w:ascii="Arial" w:hAnsi="Arial" w:cs="Arial"/>
          <w:sz w:val="26"/>
          <w:szCs w:val="26"/>
          <w:vertAlign w:val="superscript"/>
          <w:lang w:val="en-US" w:eastAsia="zh-CN"/>
        </w:rPr>
        <w:t>3</w:t>
      </w:r>
      <w:r>
        <w:rPr>
          <w:rFonts w:hint="eastAsia" w:ascii="Arial" w:hAnsi="Arial" w:cs="Arial"/>
          <w:sz w:val="26"/>
          <w:szCs w:val="26"/>
        </w:rPr>
        <w:t>/s，由输水管道组成，采用地埋式，埋深不小于0.7m。</w:t>
      </w:r>
    </w:p>
    <w:p w14:paraId="24B14994">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樊家湾支管管首配套流量计（</w:t>
      </w:r>
      <w:r>
        <w:rPr>
          <w:rFonts w:hint="eastAsia" w:ascii="Arial" w:hAnsi="Arial" w:cs="Arial"/>
          <w:sz w:val="26"/>
          <w:szCs w:val="26"/>
          <w:lang w:val="en-US" w:eastAsia="zh-CN"/>
        </w:rPr>
        <w:t>DN</w:t>
      </w:r>
      <w:r>
        <w:rPr>
          <w:rFonts w:hint="eastAsia" w:ascii="Arial" w:hAnsi="Arial" w:cs="Arial"/>
          <w:sz w:val="26"/>
          <w:szCs w:val="26"/>
        </w:rPr>
        <w:t>100）1个，控制阀（</w:t>
      </w:r>
      <w:r>
        <w:rPr>
          <w:rFonts w:hint="eastAsia" w:ascii="Arial" w:hAnsi="Arial" w:cs="Arial"/>
          <w:sz w:val="26"/>
          <w:szCs w:val="26"/>
          <w:lang w:val="en-US" w:eastAsia="zh-CN"/>
        </w:rPr>
        <w:t>DN</w:t>
      </w:r>
      <w:r>
        <w:rPr>
          <w:rFonts w:hint="eastAsia" w:ascii="Arial" w:hAnsi="Arial" w:cs="Arial"/>
          <w:sz w:val="26"/>
          <w:szCs w:val="26"/>
        </w:rPr>
        <w:t>100，2.0Mpa）2套，分水阀（</w:t>
      </w:r>
      <w:r>
        <w:rPr>
          <w:rFonts w:hint="eastAsia" w:ascii="Arial" w:hAnsi="Arial" w:cs="Arial"/>
          <w:sz w:val="26"/>
          <w:szCs w:val="26"/>
          <w:lang w:val="en-US" w:eastAsia="zh-CN"/>
        </w:rPr>
        <w:t>DN</w:t>
      </w:r>
      <w:r>
        <w:rPr>
          <w:rFonts w:hint="eastAsia" w:ascii="Arial" w:hAnsi="Arial" w:cs="Arial"/>
          <w:sz w:val="26"/>
          <w:szCs w:val="26"/>
        </w:rPr>
        <w:t>100，2.0Mpa）1套，检修阀（</w:t>
      </w:r>
      <w:r>
        <w:rPr>
          <w:rFonts w:hint="eastAsia" w:ascii="Arial" w:hAnsi="Arial" w:cs="Arial"/>
          <w:sz w:val="26"/>
          <w:szCs w:val="26"/>
          <w:lang w:val="en-US" w:eastAsia="zh-CN"/>
        </w:rPr>
        <w:t>DN</w:t>
      </w:r>
      <w:r>
        <w:rPr>
          <w:rFonts w:hint="eastAsia" w:ascii="Arial" w:hAnsi="Arial" w:cs="Arial"/>
          <w:sz w:val="26"/>
          <w:szCs w:val="26"/>
        </w:rPr>
        <w:t>100，2.0Mpa）2套；沿线凸起处增设排气阀（</w:t>
      </w:r>
      <w:r>
        <w:rPr>
          <w:rFonts w:hint="eastAsia" w:ascii="Arial" w:hAnsi="Arial" w:cs="Arial"/>
          <w:sz w:val="26"/>
          <w:szCs w:val="26"/>
          <w:lang w:val="en-US" w:eastAsia="zh-CN"/>
        </w:rPr>
        <w:t>DN</w:t>
      </w:r>
      <w:r>
        <w:rPr>
          <w:rFonts w:hint="eastAsia" w:ascii="Arial" w:hAnsi="Arial" w:cs="Arial"/>
          <w:sz w:val="26"/>
          <w:szCs w:val="26"/>
        </w:rPr>
        <w:t>500）共计2个，管道沿线低洼处增设排泥阀（</w:t>
      </w:r>
      <w:r>
        <w:rPr>
          <w:rFonts w:hint="eastAsia" w:ascii="Arial" w:hAnsi="Arial" w:cs="Arial"/>
          <w:sz w:val="26"/>
          <w:szCs w:val="26"/>
          <w:lang w:val="en-US" w:eastAsia="zh-CN"/>
        </w:rPr>
        <w:t>DN</w:t>
      </w:r>
      <w:r>
        <w:rPr>
          <w:rFonts w:hint="eastAsia" w:ascii="Arial" w:hAnsi="Arial" w:cs="Arial"/>
          <w:sz w:val="26"/>
          <w:szCs w:val="26"/>
        </w:rPr>
        <w:t>50）共计2个。</w:t>
      </w:r>
    </w:p>
    <w:p w14:paraId="55696BF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樊家湾支管</w:t>
      </w:r>
      <w:r>
        <w:rPr>
          <w:rFonts w:hint="eastAsia" w:ascii="Arial" w:hAnsi="Arial" w:cs="Arial"/>
          <w:sz w:val="26"/>
          <w:szCs w:val="26"/>
          <w:lang w:val="en-US" w:eastAsia="zh-CN"/>
        </w:rPr>
        <w:t>FZ</w:t>
      </w:r>
      <w:r>
        <w:rPr>
          <w:rFonts w:hint="eastAsia" w:ascii="Arial" w:hAnsi="Arial" w:cs="Arial"/>
          <w:sz w:val="26"/>
          <w:szCs w:val="26"/>
        </w:rPr>
        <w:t>0+000.0</w:t>
      </w:r>
      <w:r>
        <w:rPr>
          <w:rFonts w:hint="eastAsia" w:ascii="Arial" w:hAnsi="Arial" w:cs="Arial"/>
          <w:sz w:val="26"/>
          <w:szCs w:val="26"/>
          <w:lang w:val="en-US" w:eastAsia="zh-CN"/>
        </w:rPr>
        <w:t>~FZ</w:t>
      </w:r>
      <w:r>
        <w:rPr>
          <w:rFonts w:hint="eastAsia" w:ascii="Arial" w:hAnsi="Arial" w:cs="Arial"/>
          <w:sz w:val="26"/>
          <w:szCs w:val="26"/>
        </w:rPr>
        <w:t>0+524.54段管材采用DN48涂塑钢管，长534.71m；</w:t>
      </w:r>
      <w:r>
        <w:rPr>
          <w:rFonts w:hint="eastAsia" w:ascii="Arial" w:hAnsi="Arial" w:cs="Arial"/>
          <w:sz w:val="26"/>
          <w:szCs w:val="26"/>
          <w:lang w:val="en-US" w:eastAsia="zh-CN"/>
        </w:rPr>
        <w:t>FZ</w:t>
      </w:r>
      <w:r>
        <w:rPr>
          <w:rFonts w:hint="eastAsia" w:ascii="Arial" w:hAnsi="Arial" w:cs="Arial"/>
          <w:sz w:val="26"/>
          <w:szCs w:val="26"/>
        </w:rPr>
        <w:t>0+524.54</w:t>
      </w:r>
      <w:r>
        <w:rPr>
          <w:rFonts w:hint="eastAsia" w:ascii="Arial" w:hAnsi="Arial" w:cs="Arial"/>
          <w:sz w:val="26"/>
          <w:szCs w:val="26"/>
          <w:lang w:val="en-US" w:eastAsia="zh-CN"/>
        </w:rPr>
        <w:t>~FZ</w:t>
      </w:r>
      <w:r>
        <w:rPr>
          <w:rFonts w:hint="eastAsia" w:ascii="Arial" w:hAnsi="Arial" w:cs="Arial"/>
          <w:sz w:val="26"/>
          <w:szCs w:val="26"/>
        </w:rPr>
        <w:t>0+</w:t>
      </w:r>
      <w:r>
        <w:rPr>
          <w:rFonts w:hint="eastAsia" w:ascii="Arial" w:hAnsi="Arial" w:cs="Arial"/>
          <w:sz w:val="26"/>
          <w:szCs w:val="26"/>
          <w:lang w:val="en-US" w:eastAsia="zh-CN"/>
        </w:rPr>
        <w:t>710</w:t>
      </w:r>
      <w:r>
        <w:rPr>
          <w:rFonts w:hint="eastAsia" w:ascii="Arial" w:hAnsi="Arial" w:cs="Arial"/>
          <w:sz w:val="26"/>
          <w:szCs w:val="26"/>
        </w:rPr>
        <w:t>段管材采用1.6Mpa的100级DN32PE管，长173.65m。</w:t>
      </w:r>
    </w:p>
    <w:p w14:paraId="12842631">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樊家湾支管进出口和管段间距</w:t>
      </w:r>
      <w:r>
        <w:rPr>
          <w:rFonts w:hint="eastAsia" w:ascii="Arial" w:hAnsi="Arial" w:cs="Arial"/>
          <w:sz w:val="26"/>
          <w:szCs w:val="26"/>
          <w:lang w:eastAsia="zh-CN"/>
        </w:rPr>
        <w:t>≥</w:t>
      </w:r>
      <w:r>
        <w:rPr>
          <w:rFonts w:hint="eastAsia" w:ascii="Arial" w:hAnsi="Arial" w:cs="Arial"/>
          <w:sz w:val="26"/>
          <w:szCs w:val="26"/>
        </w:rPr>
        <w:t>150m处均设置C20砼镇墩。</w:t>
      </w:r>
    </w:p>
    <w:p w14:paraId="00F8051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为满足灌区的灌溉以及供水需求，本次设计时在樊家湾支管</w:t>
      </w:r>
      <w:r>
        <w:rPr>
          <w:rFonts w:hint="eastAsia" w:ascii="Arial" w:hAnsi="Arial" w:cs="Arial"/>
          <w:sz w:val="26"/>
          <w:szCs w:val="26"/>
          <w:lang w:val="en-US" w:eastAsia="zh-CN"/>
        </w:rPr>
        <w:t>FZ</w:t>
      </w:r>
      <w:r>
        <w:rPr>
          <w:rFonts w:hint="eastAsia" w:ascii="Arial" w:hAnsi="Arial" w:cs="Arial"/>
          <w:sz w:val="26"/>
          <w:szCs w:val="26"/>
        </w:rPr>
        <w:t>0+685.54</w:t>
      </w:r>
      <w:r>
        <w:rPr>
          <w:rFonts w:hint="eastAsia" w:ascii="Arial" w:hAnsi="Arial" w:cs="Arial"/>
          <w:sz w:val="26"/>
          <w:szCs w:val="26"/>
          <w:lang w:eastAsia="zh-CN"/>
        </w:rPr>
        <w:t>处</w:t>
      </w:r>
      <w:r>
        <w:rPr>
          <w:rFonts w:hint="eastAsia" w:ascii="Arial" w:hAnsi="Arial" w:cs="Arial"/>
          <w:sz w:val="26"/>
          <w:szCs w:val="26"/>
        </w:rPr>
        <w:t>设置有1</w:t>
      </w:r>
      <w:r>
        <w:rPr>
          <w:rFonts w:hint="eastAsia" w:ascii="Arial" w:hAnsi="Arial" w:cs="Arial"/>
          <w:sz w:val="26"/>
          <w:szCs w:val="26"/>
          <w:lang w:eastAsia="zh-CN"/>
        </w:rPr>
        <w:t>个</w:t>
      </w:r>
      <w:r>
        <w:rPr>
          <w:rFonts w:hint="eastAsia" w:ascii="Arial" w:hAnsi="Arial" w:cs="Arial"/>
          <w:sz w:val="26"/>
          <w:szCs w:val="26"/>
        </w:rPr>
        <w:t>分水阀。</w:t>
      </w:r>
    </w:p>
    <w:p w14:paraId="48A69E3A">
      <w:pPr>
        <w:spacing w:line="440" w:lineRule="exact"/>
        <w:ind w:firstLine="522" w:firstLineChars="200"/>
        <w:rPr>
          <w:rFonts w:hint="eastAsia" w:ascii="Arial" w:hAnsi="Arial" w:cs="Arial"/>
          <w:b/>
          <w:bCs/>
          <w:sz w:val="26"/>
        </w:rPr>
      </w:pPr>
      <w:r>
        <w:rPr>
          <w:rFonts w:hint="eastAsia" w:ascii="Arial" w:hAnsi="Arial" w:cs="Arial"/>
          <w:b/>
          <w:bCs/>
          <w:sz w:val="26"/>
        </w:rPr>
        <w:t>⑤</w:t>
      </w:r>
      <w:r>
        <w:rPr>
          <w:rFonts w:hint="eastAsia" w:ascii="Arial" w:hAnsi="Arial" w:cs="Arial"/>
          <w:b/>
          <w:bCs/>
          <w:sz w:val="26"/>
          <w:lang w:val="en-US" w:eastAsia="zh-CN"/>
        </w:rPr>
        <w:t xml:space="preserve"> </w:t>
      </w:r>
      <w:r>
        <w:rPr>
          <w:rFonts w:hint="eastAsia" w:ascii="Arial" w:hAnsi="Arial" w:cs="Arial"/>
          <w:b/>
          <w:bCs/>
          <w:sz w:val="26"/>
        </w:rPr>
        <w:t>鸦雀湾支管</w:t>
      </w:r>
    </w:p>
    <w:p w14:paraId="027ED29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鸦雀湾支管设计线路为：双龙干管4#分水口→鸦雀湾支管→鸦雀湾</w:t>
      </w:r>
      <w:r>
        <w:rPr>
          <w:rFonts w:hint="eastAsia" w:ascii="Arial" w:hAnsi="Arial" w:cs="Arial"/>
          <w:sz w:val="26"/>
          <w:szCs w:val="26"/>
          <w:lang w:eastAsia="zh-CN"/>
        </w:rPr>
        <w:t>水池</w:t>
      </w:r>
      <w:r>
        <w:rPr>
          <w:rFonts w:hint="eastAsia" w:ascii="Arial" w:hAnsi="Arial" w:cs="Arial"/>
          <w:sz w:val="26"/>
          <w:szCs w:val="26"/>
        </w:rPr>
        <w:t>。</w:t>
      </w:r>
    </w:p>
    <w:p w14:paraId="2E6B1734">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鸦雀湾支管长610m，</w:t>
      </w:r>
      <w:r>
        <w:rPr>
          <w:rFonts w:hint="eastAsia" w:ascii="Arial" w:hAnsi="Arial" w:cs="Arial"/>
          <w:sz w:val="26"/>
          <w:szCs w:val="26"/>
          <w:lang w:eastAsia="zh-CN"/>
        </w:rPr>
        <w:t>桩号为</w:t>
      </w:r>
      <w:r>
        <w:rPr>
          <w:rFonts w:hint="eastAsia" w:ascii="Arial" w:hAnsi="Arial" w:cs="Arial"/>
          <w:sz w:val="26"/>
          <w:szCs w:val="26"/>
          <w:lang w:val="en-US" w:eastAsia="zh-CN"/>
        </w:rPr>
        <w:t>YZ0+000~YZ0+610，</w:t>
      </w:r>
      <w:r>
        <w:rPr>
          <w:rFonts w:hint="eastAsia" w:ascii="Arial" w:hAnsi="Arial" w:cs="Arial"/>
          <w:sz w:val="26"/>
          <w:szCs w:val="26"/>
        </w:rPr>
        <w:t>管首设计流量0.0002m</w:t>
      </w:r>
      <w:r>
        <w:rPr>
          <w:rFonts w:hint="eastAsia" w:ascii="Arial" w:hAnsi="Arial" w:cs="Arial"/>
          <w:sz w:val="26"/>
          <w:szCs w:val="26"/>
          <w:vertAlign w:val="superscript"/>
          <w:lang w:val="en-US" w:eastAsia="zh-CN"/>
        </w:rPr>
        <w:t>3</w:t>
      </w:r>
      <w:r>
        <w:rPr>
          <w:rFonts w:hint="eastAsia" w:ascii="Arial" w:hAnsi="Arial" w:cs="Arial"/>
          <w:sz w:val="26"/>
          <w:szCs w:val="26"/>
        </w:rPr>
        <w:t>/s，由输水管道组成，采用地埋式，埋深不小于0.7m。</w:t>
      </w:r>
    </w:p>
    <w:p w14:paraId="3485EFE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鸦雀湾支管管首配套流量计（</w:t>
      </w:r>
      <w:r>
        <w:rPr>
          <w:rFonts w:hint="eastAsia" w:ascii="Arial" w:hAnsi="Arial" w:cs="Arial"/>
          <w:sz w:val="26"/>
          <w:szCs w:val="26"/>
          <w:lang w:val="en-US" w:eastAsia="zh-CN"/>
        </w:rPr>
        <w:t>DN</w:t>
      </w:r>
      <w:r>
        <w:rPr>
          <w:rFonts w:hint="eastAsia" w:ascii="Arial" w:hAnsi="Arial" w:cs="Arial"/>
          <w:sz w:val="26"/>
          <w:szCs w:val="26"/>
        </w:rPr>
        <w:t>100）1个，控制阀（</w:t>
      </w:r>
      <w:r>
        <w:rPr>
          <w:rFonts w:hint="eastAsia" w:ascii="Arial" w:hAnsi="Arial" w:cs="Arial"/>
          <w:sz w:val="26"/>
          <w:szCs w:val="26"/>
          <w:lang w:val="en-US" w:eastAsia="zh-CN"/>
        </w:rPr>
        <w:t>DN</w:t>
      </w:r>
      <w:r>
        <w:rPr>
          <w:rFonts w:hint="eastAsia" w:ascii="Arial" w:hAnsi="Arial" w:cs="Arial"/>
          <w:sz w:val="26"/>
          <w:szCs w:val="26"/>
        </w:rPr>
        <w:t>100，2.0Mpa）2套，检修阀（</w:t>
      </w:r>
      <w:r>
        <w:rPr>
          <w:rFonts w:hint="eastAsia" w:ascii="Arial" w:hAnsi="Arial" w:cs="Arial"/>
          <w:sz w:val="26"/>
          <w:szCs w:val="26"/>
          <w:lang w:val="en-US" w:eastAsia="zh-CN"/>
        </w:rPr>
        <w:t>DN</w:t>
      </w:r>
      <w:r>
        <w:rPr>
          <w:rFonts w:hint="eastAsia" w:ascii="Arial" w:hAnsi="Arial" w:cs="Arial"/>
          <w:sz w:val="26"/>
          <w:szCs w:val="26"/>
        </w:rPr>
        <w:t>100，2.0Mpa）1套；沿线凸起处增设排气阀（</w:t>
      </w:r>
      <w:r>
        <w:rPr>
          <w:rFonts w:hint="eastAsia" w:ascii="Arial" w:hAnsi="Arial" w:cs="Arial"/>
          <w:sz w:val="26"/>
          <w:szCs w:val="26"/>
          <w:lang w:val="en-US" w:eastAsia="zh-CN"/>
        </w:rPr>
        <w:t>DN</w:t>
      </w:r>
      <w:r>
        <w:rPr>
          <w:rFonts w:hint="eastAsia" w:ascii="Arial" w:hAnsi="Arial" w:cs="Arial"/>
          <w:sz w:val="26"/>
          <w:szCs w:val="26"/>
        </w:rPr>
        <w:t>500）共计2个，管道沿线低洼处增设排泥阀（</w:t>
      </w:r>
      <w:r>
        <w:rPr>
          <w:rFonts w:hint="eastAsia" w:ascii="Arial" w:hAnsi="Arial" w:cs="Arial"/>
          <w:sz w:val="26"/>
          <w:szCs w:val="26"/>
          <w:lang w:val="en-US" w:eastAsia="zh-CN"/>
        </w:rPr>
        <w:t>DN</w:t>
      </w:r>
      <w:r>
        <w:rPr>
          <w:rFonts w:hint="eastAsia" w:ascii="Arial" w:hAnsi="Arial" w:cs="Arial"/>
          <w:sz w:val="26"/>
          <w:szCs w:val="26"/>
        </w:rPr>
        <w:t>50）共计2个。</w:t>
      </w:r>
    </w:p>
    <w:p w14:paraId="507AD60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鸦雀湾支管</w:t>
      </w:r>
      <w:r>
        <w:rPr>
          <w:rFonts w:hint="eastAsia" w:ascii="Arial" w:hAnsi="Arial" w:cs="Arial"/>
          <w:sz w:val="26"/>
          <w:szCs w:val="26"/>
          <w:lang w:val="en-US" w:eastAsia="zh-CN"/>
        </w:rPr>
        <w:t>YZ</w:t>
      </w:r>
      <w:r>
        <w:rPr>
          <w:rFonts w:hint="eastAsia" w:ascii="Arial" w:hAnsi="Arial" w:cs="Arial"/>
          <w:sz w:val="26"/>
          <w:szCs w:val="26"/>
        </w:rPr>
        <w:t>0+000.0</w:t>
      </w:r>
      <w:r>
        <w:rPr>
          <w:rFonts w:hint="eastAsia" w:ascii="Arial" w:hAnsi="Arial" w:cs="Arial"/>
          <w:sz w:val="26"/>
          <w:szCs w:val="26"/>
          <w:lang w:val="en-US" w:eastAsia="zh-CN"/>
        </w:rPr>
        <w:t>~YZ</w:t>
      </w:r>
      <w:r>
        <w:rPr>
          <w:rFonts w:hint="eastAsia" w:ascii="Arial" w:hAnsi="Arial" w:cs="Arial"/>
          <w:sz w:val="26"/>
          <w:szCs w:val="26"/>
        </w:rPr>
        <w:t>0+</w:t>
      </w:r>
      <w:r>
        <w:rPr>
          <w:rFonts w:hint="eastAsia" w:ascii="Arial" w:hAnsi="Arial" w:cs="Arial"/>
          <w:sz w:val="26"/>
          <w:szCs w:val="26"/>
          <w:lang w:val="en-US" w:eastAsia="zh-CN"/>
        </w:rPr>
        <w:t>610</w:t>
      </w:r>
      <w:r>
        <w:rPr>
          <w:rFonts w:hint="eastAsia" w:ascii="Arial" w:hAnsi="Arial" w:cs="Arial"/>
          <w:sz w:val="26"/>
          <w:szCs w:val="26"/>
        </w:rPr>
        <w:t>段管材采用DN32涂塑钢管，长610m。</w:t>
      </w:r>
    </w:p>
    <w:p w14:paraId="5A022AD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鸦雀湾支管进出口和管段间距</w:t>
      </w:r>
      <w:r>
        <w:rPr>
          <w:rFonts w:hint="eastAsia" w:ascii="Arial" w:hAnsi="Arial" w:cs="Arial"/>
          <w:sz w:val="26"/>
          <w:szCs w:val="26"/>
          <w:lang w:eastAsia="zh-CN"/>
        </w:rPr>
        <w:t>≥</w:t>
      </w:r>
      <w:r>
        <w:rPr>
          <w:rFonts w:hint="eastAsia" w:ascii="Arial" w:hAnsi="Arial" w:cs="Arial"/>
          <w:sz w:val="26"/>
          <w:szCs w:val="26"/>
        </w:rPr>
        <w:t>150m处均设置C20砼镇墩。</w:t>
      </w:r>
    </w:p>
    <w:p w14:paraId="16E51AF7">
      <w:pPr>
        <w:spacing w:line="440" w:lineRule="exact"/>
        <w:ind w:firstLine="522" w:firstLineChars="200"/>
        <w:rPr>
          <w:rFonts w:hint="eastAsia" w:ascii="Arial" w:hAnsi="Arial" w:cs="Arial"/>
          <w:b/>
          <w:bCs/>
          <w:sz w:val="26"/>
        </w:rPr>
      </w:pPr>
      <w:r>
        <w:rPr>
          <w:rFonts w:hint="eastAsia" w:ascii="Arial" w:hAnsi="Arial" w:cs="Arial"/>
          <w:b/>
          <w:bCs/>
          <w:sz w:val="26"/>
        </w:rPr>
        <w:t>⑥</w:t>
      </w:r>
      <w:r>
        <w:rPr>
          <w:rFonts w:hint="eastAsia" w:ascii="Arial" w:hAnsi="Arial" w:cs="Arial"/>
          <w:b/>
          <w:bCs/>
          <w:sz w:val="26"/>
          <w:lang w:val="en-US" w:eastAsia="zh-CN"/>
        </w:rPr>
        <w:t xml:space="preserve"> </w:t>
      </w:r>
      <w:r>
        <w:rPr>
          <w:rFonts w:hint="eastAsia" w:ascii="Arial" w:hAnsi="Arial" w:cs="Arial"/>
          <w:b/>
          <w:bCs/>
          <w:sz w:val="26"/>
        </w:rPr>
        <w:t>三角冲支管</w:t>
      </w:r>
    </w:p>
    <w:p w14:paraId="1CB0257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三角冲支管设计线路为：樊家湾支管分水口→三角冲支管→三角冲</w:t>
      </w:r>
      <w:r>
        <w:rPr>
          <w:rFonts w:hint="eastAsia" w:ascii="Arial" w:hAnsi="Arial" w:cs="Arial"/>
          <w:sz w:val="26"/>
          <w:szCs w:val="26"/>
          <w:lang w:eastAsia="zh-CN"/>
        </w:rPr>
        <w:t>水池</w:t>
      </w:r>
      <w:r>
        <w:rPr>
          <w:rFonts w:hint="eastAsia" w:ascii="Arial" w:hAnsi="Arial" w:cs="Arial"/>
          <w:sz w:val="26"/>
          <w:szCs w:val="26"/>
        </w:rPr>
        <w:t>。</w:t>
      </w:r>
    </w:p>
    <w:p w14:paraId="10B27F3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三角冲支管长3</w:t>
      </w:r>
      <w:r>
        <w:rPr>
          <w:rFonts w:hint="eastAsia" w:ascii="Arial" w:hAnsi="Arial" w:cs="Arial"/>
          <w:sz w:val="26"/>
          <w:szCs w:val="26"/>
          <w:lang w:val="en-US" w:eastAsia="zh-CN"/>
        </w:rPr>
        <w:t>10</w:t>
      </w:r>
      <w:r>
        <w:rPr>
          <w:rFonts w:hint="eastAsia" w:ascii="Arial" w:hAnsi="Arial" w:cs="Arial"/>
          <w:sz w:val="26"/>
          <w:szCs w:val="26"/>
        </w:rPr>
        <w:t>m，</w:t>
      </w:r>
      <w:r>
        <w:rPr>
          <w:rFonts w:hint="eastAsia" w:ascii="Arial" w:hAnsi="Arial" w:cs="Arial"/>
          <w:sz w:val="26"/>
          <w:szCs w:val="26"/>
          <w:lang w:eastAsia="zh-CN"/>
        </w:rPr>
        <w:t>桩号为</w:t>
      </w:r>
      <w:r>
        <w:rPr>
          <w:rFonts w:hint="eastAsia" w:ascii="Arial" w:hAnsi="Arial" w:cs="Arial"/>
          <w:sz w:val="26"/>
          <w:szCs w:val="26"/>
          <w:lang w:val="en-US" w:eastAsia="zh-CN"/>
        </w:rPr>
        <w:t>SZ0+000~SZ0+310，</w:t>
      </w:r>
      <w:r>
        <w:rPr>
          <w:rFonts w:hint="eastAsia" w:ascii="Arial" w:hAnsi="Arial" w:cs="Arial"/>
          <w:sz w:val="26"/>
          <w:szCs w:val="26"/>
        </w:rPr>
        <w:t>管首设计流量0.0002m</w:t>
      </w:r>
      <w:r>
        <w:rPr>
          <w:rFonts w:hint="eastAsia" w:ascii="Arial" w:hAnsi="Arial" w:cs="Arial"/>
          <w:sz w:val="26"/>
          <w:szCs w:val="26"/>
          <w:vertAlign w:val="superscript"/>
          <w:lang w:val="en-US" w:eastAsia="zh-CN"/>
        </w:rPr>
        <w:t>3</w:t>
      </w:r>
      <w:r>
        <w:rPr>
          <w:rFonts w:hint="eastAsia" w:ascii="Arial" w:hAnsi="Arial" w:cs="Arial"/>
          <w:sz w:val="26"/>
          <w:szCs w:val="26"/>
        </w:rPr>
        <w:t>/s，由输水管道组成，采用地埋式，埋深不小于0.7m。</w:t>
      </w:r>
    </w:p>
    <w:p w14:paraId="0266384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三角冲支管管首配套流量计（</w:t>
      </w:r>
      <w:r>
        <w:rPr>
          <w:rFonts w:hint="eastAsia" w:ascii="Arial" w:hAnsi="Arial" w:cs="Arial"/>
          <w:sz w:val="26"/>
          <w:szCs w:val="26"/>
          <w:lang w:val="en-US" w:eastAsia="zh-CN"/>
        </w:rPr>
        <w:t>DN</w:t>
      </w:r>
      <w:r>
        <w:rPr>
          <w:rFonts w:hint="eastAsia" w:ascii="Arial" w:hAnsi="Arial" w:cs="Arial"/>
          <w:sz w:val="26"/>
          <w:szCs w:val="26"/>
        </w:rPr>
        <w:t>100）1个，控制阀（</w:t>
      </w:r>
      <w:r>
        <w:rPr>
          <w:rFonts w:hint="eastAsia" w:ascii="Arial" w:hAnsi="Arial" w:cs="Arial"/>
          <w:sz w:val="26"/>
          <w:szCs w:val="26"/>
          <w:lang w:val="en-US" w:eastAsia="zh-CN"/>
        </w:rPr>
        <w:t>DN</w:t>
      </w:r>
      <w:r>
        <w:rPr>
          <w:rFonts w:hint="eastAsia" w:ascii="Arial" w:hAnsi="Arial" w:cs="Arial"/>
          <w:sz w:val="26"/>
          <w:szCs w:val="26"/>
        </w:rPr>
        <w:t>100，2.0Mpa）1套，检修阀（</w:t>
      </w:r>
      <w:r>
        <w:rPr>
          <w:rFonts w:hint="eastAsia" w:ascii="Arial" w:hAnsi="Arial" w:cs="Arial"/>
          <w:sz w:val="26"/>
          <w:szCs w:val="26"/>
          <w:lang w:val="en-US" w:eastAsia="zh-CN"/>
        </w:rPr>
        <w:t>DN</w:t>
      </w:r>
      <w:r>
        <w:rPr>
          <w:rFonts w:hint="eastAsia" w:ascii="Arial" w:hAnsi="Arial" w:cs="Arial"/>
          <w:sz w:val="26"/>
          <w:szCs w:val="26"/>
        </w:rPr>
        <w:t>100，2.0Mpa）1套；沿线凸起处增设排气阀（</w:t>
      </w:r>
      <w:r>
        <w:rPr>
          <w:rFonts w:hint="eastAsia" w:ascii="Arial" w:hAnsi="Arial" w:cs="Arial"/>
          <w:sz w:val="26"/>
          <w:szCs w:val="26"/>
          <w:lang w:val="en-US" w:eastAsia="zh-CN"/>
        </w:rPr>
        <w:t>DN</w:t>
      </w:r>
      <w:r>
        <w:rPr>
          <w:rFonts w:hint="eastAsia" w:ascii="Arial" w:hAnsi="Arial" w:cs="Arial"/>
          <w:sz w:val="26"/>
          <w:szCs w:val="26"/>
        </w:rPr>
        <w:t>500）共计4个，管道沿线低洼处增设排泥阀（</w:t>
      </w:r>
      <w:r>
        <w:rPr>
          <w:rFonts w:hint="eastAsia" w:ascii="Arial" w:hAnsi="Arial" w:cs="Arial"/>
          <w:sz w:val="26"/>
          <w:szCs w:val="26"/>
          <w:lang w:val="en-US" w:eastAsia="zh-CN"/>
        </w:rPr>
        <w:t>ND</w:t>
      </w:r>
      <w:r>
        <w:rPr>
          <w:rFonts w:hint="eastAsia" w:ascii="Arial" w:hAnsi="Arial" w:cs="Arial"/>
          <w:sz w:val="26"/>
          <w:szCs w:val="26"/>
        </w:rPr>
        <w:t>50）共计4个。</w:t>
      </w:r>
    </w:p>
    <w:p w14:paraId="3E72F91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三角冲支管管材采用1.6Mpa的100级DN32PE管，长3</w:t>
      </w:r>
      <w:r>
        <w:rPr>
          <w:rFonts w:hint="eastAsia" w:ascii="Arial" w:hAnsi="Arial" w:cs="Arial"/>
          <w:sz w:val="26"/>
          <w:szCs w:val="26"/>
          <w:lang w:val="en-US" w:eastAsia="zh-CN"/>
        </w:rPr>
        <w:t>10</w:t>
      </w:r>
      <w:r>
        <w:rPr>
          <w:rFonts w:hint="eastAsia" w:ascii="Arial" w:hAnsi="Arial" w:cs="Arial"/>
          <w:sz w:val="26"/>
          <w:szCs w:val="26"/>
        </w:rPr>
        <w:t>m。</w:t>
      </w:r>
    </w:p>
    <w:p w14:paraId="25CBB25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lang w:val="zh-CN"/>
        </w:rPr>
      </w:pPr>
      <w:r>
        <w:rPr>
          <w:rFonts w:hint="eastAsia" w:ascii="Arial" w:hAnsi="Arial" w:cs="Arial"/>
          <w:sz w:val="26"/>
          <w:szCs w:val="26"/>
        </w:rPr>
        <w:t>三角冲支管进出口和管段间距</w:t>
      </w:r>
      <w:r>
        <w:rPr>
          <w:rFonts w:hint="eastAsia" w:ascii="Arial" w:hAnsi="Arial" w:cs="Arial"/>
          <w:sz w:val="26"/>
          <w:szCs w:val="26"/>
          <w:lang w:eastAsia="zh-CN"/>
        </w:rPr>
        <w:t>≥</w:t>
      </w:r>
      <w:r>
        <w:rPr>
          <w:rFonts w:hint="eastAsia" w:ascii="Arial" w:hAnsi="Arial" w:cs="Arial"/>
          <w:sz w:val="26"/>
          <w:szCs w:val="26"/>
        </w:rPr>
        <w:t>150m处均设置C20砼镇墩</w:t>
      </w:r>
      <w:r>
        <w:rPr>
          <w:rFonts w:hint="default" w:ascii="Arial" w:hAnsi="Arial" w:cs="Arial"/>
          <w:sz w:val="26"/>
          <w:szCs w:val="26"/>
          <w:lang w:val="zh-CN"/>
        </w:rPr>
        <w:t>。</w:t>
      </w:r>
    </w:p>
    <w:p w14:paraId="3F2B9C5A">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cs="Arial"/>
          <w:b/>
          <w:bCs/>
          <w:sz w:val="26"/>
          <w:lang w:val="zh-CN"/>
        </w:rPr>
      </w:pPr>
      <w:r>
        <w:rPr>
          <w:rFonts w:hint="eastAsia" w:ascii="Arial" w:hAnsi="Arial" w:cs="Arial"/>
          <w:b/>
          <w:bCs/>
          <w:sz w:val="26"/>
          <w:lang w:val="zh-CN"/>
        </w:rPr>
        <w:t>⑦</w:t>
      </w:r>
      <w:r>
        <w:rPr>
          <w:rFonts w:hint="eastAsia" w:ascii="Arial" w:hAnsi="Arial" w:cs="Arial"/>
          <w:b/>
          <w:bCs/>
          <w:sz w:val="26"/>
          <w:lang w:val="en-US" w:eastAsia="zh-CN"/>
        </w:rPr>
        <w:t xml:space="preserve"> </w:t>
      </w:r>
      <w:r>
        <w:rPr>
          <w:rFonts w:hint="eastAsia" w:ascii="Arial" w:hAnsi="Arial" w:cs="Arial"/>
          <w:b/>
          <w:bCs/>
          <w:sz w:val="26"/>
          <w:lang w:val="zh-CN"/>
        </w:rPr>
        <w:t>小结</w:t>
      </w:r>
    </w:p>
    <w:p w14:paraId="72695E71">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lang w:val="en-US" w:eastAsia="zh-CN"/>
        </w:rPr>
      </w:pPr>
      <w:r>
        <w:rPr>
          <w:rFonts w:hint="eastAsia" w:ascii="Arial" w:hAnsi="Arial" w:cs="Arial"/>
          <w:sz w:val="26"/>
          <w:szCs w:val="26"/>
          <w:lang w:eastAsia="zh-CN"/>
        </w:rPr>
        <w:t>结合各输水管线走向，共有</w:t>
      </w:r>
      <w:r>
        <w:rPr>
          <w:rFonts w:hint="eastAsia" w:ascii="Arial" w:hAnsi="Arial" w:cs="Arial"/>
          <w:sz w:val="26"/>
          <w:szCs w:val="26"/>
          <w:lang w:val="en-US" w:eastAsia="zh-CN"/>
        </w:rPr>
        <w:t>5处穿越现状河道，其中1次穿越海螺沟、3次穿越高洞桥河、1次穿越双龙河，采用顶管、定向钻等不涉水施工工艺。</w:t>
      </w:r>
    </w:p>
    <w:p w14:paraId="19E26C0F">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eastAsia="宋体" w:cs="Arial"/>
          <w:b/>
          <w:sz w:val="26"/>
          <w:szCs w:val="26"/>
          <w:lang w:eastAsia="zh-CN"/>
        </w:rPr>
      </w:pPr>
      <w:r>
        <w:rPr>
          <w:rFonts w:hint="eastAsia" w:ascii="Arial" w:hAnsi="Arial" w:cs="Arial"/>
          <w:b/>
          <w:bCs/>
          <w:sz w:val="26"/>
          <w:szCs w:val="26"/>
        </w:rPr>
        <w:t>表2</w:t>
      </w:r>
      <w:r>
        <w:rPr>
          <w:rFonts w:hint="eastAsia" w:ascii="Arial" w:hAnsi="Arial" w:cs="Arial"/>
          <w:b/>
          <w:bCs/>
          <w:sz w:val="26"/>
          <w:szCs w:val="26"/>
          <w:lang w:val="en-US" w:eastAsia="zh-CN"/>
        </w:rPr>
        <w:t>.2</w:t>
      </w:r>
      <w:r>
        <w:rPr>
          <w:rFonts w:hint="eastAsia" w:ascii="Arial" w:hAnsi="Arial" w:cs="Arial"/>
          <w:b/>
          <w:bCs/>
          <w:sz w:val="26"/>
          <w:szCs w:val="26"/>
        </w:rPr>
        <w:t>-</w:t>
      </w:r>
      <w:r>
        <w:rPr>
          <w:rFonts w:hint="eastAsia" w:ascii="Arial" w:hAnsi="Arial" w:cs="Arial"/>
          <w:b/>
          <w:bCs/>
          <w:sz w:val="26"/>
          <w:szCs w:val="26"/>
          <w:lang w:val="en-US" w:eastAsia="zh-CN"/>
        </w:rPr>
        <w:t>4</w:t>
      </w:r>
      <w:r>
        <w:rPr>
          <w:rFonts w:hint="eastAsia" w:ascii="Arial" w:hAnsi="Arial" w:cs="Arial"/>
          <w:b/>
          <w:bCs/>
          <w:sz w:val="26"/>
          <w:szCs w:val="26"/>
        </w:rPr>
        <w:t xml:space="preserve"> </w:t>
      </w:r>
      <w:r>
        <w:rPr>
          <w:rFonts w:hint="eastAsia" w:ascii="Arial" w:hAnsi="Arial" w:cs="Arial"/>
          <w:b/>
          <w:bCs/>
          <w:sz w:val="26"/>
          <w:szCs w:val="26"/>
          <w:lang w:eastAsia="zh-CN"/>
        </w:rPr>
        <w:t>海螺沟</w:t>
      </w:r>
      <w:r>
        <w:rPr>
          <w:rFonts w:hint="eastAsia" w:ascii="Arial" w:hAnsi="Arial" w:cs="Arial"/>
          <w:b/>
          <w:bCs/>
          <w:sz w:val="26"/>
          <w:szCs w:val="26"/>
        </w:rPr>
        <w:t>水库</w:t>
      </w:r>
      <w:r>
        <w:rPr>
          <w:rFonts w:hint="eastAsia" w:ascii="Arial" w:hAnsi="Arial" w:cs="Arial"/>
          <w:b/>
          <w:bCs/>
          <w:sz w:val="26"/>
          <w:szCs w:val="26"/>
          <w:lang w:eastAsia="zh-CN"/>
        </w:rPr>
        <w:t>输送管线跨越河流情况一览表</w:t>
      </w:r>
    </w:p>
    <w:tbl>
      <w:tblPr>
        <w:tblStyle w:val="77"/>
        <w:tblW w:w="91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66"/>
        <w:gridCol w:w="1398"/>
        <w:gridCol w:w="1198"/>
        <w:gridCol w:w="2812"/>
        <w:gridCol w:w="2883"/>
      </w:tblGrid>
      <w:tr w14:paraId="230EE1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866" w:type="dxa"/>
            <w:noWrap w:val="0"/>
            <w:vAlign w:val="center"/>
          </w:tcPr>
          <w:p w14:paraId="41E3A378">
            <w:pPr>
              <w:adjustRightInd w:val="0"/>
              <w:snapToGrid w:val="0"/>
              <w:spacing w:line="300" w:lineRule="exact"/>
              <w:jc w:val="center"/>
              <w:rPr>
                <w:rFonts w:ascii="Arial" w:hAnsi="Arial" w:cs="Arial"/>
                <w:color w:val="auto"/>
                <w:spacing w:val="-4"/>
                <w:sz w:val="22"/>
                <w:szCs w:val="22"/>
              </w:rPr>
            </w:pPr>
            <w:r>
              <w:rPr>
                <w:rFonts w:ascii="Arial" w:hAnsi="宋体" w:cs="Arial"/>
                <w:color w:val="auto"/>
                <w:spacing w:val="-4"/>
                <w:sz w:val="22"/>
                <w:szCs w:val="22"/>
              </w:rPr>
              <w:t>序号</w:t>
            </w:r>
          </w:p>
        </w:tc>
        <w:tc>
          <w:tcPr>
            <w:tcW w:w="1398" w:type="dxa"/>
            <w:noWrap w:val="0"/>
            <w:vAlign w:val="center"/>
          </w:tcPr>
          <w:p w14:paraId="31D547FC">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宋体" w:cs="Arial"/>
                <w:color w:val="auto"/>
                <w:spacing w:val="-4"/>
                <w:sz w:val="22"/>
                <w:szCs w:val="22"/>
                <w:lang w:eastAsia="zh-CN"/>
              </w:rPr>
              <w:t>管线名称</w:t>
            </w:r>
          </w:p>
        </w:tc>
        <w:tc>
          <w:tcPr>
            <w:tcW w:w="1198" w:type="dxa"/>
            <w:noWrap w:val="0"/>
            <w:vAlign w:val="center"/>
          </w:tcPr>
          <w:p w14:paraId="1FC9AE83">
            <w:pPr>
              <w:adjustRightInd w:val="0"/>
              <w:snapToGrid w:val="0"/>
              <w:spacing w:line="300" w:lineRule="exact"/>
              <w:jc w:val="center"/>
              <w:rPr>
                <w:rFonts w:ascii="Arial" w:hAnsi="Arial" w:cs="Arial"/>
                <w:color w:val="auto"/>
                <w:spacing w:val="-4"/>
                <w:sz w:val="22"/>
                <w:szCs w:val="22"/>
              </w:rPr>
            </w:pPr>
            <w:r>
              <w:rPr>
                <w:rFonts w:ascii="Arial" w:hAnsi="宋体" w:cs="Arial"/>
                <w:color w:val="auto"/>
                <w:spacing w:val="-4"/>
                <w:sz w:val="22"/>
                <w:szCs w:val="22"/>
              </w:rPr>
              <w:t>跨越河流</w:t>
            </w:r>
          </w:p>
        </w:tc>
        <w:tc>
          <w:tcPr>
            <w:tcW w:w="2812" w:type="dxa"/>
            <w:noWrap w:val="0"/>
            <w:vAlign w:val="center"/>
          </w:tcPr>
          <w:p w14:paraId="11141823">
            <w:pPr>
              <w:adjustRightInd w:val="0"/>
              <w:snapToGrid w:val="0"/>
              <w:spacing w:line="300" w:lineRule="exact"/>
              <w:jc w:val="center"/>
              <w:rPr>
                <w:rFonts w:ascii="Arial" w:hAnsi="Arial" w:cs="Arial"/>
                <w:color w:val="auto"/>
                <w:spacing w:val="-4"/>
                <w:sz w:val="22"/>
                <w:szCs w:val="22"/>
              </w:rPr>
            </w:pPr>
            <w:r>
              <w:rPr>
                <w:rFonts w:ascii="Arial" w:hAnsi="宋体" w:cs="Arial"/>
                <w:color w:val="auto"/>
                <w:spacing w:val="-4"/>
                <w:sz w:val="22"/>
                <w:szCs w:val="22"/>
              </w:rPr>
              <w:t>管线桩号</w:t>
            </w:r>
          </w:p>
        </w:tc>
        <w:tc>
          <w:tcPr>
            <w:tcW w:w="2883" w:type="dxa"/>
            <w:noWrap w:val="0"/>
            <w:vAlign w:val="center"/>
          </w:tcPr>
          <w:p w14:paraId="3DEA2FFB">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Arial" w:cs="Arial"/>
                <w:color w:val="auto"/>
                <w:spacing w:val="-4"/>
                <w:sz w:val="22"/>
                <w:szCs w:val="22"/>
                <w:lang w:eastAsia="zh-CN"/>
              </w:rPr>
              <w:t>备注</w:t>
            </w:r>
          </w:p>
        </w:tc>
      </w:tr>
      <w:tr w14:paraId="268A1A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66" w:type="dxa"/>
            <w:noWrap w:val="0"/>
            <w:vAlign w:val="center"/>
          </w:tcPr>
          <w:p w14:paraId="229B217A">
            <w:pPr>
              <w:adjustRightInd w:val="0"/>
              <w:snapToGrid w:val="0"/>
              <w:spacing w:line="300" w:lineRule="exact"/>
              <w:jc w:val="center"/>
              <w:rPr>
                <w:rFonts w:ascii="Arial" w:hAnsi="Arial" w:cs="Arial"/>
                <w:color w:val="auto"/>
                <w:spacing w:val="-4"/>
                <w:sz w:val="22"/>
                <w:szCs w:val="22"/>
              </w:rPr>
            </w:pPr>
            <w:r>
              <w:rPr>
                <w:rFonts w:hint="eastAsia" w:ascii="Arial" w:hAnsi="Arial" w:cs="Arial"/>
                <w:color w:val="auto"/>
                <w:spacing w:val="-4"/>
                <w:sz w:val="22"/>
                <w:szCs w:val="22"/>
              </w:rPr>
              <w:t>1</w:t>
            </w:r>
          </w:p>
        </w:tc>
        <w:tc>
          <w:tcPr>
            <w:tcW w:w="1398" w:type="dxa"/>
            <w:vMerge w:val="restart"/>
            <w:noWrap w:val="0"/>
            <w:vAlign w:val="center"/>
          </w:tcPr>
          <w:p w14:paraId="0E19F2DE">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Arial" w:cs="Arial"/>
                <w:color w:val="auto"/>
                <w:spacing w:val="-4"/>
                <w:sz w:val="22"/>
                <w:szCs w:val="22"/>
                <w:lang w:eastAsia="zh-CN"/>
              </w:rPr>
              <w:t>范家湾支管</w:t>
            </w:r>
          </w:p>
        </w:tc>
        <w:tc>
          <w:tcPr>
            <w:tcW w:w="1198" w:type="dxa"/>
            <w:noWrap w:val="0"/>
            <w:vAlign w:val="center"/>
          </w:tcPr>
          <w:p w14:paraId="160A0857">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Arial" w:cs="Arial"/>
                <w:color w:val="auto"/>
                <w:spacing w:val="-4"/>
                <w:sz w:val="22"/>
                <w:szCs w:val="22"/>
                <w:lang w:eastAsia="zh-CN"/>
              </w:rPr>
              <w:t>海螺沟</w:t>
            </w:r>
          </w:p>
        </w:tc>
        <w:tc>
          <w:tcPr>
            <w:tcW w:w="2812" w:type="dxa"/>
            <w:noWrap w:val="0"/>
            <w:vAlign w:val="center"/>
          </w:tcPr>
          <w:p w14:paraId="137E3D01">
            <w:pPr>
              <w:adjustRightInd w:val="0"/>
              <w:snapToGrid w:val="0"/>
              <w:spacing w:line="300" w:lineRule="exact"/>
              <w:jc w:val="center"/>
              <w:rPr>
                <w:rFonts w:hint="default"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FZ0+000</w:t>
            </w:r>
            <w:r>
              <w:rPr>
                <w:rFonts w:hint="eastAsia" w:ascii="Arial" w:hAnsi="Arial" w:cs="Arial"/>
                <w:color w:val="auto"/>
                <w:spacing w:val="-4"/>
                <w:sz w:val="22"/>
                <w:szCs w:val="22"/>
              </w:rPr>
              <w:t xml:space="preserve">~ </w:t>
            </w:r>
            <w:r>
              <w:rPr>
                <w:rFonts w:hint="eastAsia" w:ascii="Arial" w:hAnsi="Arial" w:cs="Arial"/>
                <w:color w:val="auto"/>
                <w:spacing w:val="-4"/>
                <w:sz w:val="22"/>
                <w:szCs w:val="22"/>
                <w:lang w:val="en-US" w:eastAsia="zh-CN"/>
              </w:rPr>
              <w:t>FZ0+014</w:t>
            </w:r>
          </w:p>
        </w:tc>
        <w:tc>
          <w:tcPr>
            <w:tcW w:w="2883" w:type="dxa"/>
            <w:vMerge w:val="restart"/>
            <w:noWrap w:val="0"/>
            <w:vAlign w:val="center"/>
          </w:tcPr>
          <w:p w14:paraId="4F5D8CC8">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Arial" w:cs="Arial"/>
                <w:color w:val="auto"/>
                <w:spacing w:val="-4"/>
                <w:sz w:val="22"/>
                <w:szCs w:val="22"/>
                <w:lang w:eastAsia="zh-CN"/>
              </w:rPr>
              <w:t>均为</w:t>
            </w:r>
            <w:r>
              <w:rPr>
                <w:rFonts w:hint="eastAsia" w:ascii="Arial" w:hAnsi="Arial" w:cs="Arial"/>
                <w:color w:val="auto"/>
                <w:spacing w:val="-4"/>
                <w:sz w:val="22"/>
                <w:szCs w:val="22"/>
              </w:rPr>
              <w:t>Ⅲ类水域，</w:t>
            </w:r>
            <w:r>
              <w:rPr>
                <w:rFonts w:hint="eastAsia" w:ascii="Arial" w:hAnsi="Arial" w:cs="Arial"/>
                <w:color w:val="auto"/>
                <w:spacing w:val="-4"/>
                <w:sz w:val="22"/>
                <w:szCs w:val="22"/>
                <w:lang w:eastAsia="zh-CN"/>
              </w:rPr>
              <w:t>下游无饮用水取水点</w:t>
            </w:r>
          </w:p>
        </w:tc>
      </w:tr>
      <w:tr w14:paraId="541767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66" w:type="dxa"/>
            <w:noWrap w:val="0"/>
            <w:vAlign w:val="center"/>
          </w:tcPr>
          <w:p w14:paraId="002E5159">
            <w:pPr>
              <w:adjustRightInd w:val="0"/>
              <w:snapToGrid w:val="0"/>
              <w:spacing w:line="300" w:lineRule="exact"/>
              <w:jc w:val="center"/>
              <w:rPr>
                <w:rFonts w:hint="eastAsia"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2</w:t>
            </w:r>
          </w:p>
        </w:tc>
        <w:tc>
          <w:tcPr>
            <w:tcW w:w="1398" w:type="dxa"/>
            <w:vMerge w:val="continue"/>
            <w:noWrap w:val="0"/>
            <w:vAlign w:val="center"/>
          </w:tcPr>
          <w:p w14:paraId="4BA42D9B">
            <w:pPr>
              <w:adjustRightInd w:val="0"/>
              <w:snapToGrid w:val="0"/>
              <w:spacing w:line="300" w:lineRule="exact"/>
              <w:jc w:val="center"/>
              <w:rPr>
                <w:rFonts w:hint="eastAsia" w:ascii="Arial" w:hAnsi="Arial" w:cs="Arial"/>
                <w:color w:val="auto"/>
                <w:spacing w:val="-4"/>
                <w:sz w:val="22"/>
                <w:szCs w:val="22"/>
                <w:lang w:eastAsia="zh-CN"/>
              </w:rPr>
            </w:pPr>
          </w:p>
        </w:tc>
        <w:tc>
          <w:tcPr>
            <w:tcW w:w="1198" w:type="dxa"/>
            <w:noWrap w:val="0"/>
            <w:vAlign w:val="center"/>
          </w:tcPr>
          <w:p w14:paraId="58DA3015">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高洞桥河</w:t>
            </w:r>
          </w:p>
        </w:tc>
        <w:tc>
          <w:tcPr>
            <w:tcW w:w="2812" w:type="dxa"/>
            <w:noWrap w:val="0"/>
            <w:vAlign w:val="center"/>
          </w:tcPr>
          <w:p w14:paraId="38F6D81C">
            <w:pPr>
              <w:adjustRightInd w:val="0"/>
              <w:snapToGrid w:val="0"/>
              <w:spacing w:line="300" w:lineRule="exact"/>
              <w:jc w:val="center"/>
              <w:rPr>
                <w:rFonts w:hint="default" w:ascii="Arial" w:hAnsi="Arial" w:cs="Arial"/>
                <w:color w:val="auto"/>
                <w:spacing w:val="-4"/>
                <w:sz w:val="22"/>
                <w:szCs w:val="22"/>
                <w:lang w:val="en-US"/>
              </w:rPr>
            </w:pPr>
            <w:r>
              <w:rPr>
                <w:rFonts w:hint="eastAsia" w:ascii="Arial" w:hAnsi="Arial" w:cs="Arial"/>
                <w:color w:val="auto"/>
                <w:spacing w:val="-4"/>
                <w:sz w:val="22"/>
                <w:szCs w:val="22"/>
                <w:lang w:val="en-US" w:eastAsia="zh-CN"/>
              </w:rPr>
              <w:t>FZ1+289</w:t>
            </w:r>
            <w:r>
              <w:rPr>
                <w:rFonts w:hint="eastAsia" w:ascii="Arial" w:hAnsi="Arial" w:cs="Arial"/>
                <w:color w:val="auto"/>
                <w:spacing w:val="-4"/>
                <w:sz w:val="22"/>
                <w:szCs w:val="22"/>
              </w:rPr>
              <w:t xml:space="preserve">~ </w:t>
            </w:r>
            <w:r>
              <w:rPr>
                <w:rFonts w:hint="eastAsia" w:ascii="Arial" w:hAnsi="Arial" w:cs="Arial"/>
                <w:color w:val="auto"/>
                <w:spacing w:val="-4"/>
                <w:sz w:val="22"/>
                <w:szCs w:val="22"/>
                <w:lang w:val="en-US" w:eastAsia="zh-CN"/>
              </w:rPr>
              <w:t>FZ1+297</w:t>
            </w:r>
          </w:p>
        </w:tc>
        <w:tc>
          <w:tcPr>
            <w:tcW w:w="2883" w:type="dxa"/>
            <w:vMerge w:val="continue"/>
            <w:noWrap w:val="0"/>
            <w:vAlign w:val="center"/>
          </w:tcPr>
          <w:p w14:paraId="59329C20">
            <w:pPr>
              <w:adjustRightInd w:val="0"/>
              <w:snapToGrid w:val="0"/>
              <w:spacing w:line="300" w:lineRule="exact"/>
              <w:jc w:val="center"/>
              <w:rPr>
                <w:rFonts w:ascii="Arial" w:hAnsi="Arial" w:cs="Arial"/>
                <w:color w:val="auto"/>
                <w:spacing w:val="-4"/>
                <w:sz w:val="22"/>
                <w:szCs w:val="22"/>
              </w:rPr>
            </w:pPr>
          </w:p>
        </w:tc>
      </w:tr>
      <w:tr w14:paraId="5B11BB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66" w:type="dxa"/>
            <w:noWrap w:val="0"/>
            <w:vAlign w:val="center"/>
          </w:tcPr>
          <w:p w14:paraId="1B23B201">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3</w:t>
            </w:r>
          </w:p>
        </w:tc>
        <w:tc>
          <w:tcPr>
            <w:tcW w:w="1398" w:type="dxa"/>
            <w:noWrap w:val="0"/>
            <w:vAlign w:val="center"/>
          </w:tcPr>
          <w:p w14:paraId="389700AF">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樊家湾支管</w:t>
            </w:r>
          </w:p>
        </w:tc>
        <w:tc>
          <w:tcPr>
            <w:tcW w:w="1198" w:type="dxa"/>
            <w:noWrap w:val="0"/>
            <w:vAlign w:val="center"/>
          </w:tcPr>
          <w:p w14:paraId="6D272958">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高洞桥河</w:t>
            </w:r>
          </w:p>
        </w:tc>
        <w:tc>
          <w:tcPr>
            <w:tcW w:w="2812" w:type="dxa"/>
            <w:noWrap w:val="0"/>
            <w:vAlign w:val="center"/>
          </w:tcPr>
          <w:p w14:paraId="153B3797">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FZ0+258</w:t>
            </w:r>
            <w:r>
              <w:rPr>
                <w:rFonts w:hint="eastAsia" w:ascii="Arial" w:hAnsi="Arial" w:cs="Arial"/>
                <w:color w:val="auto"/>
                <w:spacing w:val="-4"/>
                <w:sz w:val="22"/>
                <w:szCs w:val="22"/>
              </w:rPr>
              <w:t xml:space="preserve">~ </w:t>
            </w:r>
            <w:r>
              <w:rPr>
                <w:rFonts w:hint="eastAsia" w:ascii="Arial" w:hAnsi="Arial" w:cs="Arial"/>
                <w:color w:val="auto"/>
                <w:spacing w:val="-4"/>
                <w:sz w:val="22"/>
                <w:szCs w:val="22"/>
                <w:lang w:val="en-US" w:eastAsia="zh-CN"/>
              </w:rPr>
              <w:t>FZ0+293</w:t>
            </w:r>
          </w:p>
        </w:tc>
        <w:tc>
          <w:tcPr>
            <w:tcW w:w="2883" w:type="dxa"/>
            <w:vMerge w:val="continue"/>
            <w:noWrap w:val="0"/>
            <w:vAlign w:val="center"/>
          </w:tcPr>
          <w:p w14:paraId="6E2A93DA">
            <w:pPr>
              <w:adjustRightInd w:val="0"/>
              <w:snapToGrid w:val="0"/>
              <w:spacing w:line="300" w:lineRule="exact"/>
              <w:jc w:val="center"/>
              <w:rPr>
                <w:rFonts w:ascii="Arial" w:hAnsi="Arial" w:cs="Arial"/>
                <w:color w:val="auto"/>
                <w:spacing w:val="-4"/>
                <w:sz w:val="22"/>
                <w:szCs w:val="22"/>
              </w:rPr>
            </w:pPr>
          </w:p>
        </w:tc>
      </w:tr>
      <w:tr w14:paraId="4CF582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866" w:type="dxa"/>
            <w:noWrap w:val="0"/>
            <w:vAlign w:val="center"/>
          </w:tcPr>
          <w:p w14:paraId="6579C11D">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4</w:t>
            </w:r>
          </w:p>
        </w:tc>
        <w:tc>
          <w:tcPr>
            <w:tcW w:w="1398" w:type="dxa"/>
            <w:noWrap w:val="0"/>
            <w:vAlign w:val="center"/>
          </w:tcPr>
          <w:p w14:paraId="0CEA3896">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鸦雀湾支管</w:t>
            </w:r>
          </w:p>
        </w:tc>
        <w:tc>
          <w:tcPr>
            <w:tcW w:w="1198" w:type="dxa"/>
            <w:noWrap w:val="0"/>
            <w:vAlign w:val="center"/>
          </w:tcPr>
          <w:p w14:paraId="02B35B54">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高洞桥河</w:t>
            </w:r>
          </w:p>
        </w:tc>
        <w:tc>
          <w:tcPr>
            <w:tcW w:w="2812" w:type="dxa"/>
            <w:noWrap w:val="0"/>
            <w:vAlign w:val="center"/>
          </w:tcPr>
          <w:p w14:paraId="795C3B75">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YZ0+272~YZ0+291</w:t>
            </w:r>
          </w:p>
        </w:tc>
        <w:tc>
          <w:tcPr>
            <w:tcW w:w="2883" w:type="dxa"/>
            <w:vMerge w:val="continue"/>
            <w:noWrap w:val="0"/>
            <w:vAlign w:val="center"/>
          </w:tcPr>
          <w:p w14:paraId="76734F12">
            <w:pPr>
              <w:adjustRightInd w:val="0"/>
              <w:snapToGrid w:val="0"/>
              <w:spacing w:line="300" w:lineRule="exact"/>
              <w:jc w:val="center"/>
              <w:rPr>
                <w:rFonts w:ascii="Arial" w:hAnsi="Arial" w:cs="Arial"/>
                <w:color w:val="auto"/>
                <w:spacing w:val="-4"/>
                <w:sz w:val="22"/>
                <w:szCs w:val="22"/>
              </w:rPr>
            </w:pPr>
          </w:p>
        </w:tc>
      </w:tr>
      <w:tr w14:paraId="29C6B2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866" w:type="dxa"/>
            <w:noWrap w:val="0"/>
            <w:vAlign w:val="center"/>
          </w:tcPr>
          <w:p w14:paraId="3DAEB230">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5</w:t>
            </w:r>
          </w:p>
        </w:tc>
        <w:tc>
          <w:tcPr>
            <w:tcW w:w="1398" w:type="dxa"/>
            <w:noWrap w:val="0"/>
            <w:vAlign w:val="center"/>
          </w:tcPr>
          <w:p w14:paraId="3D93D6B0">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双龙干管</w:t>
            </w:r>
          </w:p>
        </w:tc>
        <w:tc>
          <w:tcPr>
            <w:tcW w:w="1198" w:type="dxa"/>
            <w:noWrap w:val="0"/>
            <w:vAlign w:val="center"/>
          </w:tcPr>
          <w:p w14:paraId="76D5885A">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双龙河</w:t>
            </w:r>
          </w:p>
        </w:tc>
        <w:tc>
          <w:tcPr>
            <w:tcW w:w="2812" w:type="dxa"/>
            <w:noWrap w:val="0"/>
            <w:vAlign w:val="center"/>
          </w:tcPr>
          <w:p w14:paraId="58599AF4">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K4+973~K5+006</w:t>
            </w:r>
          </w:p>
        </w:tc>
        <w:tc>
          <w:tcPr>
            <w:tcW w:w="2883" w:type="dxa"/>
            <w:vMerge w:val="continue"/>
            <w:noWrap w:val="0"/>
            <w:vAlign w:val="center"/>
          </w:tcPr>
          <w:p w14:paraId="7096BCD4">
            <w:pPr>
              <w:adjustRightInd w:val="0"/>
              <w:snapToGrid w:val="0"/>
              <w:spacing w:line="300" w:lineRule="exact"/>
              <w:jc w:val="center"/>
              <w:rPr>
                <w:rFonts w:ascii="Arial" w:hAnsi="Arial" w:cs="Arial"/>
                <w:color w:val="auto"/>
                <w:spacing w:val="-4"/>
                <w:sz w:val="22"/>
                <w:szCs w:val="22"/>
              </w:rPr>
            </w:pPr>
          </w:p>
        </w:tc>
      </w:tr>
    </w:tbl>
    <w:p w14:paraId="670B7AD2">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default" w:ascii="Arial" w:hAnsi="Arial" w:cs="Arial"/>
          <w:sz w:val="26"/>
          <w:szCs w:val="26"/>
          <w:lang w:val="zh-CN"/>
        </w:rPr>
      </w:pPr>
    </w:p>
    <w:p w14:paraId="5A2B7BAD">
      <w:pPr>
        <w:spacing w:line="460" w:lineRule="exact"/>
        <w:ind w:firstLine="520" w:firstLineChars="200"/>
        <w:rPr>
          <w:rFonts w:hint="eastAsia" w:ascii="Arial" w:hAnsi="Arial" w:cs="Arial"/>
          <w:sz w:val="26"/>
          <w:szCs w:val="26"/>
          <w:lang w:eastAsia="zh-CN"/>
        </w:rPr>
      </w:pPr>
      <w:r>
        <w:rPr>
          <w:rFonts w:hint="eastAsia" w:ascii="Arial" w:hAnsi="Arial" w:cs="Arial"/>
          <w:sz w:val="26"/>
          <w:szCs w:val="26"/>
          <w:lang w:val="zh-CN"/>
        </w:rPr>
        <w:t>环评反馈：为满足重力直流，本项目拟建输水管线不可避免将穿越河道，本评价建议建设单</w:t>
      </w:r>
      <w:r>
        <w:rPr>
          <w:rFonts w:hint="eastAsia" w:ascii="Arial" w:hAnsi="Arial" w:cs="Arial"/>
          <w:color w:val="auto"/>
          <w:sz w:val="26"/>
          <w:szCs w:val="26"/>
          <w:lang w:val="zh-CN"/>
        </w:rPr>
        <w:t>位在</w:t>
      </w:r>
      <w:r>
        <w:rPr>
          <w:rFonts w:hint="eastAsia" w:ascii="Arial" w:hAnsi="宋体" w:cs="Arial"/>
          <w:color w:val="auto"/>
          <w:spacing w:val="-4"/>
          <w:sz w:val="26"/>
          <w:szCs w:val="26"/>
        </w:rPr>
        <w:t>施工图设计阶段进一步优化调减跨越次数，确实无法避免时，应选择枯水期分段作业，</w:t>
      </w:r>
      <w:r>
        <w:rPr>
          <w:rFonts w:hint="eastAsia" w:ascii="Arial" w:hAnsi="宋体" w:cs="Arial"/>
          <w:color w:val="auto"/>
          <w:spacing w:val="-4"/>
          <w:sz w:val="26"/>
          <w:szCs w:val="26"/>
          <w:lang w:eastAsia="zh-CN"/>
        </w:rPr>
        <w:t>优先</w:t>
      </w:r>
      <w:r>
        <w:rPr>
          <w:rFonts w:hint="eastAsia" w:ascii="Arial" w:hAnsi="Arial" w:cs="Arial"/>
          <w:sz w:val="26"/>
          <w:szCs w:val="26"/>
          <w:lang w:eastAsia="zh-CN"/>
        </w:rPr>
        <w:t>采取顶管、定向钻等不涉水的施工工艺，</w:t>
      </w:r>
      <w:r>
        <w:rPr>
          <w:rFonts w:hint="eastAsia" w:ascii="Arial" w:hAnsi="宋体" w:cs="Arial"/>
          <w:color w:val="auto"/>
          <w:sz w:val="26"/>
          <w:szCs w:val="26"/>
          <w:lang w:val="en-US" w:eastAsia="zh-CN"/>
        </w:rPr>
        <w:t>需做好施工导流、围堰等工作，</w:t>
      </w:r>
      <w:r>
        <w:rPr>
          <w:rFonts w:hint="eastAsia" w:ascii="Arial" w:hAnsi="宋体" w:cs="Arial"/>
          <w:color w:val="auto"/>
          <w:spacing w:val="-4"/>
          <w:sz w:val="26"/>
          <w:szCs w:val="26"/>
        </w:rPr>
        <w:t>选择枯水期分段作业，严格控制施工开挖面，并尽可能将处理后的基坑废水回用于施工抑尘洒水，</w:t>
      </w:r>
      <w:r>
        <w:rPr>
          <w:rFonts w:hint="eastAsia" w:ascii="Arial" w:hAnsi="宋体" w:cs="Arial"/>
          <w:bCs/>
          <w:color w:val="auto"/>
          <w:sz w:val="26"/>
          <w:szCs w:val="26"/>
        </w:rPr>
        <w:t>多余部分需经沉淀处理</w:t>
      </w:r>
      <w:r>
        <w:rPr>
          <w:rFonts w:hint="eastAsia" w:ascii="Arial" w:hAnsi="宋体" w:cs="Arial"/>
          <w:bCs/>
          <w:color w:val="auto"/>
          <w:sz w:val="26"/>
          <w:szCs w:val="26"/>
          <w:lang w:eastAsia="zh-CN"/>
        </w:rPr>
        <w:t>后引至下游河道排放。</w:t>
      </w:r>
      <w:r>
        <w:rPr>
          <w:rFonts w:hint="eastAsia" w:ascii="Arial" w:cs="Arial"/>
          <w:bCs/>
          <w:color w:val="auto"/>
          <w:sz w:val="26"/>
        </w:rPr>
        <w:t>同时，输水管线施工段应设置临时围挡，严格控制施工活动，做好废弃土石方的暂存、清运工作，严禁向河道内倾倒废渣，减轻对</w:t>
      </w:r>
      <w:r>
        <w:rPr>
          <w:rFonts w:hint="eastAsia" w:ascii="Arial" w:cs="Arial"/>
          <w:bCs/>
          <w:color w:val="auto"/>
          <w:sz w:val="26"/>
          <w:lang w:eastAsia="zh-CN"/>
        </w:rPr>
        <w:t>河道水质、水生生态的</w:t>
      </w:r>
      <w:r>
        <w:rPr>
          <w:rFonts w:hint="eastAsia" w:ascii="Arial" w:cs="Arial"/>
          <w:bCs/>
          <w:color w:val="auto"/>
          <w:sz w:val="26"/>
        </w:rPr>
        <w:t>影响。</w:t>
      </w:r>
    </w:p>
    <w:p w14:paraId="7E34034B">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sz w:val="26"/>
          <w:szCs w:val="26"/>
          <w:lang w:val="en-US" w:eastAsia="zh-CN"/>
        </w:rPr>
      </w:pPr>
      <w:r>
        <w:rPr>
          <w:rFonts w:hint="eastAsia" w:ascii="Arial" w:hAnsi="Arial" w:cs="Arial"/>
          <w:sz w:val="26"/>
          <w:szCs w:val="26"/>
          <w:lang w:val="zh-CN" w:eastAsia="zh-CN"/>
        </w:rPr>
        <w:t>结合各输水管线走向，共有</w:t>
      </w:r>
      <w:r>
        <w:rPr>
          <w:rFonts w:hint="eastAsia" w:ascii="Arial" w:hAnsi="Arial" w:cs="Arial"/>
          <w:sz w:val="26"/>
          <w:szCs w:val="26"/>
          <w:lang w:val="en-US" w:eastAsia="zh-CN"/>
        </w:rPr>
        <w:t>11处</w:t>
      </w:r>
      <w:r>
        <w:rPr>
          <w:rFonts w:hint="eastAsia" w:ascii="Arial" w:hAnsi="Arial" w:cs="Arial"/>
          <w:sz w:val="26"/>
          <w:szCs w:val="26"/>
          <w:lang w:val="zh-CN" w:eastAsia="zh-CN"/>
        </w:rPr>
        <w:t>穿越现状道路，其中穿越县道</w:t>
      </w:r>
      <w:r>
        <w:rPr>
          <w:rFonts w:hint="eastAsia" w:ascii="Arial" w:hAnsi="Arial" w:cs="Arial"/>
          <w:sz w:val="26"/>
          <w:szCs w:val="26"/>
          <w:lang w:val="en-US" w:eastAsia="zh-CN"/>
        </w:rPr>
        <w:t>3处，穿越乡村道路8处。</w:t>
      </w:r>
      <w:r>
        <w:rPr>
          <w:rFonts w:hint="eastAsia" w:ascii="Arial" w:hAnsi="Arial" w:cs="Arial"/>
          <w:sz w:val="26"/>
          <w:szCs w:val="26"/>
          <w:lang w:val="zh-CN"/>
        </w:rPr>
        <w:t>管道穿越已建道路均为埋管型式</w:t>
      </w:r>
      <w:r>
        <w:rPr>
          <w:rFonts w:hint="eastAsia" w:ascii="Arial" w:hAnsi="Arial" w:cs="Arial"/>
          <w:sz w:val="26"/>
          <w:szCs w:val="26"/>
          <w:lang w:val="zh-CN" w:eastAsia="zh-CN"/>
        </w:rPr>
        <w:t>，穿越省道时</w:t>
      </w:r>
      <w:r>
        <w:rPr>
          <w:rFonts w:hint="eastAsia" w:ascii="Arial" w:hAnsi="Arial" w:cs="Arial"/>
          <w:sz w:val="26"/>
          <w:szCs w:val="26"/>
          <w:lang w:val="zh-CN"/>
        </w:rPr>
        <w:t>采用半幅施工，</w:t>
      </w:r>
      <w:r>
        <w:rPr>
          <w:rFonts w:hint="eastAsia" w:ascii="Arial" w:hAnsi="Arial" w:cs="Arial"/>
          <w:sz w:val="26"/>
          <w:szCs w:val="26"/>
          <w:lang w:val="zh-CN" w:eastAsia="zh-CN"/>
        </w:rPr>
        <w:t>穿越乡村道路时</w:t>
      </w:r>
      <w:r>
        <w:rPr>
          <w:rFonts w:hint="eastAsia" w:ascii="Arial" w:hAnsi="Arial" w:cs="Arial"/>
          <w:sz w:val="26"/>
          <w:szCs w:val="26"/>
          <w:lang w:val="zh-CN"/>
        </w:rPr>
        <w:t>在开挖基坑上铺设临时钢板桥的方式 保证车辆通行，钢板桥可重复利用</w:t>
      </w:r>
      <w:r>
        <w:rPr>
          <w:rFonts w:hint="eastAsia" w:ascii="Arial" w:hAnsi="Arial" w:cs="Arial"/>
          <w:sz w:val="26"/>
          <w:szCs w:val="26"/>
          <w:lang w:val="zh-CN" w:eastAsia="zh-CN"/>
        </w:rPr>
        <w:t>。施工结束后，</w:t>
      </w:r>
      <w:r>
        <w:rPr>
          <w:rFonts w:hint="eastAsia" w:ascii="Arial" w:hAnsi="Arial" w:cs="Arial"/>
          <w:sz w:val="26"/>
          <w:szCs w:val="26"/>
          <w:lang w:val="zh-CN"/>
        </w:rPr>
        <w:t>先原土回填，再按同等级公路 标准恢复。</w:t>
      </w:r>
    </w:p>
    <w:p w14:paraId="089668BE">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eastAsia="宋体" w:cs="Arial"/>
          <w:b/>
          <w:sz w:val="26"/>
          <w:szCs w:val="26"/>
          <w:lang w:eastAsia="zh-CN"/>
        </w:rPr>
      </w:pPr>
      <w:r>
        <w:rPr>
          <w:rFonts w:hint="eastAsia" w:ascii="Arial" w:hAnsi="Arial" w:cs="Arial"/>
          <w:b/>
          <w:bCs/>
          <w:sz w:val="26"/>
          <w:szCs w:val="26"/>
        </w:rPr>
        <w:t>表2</w:t>
      </w:r>
      <w:r>
        <w:rPr>
          <w:rFonts w:hint="eastAsia" w:ascii="Arial" w:hAnsi="Arial" w:cs="Arial"/>
          <w:b/>
          <w:bCs/>
          <w:sz w:val="26"/>
          <w:szCs w:val="26"/>
          <w:lang w:val="en-US" w:eastAsia="zh-CN"/>
        </w:rPr>
        <w:t>.2</w:t>
      </w:r>
      <w:r>
        <w:rPr>
          <w:rFonts w:hint="eastAsia" w:ascii="Arial" w:hAnsi="Arial" w:cs="Arial"/>
          <w:b/>
          <w:bCs/>
          <w:sz w:val="26"/>
          <w:szCs w:val="26"/>
        </w:rPr>
        <w:t>-</w:t>
      </w:r>
      <w:r>
        <w:rPr>
          <w:rFonts w:hint="eastAsia" w:ascii="Arial" w:hAnsi="Arial" w:cs="Arial"/>
          <w:b/>
          <w:bCs/>
          <w:sz w:val="26"/>
          <w:szCs w:val="26"/>
          <w:lang w:val="en-US" w:eastAsia="zh-CN"/>
        </w:rPr>
        <w:t>5</w:t>
      </w:r>
      <w:r>
        <w:rPr>
          <w:rFonts w:hint="eastAsia" w:ascii="Arial" w:hAnsi="Arial" w:cs="Arial"/>
          <w:b/>
          <w:bCs/>
          <w:sz w:val="26"/>
          <w:szCs w:val="26"/>
        </w:rPr>
        <w:t xml:space="preserve"> </w:t>
      </w:r>
      <w:r>
        <w:rPr>
          <w:rFonts w:hint="eastAsia" w:ascii="Arial" w:hAnsi="Arial" w:cs="Arial"/>
          <w:b/>
          <w:bCs/>
          <w:sz w:val="26"/>
          <w:szCs w:val="26"/>
          <w:lang w:eastAsia="zh-CN"/>
        </w:rPr>
        <w:t>海螺沟</w:t>
      </w:r>
      <w:r>
        <w:rPr>
          <w:rFonts w:hint="eastAsia" w:ascii="Arial" w:hAnsi="Arial" w:cs="Arial"/>
          <w:b/>
          <w:bCs/>
          <w:sz w:val="26"/>
          <w:szCs w:val="26"/>
        </w:rPr>
        <w:t>水库</w:t>
      </w:r>
      <w:r>
        <w:rPr>
          <w:rFonts w:hint="eastAsia" w:ascii="Arial" w:hAnsi="Arial" w:cs="Arial"/>
          <w:b/>
          <w:bCs/>
          <w:sz w:val="26"/>
          <w:szCs w:val="26"/>
          <w:lang w:eastAsia="zh-CN"/>
        </w:rPr>
        <w:t>输送管线跨越河流情况一览表</w:t>
      </w:r>
    </w:p>
    <w:tbl>
      <w:tblPr>
        <w:tblStyle w:val="77"/>
        <w:tblW w:w="89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69"/>
        <w:gridCol w:w="1403"/>
        <w:gridCol w:w="1203"/>
        <w:gridCol w:w="2413"/>
        <w:gridCol w:w="1334"/>
        <w:gridCol w:w="1695"/>
      </w:tblGrid>
      <w:tr w14:paraId="1C221E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869" w:type="dxa"/>
            <w:noWrap w:val="0"/>
            <w:vAlign w:val="center"/>
          </w:tcPr>
          <w:p w14:paraId="2A492DAB">
            <w:pPr>
              <w:adjustRightInd w:val="0"/>
              <w:snapToGrid w:val="0"/>
              <w:spacing w:line="300" w:lineRule="exact"/>
              <w:jc w:val="center"/>
              <w:rPr>
                <w:rFonts w:ascii="Arial" w:hAnsi="Arial" w:cs="Arial"/>
                <w:color w:val="auto"/>
                <w:spacing w:val="-4"/>
                <w:sz w:val="22"/>
                <w:szCs w:val="22"/>
              </w:rPr>
            </w:pPr>
            <w:r>
              <w:rPr>
                <w:rFonts w:ascii="Arial" w:hAnsi="宋体" w:cs="Arial"/>
                <w:color w:val="auto"/>
                <w:spacing w:val="-4"/>
                <w:sz w:val="22"/>
                <w:szCs w:val="22"/>
              </w:rPr>
              <w:t>序号</w:t>
            </w:r>
          </w:p>
        </w:tc>
        <w:tc>
          <w:tcPr>
            <w:tcW w:w="1403" w:type="dxa"/>
            <w:noWrap w:val="0"/>
            <w:vAlign w:val="center"/>
          </w:tcPr>
          <w:p w14:paraId="7A20C2D3">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宋体" w:cs="Arial"/>
                <w:color w:val="auto"/>
                <w:spacing w:val="-4"/>
                <w:sz w:val="22"/>
                <w:szCs w:val="22"/>
                <w:lang w:eastAsia="zh-CN"/>
              </w:rPr>
              <w:t>管线名称</w:t>
            </w:r>
          </w:p>
        </w:tc>
        <w:tc>
          <w:tcPr>
            <w:tcW w:w="1203" w:type="dxa"/>
            <w:noWrap w:val="0"/>
            <w:vAlign w:val="center"/>
          </w:tcPr>
          <w:p w14:paraId="40E77042">
            <w:pPr>
              <w:adjustRightInd w:val="0"/>
              <w:snapToGrid w:val="0"/>
              <w:spacing w:line="300" w:lineRule="exact"/>
              <w:jc w:val="center"/>
              <w:rPr>
                <w:rFonts w:hint="eastAsia" w:ascii="Arial" w:hAnsi="Arial" w:eastAsia="宋体" w:cs="Arial"/>
                <w:color w:val="auto"/>
                <w:spacing w:val="-4"/>
                <w:sz w:val="22"/>
                <w:szCs w:val="22"/>
                <w:lang w:eastAsia="zh-CN"/>
              </w:rPr>
            </w:pPr>
            <w:r>
              <w:rPr>
                <w:rFonts w:ascii="Arial" w:hAnsi="宋体" w:cs="Arial"/>
                <w:color w:val="auto"/>
                <w:spacing w:val="-4"/>
                <w:sz w:val="22"/>
                <w:szCs w:val="22"/>
              </w:rPr>
              <w:t>跨越</w:t>
            </w:r>
            <w:r>
              <w:rPr>
                <w:rFonts w:hint="eastAsia" w:ascii="Arial" w:hAnsi="宋体" w:cs="Arial"/>
                <w:color w:val="auto"/>
                <w:spacing w:val="-4"/>
                <w:sz w:val="22"/>
                <w:szCs w:val="22"/>
                <w:lang w:eastAsia="zh-CN"/>
              </w:rPr>
              <w:t>道路</w:t>
            </w:r>
          </w:p>
        </w:tc>
        <w:tc>
          <w:tcPr>
            <w:tcW w:w="2413" w:type="dxa"/>
            <w:noWrap w:val="0"/>
            <w:vAlign w:val="center"/>
          </w:tcPr>
          <w:p w14:paraId="708AA3D3">
            <w:pPr>
              <w:adjustRightInd w:val="0"/>
              <w:snapToGrid w:val="0"/>
              <w:spacing w:line="300" w:lineRule="exact"/>
              <w:jc w:val="center"/>
              <w:rPr>
                <w:rFonts w:ascii="Arial" w:hAnsi="Arial" w:cs="Arial"/>
                <w:color w:val="auto"/>
                <w:spacing w:val="-4"/>
                <w:sz w:val="22"/>
                <w:szCs w:val="22"/>
              </w:rPr>
            </w:pPr>
            <w:r>
              <w:rPr>
                <w:rFonts w:ascii="Arial" w:hAnsi="宋体" w:cs="Arial"/>
                <w:color w:val="auto"/>
                <w:spacing w:val="-4"/>
                <w:sz w:val="22"/>
                <w:szCs w:val="22"/>
              </w:rPr>
              <w:t>管线桩号</w:t>
            </w:r>
          </w:p>
        </w:tc>
        <w:tc>
          <w:tcPr>
            <w:tcW w:w="1334" w:type="dxa"/>
            <w:noWrap w:val="0"/>
            <w:vAlign w:val="center"/>
          </w:tcPr>
          <w:p w14:paraId="69CBBC2E">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Arial" w:cs="Arial"/>
                <w:color w:val="auto"/>
                <w:spacing w:val="-4"/>
                <w:sz w:val="22"/>
                <w:szCs w:val="22"/>
                <w:lang w:eastAsia="zh-CN"/>
              </w:rPr>
              <w:t>路面宽度</w:t>
            </w:r>
          </w:p>
        </w:tc>
        <w:tc>
          <w:tcPr>
            <w:tcW w:w="1695" w:type="dxa"/>
            <w:noWrap w:val="0"/>
            <w:vAlign w:val="center"/>
          </w:tcPr>
          <w:p w14:paraId="72015656">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施工措施</w:t>
            </w:r>
          </w:p>
        </w:tc>
      </w:tr>
      <w:tr w14:paraId="5A4E2F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869" w:type="dxa"/>
            <w:noWrap w:val="0"/>
            <w:vAlign w:val="center"/>
          </w:tcPr>
          <w:p w14:paraId="65FC3E2A">
            <w:pPr>
              <w:adjustRightInd w:val="0"/>
              <w:snapToGrid w:val="0"/>
              <w:spacing w:line="300" w:lineRule="exact"/>
              <w:jc w:val="center"/>
              <w:rPr>
                <w:rFonts w:ascii="Arial" w:hAnsi="Arial" w:cs="Arial"/>
                <w:color w:val="auto"/>
                <w:spacing w:val="-4"/>
                <w:sz w:val="22"/>
                <w:szCs w:val="22"/>
              </w:rPr>
            </w:pPr>
            <w:r>
              <w:rPr>
                <w:rFonts w:hint="eastAsia" w:ascii="Arial" w:hAnsi="Arial" w:cs="Arial"/>
                <w:color w:val="auto"/>
                <w:spacing w:val="-4"/>
                <w:sz w:val="22"/>
                <w:szCs w:val="22"/>
              </w:rPr>
              <w:t>1</w:t>
            </w:r>
          </w:p>
        </w:tc>
        <w:tc>
          <w:tcPr>
            <w:tcW w:w="1403" w:type="dxa"/>
            <w:vMerge w:val="restart"/>
            <w:noWrap w:val="0"/>
            <w:vAlign w:val="center"/>
          </w:tcPr>
          <w:p w14:paraId="511FDF7D">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Arial" w:cs="Arial"/>
                <w:color w:val="auto"/>
                <w:spacing w:val="-4"/>
                <w:sz w:val="22"/>
                <w:szCs w:val="22"/>
                <w:lang w:eastAsia="zh-CN"/>
              </w:rPr>
              <w:t>范家湾支管</w:t>
            </w:r>
          </w:p>
        </w:tc>
        <w:tc>
          <w:tcPr>
            <w:tcW w:w="1203" w:type="dxa"/>
            <w:noWrap w:val="0"/>
            <w:vAlign w:val="center"/>
          </w:tcPr>
          <w:p w14:paraId="3CE8B39C">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Arial" w:cs="Arial"/>
                <w:color w:val="auto"/>
                <w:spacing w:val="-4"/>
                <w:sz w:val="22"/>
                <w:szCs w:val="22"/>
                <w:lang w:eastAsia="zh-CN"/>
              </w:rPr>
              <w:t>农村公路</w:t>
            </w:r>
          </w:p>
        </w:tc>
        <w:tc>
          <w:tcPr>
            <w:tcW w:w="2413" w:type="dxa"/>
            <w:noWrap w:val="0"/>
            <w:vAlign w:val="center"/>
          </w:tcPr>
          <w:p w14:paraId="3F0AF0FD">
            <w:pPr>
              <w:adjustRightInd w:val="0"/>
              <w:snapToGrid w:val="0"/>
              <w:spacing w:line="300" w:lineRule="exact"/>
              <w:jc w:val="center"/>
              <w:rPr>
                <w:rFonts w:hint="default"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FZ1+942</w:t>
            </w:r>
            <w:r>
              <w:rPr>
                <w:rFonts w:hint="eastAsia" w:ascii="Arial" w:hAnsi="Arial" w:cs="Arial"/>
                <w:color w:val="auto"/>
                <w:spacing w:val="-4"/>
                <w:sz w:val="22"/>
                <w:szCs w:val="22"/>
              </w:rPr>
              <w:t xml:space="preserve">~ </w:t>
            </w:r>
            <w:r>
              <w:rPr>
                <w:rFonts w:hint="eastAsia" w:ascii="Arial" w:hAnsi="Arial" w:cs="Arial"/>
                <w:color w:val="auto"/>
                <w:spacing w:val="-4"/>
                <w:sz w:val="22"/>
                <w:szCs w:val="22"/>
                <w:lang w:val="en-US" w:eastAsia="zh-CN"/>
              </w:rPr>
              <w:t>FZ0+946</w:t>
            </w:r>
          </w:p>
        </w:tc>
        <w:tc>
          <w:tcPr>
            <w:tcW w:w="1334" w:type="dxa"/>
            <w:noWrap w:val="0"/>
            <w:vAlign w:val="center"/>
          </w:tcPr>
          <w:p w14:paraId="5E7022AB">
            <w:pPr>
              <w:adjustRightInd w:val="0"/>
              <w:snapToGrid w:val="0"/>
              <w:spacing w:line="300" w:lineRule="exact"/>
              <w:jc w:val="center"/>
              <w:rPr>
                <w:rFonts w:hint="default"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4</w:t>
            </w:r>
          </w:p>
        </w:tc>
        <w:tc>
          <w:tcPr>
            <w:tcW w:w="1695" w:type="dxa"/>
            <w:noWrap w:val="0"/>
            <w:vAlign w:val="center"/>
          </w:tcPr>
          <w:p w14:paraId="65832E49">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Arial" w:cs="Arial"/>
                <w:sz w:val="22"/>
                <w:szCs w:val="22"/>
                <w:lang w:val="zh-CN"/>
              </w:rPr>
              <w:t>设临时钢板桥</w:t>
            </w:r>
          </w:p>
        </w:tc>
      </w:tr>
      <w:tr w14:paraId="7DF0A3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869" w:type="dxa"/>
            <w:noWrap w:val="0"/>
            <w:vAlign w:val="center"/>
          </w:tcPr>
          <w:p w14:paraId="7ED30144">
            <w:pPr>
              <w:adjustRightInd w:val="0"/>
              <w:snapToGrid w:val="0"/>
              <w:spacing w:line="300" w:lineRule="exact"/>
              <w:jc w:val="center"/>
              <w:rPr>
                <w:rFonts w:hint="eastAsia" w:ascii="Arial" w:hAnsi="Arial" w:cs="Arial"/>
                <w:color w:val="auto"/>
                <w:spacing w:val="-4"/>
                <w:sz w:val="22"/>
                <w:szCs w:val="22"/>
              </w:rPr>
            </w:pPr>
            <w:r>
              <w:rPr>
                <w:rFonts w:hint="eastAsia" w:ascii="Arial" w:hAnsi="Arial" w:cs="Arial"/>
                <w:color w:val="auto"/>
                <w:spacing w:val="-4"/>
                <w:sz w:val="22"/>
                <w:szCs w:val="22"/>
                <w:lang w:val="en-US" w:eastAsia="zh-CN"/>
              </w:rPr>
              <w:t>2</w:t>
            </w:r>
          </w:p>
        </w:tc>
        <w:tc>
          <w:tcPr>
            <w:tcW w:w="1403" w:type="dxa"/>
            <w:vMerge w:val="continue"/>
            <w:noWrap w:val="0"/>
            <w:vAlign w:val="center"/>
          </w:tcPr>
          <w:p w14:paraId="58F1EC15">
            <w:pPr>
              <w:adjustRightInd w:val="0"/>
              <w:snapToGrid w:val="0"/>
              <w:spacing w:line="300" w:lineRule="exact"/>
              <w:jc w:val="center"/>
              <w:rPr>
                <w:rFonts w:hint="eastAsia" w:ascii="Arial" w:hAnsi="Arial" w:cs="Arial"/>
                <w:color w:val="auto"/>
                <w:spacing w:val="-4"/>
                <w:sz w:val="22"/>
                <w:szCs w:val="22"/>
                <w:lang w:eastAsia="zh-CN"/>
              </w:rPr>
            </w:pPr>
          </w:p>
        </w:tc>
        <w:tc>
          <w:tcPr>
            <w:tcW w:w="1203" w:type="dxa"/>
            <w:shd w:val="clear" w:color="auto" w:fill="auto"/>
            <w:noWrap w:val="0"/>
            <w:vAlign w:val="center"/>
          </w:tcPr>
          <w:p w14:paraId="3C312A5A">
            <w:pPr>
              <w:adjustRightInd w:val="0"/>
              <w:snapToGrid w:val="0"/>
              <w:spacing w:line="300" w:lineRule="exact"/>
              <w:jc w:val="center"/>
              <w:rPr>
                <w:rFonts w:hint="eastAsia"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eastAsia="zh-CN"/>
              </w:rPr>
              <w:t>梯青路</w:t>
            </w:r>
          </w:p>
        </w:tc>
        <w:tc>
          <w:tcPr>
            <w:tcW w:w="2413" w:type="dxa"/>
            <w:shd w:val="clear" w:color="auto" w:fill="auto"/>
            <w:noWrap w:val="0"/>
            <w:vAlign w:val="center"/>
          </w:tcPr>
          <w:p w14:paraId="7A7BE903">
            <w:pPr>
              <w:adjustRightInd w:val="0"/>
              <w:snapToGrid w:val="0"/>
              <w:spacing w:line="300" w:lineRule="exact"/>
              <w:jc w:val="center"/>
              <w:rPr>
                <w:rFonts w:hint="default"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FZ1+004</w:t>
            </w:r>
            <w:r>
              <w:rPr>
                <w:rFonts w:hint="eastAsia" w:ascii="Arial" w:hAnsi="Arial" w:cs="Arial"/>
                <w:color w:val="auto"/>
                <w:spacing w:val="-4"/>
                <w:sz w:val="22"/>
                <w:szCs w:val="22"/>
              </w:rPr>
              <w:t xml:space="preserve">~ </w:t>
            </w:r>
            <w:r>
              <w:rPr>
                <w:rFonts w:hint="eastAsia" w:ascii="Arial" w:hAnsi="Arial" w:cs="Arial"/>
                <w:color w:val="auto"/>
                <w:spacing w:val="-4"/>
                <w:sz w:val="22"/>
                <w:szCs w:val="22"/>
                <w:lang w:val="en-US" w:eastAsia="zh-CN"/>
              </w:rPr>
              <w:t>FZ1+012</w:t>
            </w:r>
          </w:p>
        </w:tc>
        <w:tc>
          <w:tcPr>
            <w:tcW w:w="1334" w:type="dxa"/>
            <w:noWrap w:val="0"/>
            <w:vAlign w:val="center"/>
          </w:tcPr>
          <w:p w14:paraId="5532D2CA">
            <w:pPr>
              <w:adjustRightInd w:val="0"/>
              <w:snapToGrid w:val="0"/>
              <w:spacing w:line="300" w:lineRule="exact"/>
              <w:jc w:val="center"/>
              <w:rPr>
                <w:rFonts w:hint="default"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8</w:t>
            </w:r>
          </w:p>
        </w:tc>
        <w:tc>
          <w:tcPr>
            <w:tcW w:w="1695" w:type="dxa"/>
            <w:noWrap w:val="0"/>
            <w:vAlign w:val="center"/>
          </w:tcPr>
          <w:p w14:paraId="31AC6929">
            <w:pPr>
              <w:adjustRightInd w:val="0"/>
              <w:snapToGrid w:val="0"/>
              <w:spacing w:line="300" w:lineRule="exact"/>
              <w:jc w:val="center"/>
              <w:rPr>
                <w:rFonts w:hint="eastAsia" w:ascii="Arial" w:hAnsi="Arial" w:eastAsia="宋体" w:cs="Arial"/>
                <w:color w:val="auto"/>
                <w:spacing w:val="-4"/>
                <w:sz w:val="22"/>
                <w:szCs w:val="22"/>
                <w:lang w:eastAsia="zh-CN"/>
              </w:rPr>
            </w:pPr>
            <w:r>
              <w:rPr>
                <w:rFonts w:hint="eastAsia" w:ascii="Arial" w:hAnsi="Arial" w:cs="Arial"/>
                <w:sz w:val="22"/>
                <w:szCs w:val="22"/>
                <w:lang w:val="zh-CN"/>
              </w:rPr>
              <w:t>半幅施工</w:t>
            </w:r>
          </w:p>
        </w:tc>
      </w:tr>
      <w:tr w14:paraId="03F1BE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869" w:type="dxa"/>
            <w:noWrap w:val="0"/>
            <w:vAlign w:val="center"/>
          </w:tcPr>
          <w:p w14:paraId="2ED7A3F1">
            <w:pPr>
              <w:adjustRightInd w:val="0"/>
              <w:snapToGrid w:val="0"/>
              <w:spacing w:line="300" w:lineRule="exact"/>
              <w:jc w:val="center"/>
              <w:rPr>
                <w:rFonts w:hint="eastAsia"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3</w:t>
            </w:r>
          </w:p>
        </w:tc>
        <w:tc>
          <w:tcPr>
            <w:tcW w:w="1403" w:type="dxa"/>
            <w:vMerge w:val="continue"/>
            <w:noWrap w:val="0"/>
            <w:vAlign w:val="center"/>
          </w:tcPr>
          <w:p w14:paraId="22D9355E">
            <w:pPr>
              <w:adjustRightInd w:val="0"/>
              <w:snapToGrid w:val="0"/>
              <w:spacing w:line="300" w:lineRule="exact"/>
              <w:jc w:val="center"/>
              <w:rPr>
                <w:rFonts w:hint="eastAsia" w:ascii="Arial" w:hAnsi="Arial" w:cs="Arial"/>
                <w:color w:val="auto"/>
                <w:spacing w:val="-4"/>
                <w:sz w:val="22"/>
                <w:szCs w:val="22"/>
                <w:lang w:eastAsia="zh-CN"/>
              </w:rPr>
            </w:pPr>
          </w:p>
        </w:tc>
        <w:tc>
          <w:tcPr>
            <w:tcW w:w="1203" w:type="dxa"/>
            <w:noWrap w:val="0"/>
            <w:vAlign w:val="center"/>
          </w:tcPr>
          <w:p w14:paraId="25EE476D">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农村公路</w:t>
            </w:r>
          </w:p>
        </w:tc>
        <w:tc>
          <w:tcPr>
            <w:tcW w:w="2413" w:type="dxa"/>
            <w:noWrap w:val="0"/>
            <w:vAlign w:val="center"/>
          </w:tcPr>
          <w:p w14:paraId="5B3B2BAD">
            <w:pPr>
              <w:adjustRightInd w:val="0"/>
              <w:snapToGrid w:val="0"/>
              <w:spacing w:line="300" w:lineRule="exact"/>
              <w:jc w:val="center"/>
              <w:rPr>
                <w:rFonts w:hint="default" w:ascii="Arial" w:hAnsi="Arial" w:cs="Arial"/>
                <w:color w:val="auto"/>
                <w:spacing w:val="-4"/>
                <w:sz w:val="22"/>
                <w:szCs w:val="22"/>
                <w:lang w:val="en-US"/>
              </w:rPr>
            </w:pPr>
            <w:r>
              <w:rPr>
                <w:rFonts w:hint="eastAsia" w:ascii="Arial" w:hAnsi="Arial" w:cs="Arial"/>
                <w:color w:val="auto"/>
                <w:spacing w:val="-4"/>
                <w:sz w:val="22"/>
                <w:szCs w:val="22"/>
                <w:lang w:val="en-US" w:eastAsia="zh-CN"/>
              </w:rPr>
              <w:t>FZ1+400</w:t>
            </w:r>
            <w:r>
              <w:rPr>
                <w:rFonts w:hint="eastAsia" w:ascii="Arial" w:hAnsi="Arial" w:cs="Arial"/>
                <w:color w:val="auto"/>
                <w:spacing w:val="-4"/>
                <w:sz w:val="22"/>
                <w:szCs w:val="22"/>
              </w:rPr>
              <w:t xml:space="preserve">~ </w:t>
            </w:r>
            <w:r>
              <w:rPr>
                <w:rFonts w:hint="eastAsia" w:ascii="Arial" w:hAnsi="Arial" w:cs="Arial"/>
                <w:color w:val="auto"/>
                <w:spacing w:val="-4"/>
                <w:sz w:val="22"/>
                <w:szCs w:val="22"/>
                <w:lang w:val="en-US" w:eastAsia="zh-CN"/>
              </w:rPr>
              <w:t>FZ1+404</w:t>
            </w:r>
          </w:p>
        </w:tc>
        <w:tc>
          <w:tcPr>
            <w:tcW w:w="1334" w:type="dxa"/>
            <w:noWrap w:val="0"/>
            <w:vAlign w:val="center"/>
          </w:tcPr>
          <w:p w14:paraId="56E2009D">
            <w:pPr>
              <w:adjustRightInd w:val="0"/>
              <w:snapToGrid w:val="0"/>
              <w:spacing w:line="300" w:lineRule="exact"/>
              <w:jc w:val="center"/>
              <w:rPr>
                <w:rFonts w:hint="default"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4</w:t>
            </w:r>
          </w:p>
        </w:tc>
        <w:tc>
          <w:tcPr>
            <w:tcW w:w="1695" w:type="dxa"/>
            <w:vMerge w:val="restart"/>
            <w:noWrap w:val="0"/>
            <w:vAlign w:val="center"/>
          </w:tcPr>
          <w:p w14:paraId="592E1705">
            <w:pPr>
              <w:adjustRightInd w:val="0"/>
              <w:snapToGrid w:val="0"/>
              <w:spacing w:line="300" w:lineRule="exact"/>
              <w:jc w:val="center"/>
              <w:rPr>
                <w:rFonts w:ascii="Arial" w:hAnsi="Arial" w:cs="Arial"/>
                <w:color w:val="auto"/>
                <w:spacing w:val="-4"/>
                <w:sz w:val="22"/>
                <w:szCs w:val="22"/>
              </w:rPr>
            </w:pPr>
            <w:r>
              <w:rPr>
                <w:rFonts w:hint="eastAsia" w:ascii="Arial" w:hAnsi="Arial" w:cs="Arial"/>
                <w:sz w:val="22"/>
                <w:szCs w:val="22"/>
                <w:lang w:val="zh-CN"/>
              </w:rPr>
              <w:t>设临时钢板桥</w:t>
            </w:r>
          </w:p>
        </w:tc>
      </w:tr>
      <w:tr w14:paraId="548FE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869" w:type="dxa"/>
            <w:shd w:val="clear" w:color="auto" w:fill="auto"/>
            <w:noWrap w:val="0"/>
            <w:vAlign w:val="center"/>
          </w:tcPr>
          <w:p w14:paraId="622E8D89">
            <w:pPr>
              <w:adjustRightInd w:val="0"/>
              <w:snapToGrid w:val="0"/>
              <w:spacing w:line="300" w:lineRule="exact"/>
              <w:jc w:val="center"/>
              <w:rPr>
                <w:rFonts w:hint="eastAsia"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4</w:t>
            </w:r>
          </w:p>
        </w:tc>
        <w:tc>
          <w:tcPr>
            <w:tcW w:w="1403" w:type="dxa"/>
            <w:vMerge w:val="continue"/>
            <w:noWrap w:val="0"/>
            <w:vAlign w:val="center"/>
          </w:tcPr>
          <w:p w14:paraId="5B79EAC3">
            <w:pPr>
              <w:adjustRightInd w:val="0"/>
              <w:snapToGrid w:val="0"/>
              <w:spacing w:line="300" w:lineRule="exact"/>
              <w:jc w:val="center"/>
              <w:rPr>
                <w:rFonts w:hint="eastAsia" w:ascii="Arial" w:hAnsi="Arial" w:cs="Arial"/>
                <w:color w:val="auto"/>
                <w:spacing w:val="-4"/>
                <w:sz w:val="22"/>
                <w:szCs w:val="22"/>
                <w:lang w:eastAsia="zh-CN"/>
              </w:rPr>
            </w:pPr>
          </w:p>
        </w:tc>
        <w:tc>
          <w:tcPr>
            <w:tcW w:w="1203" w:type="dxa"/>
            <w:noWrap w:val="0"/>
            <w:vAlign w:val="center"/>
          </w:tcPr>
          <w:p w14:paraId="12F4AB97">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农村公路</w:t>
            </w:r>
          </w:p>
        </w:tc>
        <w:tc>
          <w:tcPr>
            <w:tcW w:w="2413" w:type="dxa"/>
            <w:noWrap w:val="0"/>
            <w:vAlign w:val="center"/>
          </w:tcPr>
          <w:p w14:paraId="069F9ECA">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FZ1+548</w:t>
            </w:r>
            <w:r>
              <w:rPr>
                <w:rFonts w:hint="eastAsia" w:ascii="Arial" w:hAnsi="Arial" w:cs="Arial"/>
                <w:color w:val="auto"/>
                <w:spacing w:val="-4"/>
                <w:sz w:val="22"/>
                <w:szCs w:val="22"/>
              </w:rPr>
              <w:t xml:space="preserve">~ </w:t>
            </w:r>
            <w:r>
              <w:rPr>
                <w:rFonts w:hint="eastAsia" w:ascii="Arial" w:hAnsi="Arial" w:cs="Arial"/>
                <w:color w:val="auto"/>
                <w:spacing w:val="-4"/>
                <w:sz w:val="22"/>
                <w:szCs w:val="22"/>
                <w:lang w:val="en-US" w:eastAsia="zh-CN"/>
              </w:rPr>
              <w:t>FZ1+552</w:t>
            </w:r>
          </w:p>
        </w:tc>
        <w:tc>
          <w:tcPr>
            <w:tcW w:w="1334" w:type="dxa"/>
            <w:noWrap w:val="0"/>
            <w:vAlign w:val="center"/>
          </w:tcPr>
          <w:p w14:paraId="5E35F6AF">
            <w:pPr>
              <w:adjustRightInd w:val="0"/>
              <w:snapToGrid w:val="0"/>
              <w:spacing w:line="300" w:lineRule="exact"/>
              <w:jc w:val="center"/>
              <w:rPr>
                <w:rFonts w:hint="eastAsia"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4</w:t>
            </w:r>
          </w:p>
        </w:tc>
        <w:tc>
          <w:tcPr>
            <w:tcW w:w="1695" w:type="dxa"/>
            <w:vMerge w:val="continue"/>
            <w:noWrap w:val="0"/>
            <w:vAlign w:val="center"/>
          </w:tcPr>
          <w:p w14:paraId="6188E2C9">
            <w:pPr>
              <w:adjustRightInd w:val="0"/>
              <w:snapToGrid w:val="0"/>
              <w:spacing w:line="300" w:lineRule="exact"/>
              <w:jc w:val="center"/>
              <w:rPr>
                <w:rFonts w:ascii="Arial" w:hAnsi="Arial" w:cs="Arial"/>
                <w:color w:val="auto"/>
                <w:spacing w:val="-4"/>
                <w:sz w:val="22"/>
                <w:szCs w:val="22"/>
              </w:rPr>
            </w:pPr>
          </w:p>
        </w:tc>
      </w:tr>
      <w:tr w14:paraId="2078A2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869" w:type="dxa"/>
            <w:shd w:val="clear" w:color="auto" w:fill="auto"/>
            <w:noWrap w:val="0"/>
            <w:vAlign w:val="center"/>
          </w:tcPr>
          <w:p w14:paraId="4BEB8C76">
            <w:pPr>
              <w:adjustRightInd w:val="0"/>
              <w:snapToGrid w:val="0"/>
              <w:spacing w:line="300" w:lineRule="exact"/>
              <w:jc w:val="center"/>
              <w:rPr>
                <w:rFonts w:hint="eastAsia"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5</w:t>
            </w:r>
          </w:p>
        </w:tc>
        <w:tc>
          <w:tcPr>
            <w:tcW w:w="1403" w:type="dxa"/>
            <w:vMerge w:val="restart"/>
            <w:noWrap w:val="0"/>
            <w:vAlign w:val="center"/>
          </w:tcPr>
          <w:p w14:paraId="64FB3D56">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双龙干管</w:t>
            </w:r>
          </w:p>
        </w:tc>
        <w:tc>
          <w:tcPr>
            <w:tcW w:w="1203" w:type="dxa"/>
            <w:noWrap w:val="0"/>
            <w:vAlign w:val="center"/>
          </w:tcPr>
          <w:p w14:paraId="4CB565B4">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农村公路</w:t>
            </w:r>
          </w:p>
        </w:tc>
        <w:tc>
          <w:tcPr>
            <w:tcW w:w="2413" w:type="dxa"/>
            <w:noWrap w:val="0"/>
            <w:vAlign w:val="center"/>
          </w:tcPr>
          <w:p w14:paraId="07A9EC4F">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K0+926~K0+930</w:t>
            </w:r>
          </w:p>
        </w:tc>
        <w:tc>
          <w:tcPr>
            <w:tcW w:w="1334" w:type="dxa"/>
            <w:noWrap w:val="0"/>
            <w:vAlign w:val="center"/>
          </w:tcPr>
          <w:p w14:paraId="37B64A7D">
            <w:pPr>
              <w:adjustRightInd w:val="0"/>
              <w:snapToGrid w:val="0"/>
              <w:spacing w:line="300" w:lineRule="exact"/>
              <w:jc w:val="center"/>
              <w:rPr>
                <w:rFonts w:hint="eastAsia"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4</w:t>
            </w:r>
          </w:p>
        </w:tc>
        <w:tc>
          <w:tcPr>
            <w:tcW w:w="1695" w:type="dxa"/>
            <w:vMerge w:val="continue"/>
            <w:noWrap w:val="0"/>
            <w:vAlign w:val="center"/>
          </w:tcPr>
          <w:p w14:paraId="1AC005EE">
            <w:pPr>
              <w:adjustRightInd w:val="0"/>
              <w:snapToGrid w:val="0"/>
              <w:spacing w:line="300" w:lineRule="exact"/>
              <w:jc w:val="center"/>
              <w:rPr>
                <w:rFonts w:ascii="Arial" w:hAnsi="Arial" w:cs="Arial"/>
                <w:color w:val="auto"/>
                <w:spacing w:val="-4"/>
                <w:sz w:val="22"/>
                <w:szCs w:val="22"/>
              </w:rPr>
            </w:pPr>
          </w:p>
        </w:tc>
      </w:tr>
      <w:tr w14:paraId="01714E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869" w:type="dxa"/>
            <w:shd w:val="clear" w:color="auto" w:fill="auto"/>
            <w:noWrap w:val="0"/>
            <w:vAlign w:val="center"/>
          </w:tcPr>
          <w:p w14:paraId="3CE76990">
            <w:pPr>
              <w:adjustRightInd w:val="0"/>
              <w:snapToGrid w:val="0"/>
              <w:spacing w:line="300" w:lineRule="exact"/>
              <w:jc w:val="center"/>
              <w:rPr>
                <w:rFonts w:hint="eastAsia"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6</w:t>
            </w:r>
          </w:p>
        </w:tc>
        <w:tc>
          <w:tcPr>
            <w:tcW w:w="1403" w:type="dxa"/>
            <w:vMerge w:val="continue"/>
            <w:noWrap w:val="0"/>
            <w:vAlign w:val="center"/>
          </w:tcPr>
          <w:p w14:paraId="4B924478">
            <w:pPr>
              <w:adjustRightInd w:val="0"/>
              <w:snapToGrid w:val="0"/>
              <w:spacing w:line="300" w:lineRule="exact"/>
              <w:jc w:val="center"/>
              <w:rPr>
                <w:rFonts w:hint="eastAsia" w:ascii="Arial" w:hAnsi="Arial" w:cs="Arial"/>
                <w:color w:val="auto"/>
                <w:spacing w:val="-4"/>
                <w:sz w:val="22"/>
                <w:szCs w:val="22"/>
                <w:lang w:eastAsia="zh-CN"/>
              </w:rPr>
            </w:pPr>
          </w:p>
        </w:tc>
        <w:tc>
          <w:tcPr>
            <w:tcW w:w="1203" w:type="dxa"/>
            <w:shd w:val="clear" w:color="auto" w:fill="auto"/>
            <w:noWrap w:val="0"/>
            <w:vAlign w:val="center"/>
          </w:tcPr>
          <w:p w14:paraId="45464604">
            <w:pPr>
              <w:adjustRightInd w:val="0"/>
              <w:snapToGrid w:val="0"/>
              <w:spacing w:line="300" w:lineRule="exact"/>
              <w:jc w:val="center"/>
              <w:rPr>
                <w:rFonts w:hint="eastAsia"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eastAsia="zh-CN"/>
              </w:rPr>
              <w:t>农村公路</w:t>
            </w:r>
          </w:p>
        </w:tc>
        <w:tc>
          <w:tcPr>
            <w:tcW w:w="2413" w:type="dxa"/>
            <w:shd w:val="clear" w:color="auto" w:fill="auto"/>
            <w:noWrap w:val="0"/>
            <w:vAlign w:val="center"/>
          </w:tcPr>
          <w:p w14:paraId="01CFFCB3">
            <w:pPr>
              <w:adjustRightInd w:val="0"/>
              <w:snapToGrid w:val="0"/>
              <w:spacing w:line="300" w:lineRule="exact"/>
              <w:jc w:val="center"/>
              <w:rPr>
                <w:rFonts w:hint="default"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K4+097~K4+101</w:t>
            </w:r>
          </w:p>
        </w:tc>
        <w:tc>
          <w:tcPr>
            <w:tcW w:w="1334" w:type="dxa"/>
            <w:shd w:val="clear" w:color="auto" w:fill="auto"/>
            <w:noWrap w:val="0"/>
            <w:vAlign w:val="center"/>
          </w:tcPr>
          <w:p w14:paraId="1FF5F3D4">
            <w:pPr>
              <w:adjustRightInd w:val="0"/>
              <w:snapToGrid w:val="0"/>
              <w:spacing w:line="300" w:lineRule="exact"/>
              <w:jc w:val="center"/>
              <w:rPr>
                <w:rFonts w:hint="default" w:ascii="Arial" w:hAnsi="Arial" w:eastAsia="宋体" w:cs="Arial"/>
                <w:color w:val="auto"/>
                <w:spacing w:val="-4"/>
                <w:kern w:val="2"/>
                <w:sz w:val="22"/>
                <w:szCs w:val="22"/>
                <w:lang w:val="en-US" w:eastAsia="zh-CN" w:bidi="ar-SA"/>
              </w:rPr>
            </w:pPr>
            <w:r>
              <w:rPr>
                <w:rFonts w:hint="eastAsia" w:ascii="Arial" w:hAnsi="Arial" w:cs="Arial"/>
                <w:color w:val="auto"/>
                <w:spacing w:val="-4"/>
                <w:kern w:val="2"/>
                <w:sz w:val="22"/>
                <w:szCs w:val="22"/>
                <w:lang w:val="en-US" w:eastAsia="zh-CN" w:bidi="ar-SA"/>
              </w:rPr>
              <w:t>4</w:t>
            </w:r>
          </w:p>
        </w:tc>
        <w:tc>
          <w:tcPr>
            <w:tcW w:w="1695" w:type="dxa"/>
            <w:vMerge w:val="continue"/>
            <w:noWrap w:val="0"/>
            <w:vAlign w:val="center"/>
          </w:tcPr>
          <w:p w14:paraId="138907AD">
            <w:pPr>
              <w:adjustRightInd w:val="0"/>
              <w:snapToGrid w:val="0"/>
              <w:spacing w:line="300" w:lineRule="exact"/>
              <w:jc w:val="center"/>
              <w:rPr>
                <w:rFonts w:ascii="Arial" w:hAnsi="Arial" w:cs="Arial"/>
                <w:color w:val="auto"/>
                <w:spacing w:val="-4"/>
                <w:sz w:val="22"/>
                <w:szCs w:val="22"/>
              </w:rPr>
            </w:pPr>
          </w:p>
        </w:tc>
      </w:tr>
      <w:tr w14:paraId="6D86A4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869" w:type="dxa"/>
            <w:shd w:val="clear" w:color="auto" w:fill="auto"/>
            <w:noWrap w:val="0"/>
            <w:vAlign w:val="center"/>
          </w:tcPr>
          <w:p w14:paraId="7526917D">
            <w:pPr>
              <w:adjustRightInd w:val="0"/>
              <w:snapToGrid w:val="0"/>
              <w:spacing w:line="300" w:lineRule="exact"/>
              <w:jc w:val="center"/>
              <w:rPr>
                <w:rFonts w:hint="default"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7</w:t>
            </w:r>
          </w:p>
        </w:tc>
        <w:tc>
          <w:tcPr>
            <w:tcW w:w="1403" w:type="dxa"/>
            <w:vMerge w:val="continue"/>
            <w:noWrap w:val="0"/>
            <w:vAlign w:val="center"/>
          </w:tcPr>
          <w:p w14:paraId="30E15C18">
            <w:pPr>
              <w:adjustRightInd w:val="0"/>
              <w:snapToGrid w:val="0"/>
              <w:spacing w:line="300" w:lineRule="exact"/>
              <w:jc w:val="center"/>
              <w:rPr>
                <w:rFonts w:hint="eastAsia" w:ascii="Arial" w:hAnsi="Arial" w:cs="Arial"/>
                <w:color w:val="auto"/>
                <w:spacing w:val="-4"/>
                <w:sz w:val="22"/>
                <w:szCs w:val="22"/>
                <w:lang w:eastAsia="zh-CN"/>
              </w:rPr>
            </w:pPr>
          </w:p>
        </w:tc>
        <w:tc>
          <w:tcPr>
            <w:tcW w:w="1203" w:type="dxa"/>
            <w:noWrap w:val="0"/>
            <w:vAlign w:val="center"/>
          </w:tcPr>
          <w:p w14:paraId="58A24BB5">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农村公路</w:t>
            </w:r>
          </w:p>
        </w:tc>
        <w:tc>
          <w:tcPr>
            <w:tcW w:w="2413" w:type="dxa"/>
            <w:shd w:val="clear" w:color="auto" w:fill="auto"/>
            <w:noWrap w:val="0"/>
            <w:vAlign w:val="center"/>
          </w:tcPr>
          <w:p w14:paraId="71E1D46A">
            <w:pPr>
              <w:adjustRightInd w:val="0"/>
              <w:snapToGrid w:val="0"/>
              <w:spacing w:line="300" w:lineRule="exact"/>
              <w:jc w:val="center"/>
              <w:rPr>
                <w:rFonts w:hint="eastAsia"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K5+028~K0+032</w:t>
            </w:r>
          </w:p>
        </w:tc>
        <w:tc>
          <w:tcPr>
            <w:tcW w:w="1334" w:type="dxa"/>
            <w:shd w:val="clear" w:color="auto" w:fill="auto"/>
            <w:noWrap w:val="0"/>
            <w:vAlign w:val="center"/>
          </w:tcPr>
          <w:p w14:paraId="5B58C856">
            <w:pPr>
              <w:adjustRightInd w:val="0"/>
              <w:snapToGrid w:val="0"/>
              <w:spacing w:line="300" w:lineRule="exact"/>
              <w:jc w:val="center"/>
              <w:rPr>
                <w:rFonts w:hint="eastAsia"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4</w:t>
            </w:r>
          </w:p>
        </w:tc>
        <w:tc>
          <w:tcPr>
            <w:tcW w:w="1695" w:type="dxa"/>
            <w:vMerge w:val="continue"/>
            <w:noWrap w:val="0"/>
            <w:vAlign w:val="center"/>
          </w:tcPr>
          <w:p w14:paraId="2EA121DC">
            <w:pPr>
              <w:adjustRightInd w:val="0"/>
              <w:snapToGrid w:val="0"/>
              <w:spacing w:line="300" w:lineRule="exact"/>
              <w:jc w:val="center"/>
              <w:rPr>
                <w:rFonts w:ascii="Arial" w:hAnsi="Arial" w:cs="Arial"/>
                <w:color w:val="auto"/>
                <w:spacing w:val="-4"/>
                <w:sz w:val="22"/>
                <w:szCs w:val="22"/>
              </w:rPr>
            </w:pPr>
          </w:p>
        </w:tc>
      </w:tr>
      <w:tr w14:paraId="0FD1AC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869" w:type="dxa"/>
            <w:shd w:val="clear" w:color="auto" w:fill="auto"/>
            <w:noWrap w:val="0"/>
            <w:vAlign w:val="center"/>
          </w:tcPr>
          <w:p w14:paraId="7CCF9B1F">
            <w:pPr>
              <w:adjustRightInd w:val="0"/>
              <w:snapToGrid w:val="0"/>
              <w:spacing w:line="300" w:lineRule="exact"/>
              <w:jc w:val="center"/>
              <w:rPr>
                <w:rFonts w:hint="default"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8</w:t>
            </w:r>
          </w:p>
        </w:tc>
        <w:tc>
          <w:tcPr>
            <w:tcW w:w="1403" w:type="dxa"/>
            <w:vMerge w:val="restart"/>
            <w:noWrap w:val="0"/>
            <w:vAlign w:val="center"/>
          </w:tcPr>
          <w:p w14:paraId="11504678">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樊家湾支管</w:t>
            </w:r>
          </w:p>
        </w:tc>
        <w:tc>
          <w:tcPr>
            <w:tcW w:w="1203" w:type="dxa"/>
            <w:noWrap w:val="0"/>
            <w:vAlign w:val="center"/>
          </w:tcPr>
          <w:p w14:paraId="5C9253C3">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农村公路</w:t>
            </w:r>
          </w:p>
        </w:tc>
        <w:tc>
          <w:tcPr>
            <w:tcW w:w="2413" w:type="dxa"/>
            <w:noWrap w:val="0"/>
            <w:vAlign w:val="center"/>
          </w:tcPr>
          <w:p w14:paraId="11CB02A1">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FZ0+515</w:t>
            </w:r>
            <w:r>
              <w:rPr>
                <w:rFonts w:hint="eastAsia" w:ascii="Arial" w:hAnsi="Arial" w:cs="Arial"/>
                <w:color w:val="auto"/>
                <w:spacing w:val="-4"/>
                <w:sz w:val="22"/>
                <w:szCs w:val="22"/>
              </w:rPr>
              <w:t xml:space="preserve">~ </w:t>
            </w:r>
            <w:r>
              <w:rPr>
                <w:rFonts w:hint="eastAsia" w:ascii="Arial" w:hAnsi="Arial" w:cs="Arial"/>
                <w:color w:val="auto"/>
                <w:spacing w:val="-4"/>
                <w:sz w:val="22"/>
                <w:szCs w:val="22"/>
                <w:lang w:val="en-US" w:eastAsia="zh-CN"/>
              </w:rPr>
              <w:t>FZ0+519</w:t>
            </w:r>
          </w:p>
        </w:tc>
        <w:tc>
          <w:tcPr>
            <w:tcW w:w="1334" w:type="dxa"/>
            <w:noWrap w:val="0"/>
            <w:vAlign w:val="center"/>
          </w:tcPr>
          <w:p w14:paraId="350184F4">
            <w:pPr>
              <w:adjustRightInd w:val="0"/>
              <w:snapToGrid w:val="0"/>
              <w:spacing w:line="300" w:lineRule="exact"/>
              <w:jc w:val="center"/>
              <w:rPr>
                <w:rFonts w:hint="eastAsia"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4</w:t>
            </w:r>
          </w:p>
        </w:tc>
        <w:tc>
          <w:tcPr>
            <w:tcW w:w="1695" w:type="dxa"/>
            <w:vMerge w:val="continue"/>
            <w:noWrap w:val="0"/>
            <w:vAlign w:val="center"/>
          </w:tcPr>
          <w:p w14:paraId="4BD4C84E">
            <w:pPr>
              <w:adjustRightInd w:val="0"/>
              <w:snapToGrid w:val="0"/>
              <w:spacing w:line="300" w:lineRule="exact"/>
              <w:jc w:val="center"/>
              <w:rPr>
                <w:rFonts w:ascii="Arial" w:hAnsi="Arial" w:cs="Arial"/>
                <w:color w:val="auto"/>
                <w:spacing w:val="-4"/>
                <w:sz w:val="22"/>
                <w:szCs w:val="22"/>
              </w:rPr>
            </w:pPr>
          </w:p>
        </w:tc>
      </w:tr>
      <w:tr w14:paraId="62D4C3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869" w:type="dxa"/>
            <w:shd w:val="clear" w:color="auto" w:fill="auto"/>
            <w:noWrap w:val="0"/>
            <w:vAlign w:val="center"/>
          </w:tcPr>
          <w:p w14:paraId="0CDB94A7">
            <w:pPr>
              <w:adjustRightInd w:val="0"/>
              <w:snapToGrid w:val="0"/>
              <w:spacing w:line="300" w:lineRule="exact"/>
              <w:jc w:val="center"/>
              <w:rPr>
                <w:rFonts w:hint="default"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9</w:t>
            </w:r>
          </w:p>
        </w:tc>
        <w:tc>
          <w:tcPr>
            <w:tcW w:w="1403" w:type="dxa"/>
            <w:vMerge w:val="continue"/>
            <w:noWrap w:val="0"/>
            <w:vAlign w:val="center"/>
          </w:tcPr>
          <w:p w14:paraId="003C25F3">
            <w:pPr>
              <w:adjustRightInd w:val="0"/>
              <w:snapToGrid w:val="0"/>
              <w:spacing w:line="300" w:lineRule="exact"/>
              <w:jc w:val="center"/>
              <w:rPr>
                <w:rFonts w:hint="eastAsia" w:ascii="Arial" w:hAnsi="Arial" w:cs="Arial"/>
                <w:color w:val="auto"/>
                <w:spacing w:val="-4"/>
                <w:sz w:val="22"/>
                <w:szCs w:val="22"/>
                <w:lang w:eastAsia="zh-CN"/>
              </w:rPr>
            </w:pPr>
          </w:p>
        </w:tc>
        <w:tc>
          <w:tcPr>
            <w:tcW w:w="1203" w:type="dxa"/>
            <w:noWrap w:val="0"/>
            <w:vAlign w:val="center"/>
          </w:tcPr>
          <w:p w14:paraId="1990D9C5">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梯青路</w:t>
            </w:r>
          </w:p>
        </w:tc>
        <w:tc>
          <w:tcPr>
            <w:tcW w:w="2413" w:type="dxa"/>
            <w:noWrap w:val="0"/>
            <w:vAlign w:val="center"/>
          </w:tcPr>
          <w:p w14:paraId="35166159">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FZ0+549</w:t>
            </w:r>
            <w:r>
              <w:rPr>
                <w:rFonts w:hint="eastAsia" w:ascii="Arial" w:hAnsi="Arial" w:cs="Arial"/>
                <w:color w:val="auto"/>
                <w:spacing w:val="-4"/>
                <w:sz w:val="22"/>
                <w:szCs w:val="22"/>
              </w:rPr>
              <w:t xml:space="preserve">~ </w:t>
            </w:r>
            <w:r>
              <w:rPr>
                <w:rFonts w:hint="eastAsia" w:ascii="Arial" w:hAnsi="Arial" w:cs="Arial"/>
                <w:color w:val="auto"/>
                <w:spacing w:val="-4"/>
                <w:sz w:val="22"/>
                <w:szCs w:val="22"/>
                <w:lang w:val="en-US" w:eastAsia="zh-CN"/>
              </w:rPr>
              <w:t>FZ0+557</w:t>
            </w:r>
          </w:p>
        </w:tc>
        <w:tc>
          <w:tcPr>
            <w:tcW w:w="1334" w:type="dxa"/>
            <w:noWrap w:val="0"/>
            <w:vAlign w:val="center"/>
          </w:tcPr>
          <w:p w14:paraId="335FBF9F">
            <w:pPr>
              <w:adjustRightInd w:val="0"/>
              <w:snapToGrid w:val="0"/>
              <w:spacing w:line="300" w:lineRule="exact"/>
              <w:jc w:val="center"/>
              <w:rPr>
                <w:rFonts w:hint="eastAsia"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8</w:t>
            </w:r>
          </w:p>
        </w:tc>
        <w:tc>
          <w:tcPr>
            <w:tcW w:w="1695" w:type="dxa"/>
            <w:noWrap w:val="0"/>
            <w:vAlign w:val="center"/>
          </w:tcPr>
          <w:p w14:paraId="7E802EC9">
            <w:pPr>
              <w:adjustRightInd w:val="0"/>
              <w:snapToGrid w:val="0"/>
              <w:spacing w:line="300" w:lineRule="exact"/>
              <w:jc w:val="center"/>
              <w:rPr>
                <w:rFonts w:ascii="Arial" w:hAnsi="Arial" w:cs="Arial"/>
                <w:color w:val="auto"/>
                <w:spacing w:val="-4"/>
                <w:sz w:val="22"/>
                <w:szCs w:val="22"/>
              </w:rPr>
            </w:pPr>
            <w:r>
              <w:rPr>
                <w:rFonts w:hint="eastAsia" w:ascii="Arial" w:hAnsi="Arial" w:cs="Arial"/>
                <w:sz w:val="22"/>
                <w:szCs w:val="22"/>
                <w:lang w:val="zh-CN"/>
              </w:rPr>
              <w:t>半幅施工</w:t>
            </w:r>
          </w:p>
        </w:tc>
      </w:tr>
      <w:tr w14:paraId="1A0F76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869" w:type="dxa"/>
            <w:shd w:val="clear" w:color="auto" w:fill="auto"/>
            <w:noWrap w:val="0"/>
            <w:vAlign w:val="center"/>
          </w:tcPr>
          <w:p w14:paraId="7165421F">
            <w:pPr>
              <w:adjustRightInd w:val="0"/>
              <w:snapToGrid w:val="0"/>
              <w:spacing w:line="300" w:lineRule="exact"/>
              <w:jc w:val="center"/>
              <w:rPr>
                <w:rFonts w:hint="default"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10</w:t>
            </w:r>
          </w:p>
        </w:tc>
        <w:tc>
          <w:tcPr>
            <w:tcW w:w="1403" w:type="dxa"/>
            <w:noWrap w:val="0"/>
            <w:vAlign w:val="center"/>
          </w:tcPr>
          <w:p w14:paraId="1993F882">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三角冲支管</w:t>
            </w:r>
          </w:p>
        </w:tc>
        <w:tc>
          <w:tcPr>
            <w:tcW w:w="1203" w:type="dxa"/>
            <w:noWrap w:val="0"/>
            <w:vAlign w:val="center"/>
          </w:tcPr>
          <w:p w14:paraId="41F19B81">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农村公路</w:t>
            </w:r>
          </w:p>
        </w:tc>
        <w:tc>
          <w:tcPr>
            <w:tcW w:w="2413" w:type="dxa"/>
            <w:noWrap w:val="0"/>
            <w:vAlign w:val="center"/>
          </w:tcPr>
          <w:p w14:paraId="65306EF5">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SZ0+080~SZ0+084</w:t>
            </w:r>
          </w:p>
        </w:tc>
        <w:tc>
          <w:tcPr>
            <w:tcW w:w="1334" w:type="dxa"/>
            <w:noWrap w:val="0"/>
            <w:vAlign w:val="center"/>
          </w:tcPr>
          <w:p w14:paraId="4E582F4D">
            <w:pPr>
              <w:adjustRightInd w:val="0"/>
              <w:snapToGrid w:val="0"/>
              <w:spacing w:line="300" w:lineRule="exact"/>
              <w:jc w:val="center"/>
              <w:rPr>
                <w:rFonts w:hint="eastAsia"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4</w:t>
            </w:r>
          </w:p>
        </w:tc>
        <w:tc>
          <w:tcPr>
            <w:tcW w:w="1695" w:type="dxa"/>
            <w:noWrap w:val="0"/>
            <w:vAlign w:val="center"/>
          </w:tcPr>
          <w:p w14:paraId="28709EE7">
            <w:pPr>
              <w:adjustRightInd w:val="0"/>
              <w:snapToGrid w:val="0"/>
              <w:spacing w:line="300" w:lineRule="exact"/>
              <w:jc w:val="center"/>
              <w:rPr>
                <w:rFonts w:ascii="Arial" w:hAnsi="Arial" w:cs="Arial"/>
                <w:color w:val="auto"/>
                <w:spacing w:val="-4"/>
                <w:sz w:val="22"/>
                <w:szCs w:val="22"/>
              </w:rPr>
            </w:pPr>
            <w:r>
              <w:rPr>
                <w:rFonts w:hint="eastAsia" w:ascii="Arial" w:hAnsi="Arial" w:cs="Arial"/>
                <w:sz w:val="22"/>
                <w:szCs w:val="22"/>
                <w:lang w:val="zh-CN"/>
              </w:rPr>
              <w:t>设临时钢板桥</w:t>
            </w:r>
          </w:p>
        </w:tc>
      </w:tr>
      <w:tr w14:paraId="036B95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869" w:type="dxa"/>
            <w:shd w:val="clear" w:color="auto" w:fill="auto"/>
            <w:noWrap w:val="0"/>
            <w:vAlign w:val="center"/>
          </w:tcPr>
          <w:p w14:paraId="1562EC17">
            <w:pPr>
              <w:adjustRightInd w:val="0"/>
              <w:snapToGrid w:val="0"/>
              <w:spacing w:line="300" w:lineRule="exact"/>
              <w:jc w:val="center"/>
              <w:rPr>
                <w:rFonts w:hint="default" w:ascii="Arial" w:hAnsi="Arial" w:eastAsia="宋体" w:cs="Arial"/>
                <w:color w:val="auto"/>
                <w:spacing w:val="-4"/>
                <w:kern w:val="2"/>
                <w:sz w:val="22"/>
                <w:szCs w:val="22"/>
                <w:lang w:val="en-US" w:eastAsia="zh-CN" w:bidi="ar-SA"/>
              </w:rPr>
            </w:pPr>
            <w:r>
              <w:rPr>
                <w:rFonts w:hint="eastAsia" w:ascii="Arial" w:hAnsi="Arial" w:cs="Arial"/>
                <w:color w:val="auto"/>
                <w:spacing w:val="-4"/>
                <w:sz w:val="22"/>
                <w:szCs w:val="22"/>
                <w:lang w:val="en-US" w:eastAsia="zh-CN"/>
              </w:rPr>
              <w:t>11</w:t>
            </w:r>
          </w:p>
        </w:tc>
        <w:tc>
          <w:tcPr>
            <w:tcW w:w="1403" w:type="dxa"/>
            <w:noWrap w:val="0"/>
            <w:vAlign w:val="center"/>
          </w:tcPr>
          <w:p w14:paraId="03D81191">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鸦雀湾支管</w:t>
            </w:r>
          </w:p>
        </w:tc>
        <w:tc>
          <w:tcPr>
            <w:tcW w:w="1203" w:type="dxa"/>
            <w:noWrap w:val="0"/>
            <w:vAlign w:val="center"/>
          </w:tcPr>
          <w:p w14:paraId="383F3012">
            <w:pPr>
              <w:adjustRightInd w:val="0"/>
              <w:snapToGrid w:val="0"/>
              <w:spacing w:line="300" w:lineRule="exact"/>
              <w:jc w:val="center"/>
              <w:rPr>
                <w:rFonts w:hint="eastAsia" w:ascii="Arial" w:hAnsi="Arial" w:cs="Arial"/>
                <w:color w:val="auto"/>
                <w:spacing w:val="-4"/>
                <w:sz w:val="22"/>
                <w:szCs w:val="22"/>
                <w:lang w:eastAsia="zh-CN"/>
              </w:rPr>
            </w:pPr>
            <w:r>
              <w:rPr>
                <w:rFonts w:hint="eastAsia" w:ascii="Arial" w:hAnsi="Arial" w:cs="Arial"/>
                <w:color w:val="auto"/>
                <w:spacing w:val="-4"/>
                <w:sz w:val="22"/>
                <w:szCs w:val="22"/>
                <w:lang w:eastAsia="zh-CN"/>
              </w:rPr>
              <w:t>梯青路</w:t>
            </w:r>
          </w:p>
        </w:tc>
        <w:tc>
          <w:tcPr>
            <w:tcW w:w="2413" w:type="dxa"/>
            <w:noWrap w:val="0"/>
            <w:vAlign w:val="center"/>
          </w:tcPr>
          <w:p w14:paraId="28279056">
            <w:pPr>
              <w:adjustRightInd w:val="0"/>
              <w:snapToGrid w:val="0"/>
              <w:spacing w:line="300" w:lineRule="exact"/>
              <w:jc w:val="center"/>
              <w:rPr>
                <w:rFonts w:hint="default" w:ascii="Arial" w:hAnsi="Arial" w:cs="Arial"/>
                <w:color w:val="auto"/>
                <w:spacing w:val="-4"/>
                <w:sz w:val="22"/>
                <w:szCs w:val="22"/>
                <w:lang w:val="en-US" w:eastAsia="zh-CN"/>
              </w:rPr>
            </w:pPr>
            <w:r>
              <w:rPr>
                <w:rFonts w:hint="eastAsia" w:ascii="Arial" w:hAnsi="Arial" w:cs="Arial"/>
                <w:color w:val="auto"/>
                <w:spacing w:val="-4"/>
                <w:sz w:val="22"/>
                <w:szCs w:val="22"/>
                <w:lang w:val="en-US" w:eastAsia="zh-CN"/>
              </w:rPr>
              <w:t>YZ0+365~YZ0+373</w:t>
            </w:r>
          </w:p>
        </w:tc>
        <w:tc>
          <w:tcPr>
            <w:tcW w:w="1334" w:type="dxa"/>
            <w:noWrap w:val="0"/>
            <w:vAlign w:val="center"/>
          </w:tcPr>
          <w:p w14:paraId="0AC226F8">
            <w:pPr>
              <w:adjustRightInd w:val="0"/>
              <w:snapToGrid w:val="0"/>
              <w:spacing w:line="300" w:lineRule="exact"/>
              <w:jc w:val="center"/>
              <w:rPr>
                <w:rFonts w:hint="eastAsia" w:ascii="Arial" w:hAnsi="Arial" w:eastAsia="宋体" w:cs="Arial"/>
                <w:color w:val="auto"/>
                <w:spacing w:val="-4"/>
                <w:sz w:val="22"/>
                <w:szCs w:val="22"/>
                <w:lang w:val="en-US" w:eastAsia="zh-CN"/>
              </w:rPr>
            </w:pPr>
            <w:r>
              <w:rPr>
                <w:rFonts w:hint="eastAsia" w:ascii="Arial" w:hAnsi="Arial" w:cs="Arial"/>
                <w:color w:val="auto"/>
                <w:spacing w:val="-4"/>
                <w:sz w:val="22"/>
                <w:szCs w:val="22"/>
                <w:lang w:val="en-US" w:eastAsia="zh-CN"/>
              </w:rPr>
              <w:t>8</w:t>
            </w:r>
          </w:p>
        </w:tc>
        <w:tc>
          <w:tcPr>
            <w:tcW w:w="1695" w:type="dxa"/>
            <w:noWrap w:val="0"/>
            <w:vAlign w:val="center"/>
          </w:tcPr>
          <w:p w14:paraId="37003E8E">
            <w:pPr>
              <w:adjustRightInd w:val="0"/>
              <w:snapToGrid w:val="0"/>
              <w:spacing w:line="300" w:lineRule="exact"/>
              <w:jc w:val="center"/>
              <w:rPr>
                <w:rFonts w:ascii="Arial" w:hAnsi="Arial" w:cs="Arial"/>
                <w:color w:val="auto"/>
                <w:spacing w:val="-4"/>
                <w:sz w:val="22"/>
                <w:szCs w:val="22"/>
              </w:rPr>
            </w:pPr>
            <w:r>
              <w:rPr>
                <w:rFonts w:hint="eastAsia" w:ascii="Arial" w:hAnsi="Arial" w:cs="Arial"/>
                <w:sz w:val="22"/>
                <w:szCs w:val="22"/>
                <w:lang w:val="zh-CN"/>
              </w:rPr>
              <w:t>半幅施工</w:t>
            </w:r>
          </w:p>
        </w:tc>
      </w:tr>
    </w:tbl>
    <w:p w14:paraId="484C21C7">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eastAsia" w:ascii="Arial" w:hAnsi="Arial" w:cs="Arial"/>
          <w:sz w:val="26"/>
          <w:szCs w:val="26"/>
          <w:lang w:val="zh-CN" w:eastAsia="zh-CN"/>
        </w:rPr>
      </w:pPr>
    </w:p>
    <w:p w14:paraId="2B7FFBF8">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hAnsi="Arial" w:cs="Arial"/>
          <w:b/>
          <w:sz w:val="26"/>
          <w:szCs w:val="26"/>
        </w:rPr>
      </w:pPr>
      <w:r>
        <w:rPr>
          <w:rFonts w:hint="eastAsia" w:ascii="Arial" w:hAnsi="Arial" w:cs="Arial"/>
          <w:b/>
          <w:sz w:val="26"/>
          <w:szCs w:val="26"/>
        </w:rPr>
        <w:t>（</w:t>
      </w:r>
      <w:r>
        <w:rPr>
          <w:rFonts w:hint="eastAsia" w:ascii="Arial" w:hAnsi="Arial" w:cs="Arial"/>
          <w:b/>
          <w:sz w:val="26"/>
          <w:szCs w:val="26"/>
          <w:lang w:val="en-US" w:eastAsia="zh-CN"/>
        </w:rPr>
        <w:t>3</w:t>
      </w:r>
      <w:r>
        <w:rPr>
          <w:rFonts w:hint="eastAsia" w:ascii="Arial" w:hAnsi="Arial" w:cs="Arial"/>
          <w:b/>
          <w:sz w:val="26"/>
          <w:szCs w:val="26"/>
        </w:rPr>
        <w:t>）</w:t>
      </w:r>
      <w:r>
        <w:rPr>
          <w:rFonts w:hint="eastAsia" w:ascii="Arial" w:hAnsi="Arial" w:cs="Arial"/>
          <w:b/>
          <w:sz w:val="26"/>
          <w:szCs w:val="26"/>
          <w:lang w:eastAsia="zh-CN"/>
        </w:rPr>
        <w:t>其他附属</w:t>
      </w:r>
      <w:r>
        <w:rPr>
          <w:rFonts w:hint="eastAsia" w:ascii="Arial" w:hAnsi="Arial" w:cs="Arial"/>
          <w:b/>
          <w:sz w:val="26"/>
          <w:szCs w:val="26"/>
        </w:rPr>
        <w:t>工程</w:t>
      </w:r>
    </w:p>
    <w:p w14:paraId="33990560">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sz w:val="26"/>
          <w:lang w:eastAsia="zh-CN"/>
        </w:rPr>
      </w:pPr>
      <w:r>
        <w:rPr>
          <w:rFonts w:hint="eastAsia" w:ascii="Arial" w:hAnsi="Arial" w:cs="Arial"/>
          <w:b/>
          <w:bCs/>
          <w:sz w:val="26"/>
        </w:rPr>
        <w:t>①</w:t>
      </w:r>
      <w:r>
        <w:rPr>
          <w:rFonts w:hint="eastAsia" w:ascii="Arial" w:hAnsi="Arial" w:cs="Arial"/>
          <w:b/>
          <w:bCs/>
          <w:sz w:val="26"/>
          <w:lang w:val="en-US" w:eastAsia="zh-CN"/>
        </w:rPr>
        <w:t xml:space="preserve"> </w:t>
      </w:r>
      <w:r>
        <w:rPr>
          <w:rFonts w:hint="eastAsia" w:ascii="Arial" w:hAnsi="Arial" w:cs="Arial"/>
          <w:b/>
          <w:bCs/>
          <w:sz w:val="26"/>
          <w:lang w:eastAsia="zh-CN"/>
        </w:rPr>
        <w:t>房屋工程</w:t>
      </w:r>
    </w:p>
    <w:p w14:paraId="799D020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水库管理房</w:t>
      </w:r>
      <w:r>
        <w:rPr>
          <w:rFonts w:hint="eastAsia" w:ascii="Arial" w:hAnsi="Arial" w:cs="Arial"/>
          <w:sz w:val="26"/>
          <w:szCs w:val="26"/>
          <w:lang w:val="zh-CN"/>
        </w:rPr>
        <w:t>位于大坝左岸，正负零标高为424.5m，建筑占地面积</w:t>
      </w:r>
      <w:r>
        <w:rPr>
          <w:rFonts w:hint="eastAsia" w:ascii="Arial" w:hAnsi="Arial" w:cs="Arial"/>
          <w:sz w:val="26"/>
          <w:szCs w:val="26"/>
        </w:rPr>
        <w:t>92</w:t>
      </w:r>
      <w:r>
        <w:rPr>
          <w:rFonts w:hint="eastAsia" w:ascii="Arial" w:hAnsi="Arial" w:cs="Arial"/>
          <w:sz w:val="26"/>
          <w:szCs w:val="26"/>
          <w:lang w:val="zh-CN"/>
        </w:rPr>
        <w:t>m</w:t>
      </w:r>
      <w:r>
        <w:rPr>
          <w:rFonts w:hint="eastAsia" w:ascii="Arial" w:hAnsi="Arial" w:cs="Arial"/>
          <w:sz w:val="26"/>
          <w:szCs w:val="26"/>
          <w:vertAlign w:val="superscript"/>
          <w:lang w:val="en-US" w:eastAsia="zh-CN"/>
        </w:rPr>
        <w:t>2</w:t>
      </w:r>
      <w:r>
        <w:rPr>
          <w:rFonts w:hint="eastAsia" w:ascii="Arial" w:hAnsi="Arial" w:cs="Arial"/>
          <w:sz w:val="26"/>
          <w:szCs w:val="26"/>
          <w:lang w:val="zh-CN"/>
        </w:rPr>
        <w:t>，总建筑面积</w:t>
      </w:r>
      <w:r>
        <w:rPr>
          <w:rFonts w:hint="eastAsia" w:ascii="Arial" w:hAnsi="Arial" w:cs="Arial"/>
          <w:sz w:val="26"/>
          <w:szCs w:val="26"/>
        </w:rPr>
        <w:t>184</w:t>
      </w:r>
      <w:r>
        <w:rPr>
          <w:rFonts w:hint="eastAsia" w:ascii="Arial" w:hAnsi="Arial" w:cs="Arial"/>
          <w:sz w:val="26"/>
          <w:szCs w:val="26"/>
          <w:lang w:val="zh-CN"/>
        </w:rPr>
        <w:t>m</w:t>
      </w:r>
      <w:r>
        <w:rPr>
          <w:rFonts w:hint="eastAsia" w:ascii="Arial" w:hAnsi="Arial" w:cs="Arial"/>
          <w:sz w:val="26"/>
          <w:szCs w:val="26"/>
          <w:vertAlign w:val="superscript"/>
          <w:lang w:val="en-US" w:eastAsia="zh-CN"/>
        </w:rPr>
        <w:t>2</w:t>
      </w:r>
      <w:r>
        <w:rPr>
          <w:rFonts w:hint="eastAsia" w:ascii="Arial" w:hAnsi="Arial" w:cs="Arial"/>
          <w:sz w:val="26"/>
          <w:szCs w:val="26"/>
          <w:lang w:val="zh-CN"/>
        </w:rPr>
        <w:t>，采用砼框架砌体两层结构，一层层高3.3m，二层层高3.0m，总高8.06m。管理房平台边缘设1.2m高C25钢筋砼栏杆，总长约79m。</w:t>
      </w:r>
    </w:p>
    <w:p w14:paraId="7BA013A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zh-CN" w:eastAsia="zh-CN"/>
        </w:rPr>
      </w:pPr>
      <w:r>
        <w:rPr>
          <w:rFonts w:hint="eastAsia" w:ascii="Arial" w:hAnsi="Arial" w:cs="Arial"/>
          <w:sz w:val="26"/>
          <w:szCs w:val="26"/>
          <w:lang w:val="zh-CN" w:eastAsia="zh-CN"/>
        </w:rPr>
        <w:t>取水（放空）闸阀房：位于大坝下游尾水渠左边墙外侧，正负零标高为399.7m，总建筑面积20m</w:t>
      </w:r>
      <w:r>
        <w:rPr>
          <w:rFonts w:hint="eastAsia" w:ascii="Arial" w:hAnsi="Arial" w:cs="Arial"/>
          <w:sz w:val="26"/>
          <w:szCs w:val="26"/>
          <w:vertAlign w:val="superscript"/>
          <w:lang w:val="en-US" w:eastAsia="zh-CN"/>
        </w:rPr>
        <w:t>2</w:t>
      </w:r>
      <w:r>
        <w:rPr>
          <w:rFonts w:hint="eastAsia" w:ascii="Arial" w:hAnsi="Arial" w:cs="Arial"/>
          <w:sz w:val="26"/>
          <w:szCs w:val="26"/>
          <w:lang w:val="zh-CN" w:eastAsia="zh-CN"/>
        </w:rPr>
        <w:t>，砼框架砌体结构，层高3.5m。</w:t>
      </w:r>
    </w:p>
    <w:p w14:paraId="2D6A4EFF">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cs="Arial"/>
          <w:b/>
          <w:bCs/>
          <w:sz w:val="26"/>
          <w:lang w:val="en-US" w:eastAsia="zh-CN"/>
        </w:rPr>
      </w:pPr>
      <w:r>
        <w:rPr>
          <w:rFonts w:hint="default" w:ascii="Arial" w:hAnsi="Arial" w:cs="Arial"/>
          <w:b/>
          <w:bCs/>
          <w:sz w:val="26"/>
        </w:rPr>
        <w:t>②</w:t>
      </w:r>
      <w:r>
        <w:rPr>
          <w:rFonts w:hint="eastAsia" w:ascii="Arial" w:hAnsi="Arial" w:cs="Arial"/>
          <w:b/>
          <w:bCs/>
          <w:sz w:val="26"/>
          <w:lang w:val="en-US" w:eastAsia="zh-CN"/>
        </w:rPr>
        <w:t xml:space="preserve"> 上坝道路</w:t>
      </w:r>
    </w:p>
    <w:p w14:paraId="72E29504">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eastAsia="宋体" w:cs="Arial"/>
          <w:sz w:val="26"/>
          <w:szCs w:val="26"/>
          <w:lang w:val="en-US" w:eastAsia="zh-CN"/>
        </w:rPr>
      </w:pPr>
      <w:r>
        <w:rPr>
          <w:rFonts w:hint="eastAsia" w:ascii="Arial" w:cs="Arial"/>
          <w:sz w:val="26"/>
          <w:szCs w:val="26"/>
          <w:lang w:eastAsia="zh-CN"/>
        </w:rPr>
        <w:t>因项目所在地基础设施建设较为落后，现状无道路与项目拟建坝址处进行衔接，为满足水库运行管理需求</w:t>
      </w:r>
      <w:r>
        <w:rPr>
          <w:rFonts w:hint="eastAsia" w:ascii="Arial" w:hAnsi="Arial" w:cs="Arial"/>
          <w:sz w:val="26"/>
          <w:szCs w:val="26"/>
          <w:lang w:val="zh-CN" w:eastAsia="zh-CN"/>
        </w:rPr>
        <w:t>，需建设上坝公路总长</w:t>
      </w:r>
      <w:r>
        <w:rPr>
          <w:rFonts w:hint="eastAsia" w:ascii="Arial" w:hAnsi="Arial" w:cs="Arial"/>
          <w:sz w:val="26"/>
          <w:szCs w:val="26"/>
          <w:lang w:val="en-US" w:eastAsia="zh-CN"/>
        </w:rPr>
        <w:t>1762m，</w:t>
      </w:r>
      <w:r>
        <w:rPr>
          <w:rFonts w:hint="eastAsia" w:ascii="Arial" w:cs="Arial"/>
          <w:sz w:val="26"/>
          <w:szCs w:val="26"/>
          <w:lang w:val="zh-CN"/>
        </w:rPr>
        <w:t>其中扩建现状机耕道段长331m，新建段长1431m。起点接已建成农村公路，终点接大坝下游闸阀房，中途经过大坝坝顶，沿等高线往西南方向布置，沿右库岸布置，路路面宽4.5m，起点高程512.48m，终点高程401.0m</w:t>
      </w:r>
      <w:r>
        <w:rPr>
          <w:rFonts w:hint="eastAsia" w:ascii="Arial" w:cs="Arial"/>
          <w:sz w:val="26"/>
          <w:szCs w:val="26"/>
        </w:rPr>
        <w:t>。</w:t>
      </w:r>
    </w:p>
    <w:p w14:paraId="197DCCC8">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cs="Arial"/>
          <w:b/>
          <w:bCs/>
          <w:sz w:val="26"/>
          <w:lang w:val="en-US" w:eastAsia="zh-CN"/>
        </w:rPr>
      </w:pPr>
      <w:r>
        <w:rPr>
          <w:rFonts w:hint="eastAsia" w:ascii="Arial" w:hAnsi="Arial" w:cs="Arial"/>
          <w:b/>
          <w:bCs/>
          <w:sz w:val="26"/>
        </w:rPr>
        <w:t>③</w:t>
      </w:r>
      <w:r>
        <w:rPr>
          <w:rFonts w:hint="eastAsia" w:ascii="Arial" w:hAnsi="Arial" w:cs="Arial"/>
          <w:b/>
          <w:bCs/>
          <w:sz w:val="26"/>
          <w:lang w:val="en-US" w:eastAsia="zh-CN"/>
        </w:rPr>
        <w:t xml:space="preserve"> 环库巡检步道</w:t>
      </w:r>
    </w:p>
    <w:p w14:paraId="451565F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cs="Arial"/>
          <w:sz w:val="26"/>
          <w:szCs w:val="26"/>
          <w:lang w:val="en-US" w:eastAsia="zh-CN"/>
        </w:rPr>
      </w:pPr>
      <w:r>
        <w:rPr>
          <w:rFonts w:hint="eastAsia" w:ascii="Arial" w:cs="Arial"/>
          <w:sz w:val="26"/>
          <w:szCs w:val="26"/>
          <w:lang w:eastAsia="zh-CN"/>
        </w:rPr>
        <w:t>海螺沟水库建成后具有人饮供水功能，为便于管理人员进行日常的巡检，需沿库区新建巡检步道</w:t>
      </w:r>
      <w:r>
        <w:rPr>
          <w:rFonts w:hint="eastAsia" w:ascii="Arial" w:cs="Arial"/>
          <w:sz w:val="26"/>
          <w:szCs w:val="26"/>
          <w:lang w:val="en-US" w:eastAsia="zh-CN"/>
        </w:rPr>
        <w:t>2504m，路面宽1.5m，</w:t>
      </w:r>
      <w:r>
        <w:rPr>
          <w:rFonts w:hint="eastAsia" w:ascii="Arial" w:cs="Arial"/>
          <w:sz w:val="26"/>
          <w:szCs w:val="26"/>
          <w:lang w:val="zh-CN" w:eastAsia="zh-CN"/>
        </w:rPr>
        <w:t>沿等库区四周高线布置，起点接新建上坝公路，高程435.44m，终点接坝顶，高程424.0m。</w:t>
      </w:r>
    </w:p>
    <w:p w14:paraId="4470A8F4">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sz w:val="26"/>
          <w:lang w:eastAsia="zh-CN"/>
        </w:rPr>
      </w:pPr>
      <w:r>
        <w:rPr>
          <w:rFonts w:hint="eastAsia" w:ascii="Arial" w:hAnsi="Arial" w:cs="Arial"/>
          <w:b/>
          <w:bCs/>
          <w:sz w:val="26"/>
        </w:rPr>
        <w:t>④</w:t>
      </w:r>
      <w:r>
        <w:rPr>
          <w:rFonts w:hint="eastAsia" w:ascii="Arial" w:hAnsi="Arial" w:cs="Arial"/>
          <w:b/>
          <w:bCs/>
          <w:sz w:val="26"/>
          <w:lang w:val="en-US" w:eastAsia="zh-CN"/>
        </w:rPr>
        <w:t xml:space="preserve"> </w:t>
      </w:r>
      <w:r>
        <w:rPr>
          <w:rFonts w:hint="eastAsia" w:ascii="Arial" w:hAnsi="Arial" w:cs="Arial"/>
          <w:b/>
          <w:bCs/>
          <w:sz w:val="26"/>
          <w:lang w:eastAsia="zh-CN"/>
        </w:rPr>
        <w:t>监测设施</w:t>
      </w:r>
    </w:p>
    <w:p w14:paraId="12AACE4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cs="Arial"/>
          <w:sz w:val="26"/>
          <w:szCs w:val="26"/>
        </w:rPr>
      </w:pPr>
      <w:r>
        <w:rPr>
          <w:rFonts w:hint="eastAsia" w:ascii="Arial" w:hAnsi="Arial" w:cs="Arial"/>
          <w:color w:val="auto"/>
          <w:kern w:val="0"/>
          <w:sz w:val="26"/>
          <w:szCs w:val="26"/>
          <w:highlight w:val="none"/>
          <w:lang w:val="en-US" w:eastAsia="zh-CN"/>
        </w:rPr>
        <w:t>监测设施包括变形监测桩、渗流监测、量水堰、应力应变监测点、流速仪、水位监测设施、水温监测设施、气温监测系统、降雨量监测系统、水质监测设备等。</w:t>
      </w:r>
    </w:p>
    <w:p w14:paraId="2F87065B">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sz w:val="26"/>
          <w:lang w:eastAsia="zh-CN"/>
        </w:rPr>
      </w:pPr>
      <w:r>
        <w:rPr>
          <w:rFonts w:hint="eastAsia" w:ascii="Arial" w:hAnsi="Arial" w:cs="Arial"/>
          <w:b/>
          <w:bCs/>
          <w:sz w:val="26"/>
        </w:rPr>
        <w:t>⑤</w:t>
      </w:r>
      <w:r>
        <w:rPr>
          <w:rFonts w:hint="eastAsia" w:ascii="Arial" w:hAnsi="Arial" w:cs="Arial"/>
          <w:b/>
          <w:bCs/>
          <w:sz w:val="26"/>
          <w:lang w:val="en-US" w:eastAsia="zh-CN"/>
        </w:rPr>
        <w:t xml:space="preserve"> </w:t>
      </w:r>
      <w:r>
        <w:rPr>
          <w:rFonts w:hint="eastAsia" w:ascii="Arial" w:hAnsi="Arial" w:cs="Arial"/>
          <w:b/>
          <w:bCs/>
          <w:sz w:val="26"/>
          <w:lang w:eastAsia="zh-CN"/>
        </w:rPr>
        <w:t>其他</w:t>
      </w:r>
    </w:p>
    <w:p w14:paraId="3D26F6D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cs="Arial"/>
          <w:sz w:val="26"/>
          <w:szCs w:val="26"/>
        </w:rPr>
      </w:pPr>
      <w:r>
        <w:rPr>
          <w:rFonts w:hint="eastAsia" w:ascii="Arial" w:cs="Arial"/>
          <w:sz w:val="26"/>
          <w:szCs w:val="26"/>
        </w:rPr>
        <w:t>新建大理石竣工碑1座，增设安全警示牌10个。</w:t>
      </w:r>
    </w:p>
    <w:p w14:paraId="560F2C8A">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lang w:val="en-US" w:eastAsia="zh-CN" w:bidi="ar-SA"/>
        </w:rPr>
      </w:pPr>
      <w:r>
        <w:rPr>
          <w:rFonts w:hint="eastAsia" w:ascii="Arial" w:hAnsi="Arial" w:cs="Arial"/>
          <w:b/>
          <w:bCs/>
          <w:color w:val="auto"/>
          <w:kern w:val="2"/>
          <w:sz w:val="26"/>
          <w:szCs w:val="26"/>
          <w:lang w:val="en-US" w:eastAsia="zh-CN" w:bidi="ar-SA"/>
        </w:rPr>
        <w:t>2.2.6坝址处水文情势概况</w:t>
      </w:r>
    </w:p>
    <w:p w14:paraId="6889BEEA">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cs="Arial"/>
          <w:b/>
          <w:bCs/>
          <w:sz w:val="26"/>
          <w:lang w:val="en-US" w:eastAsia="zh-CN"/>
        </w:rPr>
      </w:pPr>
      <w:r>
        <w:rPr>
          <w:rFonts w:hint="eastAsia" w:ascii="Arial" w:hAnsi="Arial" w:cs="Arial"/>
          <w:b/>
          <w:bCs/>
          <w:sz w:val="26"/>
          <w:lang w:eastAsia="zh-CN"/>
        </w:rPr>
        <w:t>（</w:t>
      </w:r>
      <w:r>
        <w:rPr>
          <w:rFonts w:hint="eastAsia" w:ascii="Arial" w:hAnsi="Arial" w:cs="Arial"/>
          <w:b/>
          <w:bCs/>
          <w:sz w:val="26"/>
          <w:lang w:val="en-US" w:eastAsia="zh-CN"/>
        </w:rPr>
        <w:t>1）水文站网分布及资料情况</w:t>
      </w:r>
    </w:p>
    <w:p w14:paraId="5145B4E5">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cs="Arial"/>
          <w:sz w:val="26"/>
          <w:szCs w:val="26"/>
          <w:lang w:eastAsia="zh-CN"/>
        </w:rPr>
      </w:pPr>
      <w:r>
        <w:rPr>
          <w:rFonts w:hint="eastAsia" w:ascii="Arial" w:cs="Arial"/>
          <w:sz w:val="26"/>
          <w:szCs w:val="26"/>
          <w:lang w:eastAsia="zh-CN"/>
        </w:rPr>
        <w:t>海螺沟流域内无水文测站，在渠溪河干流上有两河水文站，渠溪河流域内有永丰、朱光嘴、苏家场雨量站，以及邻近大沙河流域有精华雨量站，观测项目有水位、流量、泥沙、降雨等。各水文、雨量站资料情况见表2.</w:t>
      </w:r>
      <w:r>
        <w:rPr>
          <w:rFonts w:hint="eastAsia" w:ascii="Arial" w:cs="Arial"/>
          <w:sz w:val="26"/>
          <w:szCs w:val="26"/>
          <w:lang w:val="en-US" w:eastAsia="zh-CN"/>
        </w:rPr>
        <w:t>2-6</w:t>
      </w:r>
      <w:r>
        <w:rPr>
          <w:rFonts w:hint="eastAsia" w:ascii="Arial" w:cs="Arial"/>
          <w:sz w:val="26"/>
          <w:szCs w:val="26"/>
          <w:lang w:eastAsia="zh-CN"/>
        </w:rPr>
        <w:t>。</w:t>
      </w:r>
    </w:p>
    <w:p w14:paraId="5D8DC1A2">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2.2-6 流域临近水文、气象站点基本资料表</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83"/>
        <w:gridCol w:w="944"/>
        <w:gridCol w:w="1086"/>
        <w:gridCol w:w="1235"/>
        <w:gridCol w:w="1987"/>
        <w:gridCol w:w="1538"/>
        <w:gridCol w:w="1241"/>
      </w:tblGrid>
      <w:tr w14:paraId="4114D0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983" w:type="dxa"/>
            <w:vMerge w:val="restart"/>
            <w:noWrap w:val="0"/>
            <w:vAlign w:val="center"/>
          </w:tcPr>
          <w:p w14:paraId="5A66AF6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河名</w:t>
            </w:r>
          </w:p>
        </w:tc>
        <w:tc>
          <w:tcPr>
            <w:tcW w:w="944" w:type="dxa"/>
            <w:vMerge w:val="restart"/>
            <w:noWrap w:val="0"/>
            <w:vAlign w:val="center"/>
          </w:tcPr>
          <w:p w14:paraId="75E7D9D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站 名</w:t>
            </w:r>
          </w:p>
        </w:tc>
        <w:tc>
          <w:tcPr>
            <w:tcW w:w="2321" w:type="dxa"/>
            <w:gridSpan w:val="2"/>
            <w:noWrap w:val="0"/>
            <w:vAlign w:val="center"/>
          </w:tcPr>
          <w:p w14:paraId="372A5CE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坐        标</w:t>
            </w:r>
          </w:p>
        </w:tc>
        <w:tc>
          <w:tcPr>
            <w:tcW w:w="1987" w:type="dxa"/>
            <w:vMerge w:val="restart"/>
            <w:noWrap w:val="0"/>
            <w:vAlign w:val="center"/>
          </w:tcPr>
          <w:p w14:paraId="1A27807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站 址 地 点</w:t>
            </w:r>
          </w:p>
        </w:tc>
        <w:tc>
          <w:tcPr>
            <w:tcW w:w="1538" w:type="dxa"/>
            <w:vMerge w:val="restart"/>
            <w:noWrap w:val="0"/>
            <w:vAlign w:val="center"/>
          </w:tcPr>
          <w:p w14:paraId="10EF979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资料起止时间</w:t>
            </w:r>
          </w:p>
        </w:tc>
        <w:tc>
          <w:tcPr>
            <w:tcW w:w="1241" w:type="dxa"/>
            <w:vMerge w:val="restart"/>
            <w:noWrap w:val="0"/>
            <w:vAlign w:val="center"/>
          </w:tcPr>
          <w:p w14:paraId="06C0B58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观测项目</w:t>
            </w:r>
          </w:p>
        </w:tc>
      </w:tr>
      <w:tr w14:paraId="2DB024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983" w:type="dxa"/>
            <w:vMerge w:val="continue"/>
            <w:noWrap w:val="0"/>
            <w:vAlign w:val="center"/>
          </w:tcPr>
          <w:p w14:paraId="1FE9F93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944" w:type="dxa"/>
            <w:vMerge w:val="continue"/>
            <w:noWrap w:val="0"/>
            <w:vAlign w:val="center"/>
          </w:tcPr>
          <w:p w14:paraId="66EECD9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1086" w:type="dxa"/>
            <w:noWrap w:val="0"/>
            <w:vAlign w:val="center"/>
          </w:tcPr>
          <w:p w14:paraId="69D3580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东   经</w:t>
            </w:r>
          </w:p>
        </w:tc>
        <w:tc>
          <w:tcPr>
            <w:tcW w:w="1235" w:type="dxa"/>
            <w:noWrap w:val="0"/>
            <w:vAlign w:val="center"/>
          </w:tcPr>
          <w:p w14:paraId="6AF6594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北  纬</w:t>
            </w:r>
          </w:p>
        </w:tc>
        <w:tc>
          <w:tcPr>
            <w:tcW w:w="1987" w:type="dxa"/>
            <w:vMerge w:val="continue"/>
            <w:noWrap w:val="0"/>
            <w:vAlign w:val="center"/>
          </w:tcPr>
          <w:p w14:paraId="053AC79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1538" w:type="dxa"/>
            <w:vMerge w:val="continue"/>
            <w:noWrap w:val="0"/>
            <w:vAlign w:val="center"/>
          </w:tcPr>
          <w:p w14:paraId="2DFF367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1241" w:type="dxa"/>
            <w:vMerge w:val="continue"/>
            <w:noWrap w:val="0"/>
            <w:vAlign w:val="center"/>
          </w:tcPr>
          <w:p w14:paraId="13CA624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r>
      <w:tr w14:paraId="1E4464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983" w:type="dxa"/>
            <w:noWrap w:val="0"/>
            <w:vAlign w:val="center"/>
          </w:tcPr>
          <w:p w14:paraId="65452CC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大沙河</w:t>
            </w:r>
          </w:p>
        </w:tc>
        <w:tc>
          <w:tcPr>
            <w:tcW w:w="944" w:type="dxa"/>
            <w:noWrap w:val="0"/>
            <w:vAlign w:val="center"/>
          </w:tcPr>
          <w:p w14:paraId="1169B42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精华</w:t>
            </w:r>
          </w:p>
        </w:tc>
        <w:tc>
          <w:tcPr>
            <w:tcW w:w="1086" w:type="dxa"/>
            <w:noWrap w:val="0"/>
            <w:vAlign w:val="center"/>
          </w:tcPr>
          <w:p w14:paraId="68F3C07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107°38′</w:t>
            </w:r>
          </w:p>
        </w:tc>
        <w:tc>
          <w:tcPr>
            <w:tcW w:w="1235" w:type="dxa"/>
            <w:noWrap w:val="0"/>
            <w:vAlign w:val="center"/>
          </w:tcPr>
          <w:p w14:paraId="387D6A0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30°22′</w:t>
            </w:r>
          </w:p>
        </w:tc>
        <w:tc>
          <w:tcPr>
            <w:tcW w:w="1987" w:type="dxa"/>
            <w:noWrap w:val="0"/>
            <w:vAlign w:val="center"/>
          </w:tcPr>
          <w:p w14:paraId="13A2B2D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忠县精华公社汪家</w:t>
            </w:r>
          </w:p>
        </w:tc>
        <w:tc>
          <w:tcPr>
            <w:tcW w:w="1538" w:type="dxa"/>
            <w:noWrap w:val="0"/>
            <w:vAlign w:val="center"/>
          </w:tcPr>
          <w:p w14:paraId="3BD0FD6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1981-2018</w:t>
            </w:r>
          </w:p>
        </w:tc>
        <w:tc>
          <w:tcPr>
            <w:tcW w:w="1241" w:type="dxa"/>
            <w:noWrap w:val="0"/>
            <w:vAlign w:val="center"/>
          </w:tcPr>
          <w:p w14:paraId="6119F24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雨 量</w:t>
            </w:r>
          </w:p>
        </w:tc>
      </w:tr>
      <w:tr w14:paraId="3A8047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2" w:hRule="exact"/>
          <w:jc w:val="center"/>
        </w:trPr>
        <w:tc>
          <w:tcPr>
            <w:tcW w:w="983" w:type="dxa"/>
            <w:noWrap w:val="0"/>
            <w:vAlign w:val="center"/>
          </w:tcPr>
          <w:p w14:paraId="63B9B85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eastAsia="宋体" w:cs="Arial"/>
                <w:sz w:val="22"/>
                <w:szCs w:val="22"/>
                <w:lang w:eastAsia="zh-CN"/>
              </w:rPr>
            </w:pPr>
            <w:r>
              <w:rPr>
                <w:rFonts w:hint="default" w:ascii="Arial" w:hAnsi="Arial" w:cs="Arial"/>
                <w:sz w:val="22"/>
                <w:szCs w:val="22"/>
                <w:lang w:eastAsia="zh-CN"/>
              </w:rPr>
              <w:t>渠溪河</w:t>
            </w:r>
          </w:p>
        </w:tc>
        <w:tc>
          <w:tcPr>
            <w:tcW w:w="944" w:type="dxa"/>
            <w:noWrap w:val="0"/>
            <w:vAlign w:val="center"/>
          </w:tcPr>
          <w:p w14:paraId="0B4F5C6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eastAsia="宋体" w:cs="Arial"/>
                <w:sz w:val="22"/>
                <w:szCs w:val="22"/>
                <w:lang w:eastAsia="zh-CN"/>
              </w:rPr>
            </w:pPr>
            <w:r>
              <w:rPr>
                <w:rFonts w:hint="default" w:ascii="Arial" w:hAnsi="Arial" w:cs="Arial"/>
                <w:sz w:val="22"/>
                <w:szCs w:val="22"/>
                <w:lang w:eastAsia="zh-CN"/>
              </w:rPr>
              <w:t>两河</w:t>
            </w:r>
          </w:p>
        </w:tc>
        <w:tc>
          <w:tcPr>
            <w:tcW w:w="1086" w:type="dxa"/>
            <w:noWrap w:val="0"/>
            <w:vAlign w:val="center"/>
          </w:tcPr>
          <w:p w14:paraId="4C58860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107°47′</w:t>
            </w:r>
          </w:p>
        </w:tc>
        <w:tc>
          <w:tcPr>
            <w:tcW w:w="1235" w:type="dxa"/>
            <w:noWrap w:val="0"/>
            <w:vAlign w:val="center"/>
          </w:tcPr>
          <w:p w14:paraId="5DFB178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30°15′</w:t>
            </w:r>
          </w:p>
        </w:tc>
        <w:tc>
          <w:tcPr>
            <w:tcW w:w="1987" w:type="dxa"/>
            <w:noWrap w:val="0"/>
            <w:vAlign w:val="center"/>
          </w:tcPr>
          <w:p w14:paraId="50CFFF5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忠县两河乡和平村</w:t>
            </w:r>
          </w:p>
        </w:tc>
        <w:tc>
          <w:tcPr>
            <w:tcW w:w="1538" w:type="dxa"/>
            <w:noWrap w:val="0"/>
            <w:vAlign w:val="center"/>
          </w:tcPr>
          <w:p w14:paraId="5398A71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1959~2018</w:t>
            </w:r>
          </w:p>
        </w:tc>
        <w:tc>
          <w:tcPr>
            <w:tcW w:w="1241" w:type="dxa"/>
            <w:noWrap w:val="0"/>
            <w:vAlign w:val="center"/>
          </w:tcPr>
          <w:p w14:paraId="7C43A3D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eastAsia="宋体" w:cs="Arial"/>
                <w:sz w:val="22"/>
                <w:szCs w:val="22"/>
                <w:lang w:eastAsia="zh-CN"/>
              </w:rPr>
            </w:pPr>
            <w:r>
              <w:rPr>
                <w:rFonts w:hint="default" w:ascii="Arial" w:hAnsi="Arial" w:cs="Arial"/>
                <w:sz w:val="22"/>
                <w:szCs w:val="22"/>
                <w:lang w:eastAsia="zh-CN"/>
              </w:rPr>
              <w:t>雨量、水位、流量</w:t>
            </w:r>
          </w:p>
        </w:tc>
      </w:tr>
      <w:tr w14:paraId="500CF9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983" w:type="dxa"/>
            <w:noWrap w:val="0"/>
            <w:vAlign w:val="center"/>
          </w:tcPr>
          <w:p w14:paraId="75619D4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渠溪河</w:t>
            </w:r>
          </w:p>
        </w:tc>
        <w:tc>
          <w:tcPr>
            <w:tcW w:w="944" w:type="dxa"/>
            <w:noWrap w:val="0"/>
            <w:vAlign w:val="center"/>
          </w:tcPr>
          <w:p w14:paraId="6F4415A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永丰</w:t>
            </w:r>
          </w:p>
        </w:tc>
        <w:tc>
          <w:tcPr>
            <w:tcW w:w="1086" w:type="dxa"/>
            <w:noWrap w:val="0"/>
            <w:vAlign w:val="center"/>
          </w:tcPr>
          <w:p w14:paraId="0ABA6E3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107°49′</w:t>
            </w:r>
          </w:p>
        </w:tc>
        <w:tc>
          <w:tcPr>
            <w:tcW w:w="1235" w:type="dxa"/>
            <w:noWrap w:val="0"/>
            <w:vAlign w:val="center"/>
          </w:tcPr>
          <w:p w14:paraId="44E9AD1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30°19′</w:t>
            </w:r>
          </w:p>
        </w:tc>
        <w:tc>
          <w:tcPr>
            <w:tcW w:w="1987" w:type="dxa"/>
            <w:noWrap w:val="0"/>
            <w:vAlign w:val="center"/>
          </w:tcPr>
          <w:p w14:paraId="339A3DF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忠县永丰公社</w:t>
            </w:r>
          </w:p>
        </w:tc>
        <w:tc>
          <w:tcPr>
            <w:tcW w:w="1538" w:type="dxa"/>
            <w:noWrap w:val="0"/>
            <w:vAlign w:val="center"/>
          </w:tcPr>
          <w:p w14:paraId="72C7E46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1980-2018</w:t>
            </w:r>
          </w:p>
        </w:tc>
        <w:tc>
          <w:tcPr>
            <w:tcW w:w="1241" w:type="dxa"/>
            <w:noWrap w:val="0"/>
            <w:vAlign w:val="center"/>
          </w:tcPr>
          <w:p w14:paraId="4A58492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雨 量</w:t>
            </w:r>
          </w:p>
        </w:tc>
      </w:tr>
      <w:tr w14:paraId="040448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983" w:type="dxa"/>
            <w:noWrap w:val="0"/>
            <w:vAlign w:val="center"/>
          </w:tcPr>
          <w:p w14:paraId="527C4B2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渠溪河</w:t>
            </w:r>
          </w:p>
        </w:tc>
        <w:tc>
          <w:tcPr>
            <w:tcW w:w="944" w:type="dxa"/>
            <w:noWrap w:val="0"/>
            <w:vAlign w:val="center"/>
          </w:tcPr>
          <w:p w14:paraId="02EB43D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朱光嘴</w:t>
            </w:r>
          </w:p>
        </w:tc>
        <w:tc>
          <w:tcPr>
            <w:tcW w:w="1086" w:type="dxa"/>
            <w:noWrap w:val="0"/>
            <w:vAlign w:val="center"/>
          </w:tcPr>
          <w:p w14:paraId="1669B0B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107°53′</w:t>
            </w:r>
          </w:p>
        </w:tc>
        <w:tc>
          <w:tcPr>
            <w:tcW w:w="1235" w:type="dxa"/>
            <w:noWrap w:val="0"/>
            <w:vAlign w:val="center"/>
          </w:tcPr>
          <w:p w14:paraId="7685C50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30°17′</w:t>
            </w:r>
          </w:p>
        </w:tc>
        <w:tc>
          <w:tcPr>
            <w:tcW w:w="1987" w:type="dxa"/>
            <w:noWrap w:val="0"/>
            <w:vAlign w:val="center"/>
          </w:tcPr>
          <w:p w14:paraId="2BB616A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忠县万板公社</w:t>
            </w:r>
          </w:p>
        </w:tc>
        <w:tc>
          <w:tcPr>
            <w:tcW w:w="1538" w:type="dxa"/>
            <w:noWrap w:val="0"/>
            <w:vAlign w:val="center"/>
          </w:tcPr>
          <w:p w14:paraId="567344B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1980-2018</w:t>
            </w:r>
          </w:p>
        </w:tc>
        <w:tc>
          <w:tcPr>
            <w:tcW w:w="1241" w:type="dxa"/>
            <w:noWrap w:val="0"/>
            <w:vAlign w:val="center"/>
          </w:tcPr>
          <w:p w14:paraId="21E507E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雨 量</w:t>
            </w:r>
          </w:p>
        </w:tc>
      </w:tr>
      <w:tr w14:paraId="2CD7AE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jc w:val="center"/>
        </w:trPr>
        <w:tc>
          <w:tcPr>
            <w:tcW w:w="983" w:type="dxa"/>
            <w:noWrap w:val="0"/>
            <w:vAlign w:val="center"/>
          </w:tcPr>
          <w:p w14:paraId="3BDF661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渠溪河</w:t>
            </w:r>
          </w:p>
        </w:tc>
        <w:tc>
          <w:tcPr>
            <w:tcW w:w="944" w:type="dxa"/>
            <w:noWrap w:val="0"/>
            <w:vAlign w:val="center"/>
          </w:tcPr>
          <w:p w14:paraId="7EE98C9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苏家场</w:t>
            </w:r>
          </w:p>
        </w:tc>
        <w:tc>
          <w:tcPr>
            <w:tcW w:w="1086" w:type="dxa"/>
            <w:noWrap w:val="0"/>
            <w:vAlign w:val="center"/>
          </w:tcPr>
          <w:p w14:paraId="48C83C9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107°46′</w:t>
            </w:r>
          </w:p>
        </w:tc>
        <w:tc>
          <w:tcPr>
            <w:tcW w:w="1235" w:type="dxa"/>
            <w:noWrap w:val="0"/>
            <w:vAlign w:val="center"/>
          </w:tcPr>
          <w:p w14:paraId="582E9FE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30°20′</w:t>
            </w:r>
          </w:p>
        </w:tc>
        <w:tc>
          <w:tcPr>
            <w:tcW w:w="1987" w:type="dxa"/>
            <w:noWrap w:val="0"/>
            <w:vAlign w:val="center"/>
          </w:tcPr>
          <w:p w14:paraId="2B23D23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忠县八德公社</w:t>
            </w:r>
          </w:p>
        </w:tc>
        <w:tc>
          <w:tcPr>
            <w:tcW w:w="1538" w:type="dxa"/>
            <w:noWrap w:val="0"/>
            <w:vAlign w:val="center"/>
          </w:tcPr>
          <w:p w14:paraId="3ADAD2F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1980-2018</w:t>
            </w:r>
          </w:p>
        </w:tc>
        <w:tc>
          <w:tcPr>
            <w:tcW w:w="1241" w:type="dxa"/>
            <w:noWrap w:val="0"/>
            <w:vAlign w:val="center"/>
          </w:tcPr>
          <w:p w14:paraId="18CCF99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雨 量</w:t>
            </w:r>
          </w:p>
        </w:tc>
      </w:tr>
    </w:tbl>
    <w:p w14:paraId="3C99E8F2">
      <w:pPr>
        <w:pStyle w:val="5"/>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lang w:val="en-US" w:eastAsia="zh-CN"/>
        </w:rPr>
      </w:pPr>
    </w:p>
    <w:p w14:paraId="0F812EF1">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cs="Arial"/>
          <w:b/>
          <w:color w:val="auto"/>
          <w:sz w:val="26"/>
          <w:szCs w:val="26"/>
        </w:rPr>
      </w:pPr>
      <w:r>
        <w:rPr>
          <w:rFonts w:hint="eastAsia" w:ascii="Arial" w:cs="Arial"/>
          <w:b/>
          <w:color w:val="auto"/>
          <w:sz w:val="26"/>
          <w:szCs w:val="26"/>
        </w:rPr>
        <w:t>（2）参证站选址及水文测验情况</w:t>
      </w:r>
    </w:p>
    <w:p w14:paraId="1EEBBC5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lang w:eastAsia="zh-CN"/>
        </w:rPr>
      </w:pPr>
      <w:r>
        <w:rPr>
          <w:rFonts w:hint="default" w:ascii="Arial" w:hAnsi="Arial" w:cs="Arial"/>
          <w:sz w:val="26"/>
          <w:szCs w:val="26"/>
          <w:lang w:eastAsia="zh-CN"/>
        </w:rPr>
        <w:t>两河水文站</w:t>
      </w:r>
      <w:r>
        <w:rPr>
          <w:rFonts w:hint="default" w:ascii="Arial" w:hAnsi="Arial" w:cs="Arial"/>
          <w:sz w:val="26"/>
          <w:szCs w:val="26"/>
        </w:rPr>
        <w:t>控制流域面积157km</w:t>
      </w:r>
      <w:r>
        <w:rPr>
          <w:rFonts w:hint="default" w:ascii="Arial" w:hAnsi="Arial" w:cs="Arial"/>
          <w:sz w:val="26"/>
          <w:szCs w:val="26"/>
          <w:vertAlign w:val="superscript"/>
        </w:rPr>
        <w:t>2</w:t>
      </w:r>
      <w:r>
        <w:rPr>
          <w:rFonts w:hint="default" w:ascii="Arial" w:hAnsi="Arial" w:cs="Arial"/>
          <w:sz w:val="26"/>
          <w:szCs w:val="26"/>
          <w:vertAlign w:val="baseline"/>
          <w:lang w:eastAsia="zh-CN"/>
        </w:rPr>
        <w:t>，</w:t>
      </w:r>
      <w:r>
        <w:rPr>
          <w:rFonts w:hint="default" w:ascii="Arial" w:hAnsi="Arial" w:cs="Arial"/>
          <w:sz w:val="26"/>
          <w:szCs w:val="26"/>
          <w:lang w:eastAsia="zh-CN"/>
        </w:rPr>
        <w:t>距本工程较近，直线距离约10.3km，该站控制流域与工程所在流域在自然地理、径流补给来源、下垫面情况及水文特性等方面具有一定的相似性，且两河水文站实测资料系列较长，资料整编规范、合理，可靠性高。因此，本次设计流域选择两河水文站为本工程径流分析计算的参证站。</w:t>
      </w:r>
    </w:p>
    <w:p w14:paraId="3A054E9A">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eastAsia="宋体" w:cs="Arial"/>
          <w:b/>
          <w:color w:val="auto"/>
          <w:sz w:val="26"/>
          <w:szCs w:val="26"/>
          <w:lang w:eastAsia="zh-CN"/>
        </w:rPr>
      </w:pPr>
      <w:r>
        <w:rPr>
          <w:rFonts w:hint="eastAsia" w:ascii="Arial" w:cs="Arial"/>
          <w:b/>
          <w:color w:val="auto"/>
          <w:sz w:val="26"/>
          <w:szCs w:val="26"/>
        </w:rPr>
        <w:t>（</w:t>
      </w:r>
      <w:r>
        <w:rPr>
          <w:rFonts w:hint="eastAsia" w:ascii="Arial" w:cs="Arial"/>
          <w:b/>
          <w:color w:val="auto"/>
          <w:sz w:val="26"/>
          <w:szCs w:val="26"/>
          <w:lang w:val="en-US" w:eastAsia="zh-CN"/>
        </w:rPr>
        <w:t>3</w:t>
      </w:r>
      <w:r>
        <w:rPr>
          <w:rFonts w:hint="eastAsia" w:ascii="Arial" w:cs="Arial"/>
          <w:b/>
          <w:color w:val="auto"/>
          <w:sz w:val="26"/>
          <w:szCs w:val="26"/>
        </w:rPr>
        <w:t>）</w:t>
      </w:r>
      <w:r>
        <w:rPr>
          <w:rFonts w:hint="eastAsia" w:ascii="Arial" w:cs="Arial"/>
          <w:b/>
          <w:color w:val="auto"/>
          <w:sz w:val="26"/>
          <w:szCs w:val="26"/>
          <w:lang w:eastAsia="zh-CN"/>
        </w:rPr>
        <w:t>径流特征</w:t>
      </w:r>
    </w:p>
    <w:p w14:paraId="605C3F51">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lang w:eastAsia="zh-CN"/>
        </w:rPr>
        <w:t>项目初设报告</w:t>
      </w:r>
      <w:r>
        <w:rPr>
          <w:rFonts w:hint="default" w:ascii="Arial" w:hAnsi="Arial" w:cs="Arial"/>
          <w:sz w:val="26"/>
          <w:szCs w:val="26"/>
          <w:lang w:eastAsia="zh-CN"/>
        </w:rPr>
        <w:t>根据两河（二）站径流系列，采用面积比并考虑降雨量修正推求海螺沟水库径流。海螺沟水库上坝址集雨面积为2.04km</w:t>
      </w:r>
      <w:r>
        <w:rPr>
          <w:rFonts w:hint="default" w:ascii="Arial" w:hAnsi="Arial" w:cs="Arial"/>
          <w:sz w:val="26"/>
          <w:szCs w:val="26"/>
          <w:vertAlign w:val="superscript"/>
          <w:lang w:eastAsia="zh-CN"/>
        </w:rPr>
        <w:t>2</w:t>
      </w:r>
      <w:r>
        <w:rPr>
          <w:rFonts w:hint="default" w:ascii="Arial" w:hAnsi="Arial" w:cs="Arial"/>
          <w:sz w:val="26"/>
          <w:szCs w:val="26"/>
          <w:lang w:eastAsia="zh-CN"/>
        </w:rPr>
        <w:t>，两河站集雨面积为157km</w:t>
      </w:r>
      <w:r>
        <w:rPr>
          <w:rFonts w:hint="default" w:ascii="Arial" w:hAnsi="Arial" w:cs="Arial"/>
          <w:sz w:val="26"/>
          <w:szCs w:val="26"/>
          <w:vertAlign w:val="superscript"/>
          <w:lang w:eastAsia="zh-CN"/>
        </w:rPr>
        <w:t>2</w:t>
      </w:r>
      <w:r>
        <w:rPr>
          <w:rFonts w:hint="default" w:ascii="Arial" w:hAnsi="Arial" w:cs="Arial"/>
          <w:sz w:val="26"/>
          <w:szCs w:val="26"/>
          <w:lang w:eastAsia="zh-CN"/>
        </w:rPr>
        <w:t>，面积修正系数0.012994</w:t>
      </w:r>
      <w:r>
        <w:rPr>
          <w:rFonts w:hint="eastAsia" w:ascii="Arial" w:hAnsi="Arial" w:cs="Arial"/>
          <w:sz w:val="26"/>
          <w:szCs w:val="26"/>
          <w:lang w:eastAsia="zh-CN"/>
        </w:rPr>
        <w:t>；</w:t>
      </w:r>
      <w:r>
        <w:rPr>
          <w:rFonts w:hint="default" w:ascii="Arial" w:hAnsi="Arial" w:cs="Arial"/>
          <w:sz w:val="26"/>
          <w:szCs w:val="26"/>
          <w:lang w:eastAsia="zh-CN"/>
        </w:rPr>
        <w:t>采用求得的两河站平均面雨量与水库坝址</w:t>
      </w:r>
      <w:r>
        <w:rPr>
          <w:rFonts w:hint="eastAsia" w:ascii="Arial" w:hAnsi="Arial" w:cs="Arial"/>
          <w:sz w:val="26"/>
          <w:szCs w:val="26"/>
          <w:lang w:eastAsia="zh-CN"/>
        </w:rPr>
        <w:t>插值</w:t>
      </w:r>
      <w:r>
        <w:rPr>
          <w:rFonts w:hint="default" w:ascii="Arial" w:hAnsi="Arial" w:cs="Arial"/>
          <w:sz w:val="26"/>
          <w:szCs w:val="26"/>
          <w:lang w:eastAsia="zh-CN"/>
        </w:rPr>
        <w:t>所得的面雨量比</w:t>
      </w:r>
      <w:r>
        <w:rPr>
          <w:rFonts w:hint="eastAsia" w:ascii="Arial" w:hAnsi="Arial" w:cs="Arial"/>
          <w:sz w:val="26"/>
          <w:szCs w:val="26"/>
          <w:lang w:eastAsia="zh-CN"/>
        </w:rPr>
        <w:t>，求得</w:t>
      </w:r>
      <w:r>
        <w:rPr>
          <w:rFonts w:hint="default" w:ascii="Arial" w:hAnsi="Arial" w:cs="Arial"/>
          <w:sz w:val="26"/>
          <w:szCs w:val="26"/>
          <w:lang w:eastAsia="zh-CN"/>
        </w:rPr>
        <w:t>降雨修正系数为0.998634。采用面积和雨量修正后推求的海螺沟水库坝址年径流为105万m</w:t>
      </w:r>
      <w:r>
        <w:rPr>
          <w:rFonts w:hint="default" w:ascii="Arial" w:hAnsi="Arial" w:cs="Arial"/>
          <w:sz w:val="26"/>
          <w:szCs w:val="26"/>
          <w:vertAlign w:val="superscript"/>
          <w:lang w:eastAsia="zh-CN"/>
        </w:rPr>
        <w:t>3</w:t>
      </w:r>
      <w:r>
        <w:rPr>
          <w:rFonts w:hint="default" w:ascii="Arial" w:hAnsi="Arial" w:cs="Arial"/>
          <w:sz w:val="26"/>
          <w:szCs w:val="26"/>
          <w:lang w:eastAsia="zh-CN"/>
        </w:rPr>
        <w:t>，平均流量为0.033m</w:t>
      </w:r>
      <w:r>
        <w:rPr>
          <w:rFonts w:hint="default" w:ascii="Arial" w:hAnsi="Arial" w:cs="Arial"/>
          <w:sz w:val="26"/>
          <w:szCs w:val="26"/>
          <w:vertAlign w:val="superscript"/>
          <w:lang w:eastAsia="zh-CN"/>
        </w:rPr>
        <w:t>3</w:t>
      </w:r>
      <w:r>
        <w:rPr>
          <w:rFonts w:hint="default" w:ascii="Arial" w:hAnsi="Arial" w:cs="Arial"/>
          <w:sz w:val="26"/>
          <w:szCs w:val="26"/>
          <w:lang w:eastAsia="zh-CN"/>
        </w:rPr>
        <w:t>/s</w:t>
      </w:r>
      <w:r>
        <w:rPr>
          <w:rFonts w:hint="eastAsia" w:ascii="Arial" w:hAnsi="Arial" w:cs="Arial"/>
          <w:sz w:val="26"/>
          <w:szCs w:val="26"/>
          <w:lang w:eastAsia="zh-CN"/>
        </w:rPr>
        <w:t>，</w:t>
      </w:r>
      <w:r>
        <w:rPr>
          <w:rFonts w:hint="default" w:ascii="Arial" w:hAnsi="Arial" w:cs="Arial"/>
          <w:sz w:val="26"/>
          <w:szCs w:val="26"/>
          <w:lang w:eastAsia="zh-CN"/>
        </w:rPr>
        <w:t>年径流深为514mm</w:t>
      </w:r>
      <w:r>
        <w:rPr>
          <w:rFonts w:hint="eastAsia" w:ascii="Arial" w:hAnsi="Arial" w:cs="Arial"/>
          <w:sz w:val="26"/>
          <w:szCs w:val="26"/>
          <w:lang w:eastAsia="zh-CN"/>
        </w:rPr>
        <w:t>。海螺沟水库推荐坝址处径流计算成果详见表</w:t>
      </w:r>
      <w:r>
        <w:rPr>
          <w:rFonts w:hint="eastAsia" w:ascii="Arial" w:hAnsi="Arial" w:cs="Arial"/>
          <w:sz w:val="26"/>
          <w:szCs w:val="26"/>
          <w:lang w:val="en-US" w:eastAsia="zh-CN"/>
        </w:rPr>
        <w:t>2.2-7所示。</w:t>
      </w:r>
    </w:p>
    <w:p w14:paraId="4FC1FA1B">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2.2-7 海螺沟水库径流计算成果一览表</w:t>
      </w:r>
    </w:p>
    <w:tbl>
      <w:tblPr>
        <w:tblStyle w:val="77"/>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165"/>
        <w:gridCol w:w="965"/>
        <w:gridCol w:w="644"/>
        <w:gridCol w:w="678"/>
        <w:gridCol w:w="729"/>
        <w:gridCol w:w="780"/>
        <w:gridCol w:w="780"/>
        <w:gridCol w:w="782"/>
        <w:gridCol w:w="780"/>
        <w:gridCol w:w="780"/>
        <w:gridCol w:w="785"/>
      </w:tblGrid>
      <w:tr w14:paraId="496A5A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exact"/>
          <w:tblHeader/>
          <w:jc w:val="center"/>
        </w:trPr>
        <w:tc>
          <w:tcPr>
            <w:tcW w:w="657" w:type="pct"/>
            <w:vMerge w:val="restart"/>
            <w:noWrap w:val="0"/>
            <w:vAlign w:val="center"/>
          </w:tcPr>
          <w:p w14:paraId="156C4A6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项目</w:t>
            </w:r>
          </w:p>
        </w:tc>
        <w:tc>
          <w:tcPr>
            <w:tcW w:w="544" w:type="pct"/>
            <w:vMerge w:val="restart"/>
            <w:noWrap w:val="0"/>
            <w:vAlign w:val="center"/>
          </w:tcPr>
          <w:p w14:paraId="17AFE00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均值</w:t>
            </w:r>
          </w:p>
          <w:p w14:paraId="58315AC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w:t>
            </w:r>
            <w:r>
              <w:rPr>
                <w:rFonts w:hint="eastAsia" w:ascii="Arial" w:hAnsi="Arial" w:cs="Arial"/>
                <w:sz w:val="22"/>
                <w:szCs w:val="22"/>
                <w:lang w:val="en-US" w:eastAsia="zh-CN"/>
              </w:rPr>
              <w:t>m</w:t>
            </w:r>
            <w:r>
              <w:rPr>
                <w:rFonts w:hint="eastAsia" w:ascii="Arial" w:hAnsi="Arial" w:cs="Arial"/>
                <w:sz w:val="22"/>
                <w:szCs w:val="22"/>
                <w:vertAlign w:val="superscript"/>
                <w:lang w:val="en-US" w:eastAsia="zh-CN"/>
              </w:rPr>
              <w:t>3</w:t>
            </w:r>
            <w:r>
              <w:rPr>
                <w:rFonts w:hint="default" w:ascii="Arial" w:hAnsi="Arial" w:cs="Arial"/>
                <w:sz w:val="22"/>
                <w:szCs w:val="22"/>
              </w:rPr>
              <w:t>/s）</w:t>
            </w:r>
          </w:p>
        </w:tc>
        <w:tc>
          <w:tcPr>
            <w:tcW w:w="363" w:type="pct"/>
            <w:vMerge w:val="restart"/>
            <w:noWrap w:val="0"/>
            <w:vAlign w:val="center"/>
          </w:tcPr>
          <w:p w14:paraId="5DD3205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p w14:paraId="0383700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Cv</w:t>
            </w:r>
          </w:p>
        </w:tc>
        <w:tc>
          <w:tcPr>
            <w:tcW w:w="382" w:type="pct"/>
            <w:vMerge w:val="restart"/>
            <w:noWrap w:val="0"/>
            <w:vAlign w:val="center"/>
          </w:tcPr>
          <w:p w14:paraId="1D36AAD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p w14:paraId="71B1422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Cs/Cv</w:t>
            </w:r>
          </w:p>
        </w:tc>
        <w:tc>
          <w:tcPr>
            <w:tcW w:w="3054" w:type="pct"/>
            <w:gridSpan w:val="7"/>
            <w:noWrap w:val="0"/>
            <w:vAlign w:val="center"/>
          </w:tcPr>
          <w:p w14:paraId="4885280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设计径流（</w:t>
            </w:r>
            <w:r>
              <w:rPr>
                <w:rFonts w:hint="eastAsia" w:ascii="Arial" w:hAnsi="Arial" w:cs="Arial"/>
                <w:sz w:val="22"/>
                <w:szCs w:val="22"/>
                <w:lang w:val="en-US" w:eastAsia="zh-CN"/>
              </w:rPr>
              <w:t>m</w:t>
            </w:r>
            <w:r>
              <w:rPr>
                <w:rFonts w:hint="eastAsia" w:ascii="Arial" w:hAnsi="Arial" w:cs="Arial"/>
                <w:sz w:val="22"/>
                <w:szCs w:val="22"/>
                <w:vertAlign w:val="superscript"/>
                <w:lang w:val="en-US" w:eastAsia="zh-CN"/>
              </w:rPr>
              <w:t>3</w:t>
            </w:r>
            <w:r>
              <w:rPr>
                <w:rFonts w:hint="eastAsia" w:ascii="Arial" w:hAnsi="Arial" w:cs="Arial"/>
                <w:sz w:val="22"/>
                <w:szCs w:val="22"/>
                <w:lang w:val="en-US" w:eastAsia="zh-CN"/>
              </w:rPr>
              <w:t>/</w:t>
            </w:r>
            <w:r>
              <w:rPr>
                <w:rFonts w:hint="default" w:ascii="Arial" w:hAnsi="Arial" w:cs="Arial"/>
                <w:sz w:val="22"/>
                <w:szCs w:val="22"/>
              </w:rPr>
              <w:t>s）</w:t>
            </w:r>
          </w:p>
        </w:tc>
      </w:tr>
      <w:tr w14:paraId="6DF60B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exact"/>
          <w:tblHeader/>
          <w:jc w:val="center"/>
        </w:trPr>
        <w:tc>
          <w:tcPr>
            <w:tcW w:w="657" w:type="pct"/>
            <w:vMerge w:val="continue"/>
            <w:noWrap w:val="0"/>
            <w:vAlign w:val="center"/>
          </w:tcPr>
          <w:p w14:paraId="2C6A1BB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544" w:type="pct"/>
            <w:vMerge w:val="continue"/>
            <w:noWrap w:val="0"/>
            <w:vAlign w:val="center"/>
          </w:tcPr>
          <w:p w14:paraId="3A6BCF8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363" w:type="pct"/>
            <w:vMerge w:val="continue"/>
            <w:noWrap w:val="0"/>
            <w:vAlign w:val="center"/>
          </w:tcPr>
          <w:p w14:paraId="2CC7520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382" w:type="pct"/>
            <w:vMerge w:val="continue"/>
            <w:noWrap w:val="0"/>
            <w:vAlign w:val="center"/>
          </w:tcPr>
          <w:p w14:paraId="0F19D2C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411" w:type="pct"/>
            <w:noWrap w:val="0"/>
            <w:vAlign w:val="center"/>
          </w:tcPr>
          <w:p w14:paraId="76C6DCF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P=5%</w:t>
            </w:r>
          </w:p>
        </w:tc>
        <w:tc>
          <w:tcPr>
            <w:tcW w:w="440" w:type="pct"/>
            <w:noWrap w:val="0"/>
            <w:vAlign w:val="center"/>
          </w:tcPr>
          <w:p w14:paraId="5F4ADAA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P=10%</w:t>
            </w:r>
          </w:p>
        </w:tc>
        <w:tc>
          <w:tcPr>
            <w:tcW w:w="440" w:type="pct"/>
            <w:noWrap w:val="0"/>
            <w:vAlign w:val="center"/>
          </w:tcPr>
          <w:p w14:paraId="0DFA17B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P=20%</w:t>
            </w:r>
          </w:p>
        </w:tc>
        <w:tc>
          <w:tcPr>
            <w:tcW w:w="441" w:type="pct"/>
            <w:noWrap w:val="0"/>
            <w:vAlign w:val="center"/>
          </w:tcPr>
          <w:p w14:paraId="045D1D7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P=50%</w:t>
            </w:r>
          </w:p>
        </w:tc>
        <w:tc>
          <w:tcPr>
            <w:tcW w:w="440" w:type="pct"/>
            <w:noWrap w:val="0"/>
            <w:vAlign w:val="center"/>
          </w:tcPr>
          <w:p w14:paraId="06255CF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P=80%</w:t>
            </w:r>
          </w:p>
        </w:tc>
        <w:tc>
          <w:tcPr>
            <w:tcW w:w="440" w:type="pct"/>
            <w:noWrap w:val="0"/>
            <w:vAlign w:val="center"/>
          </w:tcPr>
          <w:p w14:paraId="212C97A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P=90%</w:t>
            </w:r>
          </w:p>
        </w:tc>
        <w:tc>
          <w:tcPr>
            <w:tcW w:w="442" w:type="pct"/>
            <w:noWrap w:val="0"/>
            <w:vAlign w:val="center"/>
          </w:tcPr>
          <w:p w14:paraId="143438A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P=95%</w:t>
            </w:r>
          </w:p>
        </w:tc>
      </w:tr>
      <w:tr w14:paraId="4C79D7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exact"/>
          <w:jc w:val="center"/>
        </w:trPr>
        <w:tc>
          <w:tcPr>
            <w:tcW w:w="657" w:type="pct"/>
            <w:noWrap w:val="0"/>
            <w:vAlign w:val="center"/>
          </w:tcPr>
          <w:p w14:paraId="707002D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水文年</w:t>
            </w:r>
          </w:p>
        </w:tc>
        <w:tc>
          <w:tcPr>
            <w:tcW w:w="544" w:type="pct"/>
            <w:noWrap w:val="0"/>
            <w:vAlign w:val="center"/>
          </w:tcPr>
          <w:p w14:paraId="3C0E166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kern w:val="0"/>
                <w:sz w:val="22"/>
                <w:szCs w:val="22"/>
              </w:rPr>
            </w:pPr>
            <w:r>
              <w:rPr>
                <w:rFonts w:hint="default" w:ascii="Arial" w:hAnsi="Arial" w:cs="Arial"/>
                <w:sz w:val="22"/>
                <w:szCs w:val="22"/>
              </w:rPr>
              <w:t xml:space="preserve">0.033 </w:t>
            </w:r>
          </w:p>
        </w:tc>
        <w:tc>
          <w:tcPr>
            <w:tcW w:w="363" w:type="pct"/>
            <w:noWrap w:val="0"/>
            <w:vAlign w:val="center"/>
          </w:tcPr>
          <w:p w14:paraId="043C156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0.32</w:t>
            </w:r>
          </w:p>
        </w:tc>
        <w:tc>
          <w:tcPr>
            <w:tcW w:w="382" w:type="pct"/>
            <w:noWrap w:val="0"/>
            <w:vAlign w:val="center"/>
          </w:tcPr>
          <w:p w14:paraId="5F5B306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2.5</w:t>
            </w:r>
          </w:p>
        </w:tc>
        <w:tc>
          <w:tcPr>
            <w:tcW w:w="411" w:type="pct"/>
            <w:noWrap w:val="0"/>
            <w:vAlign w:val="center"/>
          </w:tcPr>
          <w:p w14:paraId="66266A2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kern w:val="0"/>
                <w:sz w:val="22"/>
                <w:szCs w:val="22"/>
              </w:rPr>
            </w:pPr>
            <w:r>
              <w:rPr>
                <w:rFonts w:hint="default" w:ascii="Arial" w:hAnsi="Arial" w:cs="Arial"/>
                <w:sz w:val="22"/>
                <w:szCs w:val="22"/>
              </w:rPr>
              <w:t xml:space="preserve">0.0528 </w:t>
            </w:r>
          </w:p>
        </w:tc>
        <w:tc>
          <w:tcPr>
            <w:tcW w:w="440" w:type="pct"/>
            <w:noWrap w:val="0"/>
            <w:vAlign w:val="center"/>
          </w:tcPr>
          <w:p w14:paraId="7EED42C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0.0475 </w:t>
            </w:r>
          </w:p>
        </w:tc>
        <w:tc>
          <w:tcPr>
            <w:tcW w:w="440" w:type="pct"/>
            <w:noWrap w:val="0"/>
            <w:vAlign w:val="center"/>
          </w:tcPr>
          <w:p w14:paraId="6379662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0.0415 </w:t>
            </w:r>
          </w:p>
        </w:tc>
        <w:tc>
          <w:tcPr>
            <w:tcW w:w="441" w:type="pct"/>
            <w:noWrap w:val="0"/>
            <w:vAlign w:val="center"/>
          </w:tcPr>
          <w:p w14:paraId="15EAABF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0.0318 </w:t>
            </w:r>
          </w:p>
        </w:tc>
        <w:tc>
          <w:tcPr>
            <w:tcW w:w="440" w:type="pct"/>
            <w:noWrap w:val="0"/>
            <w:vAlign w:val="center"/>
          </w:tcPr>
          <w:p w14:paraId="58AB97C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0.0241 </w:t>
            </w:r>
          </w:p>
        </w:tc>
        <w:tc>
          <w:tcPr>
            <w:tcW w:w="440" w:type="pct"/>
            <w:noWrap w:val="0"/>
            <w:vAlign w:val="center"/>
          </w:tcPr>
          <w:p w14:paraId="7AD4AE9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0.0208 </w:t>
            </w:r>
          </w:p>
        </w:tc>
        <w:tc>
          <w:tcPr>
            <w:tcW w:w="442" w:type="pct"/>
            <w:noWrap w:val="0"/>
            <w:vAlign w:val="center"/>
          </w:tcPr>
          <w:p w14:paraId="2BB3D91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0.0186 </w:t>
            </w:r>
          </w:p>
        </w:tc>
      </w:tr>
      <w:tr w14:paraId="4F0B26D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exact"/>
          <w:jc w:val="center"/>
        </w:trPr>
        <w:tc>
          <w:tcPr>
            <w:tcW w:w="657" w:type="pct"/>
            <w:noWrap w:val="0"/>
            <w:vAlign w:val="center"/>
          </w:tcPr>
          <w:p w14:paraId="5D9A96D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4</w:t>
            </w:r>
            <w:r>
              <w:rPr>
                <w:rFonts w:hint="eastAsia" w:ascii="Arial" w:hAnsi="Arial" w:cs="Arial"/>
                <w:sz w:val="22"/>
                <w:szCs w:val="22"/>
                <w:lang w:val="en-US" w:eastAsia="zh-CN"/>
              </w:rPr>
              <w:t>~</w:t>
            </w:r>
            <w:r>
              <w:rPr>
                <w:rFonts w:hint="default" w:ascii="Arial" w:hAnsi="Arial" w:cs="Arial"/>
                <w:sz w:val="22"/>
                <w:szCs w:val="22"/>
              </w:rPr>
              <w:t>10月</w:t>
            </w:r>
          </w:p>
        </w:tc>
        <w:tc>
          <w:tcPr>
            <w:tcW w:w="544" w:type="pct"/>
            <w:noWrap w:val="0"/>
            <w:vAlign w:val="center"/>
          </w:tcPr>
          <w:p w14:paraId="3B19E15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0.049 </w:t>
            </w:r>
          </w:p>
        </w:tc>
        <w:tc>
          <w:tcPr>
            <w:tcW w:w="363" w:type="pct"/>
            <w:noWrap w:val="0"/>
            <w:vAlign w:val="center"/>
          </w:tcPr>
          <w:p w14:paraId="47ADB8F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0.40</w:t>
            </w:r>
          </w:p>
        </w:tc>
        <w:tc>
          <w:tcPr>
            <w:tcW w:w="382" w:type="pct"/>
            <w:noWrap w:val="0"/>
            <w:vAlign w:val="center"/>
          </w:tcPr>
          <w:p w14:paraId="7C4E679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2.0</w:t>
            </w:r>
          </w:p>
        </w:tc>
        <w:tc>
          <w:tcPr>
            <w:tcW w:w="411" w:type="pct"/>
            <w:noWrap w:val="0"/>
            <w:vAlign w:val="center"/>
          </w:tcPr>
          <w:p w14:paraId="232753F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0.0847 </w:t>
            </w:r>
          </w:p>
        </w:tc>
        <w:tc>
          <w:tcPr>
            <w:tcW w:w="440" w:type="pct"/>
            <w:noWrap w:val="0"/>
            <w:vAlign w:val="center"/>
          </w:tcPr>
          <w:p w14:paraId="183D3FE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0.0750 </w:t>
            </w:r>
          </w:p>
        </w:tc>
        <w:tc>
          <w:tcPr>
            <w:tcW w:w="440" w:type="pct"/>
            <w:noWrap w:val="0"/>
            <w:vAlign w:val="center"/>
          </w:tcPr>
          <w:p w14:paraId="6F1EC7E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0.0640 </w:t>
            </w:r>
          </w:p>
        </w:tc>
        <w:tc>
          <w:tcPr>
            <w:tcW w:w="441" w:type="pct"/>
            <w:noWrap w:val="0"/>
            <w:vAlign w:val="center"/>
          </w:tcPr>
          <w:p w14:paraId="0248D47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0.0462 </w:t>
            </w:r>
          </w:p>
        </w:tc>
        <w:tc>
          <w:tcPr>
            <w:tcW w:w="440" w:type="pct"/>
            <w:noWrap w:val="0"/>
            <w:vAlign w:val="center"/>
          </w:tcPr>
          <w:p w14:paraId="09A9706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0.0322 </w:t>
            </w:r>
          </w:p>
        </w:tc>
        <w:tc>
          <w:tcPr>
            <w:tcW w:w="440" w:type="pct"/>
            <w:noWrap w:val="0"/>
            <w:vAlign w:val="center"/>
          </w:tcPr>
          <w:p w14:paraId="695E652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0.0260 </w:t>
            </w:r>
          </w:p>
        </w:tc>
        <w:tc>
          <w:tcPr>
            <w:tcW w:w="442" w:type="pct"/>
            <w:noWrap w:val="0"/>
            <w:vAlign w:val="center"/>
          </w:tcPr>
          <w:p w14:paraId="63B3664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0.0218 </w:t>
            </w:r>
          </w:p>
        </w:tc>
      </w:tr>
      <w:tr w14:paraId="2483CC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exact"/>
          <w:jc w:val="center"/>
        </w:trPr>
        <w:tc>
          <w:tcPr>
            <w:tcW w:w="657" w:type="pct"/>
            <w:noWrap w:val="0"/>
            <w:vAlign w:val="center"/>
          </w:tcPr>
          <w:p w14:paraId="3D53A49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11</w:t>
            </w:r>
            <w:r>
              <w:rPr>
                <w:rFonts w:hint="eastAsia" w:ascii="Arial" w:hAnsi="Arial" w:cs="Arial"/>
                <w:sz w:val="22"/>
                <w:szCs w:val="22"/>
                <w:lang w:val="en-US" w:eastAsia="zh-CN"/>
              </w:rPr>
              <w:t>~</w:t>
            </w:r>
            <w:r>
              <w:rPr>
                <w:rFonts w:hint="default" w:ascii="Arial" w:hAnsi="Arial" w:cs="Arial"/>
                <w:sz w:val="22"/>
                <w:szCs w:val="22"/>
              </w:rPr>
              <w:t>3月</w:t>
            </w:r>
          </w:p>
        </w:tc>
        <w:tc>
          <w:tcPr>
            <w:tcW w:w="544" w:type="pct"/>
            <w:noWrap w:val="0"/>
            <w:vAlign w:val="center"/>
          </w:tcPr>
          <w:p w14:paraId="597D2E2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0.011 </w:t>
            </w:r>
          </w:p>
        </w:tc>
        <w:tc>
          <w:tcPr>
            <w:tcW w:w="363" w:type="pct"/>
            <w:noWrap w:val="0"/>
            <w:vAlign w:val="center"/>
          </w:tcPr>
          <w:p w14:paraId="41F5642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0.46</w:t>
            </w:r>
          </w:p>
        </w:tc>
        <w:tc>
          <w:tcPr>
            <w:tcW w:w="382" w:type="pct"/>
            <w:noWrap w:val="0"/>
            <w:vAlign w:val="center"/>
          </w:tcPr>
          <w:p w14:paraId="660D838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2.0</w:t>
            </w:r>
          </w:p>
        </w:tc>
        <w:tc>
          <w:tcPr>
            <w:tcW w:w="411" w:type="pct"/>
            <w:noWrap w:val="0"/>
            <w:vAlign w:val="center"/>
          </w:tcPr>
          <w:p w14:paraId="600A09D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0.0209 </w:t>
            </w:r>
          </w:p>
        </w:tc>
        <w:tc>
          <w:tcPr>
            <w:tcW w:w="440" w:type="pct"/>
            <w:noWrap w:val="0"/>
            <w:vAlign w:val="center"/>
          </w:tcPr>
          <w:p w14:paraId="289FD64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0.0182 </w:t>
            </w:r>
          </w:p>
        </w:tc>
        <w:tc>
          <w:tcPr>
            <w:tcW w:w="440" w:type="pct"/>
            <w:noWrap w:val="0"/>
            <w:vAlign w:val="center"/>
          </w:tcPr>
          <w:p w14:paraId="6484238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0.0152 </w:t>
            </w:r>
          </w:p>
        </w:tc>
        <w:tc>
          <w:tcPr>
            <w:tcW w:w="441" w:type="pct"/>
            <w:noWrap w:val="0"/>
            <w:vAlign w:val="center"/>
          </w:tcPr>
          <w:p w14:paraId="0D40FAB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0.0104 </w:t>
            </w:r>
          </w:p>
        </w:tc>
        <w:tc>
          <w:tcPr>
            <w:tcW w:w="440" w:type="pct"/>
            <w:noWrap w:val="0"/>
            <w:vAlign w:val="center"/>
          </w:tcPr>
          <w:p w14:paraId="60467A1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0.0068 </w:t>
            </w:r>
          </w:p>
        </w:tc>
        <w:tc>
          <w:tcPr>
            <w:tcW w:w="440" w:type="pct"/>
            <w:noWrap w:val="0"/>
            <w:vAlign w:val="center"/>
          </w:tcPr>
          <w:p w14:paraId="7329BBB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0.0053 </w:t>
            </w:r>
          </w:p>
        </w:tc>
        <w:tc>
          <w:tcPr>
            <w:tcW w:w="442" w:type="pct"/>
            <w:noWrap w:val="0"/>
            <w:vAlign w:val="center"/>
          </w:tcPr>
          <w:p w14:paraId="788C318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0.0043 </w:t>
            </w:r>
          </w:p>
        </w:tc>
      </w:tr>
    </w:tbl>
    <w:p w14:paraId="6BBF5623">
      <w:pPr>
        <w:pStyle w:val="5"/>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lang w:val="en-US" w:eastAsia="zh-CN"/>
        </w:rPr>
      </w:pPr>
    </w:p>
    <w:p w14:paraId="75A7E0CE">
      <w:pPr>
        <w:keepNext w:val="0"/>
        <w:keepLines w:val="0"/>
        <w:pageBreakBefore w:val="0"/>
        <w:widowControl w:val="0"/>
        <w:kinsoku/>
        <w:wordWrap/>
        <w:overflowPunct/>
        <w:topLinePunct w:val="0"/>
        <w:autoSpaceDE/>
        <w:autoSpaceDN/>
        <w:bidi w:val="0"/>
        <w:adjustRightInd/>
        <w:spacing w:line="460" w:lineRule="exact"/>
        <w:ind w:firstLine="392" w:firstLineChars="150"/>
        <w:textAlignment w:val="auto"/>
        <w:rPr>
          <w:rFonts w:hint="eastAsia" w:ascii="Arial" w:eastAsia="宋体" w:cs="Arial"/>
          <w:b/>
          <w:color w:val="auto"/>
          <w:sz w:val="26"/>
          <w:szCs w:val="26"/>
          <w:lang w:eastAsia="zh-CN"/>
        </w:rPr>
      </w:pPr>
      <w:r>
        <w:rPr>
          <w:rFonts w:hint="eastAsia" w:ascii="Arial" w:cs="Arial"/>
          <w:b/>
          <w:color w:val="auto"/>
          <w:sz w:val="26"/>
          <w:szCs w:val="26"/>
        </w:rPr>
        <w:t>（</w:t>
      </w:r>
      <w:r>
        <w:rPr>
          <w:rFonts w:hint="eastAsia" w:ascii="Arial" w:cs="Arial"/>
          <w:b/>
          <w:color w:val="auto"/>
          <w:sz w:val="26"/>
          <w:szCs w:val="26"/>
          <w:lang w:val="en-US" w:eastAsia="zh-CN"/>
        </w:rPr>
        <w:t>4</w:t>
      </w:r>
      <w:r>
        <w:rPr>
          <w:rFonts w:hint="eastAsia" w:ascii="Arial" w:cs="Arial"/>
          <w:b/>
          <w:color w:val="auto"/>
          <w:sz w:val="26"/>
          <w:szCs w:val="26"/>
        </w:rPr>
        <w:t>）</w:t>
      </w:r>
      <w:r>
        <w:rPr>
          <w:rFonts w:hint="eastAsia" w:ascii="Arial" w:cs="Arial"/>
          <w:b/>
          <w:color w:val="auto"/>
          <w:sz w:val="26"/>
          <w:szCs w:val="26"/>
          <w:lang w:eastAsia="zh-CN"/>
        </w:rPr>
        <w:t>洪水</w:t>
      </w:r>
    </w:p>
    <w:p w14:paraId="651D3644">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lang w:eastAsia="zh-CN"/>
        </w:rPr>
        <w:t>海螺沟水库坝址所在流域海螺沟属典型的山区性小溪沟，洪水具有汇集快，洪水过程陡涨陡落，峰型尖瘦，峰顶持续时间短的特点。由于两河站控制流域面积较大，本工程集雨面积较小，其面积比指数系经验取值，计算成果与实际情况存在一定差异。故直接采用水库坝址处计算成果，即设计洪水总量采用《四川省中小流域暴雨洪水计算手册》中推理公式法计算洪量的公式Wp＝0.1α•HTp•F＝0.1hF推求，计算成果详见表</w:t>
      </w:r>
      <w:r>
        <w:rPr>
          <w:rFonts w:hint="eastAsia" w:ascii="Arial" w:hAnsi="Arial" w:cs="Arial"/>
          <w:sz w:val="26"/>
          <w:szCs w:val="26"/>
          <w:lang w:val="en-US" w:eastAsia="zh-CN"/>
        </w:rPr>
        <w:t>2.2-8所示。</w:t>
      </w:r>
    </w:p>
    <w:p w14:paraId="760E53A5">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2.2-8 海螺沟水库各频率洪水成果一览表</w:t>
      </w:r>
    </w:p>
    <w:tbl>
      <w:tblPr>
        <w:tblStyle w:val="7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35"/>
        <w:gridCol w:w="1331"/>
        <w:gridCol w:w="1255"/>
        <w:gridCol w:w="1255"/>
        <w:gridCol w:w="1488"/>
        <w:gridCol w:w="1490"/>
      </w:tblGrid>
      <w:tr w14:paraId="75D8EB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vMerge w:val="restart"/>
            <w:noWrap w:val="0"/>
            <w:vAlign w:val="center"/>
          </w:tcPr>
          <w:p w14:paraId="35AD95F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分期</w:t>
            </w:r>
          </w:p>
        </w:tc>
        <w:tc>
          <w:tcPr>
            <w:tcW w:w="3766" w:type="pct"/>
            <w:gridSpan w:val="5"/>
            <w:noWrap w:val="0"/>
            <w:vAlign w:val="center"/>
          </w:tcPr>
          <w:p w14:paraId="37B6DB3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Arial" w:hAnsi="Arial" w:eastAsia="宋体" w:cs="Arial"/>
                <w:sz w:val="22"/>
                <w:szCs w:val="22"/>
                <w:lang w:eastAsia="zh-CN"/>
              </w:rPr>
            </w:pPr>
            <w:r>
              <w:rPr>
                <w:rFonts w:hint="default" w:ascii="Arial" w:hAnsi="Arial" w:cs="Arial"/>
                <w:sz w:val="22"/>
                <w:szCs w:val="22"/>
              </w:rPr>
              <w:t>各频率设计值</w:t>
            </w:r>
            <w:r>
              <w:rPr>
                <w:rFonts w:hint="eastAsia" w:ascii="Arial" w:hAnsi="Arial" w:cs="Arial"/>
                <w:sz w:val="22"/>
                <w:szCs w:val="22"/>
                <w:lang w:eastAsia="zh-CN"/>
              </w:rPr>
              <w:t>（</w:t>
            </w: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r>
              <w:rPr>
                <w:rFonts w:hint="eastAsia" w:ascii="Arial" w:hAnsi="Arial" w:cs="Arial"/>
                <w:sz w:val="22"/>
                <w:szCs w:val="22"/>
                <w:lang w:eastAsia="zh-CN"/>
              </w:rPr>
              <w:t>）</w:t>
            </w:r>
          </w:p>
        </w:tc>
      </w:tr>
      <w:tr w14:paraId="01FBDA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vMerge w:val="continue"/>
            <w:noWrap w:val="0"/>
            <w:vAlign w:val="center"/>
          </w:tcPr>
          <w:p w14:paraId="4FF6C7E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735" w:type="pct"/>
            <w:noWrap w:val="0"/>
            <w:vAlign w:val="center"/>
          </w:tcPr>
          <w:p w14:paraId="17E1038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P=5.0%</w:t>
            </w:r>
          </w:p>
        </w:tc>
        <w:tc>
          <w:tcPr>
            <w:tcW w:w="693" w:type="pct"/>
            <w:noWrap w:val="0"/>
            <w:vAlign w:val="center"/>
          </w:tcPr>
          <w:p w14:paraId="6BE8C77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P=10%</w:t>
            </w:r>
          </w:p>
        </w:tc>
        <w:tc>
          <w:tcPr>
            <w:tcW w:w="693" w:type="pct"/>
            <w:noWrap w:val="0"/>
            <w:vAlign w:val="center"/>
          </w:tcPr>
          <w:p w14:paraId="1C52A28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P=20%</w:t>
            </w:r>
          </w:p>
        </w:tc>
        <w:tc>
          <w:tcPr>
            <w:tcW w:w="822" w:type="pct"/>
            <w:noWrap w:val="0"/>
            <w:vAlign w:val="center"/>
          </w:tcPr>
          <w:p w14:paraId="60C90CC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P=33.3%</w:t>
            </w:r>
          </w:p>
        </w:tc>
        <w:tc>
          <w:tcPr>
            <w:tcW w:w="823" w:type="pct"/>
            <w:noWrap w:val="0"/>
            <w:vAlign w:val="center"/>
          </w:tcPr>
          <w:p w14:paraId="73C8BEB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P=50.0%</w:t>
            </w:r>
          </w:p>
        </w:tc>
      </w:tr>
      <w:tr w14:paraId="43D7D2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noWrap w:val="0"/>
            <w:vAlign w:val="center"/>
          </w:tcPr>
          <w:p w14:paraId="4C1B48C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2月</w:t>
            </w:r>
          </w:p>
        </w:tc>
        <w:tc>
          <w:tcPr>
            <w:tcW w:w="735" w:type="pct"/>
            <w:noWrap w:val="0"/>
            <w:vAlign w:val="center"/>
          </w:tcPr>
          <w:p w14:paraId="641D5AF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kern w:val="0"/>
                <w:sz w:val="22"/>
                <w:szCs w:val="22"/>
              </w:rPr>
            </w:pPr>
            <w:r>
              <w:rPr>
                <w:rFonts w:hint="default" w:ascii="Arial" w:hAnsi="Arial" w:cs="Arial"/>
                <w:sz w:val="22"/>
                <w:szCs w:val="22"/>
              </w:rPr>
              <w:t>0.36</w:t>
            </w:r>
          </w:p>
        </w:tc>
        <w:tc>
          <w:tcPr>
            <w:tcW w:w="693" w:type="pct"/>
            <w:noWrap w:val="0"/>
            <w:vAlign w:val="center"/>
          </w:tcPr>
          <w:p w14:paraId="533A27B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0.26</w:t>
            </w:r>
          </w:p>
        </w:tc>
        <w:tc>
          <w:tcPr>
            <w:tcW w:w="693" w:type="pct"/>
            <w:noWrap w:val="0"/>
            <w:vAlign w:val="center"/>
          </w:tcPr>
          <w:p w14:paraId="2FEEAF4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0.16</w:t>
            </w:r>
          </w:p>
        </w:tc>
        <w:tc>
          <w:tcPr>
            <w:tcW w:w="822" w:type="pct"/>
            <w:noWrap w:val="0"/>
            <w:vAlign w:val="center"/>
          </w:tcPr>
          <w:p w14:paraId="542A45E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0.10</w:t>
            </w:r>
          </w:p>
        </w:tc>
        <w:tc>
          <w:tcPr>
            <w:tcW w:w="823" w:type="pct"/>
            <w:noWrap w:val="0"/>
            <w:vAlign w:val="center"/>
          </w:tcPr>
          <w:p w14:paraId="6EB2663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0.06</w:t>
            </w:r>
          </w:p>
        </w:tc>
      </w:tr>
      <w:tr w14:paraId="11E5C4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noWrap w:val="0"/>
            <w:vAlign w:val="center"/>
          </w:tcPr>
          <w:p w14:paraId="55214F0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3月</w:t>
            </w:r>
          </w:p>
        </w:tc>
        <w:tc>
          <w:tcPr>
            <w:tcW w:w="735" w:type="pct"/>
            <w:noWrap w:val="0"/>
            <w:vAlign w:val="center"/>
          </w:tcPr>
          <w:p w14:paraId="7B390A0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1.65</w:t>
            </w:r>
          </w:p>
        </w:tc>
        <w:tc>
          <w:tcPr>
            <w:tcW w:w="693" w:type="pct"/>
            <w:noWrap w:val="0"/>
            <w:vAlign w:val="center"/>
          </w:tcPr>
          <w:p w14:paraId="376DA37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1.06</w:t>
            </w:r>
          </w:p>
        </w:tc>
        <w:tc>
          <w:tcPr>
            <w:tcW w:w="693" w:type="pct"/>
            <w:noWrap w:val="0"/>
            <w:vAlign w:val="center"/>
          </w:tcPr>
          <w:p w14:paraId="113BBE2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0.55</w:t>
            </w:r>
          </w:p>
        </w:tc>
        <w:tc>
          <w:tcPr>
            <w:tcW w:w="822" w:type="pct"/>
            <w:noWrap w:val="0"/>
            <w:vAlign w:val="center"/>
          </w:tcPr>
          <w:p w14:paraId="3BEDBC4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0.28</w:t>
            </w:r>
          </w:p>
        </w:tc>
        <w:tc>
          <w:tcPr>
            <w:tcW w:w="823" w:type="pct"/>
            <w:noWrap w:val="0"/>
            <w:vAlign w:val="center"/>
          </w:tcPr>
          <w:p w14:paraId="2F6BA67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0.14</w:t>
            </w:r>
          </w:p>
        </w:tc>
      </w:tr>
      <w:tr w14:paraId="5A85D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noWrap w:val="0"/>
            <w:vAlign w:val="center"/>
          </w:tcPr>
          <w:p w14:paraId="79BBCBC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4月</w:t>
            </w:r>
          </w:p>
        </w:tc>
        <w:tc>
          <w:tcPr>
            <w:tcW w:w="735" w:type="pct"/>
            <w:noWrap w:val="0"/>
            <w:vAlign w:val="center"/>
          </w:tcPr>
          <w:p w14:paraId="678DB4F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6.65</w:t>
            </w:r>
          </w:p>
        </w:tc>
        <w:tc>
          <w:tcPr>
            <w:tcW w:w="693" w:type="pct"/>
            <w:noWrap w:val="0"/>
            <w:vAlign w:val="center"/>
          </w:tcPr>
          <w:p w14:paraId="3CB0AE7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5.09</w:t>
            </w:r>
          </w:p>
        </w:tc>
        <w:tc>
          <w:tcPr>
            <w:tcW w:w="693" w:type="pct"/>
            <w:noWrap w:val="0"/>
            <w:vAlign w:val="center"/>
          </w:tcPr>
          <w:p w14:paraId="6238829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3.54</w:t>
            </w:r>
          </w:p>
        </w:tc>
        <w:tc>
          <w:tcPr>
            <w:tcW w:w="822" w:type="pct"/>
            <w:noWrap w:val="0"/>
            <w:vAlign w:val="center"/>
          </w:tcPr>
          <w:p w14:paraId="6EE7DD8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2.39</w:t>
            </w:r>
          </w:p>
        </w:tc>
        <w:tc>
          <w:tcPr>
            <w:tcW w:w="823" w:type="pct"/>
            <w:noWrap w:val="0"/>
            <w:vAlign w:val="center"/>
          </w:tcPr>
          <w:p w14:paraId="7289D9A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1.49</w:t>
            </w:r>
          </w:p>
        </w:tc>
      </w:tr>
      <w:tr w14:paraId="6DDAD1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noWrap w:val="0"/>
            <w:vAlign w:val="center"/>
          </w:tcPr>
          <w:p w14:paraId="70E47B4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10月</w:t>
            </w:r>
          </w:p>
        </w:tc>
        <w:tc>
          <w:tcPr>
            <w:tcW w:w="735" w:type="pct"/>
            <w:noWrap w:val="0"/>
            <w:vAlign w:val="center"/>
          </w:tcPr>
          <w:p w14:paraId="0EABB72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4.91</w:t>
            </w:r>
          </w:p>
        </w:tc>
        <w:tc>
          <w:tcPr>
            <w:tcW w:w="693" w:type="pct"/>
            <w:noWrap w:val="0"/>
            <w:vAlign w:val="center"/>
          </w:tcPr>
          <w:p w14:paraId="64F50AF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3.67</w:t>
            </w:r>
          </w:p>
        </w:tc>
        <w:tc>
          <w:tcPr>
            <w:tcW w:w="693" w:type="pct"/>
            <w:noWrap w:val="0"/>
            <w:vAlign w:val="center"/>
          </w:tcPr>
          <w:p w14:paraId="0778AED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2.47</w:t>
            </w:r>
          </w:p>
        </w:tc>
        <w:tc>
          <w:tcPr>
            <w:tcW w:w="822" w:type="pct"/>
            <w:noWrap w:val="0"/>
            <w:vAlign w:val="center"/>
          </w:tcPr>
          <w:p w14:paraId="5845B22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1.65</w:t>
            </w:r>
          </w:p>
        </w:tc>
        <w:tc>
          <w:tcPr>
            <w:tcW w:w="823" w:type="pct"/>
            <w:noWrap w:val="0"/>
            <w:vAlign w:val="center"/>
          </w:tcPr>
          <w:p w14:paraId="7ECCC20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1.04</w:t>
            </w:r>
          </w:p>
        </w:tc>
      </w:tr>
      <w:tr w14:paraId="37B99D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noWrap w:val="0"/>
            <w:vAlign w:val="center"/>
          </w:tcPr>
          <w:p w14:paraId="1670231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11月</w:t>
            </w:r>
          </w:p>
        </w:tc>
        <w:tc>
          <w:tcPr>
            <w:tcW w:w="735" w:type="pct"/>
            <w:noWrap w:val="0"/>
            <w:vAlign w:val="center"/>
          </w:tcPr>
          <w:p w14:paraId="151A449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3.31</w:t>
            </w:r>
          </w:p>
        </w:tc>
        <w:tc>
          <w:tcPr>
            <w:tcW w:w="693" w:type="pct"/>
            <w:noWrap w:val="0"/>
            <w:vAlign w:val="center"/>
          </w:tcPr>
          <w:p w14:paraId="3C44E5E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2.17</w:t>
            </w:r>
          </w:p>
        </w:tc>
        <w:tc>
          <w:tcPr>
            <w:tcW w:w="693" w:type="pct"/>
            <w:noWrap w:val="0"/>
            <w:vAlign w:val="center"/>
          </w:tcPr>
          <w:p w14:paraId="5CABBA5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1.19</w:t>
            </w:r>
          </w:p>
        </w:tc>
        <w:tc>
          <w:tcPr>
            <w:tcW w:w="822" w:type="pct"/>
            <w:noWrap w:val="0"/>
            <w:vAlign w:val="center"/>
          </w:tcPr>
          <w:p w14:paraId="075E99C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0.63</w:t>
            </w:r>
          </w:p>
        </w:tc>
        <w:tc>
          <w:tcPr>
            <w:tcW w:w="823" w:type="pct"/>
            <w:noWrap w:val="0"/>
            <w:vAlign w:val="center"/>
          </w:tcPr>
          <w:p w14:paraId="63AFE27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0.47</w:t>
            </w:r>
          </w:p>
        </w:tc>
      </w:tr>
      <w:tr w14:paraId="154B8D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noWrap w:val="0"/>
            <w:vAlign w:val="center"/>
          </w:tcPr>
          <w:p w14:paraId="6FD33DB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11月～次年3月</w:t>
            </w:r>
          </w:p>
        </w:tc>
        <w:tc>
          <w:tcPr>
            <w:tcW w:w="735" w:type="pct"/>
            <w:noWrap w:val="0"/>
            <w:vAlign w:val="center"/>
          </w:tcPr>
          <w:p w14:paraId="14ED0A6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3.66</w:t>
            </w:r>
          </w:p>
        </w:tc>
        <w:tc>
          <w:tcPr>
            <w:tcW w:w="693" w:type="pct"/>
            <w:noWrap w:val="0"/>
            <w:vAlign w:val="center"/>
          </w:tcPr>
          <w:p w14:paraId="38D707F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2.59</w:t>
            </w:r>
          </w:p>
        </w:tc>
        <w:tc>
          <w:tcPr>
            <w:tcW w:w="693" w:type="pct"/>
            <w:noWrap w:val="0"/>
            <w:vAlign w:val="center"/>
          </w:tcPr>
          <w:p w14:paraId="6AB499F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1.61</w:t>
            </w:r>
          </w:p>
        </w:tc>
        <w:tc>
          <w:tcPr>
            <w:tcW w:w="822" w:type="pct"/>
            <w:noWrap w:val="0"/>
            <w:vAlign w:val="center"/>
          </w:tcPr>
          <w:p w14:paraId="1943D80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0.98</w:t>
            </w:r>
          </w:p>
        </w:tc>
        <w:tc>
          <w:tcPr>
            <w:tcW w:w="823" w:type="pct"/>
            <w:noWrap w:val="0"/>
            <w:vAlign w:val="center"/>
          </w:tcPr>
          <w:p w14:paraId="4854DAD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0.56</w:t>
            </w:r>
          </w:p>
        </w:tc>
      </w:tr>
      <w:tr w14:paraId="55D3F2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noWrap w:val="0"/>
            <w:vAlign w:val="center"/>
          </w:tcPr>
          <w:p w14:paraId="770A576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11月～次年4月</w:t>
            </w:r>
          </w:p>
        </w:tc>
        <w:tc>
          <w:tcPr>
            <w:tcW w:w="735" w:type="pct"/>
            <w:noWrap w:val="0"/>
            <w:vAlign w:val="center"/>
          </w:tcPr>
          <w:p w14:paraId="09091AB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7.84</w:t>
            </w:r>
          </w:p>
        </w:tc>
        <w:tc>
          <w:tcPr>
            <w:tcW w:w="693" w:type="pct"/>
            <w:noWrap w:val="0"/>
            <w:vAlign w:val="center"/>
          </w:tcPr>
          <w:p w14:paraId="16493F7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5.88</w:t>
            </w:r>
          </w:p>
        </w:tc>
        <w:tc>
          <w:tcPr>
            <w:tcW w:w="693" w:type="pct"/>
            <w:noWrap w:val="0"/>
            <w:vAlign w:val="center"/>
          </w:tcPr>
          <w:p w14:paraId="21CC913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3.95</w:t>
            </w:r>
          </w:p>
        </w:tc>
        <w:tc>
          <w:tcPr>
            <w:tcW w:w="822" w:type="pct"/>
            <w:noWrap w:val="0"/>
            <w:vAlign w:val="center"/>
          </w:tcPr>
          <w:p w14:paraId="2152A88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2.63</w:t>
            </w:r>
          </w:p>
        </w:tc>
        <w:tc>
          <w:tcPr>
            <w:tcW w:w="823" w:type="pct"/>
            <w:noWrap w:val="0"/>
            <w:vAlign w:val="center"/>
          </w:tcPr>
          <w:p w14:paraId="3EAFA88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1.67</w:t>
            </w:r>
          </w:p>
        </w:tc>
      </w:tr>
      <w:tr w14:paraId="6079EA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noWrap w:val="0"/>
            <w:vAlign w:val="center"/>
          </w:tcPr>
          <w:p w14:paraId="56ED624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10月～次年3月</w:t>
            </w:r>
          </w:p>
        </w:tc>
        <w:tc>
          <w:tcPr>
            <w:tcW w:w="735" w:type="pct"/>
            <w:noWrap w:val="0"/>
            <w:vAlign w:val="center"/>
          </w:tcPr>
          <w:p w14:paraId="43F4409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5.38</w:t>
            </w:r>
          </w:p>
        </w:tc>
        <w:tc>
          <w:tcPr>
            <w:tcW w:w="693" w:type="pct"/>
            <w:noWrap w:val="0"/>
            <w:vAlign w:val="center"/>
          </w:tcPr>
          <w:p w14:paraId="5E1AE37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4.23</w:t>
            </w:r>
          </w:p>
        </w:tc>
        <w:tc>
          <w:tcPr>
            <w:tcW w:w="693" w:type="pct"/>
            <w:noWrap w:val="0"/>
            <w:vAlign w:val="center"/>
          </w:tcPr>
          <w:p w14:paraId="0E78635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3.08</w:t>
            </w:r>
          </w:p>
        </w:tc>
        <w:tc>
          <w:tcPr>
            <w:tcW w:w="822" w:type="pct"/>
            <w:noWrap w:val="0"/>
            <w:vAlign w:val="center"/>
          </w:tcPr>
          <w:p w14:paraId="7082C8A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2.23</w:t>
            </w:r>
          </w:p>
        </w:tc>
        <w:tc>
          <w:tcPr>
            <w:tcW w:w="823" w:type="pct"/>
            <w:noWrap w:val="0"/>
            <w:vAlign w:val="center"/>
          </w:tcPr>
          <w:p w14:paraId="13BA2DD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1.56</w:t>
            </w:r>
          </w:p>
        </w:tc>
      </w:tr>
      <w:tr w14:paraId="1A9EAF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34" w:type="pct"/>
            <w:noWrap w:val="0"/>
            <w:vAlign w:val="center"/>
          </w:tcPr>
          <w:p w14:paraId="60C3D8B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10月～次年4月</w:t>
            </w:r>
          </w:p>
        </w:tc>
        <w:tc>
          <w:tcPr>
            <w:tcW w:w="735" w:type="pct"/>
            <w:noWrap w:val="0"/>
            <w:vAlign w:val="center"/>
          </w:tcPr>
          <w:p w14:paraId="003EF8A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9.97</w:t>
            </w:r>
          </w:p>
        </w:tc>
        <w:tc>
          <w:tcPr>
            <w:tcW w:w="693" w:type="pct"/>
            <w:noWrap w:val="0"/>
            <w:vAlign w:val="center"/>
          </w:tcPr>
          <w:p w14:paraId="158CA8D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7.46</w:t>
            </w:r>
          </w:p>
        </w:tc>
        <w:tc>
          <w:tcPr>
            <w:tcW w:w="693" w:type="pct"/>
            <w:noWrap w:val="0"/>
            <w:vAlign w:val="center"/>
          </w:tcPr>
          <w:p w14:paraId="2E92A62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5.08</w:t>
            </w:r>
          </w:p>
        </w:tc>
        <w:tc>
          <w:tcPr>
            <w:tcW w:w="822" w:type="pct"/>
            <w:noWrap w:val="0"/>
            <w:vAlign w:val="center"/>
          </w:tcPr>
          <w:p w14:paraId="16110BA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3.48</w:t>
            </w:r>
          </w:p>
        </w:tc>
        <w:tc>
          <w:tcPr>
            <w:tcW w:w="823" w:type="pct"/>
            <w:noWrap w:val="0"/>
            <w:vAlign w:val="center"/>
          </w:tcPr>
          <w:p w14:paraId="3AC18F9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2.35</w:t>
            </w:r>
          </w:p>
        </w:tc>
      </w:tr>
    </w:tbl>
    <w:p w14:paraId="04B3B24D">
      <w:pPr>
        <w:pStyle w:val="5"/>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lang w:val="en-US" w:eastAsia="zh-CN"/>
        </w:rPr>
      </w:pPr>
    </w:p>
    <w:p w14:paraId="486D9984">
      <w:pPr>
        <w:keepNext w:val="0"/>
        <w:keepLines w:val="0"/>
        <w:pageBreakBefore w:val="0"/>
        <w:widowControl w:val="0"/>
        <w:kinsoku/>
        <w:wordWrap/>
        <w:overflowPunct/>
        <w:topLinePunct w:val="0"/>
        <w:autoSpaceDE/>
        <w:autoSpaceDN/>
        <w:bidi w:val="0"/>
        <w:adjustRightInd/>
        <w:spacing w:line="460" w:lineRule="exact"/>
        <w:ind w:firstLine="392" w:firstLineChars="150"/>
        <w:textAlignment w:val="auto"/>
        <w:rPr>
          <w:rFonts w:hint="eastAsia" w:ascii="Arial" w:eastAsia="宋体" w:cs="Arial"/>
          <w:b/>
          <w:color w:val="auto"/>
          <w:sz w:val="26"/>
          <w:szCs w:val="26"/>
          <w:lang w:eastAsia="zh-CN"/>
        </w:rPr>
      </w:pPr>
      <w:r>
        <w:rPr>
          <w:rFonts w:hint="eastAsia" w:ascii="Arial" w:cs="Arial"/>
          <w:b/>
          <w:color w:val="auto"/>
          <w:sz w:val="26"/>
          <w:szCs w:val="26"/>
        </w:rPr>
        <w:t>（</w:t>
      </w:r>
      <w:r>
        <w:rPr>
          <w:rFonts w:hint="eastAsia" w:ascii="Arial" w:cs="Arial"/>
          <w:b/>
          <w:color w:val="auto"/>
          <w:sz w:val="26"/>
          <w:szCs w:val="26"/>
          <w:lang w:val="en-US" w:eastAsia="zh-CN"/>
        </w:rPr>
        <w:t>5</w:t>
      </w:r>
      <w:r>
        <w:rPr>
          <w:rFonts w:hint="eastAsia" w:ascii="Arial" w:cs="Arial"/>
          <w:b/>
          <w:color w:val="auto"/>
          <w:sz w:val="26"/>
          <w:szCs w:val="26"/>
        </w:rPr>
        <w:t>）</w:t>
      </w:r>
      <w:r>
        <w:rPr>
          <w:rFonts w:hint="eastAsia" w:ascii="Arial" w:cs="Arial"/>
          <w:b/>
          <w:color w:val="auto"/>
          <w:sz w:val="26"/>
          <w:szCs w:val="26"/>
          <w:lang w:eastAsia="zh-CN"/>
        </w:rPr>
        <w:t>泥沙</w:t>
      </w:r>
    </w:p>
    <w:p w14:paraId="17B9958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lang w:eastAsia="zh-CN"/>
        </w:rPr>
        <w:t>海螺沟水库所在流域无实测泥沙资料，故采用查图法推求坝址以上悬移质年输沙量，根据《四川省水文手册》（1979年版）查得工程流域所在地多年平均悬移质输沙模数为300t/km</w:t>
      </w:r>
      <w:r>
        <w:rPr>
          <w:rFonts w:hint="eastAsia" w:ascii="Arial" w:hAnsi="Arial" w:cs="Arial"/>
          <w:sz w:val="26"/>
          <w:szCs w:val="26"/>
          <w:vertAlign w:val="superscript"/>
          <w:lang w:eastAsia="zh-CN"/>
        </w:rPr>
        <w:t>2</w:t>
      </w:r>
      <w:r>
        <w:rPr>
          <w:rFonts w:hint="eastAsia" w:ascii="Arial" w:hAnsi="Arial" w:cs="Arial"/>
          <w:sz w:val="26"/>
          <w:szCs w:val="26"/>
          <w:lang w:eastAsia="zh-CN"/>
        </w:rPr>
        <w:t>，水库坝址控制流域面积为2.04km</w:t>
      </w:r>
      <w:r>
        <w:rPr>
          <w:rFonts w:hint="eastAsia" w:ascii="Arial" w:hAnsi="Arial" w:cs="Arial"/>
          <w:sz w:val="26"/>
          <w:szCs w:val="26"/>
          <w:vertAlign w:val="superscript"/>
          <w:lang w:eastAsia="zh-CN"/>
        </w:rPr>
        <w:t>2</w:t>
      </w:r>
      <w:r>
        <w:rPr>
          <w:rFonts w:hint="eastAsia" w:ascii="Arial" w:hAnsi="Arial" w:cs="Arial"/>
          <w:sz w:val="26"/>
          <w:szCs w:val="26"/>
          <w:lang w:eastAsia="zh-CN"/>
        </w:rPr>
        <w:t>，计算得坝址多年平均悬移质输沙量为612t，根据设计流域的地质、地貌等实际情况，推移质来沙量按悬移质输沙量的15</w:t>
      </w:r>
      <w:r>
        <w:rPr>
          <w:rFonts w:hint="eastAsia" w:ascii="Arial" w:hAnsi="Arial" w:cs="Arial"/>
          <w:sz w:val="26"/>
          <w:szCs w:val="26"/>
          <w:lang w:val="en-US" w:eastAsia="zh-CN"/>
        </w:rPr>
        <w:t>%</w:t>
      </w:r>
      <w:r>
        <w:rPr>
          <w:rFonts w:hint="eastAsia" w:ascii="Arial" w:hAnsi="Arial" w:cs="Arial"/>
          <w:sz w:val="26"/>
          <w:szCs w:val="26"/>
          <w:lang w:eastAsia="zh-CN"/>
        </w:rPr>
        <w:t>估算，据此计算坝址多年平均推移质输沙量为91.8t。因此海螺沟水库坝址多年平均输沙总量为703.8t。计算成果详见表</w:t>
      </w:r>
      <w:r>
        <w:rPr>
          <w:rFonts w:hint="eastAsia" w:ascii="Arial" w:hAnsi="Arial" w:cs="Arial"/>
          <w:sz w:val="26"/>
          <w:szCs w:val="26"/>
          <w:lang w:val="en-US" w:eastAsia="zh-CN"/>
        </w:rPr>
        <w:t>2.2-9所示。</w:t>
      </w:r>
    </w:p>
    <w:p w14:paraId="1EA146B5">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2.2-9 海螺沟水库坝址处多年平均输沙量成果一览表</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22"/>
        <w:gridCol w:w="1621"/>
        <w:gridCol w:w="1915"/>
        <w:gridCol w:w="1915"/>
        <w:gridCol w:w="1913"/>
      </w:tblGrid>
      <w:tr w14:paraId="23131E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922" w:type="dxa"/>
            <w:vMerge w:val="restart"/>
            <w:noWrap w:val="0"/>
            <w:vAlign w:val="center"/>
          </w:tcPr>
          <w:p w14:paraId="4E0AC87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控制断面位置</w:t>
            </w:r>
          </w:p>
        </w:tc>
        <w:tc>
          <w:tcPr>
            <w:tcW w:w="1621" w:type="dxa"/>
            <w:vMerge w:val="restart"/>
            <w:noWrap w:val="0"/>
            <w:vAlign w:val="center"/>
          </w:tcPr>
          <w:p w14:paraId="6C3EF2B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集水面积</w:t>
            </w:r>
          </w:p>
          <w:p w14:paraId="3497784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（km²）</w:t>
            </w:r>
          </w:p>
        </w:tc>
        <w:tc>
          <w:tcPr>
            <w:tcW w:w="5743" w:type="dxa"/>
            <w:gridSpan w:val="3"/>
            <w:noWrap w:val="0"/>
            <w:vAlign w:val="center"/>
          </w:tcPr>
          <w:p w14:paraId="209D5CE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多年平均输沙量（t）</w:t>
            </w:r>
          </w:p>
        </w:tc>
      </w:tr>
      <w:tr w14:paraId="5D7ACB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922" w:type="dxa"/>
            <w:vMerge w:val="continue"/>
            <w:noWrap w:val="0"/>
            <w:vAlign w:val="center"/>
          </w:tcPr>
          <w:p w14:paraId="3BFE4E3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1621" w:type="dxa"/>
            <w:vMerge w:val="continue"/>
            <w:noWrap w:val="0"/>
            <w:vAlign w:val="center"/>
          </w:tcPr>
          <w:p w14:paraId="238EAC1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1915" w:type="dxa"/>
            <w:noWrap w:val="0"/>
            <w:vAlign w:val="center"/>
          </w:tcPr>
          <w:p w14:paraId="4D9744C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悬移质</w:t>
            </w:r>
          </w:p>
        </w:tc>
        <w:tc>
          <w:tcPr>
            <w:tcW w:w="1915" w:type="dxa"/>
            <w:noWrap w:val="0"/>
            <w:vAlign w:val="center"/>
          </w:tcPr>
          <w:p w14:paraId="22E97FE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推移质</w:t>
            </w:r>
          </w:p>
        </w:tc>
        <w:tc>
          <w:tcPr>
            <w:tcW w:w="1913" w:type="dxa"/>
            <w:noWrap w:val="0"/>
            <w:vAlign w:val="center"/>
          </w:tcPr>
          <w:p w14:paraId="482D20E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总沙量</w:t>
            </w:r>
          </w:p>
        </w:tc>
      </w:tr>
      <w:tr w14:paraId="323D7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922" w:type="dxa"/>
            <w:noWrap w:val="0"/>
            <w:vAlign w:val="center"/>
          </w:tcPr>
          <w:p w14:paraId="1EF5921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海螺沟水库坝址</w:t>
            </w:r>
          </w:p>
        </w:tc>
        <w:tc>
          <w:tcPr>
            <w:tcW w:w="1621" w:type="dxa"/>
            <w:noWrap w:val="0"/>
            <w:vAlign w:val="center"/>
          </w:tcPr>
          <w:p w14:paraId="1146832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napToGrid w:val="0"/>
                <w:sz w:val="22"/>
                <w:szCs w:val="22"/>
              </w:rPr>
              <w:t>2.04</w:t>
            </w:r>
          </w:p>
        </w:tc>
        <w:tc>
          <w:tcPr>
            <w:tcW w:w="1915" w:type="dxa"/>
            <w:noWrap w:val="0"/>
            <w:vAlign w:val="center"/>
          </w:tcPr>
          <w:p w14:paraId="509C3D1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kern w:val="0"/>
                <w:sz w:val="22"/>
                <w:szCs w:val="22"/>
              </w:rPr>
            </w:pPr>
            <w:r>
              <w:rPr>
                <w:rFonts w:hint="default" w:ascii="Arial" w:hAnsi="Arial" w:cs="Arial"/>
                <w:sz w:val="22"/>
                <w:szCs w:val="22"/>
              </w:rPr>
              <w:t>612.00</w:t>
            </w:r>
          </w:p>
        </w:tc>
        <w:tc>
          <w:tcPr>
            <w:tcW w:w="1915" w:type="dxa"/>
            <w:noWrap w:val="0"/>
            <w:vAlign w:val="center"/>
          </w:tcPr>
          <w:p w14:paraId="349CB00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91.80</w:t>
            </w:r>
          </w:p>
        </w:tc>
        <w:tc>
          <w:tcPr>
            <w:tcW w:w="1913" w:type="dxa"/>
            <w:noWrap w:val="0"/>
            <w:vAlign w:val="center"/>
          </w:tcPr>
          <w:p w14:paraId="2E671D0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703.80</w:t>
            </w:r>
          </w:p>
        </w:tc>
      </w:tr>
    </w:tbl>
    <w:p w14:paraId="0921CEFE">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eastAsia" w:ascii="Arial" w:hAnsi="Arial" w:cs="Arial"/>
          <w:sz w:val="26"/>
          <w:szCs w:val="26"/>
          <w:lang w:eastAsia="zh-CN"/>
        </w:rPr>
      </w:pPr>
    </w:p>
    <w:p w14:paraId="2AF6F494">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highlight w:val="none"/>
          <w:lang w:val="en-US" w:eastAsia="zh-CN" w:bidi="ar-SA"/>
        </w:rPr>
      </w:pPr>
      <w:r>
        <w:rPr>
          <w:rFonts w:hint="eastAsia" w:ascii="Arial" w:hAnsi="Arial" w:cs="Arial"/>
          <w:b/>
          <w:bCs/>
          <w:color w:val="auto"/>
          <w:kern w:val="2"/>
          <w:sz w:val="26"/>
          <w:szCs w:val="26"/>
          <w:highlight w:val="none"/>
          <w:lang w:val="en-US" w:eastAsia="zh-CN" w:bidi="ar-SA"/>
        </w:rPr>
        <w:t>2.2.8施工组织及布置</w:t>
      </w:r>
    </w:p>
    <w:p w14:paraId="6BE4DAA4">
      <w:pPr>
        <w:keepNext w:val="0"/>
        <w:keepLines w:val="0"/>
        <w:pageBreakBefore w:val="0"/>
        <w:widowControl w:val="0"/>
        <w:kinsoku/>
        <w:wordWrap/>
        <w:overflowPunct/>
        <w:topLinePunct w:val="0"/>
        <w:autoSpaceDE/>
        <w:autoSpaceDN/>
        <w:bidi w:val="0"/>
        <w:adjustRightInd/>
        <w:spacing w:line="460" w:lineRule="exact"/>
        <w:ind w:firstLine="392" w:firstLineChars="150"/>
        <w:textAlignment w:val="auto"/>
        <w:rPr>
          <w:rFonts w:hint="default" w:ascii="Arial" w:cs="Arial"/>
          <w:b/>
          <w:color w:val="auto"/>
          <w:sz w:val="26"/>
          <w:szCs w:val="26"/>
          <w:lang w:val="en-US" w:eastAsia="zh-CN"/>
        </w:rPr>
      </w:pPr>
      <w:r>
        <w:rPr>
          <w:rFonts w:hint="eastAsia" w:ascii="Arial" w:cs="Arial"/>
          <w:b/>
          <w:color w:val="auto"/>
          <w:sz w:val="26"/>
          <w:szCs w:val="26"/>
          <w:lang w:eastAsia="zh-CN"/>
        </w:rPr>
        <w:t>（</w:t>
      </w:r>
      <w:r>
        <w:rPr>
          <w:rFonts w:hint="eastAsia" w:ascii="Arial" w:cs="Arial"/>
          <w:b/>
          <w:color w:val="auto"/>
          <w:sz w:val="26"/>
          <w:szCs w:val="26"/>
          <w:lang w:val="en-US" w:eastAsia="zh-CN"/>
        </w:rPr>
        <w:t>1）施工工期</w:t>
      </w:r>
    </w:p>
    <w:p w14:paraId="1647D6A8">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cs="Arial"/>
          <w:bCs/>
          <w:sz w:val="26"/>
        </w:rPr>
      </w:pPr>
      <w:r>
        <w:rPr>
          <w:rFonts w:hint="eastAsia" w:ascii="Arial" w:hAnsi="Arial" w:cs="Arial"/>
          <w:bCs/>
          <w:sz w:val="26"/>
        </w:rPr>
        <w:t>项目预计</w:t>
      </w:r>
      <w:r>
        <w:rPr>
          <w:rFonts w:ascii="Arial" w:hAnsi="Arial" w:cs="Arial"/>
          <w:bCs/>
          <w:sz w:val="26"/>
        </w:rPr>
        <w:t>20</w:t>
      </w:r>
      <w:r>
        <w:rPr>
          <w:rFonts w:hint="eastAsia" w:ascii="Arial" w:hAnsi="Arial" w:cs="Arial"/>
          <w:bCs/>
          <w:sz w:val="26"/>
          <w:lang w:val="en-US" w:eastAsia="zh-CN"/>
        </w:rPr>
        <w:t>25</w:t>
      </w:r>
      <w:r>
        <w:rPr>
          <w:rFonts w:hint="eastAsia" w:ascii="Arial" w:hAnsi="Arial" w:cs="Arial"/>
          <w:bCs/>
          <w:sz w:val="26"/>
        </w:rPr>
        <w:t>年</w:t>
      </w:r>
      <w:r>
        <w:rPr>
          <w:rFonts w:hint="eastAsia" w:ascii="Arial" w:hAnsi="Arial" w:cs="Arial"/>
          <w:bCs/>
          <w:sz w:val="26"/>
          <w:lang w:val="en-US" w:eastAsia="zh-CN"/>
        </w:rPr>
        <w:t>7</w:t>
      </w:r>
      <w:r>
        <w:rPr>
          <w:rFonts w:hint="eastAsia" w:ascii="Arial" w:hAnsi="Arial" w:cs="Arial"/>
          <w:bCs/>
          <w:sz w:val="26"/>
        </w:rPr>
        <w:t>月份开工建设，总工期2</w:t>
      </w:r>
      <w:r>
        <w:rPr>
          <w:rFonts w:hint="eastAsia" w:ascii="Arial" w:hAnsi="Arial" w:cs="Arial"/>
          <w:bCs/>
          <w:sz w:val="26"/>
          <w:lang w:val="en-US" w:eastAsia="zh-CN"/>
        </w:rPr>
        <w:t>4</w:t>
      </w:r>
      <w:r>
        <w:rPr>
          <w:rFonts w:hint="eastAsia" w:ascii="Arial" w:hAnsi="Arial" w:cs="Arial"/>
          <w:bCs/>
          <w:sz w:val="26"/>
        </w:rPr>
        <w:t>个月，其中准备工程</w:t>
      </w:r>
      <w:r>
        <w:rPr>
          <w:rFonts w:hint="eastAsia" w:ascii="Arial" w:hAnsi="Arial" w:cs="Arial"/>
          <w:bCs/>
          <w:sz w:val="26"/>
          <w:lang w:val="en-US" w:eastAsia="zh-CN"/>
        </w:rPr>
        <w:t>3</w:t>
      </w:r>
      <w:r>
        <w:rPr>
          <w:rFonts w:hint="eastAsia" w:ascii="Arial" w:hAnsi="Arial" w:cs="Arial"/>
          <w:bCs/>
          <w:sz w:val="26"/>
        </w:rPr>
        <w:t>个月，主体工程施工期</w:t>
      </w:r>
      <w:r>
        <w:rPr>
          <w:rFonts w:hint="eastAsia" w:ascii="Arial" w:hAnsi="Arial" w:cs="Arial"/>
          <w:bCs/>
          <w:sz w:val="26"/>
          <w:lang w:val="en-US" w:eastAsia="zh-CN"/>
        </w:rPr>
        <w:t>19</w:t>
      </w:r>
      <w:r>
        <w:rPr>
          <w:rFonts w:hint="eastAsia" w:ascii="Arial" w:hAnsi="Arial" w:cs="Arial"/>
          <w:bCs/>
          <w:sz w:val="26"/>
        </w:rPr>
        <w:t>个月，工程完建期</w:t>
      </w:r>
      <w:r>
        <w:rPr>
          <w:rFonts w:hint="eastAsia" w:ascii="Arial" w:hAnsi="Arial" w:cs="Arial"/>
          <w:bCs/>
          <w:sz w:val="26"/>
          <w:lang w:val="en-US" w:eastAsia="zh-CN"/>
        </w:rPr>
        <w:t>2</w:t>
      </w:r>
      <w:r>
        <w:rPr>
          <w:rFonts w:hint="eastAsia" w:ascii="Arial" w:hAnsi="Arial" w:cs="Arial"/>
          <w:bCs/>
          <w:sz w:val="26"/>
        </w:rPr>
        <w:t>个月。</w:t>
      </w:r>
    </w:p>
    <w:p w14:paraId="4815F148">
      <w:pPr>
        <w:keepNext w:val="0"/>
        <w:keepLines w:val="0"/>
        <w:pageBreakBefore w:val="0"/>
        <w:widowControl w:val="0"/>
        <w:kinsoku/>
        <w:wordWrap/>
        <w:overflowPunct/>
        <w:topLinePunct w:val="0"/>
        <w:autoSpaceDE/>
        <w:autoSpaceDN/>
        <w:bidi w:val="0"/>
        <w:adjustRightInd/>
        <w:spacing w:line="460" w:lineRule="exact"/>
        <w:ind w:firstLine="392" w:firstLineChars="150"/>
        <w:textAlignment w:val="auto"/>
        <w:rPr>
          <w:rFonts w:hint="default" w:ascii="Arial" w:cs="Arial"/>
          <w:b/>
          <w:color w:val="auto"/>
          <w:sz w:val="26"/>
          <w:szCs w:val="26"/>
          <w:lang w:val="en-US" w:eastAsia="zh-CN"/>
        </w:rPr>
      </w:pPr>
      <w:r>
        <w:rPr>
          <w:rFonts w:hint="eastAsia" w:ascii="Arial" w:cs="Arial"/>
          <w:b/>
          <w:color w:val="auto"/>
          <w:sz w:val="26"/>
          <w:szCs w:val="26"/>
          <w:lang w:eastAsia="zh-CN"/>
        </w:rPr>
        <w:t>（</w:t>
      </w:r>
      <w:r>
        <w:rPr>
          <w:rFonts w:hint="eastAsia" w:ascii="Arial" w:cs="Arial"/>
          <w:b/>
          <w:color w:val="auto"/>
          <w:sz w:val="26"/>
          <w:szCs w:val="26"/>
          <w:lang w:val="en-US" w:eastAsia="zh-CN"/>
        </w:rPr>
        <w:t>2）施工导流</w:t>
      </w:r>
    </w:p>
    <w:p w14:paraId="7143E4C5">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cs="Arial"/>
          <w:b/>
          <w:color w:val="auto"/>
          <w:sz w:val="26"/>
          <w:szCs w:val="26"/>
          <w:lang w:val="en-US" w:eastAsia="zh-CN"/>
        </w:rPr>
      </w:pPr>
      <w:r>
        <w:rPr>
          <w:rFonts w:hint="default" w:ascii="Arial" w:cs="Arial"/>
          <w:b/>
          <w:color w:val="auto"/>
          <w:sz w:val="26"/>
          <w:szCs w:val="26"/>
          <w:lang w:eastAsia="zh-CN"/>
        </w:rPr>
        <w:t>①</w:t>
      </w:r>
      <w:r>
        <w:rPr>
          <w:rFonts w:hint="eastAsia" w:ascii="Arial" w:cs="Arial"/>
          <w:b/>
          <w:color w:val="auto"/>
          <w:sz w:val="26"/>
          <w:szCs w:val="26"/>
          <w:lang w:val="en-US" w:eastAsia="zh-CN"/>
        </w:rPr>
        <w:t xml:space="preserve"> 导流标准</w:t>
      </w:r>
    </w:p>
    <w:p w14:paraId="65235655">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根据《水利水电工程施工组织设计规范》SL303-2017规定，本工程规模为小（2）型，临时性建筑物为5级；导流涵管与大坝结合布置，封堵后会成为大坝的一部分，故导流涵管的建筑物级别与永久建筑物一致，为5级，堰型选择为土石类围堰，导流洪水重现期为</w:t>
      </w:r>
      <w:r>
        <w:rPr>
          <w:rFonts w:hint="eastAsia" w:ascii="Arial" w:hAnsi="Arial" w:cs="Arial"/>
          <w:sz w:val="26"/>
          <w:szCs w:val="26"/>
          <w:lang w:val="en-US" w:eastAsia="zh-CN"/>
        </w:rPr>
        <w:t>5年一遇</w:t>
      </w:r>
      <w:r>
        <w:rPr>
          <w:rFonts w:hint="eastAsia" w:ascii="Arial" w:hAnsi="Arial" w:cs="Arial"/>
          <w:sz w:val="26"/>
          <w:szCs w:val="26"/>
          <w:lang w:eastAsia="zh-CN"/>
        </w:rPr>
        <w:t>。输水管线路由较长，且多次穿越河流，导流标准采用</w:t>
      </w:r>
      <w:r>
        <w:rPr>
          <w:rFonts w:hint="eastAsia" w:ascii="Arial" w:hAnsi="Arial" w:cs="Arial"/>
          <w:sz w:val="26"/>
          <w:szCs w:val="26"/>
          <w:lang w:val="en-US" w:eastAsia="zh-CN"/>
        </w:rPr>
        <w:t>5年一遇</w:t>
      </w:r>
      <w:r>
        <w:rPr>
          <w:rFonts w:hint="eastAsia" w:ascii="Arial" w:hAnsi="Arial" w:cs="Arial"/>
          <w:sz w:val="26"/>
          <w:szCs w:val="26"/>
          <w:lang w:eastAsia="zh-CN"/>
        </w:rPr>
        <w:t>。</w:t>
      </w:r>
    </w:p>
    <w:p w14:paraId="28895473">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default" w:ascii="Arial" w:hAnsi="Times New Roman" w:cs="Arial"/>
          <w:b/>
          <w:color w:val="auto"/>
          <w:sz w:val="26"/>
          <w:szCs w:val="26"/>
          <w:lang w:eastAsia="zh-CN"/>
        </w:rPr>
        <w:t>②</w:t>
      </w:r>
      <w:r>
        <w:rPr>
          <w:rFonts w:hint="eastAsia" w:ascii="Arial" w:hAnsi="Times New Roman" w:cs="Arial"/>
          <w:b/>
          <w:color w:val="auto"/>
          <w:sz w:val="26"/>
          <w:szCs w:val="26"/>
          <w:lang w:val="en-US" w:eastAsia="zh-CN"/>
        </w:rPr>
        <w:t xml:space="preserve"> 导流时段及程序</w:t>
      </w:r>
    </w:p>
    <w:p w14:paraId="2A20B87F">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eastAsia" w:ascii="Arial" w:hAnsi="Times New Roman" w:cs="Arial"/>
          <w:b/>
          <w:color w:val="auto"/>
          <w:sz w:val="26"/>
          <w:szCs w:val="26"/>
          <w:lang w:val="en-US" w:eastAsia="zh-CN"/>
        </w:rPr>
        <w:t>1）枢纽工程</w:t>
      </w:r>
    </w:p>
    <w:p w14:paraId="7A20295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海螺沟水库大坝所在河流属于山区性河流，洪水由暴雨形成，洪水有明显的季节变化规律。坝址处全年5年一遇洪水流量为</w:t>
      </w:r>
      <w:r>
        <w:rPr>
          <w:rFonts w:hint="eastAsia" w:ascii="Arial" w:hAnsi="Arial" w:cs="Arial"/>
          <w:sz w:val="26"/>
          <w:szCs w:val="26"/>
          <w:lang w:val="en-US" w:eastAsia="zh-CN"/>
        </w:rPr>
        <w:t>26.2</w:t>
      </w:r>
      <w:r>
        <w:rPr>
          <w:rFonts w:hint="eastAsia" w:ascii="Arial" w:hAnsi="Arial" w:cs="Arial"/>
          <w:sz w:val="26"/>
          <w:szCs w:val="26"/>
          <w:lang w:eastAsia="zh-CN"/>
        </w:rPr>
        <w:t>m</w:t>
      </w:r>
      <w:r>
        <w:rPr>
          <w:rFonts w:hint="eastAsia" w:ascii="Arial" w:hAnsi="Arial" w:cs="Arial"/>
          <w:sz w:val="26"/>
          <w:szCs w:val="26"/>
          <w:vertAlign w:val="superscript"/>
          <w:lang w:eastAsia="zh-CN"/>
        </w:rPr>
        <w:t>3</w:t>
      </w:r>
      <w:r>
        <w:rPr>
          <w:rFonts w:hint="eastAsia" w:ascii="Arial" w:hAnsi="Arial" w:cs="Arial"/>
          <w:sz w:val="26"/>
          <w:szCs w:val="26"/>
          <w:lang w:eastAsia="zh-CN"/>
        </w:rPr>
        <w:t>/s，枯水期1</w:t>
      </w:r>
      <w:r>
        <w:rPr>
          <w:rFonts w:hint="eastAsia" w:ascii="Arial" w:hAnsi="Arial" w:cs="Arial"/>
          <w:sz w:val="26"/>
          <w:szCs w:val="26"/>
          <w:lang w:val="en-US" w:eastAsia="zh-CN"/>
        </w:rPr>
        <w:t>0</w:t>
      </w:r>
      <w:r>
        <w:rPr>
          <w:rFonts w:hint="eastAsia" w:ascii="Arial" w:hAnsi="Arial" w:cs="Arial"/>
          <w:sz w:val="26"/>
          <w:szCs w:val="26"/>
          <w:lang w:eastAsia="zh-CN"/>
        </w:rPr>
        <w:t>月～次年</w:t>
      </w:r>
      <w:r>
        <w:rPr>
          <w:rFonts w:hint="eastAsia" w:ascii="Arial" w:hAnsi="Arial" w:cs="Arial"/>
          <w:sz w:val="26"/>
          <w:szCs w:val="26"/>
          <w:lang w:val="en-US" w:eastAsia="zh-CN"/>
        </w:rPr>
        <w:t>4</w:t>
      </w:r>
      <w:r>
        <w:rPr>
          <w:rFonts w:hint="eastAsia" w:ascii="Arial" w:hAnsi="Arial" w:cs="Arial"/>
          <w:sz w:val="26"/>
          <w:szCs w:val="26"/>
          <w:lang w:eastAsia="zh-CN"/>
        </w:rPr>
        <w:t>月</w:t>
      </w:r>
      <w:r>
        <w:rPr>
          <w:rFonts w:hint="eastAsia" w:ascii="Arial" w:hAnsi="Arial" w:cs="Arial"/>
          <w:sz w:val="26"/>
          <w:szCs w:val="26"/>
          <w:lang w:val="en-US" w:eastAsia="zh-CN"/>
        </w:rPr>
        <w:t>时</w:t>
      </w:r>
      <w:r>
        <w:rPr>
          <w:rFonts w:hint="eastAsia" w:ascii="Arial" w:hAnsi="Arial" w:cs="Arial"/>
          <w:sz w:val="26"/>
          <w:szCs w:val="26"/>
          <w:lang w:eastAsia="zh-CN"/>
        </w:rPr>
        <w:t>5年一遇洪水流量为</w:t>
      </w:r>
      <w:r>
        <w:rPr>
          <w:rFonts w:hint="eastAsia" w:ascii="Arial" w:hAnsi="Arial" w:cs="Arial"/>
          <w:sz w:val="26"/>
          <w:szCs w:val="26"/>
          <w:lang w:val="en-US" w:eastAsia="zh-CN"/>
        </w:rPr>
        <w:t>5.08</w:t>
      </w:r>
      <w:r>
        <w:rPr>
          <w:rFonts w:hint="eastAsia" w:ascii="Arial" w:hAnsi="Arial" w:cs="Arial"/>
          <w:sz w:val="26"/>
          <w:szCs w:val="26"/>
          <w:lang w:eastAsia="zh-CN"/>
        </w:rPr>
        <w:t>m</w:t>
      </w:r>
      <w:r>
        <w:rPr>
          <w:rFonts w:hint="eastAsia" w:ascii="Arial" w:hAnsi="Arial" w:cs="Arial"/>
          <w:sz w:val="26"/>
          <w:szCs w:val="26"/>
          <w:vertAlign w:val="superscript"/>
          <w:lang w:eastAsia="zh-CN"/>
        </w:rPr>
        <w:t>3</w:t>
      </w:r>
      <w:r>
        <w:rPr>
          <w:rFonts w:hint="eastAsia" w:ascii="Arial" w:hAnsi="Arial" w:cs="Arial"/>
          <w:sz w:val="26"/>
          <w:szCs w:val="26"/>
          <w:lang w:eastAsia="zh-CN"/>
        </w:rPr>
        <w:t>/s，全年流量是枯期时段流量的</w:t>
      </w:r>
      <w:r>
        <w:rPr>
          <w:rFonts w:hint="eastAsia" w:ascii="Arial" w:hAnsi="Arial" w:cs="Arial"/>
          <w:sz w:val="26"/>
          <w:szCs w:val="26"/>
          <w:lang w:val="en-US" w:eastAsia="zh-CN"/>
        </w:rPr>
        <w:t>约5</w:t>
      </w:r>
      <w:r>
        <w:rPr>
          <w:rFonts w:hint="eastAsia" w:ascii="Arial" w:hAnsi="Arial" w:cs="Arial"/>
          <w:sz w:val="26"/>
          <w:szCs w:val="26"/>
          <w:lang w:eastAsia="zh-CN"/>
        </w:rPr>
        <w:t>倍，洪枯期分界明显，且坝体为混凝土重力坝，施工期容许过水，基坑施工历时短，采用枯期导流。枯水期导流流量较小，河床宽度较窄，根据重力坝的布置、河床宽度以及洪水频率成果分析，本工程适合采用一次性拦断河床围堰导流方式。</w:t>
      </w:r>
    </w:p>
    <w:p w14:paraId="50953AE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第一年</w:t>
      </w:r>
      <w:r>
        <w:rPr>
          <w:rFonts w:hint="eastAsia" w:ascii="Arial" w:hAnsi="Arial" w:cs="Arial"/>
          <w:sz w:val="26"/>
          <w:szCs w:val="26"/>
          <w:lang w:val="en-US" w:eastAsia="zh-CN"/>
        </w:rPr>
        <w:t>7</w:t>
      </w:r>
      <w:r>
        <w:rPr>
          <w:rFonts w:hint="eastAsia" w:ascii="Arial" w:hAnsi="Arial" w:cs="Arial"/>
          <w:sz w:val="26"/>
          <w:szCs w:val="26"/>
          <w:lang w:eastAsia="zh-CN"/>
        </w:rPr>
        <w:t>月初~第一年</w:t>
      </w:r>
      <w:r>
        <w:rPr>
          <w:rFonts w:hint="eastAsia" w:ascii="Arial" w:hAnsi="Arial" w:cs="Arial"/>
          <w:sz w:val="26"/>
          <w:szCs w:val="26"/>
          <w:lang w:val="en-US" w:eastAsia="zh-CN"/>
        </w:rPr>
        <w:t>9</w:t>
      </w:r>
      <w:r>
        <w:rPr>
          <w:rFonts w:hint="eastAsia" w:ascii="Arial" w:hAnsi="Arial" w:cs="Arial"/>
          <w:sz w:val="26"/>
          <w:szCs w:val="26"/>
          <w:lang w:eastAsia="zh-CN"/>
        </w:rPr>
        <w:t>月底，历时</w:t>
      </w:r>
      <w:r>
        <w:rPr>
          <w:rFonts w:hint="eastAsia" w:ascii="Arial" w:hAnsi="Arial" w:cs="Arial"/>
          <w:sz w:val="26"/>
          <w:szCs w:val="26"/>
          <w:lang w:val="en-US" w:eastAsia="zh-CN"/>
        </w:rPr>
        <w:t>3</w:t>
      </w:r>
      <w:r>
        <w:rPr>
          <w:rFonts w:hint="eastAsia" w:ascii="Arial" w:hAnsi="Arial" w:cs="Arial"/>
          <w:sz w:val="26"/>
          <w:szCs w:val="26"/>
          <w:lang w:eastAsia="zh-CN"/>
        </w:rPr>
        <w:t>个月，完成工程施工的准备工作，完成进场道路修建工作。</w:t>
      </w:r>
    </w:p>
    <w:p w14:paraId="603A0BE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第一年</w:t>
      </w:r>
      <w:r>
        <w:rPr>
          <w:rFonts w:hint="eastAsia" w:ascii="Arial" w:hAnsi="Arial" w:cs="Arial"/>
          <w:sz w:val="26"/>
          <w:szCs w:val="26"/>
          <w:lang w:val="en-US" w:eastAsia="zh-CN"/>
        </w:rPr>
        <w:t>10</w:t>
      </w:r>
      <w:r>
        <w:rPr>
          <w:rFonts w:hint="eastAsia" w:ascii="Arial" w:hAnsi="Arial" w:cs="Arial"/>
          <w:sz w:val="26"/>
          <w:szCs w:val="26"/>
          <w:lang w:eastAsia="zh-CN"/>
        </w:rPr>
        <w:t>月初~第一年</w:t>
      </w:r>
      <w:r>
        <w:rPr>
          <w:rFonts w:hint="eastAsia" w:ascii="Arial" w:hAnsi="Arial" w:cs="Arial"/>
          <w:sz w:val="26"/>
          <w:szCs w:val="26"/>
          <w:lang w:val="en-US" w:eastAsia="zh-CN"/>
        </w:rPr>
        <w:t>10</w:t>
      </w:r>
      <w:r>
        <w:rPr>
          <w:rFonts w:hint="eastAsia" w:ascii="Arial" w:hAnsi="Arial" w:cs="Arial"/>
          <w:sz w:val="26"/>
          <w:szCs w:val="26"/>
          <w:lang w:eastAsia="zh-CN"/>
        </w:rPr>
        <w:t>月底，历时1个月，在河道阶地干地施工导流涵管基础并安装导流涵管，同时在施工区上游完成截流施工，一次性拦断河床。进行上下游围堰的填筑施工，进行基坑排水。</w:t>
      </w:r>
    </w:p>
    <w:p w14:paraId="092A721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第一年1</w:t>
      </w:r>
      <w:r>
        <w:rPr>
          <w:rFonts w:hint="eastAsia" w:ascii="Arial" w:hAnsi="Arial" w:cs="Arial"/>
          <w:sz w:val="26"/>
          <w:szCs w:val="26"/>
          <w:lang w:val="en-US" w:eastAsia="zh-CN"/>
        </w:rPr>
        <w:t>1</w:t>
      </w:r>
      <w:r>
        <w:rPr>
          <w:rFonts w:hint="eastAsia" w:ascii="Arial" w:hAnsi="Arial" w:cs="Arial"/>
          <w:sz w:val="26"/>
          <w:szCs w:val="26"/>
          <w:lang w:eastAsia="zh-CN"/>
        </w:rPr>
        <w:t>月初~第二年</w:t>
      </w:r>
      <w:r>
        <w:rPr>
          <w:rFonts w:hint="eastAsia" w:ascii="Arial" w:hAnsi="Arial" w:cs="Arial"/>
          <w:sz w:val="26"/>
          <w:szCs w:val="26"/>
          <w:lang w:val="en-US" w:eastAsia="zh-CN"/>
        </w:rPr>
        <w:t>11</w:t>
      </w:r>
      <w:r>
        <w:rPr>
          <w:rFonts w:hint="eastAsia" w:ascii="Arial" w:hAnsi="Arial" w:cs="Arial"/>
          <w:sz w:val="26"/>
          <w:szCs w:val="26"/>
          <w:lang w:eastAsia="zh-CN"/>
        </w:rPr>
        <w:t>月底，历时</w:t>
      </w:r>
      <w:r>
        <w:rPr>
          <w:rFonts w:hint="eastAsia" w:ascii="Arial" w:hAnsi="Arial" w:cs="Arial"/>
          <w:sz w:val="26"/>
          <w:szCs w:val="26"/>
          <w:lang w:val="en-US" w:eastAsia="zh-CN"/>
        </w:rPr>
        <w:t>1</w:t>
      </w:r>
      <w:r>
        <w:rPr>
          <w:rFonts w:hint="eastAsia" w:ascii="Arial" w:hAnsi="Arial" w:cs="Arial"/>
          <w:sz w:val="26"/>
          <w:szCs w:val="26"/>
          <w:lang w:eastAsia="zh-CN"/>
        </w:rPr>
        <w:t>个月，进行基础开挖及固结灌浆处理工作。</w:t>
      </w:r>
    </w:p>
    <w:p w14:paraId="377606E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第二年</w:t>
      </w:r>
      <w:r>
        <w:rPr>
          <w:rFonts w:hint="eastAsia" w:ascii="Arial" w:hAnsi="Arial" w:cs="Arial"/>
          <w:sz w:val="26"/>
          <w:szCs w:val="26"/>
          <w:lang w:val="en-US" w:eastAsia="zh-CN"/>
        </w:rPr>
        <w:t>12</w:t>
      </w:r>
      <w:r>
        <w:rPr>
          <w:rFonts w:hint="eastAsia" w:ascii="Arial" w:hAnsi="Arial" w:cs="Arial"/>
          <w:sz w:val="26"/>
          <w:szCs w:val="26"/>
          <w:lang w:eastAsia="zh-CN"/>
        </w:rPr>
        <w:t>月初~第二年</w:t>
      </w:r>
      <w:r>
        <w:rPr>
          <w:rFonts w:hint="eastAsia" w:ascii="Arial" w:hAnsi="Arial" w:cs="Arial"/>
          <w:sz w:val="26"/>
          <w:szCs w:val="26"/>
          <w:lang w:val="en-US" w:eastAsia="zh-CN"/>
        </w:rPr>
        <w:t>3</w:t>
      </w:r>
      <w:r>
        <w:rPr>
          <w:rFonts w:hint="eastAsia" w:ascii="Arial" w:hAnsi="Arial" w:cs="Arial"/>
          <w:sz w:val="26"/>
          <w:szCs w:val="26"/>
          <w:lang w:eastAsia="zh-CN"/>
        </w:rPr>
        <w:t>月底，历时</w:t>
      </w:r>
      <w:r>
        <w:rPr>
          <w:rFonts w:hint="eastAsia" w:ascii="Arial" w:hAnsi="Arial" w:cs="Arial"/>
          <w:sz w:val="26"/>
          <w:szCs w:val="26"/>
          <w:lang w:val="en-US" w:eastAsia="zh-CN"/>
        </w:rPr>
        <w:t>4</w:t>
      </w:r>
      <w:r>
        <w:rPr>
          <w:rFonts w:hint="eastAsia" w:ascii="Arial" w:hAnsi="Arial" w:cs="Arial"/>
          <w:sz w:val="26"/>
          <w:szCs w:val="26"/>
          <w:lang w:eastAsia="zh-CN"/>
        </w:rPr>
        <w:t>个月，进行坝体浇筑施工，在汛期来临时，大坝整体抬升到</w:t>
      </w:r>
      <w:r>
        <w:rPr>
          <w:rFonts w:hint="eastAsia" w:ascii="Arial" w:hAnsi="Arial" w:cs="Arial"/>
          <w:sz w:val="26"/>
          <w:szCs w:val="26"/>
          <w:lang w:val="en-US" w:eastAsia="zh-CN"/>
        </w:rPr>
        <w:t>412.50</w:t>
      </w:r>
      <w:r>
        <w:rPr>
          <w:rFonts w:hint="eastAsia" w:ascii="Arial" w:hAnsi="Arial" w:cs="Arial"/>
          <w:sz w:val="26"/>
          <w:szCs w:val="26"/>
          <w:lang w:eastAsia="zh-CN"/>
        </w:rPr>
        <w:t>m的度汛高程。</w:t>
      </w:r>
    </w:p>
    <w:p w14:paraId="0E0C5594">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第二年</w:t>
      </w:r>
      <w:r>
        <w:rPr>
          <w:rFonts w:hint="eastAsia" w:ascii="Arial" w:hAnsi="Arial" w:cs="Arial"/>
          <w:sz w:val="26"/>
          <w:szCs w:val="26"/>
          <w:lang w:val="en-US" w:eastAsia="zh-CN"/>
        </w:rPr>
        <w:t>4</w:t>
      </w:r>
      <w:r>
        <w:rPr>
          <w:rFonts w:hint="eastAsia" w:ascii="Arial" w:hAnsi="Arial" w:cs="Arial"/>
          <w:sz w:val="26"/>
          <w:szCs w:val="26"/>
          <w:lang w:eastAsia="zh-CN"/>
        </w:rPr>
        <w:t>月初~第</w:t>
      </w:r>
      <w:r>
        <w:rPr>
          <w:rFonts w:hint="eastAsia" w:ascii="Arial" w:hAnsi="Arial" w:cs="Arial"/>
          <w:sz w:val="26"/>
          <w:szCs w:val="26"/>
          <w:lang w:val="en-US" w:eastAsia="zh-CN"/>
        </w:rPr>
        <w:t>二</w:t>
      </w:r>
      <w:r>
        <w:rPr>
          <w:rFonts w:hint="eastAsia" w:ascii="Arial" w:hAnsi="Arial" w:cs="Arial"/>
          <w:sz w:val="26"/>
          <w:szCs w:val="26"/>
          <w:lang w:eastAsia="zh-CN"/>
        </w:rPr>
        <w:t>年</w:t>
      </w:r>
      <w:r>
        <w:rPr>
          <w:rFonts w:hint="eastAsia" w:ascii="Arial" w:hAnsi="Arial" w:cs="Arial"/>
          <w:sz w:val="26"/>
          <w:szCs w:val="26"/>
          <w:lang w:val="en-US" w:eastAsia="zh-CN"/>
        </w:rPr>
        <w:t>10</w:t>
      </w:r>
      <w:r>
        <w:rPr>
          <w:rFonts w:hint="eastAsia" w:ascii="Arial" w:hAnsi="Arial" w:cs="Arial"/>
          <w:sz w:val="26"/>
          <w:szCs w:val="26"/>
          <w:lang w:eastAsia="zh-CN"/>
        </w:rPr>
        <w:t>月底，历时</w:t>
      </w:r>
      <w:r>
        <w:rPr>
          <w:rFonts w:hint="eastAsia" w:ascii="Arial" w:hAnsi="Arial" w:cs="Arial"/>
          <w:sz w:val="26"/>
          <w:szCs w:val="26"/>
          <w:lang w:val="en-US" w:eastAsia="zh-CN"/>
        </w:rPr>
        <w:t>7</w:t>
      </w:r>
      <w:r>
        <w:rPr>
          <w:rFonts w:hint="eastAsia" w:ascii="Arial" w:hAnsi="Arial" w:cs="Arial"/>
          <w:sz w:val="26"/>
          <w:szCs w:val="26"/>
          <w:lang w:eastAsia="zh-CN"/>
        </w:rPr>
        <w:t>个月，完成大坝</w:t>
      </w:r>
      <w:r>
        <w:rPr>
          <w:rFonts w:hint="eastAsia" w:ascii="Arial" w:hAnsi="Arial" w:cs="Arial"/>
          <w:sz w:val="26"/>
          <w:szCs w:val="26"/>
          <w:lang w:val="en-US" w:eastAsia="zh-CN"/>
        </w:rPr>
        <w:t>412.50m</w:t>
      </w:r>
      <w:r>
        <w:rPr>
          <w:rFonts w:hint="eastAsia" w:ascii="Arial" w:hAnsi="Arial" w:cs="Arial"/>
          <w:sz w:val="26"/>
          <w:szCs w:val="26"/>
          <w:lang w:eastAsia="zh-CN"/>
        </w:rPr>
        <w:t>～坝顶424.00m高程的浇筑，消力池等设施浇筑。施工中若发生超标洪水，应提前停工撤场，待洪水过后，排涝、排危完毕，方可继续施工。</w:t>
      </w:r>
    </w:p>
    <w:p w14:paraId="571A139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第</w:t>
      </w:r>
      <w:r>
        <w:rPr>
          <w:rFonts w:hint="eastAsia" w:ascii="Arial" w:hAnsi="Arial" w:cs="Arial"/>
          <w:sz w:val="26"/>
          <w:szCs w:val="26"/>
          <w:lang w:val="en-US" w:eastAsia="zh-CN"/>
        </w:rPr>
        <w:t>二</w:t>
      </w:r>
      <w:r>
        <w:rPr>
          <w:rFonts w:hint="eastAsia" w:ascii="Arial" w:hAnsi="Arial" w:cs="Arial"/>
          <w:sz w:val="26"/>
          <w:szCs w:val="26"/>
          <w:lang w:eastAsia="zh-CN"/>
        </w:rPr>
        <w:t>年</w:t>
      </w:r>
      <w:r>
        <w:rPr>
          <w:rFonts w:hint="eastAsia" w:ascii="Arial" w:hAnsi="Arial" w:cs="Arial"/>
          <w:sz w:val="26"/>
          <w:szCs w:val="26"/>
          <w:lang w:val="en-US" w:eastAsia="zh-CN"/>
        </w:rPr>
        <w:t>11</w:t>
      </w:r>
      <w:r>
        <w:rPr>
          <w:rFonts w:hint="eastAsia" w:ascii="Arial" w:hAnsi="Arial" w:cs="Arial"/>
          <w:sz w:val="26"/>
          <w:szCs w:val="26"/>
          <w:lang w:eastAsia="zh-CN"/>
        </w:rPr>
        <w:t>月初~第二年</w:t>
      </w:r>
      <w:r>
        <w:rPr>
          <w:rFonts w:hint="eastAsia" w:ascii="Arial" w:hAnsi="Arial" w:cs="Arial"/>
          <w:sz w:val="26"/>
          <w:szCs w:val="26"/>
          <w:lang w:val="en-US" w:eastAsia="zh-CN"/>
        </w:rPr>
        <w:t>12</w:t>
      </w:r>
      <w:r>
        <w:rPr>
          <w:rFonts w:hint="eastAsia" w:ascii="Arial" w:hAnsi="Arial" w:cs="Arial"/>
          <w:sz w:val="26"/>
          <w:szCs w:val="26"/>
          <w:lang w:eastAsia="zh-CN"/>
        </w:rPr>
        <w:t>月底，历时</w:t>
      </w:r>
      <w:r>
        <w:rPr>
          <w:rFonts w:hint="eastAsia" w:ascii="Arial" w:hAnsi="Arial" w:cs="Arial"/>
          <w:sz w:val="26"/>
          <w:szCs w:val="26"/>
          <w:lang w:val="en-US" w:eastAsia="zh-CN"/>
        </w:rPr>
        <w:t>2</w:t>
      </w:r>
      <w:r>
        <w:rPr>
          <w:rFonts w:hint="eastAsia" w:ascii="Arial" w:hAnsi="Arial" w:cs="Arial"/>
          <w:sz w:val="26"/>
          <w:szCs w:val="26"/>
          <w:lang w:eastAsia="zh-CN"/>
        </w:rPr>
        <w:t>个月，完成输水工程进场道路修建及施工前材料进场布置。</w:t>
      </w:r>
    </w:p>
    <w:p w14:paraId="3A9B8A1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第</w:t>
      </w:r>
      <w:r>
        <w:rPr>
          <w:rFonts w:hint="eastAsia" w:ascii="Arial" w:hAnsi="Arial" w:cs="Arial"/>
          <w:sz w:val="26"/>
          <w:szCs w:val="26"/>
          <w:lang w:val="en-US" w:eastAsia="zh-CN"/>
        </w:rPr>
        <w:t>三</w:t>
      </w:r>
      <w:r>
        <w:rPr>
          <w:rFonts w:hint="eastAsia" w:ascii="Arial" w:hAnsi="Arial" w:cs="Arial"/>
          <w:sz w:val="26"/>
          <w:szCs w:val="26"/>
          <w:lang w:eastAsia="zh-CN"/>
        </w:rPr>
        <w:t>年</w:t>
      </w:r>
      <w:r>
        <w:rPr>
          <w:rFonts w:hint="eastAsia" w:ascii="Arial" w:hAnsi="Arial" w:cs="Arial"/>
          <w:sz w:val="26"/>
          <w:szCs w:val="26"/>
          <w:lang w:val="en-US" w:eastAsia="zh-CN"/>
        </w:rPr>
        <w:t>1</w:t>
      </w:r>
      <w:r>
        <w:rPr>
          <w:rFonts w:hint="eastAsia" w:ascii="Arial" w:hAnsi="Arial" w:cs="Arial"/>
          <w:sz w:val="26"/>
          <w:szCs w:val="26"/>
          <w:lang w:eastAsia="zh-CN"/>
        </w:rPr>
        <w:t>月初~第</w:t>
      </w:r>
      <w:r>
        <w:rPr>
          <w:rFonts w:hint="eastAsia" w:ascii="Arial" w:hAnsi="Arial" w:cs="Arial"/>
          <w:sz w:val="26"/>
          <w:szCs w:val="26"/>
          <w:lang w:val="en-US" w:eastAsia="zh-CN"/>
        </w:rPr>
        <w:t>三</w:t>
      </w:r>
      <w:r>
        <w:rPr>
          <w:rFonts w:hint="eastAsia" w:ascii="Arial" w:hAnsi="Arial" w:cs="Arial"/>
          <w:sz w:val="26"/>
          <w:szCs w:val="26"/>
          <w:lang w:eastAsia="zh-CN"/>
        </w:rPr>
        <w:t>年</w:t>
      </w:r>
      <w:r>
        <w:rPr>
          <w:rFonts w:hint="eastAsia" w:ascii="Arial" w:hAnsi="Arial" w:cs="Arial"/>
          <w:sz w:val="26"/>
          <w:szCs w:val="26"/>
          <w:lang w:val="en-US" w:eastAsia="zh-CN"/>
        </w:rPr>
        <w:t>5</w:t>
      </w:r>
      <w:r>
        <w:rPr>
          <w:rFonts w:hint="eastAsia" w:ascii="Arial" w:hAnsi="Arial" w:cs="Arial"/>
          <w:sz w:val="26"/>
          <w:szCs w:val="26"/>
          <w:lang w:eastAsia="zh-CN"/>
        </w:rPr>
        <w:t>月底，历时</w:t>
      </w:r>
      <w:r>
        <w:rPr>
          <w:rFonts w:hint="eastAsia" w:ascii="Arial" w:hAnsi="Arial" w:cs="Arial"/>
          <w:sz w:val="26"/>
          <w:szCs w:val="26"/>
          <w:lang w:val="en-US" w:eastAsia="zh-CN"/>
        </w:rPr>
        <w:t>5</w:t>
      </w:r>
      <w:r>
        <w:rPr>
          <w:rFonts w:hint="eastAsia" w:ascii="Arial" w:hAnsi="Arial" w:cs="Arial"/>
          <w:sz w:val="26"/>
          <w:szCs w:val="26"/>
          <w:lang w:eastAsia="zh-CN"/>
        </w:rPr>
        <w:t>个月，进行</w:t>
      </w:r>
      <w:r>
        <w:rPr>
          <w:rFonts w:hint="eastAsia" w:ascii="Arial" w:hAnsi="Arial" w:cs="Arial"/>
          <w:sz w:val="26"/>
          <w:szCs w:val="26"/>
          <w:lang w:val="en-US" w:eastAsia="zh-CN"/>
        </w:rPr>
        <w:t>其余</w:t>
      </w:r>
      <w:r>
        <w:rPr>
          <w:rFonts w:hint="eastAsia" w:ascii="Arial" w:hAnsi="Arial" w:cs="Arial"/>
          <w:sz w:val="26"/>
          <w:szCs w:val="26"/>
          <w:lang w:eastAsia="zh-CN"/>
        </w:rPr>
        <w:t>输水工程的开挖、安装及回填工作。</w:t>
      </w:r>
    </w:p>
    <w:p w14:paraId="42AF019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第三年</w:t>
      </w:r>
      <w:r>
        <w:rPr>
          <w:rFonts w:hint="eastAsia" w:ascii="Arial" w:hAnsi="Arial" w:cs="Arial"/>
          <w:sz w:val="26"/>
          <w:szCs w:val="26"/>
          <w:lang w:val="en-US" w:eastAsia="zh-CN"/>
        </w:rPr>
        <w:t>6</w:t>
      </w:r>
      <w:r>
        <w:rPr>
          <w:rFonts w:hint="eastAsia" w:ascii="Arial" w:hAnsi="Arial" w:cs="Arial"/>
          <w:sz w:val="26"/>
          <w:szCs w:val="26"/>
          <w:lang w:eastAsia="zh-CN"/>
        </w:rPr>
        <w:t>月初~第三年</w:t>
      </w:r>
      <w:r>
        <w:rPr>
          <w:rFonts w:hint="eastAsia" w:ascii="Arial" w:hAnsi="Arial" w:cs="Arial"/>
          <w:sz w:val="26"/>
          <w:szCs w:val="26"/>
          <w:lang w:val="en-US" w:eastAsia="zh-CN"/>
        </w:rPr>
        <w:t>6</w:t>
      </w:r>
      <w:r>
        <w:rPr>
          <w:rFonts w:hint="eastAsia" w:ascii="Arial" w:hAnsi="Arial" w:cs="Arial"/>
          <w:sz w:val="26"/>
          <w:szCs w:val="26"/>
          <w:lang w:eastAsia="zh-CN"/>
        </w:rPr>
        <w:t>月底，历时1个月，完成围堰的拆除工作及输水工程的回填收尾工作。</w:t>
      </w:r>
    </w:p>
    <w:p w14:paraId="48C7B8AC">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eastAsia" w:ascii="Arial" w:hAnsi="Times New Roman" w:cs="Arial"/>
          <w:b/>
          <w:color w:val="auto"/>
          <w:sz w:val="26"/>
          <w:szCs w:val="26"/>
          <w:lang w:val="en-US" w:eastAsia="zh-CN"/>
        </w:rPr>
        <w:t>2）输水工程</w:t>
      </w:r>
    </w:p>
    <w:p w14:paraId="6949163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输水管线采用枯水期进行施工作业，导流时段为</w:t>
      </w:r>
      <w:r>
        <w:rPr>
          <w:rFonts w:hint="eastAsia" w:ascii="Arial" w:hAnsi="Arial" w:cs="Arial"/>
          <w:sz w:val="26"/>
          <w:szCs w:val="26"/>
          <w:lang w:val="en-US" w:eastAsia="zh-CN"/>
        </w:rPr>
        <w:t>2月。</w:t>
      </w:r>
    </w:p>
    <w:p w14:paraId="2F5A19E0">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eastAsia" w:ascii="Arial" w:hAnsi="Times New Roman" w:cs="Arial"/>
          <w:b/>
          <w:color w:val="auto"/>
          <w:sz w:val="26"/>
          <w:szCs w:val="26"/>
          <w:lang w:val="en-US" w:eastAsia="zh-CN"/>
        </w:rPr>
        <w:t>③ 导流方式</w:t>
      </w:r>
    </w:p>
    <w:p w14:paraId="1D547B9B">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eastAsia" w:ascii="Arial" w:hAnsi="Times New Roman" w:cs="Arial"/>
          <w:b/>
          <w:color w:val="auto"/>
          <w:sz w:val="26"/>
          <w:szCs w:val="26"/>
          <w:lang w:val="en-US" w:eastAsia="zh-CN"/>
        </w:rPr>
        <w:t>1）枢纽工程</w:t>
      </w:r>
    </w:p>
    <w:p w14:paraId="61AFA263">
      <w:pPr>
        <w:keepNext w:val="0"/>
        <w:keepLines w:val="0"/>
        <w:pageBreakBefore w:val="0"/>
        <w:widowControl w:val="0"/>
        <w:kinsoku/>
        <w:wordWrap/>
        <w:overflowPunct/>
        <w:topLinePunct w:val="0"/>
        <w:autoSpaceDE w:val="0"/>
        <w:autoSpaceDN w:val="0"/>
        <w:bidi w:val="0"/>
        <w:adjustRightInd w:val="0"/>
        <w:snapToGrid/>
        <w:spacing w:line="460" w:lineRule="exact"/>
        <w:ind w:firstLine="482"/>
        <w:jc w:val="both"/>
        <w:textAlignment w:val="auto"/>
        <w:rPr>
          <w:rFonts w:hint="eastAsia" w:ascii="Arial" w:hAnsi="Arial" w:cs="Arial"/>
          <w:sz w:val="26"/>
          <w:szCs w:val="26"/>
          <w:lang w:eastAsia="zh-CN"/>
        </w:rPr>
      </w:pPr>
      <w:r>
        <w:rPr>
          <w:rFonts w:hint="eastAsia" w:ascii="Arial" w:hAnsi="Arial" w:cs="Arial"/>
          <w:sz w:val="26"/>
          <w:szCs w:val="26"/>
          <w:lang w:eastAsia="zh-CN"/>
        </w:rPr>
        <w:t>根据海螺沟水库所在地地形、地质条件及枢纽建筑物布置特点，推荐采用围堰一次断流、枯期围堰挡水、导流涵管泄流的导流方式，导流涵管管径为</w:t>
      </w:r>
      <w:r>
        <w:rPr>
          <w:rFonts w:hint="eastAsia" w:ascii="Arial" w:hAnsi="Arial" w:cs="Arial"/>
          <w:sz w:val="26"/>
          <w:szCs w:val="26"/>
          <w:lang w:val="en-US" w:eastAsia="zh-CN"/>
        </w:rPr>
        <w:t>DN1000；</w:t>
      </w:r>
      <w:r>
        <w:rPr>
          <w:rFonts w:hint="eastAsia" w:ascii="Arial" w:hAnsi="Arial" w:cs="Arial"/>
          <w:sz w:val="26"/>
          <w:szCs w:val="26"/>
          <w:lang w:eastAsia="zh-CN"/>
        </w:rPr>
        <w:t>汛期采用坝体临时断面挡水、导流涵管泄流的度汛方式。</w:t>
      </w:r>
    </w:p>
    <w:p w14:paraId="14D7B950">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eastAsia" w:ascii="Arial" w:hAnsi="Times New Roman" w:cs="Arial"/>
          <w:b/>
          <w:color w:val="auto"/>
          <w:sz w:val="26"/>
          <w:szCs w:val="26"/>
          <w:lang w:val="en-US" w:eastAsia="zh-CN"/>
        </w:rPr>
        <w:t>2）输水工程</w:t>
      </w:r>
    </w:p>
    <w:p w14:paraId="494A097C">
      <w:pPr>
        <w:keepNext w:val="0"/>
        <w:keepLines w:val="0"/>
        <w:pageBreakBefore w:val="0"/>
        <w:widowControl w:val="0"/>
        <w:kinsoku/>
        <w:wordWrap/>
        <w:overflowPunct/>
        <w:topLinePunct w:val="0"/>
        <w:autoSpaceDE w:val="0"/>
        <w:autoSpaceDN w:val="0"/>
        <w:bidi w:val="0"/>
        <w:adjustRightInd w:val="0"/>
        <w:snapToGrid/>
        <w:spacing w:line="460" w:lineRule="exact"/>
        <w:ind w:firstLine="482"/>
        <w:jc w:val="both"/>
        <w:textAlignment w:val="auto"/>
        <w:rPr>
          <w:rFonts w:hint="eastAsia" w:ascii="Arial" w:hAnsi="Arial" w:cs="Arial"/>
          <w:sz w:val="26"/>
          <w:szCs w:val="26"/>
          <w:lang w:eastAsia="zh-CN"/>
        </w:rPr>
      </w:pPr>
      <w:r>
        <w:rPr>
          <w:rFonts w:hint="eastAsia" w:ascii="Arial" w:hAnsi="Arial" w:cs="Arial"/>
          <w:sz w:val="26"/>
          <w:szCs w:val="26"/>
          <w:lang w:eastAsia="zh-CN"/>
        </w:rPr>
        <w:t>输水工程穿越了多条河道，但各穿越点的长度不长，施工时间较短，河道流量较小。推荐采用围堰一次断流、枯期围堰挡水、导流涵管泄流的导流方式。</w:t>
      </w:r>
    </w:p>
    <w:p w14:paraId="1EB12508">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Times New Roman" w:cs="Arial"/>
          <w:b/>
          <w:color w:val="auto"/>
          <w:sz w:val="26"/>
          <w:szCs w:val="26"/>
          <w:lang w:val="en-US" w:eastAsia="zh-CN"/>
        </w:rPr>
      </w:pPr>
      <w:r>
        <w:rPr>
          <w:rFonts w:hint="eastAsia" w:ascii="Arial" w:hAnsi="Times New Roman" w:cs="Arial"/>
          <w:b/>
          <w:color w:val="auto"/>
          <w:sz w:val="26"/>
          <w:szCs w:val="26"/>
          <w:lang w:val="en-US" w:eastAsia="zh-CN"/>
        </w:rPr>
        <w:t>④ 导流建筑物设计</w:t>
      </w:r>
    </w:p>
    <w:p w14:paraId="6D240440">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eastAsia" w:ascii="Arial" w:hAnsi="Times New Roman" w:cs="Arial"/>
          <w:b/>
          <w:color w:val="auto"/>
          <w:sz w:val="26"/>
          <w:szCs w:val="26"/>
          <w:lang w:val="en-US" w:eastAsia="zh-CN"/>
        </w:rPr>
        <w:t>1）枢纽工程</w:t>
      </w:r>
    </w:p>
    <w:p w14:paraId="5CFDF61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首先在河道左侧施工涵管基础及导流涵管，待涵管施工完毕，采用横向围堰拦断河床，涵管泄流，期间进行全断面基坑开挖及砼浇筑。导流涵管布置于大坝左岸坝段，涵管中心线垂直于坝轴线，根据该处地形条件，涵管进口中心线高程定位401.86m，出口高程为400.94m，穿坝段涵管采用</w:t>
      </w:r>
      <w:r>
        <w:rPr>
          <w:rFonts w:hint="eastAsia" w:ascii="Arial" w:hAnsi="Arial" w:cs="Arial"/>
          <w:sz w:val="26"/>
          <w:szCs w:val="26"/>
          <w:lang w:val="en-US" w:eastAsia="zh-CN"/>
        </w:rPr>
        <w:t>DN</w:t>
      </w:r>
      <w:r>
        <w:rPr>
          <w:rFonts w:hint="eastAsia" w:ascii="Arial" w:hAnsi="Arial" w:cs="Arial"/>
          <w:sz w:val="26"/>
          <w:szCs w:val="26"/>
          <w:lang w:eastAsia="zh-CN"/>
        </w:rPr>
        <w:t>1000焊接钢管，穿坝段与延伸段采用法兰连接，导流任务结束后，拆卸法兰连接处，拆除前端管道，关闭下游闸阀，作为水库检修的放空管使用。</w:t>
      </w:r>
    </w:p>
    <w:p w14:paraId="1E2BEDF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上游围堰采用土石围堰，围堰顶高程为402.70m，最大堰高约2.5m，围堰轴线长18.0m，堰顶宽度为3.0m。由于本工程河床为基岩，根据同类工程经验，本阶段堰体上游侧采用粘土+土工膜防渗。围堰迎水面、背水面边坡均为1:2，迎水面及背水面均采用土石编织袋码砌防护。</w:t>
      </w:r>
    </w:p>
    <w:p w14:paraId="43EAA76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下游围堰采用土石围堰，围堰顶高程为401.00m，最大堰高约1.52m，围堰轴线长55.0m，堰顶宽度为3.0m。本工程河床为基岩，围堰迎水面、背水面边坡均为1:2，堰体下游侧采用土工膜防渗，迎水面及背水面均采用土石编织袋码砌防护。</w:t>
      </w:r>
    </w:p>
    <w:p w14:paraId="6F485863">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eastAsia" w:ascii="Arial" w:hAnsi="Times New Roman" w:cs="Arial"/>
          <w:b/>
          <w:color w:val="auto"/>
          <w:sz w:val="26"/>
          <w:szCs w:val="26"/>
          <w:lang w:val="en-US" w:eastAsia="zh-CN"/>
        </w:rPr>
        <w:t>2）输水工程</w:t>
      </w:r>
    </w:p>
    <w:p w14:paraId="2011BD9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采用上下游横向围堰拦断河床，涵管泄流，沿着顺河流放线设导流涵管。</w:t>
      </w:r>
      <w:r>
        <w:rPr>
          <w:snapToGrid w:val="0"/>
          <w:color w:val="auto"/>
          <w:kern w:val="24"/>
          <w:sz w:val="26"/>
          <w:szCs w:val="26"/>
          <w:highlight w:val="none"/>
        </w:rPr>
        <w:t>上</w:t>
      </w:r>
      <w:r>
        <w:rPr>
          <w:rFonts w:hint="eastAsia"/>
          <w:snapToGrid w:val="0"/>
          <w:color w:val="auto"/>
          <w:kern w:val="24"/>
          <w:sz w:val="26"/>
          <w:szCs w:val="26"/>
          <w:highlight w:val="none"/>
        </w:rPr>
        <w:t>、下</w:t>
      </w:r>
      <w:r>
        <w:rPr>
          <w:snapToGrid w:val="0"/>
          <w:color w:val="auto"/>
          <w:kern w:val="24"/>
          <w:sz w:val="26"/>
          <w:szCs w:val="26"/>
          <w:highlight w:val="none"/>
        </w:rPr>
        <w:t>游围堰采用土石围堰，</w:t>
      </w:r>
      <w:r>
        <w:rPr>
          <w:rFonts w:hint="default" w:ascii="Arial" w:hAnsi="Arial" w:cs="Arial"/>
          <w:snapToGrid w:val="0"/>
          <w:color w:val="auto"/>
          <w:kern w:val="24"/>
          <w:sz w:val="26"/>
          <w:szCs w:val="26"/>
          <w:highlight w:val="none"/>
          <w:lang w:eastAsia="zh-CN"/>
        </w:rPr>
        <w:t>堰顶宽</w:t>
      </w:r>
      <w:r>
        <w:rPr>
          <w:rFonts w:hint="default" w:ascii="Arial" w:hAnsi="Arial" w:cs="Arial"/>
          <w:snapToGrid w:val="0"/>
          <w:color w:val="auto"/>
          <w:kern w:val="24"/>
          <w:sz w:val="26"/>
          <w:szCs w:val="26"/>
          <w:highlight w:val="none"/>
          <w:lang w:val="en-US" w:eastAsia="zh-CN"/>
        </w:rPr>
        <w:t>2m、最大堰高1.0~2.5m，</w:t>
      </w:r>
      <w:r>
        <w:rPr>
          <w:snapToGrid w:val="0"/>
          <w:color w:val="auto"/>
          <w:kern w:val="24"/>
          <w:sz w:val="26"/>
          <w:szCs w:val="26"/>
          <w:highlight w:val="none"/>
        </w:rPr>
        <w:t>堰体上游侧采用粘土+土工膜防渗</w:t>
      </w:r>
      <w:r>
        <w:rPr>
          <w:rFonts w:hint="eastAsia"/>
          <w:snapToGrid w:val="0"/>
          <w:color w:val="auto"/>
          <w:kern w:val="24"/>
          <w:sz w:val="26"/>
          <w:szCs w:val="26"/>
          <w:highlight w:val="none"/>
          <w:lang w:eastAsia="zh-CN"/>
        </w:rPr>
        <w:t>；</w:t>
      </w:r>
      <w:r>
        <w:rPr>
          <w:rFonts w:hint="eastAsia" w:ascii="Arial" w:hAnsi="Arial" w:cs="Arial"/>
          <w:sz w:val="26"/>
          <w:szCs w:val="26"/>
          <w:lang w:eastAsia="zh-CN"/>
        </w:rPr>
        <w:t>涵管采用C25钢筋砼管，</w:t>
      </w:r>
      <w:r>
        <w:rPr>
          <w:rFonts w:hint="eastAsia" w:ascii="Arial" w:hAnsi="Arial" w:cs="Arial"/>
          <w:sz w:val="26"/>
          <w:szCs w:val="26"/>
          <w:lang w:val="en-US" w:eastAsia="zh-CN"/>
        </w:rPr>
        <w:t>根据不同流量分别采DN400、600、800、1000等型号</w:t>
      </w:r>
      <w:r>
        <w:rPr>
          <w:rFonts w:hint="eastAsia" w:ascii="Arial" w:hAnsi="Arial" w:cs="Arial"/>
          <w:sz w:val="26"/>
          <w:szCs w:val="26"/>
          <w:lang w:eastAsia="zh-CN"/>
        </w:rPr>
        <w:t>，导流任务结束后，拆卸管道和围堰。</w:t>
      </w:r>
    </w:p>
    <w:p w14:paraId="3EF5BB14">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eastAsia" w:ascii="Arial" w:hAnsi="Times New Roman" w:cs="Arial"/>
          <w:b/>
          <w:color w:val="auto"/>
          <w:sz w:val="26"/>
          <w:szCs w:val="26"/>
          <w:lang w:val="en-US" w:eastAsia="zh-CN"/>
        </w:rPr>
        <w:t>⑤ 导流建筑物工程量</w:t>
      </w:r>
    </w:p>
    <w:p w14:paraId="44A718C4">
      <w:pPr>
        <w:keepNext w:val="0"/>
        <w:keepLines w:val="0"/>
        <w:pageBreakBefore w:val="0"/>
        <w:widowControl w:val="0"/>
        <w:kinsoku/>
        <w:wordWrap/>
        <w:overflowPunct/>
        <w:topLinePunct w:val="0"/>
        <w:autoSpaceDE w:val="0"/>
        <w:autoSpaceDN w:val="0"/>
        <w:bidi w:val="0"/>
        <w:adjustRightInd w:val="0"/>
        <w:snapToGrid/>
        <w:spacing w:line="460" w:lineRule="exact"/>
        <w:ind w:firstLine="482"/>
        <w:jc w:val="both"/>
        <w:textAlignment w:val="auto"/>
        <w:rPr>
          <w:rFonts w:hint="eastAsia" w:ascii="Arial" w:hAnsi="Arial" w:cs="Arial"/>
          <w:sz w:val="26"/>
          <w:szCs w:val="26"/>
          <w:lang w:val="en-US" w:eastAsia="zh-CN"/>
        </w:rPr>
      </w:pPr>
      <w:r>
        <w:rPr>
          <w:rFonts w:hint="eastAsia" w:ascii="Arial" w:hAnsi="Arial" w:cs="Arial"/>
          <w:sz w:val="26"/>
          <w:szCs w:val="26"/>
          <w:lang w:eastAsia="zh-CN"/>
        </w:rPr>
        <w:t>海螺沟水库枢纽工程导流工程量汇总详见表</w:t>
      </w:r>
      <w:r>
        <w:rPr>
          <w:rFonts w:hint="eastAsia" w:ascii="Arial" w:hAnsi="Arial" w:cs="Arial"/>
          <w:sz w:val="26"/>
          <w:szCs w:val="26"/>
          <w:lang w:val="en-US" w:eastAsia="zh-CN"/>
        </w:rPr>
        <w:t>2.2-10所示，输水工程</w:t>
      </w:r>
      <w:r>
        <w:rPr>
          <w:rFonts w:hint="eastAsia" w:ascii="Arial" w:hAnsi="Arial" w:cs="Arial"/>
          <w:sz w:val="26"/>
          <w:szCs w:val="26"/>
          <w:lang w:eastAsia="zh-CN"/>
        </w:rPr>
        <w:t>导流工程量汇总详见表</w:t>
      </w:r>
      <w:r>
        <w:rPr>
          <w:rFonts w:hint="eastAsia" w:ascii="Arial" w:hAnsi="Arial" w:cs="Arial"/>
          <w:sz w:val="26"/>
          <w:szCs w:val="26"/>
          <w:lang w:val="en-US" w:eastAsia="zh-CN"/>
        </w:rPr>
        <w:t>2.2-11所示。</w:t>
      </w:r>
    </w:p>
    <w:p w14:paraId="5592BCC6">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2.2-10 海螺沟水库枢纽工程导流工程量汇总表</w:t>
      </w:r>
    </w:p>
    <w:tbl>
      <w:tblPr>
        <w:tblStyle w:val="77"/>
        <w:tblW w:w="884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45"/>
        <w:gridCol w:w="3975"/>
        <w:gridCol w:w="1000"/>
        <w:gridCol w:w="1283"/>
        <w:gridCol w:w="1743"/>
      </w:tblGrid>
      <w:tr w14:paraId="5E19D3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845" w:type="dxa"/>
            <w:noWrap/>
            <w:vAlign w:val="center"/>
          </w:tcPr>
          <w:p w14:paraId="603E40B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序号</w:t>
            </w:r>
          </w:p>
        </w:tc>
        <w:tc>
          <w:tcPr>
            <w:tcW w:w="3975" w:type="dxa"/>
            <w:noWrap/>
            <w:vAlign w:val="center"/>
          </w:tcPr>
          <w:p w14:paraId="151AED7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工程或费用名称</w:t>
            </w:r>
          </w:p>
        </w:tc>
        <w:tc>
          <w:tcPr>
            <w:tcW w:w="1000" w:type="dxa"/>
            <w:noWrap/>
            <w:vAlign w:val="center"/>
          </w:tcPr>
          <w:p w14:paraId="7DFD8D8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单位</w:t>
            </w:r>
          </w:p>
        </w:tc>
        <w:tc>
          <w:tcPr>
            <w:tcW w:w="1283" w:type="dxa"/>
            <w:noWrap/>
            <w:vAlign w:val="center"/>
          </w:tcPr>
          <w:p w14:paraId="0F22D2C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工程量</w:t>
            </w:r>
          </w:p>
        </w:tc>
        <w:tc>
          <w:tcPr>
            <w:tcW w:w="1743" w:type="dxa"/>
            <w:noWrap/>
            <w:vAlign w:val="center"/>
          </w:tcPr>
          <w:p w14:paraId="77BCE4A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备注</w:t>
            </w:r>
          </w:p>
        </w:tc>
      </w:tr>
      <w:tr w14:paraId="6A72F7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845" w:type="dxa"/>
            <w:noWrap w:val="0"/>
            <w:vAlign w:val="center"/>
          </w:tcPr>
          <w:p w14:paraId="585F73C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c>
          <w:tcPr>
            <w:tcW w:w="3975" w:type="dxa"/>
            <w:noWrap w:val="0"/>
            <w:vAlign w:val="center"/>
          </w:tcPr>
          <w:p w14:paraId="1B1D267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土方开挖</w:t>
            </w:r>
          </w:p>
        </w:tc>
        <w:tc>
          <w:tcPr>
            <w:tcW w:w="1000" w:type="dxa"/>
            <w:vMerge w:val="restart"/>
            <w:noWrap w:val="0"/>
            <w:vAlign w:val="center"/>
          </w:tcPr>
          <w:p w14:paraId="2411B9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val="en-US" w:eastAsia="zh-CN"/>
              </w:rPr>
              <w:t>m</w:t>
            </w:r>
            <w:r>
              <w:rPr>
                <w:rFonts w:hint="eastAsia" w:ascii="Arial" w:hAnsi="Arial" w:cs="Arial"/>
                <w:color w:val="auto"/>
                <w:kern w:val="0"/>
                <w:sz w:val="22"/>
                <w:szCs w:val="22"/>
                <w:highlight w:val="none"/>
                <w:vertAlign w:val="superscript"/>
                <w:lang w:val="en-US" w:eastAsia="zh-CN"/>
              </w:rPr>
              <w:t>3</w:t>
            </w:r>
          </w:p>
        </w:tc>
        <w:tc>
          <w:tcPr>
            <w:tcW w:w="1283" w:type="dxa"/>
            <w:noWrap/>
            <w:vAlign w:val="center"/>
          </w:tcPr>
          <w:p w14:paraId="3E45EF3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79</w:t>
            </w:r>
          </w:p>
        </w:tc>
        <w:tc>
          <w:tcPr>
            <w:tcW w:w="1743" w:type="dxa"/>
            <w:noWrap/>
            <w:vAlign w:val="center"/>
          </w:tcPr>
          <w:p w14:paraId="1F2C2FB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r>
      <w:tr w14:paraId="361CDA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845" w:type="dxa"/>
            <w:noWrap w:val="0"/>
            <w:vAlign w:val="center"/>
          </w:tcPr>
          <w:p w14:paraId="5B76B07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c>
          <w:tcPr>
            <w:tcW w:w="3975" w:type="dxa"/>
            <w:noWrap w:val="0"/>
            <w:vAlign w:val="center"/>
          </w:tcPr>
          <w:p w14:paraId="308435A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围堰土石填筑（利开开挖土石料）</w:t>
            </w:r>
          </w:p>
        </w:tc>
        <w:tc>
          <w:tcPr>
            <w:tcW w:w="1000" w:type="dxa"/>
            <w:vMerge w:val="continue"/>
            <w:noWrap w:val="0"/>
            <w:vAlign w:val="center"/>
          </w:tcPr>
          <w:p w14:paraId="29FB32C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283" w:type="dxa"/>
            <w:noWrap/>
            <w:vAlign w:val="center"/>
          </w:tcPr>
          <w:p w14:paraId="146B6C3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413</w:t>
            </w:r>
          </w:p>
        </w:tc>
        <w:tc>
          <w:tcPr>
            <w:tcW w:w="1743" w:type="dxa"/>
            <w:noWrap/>
            <w:vAlign w:val="center"/>
          </w:tcPr>
          <w:p w14:paraId="78A3E24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r>
      <w:tr w14:paraId="098A2A5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845" w:type="dxa"/>
            <w:noWrap w:val="0"/>
            <w:vAlign w:val="center"/>
          </w:tcPr>
          <w:p w14:paraId="787FD5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c>
          <w:tcPr>
            <w:tcW w:w="3975" w:type="dxa"/>
            <w:noWrap w:val="0"/>
            <w:vAlign w:val="center"/>
          </w:tcPr>
          <w:p w14:paraId="56F5559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粘土编织袋防护（厚0.6m）</w:t>
            </w:r>
          </w:p>
        </w:tc>
        <w:tc>
          <w:tcPr>
            <w:tcW w:w="1000" w:type="dxa"/>
            <w:vMerge w:val="continue"/>
            <w:noWrap w:val="0"/>
            <w:vAlign w:val="center"/>
          </w:tcPr>
          <w:p w14:paraId="5AFD90E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283" w:type="dxa"/>
            <w:noWrap/>
            <w:vAlign w:val="center"/>
          </w:tcPr>
          <w:p w14:paraId="014BD28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252</w:t>
            </w:r>
          </w:p>
        </w:tc>
        <w:tc>
          <w:tcPr>
            <w:tcW w:w="1743" w:type="dxa"/>
            <w:noWrap/>
            <w:vAlign w:val="center"/>
          </w:tcPr>
          <w:p w14:paraId="0BB3CF3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r>
      <w:tr w14:paraId="6CD383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845" w:type="dxa"/>
            <w:noWrap w:val="0"/>
            <w:vAlign w:val="center"/>
          </w:tcPr>
          <w:p w14:paraId="7ABFB82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w:t>
            </w:r>
          </w:p>
        </w:tc>
        <w:tc>
          <w:tcPr>
            <w:tcW w:w="3975" w:type="dxa"/>
            <w:noWrap w:val="0"/>
            <w:vAlign w:val="center"/>
          </w:tcPr>
          <w:p w14:paraId="3CAAD30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土工膜防渗（8mm）</w:t>
            </w:r>
          </w:p>
        </w:tc>
        <w:tc>
          <w:tcPr>
            <w:tcW w:w="1000" w:type="dxa"/>
            <w:vMerge w:val="continue"/>
            <w:noWrap w:val="0"/>
            <w:vAlign w:val="center"/>
          </w:tcPr>
          <w:p w14:paraId="1E68A9C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283" w:type="dxa"/>
            <w:noWrap/>
            <w:vAlign w:val="center"/>
          </w:tcPr>
          <w:p w14:paraId="615BC19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231</w:t>
            </w:r>
          </w:p>
        </w:tc>
        <w:tc>
          <w:tcPr>
            <w:tcW w:w="1743" w:type="dxa"/>
            <w:noWrap/>
            <w:vAlign w:val="center"/>
          </w:tcPr>
          <w:p w14:paraId="38CAC57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r>
      <w:tr w14:paraId="3A2A33A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845" w:type="dxa"/>
            <w:noWrap w:val="0"/>
            <w:vAlign w:val="center"/>
          </w:tcPr>
          <w:p w14:paraId="0C79C68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w:t>
            </w:r>
          </w:p>
        </w:tc>
        <w:tc>
          <w:tcPr>
            <w:tcW w:w="3975" w:type="dxa"/>
            <w:noWrap w:val="0"/>
            <w:vAlign w:val="center"/>
          </w:tcPr>
          <w:p w14:paraId="1E3FC39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围堰拆除</w:t>
            </w:r>
          </w:p>
        </w:tc>
        <w:tc>
          <w:tcPr>
            <w:tcW w:w="1000" w:type="dxa"/>
            <w:vMerge w:val="continue"/>
            <w:noWrap w:val="0"/>
            <w:vAlign w:val="center"/>
          </w:tcPr>
          <w:p w14:paraId="543EA99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283" w:type="dxa"/>
            <w:noWrap w:val="0"/>
            <w:vAlign w:val="center"/>
          </w:tcPr>
          <w:p w14:paraId="4ED214C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666</w:t>
            </w:r>
          </w:p>
        </w:tc>
        <w:tc>
          <w:tcPr>
            <w:tcW w:w="1743" w:type="dxa"/>
            <w:noWrap w:val="0"/>
            <w:vAlign w:val="center"/>
          </w:tcPr>
          <w:p w14:paraId="46F3134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r>
      <w:tr w14:paraId="6A0A3F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845" w:type="dxa"/>
            <w:noWrap w:val="0"/>
            <w:vAlign w:val="center"/>
          </w:tcPr>
          <w:p w14:paraId="760574B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6</w:t>
            </w:r>
          </w:p>
        </w:tc>
        <w:tc>
          <w:tcPr>
            <w:tcW w:w="3975" w:type="dxa"/>
            <w:noWrap w:val="0"/>
            <w:vAlign w:val="center"/>
          </w:tcPr>
          <w:p w14:paraId="09416F9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DN1000 C25钢筋砼管（Ⅲ级管）</w:t>
            </w:r>
          </w:p>
        </w:tc>
        <w:tc>
          <w:tcPr>
            <w:tcW w:w="1000" w:type="dxa"/>
            <w:vMerge w:val="restart"/>
            <w:noWrap w:val="0"/>
            <w:vAlign w:val="center"/>
          </w:tcPr>
          <w:p w14:paraId="46D6DE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m</w:t>
            </w:r>
          </w:p>
        </w:tc>
        <w:tc>
          <w:tcPr>
            <w:tcW w:w="1283" w:type="dxa"/>
            <w:noWrap w:val="0"/>
            <w:vAlign w:val="center"/>
          </w:tcPr>
          <w:p w14:paraId="5EBE2BE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232</w:t>
            </w:r>
          </w:p>
        </w:tc>
        <w:tc>
          <w:tcPr>
            <w:tcW w:w="1743" w:type="dxa"/>
            <w:noWrap w:val="0"/>
            <w:vAlign w:val="center"/>
          </w:tcPr>
          <w:p w14:paraId="03CCDBB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r>
      <w:tr w14:paraId="6C29F9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845" w:type="dxa"/>
            <w:noWrap w:val="0"/>
            <w:vAlign w:val="center"/>
          </w:tcPr>
          <w:p w14:paraId="75E6B5E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7</w:t>
            </w:r>
          </w:p>
        </w:tc>
        <w:tc>
          <w:tcPr>
            <w:tcW w:w="3975" w:type="dxa"/>
            <w:noWrap w:val="0"/>
            <w:vAlign w:val="center"/>
          </w:tcPr>
          <w:p w14:paraId="273890D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D1000钢管（壁厚8mm）</w:t>
            </w:r>
          </w:p>
        </w:tc>
        <w:tc>
          <w:tcPr>
            <w:tcW w:w="1000" w:type="dxa"/>
            <w:vMerge w:val="continue"/>
            <w:noWrap w:val="0"/>
            <w:vAlign w:val="center"/>
          </w:tcPr>
          <w:p w14:paraId="55B024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283" w:type="dxa"/>
            <w:noWrap w:val="0"/>
            <w:vAlign w:val="center"/>
          </w:tcPr>
          <w:p w14:paraId="11CF80B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default" w:ascii="Arial" w:hAnsi="Arial" w:cs="Arial"/>
                <w:color w:val="auto"/>
                <w:kern w:val="0"/>
                <w:sz w:val="22"/>
                <w:szCs w:val="22"/>
                <w:highlight w:val="none"/>
                <w:lang w:val="en-US" w:eastAsia="zh-CN"/>
              </w:rPr>
              <w:t>50</w:t>
            </w:r>
          </w:p>
        </w:tc>
        <w:tc>
          <w:tcPr>
            <w:tcW w:w="1743" w:type="dxa"/>
            <w:noWrap w:val="0"/>
            <w:vAlign w:val="center"/>
          </w:tcPr>
          <w:p w14:paraId="76F139D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r>
      <w:tr w14:paraId="29D1DD3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845" w:type="dxa"/>
            <w:noWrap w:val="0"/>
            <w:vAlign w:val="center"/>
          </w:tcPr>
          <w:p w14:paraId="7B1C029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8</w:t>
            </w:r>
          </w:p>
        </w:tc>
        <w:tc>
          <w:tcPr>
            <w:tcW w:w="3975" w:type="dxa"/>
            <w:noWrap w:val="0"/>
            <w:vAlign w:val="center"/>
          </w:tcPr>
          <w:p w14:paraId="2F8E1BA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D1000钢管（壁厚8mm）拆除</w:t>
            </w:r>
          </w:p>
        </w:tc>
        <w:tc>
          <w:tcPr>
            <w:tcW w:w="1000" w:type="dxa"/>
            <w:vMerge w:val="continue"/>
            <w:noWrap w:val="0"/>
            <w:vAlign w:val="center"/>
          </w:tcPr>
          <w:p w14:paraId="36879DC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283" w:type="dxa"/>
            <w:noWrap w:val="0"/>
            <w:vAlign w:val="center"/>
          </w:tcPr>
          <w:p w14:paraId="52B3704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lang w:val="en-US" w:eastAsia="zh-CN"/>
              </w:rPr>
              <w:t>50</w:t>
            </w:r>
          </w:p>
        </w:tc>
        <w:tc>
          <w:tcPr>
            <w:tcW w:w="1743" w:type="dxa"/>
            <w:noWrap w:val="0"/>
            <w:vAlign w:val="center"/>
          </w:tcPr>
          <w:p w14:paraId="368A9BF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r>
      <w:tr w14:paraId="331005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845" w:type="dxa"/>
            <w:noWrap w:val="0"/>
            <w:vAlign w:val="center"/>
          </w:tcPr>
          <w:p w14:paraId="239DC87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9</w:t>
            </w:r>
          </w:p>
        </w:tc>
        <w:tc>
          <w:tcPr>
            <w:tcW w:w="3975" w:type="dxa"/>
            <w:noWrap w:val="0"/>
            <w:vAlign w:val="center"/>
          </w:tcPr>
          <w:p w14:paraId="309B0E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D1000钢管（壁厚8mm）</w:t>
            </w:r>
          </w:p>
        </w:tc>
        <w:tc>
          <w:tcPr>
            <w:tcW w:w="1000" w:type="dxa"/>
            <w:vMerge w:val="continue"/>
            <w:noWrap w:val="0"/>
            <w:vAlign w:val="center"/>
          </w:tcPr>
          <w:p w14:paraId="645AA88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283" w:type="dxa"/>
            <w:noWrap w:val="0"/>
            <w:vAlign w:val="center"/>
          </w:tcPr>
          <w:p w14:paraId="0220575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lang w:val="en-US"/>
              </w:rPr>
            </w:pPr>
            <w:r>
              <w:rPr>
                <w:rFonts w:hint="default" w:ascii="Arial" w:hAnsi="Arial" w:cs="Arial"/>
                <w:color w:val="auto"/>
                <w:kern w:val="0"/>
                <w:sz w:val="22"/>
                <w:szCs w:val="22"/>
                <w:highlight w:val="none"/>
                <w:lang w:val="en-US" w:eastAsia="zh-CN"/>
              </w:rPr>
              <w:t>89</w:t>
            </w:r>
          </w:p>
        </w:tc>
        <w:tc>
          <w:tcPr>
            <w:tcW w:w="1743" w:type="dxa"/>
            <w:noWrap w:val="0"/>
            <w:vAlign w:val="center"/>
          </w:tcPr>
          <w:p w14:paraId="64202E6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纳入永久工程</w:t>
            </w:r>
          </w:p>
        </w:tc>
      </w:tr>
    </w:tbl>
    <w:p w14:paraId="1AF96FD3">
      <w:pPr>
        <w:pStyle w:val="5"/>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lang w:val="en-US" w:eastAsia="zh-CN"/>
        </w:rPr>
      </w:pPr>
    </w:p>
    <w:p w14:paraId="30E17A2E">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2.2-11 海螺沟水库输水工程导流工程量汇总表</w:t>
      </w:r>
    </w:p>
    <w:tbl>
      <w:tblPr>
        <w:tblStyle w:val="7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92"/>
        <w:gridCol w:w="4667"/>
        <w:gridCol w:w="1174"/>
        <w:gridCol w:w="1506"/>
      </w:tblGrid>
      <w:tr w14:paraId="4F9FC2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8" w:hRule="exact"/>
          <w:tblHeader/>
          <w:jc w:val="center"/>
        </w:trPr>
        <w:tc>
          <w:tcPr>
            <w:tcW w:w="992" w:type="dxa"/>
            <w:noWrap/>
            <w:vAlign w:val="center"/>
          </w:tcPr>
          <w:p w14:paraId="37D5421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序号</w:t>
            </w:r>
          </w:p>
        </w:tc>
        <w:tc>
          <w:tcPr>
            <w:tcW w:w="4667" w:type="dxa"/>
            <w:noWrap/>
            <w:vAlign w:val="center"/>
          </w:tcPr>
          <w:p w14:paraId="2BEDF8A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工程或费用名称</w:t>
            </w:r>
          </w:p>
        </w:tc>
        <w:tc>
          <w:tcPr>
            <w:tcW w:w="1174" w:type="dxa"/>
            <w:noWrap/>
            <w:vAlign w:val="center"/>
          </w:tcPr>
          <w:p w14:paraId="68ECE5E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单位</w:t>
            </w:r>
          </w:p>
        </w:tc>
        <w:tc>
          <w:tcPr>
            <w:tcW w:w="1506" w:type="dxa"/>
            <w:noWrap/>
            <w:vAlign w:val="center"/>
          </w:tcPr>
          <w:p w14:paraId="4A07CF8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工程量</w:t>
            </w:r>
          </w:p>
        </w:tc>
      </w:tr>
      <w:tr w14:paraId="7B9501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8" w:hRule="exact"/>
          <w:jc w:val="center"/>
        </w:trPr>
        <w:tc>
          <w:tcPr>
            <w:tcW w:w="992" w:type="dxa"/>
            <w:noWrap w:val="0"/>
            <w:vAlign w:val="center"/>
          </w:tcPr>
          <w:p w14:paraId="736A9A1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c>
          <w:tcPr>
            <w:tcW w:w="4667" w:type="dxa"/>
            <w:noWrap w:val="0"/>
            <w:vAlign w:val="center"/>
          </w:tcPr>
          <w:p w14:paraId="09B9767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土方开挖</w:t>
            </w:r>
          </w:p>
        </w:tc>
        <w:tc>
          <w:tcPr>
            <w:tcW w:w="1174" w:type="dxa"/>
            <w:vMerge w:val="restart"/>
            <w:noWrap w:val="0"/>
            <w:vAlign w:val="center"/>
          </w:tcPr>
          <w:p w14:paraId="64EAE8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eastAsia" w:ascii="Arial" w:hAnsi="Arial" w:cs="Arial"/>
                <w:color w:val="auto"/>
                <w:kern w:val="0"/>
                <w:sz w:val="22"/>
                <w:szCs w:val="22"/>
                <w:highlight w:val="none"/>
                <w:lang w:val="en-US" w:eastAsia="zh-CN"/>
              </w:rPr>
              <w:t>m</w:t>
            </w:r>
            <w:r>
              <w:rPr>
                <w:rFonts w:hint="eastAsia" w:ascii="Arial" w:hAnsi="Arial" w:cs="Arial"/>
                <w:color w:val="auto"/>
                <w:kern w:val="0"/>
                <w:sz w:val="22"/>
                <w:szCs w:val="22"/>
                <w:highlight w:val="none"/>
                <w:vertAlign w:val="superscript"/>
                <w:lang w:val="en-US" w:eastAsia="zh-CN"/>
              </w:rPr>
              <w:t>3</w:t>
            </w:r>
          </w:p>
        </w:tc>
        <w:tc>
          <w:tcPr>
            <w:tcW w:w="1506" w:type="dxa"/>
            <w:noWrap/>
            <w:vAlign w:val="center"/>
          </w:tcPr>
          <w:p w14:paraId="0F056BF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158</w:t>
            </w:r>
          </w:p>
        </w:tc>
      </w:tr>
      <w:tr w14:paraId="43B2786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8" w:hRule="exact"/>
          <w:jc w:val="center"/>
        </w:trPr>
        <w:tc>
          <w:tcPr>
            <w:tcW w:w="992" w:type="dxa"/>
            <w:noWrap w:val="0"/>
            <w:vAlign w:val="center"/>
          </w:tcPr>
          <w:p w14:paraId="0BF4B68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c>
          <w:tcPr>
            <w:tcW w:w="4667" w:type="dxa"/>
            <w:noWrap w:val="0"/>
            <w:vAlign w:val="center"/>
          </w:tcPr>
          <w:p w14:paraId="095A0D0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围堰土石填筑（利开开挖土石料）</w:t>
            </w:r>
          </w:p>
        </w:tc>
        <w:tc>
          <w:tcPr>
            <w:tcW w:w="1174" w:type="dxa"/>
            <w:vMerge w:val="continue"/>
            <w:noWrap w:val="0"/>
            <w:vAlign w:val="center"/>
          </w:tcPr>
          <w:p w14:paraId="3AB072D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506" w:type="dxa"/>
            <w:noWrap/>
            <w:vAlign w:val="center"/>
          </w:tcPr>
          <w:p w14:paraId="6631E91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487</w:t>
            </w:r>
          </w:p>
        </w:tc>
      </w:tr>
      <w:tr w14:paraId="449BFDD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8" w:hRule="exact"/>
          <w:jc w:val="center"/>
        </w:trPr>
        <w:tc>
          <w:tcPr>
            <w:tcW w:w="992" w:type="dxa"/>
            <w:noWrap w:val="0"/>
            <w:vAlign w:val="center"/>
          </w:tcPr>
          <w:p w14:paraId="58784C3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c>
          <w:tcPr>
            <w:tcW w:w="4667" w:type="dxa"/>
            <w:noWrap w:val="0"/>
            <w:vAlign w:val="center"/>
          </w:tcPr>
          <w:p w14:paraId="77F47C4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粘土编织袋防护（厚0.6m）</w:t>
            </w:r>
          </w:p>
        </w:tc>
        <w:tc>
          <w:tcPr>
            <w:tcW w:w="1174" w:type="dxa"/>
            <w:vMerge w:val="continue"/>
            <w:noWrap w:val="0"/>
            <w:vAlign w:val="center"/>
          </w:tcPr>
          <w:p w14:paraId="31C4297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506" w:type="dxa"/>
            <w:noWrap/>
            <w:vAlign w:val="center"/>
          </w:tcPr>
          <w:p w14:paraId="27BD7C6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208</w:t>
            </w:r>
          </w:p>
        </w:tc>
      </w:tr>
      <w:tr w14:paraId="55BA12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8" w:hRule="exact"/>
          <w:jc w:val="center"/>
        </w:trPr>
        <w:tc>
          <w:tcPr>
            <w:tcW w:w="992" w:type="dxa"/>
            <w:noWrap w:val="0"/>
            <w:vAlign w:val="center"/>
          </w:tcPr>
          <w:p w14:paraId="11E1881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w:t>
            </w:r>
          </w:p>
        </w:tc>
        <w:tc>
          <w:tcPr>
            <w:tcW w:w="4667" w:type="dxa"/>
            <w:noWrap w:val="0"/>
            <w:vAlign w:val="center"/>
          </w:tcPr>
          <w:p w14:paraId="3081612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土工膜防渗（8mm）</w:t>
            </w:r>
          </w:p>
        </w:tc>
        <w:tc>
          <w:tcPr>
            <w:tcW w:w="1174" w:type="dxa"/>
            <w:vMerge w:val="continue"/>
            <w:noWrap w:val="0"/>
            <w:vAlign w:val="center"/>
          </w:tcPr>
          <w:p w14:paraId="2ED1A31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506" w:type="dxa"/>
            <w:noWrap/>
            <w:vAlign w:val="center"/>
          </w:tcPr>
          <w:p w14:paraId="1B4AB73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336</w:t>
            </w:r>
          </w:p>
        </w:tc>
      </w:tr>
      <w:tr w14:paraId="5BA170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8" w:hRule="exact"/>
          <w:jc w:val="center"/>
        </w:trPr>
        <w:tc>
          <w:tcPr>
            <w:tcW w:w="992" w:type="dxa"/>
            <w:noWrap w:val="0"/>
            <w:vAlign w:val="center"/>
          </w:tcPr>
          <w:p w14:paraId="5201896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w:t>
            </w:r>
          </w:p>
        </w:tc>
        <w:tc>
          <w:tcPr>
            <w:tcW w:w="4667" w:type="dxa"/>
            <w:noWrap w:val="0"/>
            <w:vAlign w:val="center"/>
          </w:tcPr>
          <w:p w14:paraId="727AF72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围堰拆除</w:t>
            </w:r>
          </w:p>
        </w:tc>
        <w:tc>
          <w:tcPr>
            <w:tcW w:w="1174" w:type="dxa"/>
            <w:vMerge w:val="continue"/>
            <w:noWrap w:val="0"/>
            <w:vAlign w:val="center"/>
          </w:tcPr>
          <w:p w14:paraId="482016F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506" w:type="dxa"/>
            <w:noWrap w:val="0"/>
            <w:vAlign w:val="center"/>
          </w:tcPr>
          <w:p w14:paraId="7D90318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695</w:t>
            </w:r>
          </w:p>
        </w:tc>
      </w:tr>
      <w:tr w14:paraId="3890714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8" w:hRule="exact"/>
          <w:jc w:val="center"/>
        </w:trPr>
        <w:tc>
          <w:tcPr>
            <w:tcW w:w="992" w:type="dxa"/>
            <w:noWrap w:val="0"/>
            <w:vAlign w:val="center"/>
          </w:tcPr>
          <w:p w14:paraId="1BA9BCF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6</w:t>
            </w:r>
          </w:p>
        </w:tc>
        <w:tc>
          <w:tcPr>
            <w:tcW w:w="4667" w:type="dxa"/>
            <w:noWrap w:val="0"/>
            <w:vAlign w:val="center"/>
          </w:tcPr>
          <w:p w14:paraId="7E45E66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DN400 C25钢筋砼管（Ⅲ级管）</w:t>
            </w:r>
          </w:p>
        </w:tc>
        <w:tc>
          <w:tcPr>
            <w:tcW w:w="1174" w:type="dxa"/>
            <w:vMerge w:val="restart"/>
            <w:noWrap w:val="0"/>
            <w:vAlign w:val="center"/>
          </w:tcPr>
          <w:p w14:paraId="1A03A05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m</w:t>
            </w:r>
          </w:p>
        </w:tc>
        <w:tc>
          <w:tcPr>
            <w:tcW w:w="1506" w:type="dxa"/>
            <w:noWrap w:val="0"/>
            <w:vAlign w:val="center"/>
          </w:tcPr>
          <w:p w14:paraId="06101F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45</w:t>
            </w:r>
          </w:p>
        </w:tc>
      </w:tr>
      <w:tr w14:paraId="592704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8" w:hRule="exact"/>
          <w:jc w:val="center"/>
        </w:trPr>
        <w:tc>
          <w:tcPr>
            <w:tcW w:w="992" w:type="dxa"/>
            <w:noWrap w:val="0"/>
            <w:vAlign w:val="center"/>
          </w:tcPr>
          <w:p w14:paraId="0212D5D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default" w:ascii="Arial" w:hAnsi="Arial" w:cs="Arial"/>
                <w:color w:val="auto"/>
                <w:kern w:val="0"/>
                <w:sz w:val="22"/>
                <w:szCs w:val="22"/>
                <w:highlight w:val="none"/>
                <w:lang w:val="en-US" w:eastAsia="zh-CN"/>
              </w:rPr>
              <w:t>7</w:t>
            </w:r>
          </w:p>
        </w:tc>
        <w:tc>
          <w:tcPr>
            <w:tcW w:w="4667" w:type="dxa"/>
            <w:noWrap w:val="0"/>
            <w:vAlign w:val="center"/>
          </w:tcPr>
          <w:p w14:paraId="407DA70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DN600 C25钢筋砼管（Ⅲ级管）</w:t>
            </w:r>
          </w:p>
        </w:tc>
        <w:tc>
          <w:tcPr>
            <w:tcW w:w="1174" w:type="dxa"/>
            <w:vMerge w:val="continue"/>
            <w:noWrap w:val="0"/>
            <w:vAlign w:val="center"/>
          </w:tcPr>
          <w:p w14:paraId="7059480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p>
        </w:tc>
        <w:tc>
          <w:tcPr>
            <w:tcW w:w="1506" w:type="dxa"/>
            <w:noWrap w:val="0"/>
            <w:vAlign w:val="center"/>
          </w:tcPr>
          <w:p w14:paraId="6A7683F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20</w:t>
            </w:r>
          </w:p>
        </w:tc>
      </w:tr>
      <w:tr w14:paraId="5B0963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8" w:hRule="exact"/>
          <w:jc w:val="center"/>
        </w:trPr>
        <w:tc>
          <w:tcPr>
            <w:tcW w:w="992" w:type="dxa"/>
            <w:noWrap w:val="0"/>
            <w:vAlign w:val="center"/>
          </w:tcPr>
          <w:p w14:paraId="50BC4B0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default" w:ascii="Arial" w:hAnsi="Arial" w:cs="Arial"/>
                <w:color w:val="auto"/>
                <w:kern w:val="0"/>
                <w:sz w:val="22"/>
                <w:szCs w:val="22"/>
                <w:highlight w:val="none"/>
                <w:lang w:val="en-US" w:eastAsia="zh-CN"/>
              </w:rPr>
              <w:t>8</w:t>
            </w:r>
          </w:p>
        </w:tc>
        <w:tc>
          <w:tcPr>
            <w:tcW w:w="4667" w:type="dxa"/>
            <w:noWrap w:val="0"/>
            <w:vAlign w:val="center"/>
          </w:tcPr>
          <w:p w14:paraId="71D2FE6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DN800 C25钢筋砼管（Ⅲ级管）</w:t>
            </w:r>
          </w:p>
        </w:tc>
        <w:tc>
          <w:tcPr>
            <w:tcW w:w="1174" w:type="dxa"/>
            <w:vMerge w:val="continue"/>
            <w:noWrap w:val="0"/>
            <w:vAlign w:val="center"/>
          </w:tcPr>
          <w:p w14:paraId="5D5292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p>
        </w:tc>
        <w:tc>
          <w:tcPr>
            <w:tcW w:w="1506" w:type="dxa"/>
            <w:noWrap w:val="0"/>
            <w:vAlign w:val="center"/>
          </w:tcPr>
          <w:p w14:paraId="06C43E9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45</w:t>
            </w:r>
          </w:p>
        </w:tc>
      </w:tr>
      <w:tr w14:paraId="5FCB92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6" w:hRule="exact"/>
          <w:jc w:val="center"/>
        </w:trPr>
        <w:tc>
          <w:tcPr>
            <w:tcW w:w="992" w:type="dxa"/>
            <w:noWrap w:val="0"/>
            <w:vAlign w:val="center"/>
          </w:tcPr>
          <w:p w14:paraId="66AE923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default" w:ascii="Arial" w:hAnsi="Arial" w:cs="Arial"/>
                <w:color w:val="auto"/>
                <w:kern w:val="0"/>
                <w:sz w:val="22"/>
                <w:szCs w:val="22"/>
                <w:highlight w:val="none"/>
                <w:lang w:val="en-US" w:eastAsia="zh-CN"/>
              </w:rPr>
              <w:t>9</w:t>
            </w:r>
          </w:p>
        </w:tc>
        <w:tc>
          <w:tcPr>
            <w:tcW w:w="4667" w:type="dxa"/>
            <w:noWrap w:val="0"/>
            <w:vAlign w:val="center"/>
          </w:tcPr>
          <w:p w14:paraId="78D73C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DN1000 C25钢筋砼管（Ⅲ级管）</w:t>
            </w:r>
          </w:p>
        </w:tc>
        <w:tc>
          <w:tcPr>
            <w:tcW w:w="1174" w:type="dxa"/>
            <w:vMerge w:val="continue"/>
            <w:noWrap w:val="0"/>
            <w:vAlign w:val="center"/>
          </w:tcPr>
          <w:p w14:paraId="24A5BD7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p>
        </w:tc>
        <w:tc>
          <w:tcPr>
            <w:tcW w:w="1506" w:type="dxa"/>
            <w:noWrap w:val="0"/>
            <w:vAlign w:val="center"/>
          </w:tcPr>
          <w:p w14:paraId="31743D0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95</w:t>
            </w:r>
          </w:p>
        </w:tc>
      </w:tr>
    </w:tbl>
    <w:p w14:paraId="25F3639E">
      <w:pPr>
        <w:keepNext w:val="0"/>
        <w:keepLines w:val="0"/>
        <w:pageBreakBefore w:val="0"/>
        <w:widowControl w:val="0"/>
        <w:kinsoku/>
        <w:wordWrap/>
        <w:overflowPunct/>
        <w:topLinePunct w:val="0"/>
        <w:autoSpaceDE/>
        <w:autoSpaceDN/>
        <w:bidi w:val="0"/>
        <w:adjustRightInd/>
        <w:snapToGrid/>
        <w:spacing w:line="240" w:lineRule="exact"/>
        <w:ind w:firstLine="392" w:firstLineChars="150"/>
        <w:textAlignment w:val="auto"/>
        <w:rPr>
          <w:rFonts w:hint="eastAsia" w:ascii="Arial" w:cs="Arial"/>
          <w:b/>
          <w:color w:val="auto"/>
          <w:sz w:val="26"/>
          <w:szCs w:val="26"/>
          <w:lang w:eastAsia="zh-CN"/>
        </w:rPr>
      </w:pPr>
    </w:p>
    <w:p w14:paraId="101BDCDE">
      <w:pPr>
        <w:keepNext w:val="0"/>
        <w:keepLines w:val="0"/>
        <w:pageBreakBefore w:val="0"/>
        <w:widowControl w:val="0"/>
        <w:kinsoku/>
        <w:wordWrap/>
        <w:overflowPunct/>
        <w:topLinePunct w:val="0"/>
        <w:autoSpaceDE/>
        <w:autoSpaceDN/>
        <w:bidi w:val="0"/>
        <w:adjustRightInd/>
        <w:spacing w:line="460" w:lineRule="exact"/>
        <w:ind w:firstLine="392" w:firstLineChars="150"/>
        <w:textAlignment w:val="auto"/>
        <w:rPr>
          <w:rFonts w:hint="default" w:ascii="Arial" w:cs="Arial"/>
          <w:b/>
          <w:color w:val="auto"/>
          <w:sz w:val="26"/>
          <w:szCs w:val="26"/>
          <w:lang w:val="en-US" w:eastAsia="zh-CN"/>
        </w:rPr>
      </w:pPr>
      <w:r>
        <w:rPr>
          <w:rFonts w:hint="eastAsia" w:ascii="Arial" w:cs="Arial"/>
          <w:b/>
          <w:color w:val="auto"/>
          <w:sz w:val="26"/>
          <w:szCs w:val="26"/>
          <w:lang w:eastAsia="zh-CN"/>
        </w:rPr>
        <w:t>（</w:t>
      </w:r>
      <w:r>
        <w:rPr>
          <w:rFonts w:hint="eastAsia" w:ascii="Arial" w:cs="Arial"/>
          <w:b/>
          <w:color w:val="auto"/>
          <w:sz w:val="26"/>
          <w:szCs w:val="26"/>
          <w:lang w:val="en-US" w:eastAsia="zh-CN"/>
        </w:rPr>
        <w:t>3）施工便道</w:t>
      </w:r>
    </w:p>
    <w:p w14:paraId="3232AB34">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cs="Arial"/>
          <w:b/>
          <w:color w:val="auto"/>
          <w:sz w:val="26"/>
          <w:szCs w:val="26"/>
          <w:lang w:val="en-US" w:eastAsia="zh-CN"/>
        </w:rPr>
      </w:pPr>
      <w:r>
        <w:rPr>
          <w:rFonts w:hint="default" w:ascii="Arial" w:cs="Arial"/>
          <w:b/>
          <w:color w:val="auto"/>
          <w:sz w:val="26"/>
          <w:szCs w:val="26"/>
          <w:lang w:eastAsia="zh-CN"/>
        </w:rPr>
        <w:t>①</w:t>
      </w:r>
      <w:r>
        <w:rPr>
          <w:rFonts w:hint="eastAsia" w:ascii="Arial" w:cs="Arial"/>
          <w:b/>
          <w:color w:val="auto"/>
          <w:sz w:val="26"/>
          <w:szCs w:val="26"/>
          <w:lang w:val="en-US" w:eastAsia="zh-CN"/>
        </w:rPr>
        <w:t xml:space="preserve"> 枢纽工程</w:t>
      </w:r>
    </w:p>
    <w:p w14:paraId="42E4450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sz w:val="26"/>
          <w:szCs w:val="26"/>
          <w:lang w:val="en-US" w:eastAsia="zh-CN"/>
        </w:rPr>
      </w:pPr>
      <w:r>
        <w:rPr>
          <w:rFonts w:hint="eastAsia" w:ascii="Arial" w:hAnsi="Arial" w:cs="Arial"/>
          <w:sz w:val="26"/>
          <w:szCs w:val="26"/>
          <w:lang w:eastAsia="zh-CN"/>
        </w:rPr>
        <w:t>根据项目初设报告，本项目枢纽工程施工区需新建施工便道</w:t>
      </w:r>
      <w:r>
        <w:rPr>
          <w:rFonts w:hint="eastAsia" w:ascii="Arial" w:hAnsi="Arial" w:cs="Arial"/>
          <w:sz w:val="26"/>
          <w:szCs w:val="26"/>
          <w:lang w:val="en-US" w:eastAsia="zh-CN"/>
        </w:rPr>
        <w:t>2条，1#施工便道长0.78km，由库尾现状公路连接施工场地；2#施工便道长0.43km，由项目施工场地连接枢纽工程施工区；以便于物料、人员的输送。施工便道路路面宽度4.5~5m，采取30</w:t>
      </w:r>
      <w:r>
        <w:rPr>
          <w:rFonts w:hint="eastAsia" w:ascii="Arial" w:hAnsi="Arial" w:cs="Arial"/>
          <w:sz w:val="26"/>
          <w:szCs w:val="26"/>
          <w:lang w:eastAsia="zh-CN"/>
        </w:rPr>
        <w:t>cm厚</w:t>
      </w:r>
      <w:r>
        <w:rPr>
          <w:rFonts w:hint="eastAsia" w:ascii="Arial" w:hAnsi="Arial" w:cs="Arial"/>
          <w:sz w:val="26"/>
          <w:szCs w:val="26"/>
          <w:lang w:val="en-US" w:eastAsia="zh-CN"/>
        </w:rPr>
        <w:t>干砌片石基础+</w:t>
      </w:r>
      <w:r>
        <w:rPr>
          <w:rFonts w:hint="eastAsia" w:ascii="Arial" w:hAnsi="Arial" w:cs="Arial"/>
          <w:sz w:val="26"/>
          <w:szCs w:val="26"/>
          <w:lang w:eastAsia="zh-CN"/>
        </w:rPr>
        <w:t>15cm厚碎石垫层+15cm厚泥结石路面结构。</w:t>
      </w:r>
    </w:p>
    <w:p w14:paraId="3499F855">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default" w:ascii="Arial" w:hAnsi="Times New Roman" w:cs="Arial"/>
          <w:b/>
          <w:color w:val="auto"/>
          <w:sz w:val="26"/>
          <w:szCs w:val="26"/>
          <w:lang w:eastAsia="zh-CN"/>
        </w:rPr>
        <w:t>②</w:t>
      </w:r>
      <w:r>
        <w:rPr>
          <w:rFonts w:hint="eastAsia" w:ascii="Arial" w:hAnsi="Times New Roman" w:cs="Arial"/>
          <w:b/>
          <w:color w:val="auto"/>
          <w:sz w:val="26"/>
          <w:szCs w:val="26"/>
          <w:lang w:val="en-US" w:eastAsia="zh-CN"/>
        </w:rPr>
        <w:t xml:space="preserve"> 输水工程</w:t>
      </w:r>
    </w:p>
    <w:p w14:paraId="08273E2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lang w:val="en-US" w:eastAsia="zh-CN"/>
        </w:rPr>
      </w:pPr>
      <w:r>
        <w:rPr>
          <w:rFonts w:hint="eastAsia" w:ascii="Arial" w:hAnsi="Arial" w:cs="Arial"/>
          <w:sz w:val="26"/>
          <w:szCs w:val="26"/>
          <w:lang w:eastAsia="zh-CN"/>
        </w:rPr>
        <w:t>根据项目初设报告，本项目输水工程施工区需新建施工便道</w:t>
      </w:r>
      <w:r>
        <w:rPr>
          <w:rFonts w:hint="eastAsia" w:ascii="Arial" w:hAnsi="Arial" w:cs="Arial"/>
          <w:sz w:val="26"/>
          <w:szCs w:val="26"/>
          <w:lang w:val="en-US" w:eastAsia="zh-CN"/>
        </w:rPr>
        <w:t>1条，长0.44km，由大坝枢纽沿双龙干线输水管线建设，接下游已建农村道路。施工便道路路面宽度3m，采取20cm厚C20砼路面结构，下设15cm厚碎石基层。</w:t>
      </w:r>
    </w:p>
    <w:p w14:paraId="4C0EEDF9">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highlight w:val="none"/>
          <w:lang w:val="en-US" w:eastAsia="zh-CN"/>
        </w:rPr>
      </w:pPr>
      <w:r>
        <w:rPr>
          <w:rFonts w:hint="eastAsia" w:ascii="Arial" w:hAnsi="Times New Roman" w:cs="Arial"/>
          <w:b/>
          <w:color w:val="auto"/>
          <w:sz w:val="26"/>
          <w:szCs w:val="26"/>
          <w:highlight w:val="none"/>
          <w:lang w:eastAsia="zh-CN"/>
        </w:rPr>
        <w:t>③</w:t>
      </w:r>
      <w:r>
        <w:rPr>
          <w:rFonts w:hint="eastAsia" w:ascii="Arial" w:hAnsi="Times New Roman" w:cs="Arial"/>
          <w:b/>
          <w:color w:val="auto"/>
          <w:sz w:val="26"/>
          <w:szCs w:val="26"/>
          <w:highlight w:val="none"/>
          <w:lang w:val="en-US" w:eastAsia="zh-CN"/>
        </w:rPr>
        <w:t xml:space="preserve"> 弃渣场</w:t>
      </w:r>
    </w:p>
    <w:p w14:paraId="2C088D2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highlight w:val="none"/>
          <w:lang w:eastAsia="zh-CN"/>
        </w:rPr>
        <w:t>根据项目初设报告，本项目弃渣场需新建施工便道</w:t>
      </w:r>
      <w:r>
        <w:rPr>
          <w:rFonts w:hint="eastAsia" w:ascii="Arial" w:hAnsi="Arial" w:cs="Arial"/>
          <w:sz w:val="26"/>
          <w:szCs w:val="26"/>
          <w:highlight w:val="none"/>
          <w:lang w:val="en-US" w:eastAsia="zh-CN"/>
        </w:rPr>
        <w:t>1条，长0.4km，由现状农村公路连接挡渣墙，以便于施工弃渣的分层堆存夯实。</w:t>
      </w:r>
      <w:r>
        <w:rPr>
          <w:rFonts w:hint="eastAsia" w:ascii="Arial" w:hAnsi="Arial" w:cs="Arial"/>
          <w:sz w:val="26"/>
          <w:szCs w:val="26"/>
          <w:lang w:val="en-US" w:eastAsia="zh-CN"/>
        </w:rPr>
        <w:t>施工便道路路面宽度4.5m，采取20cm厚C20砼路面结构，下设15cm厚碎石基层。</w:t>
      </w:r>
    </w:p>
    <w:p w14:paraId="6DEDB134">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highlight w:val="none"/>
          <w:lang w:val="en-US" w:eastAsia="zh-CN"/>
        </w:rPr>
      </w:pPr>
      <w:r>
        <w:rPr>
          <w:rFonts w:hint="eastAsia" w:ascii="Arial" w:hAnsi="Times New Roman" w:cs="Arial"/>
          <w:b/>
          <w:color w:val="auto"/>
          <w:sz w:val="26"/>
          <w:szCs w:val="26"/>
          <w:highlight w:val="none"/>
          <w:lang w:val="en-US" w:eastAsia="zh-CN"/>
        </w:rPr>
        <w:t>④ 小结</w:t>
      </w:r>
    </w:p>
    <w:p w14:paraId="2773F36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highlight w:val="none"/>
          <w:lang w:val="en-US" w:eastAsia="zh-CN"/>
        </w:rPr>
      </w:pPr>
      <w:r>
        <w:rPr>
          <w:rFonts w:hint="eastAsia" w:ascii="Arial" w:hAnsi="Arial" w:cs="Arial"/>
          <w:sz w:val="26"/>
          <w:szCs w:val="26"/>
          <w:highlight w:val="none"/>
          <w:lang w:val="en-US" w:eastAsia="zh-CN"/>
        </w:rPr>
        <w:t>本项目施工期施工便道建设情况汇总详见表2.2-12所示。</w:t>
      </w:r>
    </w:p>
    <w:p w14:paraId="150DC21D">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2.2-12 海螺沟水库施工便道建设情况汇总表</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945"/>
        <w:gridCol w:w="970"/>
        <w:gridCol w:w="886"/>
        <w:gridCol w:w="938"/>
        <w:gridCol w:w="1716"/>
        <w:gridCol w:w="1996"/>
      </w:tblGrid>
      <w:tr w14:paraId="2CA5DD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7" w:hRule="exact"/>
          <w:jc w:val="center"/>
        </w:trPr>
        <w:tc>
          <w:tcPr>
            <w:tcW w:w="1362" w:type="dxa"/>
            <w:noWrap/>
            <w:vAlign w:val="center"/>
          </w:tcPr>
          <w:p w14:paraId="3CD25B3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道路名称</w:t>
            </w:r>
          </w:p>
        </w:tc>
        <w:tc>
          <w:tcPr>
            <w:tcW w:w="945" w:type="dxa"/>
            <w:noWrap/>
            <w:vAlign w:val="center"/>
          </w:tcPr>
          <w:p w14:paraId="3E297BE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长度</w:t>
            </w:r>
            <w:r>
              <w:rPr>
                <w:rFonts w:hint="eastAsia" w:ascii="宋体" w:hAnsi="宋体" w:eastAsia="宋体" w:cs="宋体"/>
                <w:color w:val="auto"/>
                <w:kern w:val="0"/>
                <w:sz w:val="22"/>
                <w:szCs w:val="22"/>
                <w:highlight w:val="none"/>
              </w:rPr>
              <w:t>(</w:t>
            </w:r>
            <w:r>
              <w:rPr>
                <w:rFonts w:hint="default" w:ascii="Arial" w:hAnsi="Arial" w:cs="Arial"/>
                <w:color w:val="auto"/>
                <w:kern w:val="0"/>
                <w:sz w:val="22"/>
                <w:szCs w:val="22"/>
                <w:highlight w:val="none"/>
              </w:rPr>
              <w:t>km</w:t>
            </w:r>
            <w:r>
              <w:rPr>
                <w:rFonts w:hint="eastAsia" w:ascii="宋体" w:hAnsi="宋体" w:eastAsia="宋体" w:cs="宋体"/>
                <w:color w:val="auto"/>
                <w:kern w:val="0"/>
                <w:sz w:val="22"/>
                <w:szCs w:val="22"/>
                <w:highlight w:val="none"/>
              </w:rPr>
              <w:t>)</w:t>
            </w:r>
          </w:p>
        </w:tc>
        <w:tc>
          <w:tcPr>
            <w:tcW w:w="970" w:type="dxa"/>
            <w:noWrap/>
            <w:vAlign w:val="center"/>
          </w:tcPr>
          <w:p w14:paraId="2661355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路面宽</w:t>
            </w:r>
            <w:r>
              <w:rPr>
                <w:rFonts w:hint="eastAsia" w:ascii="宋体" w:hAnsi="宋体" w:eastAsia="宋体" w:cs="宋体"/>
                <w:color w:val="auto"/>
                <w:kern w:val="0"/>
                <w:sz w:val="22"/>
                <w:szCs w:val="22"/>
                <w:highlight w:val="none"/>
              </w:rPr>
              <w:t>(</w:t>
            </w:r>
            <w:r>
              <w:rPr>
                <w:rFonts w:hint="default" w:ascii="Arial" w:hAnsi="Arial" w:cs="Arial"/>
                <w:color w:val="auto"/>
                <w:kern w:val="0"/>
                <w:sz w:val="22"/>
                <w:szCs w:val="22"/>
                <w:highlight w:val="none"/>
              </w:rPr>
              <w:t>m</w:t>
            </w:r>
            <w:r>
              <w:rPr>
                <w:rFonts w:hint="eastAsia" w:ascii="宋体" w:hAnsi="宋体" w:eastAsia="宋体" w:cs="宋体"/>
                <w:color w:val="auto"/>
                <w:kern w:val="0"/>
                <w:sz w:val="22"/>
                <w:szCs w:val="22"/>
                <w:highlight w:val="none"/>
              </w:rPr>
              <w:t>)</w:t>
            </w:r>
          </w:p>
        </w:tc>
        <w:tc>
          <w:tcPr>
            <w:tcW w:w="886" w:type="dxa"/>
            <w:noWrap/>
            <w:vAlign w:val="center"/>
          </w:tcPr>
          <w:p w14:paraId="700328F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路基宽</w:t>
            </w:r>
            <w:r>
              <w:rPr>
                <w:rFonts w:hint="eastAsia" w:ascii="宋体" w:hAnsi="宋体" w:eastAsia="宋体" w:cs="宋体"/>
                <w:color w:val="auto"/>
                <w:kern w:val="0"/>
                <w:sz w:val="22"/>
                <w:szCs w:val="22"/>
                <w:highlight w:val="none"/>
              </w:rPr>
              <w:t>(</w:t>
            </w:r>
            <w:r>
              <w:rPr>
                <w:rFonts w:hint="default" w:ascii="Arial" w:hAnsi="Arial" w:cs="Arial"/>
                <w:color w:val="auto"/>
                <w:kern w:val="0"/>
                <w:sz w:val="22"/>
                <w:szCs w:val="22"/>
                <w:highlight w:val="none"/>
              </w:rPr>
              <w:t>m</w:t>
            </w:r>
            <w:r>
              <w:rPr>
                <w:rFonts w:hint="eastAsia" w:ascii="宋体" w:hAnsi="宋体" w:eastAsia="宋体" w:cs="宋体"/>
                <w:color w:val="auto"/>
                <w:kern w:val="0"/>
                <w:sz w:val="22"/>
                <w:szCs w:val="22"/>
                <w:highlight w:val="none"/>
              </w:rPr>
              <w:t>)</w:t>
            </w:r>
          </w:p>
        </w:tc>
        <w:tc>
          <w:tcPr>
            <w:tcW w:w="938" w:type="dxa"/>
            <w:noWrap/>
            <w:vAlign w:val="center"/>
          </w:tcPr>
          <w:p w14:paraId="4923C9F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路面</w:t>
            </w:r>
          </w:p>
          <w:p w14:paraId="024B7B6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形式</w:t>
            </w:r>
          </w:p>
        </w:tc>
        <w:tc>
          <w:tcPr>
            <w:tcW w:w="1716" w:type="dxa"/>
            <w:noWrap/>
            <w:vAlign w:val="center"/>
          </w:tcPr>
          <w:p w14:paraId="6F10A31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道路高程</w:t>
            </w:r>
          </w:p>
        </w:tc>
        <w:tc>
          <w:tcPr>
            <w:tcW w:w="1996" w:type="dxa"/>
            <w:noWrap/>
            <w:vAlign w:val="center"/>
          </w:tcPr>
          <w:p w14:paraId="385E5EC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备注</w:t>
            </w:r>
          </w:p>
        </w:tc>
      </w:tr>
      <w:tr w14:paraId="73DD5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8813" w:type="dxa"/>
            <w:gridSpan w:val="7"/>
            <w:noWrap/>
            <w:vAlign w:val="center"/>
          </w:tcPr>
          <w:p w14:paraId="400FA77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eastAsia="zh-CN"/>
              </w:rPr>
              <w:t>枢纽工程</w:t>
            </w:r>
          </w:p>
        </w:tc>
      </w:tr>
      <w:tr w14:paraId="4CC66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9" w:hRule="exact"/>
          <w:jc w:val="center"/>
        </w:trPr>
        <w:tc>
          <w:tcPr>
            <w:tcW w:w="1362" w:type="dxa"/>
            <w:noWrap/>
            <w:vAlign w:val="center"/>
          </w:tcPr>
          <w:p w14:paraId="01EAC19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1#临时道路</w:t>
            </w:r>
          </w:p>
        </w:tc>
        <w:tc>
          <w:tcPr>
            <w:tcW w:w="945" w:type="dxa"/>
            <w:noWrap/>
            <w:vAlign w:val="center"/>
          </w:tcPr>
          <w:p w14:paraId="43CDFCA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0.78</w:t>
            </w:r>
          </w:p>
        </w:tc>
        <w:tc>
          <w:tcPr>
            <w:tcW w:w="970" w:type="dxa"/>
            <w:noWrap/>
            <w:vAlign w:val="center"/>
          </w:tcPr>
          <w:p w14:paraId="50CFC52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5.5</w:t>
            </w:r>
          </w:p>
        </w:tc>
        <w:tc>
          <w:tcPr>
            <w:tcW w:w="886" w:type="dxa"/>
            <w:noWrap/>
            <w:vAlign w:val="center"/>
          </w:tcPr>
          <w:p w14:paraId="11E300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4.5</w:t>
            </w:r>
          </w:p>
        </w:tc>
        <w:tc>
          <w:tcPr>
            <w:tcW w:w="938" w:type="dxa"/>
            <w:noWrap/>
            <w:vAlign w:val="center"/>
          </w:tcPr>
          <w:p w14:paraId="7E082BB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泥结石</w:t>
            </w:r>
          </w:p>
        </w:tc>
        <w:tc>
          <w:tcPr>
            <w:tcW w:w="1716" w:type="dxa"/>
            <w:noWrap/>
            <w:vAlign w:val="center"/>
          </w:tcPr>
          <w:p w14:paraId="6C64E6E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449.80~404.00</w:t>
            </w:r>
          </w:p>
        </w:tc>
        <w:tc>
          <w:tcPr>
            <w:tcW w:w="1996" w:type="dxa"/>
            <w:noWrap/>
            <w:vAlign w:val="center"/>
          </w:tcPr>
          <w:p w14:paraId="7211976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库尾至施工场地</w:t>
            </w:r>
          </w:p>
        </w:tc>
      </w:tr>
      <w:tr w14:paraId="3E032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362" w:type="dxa"/>
            <w:noWrap/>
            <w:vAlign w:val="center"/>
          </w:tcPr>
          <w:p w14:paraId="2470912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2#临时道路</w:t>
            </w:r>
          </w:p>
        </w:tc>
        <w:tc>
          <w:tcPr>
            <w:tcW w:w="945" w:type="dxa"/>
            <w:noWrap/>
            <w:vAlign w:val="center"/>
          </w:tcPr>
          <w:p w14:paraId="39A71E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0.43</w:t>
            </w:r>
          </w:p>
        </w:tc>
        <w:tc>
          <w:tcPr>
            <w:tcW w:w="970" w:type="dxa"/>
            <w:noWrap/>
            <w:vAlign w:val="center"/>
          </w:tcPr>
          <w:p w14:paraId="56FC22E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val="en-US" w:eastAsia="zh-CN"/>
              </w:rPr>
              <w:t>6</w:t>
            </w:r>
          </w:p>
        </w:tc>
        <w:tc>
          <w:tcPr>
            <w:tcW w:w="886" w:type="dxa"/>
            <w:noWrap/>
            <w:vAlign w:val="center"/>
          </w:tcPr>
          <w:p w14:paraId="22C4959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eastAsia" w:ascii="Arial" w:hAnsi="Arial" w:cs="Arial"/>
                <w:color w:val="auto"/>
                <w:kern w:val="0"/>
                <w:sz w:val="22"/>
                <w:szCs w:val="22"/>
                <w:highlight w:val="none"/>
                <w:lang w:val="en-US" w:eastAsia="zh-CN"/>
              </w:rPr>
              <w:t>5</w:t>
            </w:r>
          </w:p>
        </w:tc>
        <w:tc>
          <w:tcPr>
            <w:tcW w:w="938" w:type="dxa"/>
            <w:noWrap/>
            <w:vAlign w:val="center"/>
          </w:tcPr>
          <w:p w14:paraId="269B732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泥结石</w:t>
            </w:r>
          </w:p>
        </w:tc>
        <w:tc>
          <w:tcPr>
            <w:tcW w:w="1716" w:type="dxa"/>
            <w:noWrap/>
            <w:vAlign w:val="center"/>
          </w:tcPr>
          <w:p w14:paraId="4F8FFDA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513.72~535.84</w:t>
            </w:r>
          </w:p>
        </w:tc>
        <w:tc>
          <w:tcPr>
            <w:tcW w:w="1996" w:type="dxa"/>
            <w:noWrap/>
            <w:vAlign w:val="center"/>
          </w:tcPr>
          <w:p w14:paraId="4959AA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eastAsia="zh-CN"/>
              </w:rPr>
              <w:t>施工场地至枢纽工程施工区</w:t>
            </w:r>
          </w:p>
        </w:tc>
      </w:tr>
      <w:tr w14:paraId="37560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62" w:type="dxa"/>
            <w:noWrap/>
            <w:vAlign w:val="center"/>
          </w:tcPr>
          <w:p w14:paraId="57B0AC4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小计</w:t>
            </w:r>
          </w:p>
        </w:tc>
        <w:tc>
          <w:tcPr>
            <w:tcW w:w="945" w:type="dxa"/>
            <w:noWrap/>
            <w:vAlign w:val="center"/>
          </w:tcPr>
          <w:p w14:paraId="6DEB705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1.21</w:t>
            </w:r>
          </w:p>
        </w:tc>
        <w:tc>
          <w:tcPr>
            <w:tcW w:w="970" w:type="dxa"/>
            <w:noWrap/>
            <w:vAlign w:val="center"/>
          </w:tcPr>
          <w:p w14:paraId="623DC3E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w:t>
            </w:r>
          </w:p>
        </w:tc>
        <w:tc>
          <w:tcPr>
            <w:tcW w:w="886" w:type="dxa"/>
            <w:noWrap/>
            <w:vAlign w:val="center"/>
          </w:tcPr>
          <w:p w14:paraId="6452953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w:t>
            </w:r>
          </w:p>
        </w:tc>
        <w:tc>
          <w:tcPr>
            <w:tcW w:w="938" w:type="dxa"/>
            <w:noWrap/>
            <w:vAlign w:val="center"/>
          </w:tcPr>
          <w:p w14:paraId="3672EC8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w:t>
            </w:r>
          </w:p>
        </w:tc>
        <w:tc>
          <w:tcPr>
            <w:tcW w:w="1716" w:type="dxa"/>
            <w:noWrap/>
            <w:vAlign w:val="center"/>
          </w:tcPr>
          <w:p w14:paraId="51C9AA6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w:t>
            </w:r>
          </w:p>
        </w:tc>
        <w:tc>
          <w:tcPr>
            <w:tcW w:w="1996" w:type="dxa"/>
            <w:noWrap/>
            <w:vAlign w:val="center"/>
          </w:tcPr>
          <w:p w14:paraId="1FC80E6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r>
      <w:tr w14:paraId="6E5C1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13" w:type="dxa"/>
            <w:gridSpan w:val="7"/>
            <w:noWrap/>
            <w:vAlign w:val="center"/>
          </w:tcPr>
          <w:p w14:paraId="43C46C9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eastAsia="zh-CN"/>
              </w:rPr>
              <w:t>弃渣场</w:t>
            </w:r>
          </w:p>
        </w:tc>
      </w:tr>
      <w:tr w14:paraId="239F8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62" w:type="dxa"/>
            <w:noWrap/>
            <w:vAlign w:val="center"/>
          </w:tcPr>
          <w:p w14:paraId="625DED7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3#施工便道</w:t>
            </w:r>
          </w:p>
        </w:tc>
        <w:tc>
          <w:tcPr>
            <w:tcW w:w="945" w:type="dxa"/>
            <w:noWrap/>
            <w:vAlign w:val="center"/>
          </w:tcPr>
          <w:p w14:paraId="0BA7669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0.40</w:t>
            </w:r>
          </w:p>
        </w:tc>
        <w:tc>
          <w:tcPr>
            <w:tcW w:w="970" w:type="dxa"/>
            <w:noWrap/>
            <w:vAlign w:val="center"/>
          </w:tcPr>
          <w:p w14:paraId="336D567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5</w:t>
            </w:r>
          </w:p>
        </w:tc>
        <w:tc>
          <w:tcPr>
            <w:tcW w:w="886" w:type="dxa"/>
            <w:noWrap/>
            <w:vAlign w:val="center"/>
          </w:tcPr>
          <w:p w14:paraId="57A016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4.5</w:t>
            </w:r>
          </w:p>
        </w:tc>
        <w:tc>
          <w:tcPr>
            <w:tcW w:w="938" w:type="dxa"/>
            <w:noWrap/>
            <w:vAlign w:val="center"/>
          </w:tcPr>
          <w:p w14:paraId="652DEB6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eastAsia="zh-CN"/>
              </w:rPr>
              <w:t>混凝土</w:t>
            </w:r>
          </w:p>
        </w:tc>
        <w:tc>
          <w:tcPr>
            <w:tcW w:w="1716" w:type="dxa"/>
            <w:noWrap/>
            <w:vAlign w:val="center"/>
          </w:tcPr>
          <w:p w14:paraId="4686E21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996" w:type="dxa"/>
            <w:noWrap/>
            <w:vAlign w:val="center"/>
          </w:tcPr>
          <w:p w14:paraId="12607EC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eastAsia="zh-CN"/>
              </w:rPr>
              <w:t>现状道路至挡渣墙</w:t>
            </w:r>
          </w:p>
        </w:tc>
      </w:tr>
      <w:tr w14:paraId="5E47BB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13" w:type="dxa"/>
            <w:gridSpan w:val="7"/>
            <w:noWrap/>
            <w:vAlign w:val="center"/>
          </w:tcPr>
          <w:p w14:paraId="5F5B471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eastAsia="zh-CN"/>
              </w:rPr>
              <w:t>输水工程</w:t>
            </w:r>
          </w:p>
        </w:tc>
      </w:tr>
      <w:tr w14:paraId="74B524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6" w:hRule="exact"/>
          <w:jc w:val="center"/>
        </w:trPr>
        <w:tc>
          <w:tcPr>
            <w:tcW w:w="1362" w:type="dxa"/>
            <w:noWrap/>
            <w:vAlign w:val="center"/>
          </w:tcPr>
          <w:p w14:paraId="303BE42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4#施工便道</w:t>
            </w:r>
          </w:p>
        </w:tc>
        <w:tc>
          <w:tcPr>
            <w:tcW w:w="945" w:type="dxa"/>
            <w:noWrap/>
            <w:vAlign w:val="center"/>
          </w:tcPr>
          <w:p w14:paraId="597E8DA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0.44</w:t>
            </w:r>
          </w:p>
        </w:tc>
        <w:tc>
          <w:tcPr>
            <w:tcW w:w="970" w:type="dxa"/>
            <w:noWrap/>
            <w:vAlign w:val="center"/>
          </w:tcPr>
          <w:p w14:paraId="686C7FB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eastAsia" w:ascii="Arial" w:hAnsi="Arial" w:cs="Arial"/>
                <w:color w:val="auto"/>
                <w:kern w:val="0"/>
                <w:sz w:val="22"/>
                <w:szCs w:val="22"/>
                <w:highlight w:val="none"/>
                <w:lang w:val="en-US" w:eastAsia="zh-CN"/>
              </w:rPr>
              <w:t>4</w:t>
            </w:r>
          </w:p>
        </w:tc>
        <w:tc>
          <w:tcPr>
            <w:tcW w:w="886" w:type="dxa"/>
            <w:noWrap/>
            <w:vAlign w:val="center"/>
          </w:tcPr>
          <w:p w14:paraId="664BDEA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3</w:t>
            </w:r>
          </w:p>
        </w:tc>
        <w:tc>
          <w:tcPr>
            <w:tcW w:w="938" w:type="dxa"/>
            <w:noWrap/>
            <w:vAlign w:val="center"/>
          </w:tcPr>
          <w:p w14:paraId="31A52C7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eastAsia" w:ascii="Arial" w:hAnsi="Arial" w:cs="Arial"/>
                <w:color w:val="auto"/>
                <w:kern w:val="0"/>
                <w:sz w:val="22"/>
                <w:szCs w:val="22"/>
                <w:highlight w:val="none"/>
                <w:lang w:eastAsia="zh-CN"/>
              </w:rPr>
              <w:t>混凝土</w:t>
            </w:r>
          </w:p>
        </w:tc>
        <w:tc>
          <w:tcPr>
            <w:tcW w:w="1716" w:type="dxa"/>
            <w:noWrap/>
            <w:vAlign w:val="center"/>
          </w:tcPr>
          <w:p w14:paraId="5AF9C72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436.21~291.86</w:t>
            </w:r>
          </w:p>
        </w:tc>
        <w:tc>
          <w:tcPr>
            <w:tcW w:w="1996" w:type="dxa"/>
            <w:noWrap/>
            <w:vAlign w:val="center"/>
          </w:tcPr>
          <w:p w14:paraId="2AB560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eastAsia="zh-CN"/>
              </w:rPr>
              <w:t>大坝枢纽至下游现状道路</w:t>
            </w:r>
          </w:p>
        </w:tc>
      </w:tr>
      <w:tr w14:paraId="73C3E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62" w:type="dxa"/>
            <w:noWrap/>
            <w:vAlign w:val="center"/>
          </w:tcPr>
          <w:p w14:paraId="6F861EC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合计</w:t>
            </w:r>
          </w:p>
        </w:tc>
        <w:tc>
          <w:tcPr>
            <w:tcW w:w="945" w:type="dxa"/>
            <w:noWrap/>
            <w:vAlign w:val="center"/>
          </w:tcPr>
          <w:p w14:paraId="0DFAB75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2.05</w:t>
            </w:r>
          </w:p>
        </w:tc>
        <w:tc>
          <w:tcPr>
            <w:tcW w:w="970" w:type="dxa"/>
            <w:noWrap/>
            <w:vAlign w:val="center"/>
          </w:tcPr>
          <w:p w14:paraId="5FF5F71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886" w:type="dxa"/>
            <w:noWrap/>
            <w:vAlign w:val="center"/>
          </w:tcPr>
          <w:p w14:paraId="54D567E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938" w:type="dxa"/>
            <w:noWrap/>
            <w:vAlign w:val="center"/>
          </w:tcPr>
          <w:p w14:paraId="6AF8FF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716" w:type="dxa"/>
            <w:noWrap/>
            <w:vAlign w:val="center"/>
          </w:tcPr>
          <w:p w14:paraId="74382FF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996" w:type="dxa"/>
            <w:noWrap/>
            <w:vAlign w:val="center"/>
          </w:tcPr>
          <w:p w14:paraId="444F112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r>
    </w:tbl>
    <w:p w14:paraId="1C6C1D7C">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eastAsia" w:ascii="Arial" w:hAnsi="Arial" w:cs="Arial"/>
          <w:sz w:val="26"/>
          <w:szCs w:val="26"/>
          <w:lang w:eastAsia="zh-CN"/>
        </w:rPr>
      </w:pPr>
    </w:p>
    <w:p w14:paraId="5C1EDBD0">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cs="Arial"/>
          <w:b/>
          <w:color w:val="auto"/>
          <w:sz w:val="26"/>
          <w:szCs w:val="26"/>
          <w:lang w:val="en-US" w:eastAsia="zh-CN"/>
        </w:rPr>
      </w:pPr>
      <w:r>
        <w:rPr>
          <w:rFonts w:hint="eastAsia" w:ascii="Arial" w:cs="Arial"/>
          <w:b/>
          <w:color w:val="auto"/>
          <w:sz w:val="26"/>
          <w:szCs w:val="26"/>
          <w:lang w:eastAsia="zh-CN"/>
        </w:rPr>
        <w:t>（</w:t>
      </w:r>
      <w:r>
        <w:rPr>
          <w:rFonts w:hint="eastAsia" w:ascii="Arial" w:cs="Arial"/>
          <w:b/>
          <w:color w:val="auto"/>
          <w:sz w:val="26"/>
          <w:szCs w:val="26"/>
          <w:lang w:val="en-US" w:eastAsia="zh-CN"/>
        </w:rPr>
        <w:t>4）施工场地</w:t>
      </w:r>
    </w:p>
    <w:p w14:paraId="177B56A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Times New Roman" w:cs="Arial"/>
          <w:bCs/>
          <w:color w:val="auto"/>
          <w:sz w:val="26"/>
          <w:szCs w:val="22"/>
          <w:lang w:eastAsia="zh-CN"/>
        </w:rPr>
      </w:pPr>
      <w:r>
        <w:rPr>
          <w:rFonts w:hint="eastAsia" w:ascii="Arial" w:hAnsi="Times New Roman" w:cs="Arial"/>
          <w:bCs/>
          <w:color w:val="auto"/>
          <w:sz w:val="26"/>
          <w:szCs w:val="22"/>
          <w:lang w:eastAsia="zh-CN"/>
        </w:rPr>
        <w:t>本项目施工期不设施工营地，施工人员大多就近招用，不在场地内食宿。少量管理人员租赁临近居民已有房屋进行办公、食宿。</w:t>
      </w:r>
    </w:p>
    <w:p w14:paraId="5BDCAFBB">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cs="Arial"/>
          <w:b/>
          <w:color w:val="auto"/>
          <w:sz w:val="26"/>
          <w:szCs w:val="26"/>
          <w:lang w:val="en-US" w:eastAsia="zh-CN"/>
        </w:rPr>
      </w:pPr>
      <w:r>
        <w:rPr>
          <w:rFonts w:hint="default" w:ascii="Arial" w:cs="Arial"/>
          <w:b/>
          <w:color w:val="auto"/>
          <w:sz w:val="26"/>
          <w:szCs w:val="26"/>
          <w:lang w:eastAsia="zh-CN"/>
        </w:rPr>
        <w:t>①</w:t>
      </w:r>
      <w:r>
        <w:rPr>
          <w:rFonts w:hint="eastAsia" w:ascii="Arial" w:cs="Arial"/>
          <w:b/>
          <w:color w:val="auto"/>
          <w:sz w:val="26"/>
          <w:szCs w:val="26"/>
          <w:lang w:val="en-US" w:eastAsia="zh-CN"/>
        </w:rPr>
        <w:t xml:space="preserve"> 枢纽工程</w:t>
      </w:r>
    </w:p>
    <w:p w14:paraId="3BB7FCE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eastAsia="宋体" w:cs="Arial"/>
          <w:bCs/>
          <w:color w:val="auto"/>
          <w:sz w:val="26"/>
          <w:szCs w:val="22"/>
          <w:lang w:val="en-US" w:eastAsia="zh-CN"/>
        </w:rPr>
      </w:pPr>
      <w:r>
        <w:rPr>
          <w:rFonts w:hint="eastAsia" w:ascii="Arial" w:cs="Arial"/>
          <w:bCs/>
          <w:color w:val="auto"/>
          <w:sz w:val="26"/>
          <w:szCs w:val="22"/>
        </w:rPr>
        <w:t>为满足枢纽工程施工需求，设置1个工区，位于</w:t>
      </w:r>
      <w:r>
        <w:rPr>
          <w:rFonts w:hint="eastAsia" w:ascii="Arial" w:cs="Arial"/>
          <w:bCs/>
          <w:color w:val="auto"/>
          <w:sz w:val="26"/>
          <w:szCs w:val="22"/>
          <w:lang w:eastAsia="zh-CN"/>
        </w:rPr>
        <w:t>枢纽工程下游左岸约</w:t>
      </w:r>
      <w:r>
        <w:rPr>
          <w:rFonts w:hint="eastAsia" w:ascii="Arial" w:cs="Arial"/>
          <w:bCs/>
          <w:color w:val="auto"/>
          <w:sz w:val="26"/>
          <w:szCs w:val="22"/>
          <w:lang w:val="en-US" w:eastAsia="zh-CN"/>
        </w:rPr>
        <w:t>200m处，地势较为平坦，占地面积约5000m</w:t>
      </w:r>
      <w:r>
        <w:rPr>
          <w:rFonts w:hint="eastAsia" w:ascii="Arial" w:cs="Arial"/>
          <w:bCs/>
          <w:color w:val="auto"/>
          <w:sz w:val="26"/>
          <w:szCs w:val="22"/>
          <w:vertAlign w:val="superscript"/>
          <w:lang w:val="en-US" w:eastAsia="zh-CN"/>
        </w:rPr>
        <w:t>2</w:t>
      </w:r>
      <w:r>
        <w:rPr>
          <w:rFonts w:hint="eastAsia" w:ascii="Arial" w:cs="Arial"/>
          <w:bCs/>
          <w:color w:val="auto"/>
          <w:sz w:val="26"/>
          <w:szCs w:val="22"/>
          <w:lang w:val="en-US" w:eastAsia="zh-CN"/>
        </w:rPr>
        <w:t>，主要布置为机械停放场、综合加工场、拌合场、物料堆场、油料区、</w:t>
      </w:r>
      <w:r>
        <w:rPr>
          <w:rFonts w:hint="eastAsia" w:ascii="Arial" w:hAnsi="宋体" w:cs="Arial"/>
          <w:bCs/>
          <w:color w:val="auto"/>
          <w:sz w:val="26"/>
          <w:szCs w:val="26"/>
        </w:rPr>
        <w:t>供风站、供水站等施工工厂和设施等。</w:t>
      </w:r>
    </w:p>
    <w:p w14:paraId="060C0FEC">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Times New Roman" w:cs="Arial"/>
          <w:b/>
          <w:color w:val="auto"/>
          <w:sz w:val="26"/>
          <w:szCs w:val="26"/>
          <w:lang w:val="en-US" w:eastAsia="zh-CN"/>
        </w:rPr>
      </w:pPr>
      <w:r>
        <w:rPr>
          <w:rFonts w:hint="default" w:ascii="Arial" w:hAnsi="Times New Roman" w:cs="Arial"/>
          <w:b/>
          <w:color w:val="auto"/>
          <w:sz w:val="26"/>
          <w:szCs w:val="26"/>
          <w:lang w:eastAsia="zh-CN"/>
        </w:rPr>
        <w:t>②</w:t>
      </w:r>
      <w:r>
        <w:rPr>
          <w:rFonts w:hint="eastAsia" w:ascii="Arial" w:hAnsi="Times New Roman" w:cs="Arial"/>
          <w:b/>
          <w:color w:val="auto"/>
          <w:sz w:val="26"/>
          <w:szCs w:val="26"/>
          <w:lang w:val="en-US" w:eastAsia="zh-CN"/>
        </w:rPr>
        <w:t xml:space="preserve"> 输水工程</w:t>
      </w:r>
    </w:p>
    <w:p w14:paraId="43DDCCC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cs="Arial"/>
          <w:bCs/>
          <w:color w:val="auto"/>
          <w:sz w:val="26"/>
          <w:szCs w:val="22"/>
          <w:lang w:val="en-US"/>
        </w:rPr>
      </w:pPr>
      <w:r>
        <w:rPr>
          <w:rFonts w:hint="eastAsia" w:ascii="Arial" w:cs="Arial"/>
          <w:bCs/>
          <w:color w:val="auto"/>
          <w:sz w:val="26"/>
          <w:szCs w:val="22"/>
        </w:rPr>
        <w:t>为满足</w:t>
      </w:r>
      <w:r>
        <w:rPr>
          <w:rFonts w:hint="eastAsia" w:ascii="Arial" w:cs="Arial"/>
          <w:bCs/>
          <w:color w:val="auto"/>
          <w:sz w:val="26"/>
          <w:szCs w:val="22"/>
          <w:lang w:eastAsia="zh-CN"/>
        </w:rPr>
        <w:t>输水</w:t>
      </w:r>
      <w:r>
        <w:rPr>
          <w:rFonts w:hint="eastAsia" w:ascii="Arial" w:cs="Arial"/>
          <w:bCs/>
          <w:color w:val="auto"/>
          <w:sz w:val="26"/>
          <w:szCs w:val="22"/>
        </w:rPr>
        <w:t>工程施工需求，设置1个工区，</w:t>
      </w:r>
      <w:r>
        <w:rPr>
          <w:rFonts w:hint="eastAsia" w:ascii="Arial" w:cs="Arial"/>
          <w:bCs/>
          <w:color w:val="auto"/>
          <w:sz w:val="26"/>
          <w:szCs w:val="22"/>
          <w:lang w:eastAsia="zh-CN"/>
        </w:rPr>
        <w:t>位于双龙干管</w:t>
      </w:r>
      <w:r>
        <w:rPr>
          <w:rFonts w:hint="eastAsia" w:ascii="Arial" w:cs="Arial"/>
          <w:bCs/>
          <w:color w:val="auto"/>
          <w:sz w:val="26"/>
          <w:szCs w:val="22"/>
          <w:lang w:val="en-US" w:eastAsia="zh-CN"/>
        </w:rPr>
        <w:t>K1+950左侧，占地面积约1600m</w:t>
      </w:r>
      <w:r>
        <w:rPr>
          <w:rFonts w:hint="eastAsia" w:ascii="Arial" w:cs="Arial"/>
          <w:bCs/>
          <w:color w:val="auto"/>
          <w:sz w:val="26"/>
          <w:szCs w:val="22"/>
          <w:vertAlign w:val="superscript"/>
          <w:lang w:val="en-US" w:eastAsia="zh-CN"/>
        </w:rPr>
        <w:t>2</w:t>
      </w:r>
      <w:r>
        <w:rPr>
          <w:rFonts w:hint="eastAsia" w:ascii="Arial" w:cs="Arial"/>
          <w:bCs/>
          <w:color w:val="auto"/>
          <w:sz w:val="26"/>
          <w:szCs w:val="22"/>
          <w:lang w:val="en-US" w:eastAsia="zh-CN"/>
        </w:rPr>
        <w:t>，主要布置有物料堆场、综合加工场、机械停放场等。</w:t>
      </w:r>
    </w:p>
    <w:p w14:paraId="3758E251">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cs="Arial"/>
          <w:b/>
          <w:color w:val="auto"/>
          <w:sz w:val="26"/>
          <w:szCs w:val="26"/>
          <w:lang w:val="en-US" w:eastAsia="zh-CN"/>
        </w:rPr>
      </w:pPr>
      <w:r>
        <w:rPr>
          <w:rFonts w:hint="eastAsia" w:ascii="Arial" w:cs="Arial"/>
          <w:b/>
          <w:color w:val="auto"/>
          <w:sz w:val="26"/>
          <w:szCs w:val="26"/>
          <w:lang w:eastAsia="zh-CN"/>
        </w:rPr>
        <w:t>（</w:t>
      </w:r>
      <w:r>
        <w:rPr>
          <w:rFonts w:hint="eastAsia" w:ascii="Arial" w:cs="Arial"/>
          <w:b/>
          <w:color w:val="auto"/>
          <w:sz w:val="26"/>
          <w:szCs w:val="26"/>
          <w:lang w:val="en-US" w:eastAsia="zh-CN"/>
        </w:rPr>
        <w:t>5）料场</w:t>
      </w:r>
    </w:p>
    <w:p w14:paraId="1217D16F">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cs="Arial"/>
          <w:bCs/>
          <w:color w:val="FF0000"/>
          <w:sz w:val="26"/>
          <w:szCs w:val="22"/>
        </w:rPr>
      </w:pPr>
      <w:r>
        <w:rPr>
          <w:rFonts w:hint="eastAsia" w:ascii="Arial" w:cs="Arial"/>
          <w:b/>
          <w:bCs/>
          <w:color w:val="auto"/>
          <w:sz w:val="26"/>
          <w:szCs w:val="22"/>
        </w:rPr>
        <w:t>项目不设料场</w:t>
      </w:r>
      <w:r>
        <w:rPr>
          <w:rFonts w:hint="eastAsia" w:ascii="Arial" w:cs="Arial"/>
          <w:bCs/>
          <w:color w:val="auto"/>
          <w:sz w:val="26"/>
          <w:szCs w:val="22"/>
        </w:rPr>
        <w:t>；</w:t>
      </w:r>
      <w:r>
        <w:rPr>
          <w:rFonts w:hint="eastAsia" w:ascii="Arial" w:cs="Arial"/>
          <w:bCs/>
          <w:color w:val="auto"/>
          <w:sz w:val="26"/>
          <w:szCs w:val="22"/>
          <w:lang w:eastAsia="zh-CN"/>
        </w:rPr>
        <w:t>海螺沟水库采取</w:t>
      </w:r>
      <w:r>
        <w:rPr>
          <w:rFonts w:hint="default" w:ascii="Arial" w:hAnsi="Arial" w:cs="Arial"/>
          <w:color w:val="auto"/>
          <w:sz w:val="26"/>
          <w:szCs w:val="26"/>
        </w:rPr>
        <w:t>C20埋石砼重力坝，</w:t>
      </w:r>
      <w:r>
        <w:rPr>
          <w:rFonts w:hint="eastAsia" w:ascii="Arial" w:hAnsi="Arial" w:cs="Arial"/>
          <w:color w:val="auto"/>
          <w:sz w:val="26"/>
          <w:szCs w:val="26"/>
          <w:lang w:eastAsia="zh-CN"/>
        </w:rPr>
        <w:t>需混凝土3.</w:t>
      </w:r>
      <w:r>
        <w:rPr>
          <w:rFonts w:hint="eastAsia" w:ascii="Arial" w:hAnsi="Arial" w:cs="Arial"/>
          <w:color w:val="auto"/>
          <w:sz w:val="26"/>
          <w:szCs w:val="26"/>
          <w:lang w:val="en-US" w:eastAsia="zh-CN"/>
        </w:rPr>
        <w:t>81</w:t>
      </w:r>
      <w:r>
        <w:rPr>
          <w:rFonts w:hint="eastAsia" w:ascii="Arial" w:hAnsi="Arial" w:cs="Arial"/>
          <w:color w:val="auto"/>
          <w:sz w:val="26"/>
          <w:szCs w:val="26"/>
          <w:lang w:eastAsia="zh-CN"/>
        </w:rPr>
        <w:t>万m</w:t>
      </w:r>
      <w:r>
        <w:rPr>
          <w:rFonts w:hint="eastAsia" w:ascii="Arial" w:hAnsi="Arial" w:cs="Arial"/>
          <w:color w:val="auto"/>
          <w:sz w:val="26"/>
          <w:szCs w:val="26"/>
          <w:vertAlign w:val="superscript"/>
          <w:lang w:eastAsia="zh-CN"/>
        </w:rPr>
        <w:t>3</w:t>
      </w:r>
      <w:r>
        <w:rPr>
          <w:rFonts w:hint="eastAsia" w:ascii="Arial" w:hAnsi="Arial" w:cs="Arial"/>
          <w:color w:val="auto"/>
          <w:sz w:val="26"/>
          <w:szCs w:val="26"/>
          <w:lang w:eastAsia="zh-CN"/>
        </w:rPr>
        <w:t>，块石料</w:t>
      </w:r>
      <w:r>
        <w:rPr>
          <w:rFonts w:hint="eastAsia" w:ascii="Arial" w:hAnsi="Arial" w:cs="Arial"/>
          <w:color w:val="auto"/>
          <w:sz w:val="26"/>
          <w:szCs w:val="26"/>
          <w:lang w:val="en-US" w:eastAsia="zh-CN"/>
        </w:rPr>
        <w:t>1.35</w:t>
      </w:r>
      <w:r>
        <w:rPr>
          <w:rFonts w:hint="eastAsia" w:ascii="Arial" w:hAnsi="Arial" w:cs="Arial"/>
          <w:color w:val="auto"/>
          <w:sz w:val="26"/>
          <w:szCs w:val="26"/>
          <w:lang w:eastAsia="zh-CN"/>
        </w:rPr>
        <w:t>万m</w:t>
      </w:r>
      <w:r>
        <w:rPr>
          <w:rFonts w:hint="eastAsia" w:ascii="Arial" w:hAnsi="Arial" w:cs="Arial"/>
          <w:color w:val="auto"/>
          <w:sz w:val="26"/>
          <w:szCs w:val="26"/>
          <w:vertAlign w:val="superscript"/>
          <w:lang w:eastAsia="zh-CN"/>
        </w:rPr>
        <w:t>3</w:t>
      </w:r>
      <w:r>
        <w:rPr>
          <w:rFonts w:hint="eastAsia" w:ascii="Arial" w:hAnsi="Arial" w:cs="Arial"/>
          <w:color w:val="auto"/>
          <w:sz w:val="26"/>
          <w:szCs w:val="26"/>
          <w:lang w:eastAsia="zh-CN"/>
        </w:rPr>
        <w:t>，碎石料</w:t>
      </w:r>
      <w:r>
        <w:rPr>
          <w:rFonts w:hint="eastAsia" w:ascii="Arial" w:hAnsi="Arial" w:cs="Arial"/>
          <w:color w:val="auto"/>
          <w:sz w:val="26"/>
          <w:szCs w:val="26"/>
          <w:lang w:val="en-US" w:eastAsia="zh-CN"/>
        </w:rPr>
        <w:t>3.38</w:t>
      </w:r>
      <w:r>
        <w:rPr>
          <w:rFonts w:hint="eastAsia" w:ascii="Arial" w:hAnsi="Arial" w:cs="Arial"/>
          <w:color w:val="auto"/>
          <w:sz w:val="26"/>
          <w:szCs w:val="26"/>
          <w:lang w:eastAsia="zh-CN"/>
        </w:rPr>
        <w:t>万m</w:t>
      </w:r>
      <w:r>
        <w:rPr>
          <w:rFonts w:hint="eastAsia" w:ascii="Arial" w:hAnsi="Arial" w:cs="Arial"/>
          <w:color w:val="auto"/>
          <w:sz w:val="26"/>
          <w:szCs w:val="26"/>
          <w:vertAlign w:val="superscript"/>
          <w:lang w:eastAsia="zh-CN"/>
        </w:rPr>
        <w:t>3</w:t>
      </w:r>
      <w:r>
        <w:rPr>
          <w:rFonts w:hint="eastAsia" w:ascii="Arial" w:hAnsi="Arial" w:cs="Arial"/>
          <w:color w:val="auto"/>
          <w:sz w:val="26"/>
          <w:szCs w:val="26"/>
          <w:lang w:eastAsia="zh-CN"/>
        </w:rPr>
        <w:t>，砂料</w:t>
      </w:r>
      <w:r>
        <w:rPr>
          <w:rFonts w:hint="eastAsia" w:ascii="Arial" w:hAnsi="Arial" w:cs="Arial"/>
          <w:color w:val="auto"/>
          <w:sz w:val="26"/>
          <w:szCs w:val="26"/>
          <w:lang w:val="en-US" w:eastAsia="zh-CN"/>
        </w:rPr>
        <w:t>2.34</w:t>
      </w:r>
      <w:r>
        <w:rPr>
          <w:rFonts w:hint="eastAsia" w:ascii="Arial" w:hAnsi="Arial" w:cs="Arial"/>
          <w:color w:val="auto"/>
          <w:sz w:val="26"/>
          <w:szCs w:val="26"/>
          <w:lang w:eastAsia="zh-CN"/>
        </w:rPr>
        <w:t>万m</w:t>
      </w:r>
      <w:r>
        <w:rPr>
          <w:rFonts w:hint="eastAsia" w:ascii="Arial" w:hAnsi="Arial" w:cs="Arial"/>
          <w:color w:val="auto"/>
          <w:sz w:val="26"/>
          <w:szCs w:val="26"/>
          <w:vertAlign w:val="superscript"/>
          <w:lang w:eastAsia="zh-CN"/>
        </w:rPr>
        <w:t>3</w:t>
      </w:r>
      <w:r>
        <w:rPr>
          <w:rFonts w:hint="eastAsia" w:ascii="Arial" w:hAnsi="Arial" w:cs="Arial"/>
          <w:color w:val="auto"/>
          <w:sz w:val="26"/>
          <w:szCs w:val="26"/>
          <w:lang w:eastAsia="zh-CN"/>
        </w:rPr>
        <w:t>。经调查，项目区有青龙乡黄泥村石料场，运距约</w:t>
      </w:r>
      <w:r>
        <w:rPr>
          <w:rFonts w:hint="eastAsia" w:ascii="Arial" w:hAnsi="Arial" w:cs="Arial"/>
          <w:color w:val="auto"/>
          <w:sz w:val="26"/>
          <w:szCs w:val="26"/>
          <w:lang w:val="en-US" w:eastAsia="zh-CN"/>
        </w:rPr>
        <w:t>25km，可满足本项目用料需求。项目枢纽工程施工区内设置有混凝土拌合系统，外购的骨料、水泥等经拌合处理后，用于重力坝、上坝道路、库区巡检步道等的浇筑。土石</w:t>
      </w:r>
      <w:r>
        <w:rPr>
          <w:rFonts w:hint="eastAsia" w:ascii="Arial" w:cs="Arial"/>
          <w:bCs/>
          <w:color w:val="auto"/>
          <w:sz w:val="26"/>
          <w:szCs w:val="22"/>
        </w:rPr>
        <w:t>围堰填筑可利用施工场地内的开挖料，并辅以土工布防渗。</w:t>
      </w:r>
    </w:p>
    <w:p w14:paraId="737B4593">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cs="Arial"/>
          <w:bCs/>
          <w:color w:val="auto"/>
          <w:sz w:val="26"/>
          <w:szCs w:val="22"/>
        </w:rPr>
      </w:pPr>
      <w:r>
        <w:rPr>
          <w:rFonts w:hint="eastAsia" w:ascii="Arial" w:cs="Arial"/>
          <w:b/>
          <w:color w:val="auto"/>
          <w:sz w:val="26"/>
          <w:szCs w:val="26"/>
          <w:lang w:eastAsia="zh-CN"/>
        </w:rPr>
        <w:t>（</w:t>
      </w:r>
      <w:r>
        <w:rPr>
          <w:rFonts w:hint="eastAsia" w:ascii="Arial" w:cs="Arial"/>
          <w:b/>
          <w:color w:val="auto"/>
          <w:sz w:val="26"/>
          <w:szCs w:val="26"/>
          <w:lang w:val="en-US" w:eastAsia="zh-CN"/>
        </w:rPr>
        <w:t>6）渣场</w:t>
      </w:r>
    </w:p>
    <w:p w14:paraId="3BBEF12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color w:val="auto"/>
          <w:sz w:val="26"/>
          <w:szCs w:val="26"/>
          <w:lang w:val="en-US" w:eastAsia="zh-CN"/>
        </w:rPr>
      </w:pPr>
      <w:r>
        <w:rPr>
          <w:rFonts w:hint="eastAsia" w:ascii="Arial" w:hAnsi="Times New Roman" w:cs="Arial"/>
          <w:bCs/>
          <w:color w:val="auto"/>
          <w:sz w:val="26"/>
          <w:szCs w:val="22"/>
          <w:lang w:eastAsia="zh-CN"/>
        </w:rPr>
        <w:t>根据项目初设报告，本项目所在区域沿河两岸大部分较为陡峭，且基本农田分布较为密集，沿线无公路，不具备堆渣条件。故根据现场踏勘，将弃渣场布置在田家山村村委会附近一处天然地势低洼地带，面积约</w:t>
      </w:r>
      <w:r>
        <w:rPr>
          <w:rFonts w:hint="eastAsia" w:ascii="Arial" w:hAnsi="Times New Roman" w:cs="Arial"/>
          <w:bCs/>
          <w:color w:val="auto"/>
          <w:sz w:val="26"/>
          <w:szCs w:val="22"/>
          <w:lang w:val="en-US" w:eastAsia="zh-CN"/>
        </w:rPr>
        <w:t>49.47亩，不涉及</w:t>
      </w:r>
      <w:r>
        <w:rPr>
          <w:rFonts w:hint="eastAsia" w:ascii="Arial" w:hAnsi="Arial" w:cs="Arial"/>
          <w:color w:val="auto"/>
          <w:sz w:val="26"/>
          <w:szCs w:val="26"/>
          <w:lang w:val="en-US" w:eastAsia="zh-CN"/>
        </w:rPr>
        <w:t>基本农田、公益林地，设计堆渣量为12万m</w:t>
      </w:r>
      <w:r>
        <w:rPr>
          <w:rFonts w:hint="eastAsia" w:ascii="Arial" w:hAnsi="Arial" w:cs="Arial"/>
          <w:color w:val="auto"/>
          <w:sz w:val="26"/>
          <w:szCs w:val="26"/>
          <w:vertAlign w:val="superscript"/>
          <w:lang w:val="en-US" w:eastAsia="zh-CN"/>
        </w:rPr>
        <w:t>3</w:t>
      </w:r>
      <w:r>
        <w:rPr>
          <w:rFonts w:hint="eastAsia" w:ascii="Arial" w:hAnsi="Arial" w:cs="Arial"/>
          <w:color w:val="auto"/>
          <w:sz w:val="26"/>
          <w:szCs w:val="26"/>
          <w:lang w:val="en-US" w:eastAsia="zh-CN"/>
        </w:rPr>
        <w:t>，综合运距约6km。</w:t>
      </w:r>
    </w:p>
    <w:p w14:paraId="011DBA0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color w:val="auto"/>
          <w:sz w:val="26"/>
          <w:szCs w:val="26"/>
          <w:lang w:val="en-US" w:eastAsia="zh-CN"/>
        </w:rPr>
      </w:pPr>
      <w:r>
        <w:rPr>
          <w:rFonts w:hint="default" w:ascii="Arial" w:hAnsi="Arial" w:cs="Arial"/>
          <w:color w:val="auto"/>
          <w:sz w:val="26"/>
          <w:szCs w:val="26"/>
          <w:lang w:val="en-US" w:eastAsia="zh-CN"/>
        </w:rPr>
        <w:t>堆渣前于</w:t>
      </w:r>
      <w:r>
        <w:rPr>
          <w:rFonts w:hint="default" w:ascii="Arial" w:hAnsi="Arial" w:cs="Arial"/>
          <w:color w:val="auto"/>
          <w:sz w:val="26"/>
          <w:szCs w:val="26"/>
          <w:highlight w:val="none"/>
        </w:rPr>
        <w:t>坡脚</w:t>
      </w:r>
      <w:r>
        <w:rPr>
          <w:rFonts w:hint="default" w:ascii="Arial" w:hAnsi="Arial" w:cs="Arial"/>
          <w:color w:val="auto"/>
          <w:sz w:val="26"/>
          <w:szCs w:val="26"/>
          <w:highlight w:val="none"/>
          <w:lang w:eastAsia="zh-CN"/>
        </w:rPr>
        <w:t>修建</w:t>
      </w:r>
      <w:r>
        <w:rPr>
          <w:rFonts w:hint="default" w:ascii="Arial" w:hAnsi="Arial" w:cs="Arial"/>
          <w:color w:val="auto"/>
          <w:sz w:val="26"/>
          <w:szCs w:val="26"/>
          <w:highlight w:val="none"/>
        </w:rPr>
        <w:t xml:space="preserve"> C20埋石砼</w:t>
      </w:r>
      <w:r>
        <w:rPr>
          <w:rFonts w:hint="default" w:ascii="Arial" w:hAnsi="Arial" w:cs="Arial"/>
          <w:color w:val="auto"/>
          <w:sz w:val="26"/>
          <w:szCs w:val="26"/>
          <w:highlight w:val="none"/>
          <w:lang w:val="en-US" w:eastAsia="zh-CN"/>
        </w:rPr>
        <w:t>重力式</w:t>
      </w:r>
      <w:r>
        <w:rPr>
          <w:rFonts w:hint="default" w:ascii="Arial" w:hAnsi="Arial" w:cs="Arial"/>
          <w:color w:val="auto"/>
          <w:sz w:val="26"/>
          <w:szCs w:val="26"/>
          <w:highlight w:val="none"/>
        </w:rPr>
        <w:t>挡土墙拦挡</w:t>
      </w:r>
      <w:r>
        <w:rPr>
          <w:rFonts w:hint="default" w:ascii="Arial" w:hAnsi="Arial" w:cs="Arial"/>
          <w:color w:val="auto"/>
          <w:sz w:val="26"/>
          <w:szCs w:val="26"/>
          <w:lang w:val="en-US" w:eastAsia="zh-CN"/>
        </w:rPr>
        <w:t>，</w:t>
      </w:r>
      <w:r>
        <w:rPr>
          <w:rFonts w:hint="eastAsia" w:ascii="Arial" w:hAnsi="Arial" w:cs="Arial"/>
          <w:color w:val="auto"/>
          <w:sz w:val="26"/>
          <w:szCs w:val="26"/>
          <w:lang w:val="en-US" w:eastAsia="zh-CN"/>
        </w:rPr>
        <w:t>长95m。</w:t>
      </w:r>
      <w:r>
        <w:rPr>
          <w:rFonts w:hint="eastAsia" w:ascii="Arial" w:hAnsi="Times New Roman" w:cs="Arial"/>
          <w:bCs/>
          <w:color w:val="auto"/>
          <w:sz w:val="26"/>
          <w:szCs w:val="22"/>
          <w:lang w:val="en-US" w:eastAsia="zh-CN"/>
        </w:rPr>
        <w:t>采取多级放坡方式布置，平均堆渣厚度5.0m</w:t>
      </w:r>
      <w:r>
        <w:rPr>
          <w:rFonts w:hint="eastAsia" w:ascii="Arial" w:hAnsi="Times New Roman" w:cs="Arial"/>
          <w:bCs/>
          <w:color w:val="auto"/>
          <w:sz w:val="26"/>
          <w:szCs w:val="22"/>
          <w:lang w:eastAsia="zh-CN"/>
        </w:rPr>
        <w:t>，堆渣边坡不陡</w:t>
      </w:r>
      <w:r>
        <w:rPr>
          <w:rFonts w:hint="eastAsia" w:ascii="Arial" w:hAnsi="Times New Roman" w:cs="Arial"/>
          <w:bCs/>
          <w:color w:val="auto"/>
          <w:sz w:val="26"/>
          <w:szCs w:val="22"/>
          <w:lang w:val="en-US" w:eastAsia="zh-CN"/>
        </w:rPr>
        <w:t>于1:3.0，堆渣体</w:t>
      </w:r>
      <w:r>
        <w:rPr>
          <w:rFonts w:hint="eastAsia" w:ascii="Arial" w:hAnsi="Times New Roman" w:cs="Arial"/>
          <w:bCs/>
          <w:color w:val="auto"/>
          <w:sz w:val="26"/>
          <w:szCs w:val="22"/>
          <w:lang w:eastAsia="zh-CN"/>
        </w:rPr>
        <w:t>应采取分层碾压，压实系数不低于 0.91。沿渣场</w:t>
      </w:r>
      <w:r>
        <w:rPr>
          <w:rFonts w:hint="eastAsia" w:ascii="Arial" w:hAnsi="Times New Roman" w:cs="Arial"/>
          <w:bCs/>
          <w:color w:val="auto"/>
          <w:sz w:val="26"/>
          <w:szCs w:val="22"/>
          <w:lang w:val="en-US" w:eastAsia="zh-CN"/>
        </w:rPr>
        <w:t>外围</w:t>
      </w:r>
      <w:r>
        <w:rPr>
          <w:rFonts w:hint="eastAsia" w:ascii="Arial" w:hAnsi="Times New Roman" w:cs="Arial"/>
          <w:bCs/>
          <w:color w:val="auto"/>
          <w:sz w:val="26"/>
          <w:szCs w:val="22"/>
          <w:lang w:eastAsia="zh-CN"/>
        </w:rPr>
        <w:t>边界及坡顶布置</w:t>
      </w:r>
      <w:r>
        <w:rPr>
          <w:rFonts w:hint="eastAsia" w:ascii="Arial" w:hAnsi="Times New Roman" w:cs="Arial"/>
          <w:bCs/>
          <w:color w:val="auto"/>
          <w:sz w:val="26"/>
          <w:szCs w:val="22"/>
          <w:lang w:val="en-US" w:eastAsia="zh-CN"/>
        </w:rPr>
        <w:t>M10浆砌块石</w:t>
      </w:r>
      <w:r>
        <w:rPr>
          <w:rFonts w:hint="eastAsia" w:ascii="Arial" w:hAnsi="Times New Roman" w:cs="Arial"/>
          <w:bCs/>
          <w:color w:val="auto"/>
          <w:sz w:val="26"/>
          <w:szCs w:val="22"/>
          <w:lang w:eastAsia="zh-CN"/>
        </w:rPr>
        <w:t>排水沟，排水沟出口处设沉砂池，经沉沙后接入附近天然沟道。渣场堆填完成后，应对渣场实施覆土、绿化等水土保持最终封场措施。</w:t>
      </w:r>
    </w:p>
    <w:p w14:paraId="740C9DF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color w:val="auto"/>
          <w:sz w:val="26"/>
          <w:szCs w:val="26"/>
          <w:lang w:val="en-US" w:eastAsia="zh-CN"/>
        </w:rPr>
      </w:pPr>
      <w:r>
        <w:rPr>
          <w:rFonts w:hint="eastAsia" w:ascii="Arial" w:hAnsi="Arial" w:cs="Arial"/>
          <w:color w:val="auto"/>
          <w:sz w:val="26"/>
          <w:szCs w:val="26"/>
          <w:lang w:val="en-US" w:eastAsia="zh-CN"/>
        </w:rPr>
        <w:t>拟建项目枢纽工程、输水工程施工总平面布置分别详见</w:t>
      </w:r>
      <w:r>
        <w:rPr>
          <w:rFonts w:hint="eastAsia" w:ascii="Arial" w:hAnsi="Arial" w:cs="Arial"/>
          <w:b/>
          <w:bCs/>
          <w:color w:val="auto"/>
          <w:sz w:val="26"/>
          <w:szCs w:val="26"/>
          <w:lang w:val="en-US" w:eastAsia="zh-CN"/>
        </w:rPr>
        <w:t>附图21、22</w:t>
      </w:r>
      <w:r>
        <w:rPr>
          <w:rFonts w:hint="eastAsia" w:ascii="Arial" w:hAnsi="Arial" w:cs="Arial"/>
          <w:color w:val="auto"/>
          <w:sz w:val="26"/>
          <w:szCs w:val="26"/>
          <w:lang w:val="en-US" w:eastAsia="zh-CN"/>
        </w:rPr>
        <w:t>所示。</w:t>
      </w:r>
    </w:p>
    <w:p w14:paraId="63E72FD9">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highlight w:val="none"/>
          <w:lang w:val="en-US" w:eastAsia="zh-CN" w:bidi="ar-SA"/>
        </w:rPr>
      </w:pPr>
      <w:r>
        <w:rPr>
          <w:rFonts w:hint="eastAsia" w:ascii="Arial" w:hAnsi="Arial" w:cs="Arial"/>
          <w:b/>
          <w:bCs/>
          <w:color w:val="auto"/>
          <w:kern w:val="2"/>
          <w:sz w:val="26"/>
          <w:szCs w:val="26"/>
          <w:highlight w:val="none"/>
          <w:lang w:val="en-US" w:eastAsia="zh-CN" w:bidi="ar-SA"/>
        </w:rPr>
        <w:t>2.2.9施工条件</w:t>
      </w:r>
    </w:p>
    <w:p w14:paraId="0BF63F38">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cs="Arial"/>
          <w:bCs/>
          <w:color w:val="auto"/>
          <w:sz w:val="26"/>
          <w:szCs w:val="22"/>
        </w:rPr>
      </w:pPr>
      <w:r>
        <w:rPr>
          <w:rFonts w:hint="eastAsia" w:ascii="Arial" w:cs="Arial"/>
          <w:b/>
          <w:color w:val="auto"/>
          <w:sz w:val="26"/>
          <w:szCs w:val="26"/>
          <w:lang w:eastAsia="zh-CN"/>
        </w:rPr>
        <w:t>（</w:t>
      </w:r>
      <w:r>
        <w:rPr>
          <w:rFonts w:hint="eastAsia" w:ascii="Arial" w:cs="Arial"/>
          <w:b/>
          <w:color w:val="auto"/>
          <w:sz w:val="26"/>
          <w:szCs w:val="26"/>
          <w:lang w:val="en-US" w:eastAsia="zh-CN"/>
        </w:rPr>
        <w:t>1）主要建筑材料供应</w:t>
      </w:r>
    </w:p>
    <w:p w14:paraId="4F4C3A6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Times New Roman" w:cs="Arial"/>
          <w:bCs/>
          <w:sz w:val="26"/>
          <w:szCs w:val="22"/>
        </w:rPr>
      </w:pPr>
      <w:r>
        <w:rPr>
          <w:rFonts w:hint="eastAsia" w:ascii="Arial" w:hAnsi="Times New Roman" w:cs="Arial"/>
          <w:bCs/>
          <w:sz w:val="26"/>
          <w:szCs w:val="22"/>
        </w:rPr>
        <w:t>① 块石料、碎石料、粗砂：均在丰都县青龙乡黄泥村石料场购买，经公路运达工地，至枢纽区运距约25km，至输水区平均运距20km。</w:t>
      </w:r>
    </w:p>
    <w:p w14:paraId="3C24488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Times New Roman" w:cs="Arial"/>
          <w:bCs/>
          <w:sz w:val="26"/>
          <w:szCs w:val="22"/>
        </w:rPr>
      </w:pPr>
      <w:r>
        <w:rPr>
          <w:rFonts w:hint="eastAsia" w:ascii="Arial" w:hAnsi="Times New Roman" w:cs="Arial"/>
          <w:bCs/>
          <w:sz w:val="26"/>
          <w:szCs w:val="22"/>
        </w:rPr>
        <w:t>② 特细砂料：在丰都县城区购买长江砂，至枢纽区运距约77km，至输水区平均运距72km。</w:t>
      </w:r>
    </w:p>
    <w:p w14:paraId="35CB490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Times New Roman" w:cs="Arial"/>
          <w:bCs/>
          <w:sz w:val="26"/>
          <w:szCs w:val="22"/>
        </w:rPr>
      </w:pPr>
      <w:r>
        <w:rPr>
          <w:rFonts w:hint="eastAsia" w:ascii="Arial" w:hAnsi="Times New Roman" w:cs="Arial"/>
          <w:bCs/>
          <w:sz w:val="26"/>
          <w:szCs w:val="22"/>
        </w:rPr>
        <w:t>③ 土石料：利用大坝基础开挖料。</w:t>
      </w:r>
    </w:p>
    <w:p w14:paraId="5429B77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Times New Roman" w:cs="Arial"/>
          <w:bCs/>
          <w:sz w:val="26"/>
          <w:szCs w:val="22"/>
        </w:rPr>
      </w:pPr>
      <w:r>
        <w:rPr>
          <w:rFonts w:hint="eastAsia" w:ascii="Arial" w:hAnsi="Times New Roman" w:cs="Arial"/>
          <w:bCs/>
          <w:sz w:val="26"/>
          <w:szCs w:val="22"/>
        </w:rPr>
        <w:t>④ 钢材、木材在丰都城区</w:t>
      </w:r>
      <w:r>
        <w:rPr>
          <w:rFonts w:hint="eastAsia" w:ascii="Arial" w:hAnsi="Times New Roman" w:cs="Arial"/>
          <w:bCs/>
          <w:sz w:val="26"/>
          <w:szCs w:val="22"/>
          <w:lang w:eastAsia="zh-CN"/>
        </w:rPr>
        <w:t>、双龙镇</w:t>
      </w:r>
      <w:r>
        <w:rPr>
          <w:rFonts w:hint="eastAsia" w:ascii="Arial" w:hAnsi="Times New Roman" w:cs="Arial"/>
          <w:bCs/>
          <w:sz w:val="26"/>
          <w:szCs w:val="22"/>
        </w:rPr>
        <w:t>购买，至枢纽工程区运距约75km，至输水工程区平均运距70km。</w:t>
      </w:r>
    </w:p>
    <w:p w14:paraId="1685774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Times New Roman" w:cs="Arial"/>
          <w:bCs/>
          <w:sz w:val="26"/>
          <w:szCs w:val="22"/>
        </w:rPr>
      </w:pPr>
      <w:r>
        <w:rPr>
          <w:rFonts w:hint="eastAsia" w:ascii="Arial" w:hAnsi="Times New Roman" w:cs="Arial"/>
          <w:bCs/>
          <w:sz w:val="26"/>
          <w:szCs w:val="22"/>
        </w:rPr>
        <w:t>⑤ 水泥在</w:t>
      </w:r>
      <w:r>
        <w:rPr>
          <w:rFonts w:hint="eastAsia" w:ascii="Arial" w:hAnsi="Times New Roman" w:cs="Arial"/>
          <w:bCs/>
          <w:sz w:val="26"/>
          <w:szCs w:val="22"/>
          <w:lang w:eastAsia="zh-CN"/>
        </w:rPr>
        <w:t>丰都</w:t>
      </w:r>
      <w:r>
        <w:rPr>
          <w:rFonts w:hint="eastAsia" w:ascii="Arial" w:hAnsi="Times New Roman" w:cs="Arial"/>
          <w:bCs/>
          <w:sz w:val="26"/>
          <w:szCs w:val="22"/>
        </w:rPr>
        <w:t>城区附近水泥厂购买，至枢纽工程区运距约</w:t>
      </w:r>
      <w:r>
        <w:rPr>
          <w:rFonts w:hint="eastAsia" w:ascii="Arial" w:hAnsi="Times New Roman" w:cs="Arial"/>
          <w:bCs/>
          <w:sz w:val="26"/>
          <w:szCs w:val="22"/>
          <w:lang w:val="en-US" w:eastAsia="zh-CN"/>
        </w:rPr>
        <w:t>8</w:t>
      </w:r>
      <w:r>
        <w:rPr>
          <w:rFonts w:hint="eastAsia" w:ascii="Arial" w:hAnsi="Times New Roman" w:cs="Arial"/>
          <w:bCs/>
          <w:sz w:val="26"/>
          <w:szCs w:val="22"/>
        </w:rPr>
        <w:t>2km，至输水工程区平均运距</w:t>
      </w:r>
      <w:r>
        <w:rPr>
          <w:rFonts w:hint="eastAsia" w:ascii="Arial" w:hAnsi="Times New Roman" w:cs="Arial"/>
          <w:bCs/>
          <w:sz w:val="26"/>
          <w:szCs w:val="22"/>
          <w:lang w:val="en-US" w:eastAsia="zh-CN"/>
        </w:rPr>
        <w:t>8</w:t>
      </w:r>
      <w:r>
        <w:rPr>
          <w:rFonts w:hint="eastAsia" w:ascii="Arial" w:hAnsi="Times New Roman" w:cs="Arial"/>
          <w:bCs/>
          <w:sz w:val="26"/>
          <w:szCs w:val="22"/>
        </w:rPr>
        <w:t>7km。</w:t>
      </w:r>
    </w:p>
    <w:p w14:paraId="2A912B1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Times New Roman" w:cs="Arial"/>
          <w:bCs/>
          <w:sz w:val="26"/>
          <w:szCs w:val="22"/>
        </w:rPr>
      </w:pPr>
      <w:r>
        <w:rPr>
          <w:rFonts w:hint="eastAsia" w:ascii="Arial" w:hAnsi="Times New Roman" w:cs="Arial"/>
          <w:bCs/>
          <w:sz w:val="26"/>
          <w:szCs w:val="22"/>
        </w:rPr>
        <w:t>⑥ 油料在丰都县三元镇加油站购买，至枢纽工程区运距约30km，至输水工程区平均运距25km，且需转运0.5km。</w:t>
      </w:r>
    </w:p>
    <w:p w14:paraId="7F97D132">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2.2-13 海螺沟水库主要建筑材料消耗量一览表</w:t>
      </w:r>
    </w:p>
    <w:tbl>
      <w:tblPr>
        <w:tblStyle w:val="77"/>
        <w:tblW w:w="0" w:type="auto"/>
        <w:jc w:val="center"/>
        <w:tblLayout w:type="fixed"/>
        <w:tblCellMar>
          <w:top w:w="0" w:type="dxa"/>
          <w:left w:w="108" w:type="dxa"/>
          <w:bottom w:w="0" w:type="dxa"/>
          <w:right w:w="108" w:type="dxa"/>
        </w:tblCellMar>
      </w:tblPr>
      <w:tblGrid>
        <w:gridCol w:w="1543"/>
        <w:gridCol w:w="1547"/>
        <w:gridCol w:w="944"/>
        <w:gridCol w:w="4424"/>
      </w:tblGrid>
      <w:tr w14:paraId="536CDC25">
        <w:tblPrEx>
          <w:tblCellMar>
            <w:top w:w="0" w:type="dxa"/>
            <w:left w:w="108" w:type="dxa"/>
            <w:bottom w:w="0" w:type="dxa"/>
            <w:right w:w="108" w:type="dxa"/>
          </w:tblCellMar>
        </w:tblPrEx>
        <w:trPr>
          <w:trHeight w:val="329" w:hRule="exact"/>
          <w:jc w:val="center"/>
        </w:trPr>
        <w:tc>
          <w:tcPr>
            <w:tcW w:w="1543" w:type="dxa"/>
            <w:tcBorders>
              <w:top w:val="single" w:color="auto" w:sz="12" w:space="0"/>
              <w:left w:val="single" w:color="auto" w:sz="12" w:space="0"/>
              <w:bottom w:val="single" w:color="auto" w:sz="4" w:space="0"/>
              <w:right w:val="single" w:color="auto" w:sz="4" w:space="0"/>
            </w:tcBorders>
            <w:noWrap w:val="0"/>
            <w:vAlign w:val="center"/>
          </w:tcPr>
          <w:p w14:paraId="53E9EEC1">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序号</w:t>
            </w:r>
          </w:p>
        </w:tc>
        <w:tc>
          <w:tcPr>
            <w:tcW w:w="1547" w:type="dxa"/>
            <w:tcBorders>
              <w:top w:val="single" w:color="auto" w:sz="12" w:space="0"/>
              <w:left w:val="single" w:color="auto" w:sz="4" w:space="0"/>
              <w:bottom w:val="single" w:color="auto" w:sz="4" w:space="0"/>
              <w:right w:val="single" w:color="auto" w:sz="4" w:space="0"/>
            </w:tcBorders>
            <w:noWrap/>
            <w:vAlign w:val="center"/>
          </w:tcPr>
          <w:p w14:paraId="79C6F635">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项目名称</w:t>
            </w:r>
          </w:p>
        </w:tc>
        <w:tc>
          <w:tcPr>
            <w:tcW w:w="944" w:type="dxa"/>
            <w:tcBorders>
              <w:top w:val="single" w:color="auto" w:sz="12" w:space="0"/>
              <w:left w:val="single" w:color="auto" w:sz="4" w:space="0"/>
              <w:bottom w:val="single" w:color="auto" w:sz="4" w:space="0"/>
              <w:right w:val="single" w:color="auto" w:sz="4" w:space="0"/>
            </w:tcBorders>
            <w:noWrap/>
            <w:vAlign w:val="center"/>
          </w:tcPr>
          <w:p w14:paraId="741EAB4F">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单位</w:t>
            </w:r>
          </w:p>
        </w:tc>
        <w:tc>
          <w:tcPr>
            <w:tcW w:w="4424" w:type="dxa"/>
            <w:tcBorders>
              <w:top w:val="single" w:color="auto" w:sz="12" w:space="0"/>
              <w:left w:val="single" w:color="auto" w:sz="4" w:space="0"/>
              <w:bottom w:val="single" w:color="auto" w:sz="4" w:space="0"/>
              <w:right w:val="single" w:color="auto" w:sz="12" w:space="0"/>
            </w:tcBorders>
            <w:noWrap w:val="0"/>
            <w:vAlign w:val="center"/>
          </w:tcPr>
          <w:p w14:paraId="1BDC3171">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工程量</w:t>
            </w:r>
          </w:p>
        </w:tc>
      </w:tr>
      <w:tr w14:paraId="55459BC2">
        <w:tblPrEx>
          <w:tblCellMar>
            <w:top w:w="0" w:type="dxa"/>
            <w:left w:w="108" w:type="dxa"/>
            <w:bottom w:w="0" w:type="dxa"/>
            <w:right w:w="108" w:type="dxa"/>
          </w:tblCellMar>
        </w:tblPrEx>
        <w:trPr>
          <w:trHeight w:val="329" w:hRule="exact"/>
          <w:jc w:val="center"/>
        </w:trPr>
        <w:tc>
          <w:tcPr>
            <w:tcW w:w="1543" w:type="dxa"/>
            <w:tcBorders>
              <w:top w:val="single" w:color="auto" w:sz="4" w:space="0"/>
              <w:left w:val="single" w:color="auto" w:sz="12" w:space="0"/>
              <w:bottom w:val="single" w:color="auto" w:sz="4" w:space="0"/>
              <w:right w:val="single" w:color="auto" w:sz="4" w:space="0"/>
            </w:tcBorders>
            <w:noWrap w:val="0"/>
            <w:vAlign w:val="center"/>
          </w:tcPr>
          <w:p w14:paraId="1EFFBD32">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1</w:t>
            </w:r>
          </w:p>
        </w:tc>
        <w:tc>
          <w:tcPr>
            <w:tcW w:w="1547" w:type="dxa"/>
            <w:tcBorders>
              <w:top w:val="single" w:color="auto" w:sz="4" w:space="0"/>
              <w:left w:val="single" w:color="auto" w:sz="4" w:space="0"/>
              <w:bottom w:val="single" w:color="auto" w:sz="4" w:space="0"/>
              <w:right w:val="single" w:color="auto" w:sz="4" w:space="0"/>
            </w:tcBorders>
            <w:noWrap/>
            <w:vAlign w:val="center"/>
          </w:tcPr>
          <w:p w14:paraId="48D4C7E6">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水泥</w:t>
            </w:r>
          </w:p>
        </w:tc>
        <w:tc>
          <w:tcPr>
            <w:tcW w:w="944" w:type="dxa"/>
            <w:tcBorders>
              <w:top w:val="single" w:color="auto" w:sz="4" w:space="0"/>
              <w:left w:val="single" w:color="auto" w:sz="4" w:space="0"/>
              <w:bottom w:val="single" w:color="auto" w:sz="4" w:space="0"/>
              <w:right w:val="single" w:color="auto" w:sz="4" w:space="0"/>
            </w:tcBorders>
            <w:noWrap/>
            <w:vAlign w:val="center"/>
          </w:tcPr>
          <w:p w14:paraId="21A4CCAB">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t</w:t>
            </w:r>
          </w:p>
        </w:tc>
        <w:tc>
          <w:tcPr>
            <w:tcW w:w="4424" w:type="dxa"/>
            <w:tcBorders>
              <w:top w:val="single" w:color="auto" w:sz="4" w:space="0"/>
              <w:left w:val="single" w:color="auto" w:sz="4" w:space="0"/>
              <w:bottom w:val="single" w:color="auto" w:sz="4" w:space="0"/>
              <w:right w:val="single" w:color="auto" w:sz="12" w:space="0"/>
            </w:tcBorders>
            <w:noWrap w:val="0"/>
            <w:vAlign w:val="center"/>
          </w:tcPr>
          <w:p w14:paraId="308FA7F8">
            <w:pPr>
              <w:pStyle w:val="130"/>
              <w:spacing w:before="48" w:after="48"/>
              <w:rPr>
                <w:rFonts w:hint="default" w:ascii="Arial" w:hAnsi="Arial" w:eastAsia="宋体" w:cs="Arial"/>
                <w:color w:val="auto"/>
                <w:sz w:val="22"/>
                <w:szCs w:val="22"/>
                <w:highlight w:val="none"/>
                <w:lang w:val="en-US" w:eastAsia="zh-CN"/>
              </w:rPr>
            </w:pPr>
            <w:r>
              <w:rPr>
                <w:rFonts w:hint="default" w:ascii="Arial" w:hAnsi="Arial" w:eastAsia="宋体" w:cs="Arial"/>
                <w:color w:val="auto"/>
                <w:sz w:val="22"/>
                <w:szCs w:val="22"/>
                <w:highlight w:val="none"/>
                <w:lang w:val="en-US" w:eastAsia="zh-CN"/>
              </w:rPr>
              <w:t>13931.39</w:t>
            </w:r>
          </w:p>
        </w:tc>
      </w:tr>
      <w:tr w14:paraId="20C09E41">
        <w:tblPrEx>
          <w:tblCellMar>
            <w:top w:w="0" w:type="dxa"/>
            <w:left w:w="108" w:type="dxa"/>
            <w:bottom w:w="0" w:type="dxa"/>
            <w:right w:w="108" w:type="dxa"/>
          </w:tblCellMar>
        </w:tblPrEx>
        <w:trPr>
          <w:trHeight w:val="329" w:hRule="exact"/>
          <w:jc w:val="center"/>
        </w:trPr>
        <w:tc>
          <w:tcPr>
            <w:tcW w:w="1543" w:type="dxa"/>
            <w:tcBorders>
              <w:top w:val="single" w:color="auto" w:sz="4" w:space="0"/>
              <w:left w:val="single" w:color="auto" w:sz="12" w:space="0"/>
              <w:bottom w:val="single" w:color="auto" w:sz="4" w:space="0"/>
              <w:right w:val="single" w:color="auto" w:sz="4" w:space="0"/>
            </w:tcBorders>
            <w:noWrap w:val="0"/>
            <w:vAlign w:val="center"/>
          </w:tcPr>
          <w:p w14:paraId="7180C64D">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2</w:t>
            </w:r>
          </w:p>
        </w:tc>
        <w:tc>
          <w:tcPr>
            <w:tcW w:w="1547" w:type="dxa"/>
            <w:tcBorders>
              <w:top w:val="single" w:color="auto" w:sz="4" w:space="0"/>
              <w:left w:val="single" w:color="auto" w:sz="4" w:space="0"/>
              <w:bottom w:val="single" w:color="auto" w:sz="4" w:space="0"/>
              <w:right w:val="single" w:color="auto" w:sz="4" w:space="0"/>
            </w:tcBorders>
            <w:noWrap/>
            <w:vAlign w:val="center"/>
          </w:tcPr>
          <w:p w14:paraId="38420F6E">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钢筋</w:t>
            </w:r>
          </w:p>
        </w:tc>
        <w:tc>
          <w:tcPr>
            <w:tcW w:w="944" w:type="dxa"/>
            <w:tcBorders>
              <w:top w:val="single" w:color="auto" w:sz="4" w:space="0"/>
              <w:left w:val="single" w:color="auto" w:sz="4" w:space="0"/>
              <w:bottom w:val="single" w:color="auto" w:sz="4" w:space="0"/>
              <w:right w:val="single" w:color="auto" w:sz="4" w:space="0"/>
            </w:tcBorders>
            <w:noWrap/>
            <w:vAlign w:val="center"/>
          </w:tcPr>
          <w:p w14:paraId="2FB6C9FB">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t</w:t>
            </w:r>
          </w:p>
        </w:tc>
        <w:tc>
          <w:tcPr>
            <w:tcW w:w="4424" w:type="dxa"/>
            <w:tcBorders>
              <w:top w:val="single" w:color="auto" w:sz="4" w:space="0"/>
              <w:left w:val="single" w:color="auto" w:sz="4" w:space="0"/>
              <w:bottom w:val="single" w:color="auto" w:sz="4" w:space="0"/>
              <w:right w:val="single" w:color="auto" w:sz="12" w:space="0"/>
            </w:tcBorders>
            <w:noWrap w:val="0"/>
            <w:vAlign w:val="center"/>
          </w:tcPr>
          <w:p w14:paraId="7F6B7CD9">
            <w:pPr>
              <w:pStyle w:val="130"/>
              <w:spacing w:before="48" w:after="48"/>
              <w:rPr>
                <w:rFonts w:hint="default" w:ascii="Arial" w:hAnsi="Arial" w:eastAsia="宋体" w:cs="Arial"/>
                <w:color w:val="auto"/>
                <w:sz w:val="22"/>
                <w:szCs w:val="22"/>
                <w:highlight w:val="none"/>
                <w:lang w:val="en-US" w:eastAsia="zh-CN"/>
              </w:rPr>
            </w:pPr>
            <w:r>
              <w:rPr>
                <w:rFonts w:hint="default" w:ascii="Arial" w:hAnsi="Arial" w:eastAsia="宋体" w:cs="Arial"/>
                <w:color w:val="auto"/>
                <w:sz w:val="22"/>
                <w:szCs w:val="22"/>
                <w:highlight w:val="none"/>
                <w:lang w:val="en-US" w:eastAsia="zh-CN"/>
              </w:rPr>
              <w:t>496.79</w:t>
            </w:r>
          </w:p>
        </w:tc>
      </w:tr>
      <w:tr w14:paraId="6372D173">
        <w:tblPrEx>
          <w:tblCellMar>
            <w:top w:w="0" w:type="dxa"/>
            <w:left w:w="108" w:type="dxa"/>
            <w:bottom w:w="0" w:type="dxa"/>
            <w:right w:w="108" w:type="dxa"/>
          </w:tblCellMar>
        </w:tblPrEx>
        <w:trPr>
          <w:trHeight w:val="324" w:hRule="exact"/>
          <w:jc w:val="center"/>
        </w:trPr>
        <w:tc>
          <w:tcPr>
            <w:tcW w:w="1543" w:type="dxa"/>
            <w:tcBorders>
              <w:top w:val="single" w:color="auto" w:sz="4" w:space="0"/>
              <w:left w:val="single" w:color="auto" w:sz="12" w:space="0"/>
              <w:bottom w:val="single" w:color="auto" w:sz="4" w:space="0"/>
              <w:right w:val="single" w:color="auto" w:sz="4" w:space="0"/>
            </w:tcBorders>
            <w:noWrap w:val="0"/>
            <w:vAlign w:val="center"/>
          </w:tcPr>
          <w:p w14:paraId="33E21DD2">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3</w:t>
            </w:r>
          </w:p>
        </w:tc>
        <w:tc>
          <w:tcPr>
            <w:tcW w:w="1547" w:type="dxa"/>
            <w:tcBorders>
              <w:top w:val="single" w:color="auto" w:sz="4" w:space="0"/>
              <w:left w:val="single" w:color="auto" w:sz="4" w:space="0"/>
              <w:bottom w:val="single" w:color="auto" w:sz="4" w:space="0"/>
              <w:right w:val="single" w:color="auto" w:sz="4" w:space="0"/>
            </w:tcBorders>
            <w:noWrap/>
            <w:vAlign w:val="center"/>
          </w:tcPr>
          <w:p w14:paraId="69D402CC">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砂</w:t>
            </w:r>
          </w:p>
        </w:tc>
        <w:tc>
          <w:tcPr>
            <w:tcW w:w="944" w:type="dxa"/>
            <w:tcBorders>
              <w:top w:val="single" w:color="auto" w:sz="4" w:space="0"/>
              <w:left w:val="single" w:color="auto" w:sz="4" w:space="0"/>
              <w:bottom w:val="single" w:color="auto" w:sz="4" w:space="0"/>
              <w:right w:val="single" w:color="auto" w:sz="4" w:space="0"/>
            </w:tcBorders>
            <w:noWrap/>
            <w:vAlign w:val="center"/>
          </w:tcPr>
          <w:p w14:paraId="44A74C5D">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m</w:t>
            </w:r>
            <w:r>
              <w:rPr>
                <w:rFonts w:hint="default" w:ascii="Arial" w:hAnsi="Arial" w:eastAsia="宋体" w:cs="Arial"/>
                <w:color w:val="auto"/>
                <w:kern w:val="0"/>
                <w:sz w:val="22"/>
                <w:szCs w:val="22"/>
                <w:highlight w:val="none"/>
                <w:vertAlign w:val="superscript"/>
              </w:rPr>
              <w:t>3</w:t>
            </w:r>
          </w:p>
        </w:tc>
        <w:tc>
          <w:tcPr>
            <w:tcW w:w="4424" w:type="dxa"/>
            <w:tcBorders>
              <w:top w:val="single" w:color="auto" w:sz="4" w:space="0"/>
              <w:left w:val="single" w:color="auto" w:sz="4" w:space="0"/>
              <w:bottom w:val="single" w:color="auto" w:sz="4" w:space="0"/>
              <w:right w:val="single" w:color="auto" w:sz="12" w:space="0"/>
            </w:tcBorders>
            <w:noWrap w:val="0"/>
            <w:vAlign w:val="center"/>
          </w:tcPr>
          <w:p w14:paraId="4527E1E4">
            <w:pPr>
              <w:pStyle w:val="130"/>
              <w:spacing w:before="48" w:after="48"/>
              <w:rPr>
                <w:rFonts w:hint="default" w:ascii="Arial" w:hAnsi="Arial" w:eastAsia="宋体" w:cs="Arial"/>
                <w:color w:val="auto"/>
                <w:sz w:val="22"/>
                <w:szCs w:val="22"/>
                <w:highlight w:val="none"/>
                <w:lang w:val="en-US" w:eastAsia="zh-CN"/>
              </w:rPr>
            </w:pPr>
            <w:r>
              <w:rPr>
                <w:rFonts w:hint="default" w:ascii="Arial" w:hAnsi="Arial" w:eastAsia="宋体" w:cs="Arial"/>
                <w:color w:val="auto"/>
                <w:sz w:val="22"/>
                <w:szCs w:val="22"/>
                <w:highlight w:val="none"/>
                <w:lang w:val="en-US" w:eastAsia="zh-CN"/>
              </w:rPr>
              <w:t>23355.51</w:t>
            </w:r>
          </w:p>
        </w:tc>
      </w:tr>
      <w:tr w14:paraId="317B6601">
        <w:tblPrEx>
          <w:tblCellMar>
            <w:top w:w="0" w:type="dxa"/>
            <w:left w:w="108" w:type="dxa"/>
            <w:bottom w:w="0" w:type="dxa"/>
            <w:right w:w="108" w:type="dxa"/>
          </w:tblCellMar>
        </w:tblPrEx>
        <w:trPr>
          <w:trHeight w:val="329" w:hRule="exact"/>
          <w:jc w:val="center"/>
        </w:trPr>
        <w:tc>
          <w:tcPr>
            <w:tcW w:w="1543" w:type="dxa"/>
            <w:tcBorders>
              <w:top w:val="single" w:color="auto" w:sz="4" w:space="0"/>
              <w:left w:val="single" w:color="auto" w:sz="12" w:space="0"/>
              <w:bottom w:val="single" w:color="auto" w:sz="4" w:space="0"/>
              <w:right w:val="single" w:color="auto" w:sz="4" w:space="0"/>
            </w:tcBorders>
            <w:noWrap w:val="0"/>
            <w:vAlign w:val="center"/>
          </w:tcPr>
          <w:p w14:paraId="2750DDF8">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4</w:t>
            </w:r>
          </w:p>
        </w:tc>
        <w:tc>
          <w:tcPr>
            <w:tcW w:w="1547" w:type="dxa"/>
            <w:tcBorders>
              <w:top w:val="single" w:color="auto" w:sz="4" w:space="0"/>
              <w:left w:val="single" w:color="auto" w:sz="4" w:space="0"/>
              <w:bottom w:val="single" w:color="auto" w:sz="4" w:space="0"/>
              <w:right w:val="single" w:color="auto" w:sz="4" w:space="0"/>
            </w:tcBorders>
            <w:noWrap/>
            <w:vAlign w:val="center"/>
          </w:tcPr>
          <w:p w14:paraId="3E61A1A8">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碎石</w:t>
            </w:r>
          </w:p>
        </w:tc>
        <w:tc>
          <w:tcPr>
            <w:tcW w:w="944" w:type="dxa"/>
            <w:tcBorders>
              <w:top w:val="single" w:color="auto" w:sz="4" w:space="0"/>
              <w:left w:val="single" w:color="auto" w:sz="4" w:space="0"/>
              <w:bottom w:val="single" w:color="auto" w:sz="4" w:space="0"/>
              <w:right w:val="single" w:color="auto" w:sz="4" w:space="0"/>
            </w:tcBorders>
            <w:noWrap/>
            <w:vAlign w:val="center"/>
          </w:tcPr>
          <w:p w14:paraId="5670CB21">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m</w:t>
            </w:r>
            <w:r>
              <w:rPr>
                <w:rFonts w:hint="default" w:ascii="Arial" w:hAnsi="Arial" w:eastAsia="宋体" w:cs="Arial"/>
                <w:color w:val="auto"/>
                <w:kern w:val="0"/>
                <w:sz w:val="22"/>
                <w:szCs w:val="22"/>
                <w:highlight w:val="none"/>
                <w:vertAlign w:val="superscript"/>
              </w:rPr>
              <w:t>3</w:t>
            </w:r>
          </w:p>
        </w:tc>
        <w:tc>
          <w:tcPr>
            <w:tcW w:w="4424" w:type="dxa"/>
            <w:tcBorders>
              <w:top w:val="single" w:color="auto" w:sz="4" w:space="0"/>
              <w:left w:val="single" w:color="auto" w:sz="4" w:space="0"/>
              <w:bottom w:val="single" w:color="auto" w:sz="4" w:space="0"/>
              <w:right w:val="single" w:color="auto" w:sz="12" w:space="0"/>
            </w:tcBorders>
            <w:noWrap w:val="0"/>
            <w:vAlign w:val="center"/>
          </w:tcPr>
          <w:p w14:paraId="65FEAD75">
            <w:pPr>
              <w:pStyle w:val="130"/>
              <w:spacing w:before="48" w:after="48"/>
              <w:rPr>
                <w:rFonts w:hint="default" w:ascii="Arial" w:hAnsi="Arial" w:eastAsia="宋体" w:cs="Arial"/>
                <w:color w:val="auto"/>
                <w:sz w:val="22"/>
                <w:szCs w:val="22"/>
                <w:highlight w:val="none"/>
                <w:lang w:val="en-US" w:eastAsia="zh-CN"/>
              </w:rPr>
            </w:pPr>
            <w:r>
              <w:rPr>
                <w:rFonts w:hint="default" w:ascii="Arial" w:hAnsi="Arial" w:eastAsia="宋体" w:cs="Arial"/>
                <w:color w:val="auto"/>
                <w:sz w:val="22"/>
                <w:szCs w:val="22"/>
                <w:highlight w:val="none"/>
                <w:lang w:val="en-US" w:eastAsia="zh-CN"/>
              </w:rPr>
              <w:t>33765.10</w:t>
            </w:r>
          </w:p>
        </w:tc>
      </w:tr>
      <w:tr w14:paraId="1222F534">
        <w:tblPrEx>
          <w:tblCellMar>
            <w:top w:w="0" w:type="dxa"/>
            <w:left w:w="108" w:type="dxa"/>
            <w:bottom w:w="0" w:type="dxa"/>
            <w:right w:w="108" w:type="dxa"/>
          </w:tblCellMar>
        </w:tblPrEx>
        <w:trPr>
          <w:trHeight w:val="329" w:hRule="exact"/>
          <w:jc w:val="center"/>
        </w:trPr>
        <w:tc>
          <w:tcPr>
            <w:tcW w:w="1543" w:type="dxa"/>
            <w:tcBorders>
              <w:top w:val="single" w:color="auto" w:sz="4" w:space="0"/>
              <w:left w:val="single" w:color="auto" w:sz="12" w:space="0"/>
              <w:bottom w:val="single" w:color="auto" w:sz="4" w:space="0"/>
              <w:right w:val="single" w:color="auto" w:sz="4" w:space="0"/>
            </w:tcBorders>
            <w:noWrap w:val="0"/>
            <w:vAlign w:val="center"/>
          </w:tcPr>
          <w:p w14:paraId="49C679F8">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5</w:t>
            </w:r>
          </w:p>
        </w:tc>
        <w:tc>
          <w:tcPr>
            <w:tcW w:w="1547" w:type="dxa"/>
            <w:tcBorders>
              <w:top w:val="single" w:color="auto" w:sz="4" w:space="0"/>
              <w:left w:val="single" w:color="auto" w:sz="4" w:space="0"/>
              <w:bottom w:val="single" w:color="auto" w:sz="4" w:space="0"/>
              <w:right w:val="single" w:color="auto" w:sz="4" w:space="0"/>
            </w:tcBorders>
            <w:noWrap/>
            <w:vAlign w:val="center"/>
          </w:tcPr>
          <w:p w14:paraId="4BC2F891">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条</w:t>
            </w:r>
            <w:r>
              <w:rPr>
                <w:rFonts w:hint="default" w:ascii="Arial" w:hAnsi="Arial" w:eastAsia="宋体" w:cs="Arial"/>
                <w:color w:val="auto"/>
                <w:kern w:val="0"/>
                <w:sz w:val="22"/>
                <w:szCs w:val="22"/>
                <w:highlight w:val="none"/>
              </w:rPr>
              <w:t>块石</w:t>
            </w:r>
          </w:p>
        </w:tc>
        <w:tc>
          <w:tcPr>
            <w:tcW w:w="944" w:type="dxa"/>
            <w:tcBorders>
              <w:top w:val="single" w:color="auto" w:sz="4" w:space="0"/>
              <w:left w:val="single" w:color="auto" w:sz="4" w:space="0"/>
              <w:bottom w:val="single" w:color="auto" w:sz="4" w:space="0"/>
              <w:right w:val="single" w:color="auto" w:sz="4" w:space="0"/>
            </w:tcBorders>
            <w:noWrap/>
            <w:vAlign w:val="center"/>
          </w:tcPr>
          <w:p w14:paraId="0B37B231">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m</w:t>
            </w:r>
            <w:r>
              <w:rPr>
                <w:rFonts w:hint="default" w:ascii="Arial" w:hAnsi="Arial" w:eastAsia="宋体" w:cs="Arial"/>
                <w:color w:val="auto"/>
                <w:kern w:val="0"/>
                <w:sz w:val="22"/>
                <w:szCs w:val="22"/>
                <w:highlight w:val="none"/>
                <w:vertAlign w:val="superscript"/>
              </w:rPr>
              <w:t>3</w:t>
            </w:r>
          </w:p>
        </w:tc>
        <w:tc>
          <w:tcPr>
            <w:tcW w:w="4424" w:type="dxa"/>
            <w:tcBorders>
              <w:top w:val="single" w:color="auto" w:sz="4" w:space="0"/>
              <w:left w:val="single" w:color="auto" w:sz="4" w:space="0"/>
              <w:bottom w:val="single" w:color="auto" w:sz="4" w:space="0"/>
              <w:right w:val="single" w:color="auto" w:sz="12" w:space="0"/>
            </w:tcBorders>
            <w:noWrap w:val="0"/>
            <w:vAlign w:val="center"/>
          </w:tcPr>
          <w:p w14:paraId="59BD1BD3">
            <w:pPr>
              <w:pStyle w:val="130"/>
              <w:spacing w:before="48" w:after="48"/>
              <w:rPr>
                <w:rFonts w:hint="default" w:ascii="Arial" w:hAnsi="Arial" w:eastAsia="宋体" w:cs="Arial"/>
                <w:color w:val="auto"/>
                <w:sz w:val="22"/>
                <w:szCs w:val="22"/>
                <w:highlight w:val="none"/>
                <w:lang w:val="en-US" w:eastAsia="zh-CN"/>
              </w:rPr>
            </w:pPr>
            <w:r>
              <w:rPr>
                <w:rFonts w:hint="default" w:ascii="Arial" w:hAnsi="Arial" w:eastAsia="宋体" w:cs="Arial"/>
                <w:color w:val="auto"/>
                <w:sz w:val="22"/>
                <w:szCs w:val="22"/>
                <w:highlight w:val="none"/>
                <w:lang w:val="en-US" w:eastAsia="zh-CN"/>
              </w:rPr>
              <w:t>13457.30</w:t>
            </w:r>
          </w:p>
        </w:tc>
      </w:tr>
      <w:tr w14:paraId="74322DF4">
        <w:tblPrEx>
          <w:tblCellMar>
            <w:top w:w="0" w:type="dxa"/>
            <w:left w:w="108" w:type="dxa"/>
            <w:bottom w:w="0" w:type="dxa"/>
            <w:right w:w="108" w:type="dxa"/>
          </w:tblCellMar>
        </w:tblPrEx>
        <w:trPr>
          <w:trHeight w:val="329" w:hRule="exact"/>
          <w:jc w:val="center"/>
        </w:trPr>
        <w:tc>
          <w:tcPr>
            <w:tcW w:w="1543" w:type="dxa"/>
            <w:tcBorders>
              <w:top w:val="single" w:color="auto" w:sz="4" w:space="0"/>
              <w:left w:val="single" w:color="auto" w:sz="12" w:space="0"/>
              <w:bottom w:val="single" w:color="auto" w:sz="4" w:space="0"/>
              <w:right w:val="single" w:color="auto" w:sz="4" w:space="0"/>
            </w:tcBorders>
            <w:noWrap w:val="0"/>
            <w:vAlign w:val="center"/>
          </w:tcPr>
          <w:p w14:paraId="1933EEBD">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6</w:t>
            </w:r>
          </w:p>
        </w:tc>
        <w:tc>
          <w:tcPr>
            <w:tcW w:w="1547" w:type="dxa"/>
            <w:tcBorders>
              <w:top w:val="single" w:color="auto" w:sz="4" w:space="0"/>
              <w:left w:val="single" w:color="auto" w:sz="4" w:space="0"/>
              <w:bottom w:val="single" w:color="auto" w:sz="4" w:space="0"/>
              <w:right w:val="single" w:color="auto" w:sz="4" w:space="0"/>
            </w:tcBorders>
            <w:noWrap/>
            <w:vAlign w:val="center"/>
          </w:tcPr>
          <w:p w14:paraId="75B5B857">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汽油</w:t>
            </w:r>
          </w:p>
        </w:tc>
        <w:tc>
          <w:tcPr>
            <w:tcW w:w="944" w:type="dxa"/>
            <w:tcBorders>
              <w:top w:val="single" w:color="auto" w:sz="4" w:space="0"/>
              <w:left w:val="single" w:color="auto" w:sz="4" w:space="0"/>
              <w:bottom w:val="single" w:color="auto" w:sz="4" w:space="0"/>
              <w:right w:val="single" w:color="auto" w:sz="4" w:space="0"/>
            </w:tcBorders>
            <w:noWrap/>
            <w:vAlign w:val="center"/>
          </w:tcPr>
          <w:p w14:paraId="789D4F87">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t</w:t>
            </w:r>
          </w:p>
        </w:tc>
        <w:tc>
          <w:tcPr>
            <w:tcW w:w="4424" w:type="dxa"/>
            <w:tcBorders>
              <w:top w:val="single" w:color="auto" w:sz="4" w:space="0"/>
              <w:left w:val="single" w:color="auto" w:sz="4" w:space="0"/>
              <w:bottom w:val="single" w:color="auto" w:sz="4" w:space="0"/>
              <w:right w:val="single" w:color="auto" w:sz="12" w:space="0"/>
            </w:tcBorders>
            <w:noWrap w:val="0"/>
            <w:vAlign w:val="center"/>
          </w:tcPr>
          <w:p w14:paraId="55AB6489">
            <w:pPr>
              <w:pStyle w:val="130"/>
              <w:spacing w:before="48" w:after="48"/>
              <w:rPr>
                <w:rFonts w:hint="default" w:ascii="Arial" w:hAnsi="Arial" w:eastAsia="宋体" w:cs="Arial"/>
                <w:color w:val="auto"/>
                <w:sz w:val="22"/>
                <w:szCs w:val="22"/>
                <w:highlight w:val="none"/>
                <w:lang w:val="en-US" w:eastAsia="zh-CN"/>
              </w:rPr>
            </w:pPr>
            <w:r>
              <w:rPr>
                <w:rFonts w:hint="default" w:ascii="Arial" w:hAnsi="Arial" w:eastAsia="宋体" w:cs="Arial"/>
                <w:color w:val="auto"/>
                <w:sz w:val="22"/>
                <w:szCs w:val="22"/>
                <w:highlight w:val="none"/>
                <w:lang w:val="en-US" w:eastAsia="zh-CN"/>
              </w:rPr>
              <w:t>310.64</w:t>
            </w:r>
          </w:p>
        </w:tc>
      </w:tr>
      <w:tr w14:paraId="0040A117">
        <w:tblPrEx>
          <w:tblCellMar>
            <w:top w:w="0" w:type="dxa"/>
            <w:left w:w="108" w:type="dxa"/>
            <w:bottom w:w="0" w:type="dxa"/>
            <w:right w:w="108" w:type="dxa"/>
          </w:tblCellMar>
        </w:tblPrEx>
        <w:trPr>
          <w:trHeight w:val="353" w:hRule="exact"/>
          <w:jc w:val="center"/>
        </w:trPr>
        <w:tc>
          <w:tcPr>
            <w:tcW w:w="1543" w:type="dxa"/>
            <w:tcBorders>
              <w:top w:val="single" w:color="auto" w:sz="4" w:space="0"/>
              <w:left w:val="single" w:color="auto" w:sz="12" w:space="0"/>
              <w:bottom w:val="single" w:color="auto" w:sz="12" w:space="0"/>
              <w:right w:val="single" w:color="auto" w:sz="4" w:space="0"/>
            </w:tcBorders>
            <w:noWrap w:val="0"/>
            <w:vAlign w:val="center"/>
          </w:tcPr>
          <w:p w14:paraId="2013E792">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7</w:t>
            </w:r>
          </w:p>
        </w:tc>
        <w:tc>
          <w:tcPr>
            <w:tcW w:w="1547" w:type="dxa"/>
            <w:tcBorders>
              <w:top w:val="single" w:color="auto" w:sz="4" w:space="0"/>
              <w:left w:val="single" w:color="auto" w:sz="4" w:space="0"/>
              <w:bottom w:val="single" w:color="auto" w:sz="12" w:space="0"/>
              <w:right w:val="single" w:color="auto" w:sz="4" w:space="0"/>
            </w:tcBorders>
            <w:noWrap/>
            <w:vAlign w:val="center"/>
          </w:tcPr>
          <w:p w14:paraId="16B6C671">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柴油</w:t>
            </w:r>
          </w:p>
        </w:tc>
        <w:tc>
          <w:tcPr>
            <w:tcW w:w="944" w:type="dxa"/>
            <w:tcBorders>
              <w:top w:val="single" w:color="auto" w:sz="4" w:space="0"/>
              <w:left w:val="single" w:color="auto" w:sz="4" w:space="0"/>
              <w:bottom w:val="single" w:color="auto" w:sz="12" w:space="0"/>
              <w:right w:val="single" w:color="auto" w:sz="4" w:space="0"/>
            </w:tcBorders>
            <w:noWrap/>
            <w:vAlign w:val="center"/>
          </w:tcPr>
          <w:p w14:paraId="13A764D1">
            <w:pPr>
              <w:widowControl/>
              <w:spacing w:line="240" w:lineRule="auto"/>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rPr>
              <w:t>t</w:t>
            </w:r>
          </w:p>
        </w:tc>
        <w:tc>
          <w:tcPr>
            <w:tcW w:w="4424" w:type="dxa"/>
            <w:tcBorders>
              <w:top w:val="single" w:color="auto" w:sz="4" w:space="0"/>
              <w:left w:val="single" w:color="auto" w:sz="4" w:space="0"/>
              <w:bottom w:val="single" w:color="auto" w:sz="12" w:space="0"/>
              <w:right w:val="single" w:color="auto" w:sz="12" w:space="0"/>
            </w:tcBorders>
            <w:noWrap w:val="0"/>
            <w:vAlign w:val="center"/>
          </w:tcPr>
          <w:p w14:paraId="38D3FBA3">
            <w:pPr>
              <w:pStyle w:val="130"/>
              <w:spacing w:before="48" w:after="48"/>
              <w:rPr>
                <w:rFonts w:hint="default" w:ascii="Arial" w:hAnsi="Arial" w:eastAsia="宋体" w:cs="Arial"/>
                <w:color w:val="auto"/>
                <w:sz w:val="22"/>
                <w:szCs w:val="22"/>
                <w:highlight w:val="none"/>
                <w:lang w:val="en-US" w:eastAsia="zh-CN"/>
              </w:rPr>
            </w:pPr>
            <w:r>
              <w:rPr>
                <w:rFonts w:hint="default" w:ascii="Arial" w:hAnsi="Arial" w:eastAsia="宋体" w:cs="Arial"/>
                <w:color w:val="auto"/>
                <w:sz w:val="22"/>
                <w:szCs w:val="22"/>
                <w:highlight w:val="none"/>
                <w:lang w:val="en-US" w:eastAsia="zh-CN"/>
              </w:rPr>
              <w:t>374.96</w:t>
            </w:r>
          </w:p>
        </w:tc>
      </w:tr>
    </w:tbl>
    <w:p w14:paraId="310AEA8A">
      <w:pPr>
        <w:keepNext w:val="0"/>
        <w:keepLines w:val="0"/>
        <w:pageBreakBefore w:val="0"/>
        <w:widowControl w:val="0"/>
        <w:kinsoku/>
        <w:wordWrap/>
        <w:overflowPunct/>
        <w:topLinePunct w:val="0"/>
        <w:autoSpaceDE/>
        <w:autoSpaceDN/>
        <w:bidi w:val="0"/>
        <w:adjustRightInd/>
        <w:snapToGrid/>
        <w:spacing w:line="240" w:lineRule="exact"/>
        <w:ind w:firstLine="392" w:firstLineChars="150"/>
        <w:textAlignment w:val="auto"/>
        <w:rPr>
          <w:rFonts w:hint="eastAsia" w:ascii="Arial" w:cs="Arial"/>
          <w:b/>
          <w:color w:val="auto"/>
          <w:sz w:val="26"/>
          <w:szCs w:val="26"/>
          <w:lang w:eastAsia="zh-CN"/>
        </w:rPr>
      </w:pPr>
    </w:p>
    <w:p w14:paraId="0A333B07">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cs="Arial"/>
          <w:b/>
          <w:color w:val="auto"/>
          <w:sz w:val="26"/>
          <w:szCs w:val="26"/>
          <w:lang w:eastAsia="zh-CN"/>
        </w:rPr>
      </w:pPr>
      <w:r>
        <w:rPr>
          <w:rFonts w:hint="eastAsia" w:ascii="Arial" w:cs="Arial"/>
          <w:b/>
          <w:color w:val="auto"/>
          <w:sz w:val="26"/>
          <w:szCs w:val="26"/>
          <w:lang w:eastAsia="zh-CN"/>
        </w:rPr>
        <w:t>（</w:t>
      </w:r>
      <w:r>
        <w:rPr>
          <w:rFonts w:hint="eastAsia" w:ascii="Arial" w:cs="Arial"/>
          <w:b/>
          <w:color w:val="auto"/>
          <w:sz w:val="26"/>
          <w:szCs w:val="26"/>
          <w:lang w:val="en-US" w:eastAsia="zh-CN"/>
        </w:rPr>
        <w:t>2）施工供风、供水、供电</w:t>
      </w:r>
    </w:p>
    <w:p w14:paraId="35B805BD">
      <w:pPr>
        <w:keepNext w:val="0"/>
        <w:keepLines w:val="0"/>
        <w:pageBreakBefore w:val="0"/>
        <w:widowControl w:val="0"/>
        <w:kinsoku/>
        <w:wordWrap/>
        <w:overflowPunct/>
        <w:topLinePunct w:val="0"/>
        <w:bidi w:val="0"/>
        <w:snapToGrid w:val="0"/>
        <w:spacing w:line="460" w:lineRule="exact"/>
        <w:ind w:firstLine="522" w:firstLineChars="200"/>
        <w:textAlignment w:val="auto"/>
        <w:rPr>
          <w:rFonts w:hint="eastAsia" w:ascii="Arial" w:hAnsi="Arial" w:cs="Arial"/>
          <w:b/>
          <w:sz w:val="26"/>
          <w:szCs w:val="26"/>
        </w:rPr>
      </w:pPr>
      <w:r>
        <w:rPr>
          <w:rFonts w:hint="eastAsia" w:ascii="宋体" w:hAnsi="宋体" w:cs="宋体"/>
          <w:b/>
          <w:sz w:val="26"/>
          <w:szCs w:val="26"/>
        </w:rPr>
        <w:t>①</w:t>
      </w:r>
      <w:r>
        <w:rPr>
          <w:rFonts w:ascii="Arial" w:hAnsi="Arial" w:cs="Arial"/>
          <w:b/>
          <w:sz w:val="26"/>
          <w:szCs w:val="26"/>
        </w:rPr>
        <w:t xml:space="preserve"> </w:t>
      </w:r>
      <w:r>
        <w:rPr>
          <w:rFonts w:hint="eastAsia" w:ascii="Arial" w:hAnsi="Arial" w:cs="Arial"/>
          <w:b/>
          <w:sz w:val="26"/>
          <w:szCs w:val="26"/>
        </w:rPr>
        <w:t>施工供风</w:t>
      </w:r>
    </w:p>
    <w:p w14:paraId="616892CC">
      <w:pPr>
        <w:keepNext w:val="0"/>
        <w:keepLines w:val="0"/>
        <w:pageBreakBefore w:val="0"/>
        <w:widowControl w:val="0"/>
        <w:kinsoku/>
        <w:wordWrap/>
        <w:overflowPunct/>
        <w:topLinePunct w:val="0"/>
        <w:bidi w:val="0"/>
        <w:spacing w:line="460" w:lineRule="exact"/>
        <w:ind w:firstLine="520" w:firstLineChars="200"/>
        <w:textAlignment w:val="auto"/>
        <w:rPr>
          <w:rFonts w:hint="eastAsia" w:ascii="Arial" w:cs="Arial"/>
          <w:bCs/>
          <w:sz w:val="26"/>
        </w:rPr>
      </w:pPr>
      <w:r>
        <w:rPr>
          <w:rFonts w:hint="eastAsia" w:ascii="Arial" w:cs="Arial"/>
          <w:bCs/>
          <w:sz w:val="26"/>
        </w:rPr>
        <w:t>本工程施工用风项目主要有石方开挖、支护钻孔、大坝灌浆等。本工程施工供风确定采用固定与移动供风相结合的方式。</w:t>
      </w:r>
    </w:p>
    <w:p w14:paraId="0B60578A">
      <w:pPr>
        <w:keepNext w:val="0"/>
        <w:keepLines w:val="0"/>
        <w:pageBreakBefore w:val="0"/>
        <w:widowControl w:val="0"/>
        <w:kinsoku/>
        <w:wordWrap/>
        <w:overflowPunct/>
        <w:topLinePunct w:val="0"/>
        <w:bidi w:val="0"/>
        <w:spacing w:line="460" w:lineRule="exact"/>
        <w:ind w:firstLine="520" w:firstLineChars="200"/>
        <w:textAlignment w:val="auto"/>
        <w:rPr>
          <w:rFonts w:hint="eastAsia" w:ascii="Arial" w:cs="Arial"/>
          <w:bCs/>
          <w:sz w:val="26"/>
        </w:rPr>
      </w:pPr>
      <w:r>
        <w:rPr>
          <w:rFonts w:hint="eastAsia" w:ascii="Arial" w:cs="Arial"/>
          <w:bCs/>
          <w:sz w:val="26"/>
        </w:rPr>
        <w:t>枢纽工程区：在大坝右岸集中设一座空压站，在站内设4台LGFD40/8型固定空压机供风，主要供工程石方开挖、大坝灌浆等供风使用。</w:t>
      </w:r>
    </w:p>
    <w:p w14:paraId="2800F1ED">
      <w:pPr>
        <w:keepNext w:val="0"/>
        <w:keepLines w:val="0"/>
        <w:pageBreakBefore w:val="0"/>
        <w:widowControl w:val="0"/>
        <w:kinsoku/>
        <w:wordWrap/>
        <w:overflowPunct/>
        <w:topLinePunct w:val="0"/>
        <w:bidi w:val="0"/>
        <w:spacing w:line="460" w:lineRule="exact"/>
        <w:ind w:firstLine="520" w:firstLineChars="200"/>
        <w:textAlignment w:val="auto"/>
        <w:rPr>
          <w:rFonts w:hint="eastAsia" w:ascii="Arial" w:cs="Arial"/>
          <w:bCs/>
          <w:sz w:val="26"/>
        </w:rPr>
      </w:pPr>
      <w:r>
        <w:rPr>
          <w:rFonts w:hint="eastAsia" w:ascii="Arial" w:cs="Arial"/>
          <w:bCs/>
          <w:sz w:val="26"/>
        </w:rPr>
        <w:t>输水工程区：作业点各配置1台3m</w:t>
      </w:r>
      <w:r>
        <w:rPr>
          <w:rFonts w:hint="eastAsia" w:ascii="Arial" w:cs="Arial"/>
          <w:bCs/>
          <w:sz w:val="26"/>
          <w:vertAlign w:val="superscript"/>
        </w:rPr>
        <w:t>3</w:t>
      </w:r>
      <w:r>
        <w:rPr>
          <w:rFonts w:hint="eastAsia" w:ascii="Arial" w:cs="Arial"/>
          <w:bCs/>
          <w:sz w:val="26"/>
        </w:rPr>
        <w:t>/min移动空压机及相应配套的辅助设备，以供应施工区钻孔用风。</w:t>
      </w:r>
    </w:p>
    <w:p w14:paraId="76FAC256">
      <w:pPr>
        <w:keepNext w:val="0"/>
        <w:keepLines w:val="0"/>
        <w:pageBreakBefore w:val="0"/>
        <w:widowControl w:val="0"/>
        <w:kinsoku/>
        <w:wordWrap/>
        <w:overflowPunct/>
        <w:topLinePunct w:val="0"/>
        <w:bidi w:val="0"/>
        <w:snapToGrid w:val="0"/>
        <w:spacing w:line="460" w:lineRule="exact"/>
        <w:ind w:firstLine="522" w:firstLineChars="200"/>
        <w:textAlignment w:val="auto"/>
        <w:rPr>
          <w:rFonts w:hint="eastAsia" w:ascii="Arial" w:hAnsi="Arial" w:cs="Arial"/>
          <w:b/>
          <w:sz w:val="26"/>
          <w:szCs w:val="26"/>
        </w:rPr>
      </w:pPr>
      <w:r>
        <w:rPr>
          <w:rFonts w:hint="eastAsia" w:ascii="宋体" w:hAnsi="宋体" w:cs="宋体"/>
          <w:b/>
          <w:sz w:val="26"/>
          <w:szCs w:val="26"/>
        </w:rPr>
        <w:t>②</w:t>
      </w:r>
      <w:r>
        <w:rPr>
          <w:rFonts w:ascii="Arial" w:hAnsi="Arial" w:cs="Arial"/>
          <w:b/>
          <w:sz w:val="26"/>
          <w:szCs w:val="26"/>
        </w:rPr>
        <w:t xml:space="preserve"> </w:t>
      </w:r>
      <w:r>
        <w:rPr>
          <w:rFonts w:hint="eastAsia" w:ascii="Arial" w:hAnsi="Arial" w:cs="Arial"/>
          <w:b/>
          <w:sz w:val="26"/>
          <w:szCs w:val="26"/>
        </w:rPr>
        <w:t>施工供水</w:t>
      </w:r>
    </w:p>
    <w:p w14:paraId="4E7F3D7A">
      <w:pPr>
        <w:keepNext w:val="0"/>
        <w:keepLines w:val="0"/>
        <w:pageBreakBefore w:val="0"/>
        <w:widowControl w:val="0"/>
        <w:kinsoku/>
        <w:wordWrap/>
        <w:overflowPunct/>
        <w:topLinePunct w:val="0"/>
        <w:autoSpaceDE w:val="0"/>
        <w:autoSpaceDN w:val="0"/>
        <w:bidi w:val="0"/>
        <w:adjustRightInd w:val="0"/>
        <w:snapToGrid/>
        <w:spacing w:line="460" w:lineRule="exact"/>
        <w:ind w:firstLine="504" w:firstLineChars="200"/>
        <w:jc w:val="both"/>
        <w:textAlignment w:val="auto"/>
        <w:rPr>
          <w:rFonts w:hint="default" w:ascii="Arial" w:hAnsi="Arial" w:cs="Arial"/>
          <w:color w:val="auto"/>
          <w:spacing w:val="-4"/>
          <w:kern w:val="0"/>
          <w:sz w:val="26"/>
          <w:szCs w:val="26"/>
          <w:highlight w:val="none"/>
        </w:rPr>
      </w:pPr>
      <w:r>
        <w:rPr>
          <w:rFonts w:hint="default" w:ascii="Arial" w:hAnsi="Arial" w:cs="Arial"/>
          <w:color w:val="auto"/>
          <w:spacing w:val="-4"/>
          <w:kern w:val="0"/>
          <w:sz w:val="26"/>
          <w:szCs w:val="26"/>
          <w:highlight w:val="none"/>
        </w:rPr>
        <w:t>施工用水包括生活用水、生产用水。</w:t>
      </w:r>
    </w:p>
    <w:p w14:paraId="579B67D1">
      <w:pPr>
        <w:keepNext w:val="0"/>
        <w:keepLines w:val="0"/>
        <w:pageBreakBefore w:val="0"/>
        <w:widowControl w:val="0"/>
        <w:kinsoku/>
        <w:wordWrap/>
        <w:overflowPunct/>
        <w:topLinePunct w:val="0"/>
        <w:autoSpaceDE w:val="0"/>
        <w:autoSpaceDN w:val="0"/>
        <w:bidi w:val="0"/>
        <w:adjustRightInd w:val="0"/>
        <w:snapToGrid/>
        <w:spacing w:line="460" w:lineRule="exact"/>
        <w:ind w:firstLine="504" w:firstLineChars="200"/>
        <w:jc w:val="both"/>
        <w:textAlignment w:val="auto"/>
        <w:rPr>
          <w:rFonts w:hint="default" w:ascii="Arial" w:hAnsi="Arial" w:cs="Arial"/>
          <w:color w:val="auto"/>
          <w:kern w:val="0"/>
          <w:sz w:val="26"/>
          <w:szCs w:val="26"/>
          <w:highlight w:val="none"/>
        </w:rPr>
      </w:pPr>
      <w:r>
        <w:rPr>
          <w:rFonts w:hint="default" w:ascii="Arial" w:hAnsi="Arial" w:cs="Arial"/>
          <w:color w:val="auto"/>
          <w:spacing w:val="-4"/>
          <w:kern w:val="0"/>
          <w:sz w:val="26"/>
          <w:szCs w:val="26"/>
          <w:highlight w:val="none"/>
        </w:rPr>
        <w:t>枢纽工程区：根据本工程施工状况，高峰期生产用水为60m</w:t>
      </w:r>
      <w:r>
        <w:rPr>
          <w:rFonts w:hint="default" w:ascii="Arial" w:hAnsi="Arial" w:cs="Arial"/>
          <w:color w:val="auto"/>
          <w:spacing w:val="-4"/>
          <w:kern w:val="0"/>
          <w:sz w:val="26"/>
          <w:szCs w:val="26"/>
          <w:highlight w:val="none"/>
          <w:vertAlign w:val="superscript"/>
        </w:rPr>
        <w:t>3</w:t>
      </w:r>
      <w:r>
        <w:rPr>
          <w:rFonts w:hint="default" w:ascii="Arial" w:hAnsi="Arial" w:cs="Arial"/>
          <w:color w:val="auto"/>
          <w:spacing w:val="-4"/>
          <w:kern w:val="0"/>
          <w:sz w:val="26"/>
          <w:szCs w:val="26"/>
          <w:highlight w:val="none"/>
        </w:rPr>
        <w:t>/h，选用ISW50-200A水泵2台</w:t>
      </w:r>
      <w:r>
        <w:rPr>
          <w:rFonts w:hint="eastAsia" w:ascii="Arial" w:hAnsi="Arial" w:cs="Arial"/>
          <w:color w:val="auto"/>
          <w:spacing w:val="-4"/>
          <w:kern w:val="0"/>
          <w:sz w:val="26"/>
          <w:szCs w:val="26"/>
          <w:highlight w:val="none"/>
          <w:lang w:eastAsia="zh-CN"/>
        </w:rPr>
        <w:t>、</w:t>
      </w:r>
      <w:r>
        <w:rPr>
          <w:rFonts w:hint="default" w:ascii="Arial" w:hAnsi="Arial" w:cs="Arial"/>
          <w:color w:val="auto"/>
          <w:spacing w:val="-4"/>
          <w:kern w:val="0"/>
          <w:sz w:val="26"/>
          <w:szCs w:val="26"/>
          <w:highlight w:val="none"/>
        </w:rPr>
        <w:t>ISW25-125型水泵3台</w:t>
      </w:r>
      <w:r>
        <w:rPr>
          <w:rFonts w:hint="eastAsia" w:ascii="Arial" w:hAnsi="Arial" w:cs="Arial"/>
          <w:color w:val="auto"/>
          <w:spacing w:val="-4"/>
          <w:kern w:val="0"/>
          <w:sz w:val="26"/>
          <w:szCs w:val="26"/>
          <w:highlight w:val="none"/>
          <w:lang w:eastAsia="zh-CN"/>
        </w:rPr>
        <w:t>，直接从海螺沟河道内抽取河水</w:t>
      </w:r>
      <w:r>
        <w:rPr>
          <w:rFonts w:hint="default" w:ascii="Arial" w:hAnsi="Arial" w:cs="Arial"/>
          <w:color w:val="auto"/>
          <w:spacing w:val="-4"/>
          <w:kern w:val="0"/>
          <w:sz w:val="26"/>
          <w:szCs w:val="26"/>
          <w:highlight w:val="none"/>
        </w:rPr>
        <w:t>。在大坝</w:t>
      </w:r>
      <w:r>
        <w:rPr>
          <w:rFonts w:hint="eastAsia" w:ascii="Arial" w:hAnsi="Arial" w:cs="Arial"/>
          <w:color w:val="auto"/>
          <w:spacing w:val="-4"/>
          <w:kern w:val="0"/>
          <w:sz w:val="26"/>
          <w:szCs w:val="26"/>
          <w:highlight w:val="none"/>
          <w:lang w:eastAsia="zh-CN"/>
        </w:rPr>
        <w:t>左岸永久占地范围内</w:t>
      </w:r>
      <w:r>
        <w:rPr>
          <w:rFonts w:hint="default" w:ascii="Arial" w:hAnsi="Arial" w:cs="Arial"/>
          <w:color w:val="auto"/>
          <w:spacing w:val="-4"/>
          <w:kern w:val="0"/>
          <w:sz w:val="26"/>
          <w:szCs w:val="26"/>
          <w:highlight w:val="none"/>
        </w:rPr>
        <w:t>高地上各设置一个水池，作为施工用水，水池容积为</w:t>
      </w:r>
      <w:r>
        <w:rPr>
          <w:rFonts w:hint="default" w:ascii="Arial" w:hAnsi="Arial" w:cs="Arial"/>
          <w:color w:val="auto"/>
          <w:spacing w:val="-4"/>
          <w:kern w:val="0"/>
          <w:sz w:val="26"/>
          <w:szCs w:val="26"/>
          <w:highlight w:val="none"/>
          <w:lang w:val="en-US" w:eastAsia="zh-CN"/>
        </w:rPr>
        <w:t>6</w:t>
      </w:r>
      <w:r>
        <w:rPr>
          <w:rFonts w:hint="default" w:ascii="Arial" w:hAnsi="Arial" w:cs="Arial"/>
          <w:color w:val="auto"/>
          <w:spacing w:val="-4"/>
          <w:kern w:val="0"/>
          <w:sz w:val="26"/>
          <w:szCs w:val="26"/>
          <w:highlight w:val="none"/>
        </w:rPr>
        <w:t>0m</w:t>
      </w:r>
      <w:r>
        <w:rPr>
          <w:rFonts w:hint="default" w:ascii="Arial" w:hAnsi="Arial" w:cs="Arial"/>
          <w:color w:val="auto"/>
          <w:spacing w:val="-4"/>
          <w:kern w:val="0"/>
          <w:sz w:val="26"/>
          <w:szCs w:val="26"/>
          <w:highlight w:val="none"/>
          <w:vertAlign w:val="superscript"/>
        </w:rPr>
        <w:t>3</w:t>
      </w:r>
      <w:r>
        <w:rPr>
          <w:rFonts w:hint="default" w:ascii="Arial" w:hAnsi="Arial" w:cs="Arial"/>
          <w:color w:val="auto"/>
          <w:spacing w:val="-4"/>
          <w:kern w:val="0"/>
          <w:sz w:val="26"/>
          <w:szCs w:val="26"/>
          <w:highlight w:val="none"/>
        </w:rPr>
        <w:t>。</w:t>
      </w:r>
      <w:r>
        <w:rPr>
          <w:rFonts w:hint="eastAsia" w:ascii="Arial" w:hAnsi="Arial" w:cs="Arial"/>
          <w:color w:val="auto"/>
          <w:kern w:val="0"/>
          <w:sz w:val="26"/>
          <w:szCs w:val="26"/>
          <w:highlight w:val="none"/>
          <w:lang w:eastAsia="zh-CN"/>
        </w:rPr>
        <w:t>施工人员用水采取当地已供给的自来水或桶装水</w:t>
      </w:r>
      <w:r>
        <w:rPr>
          <w:rFonts w:hint="default" w:ascii="Arial" w:hAnsi="Arial" w:cs="Arial"/>
          <w:color w:val="auto"/>
          <w:kern w:val="0"/>
          <w:sz w:val="26"/>
          <w:szCs w:val="26"/>
          <w:highlight w:val="none"/>
        </w:rPr>
        <w:t>。</w:t>
      </w:r>
    </w:p>
    <w:p w14:paraId="20467880">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jc w:val="both"/>
        <w:textAlignment w:val="auto"/>
        <w:rPr>
          <w:rFonts w:hint="default" w:ascii="Arial" w:hAnsi="Arial" w:cs="Arial"/>
          <w:color w:val="auto"/>
          <w:kern w:val="0"/>
          <w:sz w:val="26"/>
          <w:szCs w:val="26"/>
          <w:highlight w:val="none"/>
        </w:rPr>
      </w:pPr>
      <w:r>
        <w:rPr>
          <w:rFonts w:hint="default" w:ascii="Arial" w:hAnsi="Arial" w:cs="Arial"/>
          <w:color w:val="auto"/>
          <w:kern w:val="0"/>
          <w:sz w:val="26"/>
          <w:szCs w:val="26"/>
          <w:highlight w:val="none"/>
        </w:rPr>
        <w:t>输水工程区：生产用水采用</w:t>
      </w:r>
      <w:r>
        <w:rPr>
          <w:rFonts w:hint="eastAsia" w:ascii="Arial" w:hAnsi="Arial" w:cs="Arial"/>
          <w:color w:val="auto"/>
          <w:kern w:val="0"/>
          <w:sz w:val="26"/>
          <w:szCs w:val="26"/>
          <w:highlight w:val="none"/>
          <w:lang w:val="en-US" w:eastAsia="zh-CN"/>
        </w:rPr>
        <w:t>DN</w:t>
      </w:r>
      <w:r>
        <w:rPr>
          <w:rFonts w:hint="default" w:ascii="Arial" w:hAnsi="Arial" w:cs="Arial"/>
          <w:color w:val="auto"/>
          <w:kern w:val="0"/>
          <w:sz w:val="26"/>
          <w:szCs w:val="26"/>
          <w:highlight w:val="none"/>
        </w:rPr>
        <w:t>50软管引接沿线河道，软管随施工管道布设，供应移动式搅拌机和砂浆拌和。</w:t>
      </w:r>
    </w:p>
    <w:p w14:paraId="40869D36">
      <w:pPr>
        <w:keepNext w:val="0"/>
        <w:keepLines w:val="0"/>
        <w:pageBreakBefore w:val="0"/>
        <w:widowControl w:val="0"/>
        <w:kinsoku/>
        <w:wordWrap/>
        <w:overflowPunct/>
        <w:topLinePunct w:val="0"/>
        <w:bidi w:val="0"/>
        <w:snapToGrid w:val="0"/>
        <w:spacing w:line="460" w:lineRule="exact"/>
        <w:ind w:firstLine="522" w:firstLineChars="200"/>
        <w:textAlignment w:val="auto"/>
        <w:rPr>
          <w:rFonts w:hint="eastAsia" w:ascii="Arial" w:hAnsi="Arial" w:cs="Arial"/>
          <w:b/>
          <w:sz w:val="26"/>
          <w:szCs w:val="26"/>
        </w:rPr>
      </w:pPr>
      <w:r>
        <w:rPr>
          <w:rFonts w:hint="eastAsia" w:ascii="宋体" w:hAnsi="宋体" w:cs="宋体"/>
          <w:b/>
          <w:sz w:val="26"/>
          <w:szCs w:val="26"/>
        </w:rPr>
        <w:t>③</w:t>
      </w:r>
      <w:r>
        <w:rPr>
          <w:rFonts w:ascii="Arial" w:hAnsi="Arial" w:cs="Arial"/>
          <w:b/>
          <w:sz w:val="26"/>
          <w:szCs w:val="26"/>
        </w:rPr>
        <w:t xml:space="preserve"> </w:t>
      </w:r>
      <w:r>
        <w:rPr>
          <w:rFonts w:hint="eastAsia" w:ascii="Arial" w:hAnsi="Arial" w:cs="Arial"/>
          <w:b/>
          <w:sz w:val="26"/>
          <w:szCs w:val="26"/>
        </w:rPr>
        <w:t>施工供电</w:t>
      </w:r>
    </w:p>
    <w:p w14:paraId="01FB2015">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hint="eastAsia" w:ascii="Arial" w:cs="Arial"/>
          <w:bCs/>
          <w:sz w:val="26"/>
        </w:rPr>
      </w:pPr>
      <w:r>
        <w:rPr>
          <w:rFonts w:hint="eastAsia" w:ascii="Arial" w:cs="Arial"/>
          <w:bCs/>
          <w:sz w:val="26"/>
        </w:rPr>
        <w:t>枢纽工程区：根据对施工机械设备等用电的估算，坝区施工期高峰用电负荷约为700KW，根据施工布置和施工负荷分布情况，施工用电直接从附近10KV线路</w:t>
      </w:r>
      <w:r>
        <w:rPr>
          <w:rFonts w:hint="eastAsia" w:ascii="Arial" w:cs="Arial"/>
          <w:bCs/>
          <w:sz w:val="26"/>
          <w:lang w:eastAsia="zh-CN"/>
        </w:rPr>
        <w:t>“</w:t>
      </w:r>
      <w:r>
        <w:rPr>
          <w:rFonts w:hint="eastAsia" w:ascii="Arial" w:cs="Arial"/>
          <w:bCs/>
          <w:sz w:val="26"/>
        </w:rPr>
        <w:t>T</w:t>
      </w:r>
      <w:r>
        <w:rPr>
          <w:rFonts w:hint="eastAsia" w:ascii="Arial" w:cs="Arial"/>
          <w:bCs/>
          <w:sz w:val="26"/>
          <w:lang w:eastAsia="zh-CN"/>
        </w:rPr>
        <w:t>”</w:t>
      </w:r>
      <w:r>
        <w:rPr>
          <w:rFonts w:hint="eastAsia" w:ascii="Arial" w:cs="Arial"/>
          <w:bCs/>
          <w:sz w:val="26"/>
        </w:rPr>
        <w:t>接向施工区供电，后期作为管理房设施设备用电。在施工区的大坝施工</w:t>
      </w:r>
      <w:r>
        <w:rPr>
          <w:rFonts w:hint="eastAsia" w:ascii="Arial" w:cs="Arial"/>
          <w:bCs/>
          <w:sz w:val="26"/>
          <w:lang w:val="en-US" w:eastAsia="zh-CN"/>
        </w:rPr>
        <w:t>内共计布置4</w:t>
      </w:r>
      <w:r>
        <w:rPr>
          <w:rFonts w:hint="eastAsia" w:ascii="Arial" w:cs="Arial"/>
          <w:bCs/>
          <w:sz w:val="26"/>
        </w:rPr>
        <w:t>台10/0.4kV预装式箱式变电站，另外，配置 2台50kW可移动式柴油发电机，以保证供电可靠性。</w:t>
      </w:r>
    </w:p>
    <w:p w14:paraId="7C4E94CC">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hint="eastAsia" w:ascii="Arial" w:cs="Arial"/>
          <w:bCs/>
          <w:sz w:val="26"/>
        </w:rPr>
      </w:pPr>
      <w:r>
        <w:rPr>
          <w:rFonts w:hint="eastAsia" w:ascii="Arial" w:cs="Arial"/>
          <w:bCs/>
          <w:sz w:val="26"/>
        </w:rPr>
        <w:t>输水工程区：采用</w:t>
      </w:r>
      <w:r>
        <w:rPr>
          <w:rFonts w:hint="eastAsia" w:ascii="Arial" w:cs="Arial"/>
          <w:bCs/>
          <w:sz w:val="26"/>
          <w:lang w:val="en-US" w:eastAsia="zh-CN"/>
        </w:rPr>
        <w:t>2台</w:t>
      </w:r>
      <w:r>
        <w:rPr>
          <w:rFonts w:hint="eastAsia" w:ascii="Arial" w:cs="Arial"/>
          <w:bCs/>
          <w:sz w:val="26"/>
        </w:rPr>
        <w:t>12</w:t>
      </w:r>
      <w:r>
        <w:rPr>
          <w:rFonts w:hint="eastAsia" w:ascii="Arial" w:cs="Arial"/>
          <w:bCs/>
          <w:sz w:val="26"/>
          <w:lang w:val="en-US" w:eastAsia="zh-CN"/>
        </w:rPr>
        <w:t>KW</w:t>
      </w:r>
      <w:r>
        <w:rPr>
          <w:rFonts w:hint="eastAsia" w:ascii="Arial" w:cs="Arial"/>
          <w:bCs/>
          <w:sz w:val="26"/>
        </w:rPr>
        <w:t>小型柴油发电机组供电，一供一备。</w:t>
      </w:r>
    </w:p>
    <w:p w14:paraId="3160A890">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cs="Arial"/>
          <w:b/>
          <w:color w:val="auto"/>
          <w:sz w:val="26"/>
          <w:szCs w:val="26"/>
          <w:lang w:eastAsia="zh-CN"/>
        </w:rPr>
      </w:pPr>
      <w:r>
        <w:rPr>
          <w:rFonts w:hint="eastAsia" w:ascii="Arial" w:cs="Arial"/>
          <w:b/>
          <w:color w:val="auto"/>
          <w:sz w:val="26"/>
          <w:szCs w:val="26"/>
          <w:lang w:eastAsia="zh-CN"/>
        </w:rPr>
        <w:t>（</w:t>
      </w:r>
      <w:r>
        <w:rPr>
          <w:rFonts w:hint="eastAsia" w:ascii="Arial" w:cs="Arial"/>
          <w:b/>
          <w:color w:val="auto"/>
          <w:sz w:val="26"/>
          <w:szCs w:val="26"/>
          <w:lang w:val="en-US" w:eastAsia="zh-CN"/>
        </w:rPr>
        <w:t>3）施工机械</w:t>
      </w:r>
    </w:p>
    <w:p w14:paraId="5A7FCB8D">
      <w:pPr>
        <w:keepNext w:val="0"/>
        <w:keepLines w:val="0"/>
        <w:pageBreakBefore w:val="0"/>
        <w:widowControl w:val="0"/>
        <w:kinsoku/>
        <w:wordWrap/>
        <w:overflowPunct/>
        <w:topLinePunct w:val="0"/>
        <w:autoSpaceDE w:val="0"/>
        <w:autoSpaceDN w:val="0"/>
        <w:bidi w:val="0"/>
        <w:spacing w:line="460" w:lineRule="exact"/>
        <w:ind w:firstLine="480"/>
        <w:jc w:val="left"/>
        <w:textAlignment w:val="auto"/>
        <w:rPr>
          <w:rFonts w:hint="eastAsia" w:ascii="Arial" w:hAnsi="Times New Roman" w:cs="Arial"/>
          <w:bCs/>
          <w:sz w:val="26"/>
          <w:lang w:val="en-US" w:eastAsia="zh-CN"/>
        </w:rPr>
      </w:pPr>
      <w:r>
        <w:rPr>
          <w:rFonts w:hint="eastAsia" w:ascii="Arial" w:hAnsi="Times New Roman" w:cs="Arial"/>
          <w:bCs/>
          <w:sz w:val="26"/>
          <w:lang w:eastAsia="zh-CN"/>
        </w:rPr>
        <w:t>本项目施工期主要施工机械配置情况详见表</w:t>
      </w:r>
      <w:r>
        <w:rPr>
          <w:rFonts w:hint="eastAsia" w:ascii="Arial" w:hAnsi="Times New Roman" w:cs="Arial"/>
          <w:bCs/>
          <w:sz w:val="26"/>
          <w:lang w:val="en-US" w:eastAsia="zh-CN"/>
        </w:rPr>
        <w:t>2.2-1</w:t>
      </w:r>
      <w:r>
        <w:rPr>
          <w:rFonts w:hint="eastAsia" w:ascii="Arial" w:cs="Arial"/>
          <w:bCs/>
          <w:sz w:val="26"/>
          <w:lang w:val="en-US" w:eastAsia="zh-CN"/>
        </w:rPr>
        <w:t>4</w:t>
      </w:r>
      <w:r>
        <w:rPr>
          <w:rFonts w:hint="eastAsia" w:ascii="Arial" w:hAnsi="Times New Roman" w:cs="Arial"/>
          <w:bCs/>
          <w:sz w:val="26"/>
          <w:lang w:val="en-US" w:eastAsia="zh-CN"/>
        </w:rPr>
        <w:t>所示。</w:t>
      </w:r>
    </w:p>
    <w:p w14:paraId="1FBE344A">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2.2-14 项目施工期主要施工机械配置情况一览表</w:t>
      </w:r>
    </w:p>
    <w:tbl>
      <w:tblPr>
        <w:tblStyle w:val="77"/>
        <w:tblW w:w="92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8"/>
        <w:gridCol w:w="3301"/>
        <w:gridCol w:w="2738"/>
        <w:gridCol w:w="1045"/>
        <w:gridCol w:w="1254"/>
      </w:tblGrid>
      <w:tr w14:paraId="3F81BA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48" w:type="dxa"/>
            <w:tcBorders>
              <w:tl2br w:val="nil"/>
              <w:tr2bl w:val="nil"/>
            </w:tcBorders>
            <w:noWrap/>
            <w:vAlign w:val="center"/>
          </w:tcPr>
          <w:p w14:paraId="2BC42CF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编号</w:t>
            </w:r>
          </w:p>
        </w:tc>
        <w:tc>
          <w:tcPr>
            <w:tcW w:w="3301" w:type="dxa"/>
            <w:tcBorders>
              <w:tl2br w:val="nil"/>
              <w:tr2bl w:val="nil"/>
            </w:tcBorders>
            <w:noWrap/>
            <w:vAlign w:val="center"/>
          </w:tcPr>
          <w:p w14:paraId="0722D703">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设备名称</w:t>
            </w:r>
          </w:p>
        </w:tc>
        <w:tc>
          <w:tcPr>
            <w:tcW w:w="2738" w:type="dxa"/>
            <w:tcBorders>
              <w:tl2br w:val="nil"/>
              <w:tr2bl w:val="nil"/>
            </w:tcBorders>
            <w:noWrap/>
            <w:vAlign w:val="center"/>
          </w:tcPr>
          <w:p w14:paraId="5FBE42E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规格型号</w:t>
            </w:r>
          </w:p>
        </w:tc>
        <w:tc>
          <w:tcPr>
            <w:tcW w:w="1045" w:type="dxa"/>
            <w:tcBorders>
              <w:tl2br w:val="nil"/>
              <w:tr2bl w:val="nil"/>
            </w:tcBorders>
            <w:noWrap/>
            <w:vAlign w:val="center"/>
          </w:tcPr>
          <w:p w14:paraId="2278607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单位</w:t>
            </w:r>
          </w:p>
        </w:tc>
        <w:tc>
          <w:tcPr>
            <w:tcW w:w="1254" w:type="dxa"/>
            <w:tcBorders>
              <w:tl2br w:val="nil"/>
              <w:tr2bl w:val="nil"/>
            </w:tcBorders>
            <w:noWrap/>
            <w:vAlign w:val="center"/>
          </w:tcPr>
          <w:p w14:paraId="5DE288B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数量</w:t>
            </w:r>
          </w:p>
        </w:tc>
      </w:tr>
      <w:tr w14:paraId="08C7FD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86" w:type="dxa"/>
            <w:gridSpan w:val="5"/>
            <w:tcBorders>
              <w:tl2br w:val="nil"/>
              <w:tr2bl w:val="nil"/>
            </w:tcBorders>
            <w:noWrap/>
            <w:vAlign w:val="center"/>
          </w:tcPr>
          <w:p w14:paraId="6FB0E17C">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一、土石方开挖、碾压、支护设备</w:t>
            </w:r>
          </w:p>
        </w:tc>
      </w:tr>
      <w:tr w14:paraId="627A8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322D187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c>
          <w:tcPr>
            <w:tcW w:w="3301" w:type="dxa"/>
            <w:tcBorders>
              <w:tl2br w:val="nil"/>
              <w:tr2bl w:val="nil"/>
            </w:tcBorders>
            <w:noWrap/>
            <w:vAlign w:val="center"/>
          </w:tcPr>
          <w:p w14:paraId="3879E0F8">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单斗挖掘机</w:t>
            </w:r>
          </w:p>
        </w:tc>
        <w:tc>
          <w:tcPr>
            <w:tcW w:w="2738" w:type="dxa"/>
            <w:tcBorders>
              <w:tl2br w:val="nil"/>
              <w:tr2bl w:val="nil"/>
            </w:tcBorders>
            <w:noWrap/>
            <w:vAlign w:val="center"/>
          </w:tcPr>
          <w:p w14:paraId="0248214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default" w:ascii="Arial" w:hAnsi="Arial" w:cs="Arial"/>
                <w:color w:val="auto"/>
                <w:kern w:val="0"/>
                <w:sz w:val="22"/>
                <w:szCs w:val="22"/>
                <w:highlight w:val="none"/>
              </w:rPr>
              <w:t>液压1.0m</w:t>
            </w:r>
            <w:r>
              <w:rPr>
                <w:rFonts w:hint="eastAsia" w:ascii="Arial" w:hAnsi="Arial" w:cs="Arial"/>
                <w:color w:val="auto"/>
                <w:kern w:val="0"/>
                <w:sz w:val="22"/>
                <w:szCs w:val="22"/>
                <w:highlight w:val="none"/>
                <w:vertAlign w:val="superscript"/>
                <w:lang w:val="en-US" w:eastAsia="zh-CN"/>
              </w:rPr>
              <w:t>3</w:t>
            </w:r>
          </w:p>
        </w:tc>
        <w:tc>
          <w:tcPr>
            <w:tcW w:w="1045" w:type="dxa"/>
            <w:tcBorders>
              <w:tl2br w:val="nil"/>
              <w:tr2bl w:val="nil"/>
            </w:tcBorders>
            <w:noWrap/>
            <w:vAlign w:val="center"/>
          </w:tcPr>
          <w:p w14:paraId="503D78E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0225CB1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w:t>
            </w:r>
          </w:p>
        </w:tc>
      </w:tr>
      <w:tr w14:paraId="1E043E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3597F8A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c>
          <w:tcPr>
            <w:tcW w:w="3301" w:type="dxa"/>
            <w:tcBorders>
              <w:tl2br w:val="nil"/>
              <w:tr2bl w:val="nil"/>
            </w:tcBorders>
            <w:noWrap/>
            <w:vAlign w:val="center"/>
          </w:tcPr>
          <w:p w14:paraId="78AEB794">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单斗挖掘机</w:t>
            </w:r>
          </w:p>
        </w:tc>
        <w:tc>
          <w:tcPr>
            <w:tcW w:w="2738" w:type="dxa"/>
            <w:tcBorders>
              <w:tl2br w:val="nil"/>
              <w:tr2bl w:val="nil"/>
            </w:tcBorders>
            <w:noWrap/>
            <w:vAlign w:val="center"/>
          </w:tcPr>
          <w:p w14:paraId="1818DE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default" w:ascii="Arial" w:hAnsi="Arial" w:cs="Arial"/>
                <w:color w:val="auto"/>
                <w:kern w:val="0"/>
                <w:sz w:val="22"/>
                <w:szCs w:val="22"/>
                <w:highlight w:val="none"/>
              </w:rPr>
              <w:t xml:space="preserve"> 油动1m</w:t>
            </w:r>
            <w:r>
              <w:rPr>
                <w:rFonts w:hint="eastAsia" w:ascii="Arial" w:hAnsi="Arial" w:cs="Arial"/>
                <w:color w:val="auto"/>
                <w:kern w:val="0"/>
                <w:sz w:val="22"/>
                <w:szCs w:val="22"/>
                <w:highlight w:val="none"/>
                <w:vertAlign w:val="superscript"/>
                <w:lang w:val="en-US" w:eastAsia="zh-CN"/>
              </w:rPr>
              <w:t>3</w:t>
            </w:r>
          </w:p>
        </w:tc>
        <w:tc>
          <w:tcPr>
            <w:tcW w:w="1045" w:type="dxa"/>
            <w:tcBorders>
              <w:tl2br w:val="nil"/>
              <w:tr2bl w:val="nil"/>
            </w:tcBorders>
            <w:noWrap/>
            <w:vAlign w:val="center"/>
          </w:tcPr>
          <w:p w14:paraId="3645C4D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6FB800A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44B897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599201E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c>
          <w:tcPr>
            <w:tcW w:w="3301" w:type="dxa"/>
            <w:tcBorders>
              <w:tl2br w:val="nil"/>
              <w:tr2bl w:val="nil"/>
            </w:tcBorders>
            <w:noWrap/>
            <w:vAlign w:val="center"/>
          </w:tcPr>
          <w:p w14:paraId="25EFEBCF">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自卸汽车</w:t>
            </w:r>
          </w:p>
        </w:tc>
        <w:tc>
          <w:tcPr>
            <w:tcW w:w="2738" w:type="dxa"/>
            <w:tcBorders>
              <w:tl2br w:val="nil"/>
              <w:tr2bl w:val="nil"/>
            </w:tcBorders>
            <w:noWrap/>
            <w:vAlign w:val="center"/>
          </w:tcPr>
          <w:p w14:paraId="72A3A0D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 5t</w:t>
            </w:r>
          </w:p>
        </w:tc>
        <w:tc>
          <w:tcPr>
            <w:tcW w:w="1045" w:type="dxa"/>
            <w:tcBorders>
              <w:tl2br w:val="nil"/>
              <w:tr2bl w:val="nil"/>
            </w:tcBorders>
            <w:noWrap/>
            <w:vAlign w:val="center"/>
          </w:tcPr>
          <w:p w14:paraId="3FD36DA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辆</w:t>
            </w:r>
          </w:p>
        </w:tc>
        <w:tc>
          <w:tcPr>
            <w:tcW w:w="1254" w:type="dxa"/>
            <w:tcBorders>
              <w:tl2br w:val="nil"/>
              <w:tr2bl w:val="nil"/>
            </w:tcBorders>
            <w:noWrap/>
            <w:vAlign w:val="center"/>
          </w:tcPr>
          <w:p w14:paraId="4BE5194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6</w:t>
            </w:r>
          </w:p>
        </w:tc>
      </w:tr>
      <w:tr w14:paraId="5E96D0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1DC8C54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w:t>
            </w:r>
          </w:p>
        </w:tc>
        <w:tc>
          <w:tcPr>
            <w:tcW w:w="3301" w:type="dxa"/>
            <w:tcBorders>
              <w:tl2br w:val="nil"/>
              <w:tr2bl w:val="nil"/>
            </w:tcBorders>
            <w:noWrap/>
            <w:vAlign w:val="center"/>
          </w:tcPr>
          <w:p w14:paraId="4AAD9398">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推土机 </w:t>
            </w:r>
          </w:p>
        </w:tc>
        <w:tc>
          <w:tcPr>
            <w:tcW w:w="2738" w:type="dxa"/>
            <w:tcBorders>
              <w:tl2br w:val="nil"/>
              <w:tr2bl w:val="nil"/>
            </w:tcBorders>
            <w:noWrap/>
            <w:vAlign w:val="center"/>
          </w:tcPr>
          <w:p w14:paraId="30AE61C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59kW</w:t>
            </w:r>
          </w:p>
        </w:tc>
        <w:tc>
          <w:tcPr>
            <w:tcW w:w="1045" w:type="dxa"/>
            <w:tcBorders>
              <w:tl2br w:val="nil"/>
              <w:tr2bl w:val="nil"/>
            </w:tcBorders>
            <w:noWrap/>
            <w:vAlign w:val="center"/>
          </w:tcPr>
          <w:p w14:paraId="3847427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4C87B62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r>
      <w:tr w14:paraId="170B6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079939A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w:t>
            </w:r>
          </w:p>
        </w:tc>
        <w:tc>
          <w:tcPr>
            <w:tcW w:w="3301" w:type="dxa"/>
            <w:tcBorders>
              <w:tl2br w:val="nil"/>
              <w:tr2bl w:val="nil"/>
            </w:tcBorders>
            <w:noWrap/>
            <w:vAlign w:val="center"/>
          </w:tcPr>
          <w:p w14:paraId="2DA7238C">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推土机 </w:t>
            </w:r>
          </w:p>
        </w:tc>
        <w:tc>
          <w:tcPr>
            <w:tcW w:w="2738" w:type="dxa"/>
            <w:tcBorders>
              <w:tl2br w:val="nil"/>
              <w:tr2bl w:val="nil"/>
            </w:tcBorders>
            <w:noWrap/>
            <w:vAlign w:val="center"/>
          </w:tcPr>
          <w:p w14:paraId="43308F5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88kW</w:t>
            </w:r>
          </w:p>
        </w:tc>
        <w:tc>
          <w:tcPr>
            <w:tcW w:w="1045" w:type="dxa"/>
            <w:tcBorders>
              <w:tl2br w:val="nil"/>
              <w:tr2bl w:val="nil"/>
            </w:tcBorders>
            <w:noWrap/>
            <w:vAlign w:val="center"/>
          </w:tcPr>
          <w:p w14:paraId="6B4535B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10FA376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r>
      <w:tr w14:paraId="6703E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0D29818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6</w:t>
            </w:r>
          </w:p>
        </w:tc>
        <w:tc>
          <w:tcPr>
            <w:tcW w:w="3301" w:type="dxa"/>
            <w:tcBorders>
              <w:tl2br w:val="nil"/>
              <w:tr2bl w:val="nil"/>
            </w:tcBorders>
            <w:noWrap/>
            <w:vAlign w:val="center"/>
          </w:tcPr>
          <w:p w14:paraId="0468EDFF">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推土机 </w:t>
            </w:r>
          </w:p>
        </w:tc>
        <w:tc>
          <w:tcPr>
            <w:tcW w:w="2738" w:type="dxa"/>
            <w:tcBorders>
              <w:tl2br w:val="nil"/>
              <w:tr2bl w:val="nil"/>
            </w:tcBorders>
            <w:noWrap/>
            <w:vAlign w:val="center"/>
          </w:tcPr>
          <w:p w14:paraId="6C58758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74kW</w:t>
            </w:r>
          </w:p>
        </w:tc>
        <w:tc>
          <w:tcPr>
            <w:tcW w:w="1045" w:type="dxa"/>
            <w:tcBorders>
              <w:tl2br w:val="nil"/>
              <w:tr2bl w:val="nil"/>
            </w:tcBorders>
            <w:noWrap/>
            <w:vAlign w:val="center"/>
          </w:tcPr>
          <w:p w14:paraId="7521C53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752053D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33A67C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0819E86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7</w:t>
            </w:r>
          </w:p>
        </w:tc>
        <w:tc>
          <w:tcPr>
            <w:tcW w:w="3301" w:type="dxa"/>
            <w:tcBorders>
              <w:tl2br w:val="nil"/>
              <w:tr2bl w:val="nil"/>
            </w:tcBorders>
            <w:noWrap/>
            <w:vAlign w:val="center"/>
          </w:tcPr>
          <w:p w14:paraId="2AB61281">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履带式单斗液压岩石破碎机</w:t>
            </w:r>
          </w:p>
        </w:tc>
        <w:tc>
          <w:tcPr>
            <w:tcW w:w="2738" w:type="dxa"/>
            <w:tcBorders>
              <w:tl2br w:val="nil"/>
              <w:tr2bl w:val="nil"/>
            </w:tcBorders>
            <w:noWrap/>
            <w:vAlign w:val="center"/>
          </w:tcPr>
          <w:p w14:paraId="7916391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045" w:type="dxa"/>
            <w:tcBorders>
              <w:tl2br w:val="nil"/>
              <w:tr2bl w:val="nil"/>
            </w:tcBorders>
            <w:noWrap/>
            <w:vAlign w:val="center"/>
          </w:tcPr>
          <w:p w14:paraId="576FB8F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38FFCAA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02035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0B60C20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8</w:t>
            </w:r>
          </w:p>
        </w:tc>
        <w:tc>
          <w:tcPr>
            <w:tcW w:w="3301" w:type="dxa"/>
            <w:tcBorders>
              <w:tl2br w:val="nil"/>
              <w:tr2bl w:val="nil"/>
            </w:tcBorders>
            <w:noWrap/>
            <w:vAlign w:val="center"/>
          </w:tcPr>
          <w:p w14:paraId="0B2414B6">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拖拉机 </w:t>
            </w:r>
          </w:p>
        </w:tc>
        <w:tc>
          <w:tcPr>
            <w:tcW w:w="2738" w:type="dxa"/>
            <w:tcBorders>
              <w:tl2br w:val="nil"/>
              <w:tr2bl w:val="nil"/>
            </w:tcBorders>
            <w:noWrap/>
            <w:vAlign w:val="center"/>
          </w:tcPr>
          <w:p w14:paraId="0A230D9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履带式59kW</w:t>
            </w:r>
          </w:p>
        </w:tc>
        <w:tc>
          <w:tcPr>
            <w:tcW w:w="1045" w:type="dxa"/>
            <w:tcBorders>
              <w:tl2br w:val="nil"/>
              <w:tr2bl w:val="nil"/>
            </w:tcBorders>
            <w:noWrap/>
            <w:vAlign w:val="center"/>
          </w:tcPr>
          <w:p w14:paraId="3ED6F3E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15267E9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24D9D3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0D9D4F3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9</w:t>
            </w:r>
          </w:p>
        </w:tc>
        <w:tc>
          <w:tcPr>
            <w:tcW w:w="3301" w:type="dxa"/>
            <w:tcBorders>
              <w:tl2br w:val="nil"/>
              <w:tr2bl w:val="nil"/>
            </w:tcBorders>
            <w:noWrap/>
            <w:vAlign w:val="center"/>
          </w:tcPr>
          <w:p w14:paraId="4847C94D">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振动碾 </w:t>
            </w:r>
          </w:p>
        </w:tc>
        <w:tc>
          <w:tcPr>
            <w:tcW w:w="2738" w:type="dxa"/>
            <w:tcBorders>
              <w:tl2br w:val="nil"/>
              <w:tr2bl w:val="nil"/>
            </w:tcBorders>
            <w:noWrap/>
            <w:vAlign w:val="center"/>
          </w:tcPr>
          <w:p w14:paraId="7E0DD59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拖式13-14t</w:t>
            </w:r>
          </w:p>
        </w:tc>
        <w:tc>
          <w:tcPr>
            <w:tcW w:w="1045" w:type="dxa"/>
            <w:tcBorders>
              <w:tl2br w:val="nil"/>
              <w:tr2bl w:val="nil"/>
            </w:tcBorders>
            <w:noWrap/>
            <w:vAlign w:val="center"/>
          </w:tcPr>
          <w:p w14:paraId="5AAC079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101F7A2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3235B6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48" w:type="dxa"/>
            <w:tcBorders>
              <w:tl2br w:val="nil"/>
              <w:tr2bl w:val="nil"/>
            </w:tcBorders>
            <w:noWrap/>
            <w:vAlign w:val="center"/>
          </w:tcPr>
          <w:p w14:paraId="010E3FD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10</w:t>
            </w:r>
          </w:p>
        </w:tc>
        <w:tc>
          <w:tcPr>
            <w:tcW w:w="3301" w:type="dxa"/>
            <w:tcBorders>
              <w:tl2br w:val="nil"/>
              <w:tr2bl w:val="nil"/>
            </w:tcBorders>
            <w:noWrap/>
            <w:vAlign w:val="center"/>
          </w:tcPr>
          <w:p w14:paraId="694CE322">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蛙式夯实机</w:t>
            </w:r>
          </w:p>
        </w:tc>
        <w:tc>
          <w:tcPr>
            <w:tcW w:w="2738" w:type="dxa"/>
            <w:tcBorders>
              <w:tl2br w:val="nil"/>
              <w:tr2bl w:val="nil"/>
            </w:tcBorders>
            <w:noWrap/>
            <w:vAlign w:val="center"/>
          </w:tcPr>
          <w:p w14:paraId="7ABB801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 2.8kW</w:t>
            </w:r>
          </w:p>
        </w:tc>
        <w:tc>
          <w:tcPr>
            <w:tcW w:w="1045" w:type="dxa"/>
            <w:tcBorders>
              <w:tl2br w:val="nil"/>
              <w:tr2bl w:val="nil"/>
            </w:tcBorders>
            <w:noWrap/>
            <w:vAlign w:val="center"/>
          </w:tcPr>
          <w:p w14:paraId="69C9B77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个</w:t>
            </w:r>
          </w:p>
        </w:tc>
        <w:tc>
          <w:tcPr>
            <w:tcW w:w="1254" w:type="dxa"/>
            <w:tcBorders>
              <w:tl2br w:val="nil"/>
              <w:tr2bl w:val="nil"/>
            </w:tcBorders>
            <w:noWrap/>
            <w:vAlign w:val="center"/>
          </w:tcPr>
          <w:p w14:paraId="5080B93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val="en-US" w:eastAsia="zh-CN"/>
              </w:rPr>
              <w:t>6</w:t>
            </w:r>
          </w:p>
        </w:tc>
      </w:tr>
      <w:tr w14:paraId="19B66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289588C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11</w:t>
            </w:r>
          </w:p>
        </w:tc>
        <w:tc>
          <w:tcPr>
            <w:tcW w:w="3301" w:type="dxa"/>
            <w:tcBorders>
              <w:tl2br w:val="nil"/>
              <w:tr2bl w:val="nil"/>
            </w:tcBorders>
            <w:noWrap/>
            <w:vAlign w:val="center"/>
          </w:tcPr>
          <w:p w14:paraId="1F3BD2E6">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风镐</w:t>
            </w:r>
            <w:r>
              <w:rPr>
                <w:rFonts w:hint="eastAsia" w:ascii="宋体" w:hAnsi="宋体" w:eastAsia="宋体" w:cs="宋体"/>
                <w:color w:val="auto"/>
                <w:kern w:val="0"/>
                <w:sz w:val="22"/>
                <w:szCs w:val="22"/>
                <w:highlight w:val="none"/>
              </w:rPr>
              <w:t xml:space="preserve">(铲) </w:t>
            </w:r>
          </w:p>
        </w:tc>
        <w:tc>
          <w:tcPr>
            <w:tcW w:w="2738" w:type="dxa"/>
            <w:tcBorders>
              <w:tl2br w:val="nil"/>
              <w:tr2bl w:val="nil"/>
            </w:tcBorders>
            <w:noWrap/>
            <w:vAlign w:val="center"/>
          </w:tcPr>
          <w:p w14:paraId="073D1FC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手持式</w:t>
            </w:r>
          </w:p>
        </w:tc>
        <w:tc>
          <w:tcPr>
            <w:tcW w:w="1045" w:type="dxa"/>
            <w:tcBorders>
              <w:tl2br w:val="nil"/>
              <w:tr2bl w:val="nil"/>
            </w:tcBorders>
            <w:noWrap/>
            <w:vAlign w:val="center"/>
          </w:tcPr>
          <w:p w14:paraId="411A126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个</w:t>
            </w:r>
          </w:p>
        </w:tc>
        <w:tc>
          <w:tcPr>
            <w:tcW w:w="1254" w:type="dxa"/>
            <w:tcBorders>
              <w:tl2br w:val="nil"/>
              <w:tr2bl w:val="nil"/>
            </w:tcBorders>
            <w:noWrap/>
            <w:vAlign w:val="center"/>
          </w:tcPr>
          <w:p w14:paraId="60663EE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eastAsia" w:ascii="Arial" w:hAnsi="Arial" w:cs="Arial"/>
                <w:color w:val="auto"/>
                <w:kern w:val="0"/>
                <w:sz w:val="22"/>
                <w:szCs w:val="22"/>
                <w:highlight w:val="none"/>
                <w:lang w:val="en-US" w:eastAsia="zh-CN"/>
              </w:rPr>
              <w:t>1</w:t>
            </w:r>
            <w:r>
              <w:rPr>
                <w:rFonts w:hint="default" w:ascii="Arial" w:hAnsi="Arial" w:cs="Arial"/>
                <w:color w:val="auto"/>
                <w:kern w:val="0"/>
                <w:sz w:val="22"/>
                <w:szCs w:val="22"/>
                <w:highlight w:val="none"/>
              </w:rPr>
              <w:t>3</w:t>
            </w:r>
          </w:p>
        </w:tc>
      </w:tr>
      <w:tr w14:paraId="091FBF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329F4F8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12</w:t>
            </w:r>
          </w:p>
        </w:tc>
        <w:tc>
          <w:tcPr>
            <w:tcW w:w="3301" w:type="dxa"/>
            <w:tcBorders>
              <w:tl2br w:val="nil"/>
              <w:tr2bl w:val="nil"/>
            </w:tcBorders>
            <w:noWrap/>
            <w:vAlign w:val="center"/>
          </w:tcPr>
          <w:p w14:paraId="12827DEA">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强制式混凝土搅拌机 </w:t>
            </w:r>
          </w:p>
        </w:tc>
        <w:tc>
          <w:tcPr>
            <w:tcW w:w="2738" w:type="dxa"/>
            <w:tcBorders>
              <w:tl2br w:val="nil"/>
              <w:tr2bl w:val="nil"/>
            </w:tcBorders>
            <w:noWrap/>
            <w:vAlign w:val="center"/>
          </w:tcPr>
          <w:p w14:paraId="4E74D7D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default" w:ascii="Arial" w:hAnsi="Arial" w:cs="Arial"/>
                <w:color w:val="auto"/>
                <w:kern w:val="0"/>
                <w:sz w:val="22"/>
                <w:szCs w:val="22"/>
                <w:highlight w:val="none"/>
              </w:rPr>
              <w:t>0.</w:t>
            </w:r>
            <w:r>
              <w:rPr>
                <w:rFonts w:hint="eastAsia" w:ascii="Arial" w:hAnsi="Arial" w:cs="Arial"/>
                <w:color w:val="auto"/>
                <w:kern w:val="0"/>
                <w:sz w:val="22"/>
                <w:szCs w:val="22"/>
                <w:highlight w:val="none"/>
                <w:lang w:val="en-US" w:eastAsia="zh-CN"/>
              </w:rPr>
              <w:t>16</w:t>
            </w:r>
            <w:r>
              <w:rPr>
                <w:rFonts w:hint="default" w:ascii="Arial" w:hAnsi="Arial" w:cs="Arial"/>
                <w:color w:val="auto"/>
                <w:kern w:val="0"/>
                <w:sz w:val="22"/>
                <w:szCs w:val="22"/>
                <w:highlight w:val="none"/>
              </w:rPr>
              <w:t>m</w:t>
            </w:r>
            <w:r>
              <w:rPr>
                <w:rFonts w:hint="eastAsia" w:ascii="Arial" w:hAnsi="Arial" w:cs="Arial"/>
                <w:color w:val="auto"/>
                <w:kern w:val="0"/>
                <w:sz w:val="22"/>
                <w:szCs w:val="22"/>
                <w:highlight w:val="none"/>
                <w:vertAlign w:val="superscript"/>
                <w:lang w:val="en-US" w:eastAsia="zh-CN"/>
              </w:rPr>
              <w:t>3</w:t>
            </w:r>
          </w:p>
        </w:tc>
        <w:tc>
          <w:tcPr>
            <w:tcW w:w="1045" w:type="dxa"/>
            <w:tcBorders>
              <w:tl2br w:val="nil"/>
              <w:tr2bl w:val="nil"/>
            </w:tcBorders>
            <w:noWrap/>
            <w:vAlign w:val="center"/>
          </w:tcPr>
          <w:p w14:paraId="1DE2712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7A2CA80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r>
      <w:tr w14:paraId="3F4E6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5C5E24E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13</w:t>
            </w:r>
          </w:p>
        </w:tc>
        <w:tc>
          <w:tcPr>
            <w:tcW w:w="3301" w:type="dxa"/>
            <w:tcBorders>
              <w:tl2br w:val="nil"/>
              <w:tr2bl w:val="nil"/>
            </w:tcBorders>
            <w:noWrap/>
            <w:vAlign w:val="center"/>
          </w:tcPr>
          <w:p w14:paraId="1C2F710C">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混凝土喷射机 </w:t>
            </w:r>
          </w:p>
        </w:tc>
        <w:tc>
          <w:tcPr>
            <w:tcW w:w="2738" w:type="dxa"/>
            <w:tcBorders>
              <w:tl2br w:val="nil"/>
              <w:tr2bl w:val="nil"/>
            </w:tcBorders>
            <w:noWrap/>
            <w:vAlign w:val="center"/>
          </w:tcPr>
          <w:p w14:paraId="55FD5B9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4-5m</w:t>
            </w:r>
            <w:r>
              <w:rPr>
                <w:rFonts w:hint="eastAsia" w:ascii="Arial" w:hAnsi="Arial" w:cs="Arial"/>
                <w:color w:val="auto"/>
                <w:kern w:val="0"/>
                <w:sz w:val="22"/>
                <w:szCs w:val="22"/>
                <w:highlight w:val="none"/>
                <w:vertAlign w:val="superscript"/>
                <w:lang w:val="en-US" w:eastAsia="zh-CN"/>
              </w:rPr>
              <w:t>3</w:t>
            </w:r>
            <w:r>
              <w:rPr>
                <w:rFonts w:hint="default" w:ascii="Arial" w:hAnsi="Arial" w:cs="Arial"/>
                <w:color w:val="auto"/>
                <w:kern w:val="0"/>
                <w:sz w:val="22"/>
                <w:szCs w:val="22"/>
                <w:highlight w:val="none"/>
              </w:rPr>
              <w:t>/h</w:t>
            </w:r>
          </w:p>
        </w:tc>
        <w:tc>
          <w:tcPr>
            <w:tcW w:w="1045" w:type="dxa"/>
            <w:tcBorders>
              <w:tl2br w:val="nil"/>
              <w:tr2bl w:val="nil"/>
            </w:tcBorders>
            <w:noWrap/>
            <w:vAlign w:val="center"/>
          </w:tcPr>
          <w:p w14:paraId="4FDE6C1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5CAF147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6EEF4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4B9AF68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14</w:t>
            </w:r>
          </w:p>
        </w:tc>
        <w:tc>
          <w:tcPr>
            <w:tcW w:w="3301" w:type="dxa"/>
            <w:tcBorders>
              <w:tl2br w:val="nil"/>
              <w:tr2bl w:val="nil"/>
            </w:tcBorders>
            <w:noWrap/>
            <w:vAlign w:val="center"/>
          </w:tcPr>
          <w:p w14:paraId="56081AB3">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胶带输送机 </w:t>
            </w:r>
          </w:p>
        </w:tc>
        <w:tc>
          <w:tcPr>
            <w:tcW w:w="2738" w:type="dxa"/>
            <w:tcBorders>
              <w:tl2br w:val="nil"/>
              <w:tr2bl w:val="nil"/>
            </w:tcBorders>
            <w:noWrap/>
            <w:vAlign w:val="center"/>
          </w:tcPr>
          <w:p w14:paraId="7AC7B71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固定式 800mm×30m</w:t>
            </w:r>
          </w:p>
        </w:tc>
        <w:tc>
          <w:tcPr>
            <w:tcW w:w="1045" w:type="dxa"/>
            <w:tcBorders>
              <w:tl2br w:val="nil"/>
              <w:tr2bl w:val="nil"/>
            </w:tcBorders>
            <w:noWrap/>
            <w:vAlign w:val="center"/>
          </w:tcPr>
          <w:p w14:paraId="444A83D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66FCC5E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4C9421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16A192C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15</w:t>
            </w:r>
          </w:p>
        </w:tc>
        <w:tc>
          <w:tcPr>
            <w:tcW w:w="3301" w:type="dxa"/>
            <w:tcBorders>
              <w:tl2br w:val="nil"/>
              <w:tr2bl w:val="nil"/>
            </w:tcBorders>
            <w:noWrap/>
            <w:vAlign w:val="center"/>
          </w:tcPr>
          <w:p w14:paraId="25BB38E2">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油压滑模动力设备</w:t>
            </w:r>
          </w:p>
        </w:tc>
        <w:tc>
          <w:tcPr>
            <w:tcW w:w="2738" w:type="dxa"/>
            <w:tcBorders>
              <w:tl2br w:val="nil"/>
              <w:tr2bl w:val="nil"/>
            </w:tcBorders>
            <w:noWrap/>
            <w:vAlign w:val="center"/>
          </w:tcPr>
          <w:p w14:paraId="052536C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045" w:type="dxa"/>
            <w:tcBorders>
              <w:tl2br w:val="nil"/>
              <w:tr2bl w:val="nil"/>
            </w:tcBorders>
            <w:noWrap/>
            <w:vAlign w:val="center"/>
          </w:tcPr>
          <w:p w14:paraId="363D611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套</w:t>
            </w:r>
          </w:p>
        </w:tc>
        <w:tc>
          <w:tcPr>
            <w:tcW w:w="1254" w:type="dxa"/>
            <w:tcBorders>
              <w:tl2br w:val="nil"/>
              <w:tr2bl w:val="nil"/>
            </w:tcBorders>
            <w:noWrap/>
            <w:vAlign w:val="center"/>
          </w:tcPr>
          <w:p w14:paraId="79AB3FB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18BB1A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39F5EBC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16</w:t>
            </w:r>
          </w:p>
        </w:tc>
        <w:tc>
          <w:tcPr>
            <w:tcW w:w="3301" w:type="dxa"/>
            <w:tcBorders>
              <w:tl2br w:val="nil"/>
              <w:tr2bl w:val="nil"/>
            </w:tcBorders>
            <w:noWrap/>
            <w:vAlign w:val="center"/>
          </w:tcPr>
          <w:p w14:paraId="60387466">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手推车</w:t>
            </w:r>
          </w:p>
        </w:tc>
        <w:tc>
          <w:tcPr>
            <w:tcW w:w="2738" w:type="dxa"/>
            <w:tcBorders>
              <w:tl2br w:val="nil"/>
              <w:tr2bl w:val="nil"/>
            </w:tcBorders>
            <w:noWrap/>
            <w:vAlign w:val="center"/>
          </w:tcPr>
          <w:p w14:paraId="1BC276F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045" w:type="dxa"/>
            <w:tcBorders>
              <w:tl2br w:val="nil"/>
              <w:tr2bl w:val="nil"/>
            </w:tcBorders>
            <w:noWrap/>
            <w:vAlign w:val="center"/>
          </w:tcPr>
          <w:p w14:paraId="7C700C5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辆</w:t>
            </w:r>
          </w:p>
        </w:tc>
        <w:tc>
          <w:tcPr>
            <w:tcW w:w="1254" w:type="dxa"/>
            <w:tcBorders>
              <w:tl2br w:val="nil"/>
              <w:tr2bl w:val="nil"/>
            </w:tcBorders>
            <w:noWrap/>
            <w:vAlign w:val="center"/>
          </w:tcPr>
          <w:p w14:paraId="4BEE3F1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6</w:t>
            </w:r>
          </w:p>
        </w:tc>
      </w:tr>
      <w:tr w14:paraId="60F7E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86" w:type="dxa"/>
            <w:gridSpan w:val="5"/>
            <w:tcBorders>
              <w:tl2br w:val="nil"/>
              <w:tr2bl w:val="nil"/>
            </w:tcBorders>
            <w:noWrap/>
            <w:vAlign w:val="center"/>
          </w:tcPr>
          <w:p w14:paraId="6B35E2C0">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二、混凝土设备</w:t>
            </w:r>
          </w:p>
        </w:tc>
      </w:tr>
      <w:tr w14:paraId="46ADB0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580705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c>
          <w:tcPr>
            <w:tcW w:w="3301" w:type="dxa"/>
            <w:tcBorders>
              <w:tl2br w:val="nil"/>
              <w:tr2bl w:val="nil"/>
            </w:tcBorders>
            <w:noWrap/>
            <w:vAlign w:val="center"/>
          </w:tcPr>
          <w:p w14:paraId="76D44C77">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单斗挖掘机 </w:t>
            </w:r>
          </w:p>
        </w:tc>
        <w:tc>
          <w:tcPr>
            <w:tcW w:w="2738" w:type="dxa"/>
            <w:tcBorders>
              <w:tl2br w:val="nil"/>
              <w:tr2bl w:val="nil"/>
            </w:tcBorders>
            <w:noWrap/>
            <w:vAlign w:val="center"/>
          </w:tcPr>
          <w:p w14:paraId="7D7D97B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default" w:ascii="Arial" w:hAnsi="Arial" w:cs="Arial"/>
                <w:color w:val="auto"/>
                <w:kern w:val="0"/>
                <w:sz w:val="22"/>
                <w:szCs w:val="22"/>
                <w:highlight w:val="none"/>
              </w:rPr>
              <w:t>油动1m</w:t>
            </w:r>
            <w:r>
              <w:rPr>
                <w:rFonts w:hint="eastAsia" w:ascii="Arial" w:hAnsi="Arial" w:cs="Arial"/>
                <w:color w:val="auto"/>
                <w:kern w:val="0"/>
                <w:sz w:val="22"/>
                <w:szCs w:val="22"/>
                <w:highlight w:val="none"/>
                <w:vertAlign w:val="superscript"/>
                <w:lang w:val="en-US" w:eastAsia="zh-CN"/>
              </w:rPr>
              <w:t>3</w:t>
            </w:r>
          </w:p>
        </w:tc>
        <w:tc>
          <w:tcPr>
            <w:tcW w:w="1045" w:type="dxa"/>
            <w:tcBorders>
              <w:tl2br w:val="nil"/>
              <w:tr2bl w:val="nil"/>
            </w:tcBorders>
            <w:noWrap/>
            <w:vAlign w:val="center"/>
          </w:tcPr>
          <w:p w14:paraId="41EF68A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4B677F1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1932D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5B95ADD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c>
          <w:tcPr>
            <w:tcW w:w="3301" w:type="dxa"/>
            <w:tcBorders>
              <w:tl2br w:val="nil"/>
              <w:tr2bl w:val="nil"/>
            </w:tcBorders>
            <w:noWrap/>
            <w:vAlign w:val="center"/>
          </w:tcPr>
          <w:p w14:paraId="422DA83C">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塔式起重机 </w:t>
            </w:r>
          </w:p>
        </w:tc>
        <w:tc>
          <w:tcPr>
            <w:tcW w:w="2738" w:type="dxa"/>
            <w:tcBorders>
              <w:tl2br w:val="nil"/>
              <w:tr2bl w:val="nil"/>
            </w:tcBorders>
            <w:noWrap/>
            <w:vAlign w:val="center"/>
          </w:tcPr>
          <w:p w14:paraId="7B11397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5t</w:t>
            </w:r>
          </w:p>
        </w:tc>
        <w:tc>
          <w:tcPr>
            <w:tcW w:w="1045" w:type="dxa"/>
            <w:tcBorders>
              <w:tl2br w:val="nil"/>
              <w:tr2bl w:val="nil"/>
            </w:tcBorders>
            <w:noWrap/>
            <w:vAlign w:val="center"/>
          </w:tcPr>
          <w:p w14:paraId="43FFEAA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61D6C8F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6FCB0A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30C46F5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c>
          <w:tcPr>
            <w:tcW w:w="3301" w:type="dxa"/>
            <w:tcBorders>
              <w:tl2br w:val="nil"/>
              <w:tr2bl w:val="nil"/>
            </w:tcBorders>
            <w:noWrap/>
            <w:vAlign w:val="center"/>
          </w:tcPr>
          <w:p w14:paraId="168BB0F4">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汽车起重机</w:t>
            </w:r>
          </w:p>
        </w:tc>
        <w:tc>
          <w:tcPr>
            <w:tcW w:w="2738" w:type="dxa"/>
            <w:tcBorders>
              <w:tl2br w:val="nil"/>
              <w:tr2bl w:val="nil"/>
            </w:tcBorders>
            <w:noWrap/>
            <w:vAlign w:val="center"/>
          </w:tcPr>
          <w:p w14:paraId="0FCCB60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 5t</w:t>
            </w:r>
          </w:p>
        </w:tc>
        <w:tc>
          <w:tcPr>
            <w:tcW w:w="1045" w:type="dxa"/>
            <w:tcBorders>
              <w:tl2br w:val="nil"/>
              <w:tr2bl w:val="nil"/>
            </w:tcBorders>
            <w:noWrap/>
            <w:vAlign w:val="center"/>
          </w:tcPr>
          <w:p w14:paraId="50DCDB9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35C6831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3A88B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13D35CC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w:t>
            </w:r>
          </w:p>
        </w:tc>
        <w:tc>
          <w:tcPr>
            <w:tcW w:w="3301" w:type="dxa"/>
            <w:tcBorders>
              <w:tl2br w:val="nil"/>
              <w:tr2bl w:val="nil"/>
            </w:tcBorders>
            <w:noWrap/>
            <w:vAlign w:val="center"/>
          </w:tcPr>
          <w:p w14:paraId="4FD7B9D7">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汽车起重机 </w:t>
            </w:r>
          </w:p>
        </w:tc>
        <w:tc>
          <w:tcPr>
            <w:tcW w:w="2738" w:type="dxa"/>
            <w:tcBorders>
              <w:tl2br w:val="nil"/>
              <w:tr2bl w:val="nil"/>
            </w:tcBorders>
            <w:noWrap/>
            <w:vAlign w:val="center"/>
          </w:tcPr>
          <w:p w14:paraId="7DF69CD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8t</w:t>
            </w:r>
          </w:p>
        </w:tc>
        <w:tc>
          <w:tcPr>
            <w:tcW w:w="1045" w:type="dxa"/>
            <w:tcBorders>
              <w:tl2br w:val="nil"/>
              <w:tr2bl w:val="nil"/>
            </w:tcBorders>
            <w:noWrap/>
            <w:vAlign w:val="center"/>
          </w:tcPr>
          <w:p w14:paraId="14F2A9F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7B74A45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1C276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0CB6AE5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w:t>
            </w:r>
          </w:p>
        </w:tc>
        <w:tc>
          <w:tcPr>
            <w:tcW w:w="3301" w:type="dxa"/>
            <w:tcBorders>
              <w:tl2br w:val="nil"/>
              <w:tr2bl w:val="nil"/>
            </w:tcBorders>
            <w:noWrap/>
            <w:vAlign w:val="center"/>
          </w:tcPr>
          <w:p w14:paraId="5EF296F7">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门座式起重机 </w:t>
            </w:r>
          </w:p>
        </w:tc>
        <w:tc>
          <w:tcPr>
            <w:tcW w:w="2738" w:type="dxa"/>
            <w:tcBorders>
              <w:tl2br w:val="nil"/>
              <w:tr2bl w:val="nil"/>
            </w:tcBorders>
            <w:noWrap/>
            <w:vAlign w:val="center"/>
          </w:tcPr>
          <w:p w14:paraId="0D3ED3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10/30t高架10-30t</w:t>
            </w:r>
          </w:p>
        </w:tc>
        <w:tc>
          <w:tcPr>
            <w:tcW w:w="1045" w:type="dxa"/>
            <w:tcBorders>
              <w:tl2br w:val="nil"/>
              <w:tr2bl w:val="nil"/>
            </w:tcBorders>
            <w:noWrap/>
            <w:vAlign w:val="center"/>
          </w:tcPr>
          <w:p w14:paraId="7649FF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390BCEB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6513C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48" w:type="dxa"/>
            <w:tcBorders>
              <w:tl2br w:val="nil"/>
              <w:tr2bl w:val="nil"/>
            </w:tcBorders>
            <w:noWrap/>
            <w:vAlign w:val="center"/>
          </w:tcPr>
          <w:p w14:paraId="46CE6FB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6</w:t>
            </w:r>
          </w:p>
        </w:tc>
        <w:tc>
          <w:tcPr>
            <w:tcW w:w="3301" w:type="dxa"/>
            <w:tcBorders>
              <w:tl2br w:val="nil"/>
              <w:tr2bl w:val="nil"/>
            </w:tcBorders>
            <w:noWrap/>
            <w:vAlign w:val="center"/>
          </w:tcPr>
          <w:p w14:paraId="0AA337C6">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履带起重机 </w:t>
            </w:r>
          </w:p>
        </w:tc>
        <w:tc>
          <w:tcPr>
            <w:tcW w:w="2738" w:type="dxa"/>
            <w:tcBorders>
              <w:tl2br w:val="nil"/>
              <w:tr2bl w:val="nil"/>
            </w:tcBorders>
            <w:noWrap/>
            <w:vAlign w:val="center"/>
          </w:tcPr>
          <w:p w14:paraId="5667F67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油动5t</w:t>
            </w:r>
          </w:p>
        </w:tc>
        <w:tc>
          <w:tcPr>
            <w:tcW w:w="1045" w:type="dxa"/>
            <w:tcBorders>
              <w:tl2br w:val="nil"/>
              <w:tr2bl w:val="nil"/>
            </w:tcBorders>
            <w:noWrap/>
            <w:vAlign w:val="center"/>
          </w:tcPr>
          <w:p w14:paraId="11A5DF7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2851BF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5C9CB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3552A2D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7</w:t>
            </w:r>
          </w:p>
        </w:tc>
        <w:tc>
          <w:tcPr>
            <w:tcW w:w="3301" w:type="dxa"/>
            <w:tcBorders>
              <w:tl2br w:val="nil"/>
              <w:tr2bl w:val="nil"/>
            </w:tcBorders>
            <w:noWrap/>
            <w:vAlign w:val="center"/>
          </w:tcPr>
          <w:p w14:paraId="6F124DB8">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塔机</w:t>
            </w:r>
          </w:p>
        </w:tc>
        <w:tc>
          <w:tcPr>
            <w:tcW w:w="2738" w:type="dxa"/>
            <w:tcBorders>
              <w:tl2br w:val="nil"/>
              <w:tr2bl w:val="nil"/>
            </w:tcBorders>
            <w:noWrap/>
            <w:vAlign w:val="center"/>
          </w:tcPr>
          <w:p w14:paraId="26AD933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ST6023</w:t>
            </w:r>
          </w:p>
        </w:tc>
        <w:tc>
          <w:tcPr>
            <w:tcW w:w="1045" w:type="dxa"/>
            <w:tcBorders>
              <w:tl2br w:val="nil"/>
              <w:tr2bl w:val="nil"/>
            </w:tcBorders>
            <w:noWrap/>
            <w:vAlign w:val="center"/>
          </w:tcPr>
          <w:p w14:paraId="1B100C8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32339E7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34BC1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7BFF247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8</w:t>
            </w:r>
          </w:p>
        </w:tc>
        <w:tc>
          <w:tcPr>
            <w:tcW w:w="3301" w:type="dxa"/>
            <w:tcBorders>
              <w:tl2br w:val="nil"/>
              <w:tr2bl w:val="nil"/>
            </w:tcBorders>
            <w:noWrap/>
            <w:vAlign w:val="center"/>
          </w:tcPr>
          <w:p w14:paraId="34CBE433">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混凝土吊罐</w:t>
            </w:r>
          </w:p>
        </w:tc>
        <w:tc>
          <w:tcPr>
            <w:tcW w:w="2738" w:type="dxa"/>
            <w:tcBorders>
              <w:tl2br w:val="nil"/>
              <w:tr2bl w:val="nil"/>
            </w:tcBorders>
            <w:noWrap/>
            <w:vAlign w:val="center"/>
          </w:tcPr>
          <w:p w14:paraId="3B33E34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default" w:ascii="Arial" w:hAnsi="Arial" w:cs="Arial"/>
                <w:color w:val="auto"/>
                <w:kern w:val="0"/>
                <w:sz w:val="22"/>
                <w:szCs w:val="22"/>
                <w:highlight w:val="none"/>
              </w:rPr>
              <w:t xml:space="preserve"> 1m</w:t>
            </w:r>
            <w:r>
              <w:rPr>
                <w:rFonts w:hint="eastAsia" w:ascii="Arial" w:hAnsi="Arial" w:cs="Arial"/>
                <w:color w:val="auto"/>
                <w:kern w:val="0"/>
                <w:sz w:val="22"/>
                <w:szCs w:val="22"/>
                <w:highlight w:val="none"/>
                <w:vertAlign w:val="superscript"/>
                <w:lang w:val="en-US" w:eastAsia="zh-CN"/>
              </w:rPr>
              <w:t>3</w:t>
            </w:r>
          </w:p>
        </w:tc>
        <w:tc>
          <w:tcPr>
            <w:tcW w:w="1045" w:type="dxa"/>
            <w:tcBorders>
              <w:tl2br w:val="nil"/>
              <w:tr2bl w:val="nil"/>
            </w:tcBorders>
            <w:noWrap/>
            <w:vAlign w:val="center"/>
          </w:tcPr>
          <w:p w14:paraId="7B33C7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个</w:t>
            </w:r>
          </w:p>
        </w:tc>
        <w:tc>
          <w:tcPr>
            <w:tcW w:w="1254" w:type="dxa"/>
            <w:tcBorders>
              <w:tl2br w:val="nil"/>
              <w:tr2bl w:val="nil"/>
            </w:tcBorders>
            <w:noWrap/>
            <w:vAlign w:val="center"/>
          </w:tcPr>
          <w:p w14:paraId="6A4CFD1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632E4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084D914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9</w:t>
            </w:r>
          </w:p>
        </w:tc>
        <w:tc>
          <w:tcPr>
            <w:tcW w:w="3301" w:type="dxa"/>
            <w:tcBorders>
              <w:tl2br w:val="nil"/>
              <w:tr2bl w:val="nil"/>
            </w:tcBorders>
            <w:noWrap/>
            <w:vAlign w:val="center"/>
          </w:tcPr>
          <w:p w14:paraId="3EA72153">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风</w:t>
            </w:r>
            <w:r>
              <w:rPr>
                <w:rFonts w:hint="eastAsia" w:ascii="宋体" w:hAnsi="宋体" w:eastAsia="宋体" w:cs="宋体"/>
                <w:color w:val="auto"/>
                <w:kern w:val="0"/>
                <w:sz w:val="22"/>
                <w:szCs w:val="22"/>
                <w:highlight w:val="none"/>
              </w:rPr>
              <w:t>(砂)水</w:t>
            </w:r>
            <w:r>
              <w:rPr>
                <w:rFonts w:hint="default" w:ascii="Arial" w:hAnsi="Arial" w:cs="Arial"/>
                <w:color w:val="auto"/>
                <w:kern w:val="0"/>
                <w:sz w:val="22"/>
                <w:szCs w:val="22"/>
                <w:highlight w:val="none"/>
              </w:rPr>
              <w:t xml:space="preserve">枪 </w:t>
            </w:r>
          </w:p>
        </w:tc>
        <w:tc>
          <w:tcPr>
            <w:tcW w:w="2738" w:type="dxa"/>
            <w:tcBorders>
              <w:tl2br w:val="nil"/>
              <w:tr2bl w:val="nil"/>
            </w:tcBorders>
            <w:noWrap/>
            <w:vAlign w:val="center"/>
          </w:tcPr>
          <w:p w14:paraId="656B1B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6m</w:t>
            </w:r>
            <w:r>
              <w:rPr>
                <w:rFonts w:hint="eastAsia" w:ascii="Arial" w:hAnsi="Arial" w:cs="Arial"/>
                <w:color w:val="auto"/>
                <w:kern w:val="0"/>
                <w:sz w:val="22"/>
                <w:szCs w:val="22"/>
                <w:highlight w:val="none"/>
                <w:vertAlign w:val="superscript"/>
                <w:lang w:val="en-US" w:eastAsia="zh-CN"/>
              </w:rPr>
              <w:t>3</w:t>
            </w:r>
            <w:r>
              <w:rPr>
                <w:rFonts w:hint="default" w:ascii="Arial" w:hAnsi="Arial" w:cs="Arial"/>
                <w:color w:val="auto"/>
                <w:kern w:val="0"/>
                <w:sz w:val="22"/>
                <w:szCs w:val="22"/>
                <w:highlight w:val="none"/>
              </w:rPr>
              <w:t>/min</w:t>
            </w:r>
          </w:p>
        </w:tc>
        <w:tc>
          <w:tcPr>
            <w:tcW w:w="1045" w:type="dxa"/>
            <w:tcBorders>
              <w:tl2br w:val="nil"/>
              <w:tr2bl w:val="nil"/>
            </w:tcBorders>
            <w:noWrap/>
            <w:vAlign w:val="center"/>
          </w:tcPr>
          <w:p w14:paraId="07B4369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1CD72B8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r>
      <w:tr w14:paraId="12AA5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78F2469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10</w:t>
            </w:r>
          </w:p>
        </w:tc>
        <w:tc>
          <w:tcPr>
            <w:tcW w:w="3301" w:type="dxa"/>
            <w:tcBorders>
              <w:tl2br w:val="nil"/>
              <w:tr2bl w:val="nil"/>
            </w:tcBorders>
            <w:noWrap/>
            <w:vAlign w:val="center"/>
          </w:tcPr>
          <w:p w14:paraId="1EBE160E">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电焊机 直流 </w:t>
            </w:r>
          </w:p>
        </w:tc>
        <w:tc>
          <w:tcPr>
            <w:tcW w:w="2738" w:type="dxa"/>
            <w:tcBorders>
              <w:tl2br w:val="nil"/>
              <w:tr2bl w:val="nil"/>
            </w:tcBorders>
            <w:noWrap/>
            <w:vAlign w:val="center"/>
          </w:tcPr>
          <w:p w14:paraId="27D3F99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30kW</w:t>
            </w:r>
          </w:p>
        </w:tc>
        <w:tc>
          <w:tcPr>
            <w:tcW w:w="1045" w:type="dxa"/>
            <w:tcBorders>
              <w:tl2br w:val="nil"/>
              <w:tr2bl w:val="nil"/>
            </w:tcBorders>
            <w:noWrap/>
            <w:vAlign w:val="center"/>
          </w:tcPr>
          <w:p w14:paraId="58F6B92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03CED50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05E74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7D8D93C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11</w:t>
            </w:r>
          </w:p>
        </w:tc>
        <w:tc>
          <w:tcPr>
            <w:tcW w:w="3301" w:type="dxa"/>
            <w:tcBorders>
              <w:tl2br w:val="nil"/>
              <w:tr2bl w:val="nil"/>
            </w:tcBorders>
            <w:noWrap/>
            <w:vAlign w:val="center"/>
          </w:tcPr>
          <w:p w14:paraId="0A183427">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混凝土输送泵 </w:t>
            </w:r>
          </w:p>
        </w:tc>
        <w:tc>
          <w:tcPr>
            <w:tcW w:w="2738" w:type="dxa"/>
            <w:tcBorders>
              <w:tl2br w:val="nil"/>
              <w:tr2bl w:val="nil"/>
            </w:tcBorders>
            <w:noWrap/>
            <w:vAlign w:val="center"/>
          </w:tcPr>
          <w:p w14:paraId="735B0F0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30m</w:t>
            </w:r>
            <w:r>
              <w:rPr>
                <w:rFonts w:hint="eastAsia" w:ascii="Arial" w:hAnsi="Arial" w:cs="Arial"/>
                <w:color w:val="auto"/>
                <w:kern w:val="0"/>
                <w:sz w:val="22"/>
                <w:szCs w:val="22"/>
                <w:highlight w:val="none"/>
                <w:vertAlign w:val="superscript"/>
                <w:lang w:val="en-US" w:eastAsia="zh-CN"/>
              </w:rPr>
              <w:t>3</w:t>
            </w:r>
            <w:r>
              <w:rPr>
                <w:rFonts w:hint="default" w:ascii="Arial" w:hAnsi="Arial" w:cs="Arial"/>
                <w:color w:val="auto"/>
                <w:kern w:val="0"/>
                <w:sz w:val="22"/>
                <w:szCs w:val="22"/>
                <w:highlight w:val="none"/>
              </w:rPr>
              <w:t>/h</w:t>
            </w:r>
          </w:p>
        </w:tc>
        <w:tc>
          <w:tcPr>
            <w:tcW w:w="1045" w:type="dxa"/>
            <w:tcBorders>
              <w:tl2br w:val="nil"/>
              <w:tr2bl w:val="nil"/>
            </w:tcBorders>
            <w:noWrap/>
            <w:vAlign w:val="center"/>
          </w:tcPr>
          <w:p w14:paraId="4E3E2B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个</w:t>
            </w:r>
          </w:p>
        </w:tc>
        <w:tc>
          <w:tcPr>
            <w:tcW w:w="1254" w:type="dxa"/>
            <w:tcBorders>
              <w:tl2br w:val="nil"/>
              <w:tr2bl w:val="nil"/>
            </w:tcBorders>
            <w:noWrap/>
            <w:vAlign w:val="center"/>
          </w:tcPr>
          <w:p w14:paraId="05CA74F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49E94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66B7AFD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12</w:t>
            </w:r>
          </w:p>
        </w:tc>
        <w:tc>
          <w:tcPr>
            <w:tcW w:w="3301" w:type="dxa"/>
            <w:tcBorders>
              <w:tl2br w:val="nil"/>
              <w:tr2bl w:val="nil"/>
            </w:tcBorders>
            <w:noWrap/>
            <w:vAlign w:val="center"/>
          </w:tcPr>
          <w:p w14:paraId="10B0FEB7">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振动器 </w:t>
            </w:r>
          </w:p>
        </w:tc>
        <w:tc>
          <w:tcPr>
            <w:tcW w:w="2738" w:type="dxa"/>
            <w:tcBorders>
              <w:tl2br w:val="nil"/>
              <w:tr2bl w:val="nil"/>
            </w:tcBorders>
            <w:noWrap/>
            <w:vAlign w:val="center"/>
          </w:tcPr>
          <w:p w14:paraId="7A3AAE0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插入式2.2kW</w:t>
            </w:r>
          </w:p>
        </w:tc>
        <w:tc>
          <w:tcPr>
            <w:tcW w:w="1045" w:type="dxa"/>
            <w:tcBorders>
              <w:tl2br w:val="nil"/>
              <w:tr2bl w:val="nil"/>
            </w:tcBorders>
            <w:noWrap/>
            <w:vAlign w:val="center"/>
          </w:tcPr>
          <w:p w14:paraId="70CEF14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个</w:t>
            </w:r>
          </w:p>
        </w:tc>
        <w:tc>
          <w:tcPr>
            <w:tcW w:w="1254" w:type="dxa"/>
            <w:tcBorders>
              <w:tl2br w:val="nil"/>
              <w:tr2bl w:val="nil"/>
            </w:tcBorders>
            <w:noWrap/>
            <w:vAlign w:val="center"/>
          </w:tcPr>
          <w:p w14:paraId="0E62B67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val="en-US" w:eastAsia="zh-CN"/>
              </w:rPr>
              <w:t>9</w:t>
            </w:r>
          </w:p>
        </w:tc>
      </w:tr>
      <w:tr w14:paraId="7F5D08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48" w:type="dxa"/>
            <w:tcBorders>
              <w:tl2br w:val="nil"/>
              <w:tr2bl w:val="nil"/>
            </w:tcBorders>
            <w:noWrap/>
            <w:vAlign w:val="center"/>
          </w:tcPr>
          <w:p w14:paraId="016D5F2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13</w:t>
            </w:r>
          </w:p>
        </w:tc>
        <w:tc>
          <w:tcPr>
            <w:tcW w:w="3301" w:type="dxa"/>
            <w:tcBorders>
              <w:tl2br w:val="nil"/>
              <w:tr2bl w:val="nil"/>
            </w:tcBorders>
            <w:noWrap/>
            <w:vAlign w:val="center"/>
          </w:tcPr>
          <w:p w14:paraId="08D07009">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混凝土搅拌机</w:t>
            </w:r>
          </w:p>
        </w:tc>
        <w:tc>
          <w:tcPr>
            <w:tcW w:w="2738" w:type="dxa"/>
            <w:tcBorders>
              <w:tl2br w:val="nil"/>
              <w:tr2bl w:val="nil"/>
            </w:tcBorders>
            <w:noWrap/>
            <w:vAlign w:val="center"/>
          </w:tcPr>
          <w:p w14:paraId="0488878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default" w:ascii="Arial" w:hAnsi="Arial" w:cs="Arial"/>
                <w:color w:val="auto"/>
                <w:kern w:val="0"/>
                <w:sz w:val="22"/>
                <w:szCs w:val="22"/>
                <w:highlight w:val="none"/>
              </w:rPr>
              <w:t xml:space="preserve"> 0.</w:t>
            </w:r>
            <w:r>
              <w:rPr>
                <w:rFonts w:hint="eastAsia" w:ascii="Arial" w:hAnsi="Arial" w:cs="Arial"/>
                <w:color w:val="auto"/>
                <w:kern w:val="0"/>
                <w:sz w:val="22"/>
                <w:szCs w:val="22"/>
                <w:highlight w:val="none"/>
                <w:lang w:val="en-US" w:eastAsia="zh-CN"/>
              </w:rPr>
              <w:t>8</w:t>
            </w:r>
            <w:r>
              <w:rPr>
                <w:rFonts w:hint="default" w:ascii="Arial" w:hAnsi="Arial" w:cs="Arial"/>
                <w:color w:val="auto"/>
                <w:kern w:val="0"/>
                <w:sz w:val="22"/>
                <w:szCs w:val="22"/>
                <w:highlight w:val="none"/>
              </w:rPr>
              <w:t>m</w:t>
            </w:r>
            <w:r>
              <w:rPr>
                <w:rFonts w:hint="eastAsia" w:ascii="Arial" w:hAnsi="Arial" w:cs="Arial"/>
                <w:color w:val="auto"/>
                <w:kern w:val="0"/>
                <w:sz w:val="22"/>
                <w:szCs w:val="22"/>
                <w:highlight w:val="none"/>
                <w:vertAlign w:val="superscript"/>
                <w:lang w:val="en-US" w:eastAsia="zh-CN"/>
              </w:rPr>
              <w:t>3</w:t>
            </w:r>
          </w:p>
        </w:tc>
        <w:tc>
          <w:tcPr>
            <w:tcW w:w="1045" w:type="dxa"/>
            <w:tcBorders>
              <w:tl2br w:val="nil"/>
              <w:tr2bl w:val="nil"/>
            </w:tcBorders>
            <w:noWrap/>
            <w:vAlign w:val="center"/>
          </w:tcPr>
          <w:p w14:paraId="22E9433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个</w:t>
            </w:r>
          </w:p>
        </w:tc>
        <w:tc>
          <w:tcPr>
            <w:tcW w:w="1254" w:type="dxa"/>
            <w:tcBorders>
              <w:tl2br w:val="nil"/>
              <w:tr2bl w:val="nil"/>
            </w:tcBorders>
            <w:noWrap/>
            <w:vAlign w:val="center"/>
          </w:tcPr>
          <w:p w14:paraId="6E1A699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w:t>
            </w:r>
          </w:p>
        </w:tc>
      </w:tr>
      <w:tr w14:paraId="764EE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09BBE9D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14</w:t>
            </w:r>
          </w:p>
        </w:tc>
        <w:tc>
          <w:tcPr>
            <w:tcW w:w="3301" w:type="dxa"/>
            <w:tcBorders>
              <w:tl2br w:val="nil"/>
              <w:tr2bl w:val="nil"/>
            </w:tcBorders>
            <w:noWrap/>
            <w:vAlign w:val="center"/>
          </w:tcPr>
          <w:p w14:paraId="4A6B7769">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胶轮架子车</w:t>
            </w:r>
          </w:p>
        </w:tc>
        <w:tc>
          <w:tcPr>
            <w:tcW w:w="2738" w:type="dxa"/>
            <w:tcBorders>
              <w:tl2br w:val="nil"/>
              <w:tr2bl w:val="nil"/>
            </w:tcBorders>
            <w:noWrap/>
            <w:vAlign w:val="center"/>
          </w:tcPr>
          <w:p w14:paraId="1C5BAFB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045" w:type="dxa"/>
            <w:tcBorders>
              <w:tl2br w:val="nil"/>
              <w:tr2bl w:val="nil"/>
            </w:tcBorders>
            <w:noWrap/>
            <w:vAlign w:val="center"/>
          </w:tcPr>
          <w:p w14:paraId="2FE440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个</w:t>
            </w:r>
          </w:p>
        </w:tc>
        <w:tc>
          <w:tcPr>
            <w:tcW w:w="1254" w:type="dxa"/>
            <w:tcBorders>
              <w:tl2br w:val="nil"/>
              <w:tr2bl w:val="nil"/>
            </w:tcBorders>
            <w:noWrap/>
            <w:vAlign w:val="center"/>
          </w:tcPr>
          <w:p w14:paraId="243F82F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30</w:t>
            </w:r>
          </w:p>
        </w:tc>
      </w:tr>
      <w:tr w14:paraId="08C880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1AF8168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15</w:t>
            </w:r>
          </w:p>
        </w:tc>
        <w:tc>
          <w:tcPr>
            <w:tcW w:w="3301" w:type="dxa"/>
            <w:tcBorders>
              <w:tl2br w:val="nil"/>
              <w:tr2bl w:val="nil"/>
            </w:tcBorders>
            <w:noWrap/>
            <w:vAlign w:val="center"/>
          </w:tcPr>
          <w:p w14:paraId="097CAD77">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水泥砼拌和站</w:t>
            </w:r>
          </w:p>
        </w:tc>
        <w:tc>
          <w:tcPr>
            <w:tcW w:w="2738" w:type="dxa"/>
            <w:tcBorders>
              <w:tl2br w:val="nil"/>
              <w:tr2bl w:val="nil"/>
            </w:tcBorders>
            <w:noWrap/>
            <w:vAlign w:val="center"/>
          </w:tcPr>
          <w:p w14:paraId="7DC580B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YHZS60</w:t>
            </w:r>
          </w:p>
        </w:tc>
        <w:tc>
          <w:tcPr>
            <w:tcW w:w="1045" w:type="dxa"/>
            <w:tcBorders>
              <w:tl2br w:val="nil"/>
              <w:tr2bl w:val="nil"/>
            </w:tcBorders>
            <w:noWrap/>
            <w:vAlign w:val="center"/>
          </w:tcPr>
          <w:p w14:paraId="3C6DFDB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套</w:t>
            </w:r>
          </w:p>
        </w:tc>
        <w:tc>
          <w:tcPr>
            <w:tcW w:w="1254" w:type="dxa"/>
            <w:tcBorders>
              <w:tl2br w:val="nil"/>
              <w:tr2bl w:val="nil"/>
            </w:tcBorders>
            <w:noWrap/>
            <w:vAlign w:val="center"/>
          </w:tcPr>
          <w:p w14:paraId="7697233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27370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286" w:type="dxa"/>
            <w:gridSpan w:val="5"/>
            <w:tcBorders>
              <w:tl2br w:val="nil"/>
              <w:tr2bl w:val="nil"/>
            </w:tcBorders>
            <w:noWrap/>
            <w:vAlign w:val="center"/>
          </w:tcPr>
          <w:p w14:paraId="06D047E4">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三、灌浆设备</w:t>
            </w:r>
          </w:p>
        </w:tc>
      </w:tr>
      <w:tr w14:paraId="38C2F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7F088C3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c>
          <w:tcPr>
            <w:tcW w:w="3301" w:type="dxa"/>
            <w:tcBorders>
              <w:tl2br w:val="nil"/>
              <w:tr2bl w:val="nil"/>
            </w:tcBorders>
            <w:noWrap/>
            <w:vAlign w:val="center"/>
          </w:tcPr>
          <w:p w14:paraId="5157D9FF">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载重汽车 </w:t>
            </w:r>
          </w:p>
        </w:tc>
        <w:tc>
          <w:tcPr>
            <w:tcW w:w="2738" w:type="dxa"/>
            <w:tcBorders>
              <w:tl2br w:val="nil"/>
              <w:tr2bl w:val="nil"/>
            </w:tcBorders>
            <w:noWrap/>
            <w:vAlign w:val="center"/>
          </w:tcPr>
          <w:p w14:paraId="6135BFA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5t</w:t>
            </w:r>
          </w:p>
        </w:tc>
        <w:tc>
          <w:tcPr>
            <w:tcW w:w="1045" w:type="dxa"/>
            <w:tcBorders>
              <w:tl2br w:val="nil"/>
              <w:tr2bl w:val="nil"/>
            </w:tcBorders>
            <w:noWrap/>
            <w:vAlign w:val="center"/>
          </w:tcPr>
          <w:p w14:paraId="231FAF7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辆</w:t>
            </w:r>
          </w:p>
        </w:tc>
        <w:tc>
          <w:tcPr>
            <w:tcW w:w="1254" w:type="dxa"/>
            <w:tcBorders>
              <w:tl2br w:val="nil"/>
              <w:tr2bl w:val="nil"/>
            </w:tcBorders>
            <w:noWrap/>
            <w:vAlign w:val="center"/>
          </w:tcPr>
          <w:p w14:paraId="64D396A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4F70C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72397EC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c>
          <w:tcPr>
            <w:tcW w:w="3301" w:type="dxa"/>
            <w:tcBorders>
              <w:tl2br w:val="nil"/>
              <w:tr2bl w:val="nil"/>
            </w:tcBorders>
            <w:noWrap/>
            <w:vAlign w:val="center"/>
          </w:tcPr>
          <w:p w14:paraId="11284BA7">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地质钻机 </w:t>
            </w:r>
          </w:p>
        </w:tc>
        <w:tc>
          <w:tcPr>
            <w:tcW w:w="2738" w:type="dxa"/>
            <w:tcBorders>
              <w:tl2br w:val="nil"/>
              <w:tr2bl w:val="nil"/>
            </w:tcBorders>
            <w:noWrap/>
            <w:vAlign w:val="center"/>
          </w:tcPr>
          <w:p w14:paraId="2A378C6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150型</w:t>
            </w:r>
          </w:p>
        </w:tc>
        <w:tc>
          <w:tcPr>
            <w:tcW w:w="1045" w:type="dxa"/>
            <w:tcBorders>
              <w:tl2br w:val="nil"/>
              <w:tr2bl w:val="nil"/>
            </w:tcBorders>
            <w:noWrap/>
            <w:vAlign w:val="center"/>
          </w:tcPr>
          <w:p w14:paraId="7B24105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1A3DB4C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1C70CA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54691BB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c>
          <w:tcPr>
            <w:tcW w:w="3301" w:type="dxa"/>
            <w:tcBorders>
              <w:tl2br w:val="nil"/>
              <w:tr2bl w:val="nil"/>
            </w:tcBorders>
            <w:noWrap/>
            <w:vAlign w:val="center"/>
          </w:tcPr>
          <w:p w14:paraId="6F27A760">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地质钻机 </w:t>
            </w:r>
          </w:p>
        </w:tc>
        <w:tc>
          <w:tcPr>
            <w:tcW w:w="2738" w:type="dxa"/>
            <w:tcBorders>
              <w:tl2br w:val="nil"/>
              <w:tr2bl w:val="nil"/>
            </w:tcBorders>
            <w:noWrap/>
            <w:vAlign w:val="center"/>
          </w:tcPr>
          <w:p w14:paraId="7029356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300型</w:t>
            </w:r>
          </w:p>
        </w:tc>
        <w:tc>
          <w:tcPr>
            <w:tcW w:w="1045" w:type="dxa"/>
            <w:tcBorders>
              <w:tl2br w:val="nil"/>
              <w:tr2bl w:val="nil"/>
            </w:tcBorders>
            <w:noWrap/>
            <w:vAlign w:val="center"/>
          </w:tcPr>
          <w:p w14:paraId="6798ADA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5C2E9A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131E4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7648CDA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w:t>
            </w:r>
          </w:p>
        </w:tc>
        <w:tc>
          <w:tcPr>
            <w:tcW w:w="3301" w:type="dxa"/>
            <w:tcBorders>
              <w:tl2br w:val="nil"/>
              <w:tr2bl w:val="nil"/>
            </w:tcBorders>
            <w:noWrap/>
            <w:vAlign w:val="center"/>
          </w:tcPr>
          <w:p w14:paraId="657EB49D">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泥浆搅拌机</w:t>
            </w:r>
          </w:p>
        </w:tc>
        <w:tc>
          <w:tcPr>
            <w:tcW w:w="2738" w:type="dxa"/>
            <w:tcBorders>
              <w:tl2br w:val="nil"/>
              <w:tr2bl w:val="nil"/>
            </w:tcBorders>
            <w:noWrap/>
            <w:vAlign w:val="center"/>
          </w:tcPr>
          <w:p w14:paraId="3316460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045" w:type="dxa"/>
            <w:tcBorders>
              <w:tl2br w:val="nil"/>
              <w:tr2bl w:val="nil"/>
            </w:tcBorders>
            <w:noWrap/>
            <w:vAlign w:val="center"/>
          </w:tcPr>
          <w:p w14:paraId="78CCC83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13D191F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79F714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221D324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w:t>
            </w:r>
          </w:p>
        </w:tc>
        <w:tc>
          <w:tcPr>
            <w:tcW w:w="3301" w:type="dxa"/>
            <w:tcBorders>
              <w:tl2br w:val="nil"/>
              <w:tr2bl w:val="nil"/>
            </w:tcBorders>
            <w:noWrap/>
            <w:vAlign w:val="center"/>
          </w:tcPr>
          <w:p w14:paraId="2E2191F5">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灰浆搅拌机</w:t>
            </w:r>
          </w:p>
        </w:tc>
        <w:tc>
          <w:tcPr>
            <w:tcW w:w="2738" w:type="dxa"/>
            <w:tcBorders>
              <w:tl2br w:val="nil"/>
              <w:tr2bl w:val="nil"/>
            </w:tcBorders>
            <w:noWrap/>
            <w:vAlign w:val="center"/>
          </w:tcPr>
          <w:p w14:paraId="410C0FF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CZJ</w:t>
            </w:r>
            <w:r>
              <w:rPr>
                <w:rFonts w:hint="eastAsia" w:ascii="Arial" w:hAnsi="Arial" w:cs="Arial"/>
                <w:color w:val="auto"/>
                <w:kern w:val="0"/>
                <w:sz w:val="22"/>
                <w:szCs w:val="22"/>
                <w:highlight w:val="none"/>
                <w:lang w:val="en-US" w:eastAsia="zh-CN"/>
              </w:rPr>
              <w:t>-</w:t>
            </w:r>
            <w:r>
              <w:rPr>
                <w:rFonts w:hint="default" w:ascii="Arial" w:hAnsi="Arial" w:cs="Arial"/>
                <w:color w:val="auto"/>
                <w:kern w:val="0"/>
                <w:sz w:val="22"/>
                <w:szCs w:val="22"/>
                <w:highlight w:val="none"/>
              </w:rPr>
              <w:t>200</w:t>
            </w:r>
          </w:p>
        </w:tc>
        <w:tc>
          <w:tcPr>
            <w:tcW w:w="1045" w:type="dxa"/>
            <w:tcBorders>
              <w:tl2br w:val="nil"/>
              <w:tr2bl w:val="nil"/>
            </w:tcBorders>
            <w:noWrap/>
            <w:vAlign w:val="center"/>
          </w:tcPr>
          <w:p w14:paraId="498BFB9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1C02937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467D6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65A67C5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6</w:t>
            </w:r>
          </w:p>
        </w:tc>
        <w:tc>
          <w:tcPr>
            <w:tcW w:w="3301" w:type="dxa"/>
            <w:tcBorders>
              <w:tl2br w:val="nil"/>
              <w:tr2bl w:val="nil"/>
            </w:tcBorders>
            <w:noWrap/>
            <w:vAlign w:val="center"/>
          </w:tcPr>
          <w:p w14:paraId="3F83E2D3">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灌浆泵中低压泥浆</w:t>
            </w:r>
          </w:p>
        </w:tc>
        <w:tc>
          <w:tcPr>
            <w:tcW w:w="2738" w:type="dxa"/>
            <w:tcBorders>
              <w:tl2br w:val="nil"/>
              <w:tr2bl w:val="nil"/>
            </w:tcBorders>
            <w:noWrap/>
            <w:vAlign w:val="center"/>
          </w:tcPr>
          <w:p w14:paraId="7F89D1B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BW-200/60</w:t>
            </w:r>
          </w:p>
        </w:tc>
        <w:tc>
          <w:tcPr>
            <w:tcW w:w="1045" w:type="dxa"/>
            <w:tcBorders>
              <w:tl2br w:val="nil"/>
              <w:tr2bl w:val="nil"/>
            </w:tcBorders>
            <w:noWrap/>
            <w:vAlign w:val="center"/>
          </w:tcPr>
          <w:p w14:paraId="51792F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4F888A7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3E77D4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2ED2407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7</w:t>
            </w:r>
          </w:p>
        </w:tc>
        <w:tc>
          <w:tcPr>
            <w:tcW w:w="3301" w:type="dxa"/>
            <w:tcBorders>
              <w:tl2br w:val="nil"/>
              <w:tr2bl w:val="nil"/>
            </w:tcBorders>
            <w:noWrap/>
            <w:vAlign w:val="center"/>
          </w:tcPr>
          <w:p w14:paraId="3285F83E">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胶轮架子车</w:t>
            </w:r>
          </w:p>
        </w:tc>
        <w:tc>
          <w:tcPr>
            <w:tcW w:w="2738" w:type="dxa"/>
            <w:tcBorders>
              <w:tl2br w:val="nil"/>
              <w:tr2bl w:val="nil"/>
            </w:tcBorders>
            <w:noWrap/>
            <w:vAlign w:val="center"/>
          </w:tcPr>
          <w:p w14:paraId="02F75E6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p>
        </w:tc>
        <w:tc>
          <w:tcPr>
            <w:tcW w:w="1045" w:type="dxa"/>
            <w:tcBorders>
              <w:tl2br w:val="nil"/>
              <w:tr2bl w:val="nil"/>
            </w:tcBorders>
            <w:noWrap/>
            <w:vAlign w:val="center"/>
          </w:tcPr>
          <w:p w14:paraId="469F969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个</w:t>
            </w:r>
          </w:p>
        </w:tc>
        <w:tc>
          <w:tcPr>
            <w:tcW w:w="1254" w:type="dxa"/>
            <w:tcBorders>
              <w:tl2br w:val="nil"/>
              <w:tr2bl w:val="nil"/>
            </w:tcBorders>
            <w:noWrap/>
            <w:vAlign w:val="center"/>
          </w:tcPr>
          <w:p w14:paraId="141058A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10</w:t>
            </w:r>
          </w:p>
        </w:tc>
      </w:tr>
      <w:tr w14:paraId="23D327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86" w:type="dxa"/>
            <w:gridSpan w:val="5"/>
            <w:tcBorders>
              <w:tl2br w:val="nil"/>
              <w:tr2bl w:val="nil"/>
            </w:tcBorders>
            <w:noWrap/>
            <w:vAlign w:val="center"/>
          </w:tcPr>
          <w:p w14:paraId="0B7E441B">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四、综合厂设备</w:t>
            </w:r>
          </w:p>
        </w:tc>
      </w:tr>
      <w:tr w14:paraId="75A21E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5B38E7E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c>
          <w:tcPr>
            <w:tcW w:w="3301" w:type="dxa"/>
            <w:tcBorders>
              <w:tl2br w:val="nil"/>
              <w:tr2bl w:val="nil"/>
            </w:tcBorders>
            <w:noWrap/>
            <w:vAlign w:val="center"/>
          </w:tcPr>
          <w:p w14:paraId="71EE5B5C">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电焊机 </w:t>
            </w:r>
          </w:p>
        </w:tc>
        <w:tc>
          <w:tcPr>
            <w:tcW w:w="2738" w:type="dxa"/>
            <w:tcBorders>
              <w:tl2br w:val="nil"/>
              <w:tr2bl w:val="nil"/>
            </w:tcBorders>
            <w:noWrap/>
            <w:vAlign w:val="center"/>
          </w:tcPr>
          <w:p w14:paraId="58A7421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交流25kVA</w:t>
            </w:r>
          </w:p>
        </w:tc>
        <w:tc>
          <w:tcPr>
            <w:tcW w:w="1045" w:type="dxa"/>
            <w:tcBorders>
              <w:tl2br w:val="nil"/>
              <w:tr2bl w:val="nil"/>
            </w:tcBorders>
            <w:noWrap/>
            <w:vAlign w:val="center"/>
          </w:tcPr>
          <w:p w14:paraId="5DA1B5B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26250D2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7C94C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520F724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c>
          <w:tcPr>
            <w:tcW w:w="3301" w:type="dxa"/>
            <w:tcBorders>
              <w:tl2br w:val="nil"/>
              <w:tr2bl w:val="nil"/>
            </w:tcBorders>
            <w:noWrap/>
            <w:vAlign w:val="center"/>
          </w:tcPr>
          <w:p w14:paraId="3B422810">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对焊机 </w:t>
            </w:r>
          </w:p>
        </w:tc>
        <w:tc>
          <w:tcPr>
            <w:tcW w:w="2738" w:type="dxa"/>
            <w:tcBorders>
              <w:tl2br w:val="nil"/>
              <w:tr2bl w:val="nil"/>
            </w:tcBorders>
            <w:noWrap/>
            <w:vAlign w:val="center"/>
          </w:tcPr>
          <w:p w14:paraId="5FC3412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电阻型150kVA</w:t>
            </w:r>
          </w:p>
        </w:tc>
        <w:tc>
          <w:tcPr>
            <w:tcW w:w="1045" w:type="dxa"/>
            <w:tcBorders>
              <w:tl2br w:val="nil"/>
              <w:tr2bl w:val="nil"/>
            </w:tcBorders>
            <w:noWrap/>
            <w:vAlign w:val="center"/>
          </w:tcPr>
          <w:p w14:paraId="31A7581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6673B6F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7B1FE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1B5C866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c>
          <w:tcPr>
            <w:tcW w:w="3301" w:type="dxa"/>
            <w:tcBorders>
              <w:tl2br w:val="nil"/>
              <w:tr2bl w:val="nil"/>
            </w:tcBorders>
            <w:noWrap/>
            <w:vAlign w:val="center"/>
          </w:tcPr>
          <w:p w14:paraId="3AB2E385">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钢筋调直机</w:t>
            </w:r>
          </w:p>
        </w:tc>
        <w:tc>
          <w:tcPr>
            <w:tcW w:w="2738" w:type="dxa"/>
            <w:tcBorders>
              <w:tl2br w:val="nil"/>
              <w:tr2bl w:val="nil"/>
            </w:tcBorders>
            <w:noWrap/>
            <w:vAlign w:val="center"/>
          </w:tcPr>
          <w:p w14:paraId="38B56C1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 4-14kW</w:t>
            </w:r>
          </w:p>
        </w:tc>
        <w:tc>
          <w:tcPr>
            <w:tcW w:w="1045" w:type="dxa"/>
            <w:tcBorders>
              <w:tl2br w:val="nil"/>
              <w:tr2bl w:val="nil"/>
            </w:tcBorders>
            <w:noWrap/>
            <w:vAlign w:val="center"/>
          </w:tcPr>
          <w:p w14:paraId="06FF7D0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7CA14D0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7AAC8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6251B38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w:t>
            </w:r>
          </w:p>
        </w:tc>
        <w:tc>
          <w:tcPr>
            <w:tcW w:w="3301" w:type="dxa"/>
            <w:tcBorders>
              <w:tl2br w:val="nil"/>
              <w:tr2bl w:val="nil"/>
            </w:tcBorders>
            <w:noWrap/>
            <w:vAlign w:val="center"/>
          </w:tcPr>
          <w:p w14:paraId="2396E5C5">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钢筋切断机</w:t>
            </w:r>
          </w:p>
        </w:tc>
        <w:tc>
          <w:tcPr>
            <w:tcW w:w="2738" w:type="dxa"/>
            <w:tcBorders>
              <w:tl2br w:val="nil"/>
              <w:tr2bl w:val="nil"/>
            </w:tcBorders>
            <w:noWrap/>
            <w:vAlign w:val="center"/>
          </w:tcPr>
          <w:p w14:paraId="4251186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 20kW</w:t>
            </w:r>
          </w:p>
        </w:tc>
        <w:tc>
          <w:tcPr>
            <w:tcW w:w="1045" w:type="dxa"/>
            <w:tcBorders>
              <w:tl2br w:val="nil"/>
              <w:tr2bl w:val="nil"/>
            </w:tcBorders>
            <w:noWrap/>
            <w:vAlign w:val="center"/>
          </w:tcPr>
          <w:p w14:paraId="6D10CF2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60B353B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6EC0E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28F1C82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w:t>
            </w:r>
          </w:p>
        </w:tc>
        <w:tc>
          <w:tcPr>
            <w:tcW w:w="3301" w:type="dxa"/>
            <w:tcBorders>
              <w:tl2br w:val="nil"/>
              <w:tr2bl w:val="nil"/>
            </w:tcBorders>
            <w:noWrap/>
            <w:vAlign w:val="center"/>
          </w:tcPr>
          <w:p w14:paraId="0020E847">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钢筋弯曲机 </w:t>
            </w:r>
          </w:p>
        </w:tc>
        <w:tc>
          <w:tcPr>
            <w:tcW w:w="2738" w:type="dxa"/>
            <w:tcBorders>
              <w:tl2br w:val="nil"/>
              <w:tr2bl w:val="nil"/>
            </w:tcBorders>
            <w:noWrap/>
            <w:vAlign w:val="center"/>
          </w:tcPr>
          <w:p w14:paraId="608D38D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φ6～40mm</w:t>
            </w:r>
          </w:p>
        </w:tc>
        <w:tc>
          <w:tcPr>
            <w:tcW w:w="1045" w:type="dxa"/>
            <w:tcBorders>
              <w:tl2br w:val="nil"/>
              <w:tr2bl w:val="nil"/>
            </w:tcBorders>
            <w:noWrap/>
            <w:vAlign w:val="center"/>
          </w:tcPr>
          <w:p w14:paraId="29A1E4A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68B9441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6370B6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86" w:type="dxa"/>
            <w:gridSpan w:val="5"/>
            <w:tcBorders>
              <w:tl2br w:val="nil"/>
              <w:tr2bl w:val="nil"/>
            </w:tcBorders>
            <w:noWrap/>
            <w:vAlign w:val="center"/>
          </w:tcPr>
          <w:p w14:paraId="702B0CF3">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五、电气设备</w:t>
            </w:r>
          </w:p>
        </w:tc>
      </w:tr>
      <w:tr w14:paraId="4D168C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1F4AB0A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c>
          <w:tcPr>
            <w:tcW w:w="3301" w:type="dxa"/>
            <w:tcBorders>
              <w:tl2br w:val="nil"/>
              <w:tr2bl w:val="nil"/>
            </w:tcBorders>
            <w:noWrap/>
            <w:vAlign w:val="center"/>
          </w:tcPr>
          <w:p w14:paraId="0D1053DB">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变压器</w:t>
            </w:r>
          </w:p>
        </w:tc>
        <w:tc>
          <w:tcPr>
            <w:tcW w:w="2738" w:type="dxa"/>
            <w:tcBorders>
              <w:tl2br w:val="nil"/>
              <w:tr2bl w:val="nil"/>
            </w:tcBorders>
            <w:noWrap/>
            <w:vAlign w:val="center"/>
          </w:tcPr>
          <w:p w14:paraId="55A8892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变压器S11-400/10/0.4</w:t>
            </w:r>
          </w:p>
        </w:tc>
        <w:tc>
          <w:tcPr>
            <w:tcW w:w="1045" w:type="dxa"/>
            <w:tcBorders>
              <w:tl2br w:val="nil"/>
              <w:tr2bl w:val="nil"/>
            </w:tcBorders>
            <w:noWrap/>
            <w:vAlign w:val="center"/>
          </w:tcPr>
          <w:p w14:paraId="5C9C3C5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2A9D22E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val="en-US" w:eastAsia="zh-CN"/>
              </w:rPr>
              <w:t>2</w:t>
            </w:r>
          </w:p>
        </w:tc>
      </w:tr>
      <w:tr w14:paraId="3E7E8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724F8DC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c>
          <w:tcPr>
            <w:tcW w:w="3301" w:type="dxa"/>
            <w:tcBorders>
              <w:tl2br w:val="nil"/>
              <w:tr2bl w:val="nil"/>
            </w:tcBorders>
            <w:noWrap/>
            <w:vAlign w:val="center"/>
          </w:tcPr>
          <w:p w14:paraId="3500D789">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变压器</w:t>
            </w:r>
          </w:p>
        </w:tc>
        <w:tc>
          <w:tcPr>
            <w:tcW w:w="2738" w:type="dxa"/>
            <w:tcBorders>
              <w:tl2br w:val="nil"/>
              <w:tr2bl w:val="nil"/>
            </w:tcBorders>
            <w:noWrap/>
            <w:vAlign w:val="center"/>
          </w:tcPr>
          <w:p w14:paraId="0E8CB0B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变压器S11-800/10/0.4</w:t>
            </w:r>
          </w:p>
        </w:tc>
        <w:tc>
          <w:tcPr>
            <w:tcW w:w="1045" w:type="dxa"/>
            <w:tcBorders>
              <w:tl2br w:val="nil"/>
              <w:tr2bl w:val="nil"/>
            </w:tcBorders>
            <w:noWrap/>
            <w:vAlign w:val="center"/>
          </w:tcPr>
          <w:p w14:paraId="5360269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53665EF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color w:val="auto"/>
                <w:kern w:val="0"/>
                <w:sz w:val="22"/>
                <w:szCs w:val="22"/>
                <w:highlight w:val="none"/>
                <w:lang w:eastAsia="zh-CN"/>
              </w:rPr>
            </w:pPr>
            <w:r>
              <w:rPr>
                <w:rFonts w:hint="eastAsia" w:ascii="Arial" w:hAnsi="Arial" w:cs="Arial"/>
                <w:color w:val="auto"/>
                <w:kern w:val="0"/>
                <w:sz w:val="22"/>
                <w:szCs w:val="22"/>
                <w:highlight w:val="none"/>
                <w:lang w:val="en-US" w:eastAsia="zh-CN"/>
              </w:rPr>
              <w:t>2</w:t>
            </w:r>
          </w:p>
        </w:tc>
      </w:tr>
      <w:tr w14:paraId="6B887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86" w:type="dxa"/>
            <w:gridSpan w:val="5"/>
            <w:tcBorders>
              <w:tl2br w:val="nil"/>
              <w:tr2bl w:val="nil"/>
            </w:tcBorders>
            <w:noWrap/>
            <w:vAlign w:val="center"/>
          </w:tcPr>
          <w:p w14:paraId="56FC026F">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六、其它设备</w:t>
            </w:r>
          </w:p>
        </w:tc>
      </w:tr>
      <w:tr w14:paraId="47CAA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7D87D2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c>
          <w:tcPr>
            <w:tcW w:w="3301" w:type="dxa"/>
            <w:tcBorders>
              <w:tl2br w:val="nil"/>
              <w:tr2bl w:val="nil"/>
            </w:tcBorders>
            <w:noWrap/>
            <w:vAlign w:val="center"/>
          </w:tcPr>
          <w:p w14:paraId="1BCBC791">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地磅</w:t>
            </w:r>
          </w:p>
        </w:tc>
        <w:tc>
          <w:tcPr>
            <w:tcW w:w="2738" w:type="dxa"/>
            <w:tcBorders>
              <w:tl2br w:val="nil"/>
              <w:tr2bl w:val="nil"/>
            </w:tcBorders>
            <w:noWrap/>
            <w:vAlign w:val="center"/>
          </w:tcPr>
          <w:p w14:paraId="776D83B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CSC-50T</w:t>
            </w:r>
          </w:p>
        </w:tc>
        <w:tc>
          <w:tcPr>
            <w:tcW w:w="1045" w:type="dxa"/>
            <w:tcBorders>
              <w:tl2br w:val="nil"/>
              <w:tr2bl w:val="nil"/>
            </w:tcBorders>
            <w:noWrap/>
            <w:vAlign w:val="center"/>
          </w:tcPr>
          <w:p w14:paraId="366485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45991C9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15032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6A7BDD2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c>
          <w:tcPr>
            <w:tcW w:w="3301" w:type="dxa"/>
            <w:tcBorders>
              <w:tl2br w:val="nil"/>
              <w:tr2bl w:val="nil"/>
            </w:tcBorders>
            <w:noWrap/>
            <w:vAlign w:val="center"/>
          </w:tcPr>
          <w:p w14:paraId="6FF0734B">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洒水车</w:t>
            </w:r>
          </w:p>
        </w:tc>
        <w:tc>
          <w:tcPr>
            <w:tcW w:w="2738" w:type="dxa"/>
            <w:tcBorders>
              <w:tl2br w:val="nil"/>
              <w:tr2bl w:val="nil"/>
            </w:tcBorders>
            <w:noWrap/>
            <w:vAlign w:val="center"/>
          </w:tcPr>
          <w:p w14:paraId="300BF66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w:t>
            </w:r>
          </w:p>
        </w:tc>
        <w:tc>
          <w:tcPr>
            <w:tcW w:w="1045" w:type="dxa"/>
            <w:tcBorders>
              <w:tl2br w:val="nil"/>
              <w:tr2bl w:val="nil"/>
            </w:tcBorders>
            <w:noWrap/>
            <w:vAlign w:val="center"/>
          </w:tcPr>
          <w:p w14:paraId="22645ED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辆</w:t>
            </w:r>
          </w:p>
        </w:tc>
        <w:tc>
          <w:tcPr>
            <w:tcW w:w="1254" w:type="dxa"/>
            <w:tcBorders>
              <w:tl2br w:val="nil"/>
              <w:tr2bl w:val="nil"/>
            </w:tcBorders>
            <w:noWrap/>
            <w:vAlign w:val="center"/>
          </w:tcPr>
          <w:p w14:paraId="6410CD1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1</w:t>
            </w:r>
          </w:p>
        </w:tc>
      </w:tr>
      <w:tr w14:paraId="3E8CC0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3BFDA99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3</w:t>
            </w:r>
          </w:p>
        </w:tc>
        <w:tc>
          <w:tcPr>
            <w:tcW w:w="3301" w:type="dxa"/>
            <w:tcBorders>
              <w:tl2br w:val="nil"/>
              <w:tr2bl w:val="nil"/>
            </w:tcBorders>
            <w:noWrap/>
            <w:vAlign w:val="center"/>
          </w:tcPr>
          <w:p w14:paraId="6631FD5A">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柴油发电机 </w:t>
            </w:r>
          </w:p>
        </w:tc>
        <w:tc>
          <w:tcPr>
            <w:tcW w:w="2738" w:type="dxa"/>
            <w:tcBorders>
              <w:tl2br w:val="nil"/>
              <w:tr2bl w:val="nil"/>
            </w:tcBorders>
            <w:noWrap/>
            <w:vAlign w:val="center"/>
          </w:tcPr>
          <w:p w14:paraId="3638024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 xml:space="preserve">400KW </w:t>
            </w:r>
          </w:p>
        </w:tc>
        <w:tc>
          <w:tcPr>
            <w:tcW w:w="1045" w:type="dxa"/>
            <w:tcBorders>
              <w:tl2br w:val="nil"/>
              <w:tr2bl w:val="nil"/>
            </w:tcBorders>
            <w:noWrap/>
            <w:vAlign w:val="center"/>
          </w:tcPr>
          <w:p w14:paraId="7EF2FDD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2BBFD69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2</w:t>
            </w:r>
          </w:p>
        </w:tc>
      </w:tr>
      <w:tr w14:paraId="6686C2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0CC84F6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4</w:t>
            </w:r>
          </w:p>
        </w:tc>
        <w:tc>
          <w:tcPr>
            <w:tcW w:w="3301" w:type="dxa"/>
            <w:tcBorders>
              <w:tl2br w:val="nil"/>
              <w:tr2bl w:val="nil"/>
            </w:tcBorders>
            <w:noWrap/>
            <w:vAlign w:val="center"/>
          </w:tcPr>
          <w:p w14:paraId="5F2192F9">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水泵</w:t>
            </w:r>
          </w:p>
        </w:tc>
        <w:tc>
          <w:tcPr>
            <w:tcW w:w="2738" w:type="dxa"/>
            <w:tcBorders>
              <w:tl2br w:val="nil"/>
              <w:tr2bl w:val="nil"/>
            </w:tcBorders>
            <w:noWrap/>
            <w:vAlign w:val="center"/>
          </w:tcPr>
          <w:p w14:paraId="0EDBC64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IS65-40-250</w:t>
            </w:r>
          </w:p>
        </w:tc>
        <w:tc>
          <w:tcPr>
            <w:tcW w:w="1045" w:type="dxa"/>
            <w:tcBorders>
              <w:tl2br w:val="nil"/>
              <w:tr2bl w:val="nil"/>
            </w:tcBorders>
            <w:noWrap/>
            <w:vAlign w:val="center"/>
          </w:tcPr>
          <w:p w14:paraId="61A5CEA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3036A01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8</w:t>
            </w:r>
          </w:p>
        </w:tc>
      </w:tr>
      <w:tr w14:paraId="6F5206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8" w:type="dxa"/>
            <w:tcBorders>
              <w:tl2br w:val="nil"/>
              <w:tr2bl w:val="nil"/>
            </w:tcBorders>
            <w:noWrap/>
            <w:vAlign w:val="center"/>
          </w:tcPr>
          <w:p w14:paraId="37CA78A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5</w:t>
            </w:r>
          </w:p>
        </w:tc>
        <w:tc>
          <w:tcPr>
            <w:tcW w:w="3301" w:type="dxa"/>
            <w:tcBorders>
              <w:tl2br w:val="nil"/>
              <w:tr2bl w:val="nil"/>
            </w:tcBorders>
            <w:noWrap/>
            <w:vAlign w:val="center"/>
          </w:tcPr>
          <w:p w14:paraId="0EFB30F3">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潜水泵</w:t>
            </w:r>
          </w:p>
        </w:tc>
        <w:tc>
          <w:tcPr>
            <w:tcW w:w="2738" w:type="dxa"/>
            <w:tcBorders>
              <w:tl2br w:val="nil"/>
              <w:tr2bl w:val="nil"/>
            </w:tcBorders>
            <w:noWrap/>
            <w:vAlign w:val="center"/>
          </w:tcPr>
          <w:p w14:paraId="6234CCB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WQ15-7-0.75</w:t>
            </w:r>
          </w:p>
        </w:tc>
        <w:tc>
          <w:tcPr>
            <w:tcW w:w="1045" w:type="dxa"/>
            <w:tcBorders>
              <w:tl2br w:val="nil"/>
              <w:tr2bl w:val="nil"/>
            </w:tcBorders>
            <w:noWrap/>
            <w:vAlign w:val="center"/>
          </w:tcPr>
          <w:p w14:paraId="49B3D06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台</w:t>
            </w:r>
          </w:p>
        </w:tc>
        <w:tc>
          <w:tcPr>
            <w:tcW w:w="1254" w:type="dxa"/>
            <w:tcBorders>
              <w:tl2br w:val="nil"/>
              <w:tr2bl w:val="nil"/>
            </w:tcBorders>
            <w:noWrap/>
            <w:vAlign w:val="center"/>
          </w:tcPr>
          <w:p w14:paraId="1660C8A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color w:val="auto"/>
                <w:kern w:val="0"/>
                <w:sz w:val="22"/>
                <w:szCs w:val="22"/>
                <w:highlight w:val="none"/>
              </w:rPr>
            </w:pPr>
            <w:r>
              <w:rPr>
                <w:rFonts w:hint="default" w:ascii="Arial" w:hAnsi="Arial" w:cs="Arial"/>
                <w:color w:val="auto"/>
                <w:kern w:val="0"/>
                <w:sz w:val="22"/>
                <w:szCs w:val="22"/>
                <w:highlight w:val="none"/>
              </w:rPr>
              <w:t>8</w:t>
            </w:r>
          </w:p>
        </w:tc>
      </w:tr>
    </w:tbl>
    <w:p w14:paraId="3244FD84">
      <w:pPr>
        <w:pStyle w:val="5"/>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lang w:val="en-US" w:eastAsia="zh-CN"/>
        </w:rPr>
      </w:pPr>
    </w:p>
    <w:p w14:paraId="50612D22">
      <w:pPr>
        <w:keepNext w:val="0"/>
        <w:keepLines w:val="0"/>
        <w:pageBreakBefore w:val="0"/>
        <w:widowControl w:val="0"/>
        <w:suppressLineNumbers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color w:val="auto"/>
          <w:kern w:val="2"/>
          <w:sz w:val="26"/>
          <w:szCs w:val="26"/>
          <w:highlight w:val="none"/>
          <w:lang w:val="en-US" w:eastAsia="zh-CN" w:bidi="ar-SA"/>
        </w:rPr>
      </w:pPr>
      <w:r>
        <w:rPr>
          <w:rFonts w:hint="eastAsia" w:ascii="Arial" w:hAnsi="Arial" w:cs="Arial"/>
          <w:b/>
          <w:bCs/>
          <w:color w:val="auto"/>
          <w:kern w:val="2"/>
          <w:sz w:val="26"/>
          <w:szCs w:val="26"/>
          <w:highlight w:val="none"/>
          <w:lang w:val="en-US" w:eastAsia="zh-CN" w:bidi="ar-SA"/>
        </w:rPr>
        <w:t>2.2.10施工方案</w:t>
      </w:r>
    </w:p>
    <w:p w14:paraId="17117FF0">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cs="Arial"/>
          <w:bCs/>
          <w:color w:val="auto"/>
          <w:sz w:val="26"/>
          <w:szCs w:val="22"/>
        </w:rPr>
      </w:pPr>
      <w:r>
        <w:rPr>
          <w:rFonts w:hint="eastAsia" w:ascii="Arial" w:cs="Arial"/>
          <w:b/>
          <w:color w:val="auto"/>
          <w:sz w:val="26"/>
          <w:szCs w:val="26"/>
          <w:lang w:eastAsia="zh-CN"/>
        </w:rPr>
        <w:t>（</w:t>
      </w:r>
      <w:r>
        <w:rPr>
          <w:rFonts w:hint="eastAsia" w:ascii="Arial" w:cs="Arial"/>
          <w:b/>
          <w:color w:val="auto"/>
          <w:sz w:val="26"/>
          <w:szCs w:val="26"/>
          <w:lang w:val="en-US" w:eastAsia="zh-CN"/>
        </w:rPr>
        <w:t>1）枢纽工程</w:t>
      </w:r>
    </w:p>
    <w:p w14:paraId="078FB8AF">
      <w:pPr>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rFonts w:hint="eastAsia" w:ascii="Arial" w:cs="Arial"/>
          <w:bCs/>
          <w:sz w:val="26"/>
          <w:szCs w:val="22"/>
        </w:rPr>
      </w:pPr>
      <w:r>
        <w:rPr>
          <w:rFonts w:hint="eastAsia" w:ascii="Arial" w:cs="Arial"/>
          <w:bCs/>
          <w:sz w:val="26"/>
          <w:szCs w:val="22"/>
        </w:rPr>
        <w:t>大坝工程施工工序：边坡开挖→导流管埋设→土石回填→截流→上下游围堰→河床基坑开挖→固结灌浆→大坝埋石混凝土浇筑→帷幕灌浆。</w:t>
      </w:r>
    </w:p>
    <w:p w14:paraId="6404832A">
      <w:pPr>
        <w:keepNext w:val="0"/>
        <w:keepLines w:val="0"/>
        <w:pageBreakBefore w:val="0"/>
        <w:widowControl w:val="0"/>
        <w:kinsoku/>
        <w:wordWrap/>
        <w:overflowPunct/>
        <w:topLinePunct w:val="0"/>
        <w:autoSpaceDE/>
        <w:autoSpaceDN/>
        <w:bidi w:val="0"/>
        <w:adjustRightInd/>
        <w:snapToGrid w:val="0"/>
        <w:spacing w:line="460" w:lineRule="exact"/>
        <w:ind w:firstLine="522" w:firstLineChars="200"/>
        <w:textAlignment w:val="auto"/>
        <w:rPr>
          <w:rFonts w:hint="eastAsia" w:ascii="Arial" w:hAnsi="Arial" w:eastAsia="宋体" w:cs="Arial"/>
          <w:b/>
          <w:bCs/>
          <w:sz w:val="26"/>
          <w:lang w:eastAsia="zh-CN"/>
        </w:rPr>
      </w:pPr>
      <w:r>
        <w:rPr>
          <w:rFonts w:ascii="Arial" w:hAnsi="Arial" w:cs="Arial"/>
          <w:b/>
          <w:bCs/>
          <w:sz w:val="26"/>
        </w:rPr>
        <w:t xml:space="preserve">① </w:t>
      </w:r>
      <w:r>
        <w:rPr>
          <w:rFonts w:hint="eastAsia" w:ascii="Arial" w:hAnsi="Arial" w:cs="Arial"/>
          <w:b/>
          <w:bCs/>
          <w:sz w:val="26"/>
          <w:lang w:eastAsia="zh-CN"/>
        </w:rPr>
        <w:t>边坡、基坑土石方开挖</w:t>
      </w:r>
    </w:p>
    <w:p w14:paraId="45E11019">
      <w:pPr>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rFonts w:hint="eastAsia" w:ascii="Arial" w:cs="Arial"/>
          <w:bCs/>
          <w:sz w:val="26"/>
          <w:szCs w:val="22"/>
        </w:rPr>
      </w:pPr>
      <w:r>
        <w:rPr>
          <w:rFonts w:hint="eastAsia" w:ascii="Arial" w:cs="Arial"/>
          <w:bCs/>
          <w:sz w:val="26"/>
          <w:szCs w:val="22"/>
        </w:rPr>
        <w:t>大坝开挖主要由机械施工辅以人工修整，土石方开挖施工前，提前形成进入施工作业面的施工道路。</w:t>
      </w:r>
    </w:p>
    <w:p w14:paraId="3B5C7416">
      <w:pPr>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rFonts w:hint="eastAsia" w:ascii="Arial" w:cs="Arial"/>
          <w:bCs/>
          <w:sz w:val="26"/>
          <w:szCs w:val="22"/>
        </w:rPr>
      </w:pPr>
      <w:r>
        <w:rPr>
          <w:rFonts w:hint="eastAsia" w:ascii="Arial" w:cs="Arial"/>
          <w:bCs/>
          <w:sz w:val="26"/>
          <w:szCs w:val="22"/>
        </w:rPr>
        <w:t>土方开挖直接采用1.0m</w:t>
      </w:r>
      <w:r>
        <w:rPr>
          <w:rFonts w:hint="eastAsia" w:ascii="Arial" w:cs="Arial"/>
          <w:bCs/>
          <w:sz w:val="26"/>
          <w:szCs w:val="22"/>
          <w:vertAlign w:val="superscript"/>
        </w:rPr>
        <w:t>3</w:t>
      </w:r>
      <w:r>
        <w:rPr>
          <w:rFonts w:hint="eastAsia" w:ascii="Arial" w:cs="Arial"/>
          <w:bCs/>
          <w:sz w:val="26"/>
          <w:szCs w:val="22"/>
        </w:rPr>
        <w:t>单斗挖掘机开挖，59kW推土机集料及装车，配5t自卸汽车运输出渣，人工配合挖机集渣并清理工作面，对于量小且分散的基础开挖和槽挖可直接采用风镐清理或人工进行清挖。土方开挖前，首先进行测量放样，标识出开挖范围和位置，然后采用人工将开挖区域内的障碍物清理干净，清理范围延伸至开挖线外侧至少2m的距离。</w:t>
      </w:r>
    </w:p>
    <w:p w14:paraId="095EF8B1">
      <w:pPr>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rFonts w:hint="eastAsia" w:ascii="Arial" w:cs="Arial"/>
          <w:bCs/>
          <w:sz w:val="26"/>
          <w:szCs w:val="22"/>
        </w:rPr>
      </w:pPr>
      <w:r>
        <w:rPr>
          <w:rFonts w:hint="eastAsia" w:ascii="Arial" w:cs="Arial"/>
          <w:bCs/>
          <w:sz w:val="26"/>
          <w:szCs w:val="22"/>
        </w:rPr>
        <w:t>石方开挖采取自上而下分台阶、分梯段进行开挖，采用1.0m</w:t>
      </w:r>
      <w:r>
        <w:rPr>
          <w:rFonts w:hint="eastAsia" w:ascii="Arial" w:cs="Arial"/>
          <w:bCs/>
          <w:sz w:val="26"/>
          <w:szCs w:val="22"/>
          <w:vertAlign w:val="superscript"/>
        </w:rPr>
        <w:t>3</w:t>
      </w:r>
      <w:r>
        <w:rPr>
          <w:rFonts w:hint="eastAsia" w:ascii="Arial" w:cs="Arial"/>
          <w:bCs/>
          <w:sz w:val="26"/>
          <w:szCs w:val="22"/>
        </w:rPr>
        <w:t>单斗挖掘机配破碎锤为主，辅以人工处理进行挖掘。渣料采用88kW推土机集料及装车，配5t自卸汽车运输出渣至弃渣场。石方开挖时，在建基面以上预留20cm作为保护层，保护层采用液压挖掘机配破碎锤进行开挖、并清理至建基面。</w:t>
      </w:r>
    </w:p>
    <w:p w14:paraId="579F7EEF">
      <w:pPr>
        <w:snapToGrid w:val="0"/>
        <w:spacing w:line="440" w:lineRule="exact"/>
        <w:ind w:firstLine="482"/>
        <w:rPr>
          <w:rFonts w:hint="eastAsia" w:ascii="Arial" w:hAnsi="Arial" w:eastAsia="宋体" w:cs="Arial"/>
          <w:b/>
          <w:bCs/>
          <w:sz w:val="26"/>
          <w:lang w:eastAsia="zh-CN"/>
        </w:rPr>
      </w:pPr>
      <w:r>
        <w:rPr>
          <w:rFonts w:hint="eastAsia" w:ascii="宋体" w:hAnsi="宋体" w:cs="宋体"/>
          <w:b/>
          <w:bCs/>
          <w:sz w:val="26"/>
        </w:rPr>
        <w:t>②</w:t>
      </w:r>
      <w:r>
        <w:rPr>
          <w:rFonts w:ascii="Arial" w:hAnsi="Arial" w:cs="Arial"/>
          <w:b/>
          <w:bCs/>
          <w:sz w:val="26"/>
        </w:rPr>
        <w:t xml:space="preserve"> </w:t>
      </w:r>
      <w:r>
        <w:rPr>
          <w:rFonts w:hint="eastAsia" w:ascii="Arial" w:hAnsi="Arial" w:cs="Arial"/>
          <w:b/>
          <w:bCs/>
          <w:sz w:val="26"/>
          <w:lang w:eastAsia="zh-CN"/>
        </w:rPr>
        <w:t>导流管埋设</w:t>
      </w:r>
    </w:p>
    <w:p w14:paraId="7F5AB38E">
      <w:pPr>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rFonts w:hint="default" w:ascii="Arial" w:eastAsia="宋体" w:cs="Arial"/>
          <w:bCs/>
          <w:sz w:val="26"/>
          <w:szCs w:val="22"/>
          <w:lang w:val="en-US" w:eastAsia="zh-CN"/>
        </w:rPr>
      </w:pPr>
      <w:r>
        <w:rPr>
          <w:rFonts w:hint="eastAsia" w:ascii="Arial" w:cs="Arial"/>
          <w:bCs/>
          <w:sz w:val="26"/>
          <w:szCs w:val="22"/>
          <w:lang w:eastAsia="zh-CN"/>
        </w:rPr>
        <w:t>导流管采用</w:t>
      </w:r>
      <w:r>
        <w:rPr>
          <w:rFonts w:hint="eastAsia" w:ascii="Arial" w:cs="Arial"/>
          <w:bCs/>
          <w:sz w:val="26"/>
          <w:szCs w:val="22"/>
          <w:lang w:val="en-US" w:eastAsia="zh-CN"/>
        </w:rPr>
        <w:t>DN1000钢管，在施工场地内制造，以3m左右为一个制作单元；首先采用切割机进行下料处置，再采用埋弧焊接，焊接完成后进行防腐处置；再采取5t自卸货车运至工作面，</w:t>
      </w:r>
      <w:r>
        <w:rPr>
          <w:rFonts w:hint="eastAsia" w:ascii="Arial" w:cs="Arial"/>
          <w:bCs/>
          <w:sz w:val="26"/>
          <w:szCs w:val="22"/>
          <w:lang w:eastAsia="zh-CN"/>
        </w:rPr>
        <w:t>利用5t塔式起重机提升至管床，人工</w:t>
      </w:r>
      <w:r>
        <w:rPr>
          <w:rFonts w:hint="eastAsia" w:ascii="Arial" w:cs="Arial"/>
          <w:bCs/>
          <w:sz w:val="26"/>
          <w:szCs w:val="22"/>
          <w:lang w:val="en-US" w:eastAsia="zh-CN"/>
        </w:rPr>
        <w:t>确认无误后进行钢管安装。</w:t>
      </w:r>
    </w:p>
    <w:p w14:paraId="25A8D8B1">
      <w:pPr>
        <w:snapToGrid w:val="0"/>
        <w:spacing w:line="440" w:lineRule="exact"/>
        <w:ind w:firstLine="482"/>
        <w:rPr>
          <w:rFonts w:hint="eastAsia" w:ascii="Arial" w:hAnsi="Arial" w:eastAsia="宋体" w:cs="Arial"/>
          <w:b/>
          <w:bCs/>
          <w:sz w:val="26"/>
          <w:lang w:eastAsia="zh-CN"/>
        </w:rPr>
      </w:pPr>
      <w:r>
        <w:rPr>
          <w:rFonts w:hint="eastAsia" w:ascii="宋体" w:hAnsi="宋体" w:cs="宋体"/>
          <w:b/>
          <w:bCs/>
          <w:sz w:val="26"/>
        </w:rPr>
        <w:t>③</w:t>
      </w:r>
      <w:r>
        <w:rPr>
          <w:rFonts w:ascii="Arial" w:hAnsi="Arial" w:cs="Arial"/>
          <w:b/>
          <w:bCs/>
          <w:sz w:val="26"/>
        </w:rPr>
        <w:t xml:space="preserve"> </w:t>
      </w:r>
      <w:r>
        <w:rPr>
          <w:rFonts w:hint="eastAsia" w:ascii="Arial" w:hAnsi="Arial" w:cs="Arial"/>
          <w:b/>
          <w:bCs/>
          <w:sz w:val="26"/>
          <w:lang w:eastAsia="zh-CN"/>
        </w:rPr>
        <w:t>土石方回填</w:t>
      </w:r>
    </w:p>
    <w:p w14:paraId="78F40D14">
      <w:pPr>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rFonts w:hint="eastAsia" w:ascii="Arial" w:cs="Arial"/>
          <w:bCs/>
          <w:sz w:val="26"/>
          <w:szCs w:val="22"/>
          <w:lang w:eastAsia="zh-CN"/>
        </w:rPr>
      </w:pPr>
      <w:r>
        <w:rPr>
          <w:rFonts w:hint="eastAsia" w:ascii="Arial" w:cs="Arial"/>
          <w:bCs/>
          <w:sz w:val="26"/>
          <w:szCs w:val="22"/>
          <w:lang w:eastAsia="zh-CN"/>
        </w:rPr>
        <w:t>土石方回填采用工程施工中产生的可利用料，采用1.0m</w:t>
      </w:r>
      <w:r>
        <w:rPr>
          <w:rFonts w:hint="eastAsia" w:ascii="Arial" w:cs="Arial"/>
          <w:bCs/>
          <w:sz w:val="26"/>
          <w:szCs w:val="22"/>
          <w:vertAlign w:val="superscript"/>
          <w:lang w:eastAsia="zh-CN"/>
        </w:rPr>
        <w:t>3</w:t>
      </w:r>
      <w:r>
        <w:rPr>
          <w:rFonts w:hint="eastAsia" w:ascii="Arial" w:cs="Arial"/>
          <w:bCs/>
          <w:sz w:val="26"/>
          <w:szCs w:val="22"/>
          <w:lang w:eastAsia="zh-CN"/>
        </w:rPr>
        <w:t>单斗挖掘机在挖方区域回采，5t自卸汽车装运至施工点，59kW</w:t>
      </w:r>
      <w:r>
        <w:rPr>
          <w:rFonts w:hint="eastAsia" w:ascii="Arial" w:cs="Arial"/>
          <w:bCs/>
          <w:sz w:val="26"/>
          <w:szCs w:val="22"/>
          <w:lang w:val="en-US" w:eastAsia="zh-CN"/>
        </w:rPr>
        <w:t>~~</w:t>
      </w:r>
      <w:r>
        <w:rPr>
          <w:rFonts w:hint="eastAsia" w:ascii="Arial" w:cs="Arial"/>
          <w:bCs/>
          <w:sz w:val="26"/>
          <w:szCs w:val="22"/>
          <w:lang w:eastAsia="zh-CN"/>
        </w:rPr>
        <w:t>88kW推土机进行平料，59kW履带式拖拉机转运，13-14t拖式振动碾结合2.8kW蛙式夯实机分层碾压密实，铺料时在上下游应留有削坡余量，削坡采用人工自上而下削坡、整平。</w:t>
      </w:r>
    </w:p>
    <w:p w14:paraId="25A8A6A2">
      <w:pPr>
        <w:snapToGrid w:val="0"/>
        <w:spacing w:line="440" w:lineRule="exact"/>
        <w:ind w:firstLine="482"/>
        <w:rPr>
          <w:rFonts w:hint="eastAsia" w:ascii="Arial" w:hAnsi="Arial" w:eastAsia="宋体" w:cs="Arial"/>
          <w:b/>
          <w:bCs/>
          <w:sz w:val="26"/>
          <w:lang w:eastAsia="zh-CN"/>
        </w:rPr>
      </w:pPr>
      <w:r>
        <w:rPr>
          <w:rFonts w:hint="eastAsia" w:ascii="宋体" w:hAnsi="宋体" w:cs="宋体"/>
          <w:b/>
          <w:bCs/>
          <w:sz w:val="26"/>
        </w:rPr>
        <w:t>④</w:t>
      </w:r>
      <w:r>
        <w:rPr>
          <w:rFonts w:ascii="Arial" w:hAnsi="Arial" w:cs="Arial"/>
          <w:b/>
          <w:bCs/>
          <w:sz w:val="26"/>
        </w:rPr>
        <w:t xml:space="preserve"> </w:t>
      </w:r>
      <w:r>
        <w:rPr>
          <w:rFonts w:hint="eastAsia" w:ascii="Arial" w:hAnsi="Arial" w:cs="Arial"/>
          <w:b/>
          <w:bCs/>
          <w:sz w:val="26"/>
          <w:lang w:eastAsia="zh-CN"/>
        </w:rPr>
        <w:t>围堰施工</w:t>
      </w:r>
    </w:p>
    <w:p w14:paraId="3D640F45">
      <w:pPr>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rFonts w:hint="eastAsia" w:ascii="Arial" w:cs="Arial"/>
          <w:bCs/>
          <w:sz w:val="26"/>
          <w:szCs w:val="22"/>
          <w:lang w:eastAsia="zh-CN"/>
        </w:rPr>
      </w:pPr>
      <w:r>
        <w:rPr>
          <w:rFonts w:hint="eastAsia" w:ascii="Arial" w:cs="Arial"/>
          <w:bCs/>
          <w:sz w:val="26"/>
          <w:szCs w:val="22"/>
          <w:lang w:eastAsia="zh-CN"/>
        </w:rPr>
        <w:t>用1.0m</w:t>
      </w:r>
      <w:r>
        <w:rPr>
          <w:rFonts w:hint="eastAsia" w:ascii="Arial" w:cs="Arial"/>
          <w:bCs/>
          <w:sz w:val="26"/>
          <w:szCs w:val="22"/>
          <w:vertAlign w:val="superscript"/>
          <w:lang w:eastAsia="zh-CN"/>
        </w:rPr>
        <w:t>3</w:t>
      </w:r>
      <w:r>
        <w:rPr>
          <w:rFonts w:hint="eastAsia" w:ascii="Arial" w:cs="Arial"/>
          <w:bCs/>
          <w:sz w:val="26"/>
          <w:szCs w:val="22"/>
          <w:lang w:eastAsia="zh-CN"/>
        </w:rPr>
        <w:t>单斗挖掘机回采填筑围堰，装5t自卸汽车运输，填筑方向平行堰轴线，土石料铺筑厚度0.5m，采用59kw推土机铺料，按进退错距法碾压密实，最终采用人工铺设土工膜防渗。</w:t>
      </w:r>
    </w:p>
    <w:p w14:paraId="148A8ED7">
      <w:pPr>
        <w:snapToGrid w:val="0"/>
        <w:spacing w:line="440" w:lineRule="exact"/>
        <w:ind w:firstLine="482"/>
        <w:rPr>
          <w:rFonts w:hint="eastAsia" w:ascii="宋体" w:hAnsi="宋体" w:cs="宋体"/>
          <w:b/>
          <w:bCs/>
          <w:sz w:val="26"/>
          <w:lang w:eastAsia="zh-CN"/>
        </w:rPr>
      </w:pPr>
      <w:r>
        <w:rPr>
          <w:rFonts w:hint="eastAsia" w:ascii="宋体" w:hAnsi="宋体" w:cs="宋体"/>
          <w:b/>
          <w:bCs/>
          <w:sz w:val="26"/>
        </w:rPr>
        <w:t>⑤</w:t>
      </w:r>
      <w:r>
        <w:rPr>
          <w:rFonts w:hint="eastAsia" w:ascii="宋体" w:hAnsi="宋体" w:cs="宋体"/>
          <w:b/>
          <w:bCs/>
          <w:sz w:val="26"/>
          <w:lang w:val="en-US" w:eastAsia="zh-CN"/>
        </w:rPr>
        <w:t xml:space="preserve"> </w:t>
      </w:r>
      <w:r>
        <w:rPr>
          <w:rFonts w:hint="eastAsia" w:ascii="宋体" w:hAnsi="宋体" w:cs="宋体"/>
          <w:b/>
          <w:bCs/>
          <w:sz w:val="26"/>
          <w:lang w:eastAsia="zh-CN"/>
        </w:rPr>
        <w:t>河床基础开挖</w:t>
      </w:r>
    </w:p>
    <w:p w14:paraId="3A6A50B6">
      <w:pPr>
        <w:spacing w:line="480" w:lineRule="exact"/>
        <w:ind w:firstLine="520" w:firstLineChars="200"/>
        <w:rPr>
          <w:rFonts w:hint="eastAsia" w:ascii="Arial" w:eastAsia="宋体" w:cs="Arial"/>
          <w:bCs/>
          <w:sz w:val="26"/>
          <w:szCs w:val="22"/>
          <w:lang w:eastAsia="zh-CN"/>
        </w:rPr>
      </w:pPr>
      <w:r>
        <w:rPr>
          <w:rFonts w:hint="eastAsia" w:ascii="Arial" w:cs="Arial"/>
          <w:bCs/>
          <w:sz w:val="26"/>
          <w:szCs w:val="22"/>
          <w:lang w:eastAsia="zh-CN"/>
        </w:rPr>
        <w:t>首先利用测量工具确定开挖的具体位置和边界，在开挖前利用水泵排干基坑内的渗水；利用</w:t>
      </w:r>
      <w:r>
        <w:rPr>
          <w:rFonts w:hint="eastAsia" w:ascii="Arial" w:cs="Arial"/>
          <w:bCs/>
          <w:sz w:val="26"/>
          <w:szCs w:val="22"/>
        </w:rPr>
        <w:t>1.0m</w:t>
      </w:r>
      <w:r>
        <w:rPr>
          <w:rFonts w:hint="eastAsia" w:ascii="Arial" w:cs="Arial"/>
          <w:bCs/>
          <w:sz w:val="26"/>
          <w:szCs w:val="22"/>
          <w:vertAlign w:val="superscript"/>
        </w:rPr>
        <w:t>3</w:t>
      </w:r>
      <w:r>
        <w:rPr>
          <w:rFonts w:hint="eastAsia" w:ascii="Arial" w:cs="Arial"/>
          <w:bCs/>
          <w:sz w:val="26"/>
          <w:szCs w:val="22"/>
        </w:rPr>
        <w:t>单斗挖掘机</w:t>
      </w:r>
      <w:r>
        <w:rPr>
          <w:rFonts w:hint="eastAsia" w:ascii="Arial" w:cs="Arial"/>
          <w:bCs/>
          <w:sz w:val="26"/>
          <w:szCs w:val="22"/>
          <w:lang w:eastAsia="zh-CN"/>
        </w:rPr>
        <w:t>进行土方</w:t>
      </w:r>
      <w:r>
        <w:rPr>
          <w:rFonts w:hint="eastAsia" w:ascii="Arial" w:cs="Arial"/>
          <w:bCs/>
          <w:sz w:val="26"/>
          <w:szCs w:val="22"/>
        </w:rPr>
        <w:t>开挖，</w:t>
      </w:r>
      <w:r>
        <w:rPr>
          <w:rFonts w:hint="eastAsia" w:ascii="Arial" w:cs="Arial"/>
          <w:bCs/>
          <w:sz w:val="26"/>
          <w:szCs w:val="22"/>
          <w:lang w:eastAsia="zh-CN"/>
        </w:rPr>
        <w:t>自上而下分段分成开挖；石方最大限度利用</w:t>
      </w:r>
      <w:r>
        <w:rPr>
          <w:rFonts w:hint="eastAsia" w:ascii="Arial" w:cs="Arial"/>
          <w:bCs/>
          <w:sz w:val="26"/>
          <w:szCs w:val="22"/>
        </w:rPr>
        <w:t>1.0m</w:t>
      </w:r>
      <w:r>
        <w:rPr>
          <w:rFonts w:hint="eastAsia" w:ascii="Arial" w:cs="Arial"/>
          <w:bCs/>
          <w:sz w:val="26"/>
          <w:szCs w:val="22"/>
          <w:vertAlign w:val="superscript"/>
        </w:rPr>
        <w:t>3</w:t>
      </w:r>
      <w:r>
        <w:rPr>
          <w:rFonts w:hint="eastAsia" w:ascii="Arial" w:cs="Arial"/>
          <w:bCs/>
          <w:sz w:val="26"/>
          <w:szCs w:val="22"/>
        </w:rPr>
        <w:t>单斗挖掘机配破碎锤为主，</w:t>
      </w:r>
      <w:r>
        <w:rPr>
          <w:rFonts w:hint="eastAsia" w:ascii="Arial" w:cs="Arial"/>
          <w:bCs/>
          <w:sz w:val="26"/>
          <w:szCs w:val="22"/>
          <w:lang w:eastAsia="zh-CN"/>
        </w:rPr>
        <w:t>确实不可避免采取爆破施工时，需严格控制爆破技术，减小振动影响；开挖的土方方采取</w:t>
      </w:r>
      <w:r>
        <w:rPr>
          <w:rFonts w:hint="eastAsia" w:ascii="Arial" w:cs="Arial"/>
          <w:bCs/>
          <w:sz w:val="26"/>
          <w:szCs w:val="22"/>
        </w:rPr>
        <w:t>采用88kW推土机集料及装车，配5t自卸汽车运输出渣至弃渣场。</w:t>
      </w:r>
    </w:p>
    <w:p w14:paraId="52CE27A4">
      <w:pPr>
        <w:snapToGrid w:val="0"/>
        <w:spacing w:line="440" w:lineRule="exact"/>
        <w:ind w:firstLine="482"/>
        <w:rPr>
          <w:rFonts w:hint="eastAsia" w:ascii="宋体" w:hAnsi="宋体" w:cs="宋体"/>
          <w:b/>
          <w:bCs/>
          <w:sz w:val="26"/>
          <w:lang w:val="en-US" w:eastAsia="zh-CN"/>
        </w:rPr>
      </w:pPr>
      <w:r>
        <w:rPr>
          <w:rFonts w:hint="eastAsia" w:ascii="宋体" w:hAnsi="宋体" w:cs="宋体"/>
          <w:b/>
          <w:bCs/>
          <w:sz w:val="26"/>
        </w:rPr>
        <w:t>⑥</w:t>
      </w:r>
      <w:r>
        <w:rPr>
          <w:rFonts w:hint="eastAsia" w:ascii="宋体" w:hAnsi="宋体" w:cs="宋体"/>
          <w:b/>
          <w:bCs/>
          <w:sz w:val="26"/>
          <w:lang w:val="en-US" w:eastAsia="zh-CN"/>
        </w:rPr>
        <w:t xml:space="preserve"> 固结灌浆</w:t>
      </w:r>
    </w:p>
    <w:p w14:paraId="0EB414C0">
      <w:pPr>
        <w:spacing w:line="480" w:lineRule="exact"/>
        <w:ind w:firstLine="520" w:firstLineChars="200"/>
        <w:rPr>
          <w:rFonts w:hint="eastAsia" w:ascii="Arial" w:cs="Arial"/>
          <w:bCs/>
          <w:sz w:val="26"/>
          <w:szCs w:val="22"/>
          <w:lang w:eastAsia="zh-CN"/>
        </w:rPr>
      </w:pPr>
      <w:r>
        <w:rPr>
          <w:rFonts w:hint="eastAsia" w:ascii="Arial" w:cs="Arial"/>
          <w:bCs/>
          <w:sz w:val="26"/>
          <w:szCs w:val="22"/>
          <w:lang w:eastAsia="zh-CN"/>
        </w:rPr>
        <w:t>河床基础开挖后及时对边坡进行加固，固结灌浆施工的程序为定孔→钻孔→冲洗→灌浆→封孔。钻孔采用气腿式风钻造孔，水泥浆主要由系统灰浆搅拌机生产，水平运输由3m</w:t>
      </w:r>
      <w:r>
        <w:rPr>
          <w:rFonts w:hint="eastAsia" w:ascii="Arial" w:cs="Arial"/>
          <w:bCs/>
          <w:sz w:val="26"/>
          <w:szCs w:val="22"/>
          <w:vertAlign w:val="superscript"/>
          <w:lang w:eastAsia="zh-CN"/>
        </w:rPr>
        <w:t>3</w:t>
      </w:r>
      <w:r>
        <w:rPr>
          <w:rFonts w:hint="eastAsia" w:ascii="Arial" w:cs="Arial"/>
          <w:bCs/>
          <w:sz w:val="26"/>
          <w:szCs w:val="22"/>
          <w:lang w:eastAsia="zh-CN"/>
        </w:rPr>
        <w:t>混凝土搅拌车运输完成，采用塔式吊车垂直或水平运输至作业点，5t汽车起重机配合，中低压灌浆泵结合30kW单级单吸离心水泵进行灌浆。</w:t>
      </w:r>
    </w:p>
    <w:p w14:paraId="4054A1FC">
      <w:pPr>
        <w:snapToGrid w:val="0"/>
        <w:spacing w:line="440" w:lineRule="exact"/>
        <w:ind w:firstLine="482"/>
        <w:rPr>
          <w:rFonts w:hint="default" w:ascii="宋体" w:hAnsi="宋体" w:cs="宋体"/>
          <w:b/>
          <w:bCs/>
          <w:sz w:val="26"/>
          <w:lang w:val="en-US" w:eastAsia="zh-CN"/>
        </w:rPr>
      </w:pPr>
      <w:r>
        <w:rPr>
          <w:rFonts w:hint="eastAsia" w:ascii="宋体" w:hAnsi="宋体" w:cs="宋体"/>
          <w:b/>
          <w:bCs/>
          <w:sz w:val="26"/>
          <w:lang w:eastAsia="zh-CN"/>
        </w:rPr>
        <w:t>⑦</w:t>
      </w:r>
      <w:r>
        <w:rPr>
          <w:rFonts w:hint="eastAsia" w:ascii="宋体" w:hAnsi="宋体" w:cs="宋体"/>
          <w:b/>
          <w:bCs/>
          <w:sz w:val="26"/>
          <w:lang w:val="en-US" w:eastAsia="zh-CN"/>
        </w:rPr>
        <w:t xml:space="preserve"> 大坝埋石混凝土浇筑</w:t>
      </w:r>
    </w:p>
    <w:p w14:paraId="543A0691">
      <w:pPr>
        <w:autoSpaceDE w:val="0"/>
        <w:autoSpaceDN w:val="0"/>
        <w:spacing w:line="440" w:lineRule="exact"/>
        <w:ind w:firstLine="482"/>
        <w:jc w:val="both"/>
        <w:rPr>
          <w:rFonts w:hint="eastAsia" w:ascii="Arial" w:cs="Arial"/>
          <w:bCs/>
          <w:sz w:val="26"/>
        </w:rPr>
      </w:pPr>
      <w:r>
        <w:rPr>
          <w:rFonts w:hint="eastAsia" w:ascii="Arial" w:cs="Arial"/>
          <w:bCs/>
          <w:sz w:val="26"/>
          <w:lang w:eastAsia="zh-CN"/>
        </w:rPr>
        <w:t>钢筋在施工场地加工完成后，</w:t>
      </w:r>
      <w:r>
        <w:rPr>
          <w:rFonts w:hint="eastAsia" w:ascii="Arial" w:cs="Arial"/>
          <w:bCs/>
          <w:sz w:val="26"/>
        </w:rPr>
        <w:t>采用5t载重汽车运至右坝肩平台，塔式起重机吊运钢筋至作业点，人工绑扎施工</w:t>
      </w:r>
      <w:r>
        <w:rPr>
          <w:rFonts w:hint="eastAsia" w:ascii="Arial" w:cs="Arial"/>
          <w:bCs/>
          <w:sz w:val="26"/>
          <w:lang w:eastAsia="zh-CN"/>
        </w:rPr>
        <w:t>，并铺装模板、块石后，逐层进行大坝浇筑。单次浇筑达到设计厚度后，再铺装模板、块石后，进行下一层浇筑，如此循序推进，直至大坝设计高度。</w:t>
      </w:r>
      <w:r>
        <w:rPr>
          <w:rFonts w:hint="eastAsia" w:ascii="Arial" w:cs="Arial"/>
          <w:bCs/>
          <w:sz w:val="26"/>
        </w:rPr>
        <w:t>混凝土主要由</w:t>
      </w:r>
      <w:r>
        <w:rPr>
          <w:rFonts w:hint="eastAsia" w:ascii="Arial" w:cs="Arial"/>
          <w:bCs/>
          <w:sz w:val="26"/>
          <w:lang w:eastAsia="zh-CN"/>
        </w:rPr>
        <w:t>施工场地内</w:t>
      </w:r>
      <w:r>
        <w:rPr>
          <w:rFonts w:hint="eastAsia" w:ascii="Arial" w:cs="Arial"/>
          <w:bCs/>
          <w:sz w:val="26"/>
        </w:rPr>
        <w:t>0.</w:t>
      </w:r>
      <w:r>
        <w:rPr>
          <w:rFonts w:hint="eastAsia" w:ascii="Arial" w:cs="Arial"/>
          <w:bCs/>
          <w:sz w:val="26"/>
          <w:lang w:val="en-US" w:eastAsia="zh-CN"/>
        </w:rPr>
        <w:t>4</w:t>
      </w:r>
      <w:r>
        <w:rPr>
          <w:rFonts w:hint="eastAsia" w:ascii="Arial" w:cs="Arial"/>
          <w:bCs/>
          <w:sz w:val="26"/>
        </w:rPr>
        <w:t>m</w:t>
      </w:r>
      <w:r>
        <w:rPr>
          <w:rFonts w:hint="eastAsia" w:ascii="Arial" w:cs="Arial"/>
          <w:bCs/>
          <w:sz w:val="26"/>
          <w:vertAlign w:val="superscript"/>
        </w:rPr>
        <w:t>3</w:t>
      </w:r>
      <w:r>
        <w:rPr>
          <w:rFonts w:hint="eastAsia" w:ascii="Arial" w:cs="Arial"/>
          <w:bCs/>
          <w:sz w:val="26"/>
        </w:rPr>
        <w:t>混凝土搅拌机生产混凝土，混凝土水平运输由3m</w:t>
      </w:r>
      <w:r>
        <w:rPr>
          <w:rFonts w:hint="eastAsia" w:ascii="Arial" w:cs="Arial"/>
          <w:bCs/>
          <w:sz w:val="26"/>
          <w:vertAlign w:val="superscript"/>
        </w:rPr>
        <w:t>3</w:t>
      </w:r>
      <w:r>
        <w:rPr>
          <w:rFonts w:hint="eastAsia" w:ascii="Arial" w:cs="Arial"/>
          <w:bCs/>
          <w:sz w:val="26"/>
        </w:rPr>
        <w:t>混凝土搅拌车运输完成，采用塔式吊车垂直或水平运输至作业点，8t汽车起重机配合，30m</w:t>
      </w:r>
      <w:r>
        <w:rPr>
          <w:rFonts w:hint="eastAsia" w:ascii="Arial" w:cs="Arial"/>
          <w:bCs/>
          <w:sz w:val="26"/>
          <w:vertAlign w:val="superscript"/>
          <w:lang w:val="en-US" w:eastAsia="zh-CN"/>
        </w:rPr>
        <w:t>3</w:t>
      </w:r>
      <w:r>
        <w:rPr>
          <w:rFonts w:hint="eastAsia" w:ascii="Arial" w:cs="Arial"/>
          <w:bCs/>
          <w:sz w:val="26"/>
        </w:rPr>
        <w:t>/h泵送混凝入仓，采用2.2kW插入式振捣器振捣。</w:t>
      </w:r>
    </w:p>
    <w:p w14:paraId="61312F0F">
      <w:pPr>
        <w:autoSpaceDE w:val="0"/>
        <w:autoSpaceDN w:val="0"/>
        <w:spacing w:line="440" w:lineRule="exact"/>
        <w:ind w:firstLine="482"/>
        <w:jc w:val="both"/>
        <w:rPr>
          <w:rFonts w:hint="eastAsia" w:ascii="Arial" w:cs="Arial"/>
          <w:bCs/>
          <w:sz w:val="26"/>
          <w:lang w:eastAsia="zh-CN"/>
        </w:rPr>
      </w:pPr>
      <w:r>
        <w:rPr>
          <w:rFonts w:hint="eastAsia" w:ascii="Arial" w:cs="Arial"/>
          <w:bCs/>
          <w:sz w:val="26"/>
          <w:lang w:eastAsia="zh-CN"/>
        </w:rPr>
        <w:t>混凝土的运输速度应保证浇筑的连续性，混凝土在运输过程中应避免遗撒。施工采用分仓、薄层、短间歇均匀连续浇筑。在浇筑过程中浇筑点应均匀布置于整个仓面，其间距不得超过3m；必须在浇筑点的混凝土填满后方可移至下一浇筑点浇筑，浇筑顺序应做到单向顺序，不可在仓面上往复浇筑。除表层高自密实性能混凝土外，每一仓的浇筑顶面应留有块石棱角，块石棱角的高度高于高自密实性能混凝土顶面约5cm</w:t>
      </w:r>
      <w:r>
        <w:rPr>
          <w:rFonts w:hint="eastAsia" w:ascii="Arial" w:cs="Arial"/>
          <w:bCs/>
          <w:sz w:val="26"/>
          <w:lang w:val="en-US" w:eastAsia="zh-CN"/>
        </w:rPr>
        <w:t>~</w:t>
      </w:r>
      <w:r>
        <w:rPr>
          <w:rFonts w:hint="eastAsia" w:ascii="Arial" w:cs="Arial"/>
          <w:bCs/>
          <w:sz w:val="26"/>
          <w:lang w:eastAsia="zh-CN"/>
        </w:rPr>
        <w:t>15cm，以便于下一仓的粘结。在浇筑过程中出现的泌水必须及时排除。溢流面、消力池等需采用抗冲耐磨外加剂；坝体上游面及坝基需采用抗渗剂。</w:t>
      </w:r>
    </w:p>
    <w:p w14:paraId="687A2D8C">
      <w:pPr>
        <w:snapToGrid w:val="0"/>
        <w:spacing w:line="440" w:lineRule="exact"/>
        <w:ind w:firstLine="482"/>
        <w:jc w:val="both"/>
        <w:rPr>
          <w:rFonts w:hint="eastAsia" w:ascii="宋体" w:hAnsi="宋体" w:cs="宋体"/>
          <w:b/>
          <w:bCs/>
          <w:sz w:val="26"/>
          <w:lang w:val="en-US" w:eastAsia="zh-CN"/>
        </w:rPr>
      </w:pPr>
      <w:r>
        <w:rPr>
          <w:rFonts w:hint="eastAsia" w:ascii="宋体" w:hAnsi="宋体" w:cs="宋体"/>
          <w:b/>
          <w:bCs/>
          <w:sz w:val="26"/>
          <w:lang w:eastAsia="zh-CN"/>
        </w:rPr>
        <w:t>⑧</w:t>
      </w:r>
      <w:r>
        <w:rPr>
          <w:rFonts w:hint="eastAsia" w:ascii="宋体" w:hAnsi="宋体" w:cs="宋体"/>
          <w:b/>
          <w:bCs/>
          <w:sz w:val="26"/>
          <w:lang w:val="en-US" w:eastAsia="zh-CN"/>
        </w:rPr>
        <w:t xml:space="preserve"> 帷幕灌浆</w:t>
      </w:r>
    </w:p>
    <w:p w14:paraId="77E68B21">
      <w:pPr>
        <w:autoSpaceDE w:val="0"/>
        <w:autoSpaceDN w:val="0"/>
        <w:spacing w:line="440" w:lineRule="exact"/>
        <w:ind w:firstLine="482"/>
        <w:jc w:val="both"/>
        <w:rPr>
          <w:rFonts w:hint="eastAsia" w:ascii="Arial" w:cs="Arial"/>
          <w:bCs/>
          <w:sz w:val="26"/>
        </w:rPr>
      </w:pPr>
      <w:r>
        <w:rPr>
          <w:rFonts w:hint="eastAsia" w:ascii="Arial" w:cs="Arial"/>
          <w:bCs/>
          <w:sz w:val="26"/>
        </w:rPr>
        <w:t>为增强坝基防渗能力，大坝帷幕灌浆采用预埋铁管法，水泥浆主要由系统灰浆搅拌机生产，水平运输由3m</w:t>
      </w:r>
      <w:r>
        <w:rPr>
          <w:rFonts w:hint="eastAsia" w:ascii="Arial" w:cs="Arial"/>
          <w:bCs/>
          <w:sz w:val="26"/>
          <w:vertAlign w:val="superscript"/>
        </w:rPr>
        <w:t>3</w:t>
      </w:r>
      <w:r>
        <w:rPr>
          <w:rFonts w:hint="eastAsia" w:ascii="Arial" w:cs="Arial"/>
          <w:bCs/>
          <w:sz w:val="26"/>
        </w:rPr>
        <w:t>混凝土搅拌车运输完成，采用塔式吊车垂直或水平运输至作业点，5t汽车起重机配合，中低压灌浆泵结合30kW单级单吸离心水泵进行灌浆。</w:t>
      </w:r>
    </w:p>
    <w:p w14:paraId="1FB24615">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cs="Arial"/>
          <w:bCs/>
          <w:color w:val="auto"/>
          <w:sz w:val="26"/>
          <w:szCs w:val="22"/>
        </w:rPr>
      </w:pPr>
      <w:r>
        <w:rPr>
          <w:rFonts w:hint="eastAsia" w:ascii="Arial" w:cs="Arial"/>
          <w:b/>
          <w:color w:val="auto"/>
          <w:sz w:val="26"/>
          <w:szCs w:val="26"/>
          <w:lang w:eastAsia="zh-CN"/>
        </w:rPr>
        <w:t>（</w:t>
      </w:r>
      <w:r>
        <w:rPr>
          <w:rFonts w:hint="eastAsia" w:ascii="Arial" w:cs="Arial"/>
          <w:b/>
          <w:color w:val="auto"/>
          <w:sz w:val="26"/>
          <w:szCs w:val="26"/>
          <w:lang w:val="en-US" w:eastAsia="zh-CN"/>
        </w:rPr>
        <w:t>2）输水工程</w:t>
      </w:r>
    </w:p>
    <w:p w14:paraId="2BA485F7">
      <w:pPr>
        <w:keepNext w:val="0"/>
        <w:keepLines w:val="0"/>
        <w:pageBreakBefore w:val="0"/>
        <w:widowControl w:val="0"/>
        <w:kinsoku/>
        <w:wordWrap/>
        <w:overflowPunct/>
        <w:topLinePunct w:val="0"/>
        <w:autoSpaceDE w:val="0"/>
        <w:autoSpaceDN w:val="0"/>
        <w:bidi w:val="0"/>
        <w:adjustRightInd/>
        <w:snapToGrid/>
        <w:spacing w:line="460" w:lineRule="exact"/>
        <w:ind w:firstLine="482"/>
        <w:jc w:val="both"/>
        <w:textAlignment w:val="auto"/>
        <w:rPr>
          <w:rFonts w:hint="eastAsia" w:ascii="Arial" w:cs="Arial"/>
          <w:bCs/>
          <w:sz w:val="26"/>
          <w:lang w:eastAsia="zh-CN"/>
        </w:rPr>
      </w:pPr>
      <w:r>
        <w:rPr>
          <w:rFonts w:hint="eastAsia" w:ascii="Arial" w:cs="Arial"/>
          <w:bCs/>
          <w:sz w:val="26"/>
          <w:lang w:eastAsia="zh-CN"/>
        </w:rPr>
        <w:t>管道段施工工序：基槽开挖→镇墩砼施工→铺设管道→压水试验→土石回填。</w:t>
      </w:r>
    </w:p>
    <w:p w14:paraId="4727958F">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ascii="Arial" w:cs="Arial"/>
          <w:bCs/>
          <w:sz w:val="26"/>
        </w:rPr>
      </w:pPr>
      <w:r>
        <w:rPr>
          <w:rFonts w:hint="eastAsia" w:ascii="宋体" w:hAnsi="宋体" w:cs="宋体"/>
          <w:b/>
          <w:bCs/>
          <w:sz w:val="26"/>
        </w:rPr>
        <w:t>①</w:t>
      </w:r>
      <w:r>
        <w:rPr>
          <w:rFonts w:ascii="Arial" w:hAnsi="Arial" w:cs="Arial"/>
          <w:b/>
          <w:bCs/>
          <w:sz w:val="26"/>
        </w:rPr>
        <w:t xml:space="preserve"> </w:t>
      </w:r>
      <w:r>
        <w:rPr>
          <w:rFonts w:hint="eastAsia" w:ascii="Arial" w:hAnsi="Arial" w:cs="Arial"/>
          <w:b/>
          <w:bCs/>
          <w:sz w:val="26"/>
        </w:rPr>
        <w:t>管槽开挖</w:t>
      </w:r>
    </w:p>
    <w:p w14:paraId="1496CC49">
      <w:pPr>
        <w:keepNext w:val="0"/>
        <w:keepLines w:val="0"/>
        <w:pageBreakBefore w:val="0"/>
        <w:widowControl w:val="0"/>
        <w:kinsoku/>
        <w:wordWrap/>
        <w:overflowPunct/>
        <w:topLinePunct w:val="0"/>
        <w:autoSpaceDE w:val="0"/>
        <w:autoSpaceDN w:val="0"/>
        <w:bidi w:val="0"/>
        <w:adjustRightInd/>
        <w:snapToGrid/>
        <w:spacing w:line="460" w:lineRule="exact"/>
        <w:ind w:firstLine="482"/>
        <w:textAlignment w:val="auto"/>
        <w:rPr>
          <w:rFonts w:hint="eastAsia" w:ascii="Arial" w:cs="Arial"/>
          <w:bCs/>
          <w:color w:val="auto"/>
          <w:sz w:val="26"/>
        </w:rPr>
      </w:pPr>
      <w:r>
        <w:rPr>
          <w:rFonts w:hint="eastAsia" w:ascii="Arial" w:cs="Arial"/>
          <w:bCs/>
          <w:color w:val="auto"/>
          <w:sz w:val="26"/>
        </w:rPr>
        <w:t>土方开挖采用人工与机械相互结合的型式</w:t>
      </w:r>
      <w:r>
        <w:rPr>
          <w:rFonts w:hint="eastAsia" w:ascii="Arial" w:cs="Arial"/>
          <w:bCs/>
          <w:color w:val="auto"/>
          <w:sz w:val="26"/>
          <w:lang w:eastAsia="zh-CN"/>
        </w:rPr>
        <w:t>，</w:t>
      </w:r>
      <w:r>
        <w:rPr>
          <w:rFonts w:hint="eastAsia" w:ascii="Arial" w:cs="Arial"/>
          <w:bCs/>
          <w:color w:val="auto"/>
          <w:sz w:val="26"/>
        </w:rPr>
        <w:t>机械开挖采用1.0m</w:t>
      </w:r>
      <w:r>
        <w:rPr>
          <w:rFonts w:hint="eastAsia" w:ascii="Arial" w:cs="Arial"/>
          <w:bCs/>
          <w:color w:val="auto"/>
          <w:sz w:val="26"/>
          <w:vertAlign w:val="superscript"/>
        </w:rPr>
        <w:t>3</w:t>
      </w:r>
      <w:r>
        <w:rPr>
          <w:rFonts w:hint="eastAsia" w:ascii="Arial" w:cs="Arial"/>
          <w:bCs/>
          <w:color w:val="auto"/>
          <w:sz w:val="26"/>
        </w:rPr>
        <w:t>单斗挖掘机开挖，55kW推土机集料及装车，人工配合</w:t>
      </w:r>
      <w:r>
        <w:rPr>
          <w:rFonts w:hint="eastAsia" w:ascii="Arial" w:cs="Arial"/>
          <w:bCs/>
          <w:color w:val="auto"/>
          <w:sz w:val="26"/>
          <w:lang w:eastAsia="zh-CN"/>
        </w:rPr>
        <w:t>推土机</w:t>
      </w:r>
      <w:r>
        <w:rPr>
          <w:rFonts w:hint="eastAsia" w:ascii="Arial" w:cs="Arial"/>
          <w:bCs/>
          <w:color w:val="auto"/>
          <w:sz w:val="26"/>
        </w:rPr>
        <w:t>集渣并清理工作面</w:t>
      </w:r>
      <w:r>
        <w:rPr>
          <w:rFonts w:hint="eastAsia" w:ascii="Arial" w:cs="Arial"/>
          <w:bCs/>
          <w:color w:val="auto"/>
          <w:sz w:val="26"/>
          <w:lang w:eastAsia="zh-CN"/>
        </w:rPr>
        <w:t>；</w:t>
      </w:r>
      <w:r>
        <w:rPr>
          <w:rFonts w:hint="eastAsia" w:ascii="Arial" w:cs="Arial"/>
          <w:bCs/>
          <w:color w:val="auto"/>
          <w:sz w:val="26"/>
        </w:rPr>
        <w:t>对于量小且分散的基础开挖和槽挖可直接采用风镐清理或人工进行清挖。石方开挖采取自上而下分台阶、分梯段进行开挖，采用1.0m</w:t>
      </w:r>
      <w:r>
        <w:rPr>
          <w:rFonts w:hint="eastAsia" w:ascii="Arial" w:cs="Arial"/>
          <w:bCs/>
          <w:color w:val="auto"/>
          <w:sz w:val="26"/>
          <w:vertAlign w:val="superscript"/>
        </w:rPr>
        <w:t>3</w:t>
      </w:r>
      <w:r>
        <w:rPr>
          <w:rFonts w:hint="eastAsia" w:ascii="Arial" w:cs="Arial"/>
          <w:bCs/>
          <w:color w:val="auto"/>
          <w:sz w:val="26"/>
        </w:rPr>
        <w:t>单斗挖掘机配破碎锤为主，辅以人工处理进行挖掘。渣料</w:t>
      </w:r>
      <w:r>
        <w:rPr>
          <w:rFonts w:hint="eastAsia" w:ascii="Arial" w:cs="Arial"/>
          <w:bCs/>
          <w:color w:val="auto"/>
          <w:sz w:val="26"/>
          <w:lang w:eastAsia="zh-CN"/>
        </w:rPr>
        <w:t>采用</w:t>
      </w:r>
      <w:r>
        <w:rPr>
          <w:rFonts w:hint="eastAsia" w:ascii="Arial" w:cs="Arial"/>
          <w:bCs/>
          <w:color w:val="auto"/>
          <w:sz w:val="26"/>
        </w:rPr>
        <w:t>55kW推土机集料及装车，配5t自卸汽车运输出渣至弃渣场。</w:t>
      </w:r>
    </w:p>
    <w:p w14:paraId="4FEB29E3">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hint="eastAsia" w:ascii="Arial" w:eastAsia="宋体" w:cs="Arial"/>
          <w:bCs/>
          <w:sz w:val="26"/>
          <w:lang w:eastAsia="zh-CN"/>
        </w:rPr>
      </w:pPr>
      <w:r>
        <w:rPr>
          <w:rFonts w:hint="eastAsia" w:ascii="宋体" w:hAnsi="宋体" w:cs="宋体"/>
          <w:b/>
          <w:bCs/>
          <w:sz w:val="26"/>
        </w:rPr>
        <w:t>②</w:t>
      </w:r>
      <w:r>
        <w:rPr>
          <w:rFonts w:ascii="Arial" w:hAnsi="Arial" w:cs="Arial"/>
          <w:b/>
          <w:bCs/>
          <w:sz w:val="26"/>
        </w:rPr>
        <w:t xml:space="preserve"> </w:t>
      </w:r>
      <w:r>
        <w:rPr>
          <w:rFonts w:hint="eastAsia" w:ascii="Arial" w:hAnsi="Arial" w:cs="Arial"/>
          <w:b/>
          <w:bCs/>
          <w:sz w:val="26"/>
          <w:lang w:eastAsia="zh-CN"/>
        </w:rPr>
        <w:t>镇墩砼施工</w:t>
      </w:r>
    </w:p>
    <w:p w14:paraId="589D10DC">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ascii="Arial" w:cs="Arial"/>
          <w:bCs/>
          <w:sz w:val="26"/>
        </w:rPr>
      </w:pPr>
      <w:r>
        <w:rPr>
          <w:rFonts w:hint="eastAsia" w:ascii="Arial" w:cs="Arial"/>
          <w:bCs/>
          <w:sz w:val="26"/>
        </w:rPr>
        <w:t>本工程管线较长，因镇支墩砼非常分散，混凝土采用移动式230型0.16m</w:t>
      </w:r>
      <w:r>
        <w:rPr>
          <w:rFonts w:hint="eastAsia" w:ascii="Arial" w:cs="Arial"/>
          <w:bCs/>
          <w:sz w:val="26"/>
          <w:vertAlign w:val="superscript"/>
        </w:rPr>
        <w:t>3</w:t>
      </w:r>
      <w:r>
        <w:rPr>
          <w:rFonts w:hint="eastAsia" w:ascii="Arial" w:cs="Arial"/>
          <w:bCs/>
          <w:sz w:val="26"/>
        </w:rPr>
        <w:t>移动性小型搅拌机制料，人工胶轮车运输，溜槽直接入仓，插入式振捣器振捣</w:t>
      </w:r>
      <w:r>
        <w:rPr>
          <w:rFonts w:hint="eastAsia" w:ascii="Arial" w:cs="Arial"/>
          <w:bCs/>
          <w:sz w:val="26"/>
          <w:lang w:eastAsia="zh-CN"/>
        </w:rPr>
        <w:t>。</w:t>
      </w:r>
      <w:r>
        <w:rPr>
          <w:rFonts w:hint="eastAsia" w:ascii="Arial" w:cs="Arial"/>
          <w:bCs/>
          <w:sz w:val="26"/>
        </w:rPr>
        <w:t>人工推手推车水平运输，场内运距</w:t>
      </w:r>
      <w:r>
        <w:rPr>
          <w:rFonts w:ascii="Arial" w:cs="Arial"/>
          <w:bCs/>
          <w:sz w:val="26"/>
        </w:rPr>
        <w:t>50m</w:t>
      </w:r>
      <w:r>
        <w:rPr>
          <w:rFonts w:hint="eastAsia" w:ascii="Arial" w:cs="Arial"/>
          <w:bCs/>
          <w:sz w:val="26"/>
        </w:rPr>
        <w:t>，采用</w:t>
      </w:r>
      <w:r>
        <w:rPr>
          <w:rFonts w:ascii="Arial" w:cs="Arial"/>
          <w:bCs/>
          <w:sz w:val="26"/>
        </w:rPr>
        <w:t>6t</w:t>
      </w:r>
      <w:r>
        <w:rPr>
          <w:rFonts w:hint="eastAsia" w:ascii="Arial" w:cs="Arial"/>
          <w:bCs/>
          <w:sz w:val="26"/>
        </w:rPr>
        <w:t>塔吊或卷扬机井架作垂直运输，下部砼通过溜槽入仓，上部砼人工挑抬入仓，组合钢模配部分木模浇筑，</w:t>
      </w:r>
      <w:r>
        <w:rPr>
          <w:rFonts w:ascii="Arial" w:cs="Arial"/>
          <w:bCs/>
          <w:sz w:val="26"/>
        </w:rPr>
        <w:t>2.2</w:t>
      </w:r>
      <w:r>
        <w:rPr>
          <w:rFonts w:hint="eastAsia" w:ascii="Arial" w:cs="Arial"/>
          <w:bCs/>
          <w:sz w:val="26"/>
        </w:rPr>
        <w:t>KW插入式振捣器振捣。</w:t>
      </w:r>
    </w:p>
    <w:p w14:paraId="78EB2D3C">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ascii="Arial" w:cs="Arial"/>
          <w:bCs/>
          <w:sz w:val="26"/>
        </w:rPr>
      </w:pPr>
      <w:r>
        <w:rPr>
          <w:rFonts w:hint="eastAsia" w:ascii="宋体" w:hAnsi="宋体" w:cs="宋体"/>
          <w:b/>
          <w:bCs/>
          <w:sz w:val="26"/>
        </w:rPr>
        <w:t>③</w:t>
      </w:r>
      <w:r>
        <w:rPr>
          <w:rFonts w:ascii="Arial" w:hAnsi="Arial" w:cs="Arial"/>
          <w:b/>
          <w:bCs/>
          <w:sz w:val="26"/>
        </w:rPr>
        <w:t xml:space="preserve"> </w:t>
      </w:r>
      <w:r>
        <w:rPr>
          <w:rFonts w:hint="eastAsia" w:ascii="Arial" w:hAnsi="Arial" w:cs="Arial"/>
          <w:b/>
          <w:bCs/>
          <w:sz w:val="26"/>
        </w:rPr>
        <w:t>钢管安装</w:t>
      </w:r>
    </w:p>
    <w:p w14:paraId="1C00AEDE">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ascii="Arial" w:cs="Arial"/>
          <w:bCs/>
          <w:sz w:val="26"/>
        </w:rPr>
      </w:pPr>
      <w:r>
        <w:rPr>
          <w:rFonts w:hint="eastAsia" w:ascii="Arial" w:cs="Arial"/>
          <w:bCs/>
          <w:sz w:val="26"/>
        </w:rPr>
        <w:t>管材采用5T自卸汽车运输至管道沿线，单管长度一般为3.0m，采用简易扒杆吊装辅卷扬机和千斤顶牵引就位，管道连接采用套袖接头电熔连接。无公路覆盖区域自卸汽车运至管线附近后由人工抬运短钢管至现场，由葫芦吊和千斤顶牵引就位，管道连接采用套袖接头电熔连接。</w:t>
      </w:r>
    </w:p>
    <w:p w14:paraId="735E2D01">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hint="eastAsia" w:ascii="Arial" w:cs="Arial"/>
          <w:bCs/>
          <w:sz w:val="26"/>
        </w:rPr>
      </w:pPr>
      <w:r>
        <w:rPr>
          <w:rFonts w:hint="eastAsia" w:ascii="Arial" w:cs="Arial"/>
          <w:bCs/>
          <w:sz w:val="26"/>
        </w:rPr>
        <w:t>安装程序：安装准备</w:t>
      </w:r>
      <w:r>
        <w:rPr>
          <w:rFonts w:ascii="Arial" w:cs="Arial"/>
          <w:bCs/>
          <w:sz w:val="26"/>
        </w:rPr>
        <w:t>→</w:t>
      </w:r>
      <w:r>
        <w:rPr>
          <w:rFonts w:hint="eastAsia" w:ascii="Arial" w:cs="Arial"/>
          <w:bCs/>
          <w:sz w:val="26"/>
        </w:rPr>
        <w:t>吊线就位</w:t>
      </w:r>
      <w:r>
        <w:rPr>
          <w:rFonts w:ascii="Arial" w:cs="Arial"/>
          <w:bCs/>
          <w:sz w:val="26"/>
        </w:rPr>
        <w:t>→</w:t>
      </w:r>
      <w:r>
        <w:rPr>
          <w:rFonts w:hint="eastAsia" w:ascii="Arial" w:cs="Arial"/>
          <w:bCs/>
          <w:sz w:val="26"/>
        </w:rPr>
        <w:t>管节对装</w:t>
      </w:r>
      <w:r>
        <w:rPr>
          <w:rFonts w:ascii="Arial" w:cs="Arial"/>
          <w:bCs/>
          <w:sz w:val="26"/>
        </w:rPr>
        <w:t>→</w:t>
      </w:r>
      <w:r>
        <w:rPr>
          <w:rFonts w:hint="eastAsia" w:ascii="Arial" w:cs="Arial"/>
          <w:bCs/>
          <w:sz w:val="26"/>
        </w:rPr>
        <w:t>环缝焊接</w:t>
      </w:r>
      <w:r>
        <w:rPr>
          <w:rFonts w:ascii="Arial" w:cs="Arial"/>
          <w:bCs/>
          <w:sz w:val="26"/>
        </w:rPr>
        <w:t>→</w:t>
      </w:r>
      <w:r>
        <w:rPr>
          <w:rFonts w:hint="eastAsia" w:ascii="Arial" w:cs="Arial"/>
          <w:bCs/>
          <w:sz w:val="26"/>
        </w:rPr>
        <w:t>探伤检查</w:t>
      </w:r>
      <w:r>
        <w:rPr>
          <w:rFonts w:ascii="Arial" w:cs="Arial"/>
          <w:bCs/>
          <w:sz w:val="26"/>
        </w:rPr>
        <w:t>→</w:t>
      </w:r>
      <w:r>
        <w:rPr>
          <w:rFonts w:hint="eastAsia" w:ascii="Arial" w:cs="Arial"/>
          <w:bCs/>
          <w:sz w:val="26"/>
        </w:rPr>
        <w:t>加固、清扫</w:t>
      </w:r>
      <w:r>
        <w:rPr>
          <w:rFonts w:ascii="Arial" w:cs="Arial"/>
          <w:bCs/>
          <w:sz w:val="26"/>
        </w:rPr>
        <w:t>→</w:t>
      </w:r>
      <w:r>
        <w:rPr>
          <w:rFonts w:hint="eastAsia" w:ascii="Arial" w:cs="Arial"/>
          <w:bCs/>
          <w:sz w:val="26"/>
        </w:rPr>
        <w:t>分段中间验收</w:t>
      </w:r>
      <w:r>
        <w:rPr>
          <w:rFonts w:ascii="Arial" w:cs="Arial"/>
          <w:bCs/>
          <w:sz w:val="26"/>
        </w:rPr>
        <w:t>→</w:t>
      </w:r>
      <w:r>
        <w:rPr>
          <w:rFonts w:hint="eastAsia" w:ascii="Arial" w:cs="Arial"/>
          <w:bCs/>
          <w:sz w:val="26"/>
        </w:rPr>
        <w:t>油漆扫尾。</w:t>
      </w:r>
    </w:p>
    <w:p w14:paraId="05DF1F94">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ascii="Arial" w:cs="Arial"/>
          <w:bCs/>
          <w:sz w:val="26"/>
        </w:rPr>
      </w:pPr>
      <w:r>
        <w:rPr>
          <w:rFonts w:hint="eastAsia" w:ascii="宋体" w:hAnsi="宋体" w:cs="宋体"/>
          <w:b/>
          <w:bCs/>
          <w:sz w:val="26"/>
        </w:rPr>
        <w:t>④</w:t>
      </w:r>
      <w:r>
        <w:rPr>
          <w:rFonts w:ascii="Arial" w:hAnsi="Arial" w:cs="Arial"/>
          <w:b/>
          <w:bCs/>
          <w:sz w:val="26"/>
        </w:rPr>
        <w:t xml:space="preserve"> </w:t>
      </w:r>
      <w:r>
        <w:rPr>
          <w:rFonts w:hint="eastAsia" w:ascii="Arial" w:hAnsi="Arial" w:cs="Arial"/>
          <w:b/>
          <w:bCs/>
          <w:sz w:val="26"/>
        </w:rPr>
        <w:t>PE管道安装</w:t>
      </w:r>
    </w:p>
    <w:p w14:paraId="677905C7">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hint="eastAsia" w:ascii="Arial" w:cs="Arial"/>
          <w:bCs/>
          <w:sz w:val="26"/>
        </w:rPr>
      </w:pPr>
      <w:r>
        <w:rPr>
          <w:rFonts w:hint="eastAsia" w:ascii="Arial" w:cs="Arial"/>
          <w:bCs/>
          <w:sz w:val="26"/>
        </w:rPr>
        <w:t>本工程</w:t>
      </w:r>
      <w:r>
        <w:rPr>
          <w:rFonts w:ascii="Arial" w:cs="Arial"/>
          <w:bCs/>
          <w:sz w:val="26"/>
        </w:rPr>
        <w:t>PE</w:t>
      </w:r>
      <w:r>
        <w:rPr>
          <w:rFonts w:hint="eastAsia" w:ascii="Arial" w:cs="Arial"/>
          <w:bCs/>
          <w:sz w:val="26"/>
        </w:rPr>
        <w:t>管在有公路覆盖的管线附近由自卸汽车运至安装场附近，无公路覆盖区域自卸汽车运至管线附近后由人工抬运至现场。</w:t>
      </w:r>
      <w:r>
        <w:rPr>
          <w:rFonts w:ascii="Arial" w:cs="Arial"/>
          <w:bCs/>
          <w:sz w:val="26"/>
        </w:rPr>
        <w:t>PE</w:t>
      </w:r>
      <w:r>
        <w:rPr>
          <w:rFonts w:hint="eastAsia" w:ascii="Arial" w:cs="Arial"/>
          <w:bCs/>
          <w:sz w:val="26"/>
        </w:rPr>
        <w:t>压力管道主要采用热熔连接，当不便于采用热熔方式连接时，也可采用法兰连接。法兰连接时，螺栓应均匀拧紧，待八小时之后，再重新紧固。</w:t>
      </w:r>
    </w:p>
    <w:p w14:paraId="6ED66ACE">
      <w:pPr>
        <w:keepNext w:val="0"/>
        <w:keepLines w:val="0"/>
        <w:pageBreakBefore w:val="0"/>
        <w:widowControl w:val="0"/>
        <w:kinsoku/>
        <w:wordWrap/>
        <w:overflowPunct/>
        <w:topLinePunct w:val="0"/>
        <w:autoSpaceDE w:val="0"/>
        <w:autoSpaceDN w:val="0"/>
        <w:bidi w:val="0"/>
        <w:adjustRightInd/>
        <w:snapToGrid/>
        <w:spacing w:line="460" w:lineRule="exact"/>
        <w:ind w:firstLine="482"/>
        <w:jc w:val="left"/>
        <w:textAlignment w:val="auto"/>
        <w:rPr>
          <w:rFonts w:ascii="Arial" w:cs="Arial"/>
          <w:bCs/>
          <w:sz w:val="26"/>
        </w:rPr>
      </w:pPr>
      <w:r>
        <w:rPr>
          <w:rFonts w:hint="eastAsia" w:ascii="宋体" w:hAnsi="宋体" w:cs="宋体"/>
          <w:b/>
          <w:bCs/>
          <w:sz w:val="26"/>
        </w:rPr>
        <w:t>⑤</w:t>
      </w:r>
      <w:r>
        <w:rPr>
          <w:rFonts w:ascii="Arial" w:hAnsi="Arial" w:cs="Arial"/>
          <w:b/>
          <w:bCs/>
          <w:sz w:val="26"/>
        </w:rPr>
        <w:t xml:space="preserve"> </w:t>
      </w:r>
      <w:r>
        <w:rPr>
          <w:rFonts w:hint="eastAsia" w:ascii="Arial" w:hAnsi="Arial" w:cs="Arial"/>
          <w:b/>
          <w:bCs/>
          <w:sz w:val="26"/>
        </w:rPr>
        <w:t>试压</w:t>
      </w:r>
    </w:p>
    <w:p w14:paraId="03DFCDA4">
      <w:pPr>
        <w:keepNext w:val="0"/>
        <w:keepLines w:val="0"/>
        <w:pageBreakBefore w:val="0"/>
        <w:widowControl w:val="0"/>
        <w:kinsoku/>
        <w:wordWrap/>
        <w:overflowPunct/>
        <w:topLinePunct w:val="0"/>
        <w:autoSpaceDE w:val="0"/>
        <w:autoSpaceDN w:val="0"/>
        <w:bidi w:val="0"/>
        <w:adjustRightInd/>
        <w:snapToGrid/>
        <w:spacing w:line="460" w:lineRule="exact"/>
        <w:ind w:firstLine="482"/>
        <w:textAlignment w:val="auto"/>
        <w:rPr>
          <w:rFonts w:ascii="Arial" w:cs="Arial"/>
          <w:bCs/>
          <w:sz w:val="26"/>
        </w:rPr>
      </w:pPr>
      <w:r>
        <w:rPr>
          <w:rFonts w:hint="eastAsia" w:ascii="Arial" w:cs="Arial"/>
          <w:bCs/>
          <w:sz w:val="26"/>
        </w:rPr>
        <w:t>管线安装完了以后，一般压力管道进行水压试验，无压管道进行闭水检验。管道试压应符合设计要求和相关标准的规定。</w:t>
      </w:r>
    </w:p>
    <w:p w14:paraId="009A5765">
      <w:pPr>
        <w:keepNext w:val="0"/>
        <w:keepLines w:val="0"/>
        <w:pageBreakBefore w:val="0"/>
        <w:widowControl w:val="0"/>
        <w:kinsoku/>
        <w:wordWrap/>
        <w:overflowPunct/>
        <w:topLinePunct w:val="0"/>
        <w:autoSpaceDE w:val="0"/>
        <w:autoSpaceDN w:val="0"/>
        <w:bidi w:val="0"/>
        <w:adjustRightInd/>
        <w:snapToGrid/>
        <w:spacing w:line="460" w:lineRule="exact"/>
        <w:ind w:firstLine="482"/>
        <w:textAlignment w:val="auto"/>
        <w:rPr>
          <w:rFonts w:ascii="Arial" w:cs="Arial"/>
          <w:bCs/>
          <w:sz w:val="26"/>
        </w:rPr>
      </w:pPr>
      <w:r>
        <w:rPr>
          <w:rFonts w:hint="eastAsia" w:ascii="宋体" w:hAnsi="宋体" w:cs="宋体"/>
          <w:b/>
          <w:bCs/>
          <w:sz w:val="26"/>
        </w:rPr>
        <w:t>⑥</w:t>
      </w:r>
      <w:r>
        <w:rPr>
          <w:rFonts w:ascii="Arial" w:hAnsi="Arial" w:cs="Arial"/>
          <w:b/>
          <w:bCs/>
          <w:sz w:val="26"/>
        </w:rPr>
        <w:t xml:space="preserve"> </w:t>
      </w:r>
      <w:r>
        <w:rPr>
          <w:rFonts w:hint="eastAsia" w:ascii="Arial" w:hAnsi="Arial" w:cs="Arial"/>
          <w:b/>
          <w:bCs/>
          <w:sz w:val="26"/>
        </w:rPr>
        <w:t>土石方回填</w:t>
      </w:r>
    </w:p>
    <w:p w14:paraId="160CECA2">
      <w:pPr>
        <w:keepNext w:val="0"/>
        <w:keepLines w:val="0"/>
        <w:pageBreakBefore w:val="0"/>
        <w:widowControl w:val="0"/>
        <w:kinsoku/>
        <w:wordWrap/>
        <w:overflowPunct/>
        <w:topLinePunct w:val="0"/>
        <w:autoSpaceDE w:val="0"/>
        <w:autoSpaceDN w:val="0"/>
        <w:bidi w:val="0"/>
        <w:adjustRightInd/>
        <w:snapToGrid/>
        <w:spacing w:line="460" w:lineRule="exact"/>
        <w:ind w:firstLine="482"/>
        <w:textAlignment w:val="auto"/>
        <w:rPr>
          <w:rFonts w:hint="eastAsia" w:ascii="Arial" w:cs="Arial"/>
          <w:bCs/>
          <w:sz w:val="26"/>
        </w:rPr>
      </w:pPr>
      <w:r>
        <w:rPr>
          <w:rFonts w:hint="eastAsia" w:ascii="Arial" w:cs="Arial"/>
          <w:bCs/>
          <w:sz w:val="26"/>
        </w:rPr>
        <w:t>回填前必须清除沟槽内的积水和有机杂物、污泥和碎石等硬物；管线沟槽回填顺序应按基底排水方向由高至低分层回填夯实，基槽回填严禁单侧回填，防止管道中线发生偏移和接头变形。回填土采用59kW推土机平料，2.8kW蛙式夯实机分层碾压密实。</w:t>
      </w:r>
    </w:p>
    <w:p w14:paraId="6E3413B6">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cs="Arial"/>
          <w:bCs/>
          <w:color w:val="auto"/>
          <w:sz w:val="26"/>
          <w:szCs w:val="22"/>
        </w:rPr>
      </w:pPr>
      <w:r>
        <w:rPr>
          <w:rFonts w:hint="eastAsia" w:ascii="Arial" w:cs="Arial"/>
          <w:b/>
          <w:color w:val="auto"/>
          <w:sz w:val="26"/>
          <w:szCs w:val="26"/>
          <w:lang w:eastAsia="zh-CN"/>
        </w:rPr>
        <w:t>（</w:t>
      </w:r>
      <w:r>
        <w:rPr>
          <w:rFonts w:hint="eastAsia" w:ascii="Arial" w:cs="Arial"/>
          <w:b/>
          <w:color w:val="auto"/>
          <w:sz w:val="26"/>
          <w:szCs w:val="26"/>
          <w:lang w:val="en-US" w:eastAsia="zh-CN"/>
        </w:rPr>
        <w:t>3）其他附属工程</w:t>
      </w:r>
    </w:p>
    <w:p w14:paraId="0508EABD">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default" w:ascii="Arial" w:hAnsi="Arial" w:cs="Arial"/>
          <w:color w:val="auto"/>
          <w:kern w:val="0"/>
          <w:sz w:val="26"/>
          <w:szCs w:val="26"/>
          <w:highlight w:val="none"/>
          <w:lang w:val="en-US" w:eastAsia="zh-CN"/>
        </w:rPr>
      </w:pPr>
      <w:r>
        <w:rPr>
          <w:rFonts w:hint="eastAsia" w:ascii="Arial" w:cs="Arial"/>
          <w:bCs/>
          <w:sz w:val="26"/>
          <w:lang w:eastAsia="zh-CN"/>
        </w:rPr>
        <w:t>其他附属工程主要为</w:t>
      </w:r>
      <w:r>
        <w:rPr>
          <w:rFonts w:hint="eastAsia" w:ascii="Arial" w:hAnsi="Arial" w:cs="Arial"/>
          <w:color w:val="auto"/>
          <w:kern w:val="0"/>
          <w:sz w:val="26"/>
          <w:szCs w:val="26"/>
          <w:highlight w:val="none"/>
          <w:lang w:val="en-US" w:eastAsia="zh-CN"/>
        </w:rPr>
        <w:t>上坝道路、库周巡检步道及水库管理房、取水闸阀房等，施工工艺主要为场地清理</w:t>
      </w:r>
      <w:r>
        <w:rPr>
          <w:rFonts w:ascii="Arial" w:cs="Arial"/>
          <w:bCs/>
          <w:sz w:val="26"/>
        </w:rPr>
        <w:t>→</w:t>
      </w:r>
      <w:r>
        <w:rPr>
          <w:rFonts w:hint="eastAsia" w:ascii="Arial" w:hAnsi="Arial" w:cs="Arial"/>
          <w:color w:val="auto"/>
          <w:kern w:val="0"/>
          <w:sz w:val="26"/>
          <w:szCs w:val="26"/>
          <w:highlight w:val="none"/>
          <w:lang w:val="en-US" w:eastAsia="zh-CN"/>
        </w:rPr>
        <w:t>基础平整</w:t>
      </w:r>
      <w:r>
        <w:rPr>
          <w:rFonts w:ascii="Arial" w:cs="Arial"/>
          <w:bCs/>
          <w:sz w:val="26"/>
        </w:rPr>
        <w:t>→</w:t>
      </w:r>
      <w:r>
        <w:rPr>
          <w:rFonts w:hint="eastAsia" w:ascii="Arial" w:hAnsi="Arial" w:cs="Arial"/>
          <w:color w:val="auto"/>
          <w:kern w:val="0"/>
          <w:sz w:val="26"/>
          <w:szCs w:val="26"/>
          <w:highlight w:val="none"/>
          <w:lang w:val="en-US" w:eastAsia="zh-CN"/>
        </w:rPr>
        <w:t>混凝土浇筑</w:t>
      </w:r>
      <w:r>
        <w:rPr>
          <w:rFonts w:ascii="Arial" w:cs="Arial"/>
          <w:bCs/>
          <w:sz w:val="26"/>
        </w:rPr>
        <w:t>→</w:t>
      </w:r>
      <w:r>
        <w:rPr>
          <w:rFonts w:hint="eastAsia" w:ascii="Arial" w:cs="Arial"/>
          <w:bCs/>
          <w:sz w:val="26"/>
          <w:lang w:eastAsia="zh-CN"/>
        </w:rPr>
        <w:t>设备安装</w:t>
      </w:r>
      <w:r>
        <w:rPr>
          <w:rFonts w:ascii="Arial" w:cs="Arial"/>
          <w:bCs/>
          <w:sz w:val="26"/>
        </w:rPr>
        <w:t>→</w:t>
      </w:r>
      <w:r>
        <w:rPr>
          <w:rFonts w:hint="eastAsia" w:ascii="Arial" w:cs="Arial"/>
          <w:bCs/>
          <w:sz w:val="26"/>
          <w:lang w:eastAsia="zh-CN"/>
        </w:rPr>
        <w:t>竣工使用</w:t>
      </w:r>
      <w:r>
        <w:rPr>
          <w:rFonts w:hint="eastAsia" w:ascii="Arial" w:hAnsi="Arial" w:cs="Arial"/>
          <w:color w:val="auto"/>
          <w:kern w:val="0"/>
          <w:sz w:val="26"/>
          <w:szCs w:val="26"/>
          <w:highlight w:val="none"/>
          <w:lang w:val="en-US" w:eastAsia="zh-CN"/>
        </w:rPr>
        <w:t>。</w:t>
      </w:r>
    </w:p>
    <w:p w14:paraId="24485243">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cs="Arial"/>
          <w:bCs/>
          <w:color w:val="auto"/>
          <w:sz w:val="26"/>
          <w:szCs w:val="22"/>
        </w:rPr>
      </w:pPr>
      <w:r>
        <w:rPr>
          <w:rFonts w:hint="eastAsia" w:ascii="Arial" w:cs="Arial"/>
          <w:b/>
          <w:color w:val="auto"/>
          <w:sz w:val="26"/>
          <w:szCs w:val="26"/>
          <w:lang w:eastAsia="zh-CN"/>
        </w:rPr>
        <w:t>（</w:t>
      </w:r>
      <w:r>
        <w:rPr>
          <w:rFonts w:hint="eastAsia" w:ascii="Arial" w:cs="Arial"/>
          <w:b/>
          <w:color w:val="auto"/>
          <w:sz w:val="26"/>
          <w:szCs w:val="26"/>
          <w:lang w:val="en-US" w:eastAsia="zh-CN"/>
        </w:rPr>
        <w:t>4）库底清理</w:t>
      </w:r>
    </w:p>
    <w:p w14:paraId="240F340A">
      <w:pPr>
        <w:autoSpaceDE w:val="0"/>
        <w:autoSpaceDN w:val="0"/>
        <w:spacing w:line="440" w:lineRule="exact"/>
        <w:ind w:firstLine="482"/>
        <w:rPr>
          <w:rFonts w:hint="eastAsia" w:ascii="Arial" w:cs="Arial"/>
          <w:bCs/>
          <w:color w:val="auto"/>
          <w:sz w:val="26"/>
        </w:rPr>
      </w:pPr>
      <w:r>
        <w:rPr>
          <w:rFonts w:hint="eastAsia" w:ascii="Arial" w:cs="Arial"/>
          <w:bCs/>
          <w:color w:val="auto"/>
          <w:sz w:val="26"/>
        </w:rPr>
        <w:t>为了保证该工程建成后能安全运行，保护库周及下游人群健康，应在水库蓄水前对库区进行全面清理。本工程库区主要涉及林木清理、卫生清理等。</w:t>
      </w:r>
    </w:p>
    <w:p w14:paraId="3D9478B2">
      <w:pPr>
        <w:autoSpaceDE w:val="0"/>
        <w:autoSpaceDN w:val="0"/>
        <w:spacing w:line="440" w:lineRule="exact"/>
        <w:ind w:firstLine="482"/>
        <w:rPr>
          <w:rFonts w:hint="eastAsia" w:ascii="宋体" w:hAnsi="宋体" w:cs="宋体"/>
          <w:b/>
          <w:bCs/>
          <w:color w:val="auto"/>
          <w:sz w:val="26"/>
        </w:rPr>
      </w:pPr>
      <w:r>
        <w:rPr>
          <w:rFonts w:hint="eastAsia" w:ascii="宋体" w:hAnsi="宋体" w:cs="宋体"/>
          <w:b/>
          <w:bCs/>
          <w:color w:val="auto"/>
          <w:sz w:val="26"/>
        </w:rPr>
        <w:t>① 林木处理</w:t>
      </w:r>
    </w:p>
    <w:p w14:paraId="596EEA78">
      <w:pPr>
        <w:autoSpaceDE w:val="0"/>
        <w:autoSpaceDN w:val="0"/>
        <w:spacing w:line="440" w:lineRule="exact"/>
        <w:ind w:firstLine="482"/>
        <w:rPr>
          <w:rFonts w:hint="eastAsia" w:ascii="Arial" w:cs="Arial"/>
          <w:bCs/>
          <w:color w:val="auto"/>
          <w:sz w:val="26"/>
        </w:rPr>
      </w:pPr>
      <w:r>
        <w:rPr>
          <w:rFonts w:hint="eastAsia" w:ascii="Arial" w:cs="Arial"/>
          <w:bCs/>
          <w:color w:val="auto"/>
          <w:sz w:val="26"/>
        </w:rPr>
        <w:t>对淹没区内的森林及零星树木，应尽可能齐地面砍伐并清理外运，对森林砍伐残余的树丫、枯木、灌木丛、杂草等易漂浮物在水库蓄水前应运出库外。清库出的林木具有再利用价值，可交附近居民用于修建房屋或外卖处置。</w:t>
      </w:r>
    </w:p>
    <w:p w14:paraId="482CF3F9">
      <w:pPr>
        <w:autoSpaceDE w:val="0"/>
        <w:autoSpaceDN w:val="0"/>
        <w:spacing w:line="440" w:lineRule="exact"/>
        <w:ind w:firstLine="482"/>
        <w:rPr>
          <w:rFonts w:hint="eastAsia" w:ascii="宋体" w:hAnsi="宋体" w:cs="宋体"/>
          <w:b/>
          <w:bCs/>
          <w:color w:val="auto"/>
          <w:sz w:val="26"/>
        </w:rPr>
      </w:pPr>
      <w:r>
        <w:rPr>
          <w:rFonts w:hint="eastAsia" w:ascii="宋体" w:hAnsi="宋体" w:cs="宋体"/>
          <w:b/>
          <w:bCs/>
          <w:color w:val="auto"/>
          <w:sz w:val="26"/>
        </w:rPr>
        <w:t>② 卫生清理</w:t>
      </w:r>
    </w:p>
    <w:p w14:paraId="6751C82E">
      <w:pPr>
        <w:autoSpaceDE w:val="0"/>
        <w:autoSpaceDN w:val="0"/>
        <w:spacing w:line="440" w:lineRule="exact"/>
        <w:ind w:firstLine="482"/>
        <w:rPr>
          <w:rFonts w:hint="eastAsia" w:ascii="Arial" w:cs="Arial"/>
          <w:bCs/>
          <w:color w:val="auto"/>
          <w:sz w:val="26"/>
        </w:rPr>
      </w:pPr>
      <w:r>
        <w:rPr>
          <w:rFonts w:hint="eastAsia" w:ascii="Arial" w:cs="Arial"/>
          <w:bCs/>
          <w:color w:val="auto"/>
          <w:sz w:val="26"/>
        </w:rPr>
        <w:t>卫生防疫清理应在地方卫生防疫部门指导下进行。库区内污染源地及污染物如厕所、粪池、畜厩、垃圾等均应进行卫生清除、消毒，污染物运出库外，及时交环卫部门清运处置，并在卫生防疫部门指导下进行卫生防疫清理，或薄铺于地面暴晒消毒，对其坑穴按</w:t>
      </w:r>
      <w:r>
        <w:rPr>
          <w:rFonts w:ascii="Arial" w:cs="Arial"/>
          <w:bCs/>
          <w:color w:val="auto"/>
          <w:sz w:val="26"/>
        </w:rPr>
        <w:t>1kg/m</w:t>
      </w:r>
      <w:r>
        <w:rPr>
          <w:rFonts w:ascii="Arial" w:cs="Arial"/>
          <w:bCs/>
          <w:color w:val="auto"/>
          <w:sz w:val="26"/>
          <w:vertAlign w:val="superscript"/>
        </w:rPr>
        <w:t>2</w:t>
      </w:r>
      <w:r>
        <w:rPr>
          <w:rFonts w:hint="eastAsia" w:ascii="Arial" w:cs="Arial"/>
          <w:bCs/>
          <w:color w:val="auto"/>
          <w:sz w:val="26"/>
        </w:rPr>
        <w:t>生石灰进行消毒处理，污水坑用净土填平。</w:t>
      </w:r>
    </w:p>
    <w:p w14:paraId="53C83777">
      <w:pPr>
        <w:pStyle w:val="1291"/>
        <w:keepNext w:val="0"/>
        <w:keepLines w:val="0"/>
        <w:pageBreakBefore w:val="0"/>
        <w:widowControl/>
        <w:kinsoku/>
        <w:wordWrap/>
        <w:overflowPunct/>
        <w:topLinePunct w:val="0"/>
        <w:autoSpaceDE/>
        <w:autoSpaceDN/>
        <w:bidi w:val="0"/>
        <w:adjustRightInd w:val="0"/>
        <w:snapToGrid w:val="0"/>
        <w:spacing w:line="440" w:lineRule="exact"/>
        <w:ind w:firstLine="522" w:firstLineChars="200"/>
        <w:jc w:val="both"/>
        <w:textAlignment w:val="auto"/>
        <w:rPr>
          <w:rFonts w:hint="default" w:ascii="Arial" w:hAnsi="Arial" w:cs="Arial"/>
          <w:color w:val="auto"/>
          <w:sz w:val="26"/>
          <w:szCs w:val="26"/>
          <w:lang w:val="en-US" w:eastAsia="zh-CN"/>
        </w:rPr>
      </w:pPr>
      <w:r>
        <w:rPr>
          <w:rFonts w:hint="eastAsia" w:ascii="Arial" w:hAnsi="Arial" w:cs="Arial"/>
          <w:color w:val="auto"/>
          <w:sz w:val="26"/>
          <w:szCs w:val="26"/>
          <w:lang w:val="en-US" w:eastAsia="zh-CN"/>
        </w:rPr>
        <w:t>2.3工程占地及土石方平衡</w:t>
      </w:r>
    </w:p>
    <w:p w14:paraId="398CA3A8">
      <w:pPr>
        <w:keepNext w:val="0"/>
        <w:keepLines w:val="0"/>
        <w:pageBreakBefore w:val="0"/>
        <w:widowControl w:val="0"/>
        <w:kinsoku/>
        <w:wordWrap/>
        <w:overflowPunct/>
        <w:topLinePunct w:val="0"/>
        <w:autoSpaceDE w:val="0"/>
        <w:autoSpaceDN w:val="0"/>
        <w:bidi w:val="0"/>
        <w:adjustRightInd/>
        <w:snapToGrid/>
        <w:spacing w:line="460" w:lineRule="exact"/>
        <w:ind w:firstLine="482"/>
        <w:jc w:val="both"/>
        <w:textAlignment w:val="auto"/>
        <w:rPr>
          <w:rFonts w:hint="default" w:ascii="Arial" w:eastAsia="宋体" w:cs="Arial"/>
          <w:b/>
          <w:bCs w:val="0"/>
          <w:sz w:val="26"/>
          <w:highlight w:val="none"/>
          <w:lang w:val="en-US" w:eastAsia="zh-CN"/>
        </w:rPr>
      </w:pPr>
      <w:r>
        <w:rPr>
          <w:rFonts w:hint="eastAsia" w:ascii="Arial" w:cs="Arial"/>
          <w:b/>
          <w:bCs w:val="0"/>
          <w:sz w:val="26"/>
          <w:highlight w:val="none"/>
          <w:lang w:val="en-US" w:eastAsia="zh-CN"/>
        </w:rPr>
        <w:t>2.3.1工程占地</w:t>
      </w:r>
    </w:p>
    <w:p w14:paraId="36D13C98">
      <w:pPr>
        <w:autoSpaceDE w:val="0"/>
        <w:autoSpaceDN w:val="0"/>
        <w:spacing w:line="440" w:lineRule="exact"/>
        <w:ind w:firstLine="482"/>
        <w:jc w:val="both"/>
        <w:rPr>
          <w:rFonts w:hint="eastAsia" w:ascii="Arial" w:cs="Arial"/>
          <w:bCs/>
          <w:sz w:val="26"/>
          <w:highlight w:val="none"/>
          <w:lang w:val="en-US" w:eastAsia="zh-CN"/>
        </w:rPr>
      </w:pPr>
      <w:r>
        <w:rPr>
          <w:rFonts w:hint="eastAsia" w:ascii="Arial" w:cs="Arial"/>
          <w:bCs/>
          <w:sz w:val="26"/>
          <w:highlight w:val="none"/>
          <w:lang w:eastAsia="zh-CN"/>
        </w:rPr>
        <w:t>本项目占地面积合计为</w:t>
      </w:r>
      <w:r>
        <w:rPr>
          <w:rFonts w:hint="eastAsia" w:ascii="Arial" w:cs="Arial"/>
          <w:bCs/>
          <w:sz w:val="26"/>
          <w:highlight w:val="none"/>
          <w:lang w:val="en-US" w:eastAsia="zh-CN"/>
        </w:rPr>
        <w:t>24.4409hm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，其中永久占地面积为11.3182hm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，临时占地面积为13.1227hm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w:t>
      </w:r>
    </w:p>
    <w:p w14:paraId="11C3DA96">
      <w:pPr>
        <w:autoSpaceDE w:val="0"/>
        <w:autoSpaceDN w:val="0"/>
        <w:spacing w:line="440" w:lineRule="exact"/>
        <w:ind w:firstLine="482"/>
        <w:jc w:val="both"/>
        <w:rPr>
          <w:rFonts w:hint="default" w:ascii="Arial" w:eastAsia="宋体" w:cs="Arial"/>
          <w:bCs/>
          <w:sz w:val="26"/>
          <w:highlight w:val="none"/>
          <w:vertAlign w:val="baseline"/>
          <w:lang w:val="en-US" w:eastAsia="zh-CN"/>
        </w:rPr>
      </w:pPr>
      <w:r>
        <w:rPr>
          <w:rFonts w:hint="eastAsia" w:ascii="Arial" w:cs="Arial"/>
          <w:bCs/>
          <w:sz w:val="26"/>
          <w:highlight w:val="none"/>
          <w:lang w:val="en-US" w:eastAsia="zh-CN"/>
        </w:rPr>
        <w:t>永久占地面积为11.3182hm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，其中耕地5.7148hm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（水田3.2036hm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、旱地2.5112hm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）、林地4.9511hm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（乔木林地4.8011hm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、灌木林地0.15hm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）、农村道路0.1934hm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、河流水面0.2428hm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、其他土地0.2128hm</w:t>
      </w:r>
      <w:r>
        <w:rPr>
          <w:rFonts w:hint="eastAsia" w:ascii="Arial" w:cs="Arial"/>
          <w:bCs/>
          <w:sz w:val="26"/>
          <w:highlight w:val="none"/>
          <w:vertAlign w:val="superscript"/>
          <w:lang w:val="en-US" w:eastAsia="zh-CN"/>
        </w:rPr>
        <w:t>2</w:t>
      </w:r>
      <w:r>
        <w:rPr>
          <w:rFonts w:hint="eastAsia" w:ascii="Arial" w:cs="Arial"/>
          <w:bCs/>
          <w:sz w:val="26"/>
          <w:highlight w:val="none"/>
          <w:vertAlign w:val="baseline"/>
          <w:lang w:val="en-US" w:eastAsia="zh-CN"/>
        </w:rPr>
        <w:t>。</w:t>
      </w:r>
    </w:p>
    <w:p w14:paraId="4FF86D40">
      <w:pPr>
        <w:autoSpaceDE w:val="0"/>
        <w:autoSpaceDN w:val="0"/>
        <w:spacing w:line="440" w:lineRule="exact"/>
        <w:ind w:firstLine="482"/>
        <w:jc w:val="both"/>
        <w:rPr>
          <w:rFonts w:hint="eastAsia" w:ascii="Arial" w:cs="Arial"/>
          <w:bCs/>
          <w:sz w:val="26"/>
          <w:highlight w:val="none"/>
        </w:rPr>
      </w:pPr>
      <w:r>
        <w:rPr>
          <w:rFonts w:hint="eastAsia" w:ascii="Arial" w:cs="Arial"/>
          <w:bCs/>
          <w:sz w:val="26"/>
          <w:highlight w:val="none"/>
          <w:lang w:val="en-US" w:eastAsia="zh-CN"/>
        </w:rPr>
        <w:t>临时占地面积为13.1227hm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，其中耕地6.0537hm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（水田3.1849hm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、旱地2.8688hm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）、林地6.3398hm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（乔木林地4.9071hm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、灌木林地1.4327hm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）、农村道路0.7292hm</w:t>
      </w:r>
      <w:r>
        <w:rPr>
          <w:rFonts w:hint="eastAsia" w:ascii="Arial" w:cs="Arial"/>
          <w:bCs/>
          <w:sz w:val="26"/>
          <w:highlight w:val="none"/>
          <w:vertAlign w:val="superscript"/>
          <w:lang w:val="en-US" w:eastAsia="zh-CN"/>
        </w:rPr>
        <w:t>2</w:t>
      </w:r>
      <w:r>
        <w:rPr>
          <w:rFonts w:hint="eastAsia" w:ascii="Arial" w:cs="Arial"/>
          <w:bCs/>
          <w:sz w:val="26"/>
          <w:highlight w:val="none"/>
          <w:lang w:val="en-US" w:eastAsia="zh-CN"/>
        </w:rPr>
        <w:t>。</w:t>
      </w:r>
    </w:p>
    <w:p w14:paraId="0EB2BAAA">
      <w:pPr>
        <w:keepNext w:val="0"/>
        <w:keepLines w:val="0"/>
        <w:pageBreakBefore w:val="0"/>
        <w:widowControl w:val="0"/>
        <w:kinsoku/>
        <w:wordWrap/>
        <w:overflowPunct/>
        <w:topLinePunct w:val="0"/>
        <w:autoSpaceDE w:val="0"/>
        <w:autoSpaceDN w:val="0"/>
        <w:bidi w:val="0"/>
        <w:adjustRightInd/>
        <w:snapToGrid/>
        <w:spacing w:line="460" w:lineRule="exact"/>
        <w:ind w:firstLine="482"/>
        <w:jc w:val="both"/>
        <w:textAlignment w:val="auto"/>
        <w:rPr>
          <w:rFonts w:hint="default" w:ascii="Arial" w:eastAsia="宋体" w:cs="Arial"/>
          <w:b/>
          <w:bCs w:val="0"/>
          <w:sz w:val="26"/>
          <w:lang w:val="en-US" w:eastAsia="zh-CN"/>
        </w:rPr>
      </w:pPr>
      <w:bookmarkStart w:id="80" w:name="_Toc4311"/>
      <w:r>
        <w:rPr>
          <w:rFonts w:hint="eastAsia" w:ascii="Arial" w:cs="Arial"/>
          <w:b/>
          <w:bCs w:val="0"/>
          <w:sz w:val="26"/>
          <w:lang w:val="en-US" w:eastAsia="zh-CN"/>
        </w:rPr>
        <w:t>2.3.2土石方平衡</w:t>
      </w:r>
    </w:p>
    <w:p w14:paraId="5574AF98">
      <w:pPr>
        <w:keepNext w:val="0"/>
        <w:keepLines w:val="0"/>
        <w:pageBreakBefore w:val="0"/>
        <w:widowControl w:val="0"/>
        <w:kinsoku/>
        <w:wordWrap/>
        <w:overflowPunct/>
        <w:topLinePunct w:val="0"/>
        <w:autoSpaceDE w:val="0"/>
        <w:autoSpaceDN w:val="0"/>
        <w:bidi w:val="0"/>
        <w:adjustRightInd/>
        <w:snapToGrid/>
        <w:spacing w:line="460" w:lineRule="exact"/>
        <w:ind w:firstLine="392" w:firstLineChars="150"/>
        <w:jc w:val="both"/>
        <w:textAlignment w:val="auto"/>
        <w:rPr>
          <w:rFonts w:hint="default" w:ascii="Arial" w:cs="Arial"/>
          <w:b/>
          <w:bCs w:val="0"/>
          <w:sz w:val="26"/>
          <w:lang w:val="en-US" w:eastAsia="zh-CN"/>
        </w:rPr>
      </w:pPr>
      <w:r>
        <w:rPr>
          <w:rFonts w:hint="eastAsia" w:ascii="Arial" w:cs="Arial"/>
          <w:b/>
          <w:bCs w:val="0"/>
          <w:sz w:val="26"/>
          <w:lang w:val="en-US" w:eastAsia="zh-CN"/>
        </w:rPr>
        <w:t>（1）枢纽工程</w:t>
      </w:r>
    </w:p>
    <w:p w14:paraId="20646ABA">
      <w:pPr>
        <w:autoSpaceDE w:val="0"/>
        <w:autoSpaceDN w:val="0"/>
        <w:spacing w:line="440" w:lineRule="exact"/>
        <w:ind w:firstLine="482"/>
        <w:jc w:val="both"/>
        <w:rPr>
          <w:rFonts w:hint="default" w:ascii="Arial" w:cs="Arial"/>
          <w:bCs/>
          <w:color w:val="auto"/>
          <w:sz w:val="26"/>
          <w:lang w:val="en-US"/>
        </w:rPr>
      </w:pPr>
      <w:r>
        <w:rPr>
          <w:rFonts w:hint="eastAsia" w:ascii="Arial" w:cs="Arial"/>
          <w:bCs/>
          <w:color w:val="auto"/>
          <w:sz w:val="26"/>
          <w:lang w:val="en-US" w:eastAsia="zh-CN"/>
        </w:rPr>
        <w:t>根据项目初设方案，枢纽工程区</w:t>
      </w:r>
      <w:r>
        <w:rPr>
          <w:rFonts w:hint="eastAsia" w:ascii="Arial" w:cs="Arial"/>
          <w:bCs/>
          <w:color w:val="auto"/>
          <w:sz w:val="26"/>
          <w:lang w:eastAsia="zh-CN"/>
        </w:rPr>
        <w:t>土石方开挖总量为</w:t>
      </w:r>
      <w:r>
        <w:rPr>
          <w:rFonts w:hint="eastAsia" w:ascii="Arial" w:cs="Arial"/>
          <w:bCs/>
          <w:color w:val="auto"/>
          <w:sz w:val="26"/>
          <w:lang w:val="en-US" w:eastAsia="zh-CN"/>
        </w:rPr>
        <w:t>8.54</w:t>
      </w:r>
      <w:r>
        <w:rPr>
          <w:rFonts w:hint="eastAsia" w:ascii="Arial" w:cs="Arial"/>
          <w:bCs/>
          <w:color w:val="auto"/>
          <w:sz w:val="26"/>
        </w:rPr>
        <w:t>万m</w:t>
      </w:r>
      <w:r>
        <w:rPr>
          <w:rFonts w:hint="eastAsia" w:ascii="Arial" w:cs="Arial"/>
          <w:bCs/>
          <w:color w:val="auto"/>
          <w:sz w:val="26"/>
          <w:vertAlign w:val="superscript"/>
        </w:rPr>
        <w:t>3</w:t>
      </w:r>
      <w:r>
        <w:rPr>
          <w:rFonts w:hint="eastAsia" w:ascii="Arial" w:cs="Arial"/>
          <w:bCs/>
          <w:color w:val="auto"/>
          <w:sz w:val="26"/>
        </w:rPr>
        <w:t>（</w:t>
      </w:r>
      <w:r>
        <w:rPr>
          <w:rFonts w:hint="eastAsia" w:ascii="Arial" w:cs="Arial"/>
          <w:bCs/>
          <w:color w:val="auto"/>
          <w:sz w:val="26"/>
          <w:lang w:eastAsia="zh-CN"/>
        </w:rPr>
        <w:t>自然方</w:t>
      </w:r>
      <w:r>
        <w:rPr>
          <w:rFonts w:hint="eastAsia" w:ascii="Arial" w:cs="Arial"/>
          <w:bCs/>
          <w:color w:val="auto"/>
          <w:sz w:val="26"/>
        </w:rPr>
        <w:t>），土石回填</w:t>
      </w:r>
      <w:r>
        <w:rPr>
          <w:rFonts w:hint="eastAsia" w:ascii="Arial" w:cs="Arial"/>
          <w:bCs/>
          <w:color w:val="auto"/>
          <w:sz w:val="26"/>
          <w:lang w:val="en-US" w:eastAsia="zh-CN"/>
        </w:rPr>
        <w:t>1.93</w:t>
      </w:r>
      <w:r>
        <w:rPr>
          <w:rFonts w:hint="eastAsia" w:ascii="Arial" w:cs="Arial"/>
          <w:bCs/>
          <w:color w:val="auto"/>
          <w:sz w:val="26"/>
        </w:rPr>
        <w:t>万m</w:t>
      </w:r>
      <w:r>
        <w:rPr>
          <w:rFonts w:hint="eastAsia" w:ascii="Arial" w:cs="Arial"/>
          <w:bCs/>
          <w:color w:val="auto"/>
          <w:sz w:val="26"/>
          <w:vertAlign w:val="superscript"/>
        </w:rPr>
        <w:t>3</w:t>
      </w:r>
      <w:r>
        <w:rPr>
          <w:rFonts w:hint="eastAsia" w:ascii="Arial" w:cs="Arial"/>
          <w:bCs/>
          <w:color w:val="auto"/>
          <w:sz w:val="26"/>
        </w:rPr>
        <w:t>（</w:t>
      </w:r>
      <w:r>
        <w:rPr>
          <w:rFonts w:hint="eastAsia" w:ascii="Arial" w:cs="Arial"/>
          <w:bCs/>
          <w:color w:val="auto"/>
          <w:sz w:val="26"/>
          <w:lang w:eastAsia="zh-CN"/>
        </w:rPr>
        <w:t>自然方</w:t>
      </w:r>
      <w:r>
        <w:rPr>
          <w:rFonts w:hint="eastAsia" w:ascii="Arial" w:cs="Arial"/>
          <w:bCs/>
          <w:color w:val="auto"/>
          <w:sz w:val="26"/>
        </w:rPr>
        <w:t>），弃渣</w:t>
      </w:r>
      <w:r>
        <w:rPr>
          <w:rFonts w:hint="eastAsia" w:ascii="Arial" w:cs="Arial"/>
          <w:bCs/>
          <w:color w:val="auto"/>
          <w:sz w:val="26"/>
          <w:lang w:val="en-US" w:eastAsia="zh-CN"/>
        </w:rPr>
        <w:t>6.61</w:t>
      </w:r>
      <w:r>
        <w:rPr>
          <w:rFonts w:hint="eastAsia" w:ascii="Arial" w:cs="Arial"/>
          <w:bCs/>
          <w:color w:val="auto"/>
          <w:sz w:val="26"/>
        </w:rPr>
        <w:t>万m</w:t>
      </w:r>
      <w:r>
        <w:rPr>
          <w:rFonts w:hint="eastAsia" w:ascii="Arial" w:cs="Arial"/>
          <w:bCs/>
          <w:color w:val="auto"/>
          <w:sz w:val="26"/>
          <w:vertAlign w:val="superscript"/>
        </w:rPr>
        <w:t>3</w:t>
      </w:r>
      <w:r>
        <w:rPr>
          <w:rFonts w:hint="eastAsia" w:ascii="Arial" w:cs="Arial"/>
          <w:bCs/>
          <w:color w:val="auto"/>
          <w:sz w:val="26"/>
        </w:rPr>
        <w:t>（</w:t>
      </w:r>
      <w:r>
        <w:rPr>
          <w:rFonts w:hint="eastAsia" w:ascii="Arial" w:cs="Arial"/>
          <w:bCs/>
          <w:color w:val="auto"/>
          <w:sz w:val="26"/>
          <w:lang w:eastAsia="zh-CN"/>
        </w:rPr>
        <w:t>自然方</w:t>
      </w:r>
      <w:r>
        <w:rPr>
          <w:rFonts w:hint="eastAsia" w:ascii="Arial" w:cs="Arial"/>
          <w:bCs/>
          <w:color w:val="auto"/>
          <w:sz w:val="26"/>
        </w:rPr>
        <w:t>）。暂存于枢纽工程施工场地临时占地范围内，并及时清运至弃渣场进行填埋处置。</w:t>
      </w:r>
      <w:r>
        <w:rPr>
          <w:rFonts w:hint="eastAsia" w:ascii="Arial" w:cs="Arial"/>
          <w:bCs/>
          <w:color w:val="auto"/>
          <w:sz w:val="26"/>
          <w:lang w:eastAsia="zh-CN"/>
        </w:rPr>
        <w:t>弃渣场位于田家山村村委会附近，</w:t>
      </w:r>
      <w:r>
        <w:rPr>
          <w:rFonts w:hint="eastAsia" w:ascii="Arial" w:hAnsi="Times New Roman" w:cs="Arial"/>
          <w:bCs/>
          <w:color w:val="auto"/>
          <w:sz w:val="26"/>
          <w:szCs w:val="22"/>
          <w:lang w:eastAsia="zh-CN"/>
        </w:rPr>
        <w:t>面积约</w:t>
      </w:r>
      <w:r>
        <w:rPr>
          <w:rFonts w:hint="eastAsia" w:ascii="Arial" w:hAnsi="Times New Roman" w:cs="Arial"/>
          <w:bCs/>
          <w:color w:val="auto"/>
          <w:sz w:val="26"/>
          <w:szCs w:val="22"/>
          <w:lang w:val="en-US" w:eastAsia="zh-CN"/>
        </w:rPr>
        <w:t>49.47亩，不涉及</w:t>
      </w:r>
      <w:r>
        <w:rPr>
          <w:rFonts w:hint="eastAsia" w:ascii="Arial" w:hAnsi="Arial" w:cs="Arial"/>
          <w:color w:val="auto"/>
          <w:sz w:val="26"/>
          <w:szCs w:val="26"/>
          <w:lang w:val="en-US" w:eastAsia="zh-CN"/>
        </w:rPr>
        <w:t>基本农田、公益林地，设计堆渣量为12万m</w:t>
      </w:r>
      <w:r>
        <w:rPr>
          <w:rFonts w:hint="eastAsia" w:ascii="Arial" w:hAnsi="Arial" w:cs="Arial"/>
          <w:color w:val="auto"/>
          <w:sz w:val="26"/>
          <w:szCs w:val="26"/>
          <w:vertAlign w:val="superscript"/>
          <w:lang w:val="en-US" w:eastAsia="zh-CN"/>
        </w:rPr>
        <w:t>3</w:t>
      </w:r>
      <w:r>
        <w:rPr>
          <w:rFonts w:hint="eastAsia" w:ascii="Arial" w:hAnsi="Arial" w:cs="Arial"/>
          <w:color w:val="auto"/>
          <w:sz w:val="26"/>
          <w:szCs w:val="26"/>
          <w:lang w:val="en-US" w:eastAsia="zh-CN"/>
        </w:rPr>
        <w:t>，综合运距约6km。土石方平衡详见表2.3-1所示。</w:t>
      </w:r>
    </w:p>
    <w:p w14:paraId="7B469EE9">
      <w:pPr>
        <w:keepNext w:val="0"/>
        <w:keepLines w:val="0"/>
        <w:pageBreakBefore w:val="0"/>
        <w:widowControl w:val="0"/>
        <w:kinsoku/>
        <w:wordWrap/>
        <w:overflowPunct/>
        <w:topLinePunct w:val="0"/>
        <w:autoSpaceDE w:val="0"/>
        <w:autoSpaceDN w:val="0"/>
        <w:bidi w:val="0"/>
        <w:adjustRightInd/>
        <w:snapToGrid/>
        <w:spacing w:line="460" w:lineRule="exact"/>
        <w:ind w:firstLine="392" w:firstLineChars="150"/>
        <w:jc w:val="both"/>
        <w:textAlignment w:val="auto"/>
        <w:rPr>
          <w:rFonts w:hint="default" w:ascii="Arial" w:cs="Arial"/>
          <w:b/>
          <w:bCs w:val="0"/>
          <w:sz w:val="26"/>
          <w:lang w:val="en-US" w:eastAsia="zh-CN"/>
        </w:rPr>
      </w:pPr>
      <w:r>
        <w:rPr>
          <w:rFonts w:hint="eastAsia" w:ascii="Arial" w:cs="Arial"/>
          <w:b/>
          <w:bCs w:val="0"/>
          <w:sz w:val="26"/>
          <w:lang w:val="en-US" w:eastAsia="zh-CN"/>
        </w:rPr>
        <w:t>（2）输水工程</w:t>
      </w:r>
    </w:p>
    <w:p w14:paraId="207F42F4">
      <w:pPr>
        <w:autoSpaceDE w:val="0"/>
        <w:autoSpaceDN w:val="0"/>
        <w:spacing w:line="440" w:lineRule="exact"/>
        <w:ind w:firstLine="482"/>
        <w:jc w:val="both"/>
        <w:rPr>
          <w:rFonts w:hint="eastAsia" w:ascii="Arial" w:hAnsi="Arial" w:cs="Arial"/>
          <w:color w:val="auto"/>
          <w:sz w:val="26"/>
          <w:szCs w:val="26"/>
          <w:lang w:val="en-US" w:eastAsia="zh-CN"/>
        </w:rPr>
        <w:sectPr>
          <w:headerReference r:id="rId21" w:type="default"/>
          <w:pgSz w:w="12240" w:h="15840"/>
          <w:pgMar w:top="1440" w:right="1701" w:bottom="1440" w:left="1701" w:header="794" w:footer="1134" w:gutter="0"/>
          <w:pgBorders>
            <w:top w:val="none" w:sz="0" w:space="0"/>
            <w:left w:val="none" w:sz="0" w:space="0"/>
            <w:bottom w:val="none" w:sz="0" w:space="0"/>
            <w:right w:val="none" w:sz="0" w:space="0"/>
          </w:pgBorders>
          <w:pgNumType w:fmt="decimal"/>
          <w:cols w:space="720" w:num="1"/>
        </w:sectPr>
      </w:pPr>
      <w:r>
        <w:rPr>
          <w:rFonts w:hint="eastAsia" w:ascii="Arial" w:cs="Arial"/>
          <w:bCs/>
          <w:color w:val="auto"/>
          <w:sz w:val="26"/>
          <w:lang w:val="en-US" w:eastAsia="zh-CN"/>
        </w:rPr>
        <w:t>根据项目初设方案，输水工程区</w:t>
      </w:r>
      <w:r>
        <w:rPr>
          <w:rFonts w:hint="eastAsia" w:ascii="Arial" w:cs="Arial"/>
          <w:bCs/>
          <w:color w:val="auto"/>
          <w:sz w:val="26"/>
          <w:lang w:eastAsia="zh-CN"/>
        </w:rPr>
        <w:t>土石方开挖总量为</w:t>
      </w:r>
      <w:r>
        <w:rPr>
          <w:rFonts w:hint="eastAsia" w:ascii="Arial" w:cs="Arial"/>
          <w:bCs/>
          <w:color w:val="auto"/>
          <w:sz w:val="26"/>
          <w:lang w:val="en-US" w:eastAsia="zh-CN"/>
        </w:rPr>
        <w:t>3.3</w:t>
      </w:r>
      <w:r>
        <w:rPr>
          <w:rFonts w:hint="eastAsia" w:ascii="Arial" w:cs="Arial"/>
          <w:bCs/>
          <w:color w:val="auto"/>
          <w:sz w:val="26"/>
        </w:rPr>
        <w:t>万m</w:t>
      </w:r>
      <w:r>
        <w:rPr>
          <w:rFonts w:hint="eastAsia" w:ascii="Arial" w:cs="Arial"/>
          <w:bCs/>
          <w:color w:val="auto"/>
          <w:sz w:val="26"/>
          <w:vertAlign w:val="superscript"/>
        </w:rPr>
        <w:t>3</w:t>
      </w:r>
      <w:r>
        <w:rPr>
          <w:rFonts w:hint="eastAsia" w:ascii="Arial" w:cs="Arial"/>
          <w:bCs/>
          <w:color w:val="auto"/>
          <w:sz w:val="26"/>
        </w:rPr>
        <w:t>（</w:t>
      </w:r>
      <w:r>
        <w:rPr>
          <w:rFonts w:hint="eastAsia" w:ascii="Arial" w:cs="Arial"/>
          <w:bCs/>
          <w:color w:val="auto"/>
          <w:sz w:val="26"/>
          <w:lang w:eastAsia="zh-CN"/>
        </w:rPr>
        <w:t>自然方</w:t>
      </w:r>
      <w:r>
        <w:rPr>
          <w:rFonts w:hint="eastAsia" w:ascii="Arial" w:cs="Arial"/>
          <w:bCs/>
          <w:color w:val="auto"/>
          <w:sz w:val="26"/>
        </w:rPr>
        <w:t>），土石回填</w:t>
      </w:r>
      <w:r>
        <w:rPr>
          <w:rFonts w:hint="eastAsia" w:ascii="Arial" w:cs="Arial"/>
          <w:bCs/>
          <w:color w:val="auto"/>
          <w:sz w:val="26"/>
          <w:lang w:val="en-US" w:eastAsia="zh-CN"/>
        </w:rPr>
        <w:t>3.09</w:t>
      </w:r>
      <w:r>
        <w:rPr>
          <w:rFonts w:hint="eastAsia" w:ascii="Arial" w:cs="Arial"/>
          <w:bCs/>
          <w:color w:val="auto"/>
          <w:sz w:val="26"/>
        </w:rPr>
        <w:t>万m</w:t>
      </w:r>
      <w:r>
        <w:rPr>
          <w:rFonts w:hint="eastAsia" w:ascii="Arial" w:cs="Arial"/>
          <w:bCs/>
          <w:color w:val="auto"/>
          <w:sz w:val="26"/>
          <w:vertAlign w:val="superscript"/>
        </w:rPr>
        <w:t>3</w:t>
      </w:r>
      <w:r>
        <w:rPr>
          <w:rFonts w:hint="eastAsia" w:ascii="Arial" w:cs="Arial"/>
          <w:bCs/>
          <w:color w:val="auto"/>
          <w:sz w:val="26"/>
        </w:rPr>
        <w:t>（</w:t>
      </w:r>
      <w:r>
        <w:rPr>
          <w:rFonts w:hint="eastAsia" w:ascii="Arial" w:cs="Arial"/>
          <w:bCs/>
          <w:color w:val="auto"/>
          <w:sz w:val="26"/>
          <w:lang w:eastAsia="zh-CN"/>
        </w:rPr>
        <w:t>自然方</w:t>
      </w:r>
      <w:r>
        <w:rPr>
          <w:rFonts w:hint="eastAsia" w:ascii="Arial" w:cs="Arial"/>
          <w:bCs/>
          <w:color w:val="auto"/>
          <w:sz w:val="26"/>
        </w:rPr>
        <w:t>），弃渣</w:t>
      </w:r>
      <w:r>
        <w:rPr>
          <w:rFonts w:hint="eastAsia" w:ascii="Arial" w:cs="Arial"/>
          <w:bCs/>
          <w:color w:val="auto"/>
          <w:sz w:val="26"/>
          <w:lang w:val="en-US" w:eastAsia="zh-CN"/>
        </w:rPr>
        <w:t>0.21</w:t>
      </w:r>
      <w:r>
        <w:rPr>
          <w:rFonts w:hint="eastAsia" w:ascii="Arial" w:cs="Arial"/>
          <w:bCs/>
          <w:color w:val="auto"/>
          <w:sz w:val="26"/>
        </w:rPr>
        <w:t>万m</w:t>
      </w:r>
      <w:r>
        <w:rPr>
          <w:rFonts w:hint="eastAsia" w:ascii="Arial" w:cs="Arial"/>
          <w:bCs/>
          <w:color w:val="auto"/>
          <w:sz w:val="26"/>
          <w:vertAlign w:val="superscript"/>
        </w:rPr>
        <w:t>3</w:t>
      </w:r>
      <w:r>
        <w:rPr>
          <w:rFonts w:hint="eastAsia" w:ascii="Arial" w:cs="Arial"/>
          <w:bCs/>
          <w:color w:val="auto"/>
          <w:sz w:val="26"/>
        </w:rPr>
        <w:t>（</w:t>
      </w:r>
      <w:r>
        <w:rPr>
          <w:rFonts w:hint="eastAsia" w:ascii="Arial" w:cs="Arial"/>
          <w:bCs/>
          <w:color w:val="auto"/>
          <w:sz w:val="26"/>
          <w:lang w:eastAsia="zh-CN"/>
        </w:rPr>
        <w:t>自然方</w:t>
      </w:r>
      <w:r>
        <w:rPr>
          <w:rFonts w:hint="eastAsia" w:ascii="Arial" w:cs="Arial"/>
          <w:bCs/>
          <w:color w:val="auto"/>
          <w:sz w:val="26"/>
        </w:rPr>
        <w:t>）。</w:t>
      </w:r>
      <w:r>
        <w:rPr>
          <w:rFonts w:hint="eastAsia" w:ascii="Arial" w:cs="Arial"/>
          <w:bCs/>
          <w:sz w:val="26"/>
          <w:lang w:eastAsia="zh-CN"/>
        </w:rPr>
        <w:t>弃渣采取自卸汽车清运至弃渣场内填埋处置。</w:t>
      </w:r>
      <w:r>
        <w:rPr>
          <w:rFonts w:hint="eastAsia" w:ascii="Arial" w:hAnsi="Arial" w:cs="Arial"/>
          <w:color w:val="auto"/>
          <w:sz w:val="26"/>
          <w:szCs w:val="26"/>
          <w:lang w:val="en-US" w:eastAsia="zh-CN"/>
        </w:rPr>
        <w:t>土石方平衡详见表2.3-2所示。</w:t>
      </w:r>
    </w:p>
    <w:p w14:paraId="1C1FEE14">
      <w:pPr>
        <w:pStyle w:val="2107"/>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color w:val="auto"/>
          <w:sz w:val="26"/>
          <w:szCs w:val="26"/>
          <w:highlight w:val="none"/>
        </w:rPr>
      </w:pPr>
      <w:r>
        <w:rPr>
          <w:rFonts w:hint="default" w:ascii="Arial" w:hAnsi="Arial" w:cs="Arial"/>
          <w:color w:val="auto"/>
          <w:sz w:val="26"/>
          <w:szCs w:val="26"/>
          <w:highlight w:val="none"/>
          <w:lang w:eastAsia="zh-CN"/>
        </w:rPr>
        <w:t>表</w:t>
      </w:r>
      <w:r>
        <w:rPr>
          <w:rFonts w:hint="default" w:ascii="Arial" w:hAnsi="Arial" w:cs="Arial"/>
          <w:color w:val="auto"/>
          <w:sz w:val="26"/>
          <w:szCs w:val="26"/>
          <w:highlight w:val="none"/>
          <w:lang w:val="en-US" w:eastAsia="zh-CN"/>
        </w:rPr>
        <w:t xml:space="preserve">2.3-1 </w:t>
      </w:r>
      <w:r>
        <w:rPr>
          <w:rFonts w:hint="default" w:ascii="Arial" w:hAnsi="Arial" w:cs="Arial"/>
          <w:color w:val="auto"/>
          <w:sz w:val="26"/>
          <w:szCs w:val="26"/>
          <w:highlight w:val="none"/>
        </w:rPr>
        <w:t>枢纽工程区土石平衡表</w:t>
      </w:r>
    </w:p>
    <w:tbl>
      <w:tblPr>
        <w:tblStyle w:val="77"/>
        <w:tblW w:w="1265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01"/>
        <w:gridCol w:w="1823"/>
        <w:gridCol w:w="920"/>
        <w:gridCol w:w="1084"/>
        <w:gridCol w:w="1337"/>
        <w:gridCol w:w="1382"/>
        <w:gridCol w:w="1097"/>
        <w:gridCol w:w="4213"/>
      </w:tblGrid>
      <w:tr w14:paraId="32A8EA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85" w:hRule="exact"/>
          <w:jc w:val="center"/>
        </w:trPr>
        <w:tc>
          <w:tcPr>
            <w:tcW w:w="801" w:type="dxa"/>
            <w:vMerge w:val="restart"/>
            <w:tcBorders>
              <w:tl2br w:val="nil"/>
              <w:tr2bl w:val="nil"/>
            </w:tcBorders>
            <w:noWrap/>
            <w:vAlign w:val="center"/>
          </w:tcPr>
          <w:p w14:paraId="597F1DB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序号</w:t>
            </w:r>
          </w:p>
        </w:tc>
        <w:tc>
          <w:tcPr>
            <w:tcW w:w="1823" w:type="dxa"/>
            <w:vMerge w:val="restart"/>
            <w:tcBorders>
              <w:tl2br w:val="nil"/>
              <w:tr2bl w:val="nil"/>
            </w:tcBorders>
            <w:noWrap/>
            <w:vAlign w:val="center"/>
          </w:tcPr>
          <w:p w14:paraId="58CE1B5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名称</w:t>
            </w:r>
          </w:p>
        </w:tc>
        <w:tc>
          <w:tcPr>
            <w:tcW w:w="920" w:type="dxa"/>
            <w:vMerge w:val="restart"/>
            <w:tcBorders>
              <w:tl2br w:val="nil"/>
              <w:tr2bl w:val="nil"/>
            </w:tcBorders>
            <w:noWrap/>
            <w:vAlign w:val="center"/>
          </w:tcPr>
          <w:p w14:paraId="046805A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单位</w:t>
            </w:r>
          </w:p>
        </w:tc>
        <w:tc>
          <w:tcPr>
            <w:tcW w:w="1084" w:type="dxa"/>
            <w:vMerge w:val="restart"/>
            <w:tcBorders>
              <w:tl2br w:val="nil"/>
              <w:tr2bl w:val="nil"/>
            </w:tcBorders>
            <w:noWrap/>
            <w:vAlign w:val="center"/>
          </w:tcPr>
          <w:p w14:paraId="36842C0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工程量</w:t>
            </w:r>
          </w:p>
        </w:tc>
        <w:tc>
          <w:tcPr>
            <w:tcW w:w="2719" w:type="dxa"/>
            <w:gridSpan w:val="2"/>
            <w:tcBorders>
              <w:tl2br w:val="nil"/>
              <w:tr2bl w:val="nil"/>
            </w:tcBorders>
            <w:noWrap w:val="0"/>
            <w:vAlign w:val="center"/>
          </w:tcPr>
          <w:p w14:paraId="77B5BD7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利用土石方</w:t>
            </w:r>
          </w:p>
        </w:tc>
        <w:tc>
          <w:tcPr>
            <w:tcW w:w="1097" w:type="dxa"/>
            <w:vMerge w:val="restart"/>
            <w:tcBorders>
              <w:tl2br w:val="nil"/>
              <w:tr2bl w:val="nil"/>
            </w:tcBorders>
            <w:noWrap w:val="0"/>
            <w:vAlign w:val="center"/>
          </w:tcPr>
          <w:p w14:paraId="34DED77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弃渣</w:t>
            </w:r>
          </w:p>
        </w:tc>
        <w:tc>
          <w:tcPr>
            <w:tcW w:w="4213" w:type="dxa"/>
            <w:vMerge w:val="restart"/>
            <w:tcBorders>
              <w:tl2br w:val="nil"/>
              <w:tr2bl w:val="nil"/>
            </w:tcBorders>
            <w:noWrap/>
            <w:vAlign w:val="center"/>
          </w:tcPr>
          <w:p w14:paraId="33BC235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说明</w:t>
            </w:r>
          </w:p>
        </w:tc>
      </w:tr>
      <w:tr w14:paraId="14013E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1" w:hRule="exact"/>
          <w:jc w:val="center"/>
        </w:trPr>
        <w:tc>
          <w:tcPr>
            <w:tcW w:w="801" w:type="dxa"/>
            <w:vMerge w:val="continue"/>
            <w:tcBorders>
              <w:tl2br w:val="nil"/>
              <w:tr2bl w:val="nil"/>
            </w:tcBorders>
            <w:noWrap w:val="0"/>
            <w:vAlign w:val="center"/>
          </w:tcPr>
          <w:p w14:paraId="0A31532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p>
        </w:tc>
        <w:tc>
          <w:tcPr>
            <w:tcW w:w="1823" w:type="dxa"/>
            <w:vMerge w:val="continue"/>
            <w:tcBorders>
              <w:tl2br w:val="nil"/>
              <w:tr2bl w:val="nil"/>
            </w:tcBorders>
            <w:noWrap w:val="0"/>
            <w:vAlign w:val="center"/>
          </w:tcPr>
          <w:p w14:paraId="2F33822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p>
        </w:tc>
        <w:tc>
          <w:tcPr>
            <w:tcW w:w="920" w:type="dxa"/>
            <w:vMerge w:val="continue"/>
            <w:tcBorders>
              <w:tl2br w:val="nil"/>
              <w:tr2bl w:val="nil"/>
            </w:tcBorders>
            <w:noWrap w:val="0"/>
            <w:vAlign w:val="center"/>
          </w:tcPr>
          <w:p w14:paraId="1C66DEE6">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default" w:ascii="Arial" w:hAnsi="Arial" w:cs="Arial"/>
                <w:i w:val="0"/>
                <w:iCs w:val="0"/>
                <w:color w:val="auto"/>
                <w:sz w:val="22"/>
                <w:szCs w:val="22"/>
                <w:highlight w:val="none"/>
                <w:u w:val="none"/>
              </w:rPr>
            </w:pPr>
          </w:p>
        </w:tc>
        <w:tc>
          <w:tcPr>
            <w:tcW w:w="1084" w:type="dxa"/>
            <w:vMerge w:val="continue"/>
            <w:tcBorders>
              <w:tl2br w:val="nil"/>
              <w:tr2bl w:val="nil"/>
            </w:tcBorders>
            <w:noWrap w:val="0"/>
            <w:vAlign w:val="center"/>
          </w:tcPr>
          <w:p w14:paraId="6FE861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p>
        </w:tc>
        <w:tc>
          <w:tcPr>
            <w:tcW w:w="1337" w:type="dxa"/>
            <w:tcBorders>
              <w:tl2br w:val="nil"/>
              <w:tr2bl w:val="nil"/>
            </w:tcBorders>
            <w:noWrap w:val="0"/>
            <w:vAlign w:val="center"/>
          </w:tcPr>
          <w:p w14:paraId="6B6CAB2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直接利用</w:t>
            </w:r>
          </w:p>
        </w:tc>
        <w:tc>
          <w:tcPr>
            <w:tcW w:w="1382" w:type="dxa"/>
            <w:tcBorders>
              <w:tl2br w:val="nil"/>
              <w:tr2bl w:val="nil"/>
            </w:tcBorders>
            <w:noWrap w:val="0"/>
            <w:vAlign w:val="center"/>
          </w:tcPr>
          <w:p w14:paraId="4C8D71E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间接利用</w:t>
            </w:r>
          </w:p>
        </w:tc>
        <w:tc>
          <w:tcPr>
            <w:tcW w:w="1097" w:type="dxa"/>
            <w:vMerge w:val="continue"/>
            <w:tcBorders>
              <w:tl2br w:val="nil"/>
              <w:tr2bl w:val="nil"/>
            </w:tcBorders>
            <w:noWrap w:val="0"/>
            <w:vAlign w:val="center"/>
          </w:tcPr>
          <w:p w14:paraId="23A7AFE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p>
        </w:tc>
        <w:tc>
          <w:tcPr>
            <w:tcW w:w="4213" w:type="dxa"/>
            <w:vMerge w:val="continue"/>
            <w:tcBorders>
              <w:tl2br w:val="nil"/>
              <w:tr2bl w:val="nil"/>
            </w:tcBorders>
            <w:noWrap w:val="0"/>
            <w:vAlign w:val="center"/>
          </w:tcPr>
          <w:p w14:paraId="5968596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cs="Arial"/>
                <w:i w:val="0"/>
                <w:iCs w:val="0"/>
                <w:color w:val="auto"/>
                <w:sz w:val="22"/>
                <w:szCs w:val="22"/>
                <w:highlight w:val="none"/>
                <w:u w:val="none"/>
              </w:rPr>
            </w:pPr>
          </w:p>
        </w:tc>
      </w:tr>
      <w:tr w14:paraId="5A04B6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5" w:hRule="exact"/>
          <w:jc w:val="center"/>
        </w:trPr>
        <w:tc>
          <w:tcPr>
            <w:tcW w:w="801" w:type="dxa"/>
            <w:tcBorders>
              <w:tl2br w:val="nil"/>
              <w:tr2bl w:val="nil"/>
            </w:tcBorders>
            <w:noWrap/>
            <w:vAlign w:val="center"/>
          </w:tcPr>
          <w:p w14:paraId="33FD6B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一</w:t>
            </w:r>
          </w:p>
        </w:tc>
        <w:tc>
          <w:tcPr>
            <w:tcW w:w="1823" w:type="dxa"/>
            <w:tcBorders>
              <w:tl2br w:val="nil"/>
              <w:tr2bl w:val="nil"/>
            </w:tcBorders>
            <w:noWrap/>
            <w:vAlign w:val="center"/>
          </w:tcPr>
          <w:p w14:paraId="29D3E51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主体工程</w:t>
            </w:r>
          </w:p>
        </w:tc>
        <w:tc>
          <w:tcPr>
            <w:tcW w:w="920" w:type="dxa"/>
            <w:tcBorders>
              <w:tl2br w:val="nil"/>
              <w:tr2bl w:val="nil"/>
            </w:tcBorders>
            <w:noWrap/>
            <w:vAlign w:val="center"/>
          </w:tcPr>
          <w:p w14:paraId="1B301043">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default" w:ascii="Arial" w:hAnsi="Arial" w:cs="Arial"/>
                <w:i w:val="0"/>
                <w:iCs w:val="0"/>
                <w:color w:val="auto"/>
                <w:sz w:val="22"/>
                <w:szCs w:val="22"/>
                <w:highlight w:val="none"/>
                <w:u w:val="none"/>
              </w:rPr>
            </w:pPr>
          </w:p>
        </w:tc>
        <w:tc>
          <w:tcPr>
            <w:tcW w:w="1084" w:type="dxa"/>
            <w:tcBorders>
              <w:tl2br w:val="nil"/>
              <w:tr2bl w:val="nil"/>
            </w:tcBorders>
            <w:noWrap/>
            <w:vAlign w:val="center"/>
          </w:tcPr>
          <w:p w14:paraId="2B4A3BC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自然方</w:t>
            </w:r>
          </w:p>
        </w:tc>
        <w:tc>
          <w:tcPr>
            <w:tcW w:w="2719" w:type="dxa"/>
            <w:gridSpan w:val="2"/>
            <w:tcBorders>
              <w:tl2br w:val="nil"/>
              <w:tr2bl w:val="nil"/>
            </w:tcBorders>
            <w:noWrap/>
            <w:vAlign w:val="center"/>
          </w:tcPr>
          <w:p w14:paraId="4CA9FFC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自然方</w:t>
            </w:r>
          </w:p>
        </w:tc>
        <w:tc>
          <w:tcPr>
            <w:tcW w:w="1097" w:type="dxa"/>
            <w:tcBorders>
              <w:tl2br w:val="nil"/>
              <w:tr2bl w:val="nil"/>
            </w:tcBorders>
            <w:noWrap/>
            <w:vAlign w:val="center"/>
          </w:tcPr>
          <w:p w14:paraId="32B0D1B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自然方</w:t>
            </w:r>
          </w:p>
        </w:tc>
        <w:tc>
          <w:tcPr>
            <w:tcW w:w="4213" w:type="dxa"/>
            <w:tcBorders>
              <w:tl2br w:val="nil"/>
              <w:tr2bl w:val="nil"/>
            </w:tcBorders>
            <w:noWrap/>
            <w:vAlign w:val="center"/>
          </w:tcPr>
          <w:p w14:paraId="125F939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cs="Arial"/>
                <w:i w:val="0"/>
                <w:iCs w:val="0"/>
                <w:color w:val="auto"/>
                <w:sz w:val="22"/>
                <w:szCs w:val="22"/>
                <w:highlight w:val="none"/>
                <w:u w:val="none"/>
              </w:rPr>
            </w:pPr>
          </w:p>
        </w:tc>
      </w:tr>
      <w:tr w14:paraId="61B3AA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6" w:hRule="exact"/>
          <w:jc w:val="center"/>
        </w:trPr>
        <w:tc>
          <w:tcPr>
            <w:tcW w:w="801" w:type="dxa"/>
            <w:tcBorders>
              <w:tl2br w:val="nil"/>
              <w:tr2bl w:val="nil"/>
            </w:tcBorders>
            <w:noWrap/>
            <w:vAlign w:val="center"/>
          </w:tcPr>
          <w:p w14:paraId="1460AF6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1</w:t>
            </w:r>
          </w:p>
        </w:tc>
        <w:tc>
          <w:tcPr>
            <w:tcW w:w="11856" w:type="dxa"/>
            <w:gridSpan w:val="7"/>
            <w:tcBorders>
              <w:tl2br w:val="nil"/>
              <w:tr2bl w:val="nil"/>
            </w:tcBorders>
            <w:noWrap/>
            <w:vAlign w:val="center"/>
          </w:tcPr>
          <w:p w14:paraId="0FA61A1E">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Arial" w:hAnsi="Arial" w:cs="Arial"/>
                <w:i w:val="0"/>
                <w:iCs w:val="0"/>
                <w:color w:val="auto"/>
                <w:sz w:val="22"/>
                <w:szCs w:val="22"/>
                <w:highlight w:val="none"/>
                <w:u w:val="none"/>
              </w:rPr>
            </w:pPr>
            <w:r>
              <w:rPr>
                <w:rFonts w:hint="default" w:ascii="Arial" w:hAnsi="Arial" w:eastAsia="宋体" w:cs="Arial"/>
                <w:color w:val="auto"/>
                <w:kern w:val="0"/>
                <w:sz w:val="22"/>
                <w:szCs w:val="22"/>
                <w:highlight w:val="none"/>
                <w:lang w:val="en-US" w:eastAsia="zh-CN"/>
              </w:rPr>
              <w:t>枢纽工程</w:t>
            </w:r>
          </w:p>
        </w:tc>
      </w:tr>
      <w:tr w14:paraId="00FB28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801" w:type="dxa"/>
            <w:tcBorders>
              <w:tl2br w:val="nil"/>
              <w:tr2bl w:val="nil"/>
            </w:tcBorders>
            <w:noWrap/>
            <w:vAlign w:val="center"/>
          </w:tcPr>
          <w:p w14:paraId="66A62F5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（1）</w:t>
            </w:r>
          </w:p>
        </w:tc>
        <w:tc>
          <w:tcPr>
            <w:tcW w:w="1823" w:type="dxa"/>
            <w:tcBorders>
              <w:tl2br w:val="nil"/>
              <w:tr2bl w:val="nil"/>
            </w:tcBorders>
            <w:noWrap/>
            <w:vAlign w:val="center"/>
          </w:tcPr>
          <w:p w14:paraId="5708D79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土方开挖</w:t>
            </w:r>
          </w:p>
        </w:tc>
        <w:tc>
          <w:tcPr>
            <w:tcW w:w="920" w:type="dxa"/>
            <w:tcBorders>
              <w:tl2br w:val="nil"/>
              <w:tr2bl w:val="nil"/>
            </w:tcBorders>
            <w:noWrap/>
            <w:vAlign w:val="center"/>
          </w:tcPr>
          <w:p w14:paraId="50D5262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084" w:type="dxa"/>
            <w:tcBorders>
              <w:tl2br w:val="nil"/>
              <w:tr2bl w:val="nil"/>
            </w:tcBorders>
            <w:noWrap/>
            <w:vAlign w:val="center"/>
          </w:tcPr>
          <w:p w14:paraId="647316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337" w:type="dxa"/>
            <w:tcBorders>
              <w:tl2br w:val="nil"/>
              <w:tr2bl w:val="nil"/>
            </w:tcBorders>
            <w:noWrap/>
            <w:vAlign w:val="center"/>
          </w:tcPr>
          <w:p w14:paraId="5BCB52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382" w:type="dxa"/>
            <w:tcBorders>
              <w:tl2br w:val="nil"/>
              <w:tr2bl w:val="nil"/>
            </w:tcBorders>
            <w:noWrap/>
            <w:vAlign w:val="center"/>
          </w:tcPr>
          <w:p w14:paraId="33AB764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097" w:type="dxa"/>
            <w:tcBorders>
              <w:tl2br w:val="nil"/>
              <w:tr2bl w:val="nil"/>
            </w:tcBorders>
            <w:noWrap/>
            <w:vAlign w:val="center"/>
          </w:tcPr>
          <w:p w14:paraId="14EB677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4213" w:type="dxa"/>
            <w:tcBorders>
              <w:tl2br w:val="nil"/>
              <w:tr2bl w:val="nil"/>
            </w:tcBorders>
            <w:noWrap/>
            <w:vAlign w:val="center"/>
          </w:tcPr>
          <w:p w14:paraId="0D91211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p>
        </w:tc>
      </w:tr>
      <w:tr w14:paraId="695205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801" w:type="dxa"/>
            <w:tcBorders>
              <w:tl2br w:val="nil"/>
              <w:tr2bl w:val="nil"/>
            </w:tcBorders>
            <w:noWrap/>
            <w:vAlign w:val="center"/>
          </w:tcPr>
          <w:p w14:paraId="1C40745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rPr>
            </w:pPr>
            <w:r>
              <w:rPr>
                <w:rFonts w:hint="eastAsia" w:ascii="Arial" w:hAnsi="Arial" w:cs="Arial"/>
                <w:color w:val="auto"/>
                <w:kern w:val="0"/>
                <w:sz w:val="22"/>
                <w:szCs w:val="22"/>
                <w:highlight w:val="none"/>
                <w:lang w:val="en-US" w:eastAsia="zh-CN"/>
              </w:rPr>
              <w:t>（2）</w:t>
            </w:r>
          </w:p>
        </w:tc>
        <w:tc>
          <w:tcPr>
            <w:tcW w:w="1823" w:type="dxa"/>
            <w:tcBorders>
              <w:tl2br w:val="nil"/>
              <w:tr2bl w:val="nil"/>
            </w:tcBorders>
            <w:noWrap/>
            <w:vAlign w:val="center"/>
          </w:tcPr>
          <w:p w14:paraId="415653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石方开挖</w:t>
            </w:r>
          </w:p>
        </w:tc>
        <w:tc>
          <w:tcPr>
            <w:tcW w:w="920" w:type="dxa"/>
            <w:tcBorders>
              <w:tl2br w:val="nil"/>
              <w:tr2bl w:val="nil"/>
            </w:tcBorders>
            <w:noWrap/>
            <w:vAlign w:val="center"/>
          </w:tcPr>
          <w:p w14:paraId="3710134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084" w:type="dxa"/>
            <w:tcBorders>
              <w:tl2br w:val="nil"/>
              <w:tr2bl w:val="nil"/>
            </w:tcBorders>
            <w:noWrap/>
            <w:vAlign w:val="center"/>
          </w:tcPr>
          <w:p w14:paraId="42246D9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 xml:space="preserve">1.40 </w:t>
            </w:r>
          </w:p>
        </w:tc>
        <w:tc>
          <w:tcPr>
            <w:tcW w:w="1337" w:type="dxa"/>
            <w:tcBorders>
              <w:tl2br w:val="nil"/>
              <w:tr2bl w:val="nil"/>
            </w:tcBorders>
            <w:noWrap/>
            <w:vAlign w:val="center"/>
          </w:tcPr>
          <w:p w14:paraId="5B4B2FD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382" w:type="dxa"/>
            <w:tcBorders>
              <w:tl2br w:val="nil"/>
              <w:tr2bl w:val="nil"/>
            </w:tcBorders>
            <w:noWrap/>
            <w:vAlign w:val="center"/>
          </w:tcPr>
          <w:p w14:paraId="3137423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 xml:space="preserve">0.49 </w:t>
            </w:r>
          </w:p>
        </w:tc>
        <w:tc>
          <w:tcPr>
            <w:tcW w:w="1097" w:type="dxa"/>
            <w:tcBorders>
              <w:tl2br w:val="nil"/>
              <w:tr2bl w:val="nil"/>
            </w:tcBorders>
            <w:noWrap/>
            <w:vAlign w:val="center"/>
          </w:tcPr>
          <w:p w14:paraId="5044117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 xml:space="preserve">0.91 </w:t>
            </w:r>
          </w:p>
        </w:tc>
        <w:tc>
          <w:tcPr>
            <w:tcW w:w="4213" w:type="dxa"/>
            <w:tcBorders>
              <w:tl2br w:val="nil"/>
              <w:tr2bl w:val="nil"/>
            </w:tcBorders>
            <w:noWrap/>
            <w:vAlign w:val="center"/>
          </w:tcPr>
          <w:p w14:paraId="0307E01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3</w:t>
            </w:r>
            <w:r>
              <w:rPr>
                <w:rFonts w:hint="eastAsia" w:ascii="Arial" w:hAnsi="Arial" w:cs="Arial"/>
                <w:color w:val="auto"/>
                <w:kern w:val="0"/>
                <w:sz w:val="22"/>
                <w:szCs w:val="22"/>
                <w:highlight w:val="none"/>
                <w:lang w:val="en-US" w:eastAsia="zh-CN"/>
              </w:rPr>
              <w:t>5</w:t>
            </w:r>
            <w:r>
              <w:rPr>
                <w:rFonts w:hint="default" w:ascii="Arial" w:hAnsi="Arial" w:eastAsia="宋体" w:cs="Arial"/>
                <w:color w:val="auto"/>
                <w:kern w:val="0"/>
                <w:sz w:val="22"/>
                <w:szCs w:val="22"/>
                <w:highlight w:val="none"/>
                <w:lang w:val="en-US" w:eastAsia="zh-CN"/>
              </w:rPr>
              <w:t>%利用料，剩余为弃渣，直接运至渣场，运距6km</w:t>
            </w:r>
          </w:p>
        </w:tc>
      </w:tr>
      <w:tr w14:paraId="0B9B26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801" w:type="dxa"/>
            <w:tcBorders>
              <w:tl2br w:val="nil"/>
              <w:tr2bl w:val="nil"/>
            </w:tcBorders>
            <w:noWrap/>
            <w:vAlign w:val="center"/>
          </w:tcPr>
          <w:p w14:paraId="1502F1B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2</w:t>
            </w:r>
          </w:p>
        </w:tc>
        <w:tc>
          <w:tcPr>
            <w:tcW w:w="11856" w:type="dxa"/>
            <w:gridSpan w:val="7"/>
            <w:tcBorders>
              <w:tl2br w:val="nil"/>
              <w:tr2bl w:val="nil"/>
            </w:tcBorders>
            <w:noWrap/>
            <w:vAlign w:val="center"/>
          </w:tcPr>
          <w:p w14:paraId="2ADBD5A0">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临时工程</w:t>
            </w:r>
          </w:p>
        </w:tc>
      </w:tr>
      <w:tr w14:paraId="0271E0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8" w:hRule="atLeast"/>
          <w:jc w:val="center"/>
        </w:trPr>
        <w:tc>
          <w:tcPr>
            <w:tcW w:w="801" w:type="dxa"/>
            <w:tcBorders>
              <w:tl2br w:val="nil"/>
              <w:tr2bl w:val="nil"/>
            </w:tcBorders>
            <w:noWrap/>
            <w:vAlign w:val="center"/>
          </w:tcPr>
          <w:p w14:paraId="4EFFD18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rPr>
            </w:pPr>
            <w:r>
              <w:rPr>
                <w:rFonts w:hint="eastAsia" w:ascii="Arial" w:hAnsi="Arial" w:cs="Arial"/>
                <w:color w:val="auto"/>
                <w:kern w:val="0"/>
                <w:sz w:val="22"/>
                <w:szCs w:val="22"/>
                <w:highlight w:val="none"/>
                <w:lang w:val="en-US" w:eastAsia="zh-CN"/>
              </w:rPr>
              <w:t>（1）</w:t>
            </w:r>
          </w:p>
        </w:tc>
        <w:tc>
          <w:tcPr>
            <w:tcW w:w="1823" w:type="dxa"/>
            <w:tcBorders>
              <w:tl2br w:val="nil"/>
              <w:tr2bl w:val="nil"/>
            </w:tcBorders>
            <w:noWrap/>
            <w:vAlign w:val="center"/>
          </w:tcPr>
          <w:p w14:paraId="53FD1BD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土方开挖</w:t>
            </w:r>
          </w:p>
        </w:tc>
        <w:tc>
          <w:tcPr>
            <w:tcW w:w="920" w:type="dxa"/>
            <w:tcBorders>
              <w:tl2br w:val="nil"/>
              <w:tr2bl w:val="nil"/>
            </w:tcBorders>
            <w:noWrap/>
            <w:vAlign w:val="center"/>
          </w:tcPr>
          <w:p w14:paraId="5EB7E7B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084" w:type="dxa"/>
            <w:tcBorders>
              <w:tl2br w:val="nil"/>
              <w:tr2bl w:val="nil"/>
            </w:tcBorders>
            <w:noWrap/>
            <w:vAlign w:val="center"/>
          </w:tcPr>
          <w:p w14:paraId="31F0EAF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 xml:space="preserve">4.28 </w:t>
            </w:r>
          </w:p>
        </w:tc>
        <w:tc>
          <w:tcPr>
            <w:tcW w:w="1337" w:type="dxa"/>
            <w:tcBorders>
              <w:tl2br w:val="nil"/>
              <w:tr2bl w:val="nil"/>
            </w:tcBorders>
            <w:noWrap/>
            <w:vAlign w:val="center"/>
          </w:tcPr>
          <w:p w14:paraId="7A5F520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382" w:type="dxa"/>
            <w:tcBorders>
              <w:tl2br w:val="nil"/>
              <w:tr2bl w:val="nil"/>
            </w:tcBorders>
            <w:noWrap/>
            <w:vAlign w:val="center"/>
          </w:tcPr>
          <w:p w14:paraId="3C6AE67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 xml:space="preserve">1.15 </w:t>
            </w:r>
          </w:p>
        </w:tc>
        <w:tc>
          <w:tcPr>
            <w:tcW w:w="1097" w:type="dxa"/>
            <w:tcBorders>
              <w:tl2br w:val="nil"/>
              <w:tr2bl w:val="nil"/>
            </w:tcBorders>
            <w:noWrap/>
            <w:vAlign w:val="center"/>
          </w:tcPr>
          <w:p w14:paraId="7724F20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3.1</w:t>
            </w:r>
            <w:r>
              <w:rPr>
                <w:rFonts w:hint="default" w:ascii="Arial" w:hAnsi="Arial" w:cs="Arial"/>
                <w:color w:val="auto"/>
                <w:kern w:val="0"/>
                <w:sz w:val="22"/>
                <w:szCs w:val="22"/>
                <w:highlight w:val="none"/>
                <w:lang w:val="en-US" w:eastAsia="zh-CN"/>
              </w:rPr>
              <w:t>3</w:t>
            </w:r>
          </w:p>
        </w:tc>
        <w:tc>
          <w:tcPr>
            <w:tcW w:w="4213" w:type="dxa"/>
            <w:tcBorders>
              <w:tl2br w:val="nil"/>
              <w:tr2bl w:val="nil"/>
            </w:tcBorders>
            <w:noWrap/>
            <w:vAlign w:val="center"/>
          </w:tcPr>
          <w:p w14:paraId="4ECB11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26.</w:t>
            </w:r>
            <w:r>
              <w:rPr>
                <w:rFonts w:hint="eastAsia" w:ascii="Arial" w:hAnsi="Arial" w:cs="Arial"/>
                <w:color w:val="auto"/>
                <w:kern w:val="0"/>
                <w:sz w:val="22"/>
                <w:szCs w:val="22"/>
                <w:highlight w:val="none"/>
                <w:lang w:val="en-US" w:eastAsia="zh-CN"/>
              </w:rPr>
              <w:t>88</w:t>
            </w:r>
            <w:r>
              <w:rPr>
                <w:rFonts w:hint="default" w:ascii="Arial" w:hAnsi="Arial" w:eastAsia="宋体" w:cs="Arial"/>
                <w:color w:val="auto"/>
                <w:kern w:val="0"/>
                <w:sz w:val="22"/>
                <w:szCs w:val="22"/>
                <w:highlight w:val="none"/>
                <w:lang w:val="en-US" w:eastAsia="zh-CN"/>
              </w:rPr>
              <w:t>%利用料，剩余为弃渣，直接运至渣场，运距6km</w:t>
            </w:r>
          </w:p>
        </w:tc>
      </w:tr>
      <w:tr w14:paraId="173C3E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8" w:hRule="atLeast"/>
          <w:jc w:val="center"/>
        </w:trPr>
        <w:tc>
          <w:tcPr>
            <w:tcW w:w="801" w:type="dxa"/>
            <w:tcBorders>
              <w:tl2br w:val="nil"/>
              <w:tr2bl w:val="nil"/>
            </w:tcBorders>
            <w:noWrap/>
            <w:vAlign w:val="center"/>
          </w:tcPr>
          <w:p w14:paraId="082E8E4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rPr>
            </w:pPr>
            <w:r>
              <w:rPr>
                <w:rFonts w:hint="eastAsia" w:ascii="Arial" w:hAnsi="Arial" w:cs="Arial"/>
                <w:color w:val="auto"/>
                <w:kern w:val="0"/>
                <w:sz w:val="22"/>
                <w:szCs w:val="22"/>
                <w:highlight w:val="none"/>
                <w:lang w:val="en-US" w:eastAsia="zh-CN"/>
              </w:rPr>
              <w:t>（2）</w:t>
            </w:r>
          </w:p>
        </w:tc>
        <w:tc>
          <w:tcPr>
            <w:tcW w:w="1823" w:type="dxa"/>
            <w:tcBorders>
              <w:tl2br w:val="nil"/>
              <w:tr2bl w:val="nil"/>
            </w:tcBorders>
            <w:noWrap/>
            <w:vAlign w:val="center"/>
          </w:tcPr>
          <w:p w14:paraId="3C8C1E4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石方开挖</w:t>
            </w:r>
          </w:p>
        </w:tc>
        <w:tc>
          <w:tcPr>
            <w:tcW w:w="920" w:type="dxa"/>
            <w:tcBorders>
              <w:tl2br w:val="nil"/>
              <w:tr2bl w:val="nil"/>
            </w:tcBorders>
            <w:noWrap/>
            <w:vAlign w:val="center"/>
          </w:tcPr>
          <w:p w14:paraId="2D1F296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084" w:type="dxa"/>
            <w:tcBorders>
              <w:tl2br w:val="nil"/>
              <w:tr2bl w:val="nil"/>
            </w:tcBorders>
            <w:noWrap/>
            <w:vAlign w:val="center"/>
          </w:tcPr>
          <w:p w14:paraId="666E5CE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 xml:space="preserve">2.09 </w:t>
            </w:r>
          </w:p>
        </w:tc>
        <w:tc>
          <w:tcPr>
            <w:tcW w:w="1337" w:type="dxa"/>
            <w:tcBorders>
              <w:tl2br w:val="nil"/>
              <w:tr2bl w:val="nil"/>
            </w:tcBorders>
            <w:noWrap/>
            <w:vAlign w:val="center"/>
          </w:tcPr>
          <w:p w14:paraId="01CE44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 xml:space="preserve">0.07 </w:t>
            </w:r>
          </w:p>
        </w:tc>
        <w:tc>
          <w:tcPr>
            <w:tcW w:w="1382" w:type="dxa"/>
            <w:tcBorders>
              <w:tl2br w:val="nil"/>
              <w:tr2bl w:val="nil"/>
            </w:tcBorders>
            <w:noWrap/>
            <w:vAlign w:val="center"/>
          </w:tcPr>
          <w:p w14:paraId="75C9405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097" w:type="dxa"/>
            <w:tcBorders>
              <w:tl2br w:val="nil"/>
              <w:tr2bl w:val="nil"/>
            </w:tcBorders>
            <w:noWrap/>
            <w:vAlign w:val="center"/>
          </w:tcPr>
          <w:p w14:paraId="00E8B43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 xml:space="preserve">2.02 </w:t>
            </w:r>
          </w:p>
        </w:tc>
        <w:tc>
          <w:tcPr>
            <w:tcW w:w="4213" w:type="dxa"/>
            <w:tcBorders>
              <w:tl2br w:val="nil"/>
              <w:tr2bl w:val="nil"/>
            </w:tcBorders>
            <w:noWrap/>
            <w:vAlign w:val="center"/>
          </w:tcPr>
          <w:p w14:paraId="6889988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3.</w:t>
            </w:r>
            <w:r>
              <w:rPr>
                <w:rFonts w:hint="eastAsia" w:ascii="Arial" w:hAnsi="Arial" w:cs="Arial"/>
                <w:color w:val="auto"/>
                <w:kern w:val="0"/>
                <w:sz w:val="22"/>
                <w:szCs w:val="22"/>
                <w:highlight w:val="none"/>
                <w:lang w:val="en-US" w:eastAsia="zh-CN"/>
              </w:rPr>
              <w:t>35</w:t>
            </w:r>
            <w:r>
              <w:rPr>
                <w:rFonts w:hint="default" w:ascii="Arial" w:hAnsi="Arial" w:eastAsia="宋体" w:cs="Arial"/>
                <w:color w:val="auto"/>
                <w:kern w:val="0"/>
                <w:sz w:val="22"/>
                <w:szCs w:val="22"/>
                <w:highlight w:val="none"/>
                <w:lang w:val="en-US" w:eastAsia="zh-CN"/>
              </w:rPr>
              <w:t>%直接利用；剩余为弃渣，直接运至渣场，运距6km</w:t>
            </w:r>
          </w:p>
        </w:tc>
      </w:tr>
      <w:tr w14:paraId="68C3E1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5" w:hRule="atLeast"/>
          <w:jc w:val="center"/>
        </w:trPr>
        <w:tc>
          <w:tcPr>
            <w:tcW w:w="801" w:type="dxa"/>
            <w:tcBorders>
              <w:tl2br w:val="nil"/>
              <w:tr2bl w:val="nil"/>
            </w:tcBorders>
            <w:noWrap/>
            <w:vAlign w:val="center"/>
          </w:tcPr>
          <w:p w14:paraId="6E8AB7A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rPr>
            </w:pPr>
            <w:r>
              <w:rPr>
                <w:rFonts w:hint="eastAsia" w:ascii="Arial" w:hAnsi="Arial" w:cs="Arial"/>
                <w:color w:val="auto"/>
                <w:kern w:val="0"/>
                <w:sz w:val="22"/>
                <w:szCs w:val="22"/>
                <w:highlight w:val="none"/>
                <w:lang w:val="en-US" w:eastAsia="zh-CN"/>
              </w:rPr>
              <w:t>（3）</w:t>
            </w:r>
          </w:p>
        </w:tc>
        <w:tc>
          <w:tcPr>
            <w:tcW w:w="1823" w:type="dxa"/>
            <w:tcBorders>
              <w:tl2br w:val="nil"/>
              <w:tr2bl w:val="nil"/>
            </w:tcBorders>
            <w:noWrap/>
            <w:vAlign w:val="center"/>
          </w:tcPr>
          <w:p w14:paraId="22DBF6C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围堰拆除</w:t>
            </w:r>
          </w:p>
        </w:tc>
        <w:tc>
          <w:tcPr>
            <w:tcW w:w="920" w:type="dxa"/>
            <w:tcBorders>
              <w:tl2br w:val="nil"/>
              <w:tr2bl w:val="nil"/>
            </w:tcBorders>
            <w:noWrap/>
            <w:vAlign w:val="center"/>
          </w:tcPr>
          <w:p w14:paraId="1450797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084" w:type="dxa"/>
            <w:tcBorders>
              <w:tl2br w:val="nil"/>
              <w:tr2bl w:val="nil"/>
            </w:tcBorders>
            <w:noWrap/>
            <w:vAlign w:val="center"/>
          </w:tcPr>
          <w:p w14:paraId="6272A51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0.7</w:t>
            </w:r>
            <w:r>
              <w:rPr>
                <w:rFonts w:hint="default" w:ascii="Arial" w:hAnsi="Arial" w:cs="Arial"/>
                <w:color w:val="auto"/>
                <w:kern w:val="0"/>
                <w:sz w:val="22"/>
                <w:szCs w:val="22"/>
                <w:highlight w:val="none"/>
                <w:lang w:val="en-US" w:eastAsia="zh-CN"/>
              </w:rPr>
              <w:t>7</w:t>
            </w:r>
            <w:r>
              <w:rPr>
                <w:rFonts w:hint="default" w:ascii="Arial" w:hAnsi="Arial" w:eastAsia="宋体" w:cs="Arial"/>
                <w:color w:val="auto"/>
                <w:kern w:val="0"/>
                <w:sz w:val="22"/>
                <w:szCs w:val="22"/>
                <w:highlight w:val="none"/>
                <w:lang w:val="en-US" w:eastAsia="zh-CN"/>
              </w:rPr>
              <w:t xml:space="preserve"> </w:t>
            </w:r>
          </w:p>
        </w:tc>
        <w:tc>
          <w:tcPr>
            <w:tcW w:w="1337" w:type="dxa"/>
            <w:tcBorders>
              <w:tl2br w:val="nil"/>
              <w:tr2bl w:val="nil"/>
            </w:tcBorders>
            <w:noWrap/>
            <w:vAlign w:val="center"/>
          </w:tcPr>
          <w:p w14:paraId="47B7283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382" w:type="dxa"/>
            <w:tcBorders>
              <w:tl2br w:val="nil"/>
              <w:tr2bl w:val="nil"/>
            </w:tcBorders>
            <w:noWrap/>
            <w:vAlign w:val="center"/>
          </w:tcPr>
          <w:p w14:paraId="36565B9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0.2</w:t>
            </w:r>
            <w:r>
              <w:rPr>
                <w:rFonts w:hint="default" w:ascii="Arial" w:hAnsi="Arial" w:cs="Arial"/>
                <w:color w:val="auto"/>
                <w:kern w:val="0"/>
                <w:sz w:val="22"/>
                <w:szCs w:val="22"/>
                <w:highlight w:val="none"/>
                <w:lang w:val="en-US" w:eastAsia="zh-CN"/>
              </w:rPr>
              <w:t>2</w:t>
            </w:r>
            <w:r>
              <w:rPr>
                <w:rFonts w:hint="default" w:ascii="Arial" w:hAnsi="Arial" w:eastAsia="宋体" w:cs="Arial"/>
                <w:color w:val="auto"/>
                <w:kern w:val="0"/>
                <w:sz w:val="22"/>
                <w:szCs w:val="22"/>
                <w:highlight w:val="none"/>
                <w:lang w:val="en-US" w:eastAsia="zh-CN"/>
              </w:rPr>
              <w:t xml:space="preserve"> </w:t>
            </w:r>
          </w:p>
        </w:tc>
        <w:tc>
          <w:tcPr>
            <w:tcW w:w="1097" w:type="dxa"/>
            <w:tcBorders>
              <w:tl2br w:val="nil"/>
              <w:tr2bl w:val="nil"/>
            </w:tcBorders>
            <w:noWrap/>
            <w:vAlign w:val="center"/>
          </w:tcPr>
          <w:p w14:paraId="690C881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w:t>
            </w:r>
            <w:r>
              <w:rPr>
                <w:rFonts w:hint="default" w:ascii="Arial" w:hAnsi="Arial" w:cs="Arial"/>
                <w:color w:val="auto"/>
                <w:kern w:val="0"/>
                <w:sz w:val="22"/>
                <w:szCs w:val="22"/>
                <w:highlight w:val="none"/>
                <w:lang w:val="en-US" w:eastAsia="zh-CN"/>
              </w:rPr>
              <w:t>55</w:t>
            </w:r>
            <w:r>
              <w:rPr>
                <w:rFonts w:hint="default" w:ascii="Arial" w:hAnsi="Arial" w:eastAsia="宋体" w:cs="Arial"/>
                <w:color w:val="auto"/>
                <w:kern w:val="0"/>
                <w:sz w:val="22"/>
                <w:szCs w:val="22"/>
                <w:highlight w:val="none"/>
                <w:lang w:val="en-US" w:eastAsia="zh-CN"/>
              </w:rPr>
              <w:t xml:space="preserve"> </w:t>
            </w:r>
          </w:p>
        </w:tc>
        <w:tc>
          <w:tcPr>
            <w:tcW w:w="4213" w:type="dxa"/>
            <w:tcBorders>
              <w:tl2br w:val="nil"/>
              <w:tr2bl w:val="nil"/>
            </w:tcBorders>
            <w:noWrap/>
            <w:vAlign w:val="center"/>
          </w:tcPr>
          <w:p w14:paraId="32BE8FE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28.57</w:t>
            </w:r>
            <w:r>
              <w:rPr>
                <w:rFonts w:hint="default" w:ascii="Arial" w:hAnsi="Arial" w:eastAsia="宋体" w:cs="Arial"/>
                <w:color w:val="auto"/>
                <w:kern w:val="0"/>
                <w:sz w:val="22"/>
                <w:szCs w:val="22"/>
                <w:highlight w:val="none"/>
                <w:lang w:val="en-US" w:eastAsia="zh-CN"/>
              </w:rPr>
              <w:t>%利用料，剩余为弃渣，直接运至渣场，运距6km</w:t>
            </w:r>
          </w:p>
        </w:tc>
      </w:tr>
      <w:tr w14:paraId="19850B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801" w:type="dxa"/>
            <w:tcBorders>
              <w:tl2br w:val="nil"/>
              <w:tr2bl w:val="nil"/>
            </w:tcBorders>
            <w:noWrap/>
            <w:vAlign w:val="center"/>
          </w:tcPr>
          <w:p w14:paraId="6E399DA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rPr>
            </w:pPr>
            <w:r>
              <w:rPr>
                <w:rFonts w:hint="default" w:ascii="Arial" w:hAnsi="Arial" w:eastAsia="宋体" w:cs="Arial"/>
                <w:color w:val="auto"/>
                <w:kern w:val="0"/>
                <w:sz w:val="22"/>
                <w:szCs w:val="22"/>
                <w:highlight w:val="none"/>
                <w:lang w:val="en-US" w:eastAsia="zh-CN"/>
              </w:rPr>
              <w:t>3</w:t>
            </w:r>
          </w:p>
        </w:tc>
        <w:tc>
          <w:tcPr>
            <w:tcW w:w="1823" w:type="dxa"/>
            <w:tcBorders>
              <w:tl2br w:val="nil"/>
              <w:tr2bl w:val="nil"/>
            </w:tcBorders>
            <w:noWrap/>
            <w:vAlign w:val="center"/>
          </w:tcPr>
          <w:p w14:paraId="5DE527C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合计</w:t>
            </w:r>
          </w:p>
        </w:tc>
        <w:tc>
          <w:tcPr>
            <w:tcW w:w="920" w:type="dxa"/>
            <w:tcBorders>
              <w:tl2br w:val="nil"/>
              <w:tr2bl w:val="nil"/>
            </w:tcBorders>
            <w:noWrap/>
            <w:vAlign w:val="center"/>
          </w:tcPr>
          <w:p w14:paraId="13252E1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084" w:type="dxa"/>
            <w:tcBorders>
              <w:tl2br w:val="nil"/>
              <w:tr2bl w:val="nil"/>
            </w:tcBorders>
            <w:noWrap/>
            <w:vAlign w:val="center"/>
          </w:tcPr>
          <w:p w14:paraId="17F7BD2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cs="Arial"/>
                <w:color w:val="auto"/>
                <w:kern w:val="0"/>
                <w:sz w:val="22"/>
                <w:szCs w:val="22"/>
                <w:highlight w:val="none"/>
                <w:lang w:val="en-US" w:eastAsia="zh-CN"/>
              </w:rPr>
              <w:t>8.54</w:t>
            </w:r>
          </w:p>
        </w:tc>
        <w:tc>
          <w:tcPr>
            <w:tcW w:w="1337" w:type="dxa"/>
            <w:tcBorders>
              <w:tl2br w:val="nil"/>
              <w:tr2bl w:val="nil"/>
            </w:tcBorders>
            <w:noWrap/>
            <w:vAlign w:val="center"/>
          </w:tcPr>
          <w:p w14:paraId="01F3C28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cs="Arial"/>
                <w:color w:val="auto"/>
                <w:kern w:val="0"/>
                <w:sz w:val="22"/>
                <w:szCs w:val="22"/>
                <w:highlight w:val="none"/>
                <w:lang w:val="en-US" w:eastAsia="zh-CN"/>
              </w:rPr>
              <w:t>0.07</w:t>
            </w:r>
          </w:p>
        </w:tc>
        <w:tc>
          <w:tcPr>
            <w:tcW w:w="1382" w:type="dxa"/>
            <w:tcBorders>
              <w:tl2br w:val="nil"/>
              <w:tr2bl w:val="nil"/>
            </w:tcBorders>
            <w:noWrap/>
            <w:vAlign w:val="center"/>
          </w:tcPr>
          <w:p w14:paraId="6CB7172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cs="Arial"/>
                <w:color w:val="auto"/>
                <w:kern w:val="0"/>
                <w:sz w:val="22"/>
                <w:szCs w:val="22"/>
                <w:highlight w:val="none"/>
                <w:lang w:val="en-US" w:eastAsia="zh-CN"/>
              </w:rPr>
              <w:t>1.86</w:t>
            </w:r>
          </w:p>
        </w:tc>
        <w:tc>
          <w:tcPr>
            <w:tcW w:w="1097" w:type="dxa"/>
            <w:tcBorders>
              <w:tl2br w:val="nil"/>
              <w:tr2bl w:val="nil"/>
            </w:tcBorders>
            <w:noWrap/>
            <w:vAlign w:val="center"/>
          </w:tcPr>
          <w:p w14:paraId="2D07F0C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cs="Arial"/>
                <w:color w:val="auto"/>
                <w:kern w:val="0"/>
                <w:sz w:val="22"/>
                <w:szCs w:val="22"/>
                <w:highlight w:val="none"/>
                <w:lang w:val="en-US" w:eastAsia="zh-CN"/>
              </w:rPr>
              <w:t>6.61</w:t>
            </w:r>
          </w:p>
        </w:tc>
        <w:tc>
          <w:tcPr>
            <w:tcW w:w="4213" w:type="dxa"/>
            <w:tcBorders>
              <w:tl2br w:val="nil"/>
              <w:tr2bl w:val="nil"/>
            </w:tcBorders>
            <w:noWrap/>
            <w:vAlign w:val="center"/>
          </w:tcPr>
          <w:p w14:paraId="7B50057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全部为弃渣，直接运至渣场，运距6km</w:t>
            </w:r>
            <w:r>
              <w:rPr>
                <w:rFonts w:hint="eastAsia" w:ascii="Arial" w:hAnsi="Arial" w:cs="Arial"/>
                <w:color w:val="auto"/>
                <w:kern w:val="0"/>
                <w:sz w:val="22"/>
                <w:szCs w:val="22"/>
                <w:highlight w:val="none"/>
                <w:lang w:val="en-US" w:eastAsia="zh-CN"/>
              </w:rPr>
              <w:t>。</w:t>
            </w:r>
          </w:p>
        </w:tc>
      </w:tr>
    </w:tbl>
    <w:p w14:paraId="3E1AF371">
      <w:pPr>
        <w:tabs>
          <w:tab w:val="left" w:pos="3828"/>
        </w:tabs>
        <w:spacing w:line="240" w:lineRule="auto"/>
        <w:ind w:firstLine="0" w:firstLineChars="0"/>
        <w:rPr>
          <w:color w:val="auto"/>
          <w:sz w:val="21"/>
          <w:highlight w:val="none"/>
        </w:rPr>
      </w:pPr>
    </w:p>
    <w:p w14:paraId="7BAF7848">
      <w:pPr>
        <w:tabs>
          <w:tab w:val="left" w:pos="3828"/>
        </w:tabs>
        <w:spacing w:line="240" w:lineRule="auto"/>
        <w:ind w:firstLine="0" w:firstLineChars="0"/>
        <w:rPr>
          <w:color w:val="auto"/>
          <w:sz w:val="21"/>
          <w:highlight w:val="none"/>
        </w:rPr>
      </w:pPr>
    </w:p>
    <w:p w14:paraId="01AE54A6">
      <w:pPr>
        <w:tabs>
          <w:tab w:val="left" w:pos="3828"/>
        </w:tabs>
        <w:spacing w:line="240" w:lineRule="auto"/>
        <w:ind w:firstLine="0" w:firstLineChars="0"/>
        <w:rPr>
          <w:rFonts w:hint="eastAsia"/>
          <w:color w:val="auto"/>
          <w:sz w:val="21"/>
          <w:highlight w:val="none"/>
        </w:rPr>
      </w:pPr>
      <w:r>
        <w:rPr>
          <w:color w:val="auto"/>
          <w:sz w:val="21"/>
          <w:highlight w:val="none"/>
        </w:rPr>
        <w:t xml:space="preserve">                </w:t>
      </w:r>
    </w:p>
    <w:p w14:paraId="21E8542B">
      <w:pPr>
        <w:pStyle w:val="2107"/>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cs="Arial"/>
          <w:color w:val="auto"/>
          <w:sz w:val="26"/>
          <w:szCs w:val="26"/>
          <w:highlight w:val="none"/>
          <w:lang w:eastAsia="zh-CN"/>
        </w:rPr>
      </w:pPr>
      <w:r>
        <w:rPr>
          <w:rFonts w:hint="eastAsia"/>
          <w:color w:val="auto"/>
          <w:spacing w:val="-4"/>
          <w:kern w:val="0"/>
          <w:highlight w:val="none"/>
        </w:rPr>
        <w:br w:type="page"/>
      </w:r>
      <w:r>
        <w:rPr>
          <w:rFonts w:hint="default" w:ascii="Arial" w:hAnsi="Arial" w:cs="Arial"/>
          <w:color w:val="auto"/>
          <w:sz w:val="26"/>
          <w:szCs w:val="26"/>
          <w:highlight w:val="none"/>
          <w:lang w:eastAsia="zh-CN"/>
        </w:rPr>
        <w:t>表</w:t>
      </w:r>
      <w:r>
        <w:rPr>
          <w:rFonts w:hint="eastAsia" w:ascii="Arial" w:hAnsi="Arial" w:cs="Arial"/>
          <w:color w:val="auto"/>
          <w:sz w:val="26"/>
          <w:szCs w:val="26"/>
          <w:highlight w:val="none"/>
          <w:lang w:val="en-US" w:eastAsia="zh-CN"/>
        </w:rPr>
        <w:t xml:space="preserve">2.3-2  </w:t>
      </w:r>
      <w:r>
        <w:rPr>
          <w:rFonts w:hint="eastAsia" w:ascii="Arial" w:hAnsi="Arial" w:cs="Arial"/>
          <w:color w:val="auto"/>
          <w:sz w:val="26"/>
          <w:szCs w:val="26"/>
          <w:highlight w:val="none"/>
          <w:lang w:eastAsia="zh-CN"/>
        </w:rPr>
        <w:t>输水工程区</w:t>
      </w:r>
      <w:r>
        <w:rPr>
          <w:rFonts w:hint="default" w:ascii="Arial" w:hAnsi="Arial" w:cs="Arial"/>
          <w:color w:val="auto"/>
          <w:sz w:val="26"/>
          <w:szCs w:val="26"/>
          <w:highlight w:val="none"/>
          <w:lang w:eastAsia="zh-CN"/>
        </w:rPr>
        <w:t>土石平衡表</w:t>
      </w:r>
    </w:p>
    <w:tbl>
      <w:tblPr>
        <w:tblStyle w:val="77"/>
        <w:tblW w:w="1231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91"/>
        <w:gridCol w:w="2171"/>
        <w:gridCol w:w="1210"/>
        <w:gridCol w:w="1210"/>
        <w:gridCol w:w="1414"/>
        <w:gridCol w:w="1205"/>
        <w:gridCol w:w="1271"/>
        <w:gridCol w:w="2943"/>
      </w:tblGrid>
      <w:tr w14:paraId="5F176E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891" w:type="dxa"/>
            <w:vMerge w:val="restart"/>
            <w:tcBorders>
              <w:tl2br w:val="nil"/>
              <w:tr2bl w:val="nil"/>
            </w:tcBorders>
            <w:noWrap/>
            <w:vAlign w:val="center"/>
          </w:tcPr>
          <w:p w14:paraId="6C6388A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cs="Arial"/>
                <w:i w:val="0"/>
                <w:iCs w:val="0"/>
                <w:color w:val="auto"/>
                <w:sz w:val="22"/>
                <w:szCs w:val="22"/>
                <w:highlight w:val="none"/>
                <w:u w:val="none"/>
              </w:rPr>
            </w:pPr>
            <w:r>
              <w:rPr>
                <w:rFonts w:hint="default" w:ascii="Arial" w:hAnsi="Arial" w:eastAsia="宋体" w:cs="Arial"/>
                <w:color w:val="auto"/>
                <w:kern w:val="0"/>
                <w:sz w:val="22"/>
                <w:szCs w:val="22"/>
                <w:highlight w:val="none"/>
                <w:lang w:val="en-US" w:eastAsia="zh-CN"/>
              </w:rPr>
              <w:t>序号</w:t>
            </w:r>
          </w:p>
        </w:tc>
        <w:tc>
          <w:tcPr>
            <w:tcW w:w="2171" w:type="dxa"/>
            <w:vMerge w:val="restart"/>
            <w:tcBorders>
              <w:tl2br w:val="nil"/>
              <w:tr2bl w:val="nil"/>
            </w:tcBorders>
            <w:noWrap/>
            <w:vAlign w:val="center"/>
          </w:tcPr>
          <w:p w14:paraId="6C0257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cs="Arial"/>
                <w:i w:val="0"/>
                <w:iCs w:val="0"/>
                <w:color w:val="auto"/>
                <w:sz w:val="22"/>
                <w:szCs w:val="22"/>
                <w:highlight w:val="none"/>
                <w:u w:val="none"/>
              </w:rPr>
            </w:pPr>
            <w:r>
              <w:rPr>
                <w:rFonts w:hint="default" w:ascii="Arial" w:hAnsi="Arial" w:eastAsia="宋体" w:cs="Arial"/>
                <w:color w:val="auto"/>
                <w:kern w:val="0"/>
                <w:sz w:val="22"/>
                <w:szCs w:val="22"/>
                <w:highlight w:val="none"/>
                <w:lang w:val="en-US" w:eastAsia="zh-CN"/>
              </w:rPr>
              <w:t>名称</w:t>
            </w:r>
          </w:p>
        </w:tc>
        <w:tc>
          <w:tcPr>
            <w:tcW w:w="1210" w:type="dxa"/>
            <w:vMerge w:val="restart"/>
            <w:tcBorders>
              <w:tl2br w:val="nil"/>
              <w:tr2bl w:val="nil"/>
            </w:tcBorders>
            <w:noWrap/>
            <w:vAlign w:val="center"/>
          </w:tcPr>
          <w:p w14:paraId="044168C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单位</w:t>
            </w:r>
          </w:p>
        </w:tc>
        <w:tc>
          <w:tcPr>
            <w:tcW w:w="1210" w:type="dxa"/>
            <w:vMerge w:val="restart"/>
            <w:tcBorders>
              <w:tl2br w:val="nil"/>
              <w:tr2bl w:val="nil"/>
            </w:tcBorders>
            <w:noWrap/>
            <w:vAlign w:val="center"/>
          </w:tcPr>
          <w:p w14:paraId="63AE01D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cs="Arial"/>
                <w:i w:val="0"/>
                <w:iCs w:val="0"/>
                <w:color w:val="auto"/>
                <w:sz w:val="22"/>
                <w:szCs w:val="22"/>
                <w:highlight w:val="none"/>
                <w:u w:val="none"/>
              </w:rPr>
            </w:pPr>
            <w:r>
              <w:rPr>
                <w:rFonts w:hint="default" w:ascii="Arial" w:hAnsi="Arial" w:eastAsia="宋体" w:cs="Arial"/>
                <w:color w:val="auto"/>
                <w:kern w:val="0"/>
                <w:sz w:val="22"/>
                <w:szCs w:val="22"/>
                <w:highlight w:val="none"/>
                <w:lang w:val="en-US" w:eastAsia="zh-CN"/>
              </w:rPr>
              <w:t>工程量</w:t>
            </w:r>
          </w:p>
        </w:tc>
        <w:tc>
          <w:tcPr>
            <w:tcW w:w="2619" w:type="dxa"/>
            <w:gridSpan w:val="2"/>
            <w:tcBorders>
              <w:tl2br w:val="nil"/>
              <w:tr2bl w:val="nil"/>
            </w:tcBorders>
            <w:noWrap w:val="0"/>
            <w:vAlign w:val="center"/>
          </w:tcPr>
          <w:p w14:paraId="7A4AB30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利用土石方</w:t>
            </w:r>
          </w:p>
        </w:tc>
        <w:tc>
          <w:tcPr>
            <w:tcW w:w="1271" w:type="dxa"/>
            <w:vMerge w:val="restart"/>
            <w:tcBorders>
              <w:tl2br w:val="nil"/>
              <w:tr2bl w:val="nil"/>
            </w:tcBorders>
            <w:noWrap w:val="0"/>
            <w:vAlign w:val="center"/>
          </w:tcPr>
          <w:p w14:paraId="23EA003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弃渣</w:t>
            </w:r>
          </w:p>
        </w:tc>
        <w:tc>
          <w:tcPr>
            <w:tcW w:w="2943" w:type="dxa"/>
            <w:vMerge w:val="restart"/>
            <w:tcBorders>
              <w:tl2br w:val="nil"/>
              <w:tr2bl w:val="nil"/>
            </w:tcBorders>
            <w:noWrap/>
            <w:vAlign w:val="center"/>
          </w:tcPr>
          <w:p w14:paraId="60EEEBB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说明</w:t>
            </w:r>
          </w:p>
        </w:tc>
      </w:tr>
      <w:tr w14:paraId="24E05B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891" w:type="dxa"/>
            <w:vMerge w:val="continue"/>
            <w:tcBorders>
              <w:tl2br w:val="nil"/>
              <w:tr2bl w:val="nil"/>
            </w:tcBorders>
            <w:noWrap w:val="0"/>
            <w:vAlign w:val="center"/>
          </w:tcPr>
          <w:p w14:paraId="7547044E">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default" w:ascii="Arial" w:hAnsi="Arial" w:cs="Arial"/>
                <w:i w:val="0"/>
                <w:iCs w:val="0"/>
                <w:color w:val="auto"/>
                <w:sz w:val="22"/>
                <w:szCs w:val="22"/>
                <w:highlight w:val="none"/>
                <w:u w:val="none"/>
              </w:rPr>
            </w:pPr>
          </w:p>
        </w:tc>
        <w:tc>
          <w:tcPr>
            <w:tcW w:w="2171" w:type="dxa"/>
            <w:vMerge w:val="continue"/>
            <w:tcBorders>
              <w:tl2br w:val="nil"/>
              <w:tr2bl w:val="nil"/>
            </w:tcBorders>
            <w:noWrap w:val="0"/>
            <w:vAlign w:val="center"/>
          </w:tcPr>
          <w:p w14:paraId="3B00C2BE">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default" w:ascii="Arial" w:hAnsi="Arial" w:cs="Arial"/>
                <w:i w:val="0"/>
                <w:iCs w:val="0"/>
                <w:color w:val="auto"/>
                <w:sz w:val="22"/>
                <w:szCs w:val="22"/>
                <w:highlight w:val="none"/>
                <w:u w:val="none"/>
              </w:rPr>
            </w:pPr>
          </w:p>
        </w:tc>
        <w:tc>
          <w:tcPr>
            <w:tcW w:w="1210" w:type="dxa"/>
            <w:vMerge w:val="continue"/>
            <w:tcBorders>
              <w:tl2br w:val="nil"/>
              <w:tr2bl w:val="nil"/>
            </w:tcBorders>
            <w:noWrap w:val="0"/>
            <w:vAlign w:val="center"/>
          </w:tcPr>
          <w:p w14:paraId="4F3DB601">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default" w:ascii="Arial" w:hAnsi="Arial" w:cs="Arial"/>
                <w:i w:val="0"/>
                <w:iCs w:val="0"/>
                <w:color w:val="auto"/>
                <w:sz w:val="22"/>
                <w:szCs w:val="22"/>
                <w:highlight w:val="none"/>
                <w:u w:val="none"/>
              </w:rPr>
            </w:pPr>
          </w:p>
        </w:tc>
        <w:tc>
          <w:tcPr>
            <w:tcW w:w="1210" w:type="dxa"/>
            <w:vMerge w:val="continue"/>
            <w:tcBorders>
              <w:tl2br w:val="nil"/>
              <w:tr2bl w:val="nil"/>
            </w:tcBorders>
            <w:noWrap w:val="0"/>
            <w:vAlign w:val="center"/>
          </w:tcPr>
          <w:p w14:paraId="4C9BDF6C">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default" w:ascii="Arial" w:hAnsi="Arial" w:cs="Arial"/>
                <w:i w:val="0"/>
                <w:iCs w:val="0"/>
                <w:color w:val="auto"/>
                <w:sz w:val="22"/>
                <w:szCs w:val="22"/>
                <w:highlight w:val="none"/>
                <w:u w:val="none"/>
              </w:rPr>
            </w:pPr>
          </w:p>
        </w:tc>
        <w:tc>
          <w:tcPr>
            <w:tcW w:w="1414" w:type="dxa"/>
            <w:tcBorders>
              <w:tl2br w:val="nil"/>
              <w:tr2bl w:val="nil"/>
            </w:tcBorders>
            <w:noWrap w:val="0"/>
            <w:vAlign w:val="center"/>
          </w:tcPr>
          <w:p w14:paraId="5F4021E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直接利用</w:t>
            </w:r>
          </w:p>
        </w:tc>
        <w:tc>
          <w:tcPr>
            <w:tcW w:w="1205" w:type="dxa"/>
            <w:tcBorders>
              <w:tl2br w:val="nil"/>
              <w:tr2bl w:val="nil"/>
            </w:tcBorders>
            <w:noWrap w:val="0"/>
            <w:vAlign w:val="center"/>
          </w:tcPr>
          <w:p w14:paraId="17D0A9F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间接利用</w:t>
            </w:r>
          </w:p>
        </w:tc>
        <w:tc>
          <w:tcPr>
            <w:tcW w:w="1271" w:type="dxa"/>
            <w:vMerge w:val="continue"/>
            <w:tcBorders>
              <w:tl2br w:val="nil"/>
              <w:tr2bl w:val="nil"/>
            </w:tcBorders>
            <w:noWrap w:val="0"/>
            <w:vAlign w:val="center"/>
          </w:tcPr>
          <w:p w14:paraId="1A9CC71E">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default" w:ascii="Arial" w:hAnsi="Arial" w:cs="Arial"/>
                <w:i w:val="0"/>
                <w:iCs w:val="0"/>
                <w:color w:val="auto"/>
                <w:sz w:val="22"/>
                <w:szCs w:val="22"/>
                <w:highlight w:val="none"/>
                <w:u w:val="none"/>
              </w:rPr>
            </w:pPr>
          </w:p>
        </w:tc>
        <w:tc>
          <w:tcPr>
            <w:tcW w:w="2943" w:type="dxa"/>
            <w:vMerge w:val="continue"/>
            <w:tcBorders>
              <w:tl2br w:val="nil"/>
              <w:tr2bl w:val="nil"/>
            </w:tcBorders>
            <w:noWrap w:val="0"/>
            <w:vAlign w:val="center"/>
          </w:tcPr>
          <w:p w14:paraId="3F7C7CA2">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default" w:ascii="Arial" w:hAnsi="Arial" w:cs="Arial"/>
                <w:i w:val="0"/>
                <w:iCs w:val="0"/>
                <w:color w:val="auto"/>
                <w:sz w:val="22"/>
                <w:szCs w:val="22"/>
                <w:highlight w:val="none"/>
                <w:u w:val="none"/>
              </w:rPr>
            </w:pPr>
          </w:p>
        </w:tc>
      </w:tr>
      <w:tr w14:paraId="14F576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0" w:hRule="exact"/>
          <w:jc w:val="center"/>
        </w:trPr>
        <w:tc>
          <w:tcPr>
            <w:tcW w:w="891" w:type="dxa"/>
            <w:tcBorders>
              <w:tl2br w:val="nil"/>
              <w:tr2bl w:val="nil"/>
            </w:tcBorders>
            <w:noWrap/>
            <w:vAlign w:val="center"/>
          </w:tcPr>
          <w:p w14:paraId="01A9CB1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一</w:t>
            </w:r>
          </w:p>
        </w:tc>
        <w:tc>
          <w:tcPr>
            <w:tcW w:w="2171" w:type="dxa"/>
            <w:tcBorders>
              <w:tl2br w:val="nil"/>
              <w:tr2bl w:val="nil"/>
            </w:tcBorders>
            <w:noWrap/>
            <w:vAlign w:val="center"/>
          </w:tcPr>
          <w:p w14:paraId="65F5E1B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主体工程</w:t>
            </w:r>
          </w:p>
        </w:tc>
        <w:tc>
          <w:tcPr>
            <w:tcW w:w="1210" w:type="dxa"/>
            <w:tcBorders>
              <w:tl2br w:val="nil"/>
              <w:tr2bl w:val="nil"/>
            </w:tcBorders>
            <w:noWrap/>
            <w:vAlign w:val="center"/>
          </w:tcPr>
          <w:p w14:paraId="2D9706FC">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default" w:ascii="Arial" w:hAnsi="Arial" w:cs="Arial"/>
                <w:i w:val="0"/>
                <w:iCs w:val="0"/>
                <w:color w:val="auto"/>
                <w:sz w:val="22"/>
                <w:szCs w:val="22"/>
                <w:highlight w:val="none"/>
                <w:u w:val="none"/>
              </w:rPr>
            </w:pPr>
          </w:p>
        </w:tc>
        <w:tc>
          <w:tcPr>
            <w:tcW w:w="1210" w:type="dxa"/>
            <w:tcBorders>
              <w:tl2br w:val="nil"/>
              <w:tr2bl w:val="nil"/>
            </w:tcBorders>
            <w:noWrap/>
            <w:vAlign w:val="center"/>
          </w:tcPr>
          <w:p w14:paraId="1DAE99B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自然方</w:t>
            </w:r>
          </w:p>
        </w:tc>
        <w:tc>
          <w:tcPr>
            <w:tcW w:w="2619" w:type="dxa"/>
            <w:gridSpan w:val="2"/>
            <w:tcBorders>
              <w:tl2br w:val="nil"/>
              <w:tr2bl w:val="nil"/>
            </w:tcBorders>
            <w:noWrap/>
            <w:vAlign w:val="center"/>
          </w:tcPr>
          <w:p w14:paraId="0662764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eastAsia="宋体" w:cs="Arial"/>
                <w:i w:val="0"/>
                <w:iCs w:val="0"/>
                <w:color w:val="auto"/>
                <w:kern w:val="0"/>
                <w:sz w:val="22"/>
                <w:szCs w:val="22"/>
                <w:highlight w:val="none"/>
                <w:u w:val="none"/>
                <w:lang w:val="en-US" w:eastAsia="zh-CN" w:bidi="ar"/>
              </w:rPr>
            </w:pPr>
            <w:r>
              <w:rPr>
                <w:rFonts w:hint="default" w:ascii="Arial" w:hAnsi="Arial" w:eastAsia="宋体" w:cs="Arial"/>
                <w:i w:val="0"/>
                <w:iCs w:val="0"/>
                <w:color w:val="auto"/>
                <w:kern w:val="0"/>
                <w:sz w:val="22"/>
                <w:szCs w:val="22"/>
                <w:highlight w:val="none"/>
                <w:u w:val="none"/>
                <w:lang w:val="en-US" w:eastAsia="zh-CN" w:bidi="ar"/>
              </w:rPr>
              <w:t>自然方</w:t>
            </w:r>
          </w:p>
        </w:tc>
        <w:tc>
          <w:tcPr>
            <w:tcW w:w="1271" w:type="dxa"/>
            <w:tcBorders>
              <w:tl2br w:val="nil"/>
              <w:tr2bl w:val="nil"/>
            </w:tcBorders>
            <w:noWrap/>
            <w:vAlign w:val="center"/>
          </w:tcPr>
          <w:p w14:paraId="420DEDB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自然方</w:t>
            </w:r>
          </w:p>
        </w:tc>
        <w:tc>
          <w:tcPr>
            <w:tcW w:w="2943" w:type="dxa"/>
            <w:tcBorders>
              <w:tl2br w:val="nil"/>
              <w:tr2bl w:val="nil"/>
            </w:tcBorders>
            <w:noWrap/>
            <w:vAlign w:val="center"/>
          </w:tcPr>
          <w:p w14:paraId="0C3DF4AD">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default" w:ascii="Arial" w:hAnsi="Arial" w:cs="Arial"/>
                <w:i w:val="0"/>
                <w:iCs w:val="0"/>
                <w:color w:val="auto"/>
                <w:sz w:val="22"/>
                <w:szCs w:val="22"/>
                <w:highlight w:val="none"/>
                <w:u w:val="none"/>
              </w:rPr>
            </w:pPr>
          </w:p>
        </w:tc>
      </w:tr>
      <w:tr w14:paraId="08ABCA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0" w:hRule="exact"/>
          <w:jc w:val="center"/>
        </w:trPr>
        <w:tc>
          <w:tcPr>
            <w:tcW w:w="891" w:type="dxa"/>
            <w:tcBorders>
              <w:tl2br w:val="nil"/>
              <w:tr2bl w:val="nil"/>
            </w:tcBorders>
            <w:noWrap/>
            <w:vAlign w:val="center"/>
          </w:tcPr>
          <w:p w14:paraId="3F0ACA6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1</w:t>
            </w:r>
          </w:p>
        </w:tc>
        <w:tc>
          <w:tcPr>
            <w:tcW w:w="11424" w:type="dxa"/>
            <w:gridSpan w:val="7"/>
            <w:tcBorders>
              <w:tl2br w:val="nil"/>
              <w:tr2bl w:val="nil"/>
            </w:tcBorders>
            <w:noWrap/>
            <w:vAlign w:val="center"/>
          </w:tcPr>
          <w:p w14:paraId="37D7AB44">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Arial" w:hAnsi="Arial" w:eastAsia="宋体" w:cs="Arial"/>
                <w:color w:val="auto"/>
                <w:kern w:val="0"/>
                <w:sz w:val="22"/>
                <w:szCs w:val="22"/>
                <w:highlight w:val="none"/>
                <w:lang w:val="en-US" w:eastAsia="zh-CN"/>
              </w:rPr>
            </w:pPr>
            <w:r>
              <w:rPr>
                <w:rFonts w:hint="default" w:ascii="Arial" w:hAnsi="Arial" w:eastAsia="宋体" w:cs="Arial"/>
                <w:i w:val="0"/>
                <w:iCs w:val="0"/>
                <w:color w:val="auto"/>
                <w:kern w:val="0"/>
                <w:sz w:val="22"/>
                <w:szCs w:val="22"/>
                <w:highlight w:val="none"/>
                <w:u w:val="none"/>
                <w:lang w:val="en-US" w:eastAsia="zh-CN" w:bidi="ar"/>
              </w:rPr>
              <w:t>管道工程</w:t>
            </w:r>
          </w:p>
        </w:tc>
      </w:tr>
      <w:tr w14:paraId="497DA7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0" w:hRule="exact"/>
          <w:jc w:val="center"/>
        </w:trPr>
        <w:tc>
          <w:tcPr>
            <w:tcW w:w="891" w:type="dxa"/>
            <w:tcBorders>
              <w:tl2br w:val="nil"/>
              <w:tr2bl w:val="nil"/>
            </w:tcBorders>
            <w:noWrap/>
            <w:vAlign w:val="center"/>
          </w:tcPr>
          <w:p w14:paraId="19D0ABB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lang w:val="en-US"/>
              </w:rPr>
            </w:pPr>
            <w:r>
              <w:rPr>
                <w:rFonts w:hint="eastAsia" w:ascii="Arial" w:hAnsi="Arial" w:cs="Arial"/>
                <w:i w:val="0"/>
                <w:iCs w:val="0"/>
                <w:color w:val="auto"/>
                <w:kern w:val="0"/>
                <w:sz w:val="22"/>
                <w:szCs w:val="22"/>
                <w:highlight w:val="none"/>
                <w:u w:val="none"/>
                <w:lang w:val="en-US" w:eastAsia="zh-CN" w:bidi="ar"/>
              </w:rPr>
              <w:t>（1）</w:t>
            </w:r>
          </w:p>
        </w:tc>
        <w:tc>
          <w:tcPr>
            <w:tcW w:w="2171" w:type="dxa"/>
            <w:tcBorders>
              <w:tl2br w:val="nil"/>
              <w:tr2bl w:val="nil"/>
            </w:tcBorders>
            <w:noWrap/>
            <w:vAlign w:val="center"/>
          </w:tcPr>
          <w:p w14:paraId="23BD804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土方开挖</w:t>
            </w:r>
          </w:p>
        </w:tc>
        <w:tc>
          <w:tcPr>
            <w:tcW w:w="1210" w:type="dxa"/>
            <w:tcBorders>
              <w:tl2br w:val="nil"/>
              <w:tr2bl w:val="nil"/>
            </w:tcBorders>
            <w:noWrap/>
            <w:vAlign w:val="center"/>
          </w:tcPr>
          <w:p w14:paraId="14C528A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210" w:type="dxa"/>
            <w:tcBorders>
              <w:tl2br w:val="nil"/>
              <w:tr2bl w:val="nil"/>
            </w:tcBorders>
            <w:noWrap/>
            <w:vAlign w:val="center"/>
          </w:tcPr>
          <w:p w14:paraId="32F2C70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2.31</w:t>
            </w:r>
          </w:p>
        </w:tc>
        <w:tc>
          <w:tcPr>
            <w:tcW w:w="1414" w:type="dxa"/>
            <w:tcBorders>
              <w:tl2br w:val="nil"/>
              <w:tr2bl w:val="nil"/>
            </w:tcBorders>
            <w:noWrap/>
            <w:vAlign w:val="center"/>
          </w:tcPr>
          <w:p w14:paraId="79B1B4F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0.07</w:t>
            </w:r>
          </w:p>
        </w:tc>
        <w:tc>
          <w:tcPr>
            <w:tcW w:w="1205" w:type="dxa"/>
            <w:tcBorders>
              <w:tl2br w:val="nil"/>
              <w:tr2bl w:val="nil"/>
            </w:tcBorders>
            <w:noWrap/>
            <w:vAlign w:val="center"/>
          </w:tcPr>
          <w:p w14:paraId="5C95D82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2.24</w:t>
            </w:r>
          </w:p>
        </w:tc>
        <w:tc>
          <w:tcPr>
            <w:tcW w:w="1271" w:type="dxa"/>
            <w:tcBorders>
              <w:tl2br w:val="nil"/>
              <w:tr2bl w:val="nil"/>
            </w:tcBorders>
            <w:noWrap/>
            <w:vAlign w:val="center"/>
          </w:tcPr>
          <w:p w14:paraId="3D04E7B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0.00</w:t>
            </w:r>
          </w:p>
        </w:tc>
        <w:tc>
          <w:tcPr>
            <w:tcW w:w="2943" w:type="dxa"/>
            <w:tcBorders>
              <w:tl2br w:val="nil"/>
              <w:tr2bl w:val="nil"/>
            </w:tcBorders>
            <w:noWrap/>
            <w:vAlign w:val="center"/>
          </w:tcPr>
          <w:p w14:paraId="191B248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100%直接利用料</w:t>
            </w:r>
          </w:p>
        </w:tc>
      </w:tr>
      <w:tr w14:paraId="106CC5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0" w:hRule="exact"/>
          <w:jc w:val="center"/>
        </w:trPr>
        <w:tc>
          <w:tcPr>
            <w:tcW w:w="891" w:type="dxa"/>
            <w:tcBorders>
              <w:tl2br w:val="nil"/>
              <w:tr2bl w:val="nil"/>
            </w:tcBorders>
            <w:noWrap/>
            <w:vAlign w:val="center"/>
          </w:tcPr>
          <w:p w14:paraId="40FF744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lang w:val="en-US"/>
              </w:rPr>
            </w:pPr>
            <w:r>
              <w:rPr>
                <w:rFonts w:hint="eastAsia" w:ascii="Arial" w:hAnsi="Arial" w:cs="Arial"/>
                <w:i w:val="0"/>
                <w:iCs w:val="0"/>
                <w:color w:val="auto"/>
                <w:kern w:val="0"/>
                <w:sz w:val="22"/>
                <w:szCs w:val="22"/>
                <w:highlight w:val="none"/>
                <w:u w:val="none"/>
                <w:lang w:val="en-US" w:eastAsia="zh-CN" w:bidi="ar"/>
              </w:rPr>
              <w:t>（2）</w:t>
            </w:r>
          </w:p>
        </w:tc>
        <w:tc>
          <w:tcPr>
            <w:tcW w:w="2171" w:type="dxa"/>
            <w:tcBorders>
              <w:tl2br w:val="nil"/>
              <w:tr2bl w:val="nil"/>
            </w:tcBorders>
            <w:noWrap/>
            <w:vAlign w:val="center"/>
          </w:tcPr>
          <w:p w14:paraId="4FC95AE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石方开挖</w:t>
            </w:r>
          </w:p>
        </w:tc>
        <w:tc>
          <w:tcPr>
            <w:tcW w:w="1210" w:type="dxa"/>
            <w:tcBorders>
              <w:tl2br w:val="nil"/>
              <w:tr2bl w:val="nil"/>
            </w:tcBorders>
            <w:noWrap/>
            <w:vAlign w:val="center"/>
          </w:tcPr>
          <w:p w14:paraId="2E30E72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210" w:type="dxa"/>
            <w:tcBorders>
              <w:tl2br w:val="nil"/>
              <w:tr2bl w:val="nil"/>
            </w:tcBorders>
            <w:noWrap/>
            <w:vAlign w:val="center"/>
          </w:tcPr>
          <w:p w14:paraId="481908F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0.60</w:t>
            </w:r>
          </w:p>
        </w:tc>
        <w:tc>
          <w:tcPr>
            <w:tcW w:w="1414" w:type="dxa"/>
            <w:tcBorders>
              <w:tl2br w:val="nil"/>
              <w:tr2bl w:val="nil"/>
            </w:tcBorders>
            <w:noWrap/>
            <w:vAlign w:val="center"/>
          </w:tcPr>
          <w:p w14:paraId="2B9D195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205" w:type="dxa"/>
            <w:tcBorders>
              <w:tl2br w:val="nil"/>
              <w:tr2bl w:val="nil"/>
            </w:tcBorders>
            <w:noWrap/>
            <w:vAlign w:val="center"/>
          </w:tcPr>
          <w:p w14:paraId="0D4DCEE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0.60</w:t>
            </w:r>
          </w:p>
        </w:tc>
        <w:tc>
          <w:tcPr>
            <w:tcW w:w="1271" w:type="dxa"/>
            <w:tcBorders>
              <w:tl2br w:val="nil"/>
              <w:tr2bl w:val="nil"/>
            </w:tcBorders>
            <w:noWrap/>
            <w:vAlign w:val="center"/>
          </w:tcPr>
          <w:p w14:paraId="7587016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0.00</w:t>
            </w:r>
          </w:p>
        </w:tc>
        <w:tc>
          <w:tcPr>
            <w:tcW w:w="2943" w:type="dxa"/>
            <w:tcBorders>
              <w:tl2br w:val="nil"/>
              <w:tr2bl w:val="nil"/>
            </w:tcBorders>
            <w:noWrap/>
            <w:vAlign w:val="center"/>
          </w:tcPr>
          <w:p w14:paraId="12849B2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100%直接利用料</w:t>
            </w:r>
          </w:p>
        </w:tc>
      </w:tr>
      <w:tr w14:paraId="5332C3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23" w:hRule="exact"/>
          <w:jc w:val="center"/>
        </w:trPr>
        <w:tc>
          <w:tcPr>
            <w:tcW w:w="891" w:type="dxa"/>
            <w:tcBorders>
              <w:tl2br w:val="nil"/>
              <w:tr2bl w:val="nil"/>
            </w:tcBorders>
            <w:noWrap/>
            <w:vAlign w:val="center"/>
          </w:tcPr>
          <w:p w14:paraId="3DEA2B2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kern w:val="2"/>
                <w:sz w:val="22"/>
                <w:szCs w:val="22"/>
                <w:highlight w:val="none"/>
                <w:u w:val="none"/>
                <w:lang w:val="en-US" w:eastAsia="zh-CN" w:bidi="ar-SA"/>
              </w:rPr>
            </w:pPr>
            <w:r>
              <w:rPr>
                <w:rFonts w:hint="eastAsia" w:ascii="Arial" w:hAnsi="Arial" w:cs="Arial"/>
                <w:i w:val="0"/>
                <w:iCs w:val="0"/>
                <w:color w:val="auto"/>
                <w:kern w:val="0"/>
                <w:sz w:val="22"/>
                <w:szCs w:val="22"/>
                <w:highlight w:val="none"/>
                <w:u w:val="none"/>
                <w:lang w:val="en-US" w:eastAsia="zh-CN" w:bidi="ar"/>
              </w:rPr>
              <w:t>（3）</w:t>
            </w:r>
          </w:p>
        </w:tc>
        <w:tc>
          <w:tcPr>
            <w:tcW w:w="2171" w:type="dxa"/>
            <w:tcBorders>
              <w:tl2br w:val="nil"/>
              <w:tr2bl w:val="nil"/>
            </w:tcBorders>
            <w:noWrap/>
            <w:vAlign w:val="center"/>
          </w:tcPr>
          <w:p w14:paraId="7ECA718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kern w:val="2"/>
                <w:sz w:val="22"/>
                <w:szCs w:val="22"/>
                <w:highlight w:val="none"/>
                <w:u w:val="none"/>
                <w:lang w:val="en-US" w:eastAsia="zh-CN" w:bidi="ar-SA"/>
              </w:rPr>
            </w:pPr>
            <w:r>
              <w:rPr>
                <w:rFonts w:hint="default" w:ascii="Arial" w:hAnsi="Arial" w:eastAsia="宋体" w:cs="Arial"/>
                <w:i w:val="0"/>
                <w:iCs w:val="0"/>
                <w:color w:val="auto"/>
                <w:kern w:val="0"/>
                <w:sz w:val="22"/>
                <w:szCs w:val="22"/>
                <w:highlight w:val="none"/>
                <w:u w:val="none"/>
                <w:lang w:val="en-US" w:eastAsia="zh-CN" w:bidi="ar"/>
              </w:rPr>
              <w:t>拆除量</w:t>
            </w:r>
          </w:p>
        </w:tc>
        <w:tc>
          <w:tcPr>
            <w:tcW w:w="1210" w:type="dxa"/>
            <w:tcBorders>
              <w:tl2br w:val="nil"/>
              <w:tr2bl w:val="nil"/>
            </w:tcBorders>
            <w:noWrap/>
            <w:vAlign w:val="center"/>
          </w:tcPr>
          <w:p w14:paraId="27DC7DE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kern w:val="2"/>
                <w:sz w:val="22"/>
                <w:szCs w:val="22"/>
                <w:highlight w:val="none"/>
                <w:u w:val="none"/>
                <w:lang w:val="en-US" w:eastAsia="zh-CN" w:bidi="ar-SA"/>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210" w:type="dxa"/>
            <w:tcBorders>
              <w:tl2br w:val="nil"/>
              <w:tr2bl w:val="nil"/>
            </w:tcBorders>
            <w:noWrap/>
            <w:vAlign w:val="center"/>
          </w:tcPr>
          <w:p w14:paraId="556A5F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0.26</w:t>
            </w:r>
          </w:p>
        </w:tc>
        <w:tc>
          <w:tcPr>
            <w:tcW w:w="1414" w:type="dxa"/>
            <w:tcBorders>
              <w:tl2br w:val="nil"/>
              <w:tr2bl w:val="nil"/>
            </w:tcBorders>
            <w:noWrap/>
            <w:vAlign w:val="center"/>
          </w:tcPr>
          <w:p w14:paraId="1DE5199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205" w:type="dxa"/>
            <w:tcBorders>
              <w:tl2br w:val="nil"/>
              <w:tr2bl w:val="nil"/>
            </w:tcBorders>
            <w:noWrap/>
            <w:vAlign w:val="center"/>
          </w:tcPr>
          <w:p w14:paraId="5BC347F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0.16</w:t>
            </w:r>
          </w:p>
        </w:tc>
        <w:tc>
          <w:tcPr>
            <w:tcW w:w="1271" w:type="dxa"/>
            <w:tcBorders>
              <w:tl2br w:val="nil"/>
              <w:tr2bl w:val="nil"/>
            </w:tcBorders>
            <w:noWrap/>
            <w:vAlign w:val="center"/>
          </w:tcPr>
          <w:p w14:paraId="782045D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0.10</w:t>
            </w:r>
          </w:p>
        </w:tc>
        <w:tc>
          <w:tcPr>
            <w:tcW w:w="2943" w:type="dxa"/>
            <w:tcBorders>
              <w:tl2br w:val="nil"/>
              <w:tr2bl w:val="nil"/>
            </w:tcBorders>
            <w:noWrap/>
            <w:vAlign w:val="center"/>
          </w:tcPr>
          <w:p w14:paraId="5B3C5B4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6</w:t>
            </w:r>
            <w:r>
              <w:rPr>
                <w:rFonts w:hint="eastAsia" w:ascii="Arial" w:hAnsi="Arial" w:cs="Arial"/>
                <w:color w:val="auto"/>
                <w:kern w:val="0"/>
                <w:sz w:val="22"/>
                <w:szCs w:val="22"/>
                <w:highlight w:val="none"/>
                <w:lang w:val="en-US" w:eastAsia="zh-CN"/>
              </w:rPr>
              <w:t>1.54</w:t>
            </w:r>
            <w:r>
              <w:rPr>
                <w:rFonts w:hint="default" w:ascii="Arial" w:hAnsi="Arial" w:eastAsia="宋体" w:cs="Arial"/>
                <w:color w:val="auto"/>
                <w:kern w:val="0"/>
                <w:sz w:val="22"/>
                <w:szCs w:val="22"/>
                <w:highlight w:val="none"/>
                <w:lang w:val="en-US" w:eastAsia="zh-CN"/>
              </w:rPr>
              <w:t>%直接利用料，剩余为弃渣，直接运至渣场，运距</w:t>
            </w:r>
            <w:r>
              <w:rPr>
                <w:rFonts w:hint="eastAsia" w:ascii="Arial" w:hAnsi="Arial" w:cs="Arial"/>
                <w:color w:val="auto"/>
                <w:kern w:val="0"/>
                <w:sz w:val="22"/>
                <w:szCs w:val="22"/>
                <w:highlight w:val="none"/>
                <w:lang w:val="en-US" w:eastAsia="zh-CN"/>
              </w:rPr>
              <w:t>9</w:t>
            </w:r>
            <w:r>
              <w:rPr>
                <w:rFonts w:hint="default" w:ascii="Arial" w:hAnsi="Arial" w:eastAsia="宋体" w:cs="Arial"/>
                <w:color w:val="auto"/>
                <w:kern w:val="0"/>
                <w:sz w:val="22"/>
                <w:szCs w:val="22"/>
                <w:highlight w:val="none"/>
                <w:lang w:val="en-US" w:eastAsia="zh-CN"/>
              </w:rPr>
              <w:t>km</w:t>
            </w:r>
            <w:r>
              <w:rPr>
                <w:rFonts w:hint="eastAsia" w:ascii="Arial" w:hAnsi="Arial" w:cs="Arial"/>
                <w:color w:val="auto"/>
                <w:kern w:val="0"/>
                <w:sz w:val="22"/>
                <w:szCs w:val="22"/>
                <w:highlight w:val="none"/>
                <w:lang w:val="en-US" w:eastAsia="zh-CN"/>
              </w:rPr>
              <w:t>。</w:t>
            </w:r>
          </w:p>
        </w:tc>
      </w:tr>
      <w:tr w14:paraId="00CF4B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0" w:hRule="exact"/>
          <w:jc w:val="center"/>
        </w:trPr>
        <w:tc>
          <w:tcPr>
            <w:tcW w:w="891" w:type="dxa"/>
            <w:tcBorders>
              <w:tl2br w:val="nil"/>
              <w:tr2bl w:val="nil"/>
            </w:tcBorders>
            <w:noWrap/>
            <w:vAlign w:val="center"/>
          </w:tcPr>
          <w:p w14:paraId="12AE622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2</w:t>
            </w:r>
          </w:p>
        </w:tc>
        <w:tc>
          <w:tcPr>
            <w:tcW w:w="11424" w:type="dxa"/>
            <w:gridSpan w:val="7"/>
            <w:tcBorders>
              <w:tl2br w:val="nil"/>
              <w:tr2bl w:val="nil"/>
            </w:tcBorders>
            <w:noWrap/>
            <w:vAlign w:val="center"/>
          </w:tcPr>
          <w:p w14:paraId="3A7CBCE1">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Arial" w:hAnsi="Arial" w:eastAsia="宋体" w:cs="Arial"/>
                <w:color w:val="auto"/>
                <w:kern w:val="0"/>
                <w:sz w:val="22"/>
                <w:szCs w:val="22"/>
                <w:highlight w:val="none"/>
                <w:lang w:val="en-US" w:eastAsia="zh-CN"/>
              </w:rPr>
            </w:pPr>
            <w:r>
              <w:rPr>
                <w:rFonts w:hint="default" w:ascii="Arial" w:hAnsi="Arial" w:eastAsia="宋体" w:cs="Arial"/>
                <w:i w:val="0"/>
                <w:iCs w:val="0"/>
                <w:color w:val="auto"/>
                <w:kern w:val="0"/>
                <w:sz w:val="22"/>
                <w:szCs w:val="22"/>
                <w:highlight w:val="none"/>
                <w:u w:val="none"/>
                <w:lang w:val="en-US" w:eastAsia="zh-CN" w:bidi="ar"/>
              </w:rPr>
              <w:t>临时工程</w:t>
            </w:r>
          </w:p>
        </w:tc>
      </w:tr>
      <w:tr w14:paraId="05CFED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0" w:hRule="exact"/>
          <w:jc w:val="center"/>
        </w:trPr>
        <w:tc>
          <w:tcPr>
            <w:tcW w:w="891" w:type="dxa"/>
            <w:tcBorders>
              <w:tl2br w:val="nil"/>
              <w:tr2bl w:val="nil"/>
            </w:tcBorders>
            <w:noWrap/>
            <w:vAlign w:val="center"/>
          </w:tcPr>
          <w:p w14:paraId="2F0FBC3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lang w:val="en-US"/>
              </w:rPr>
            </w:pPr>
            <w:r>
              <w:rPr>
                <w:rFonts w:hint="eastAsia" w:ascii="Arial" w:hAnsi="Arial" w:cs="Arial"/>
                <w:i w:val="0"/>
                <w:iCs w:val="0"/>
                <w:color w:val="auto"/>
                <w:kern w:val="0"/>
                <w:sz w:val="22"/>
                <w:szCs w:val="22"/>
                <w:highlight w:val="none"/>
                <w:u w:val="none"/>
                <w:lang w:val="en-US" w:eastAsia="zh-CN" w:bidi="ar"/>
              </w:rPr>
              <w:t>（1）</w:t>
            </w:r>
          </w:p>
        </w:tc>
        <w:tc>
          <w:tcPr>
            <w:tcW w:w="2171" w:type="dxa"/>
            <w:tcBorders>
              <w:tl2br w:val="nil"/>
              <w:tr2bl w:val="nil"/>
            </w:tcBorders>
            <w:noWrap/>
            <w:vAlign w:val="center"/>
          </w:tcPr>
          <w:p w14:paraId="62A72AA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土方开挖</w:t>
            </w:r>
          </w:p>
        </w:tc>
        <w:tc>
          <w:tcPr>
            <w:tcW w:w="1210" w:type="dxa"/>
            <w:tcBorders>
              <w:tl2br w:val="nil"/>
              <w:tr2bl w:val="nil"/>
            </w:tcBorders>
            <w:noWrap/>
            <w:vAlign w:val="center"/>
          </w:tcPr>
          <w:p w14:paraId="54049DE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210" w:type="dxa"/>
            <w:tcBorders>
              <w:tl2br w:val="nil"/>
              <w:tr2bl w:val="nil"/>
            </w:tcBorders>
            <w:noWrap/>
            <w:vAlign w:val="center"/>
          </w:tcPr>
          <w:p w14:paraId="44938BF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0.04</w:t>
            </w:r>
          </w:p>
        </w:tc>
        <w:tc>
          <w:tcPr>
            <w:tcW w:w="1414" w:type="dxa"/>
            <w:tcBorders>
              <w:tl2br w:val="nil"/>
              <w:tr2bl w:val="nil"/>
            </w:tcBorders>
            <w:noWrap/>
            <w:vAlign w:val="center"/>
          </w:tcPr>
          <w:p w14:paraId="263AAE4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205" w:type="dxa"/>
            <w:tcBorders>
              <w:tl2br w:val="nil"/>
              <w:tr2bl w:val="nil"/>
            </w:tcBorders>
            <w:noWrap/>
            <w:vAlign w:val="center"/>
          </w:tcPr>
          <w:p w14:paraId="2160FB6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271" w:type="dxa"/>
            <w:tcBorders>
              <w:tl2br w:val="nil"/>
              <w:tr2bl w:val="nil"/>
            </w:tcBorders>
            <w:noWrap/>
            <w:vAlign w:val="center"/>
          </w:tcPr>
          <w:p w14:paraId="39F5FA7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0.04</w:t>
            </w:r>
          </w:p>
        </w:tc>
        <w:tc>
          <w:tcPr>
            <w:tcW w:w="2943" w:type="dxa"/>
            <w:vMerge w:val="restart"/>
            <w:tcBorders>
              <w:tl2br w:val="nil"/>
              <w:tr2bl w:val="nil"/>
            </w:tcBorders>
            <w:noWrap/>
            <w:vAlign w:val="center"/>
          </w:tcPr>
          <w:p w14:paraId="253CA07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全部为弃渣，直接运至渣场，运距</w:t>
            </w:r>
            <w:r>
              <w:rPr>
                <w:rFonts w:hint="eastAsia" w:ascii="Arial" w:hAnsi="Arial" w:cs="Arial"/>
                <w:color w:val="auto"/>
                <w:kern w:val="0"/>
                <w:sz w:val="22"/>
                <w:szCs w:val="22"/>
                <w:highlight w:val="none"/>
                <w:lang w:val="en-US" w:eastAsia="zh-CN"/>
              </w:rPr>
              <w:t>9</w:t>
            </w:r>
            <w:r>
              <w:rPr>
                <w:rFonts w:hint="default" w:ascii="Arial" w:hAnsi="Arial" w:eastAsia="宋体" w:cs="Arial"/>
                <w:color w:val="auto"/>
                <w:kern w:val="0"/>
                <w:sz w:val="22"/>
                <w:szCs w:val="22"/>
                <w:highlight w:val="none"/>
                <w:lang w:val="en-US" w:eastAsia="zh-CN"/>
              </w:rPr>
              <w:t>km</w:t>
            </w:r>
            <w:r>
              <w:rPr>
                <w:rFonts w:hint="eastAsia" w:ascii="Arial" w:hAnsi="Arial" w:cs="Arial"/>
                <w:color w:val="auto"/>
                <w:kern w:val="0"/>
                <w:sz w:val="22"/>
                <w:szCs w:val="22"/>
                <w:highlight w:val="none"/>
                <w:lang w:val="en-US" w:eastAsia="zh-CN"/>
              </w:rPr>
              <w:t>。</w:t>
            </w:r>
          </w:p>
        </w:tc>
      </w:tr>
      <w:tr w14:paraId="52538C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0" w:hRule="exact"/>
          <w:jc w:val="center"/>
        </w:trPr>
        <w:tc>
          <w:tcPr>
            <w:tcW w:w="891" w:type="dxa"/>
            <w:tcBorders>
              <w:tl2br w:val="nil"/>
              <w:tr2bl w:val="nil"/>
            </w:tcBorders>
            <w:noWrap/>
            <w:vAlign w:val="center"/>
          </w:tcPr>
          <w:p w14:paraId="5F8D861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eastAsia="宋体" w:cs="Arial"/>
                <w:i w:val="0"/>
                <w:iCs w:val="0"/>
                <w:color w:val="auto"/>
                <w:kern w:val="0"/>
                <w:sz w:val="22"/>
                <w:szCs w:val="22"/>
                <w:highlight w:val="none"/>
                <w:u w:val="none"/>
                <w:lang w:val="en-US" w:eastAsia="zh-CN" w:bidi="ar"/>
              </w:rPr>
            </w:pPr>
            <w:r>
              <w:rPr>
                <w:rFonts w:hint="eastAsia" w:ascii="Arial" w:hAnsi="Arial" w:cs="Arial"/>
                <w:i w:val="0"/>
                <w:iCs w:val="0"/>
                <w:color w:val="auto"/>
                <w:kern w:val="0"/>
                <w:sz w:val="22"/>
                <w:szCs w:val="22"/>
                <w:highlight w:val="none"/>
                <w:u w:val="none"/>
                <w:lang w:val="en-US" w:eastAsia="zh-CN" w:bidi="ar"/>
              </w:rPr>
              <w:t>（2）</w:t>
            </w:r>
          </w:p>
        </w:tc>
        <w:tc>
          <w:tcPr>
            <w:tcW w:w="2171" w:type="dxa"/>
            <w:tcBorders>
              <w:tl2br w:val="nil"/>
              <w:tr2bl w:val="nil"/>
            </w:tcBorders>
            <w:noWrap/>
            <w:vAlign w:val="center"/>
          </w:tcPr>
          <w:p w14:paraId="03AE9CE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eastAsia="宋体" w:cs="Arial"/>
                <w:i w:val="0"/>
                <w:iCs w:val="0"/>
                <w:color w:val="auto"/>
                <w:kern w:val="2"/>
                <w:sz w:val="22"/>
                <w:szCs w:val="22"/>
                <w:highlight w:val="none"/>
                <w:u w:val="none"/>
                <w:lang w:val="en-US" w:eastAsia="zh-CN" w:bidi="ar-SA"/>
              </w:rPr>
            </w:pPr>
            <w:r>
              <w:rPr>
                <w:rFonts w:hint="default" w:ascii="Arial" w:hAnsi="Arial" w:eastAsia="宋体" w:cs="Arial"/>
                <w:i w:val="0"/>
                <w:iCs w:val="0"/>
                <w:color w:val="auto"/>
                <w:kern w:val="0"/>
                <w:sz w:val="22"/>
                <w:szCs w:val="22"/>
                <w:highlight w:val="none"/>
                <w:u w:val="none"/>
                <w:lang w:val="en-US" w:eastAsia="zh-CN" w:bidi="ar"/>
              </w:rPr>
              <w:t>石方开挖</w:t>
            </w:r>
          </w:p>
        </w:tc>
        <w:tc>
          <w:tcPr>
            <w:tcW w:w="1210" w:type="dxa"/>
            <w:tcBorders>
              <w:tl2br w:val="nil"/>
              <w:tr2bl w:val="nil"/>
            </w:tcBorders>
            <w:noWrap/>
            <w:vAlign w:val="center"/>
          </w:tcPr>
          <w:p w14:paraId="5E0FA52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kern w:val="2"/>
                <w:sz w:val="22"/>
                <w:szCs w:val="22"/>
                <w:highlight w:val="none"/>
                <w:u w:val="none"/>
                <w:lang w:val="en-US" w:eastAsia="zh-CN" w:bidi="ar-SA"/>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210" w:type="dxa"/>
            <w:tcBorders>
              <w:tl2br w:val="nil"/>
              <w:tr2bl w:val="nil"/>
            </w:tcBorders>
            <w:noWrap/>
            <w:vAlign w:val="center"/>
          </w:tcPr>
          <w:p w14:paraId="26907B6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0.0</w:t>
            </w:r>
            <w:r>
              <w:rPr>
                <w:rFonts w:hint="eastAsia" w:ascii="Arial" w:hAnsi="Arial" w:cs="Arial"/>
                <w:color w:val="auto"/>
                <w:kern w:val="0"/>
                <w:sz w:val="22"/>
                <w:szCs w:val="22"/>
                <w:highlight w:val="none"/>
                <w:lang w:val="en-US" w:eastAsia="zh-CN"/>
              </w:rPr>
              <w:t>9</w:t>
            </w:r>
          </w:p>
        </w:tc>
        <w:tc>
          <w:tcPr>
            <w:tcW w:w="1414" w:type="dxa"/>
            <w:tcBorders>
              <w:tl2br w:val="nil"/>
              <w:tr2bl w:val="nil"/>
            </w:tcBorders>
            <w:noWrap/>
            <w:vAlign w:val="center"/>
          </w:tcPr>
          <w:p w14:paraId="1EADFD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eastAsia" w:ascii="Arial" w:hAnsi="Arial" w:cs="Arial"/>
                <w:color w:val="auto"/>
                <w:kern w:val="0"/>
                <w:sz w:val="22"/>
                <w:szCs w:val="22"/>
                <w:highlight w:val="none"/>
                <w:lang w:val="en-US" w:eastAsia="zh-CN"/>
              </w:rPr>
              <w:t>/</w:t>
            </w:r>
          </w:p>
        </w:tc>
        <w:tc>
          <w:tcPr>
            <w:tcW w:w="1205" w:type="dxa"/>
            <w:tcBorders>
              <w:tl2br w:val="nil"/>
              <w:tr2bl w:val="nil"/>
            </w:tcBorders>
            <w:noWrap/>
            <w:vAlign w:val="center"/>
          </w:tcPr>
          <w:p w14:paraId="4EB8DEF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0.0</w:t>
            </w:r>
            <w:r>
              <w:rPr>
                <w:rFonts w:hint="eastAsia" w:ascii="Arial" w:hAnsi="Arial" w:cs="Arial"/>
                <w:color w:val="auto"/>
                <w:kern w:val="0"/>
                <w:sz w:val="22"/>
                <w:szCs w:val="22"/>
                <w:highlight w:val="none"/>
                <w:lang w:val="en-US" w:eastAsia="zh-CN"/>
              </w:rPr>
              <w:t>2</w:t>
            </w:r>
          </w:p>
        </w:tc>
        <w:tc>
          <w:tcPr>
            <w:tcW w:w="1271" w:type="dxa"/>
            <w:tcBorders>
              <w:tl2br w:val="nil"/>
              <w:tr2bl w:val="nil"/>
            </w:tcBorders>
            <w:noWrap/>
            <w:vAlign w:val="center"/>
          </w:tcPr>
          <w:p w14:paraId="04828A5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0.0</w:t>
            </w:r>
            <w:r>
              <w:rPr>
                <w:rFonts w:hint="eastAsia" w:ascii="Arial" w:hAnsi="Arial" w:cs="Arial"/>
                <w:color w:val="auto"/>
                <w:kern w:val="0"/>
                <w:sz w:val="22"/>
                <w:szCs w:val="22"/>
                <w:highlight w:val="none"/>
                <w:lang w:val="en-US" w:eastAsia="zh-CN"/>
              </w:rPr>
              <w:t>7</w:t>
            </w:r>
          </w:p>
        </w:tc>
        <w:tc>
          <w:tcPr>
            <w:tcW w:w="2943" w:type="dxa"/>
            <w:vMerge w:val="continue"/>
            <w:tcBorders>
              <w:tl2br w:val="nil"/>
              <w:tr2bl w:val="nil"/>
            </w:tcBorders>
            <w:noWrap/>
            <w:vAlign w:val="center"/>
          </w:tcPr>
          <w:p w14:paraId="68BC919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p>
        </w:tc>
      </w:tr>
      <w:tr w14:paraId="2A8436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1" w:hRule="exact"/>
          <w:jc w:val="center"/>
        </w:trPr>
        <w:tc>
          <w:tcPr>
            <w:tcW w:w="891" w:type="dxa"/>
            <w:tcBorders>
              <w:tl2br w:val="nil"/>
              <w:tr2bl w:val="nil"/>
            </w:tcBorders>
            <w:noWrap/>
            <w:vAlign w:val="center"/>
          </w:tcPr>
          <w:p w14:paraId="622584F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eastAsia" w:ascii="Arial" w:hAnsi="Arial" w:cs="Arial"/>
                <w:i w:val="0"/>
                <w:iCs w:val="0"/>
                <w:color w:val="auto"/>
                <w:kern w:val="0"/>
                <w:sz w:val="22"/>
                <w:szCs w:val="22"/>
                <w:highlight w:val="none"/>
                <w:u w:val="none"/>
                <w:lang w:val="en-US" w:eastAsia="zh-CN" w:bidi="ar"/>
              </w:rPr>
              <w:t>3</w:t>
            </w:r>
          </w:p>
        </w:tc>
        <w:tc>
          <w:tcPr>
            <w:tcW w:w="2171" w:type="dxa"/>
            <w:tcBorders>
              <w:tl2br w:val="nil"/>
              <w:tr2bl w:val="nil"/>
            </w:tcBorders>
            <w:noWrap/>
            <w:vAlign w:val="center"/>
          </w:tcPr>
          <w:p w14:paraId="1BA2532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合计</w:t>
            </w:r>
          </w:p>
        </w:tc>
        <w:tc>
          <w:tcPr>
            <w:tcW w:w="1210" w:type="dxa"/>
            <w:tcBorders>
              <w:tl2br w:val="nil"/>
              <w:tr2bl w:val="nil"/>
            </w:tcBorders>
            <w:noWrap/>
            <w:vAlign w:val="center"/>
          </w:tcPr>
          <w:p w14:paraId="78D3CE4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Arial" w:hAnsi="Arial"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万m</w:t>
            </w:r>
            <w:r>
              <w:rPr>
                <w:rFonts w:hint="default" w:ascii="Arial" w:hAnsi="Arial" w:eastAsia="宋体" w:cs="Arial"/>
                <w:i w:val="0"/>
                <w:iCs w:val="0"/>
                <w:color w:val="auto"/>
                <w:kern w:val="0"/>
                <w:sz w:val="22"/>
                <w:szCs w:val="22"/>
                <w:highlight w:val="none"/>
                <w:u w:val="none"/>
                <w:vertAlign w:val="superscript"/>
                <w:lang w:val="en-US" w:eastAsia="zh-CN" w:bidi="ar"/>
              </w:rPr>
              <w:t>3</w:t>
            </w:r>
          </w:p>
        </w:tc>
        <w:tc>
          <w:tcPr>
            <w:tcW w:w="1210" w:type="dxa"/>
            <w:tcBorders>
              <w:tl2br w:val="nil"/>
              <w:tr2bl w:val="nil"/>
            </w:tcBorders>
            <w:noWrap/>
            <w:vAlign w:val="center"/>
          </w:tcPr>
          <w:p w14:paraId="741CC40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3.30</w:t>
            </w:r>
          </w:p>
        </w:tc>
        <w:tc>
          <w:tcPr>
            <w:tcW w:w="1414" w:type="dxa"/>
            <w:tcBorders>
              <w:tl2br w:val="nil"/>
              <w:tr2bl w:val="nil"/>
            </w:tcBorders>
            <w:noWrap/>
            <w:vAlign w:val="center"/>
          </w:tcPr>
          <w:p w14:paraId="26AFEB3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0.07</w:t>
            </w:r>
          </w:p>
        </w:tc>
        <w:tc>
          <w:tcPr>
            <w:tcW w:w="1205" w:type="dxa"/>
            <w:tcBorders>
              <w:tl2br w:val="nil"/>
              <w:tr2bl w:val="nil"/>
            </w:tcBorders>
            <w:noWrap/>
            <w:vAlign w:val="center"/>
          </w:tcPr>
          <w:p w14:paraId="13FD7C2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3.0</w:t>
            </w:r>
            <w:r>
              <w:rPr>
                <w:rFonts w:hint="eastAsia" w:ascii="Arial" w:hAnsi="Arial" w:cs="Arial"/>
                <w:color w:val="auto"/>
                <w:kern w:val="0"/>
                <w:sz w:val="22"/>
                <w:szCs w:val="22"/>
                <w:highlight w:val="none"/>
                <w:lang w:val="en-US" w:eastAsia="zh-CN"/>
              </w:rPr>
              <w:t>2</w:t>
            </w:r>
          </w:p>
        </w:tc>
        <w:tc>
          <w:tcPr>
            <w:tcW w:w="1271" w:type="dxa"/>
            <w:tcBorders>
              <w:tl2br w:val="nil"/>
              <w:tr2bl w:val="nil"/>
            </w:tcBorders>
            <w:noWrap/>
            <w:vAlign w:val="center"/>
          </w:tcPr>
          <w:p w14:paraId="14633C1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r>
              <w:rPr>
                <w:rFonts w:hint="default" w:ascii="Arial" w:hAnsi="Arial" w:eastAsia="宋体" w:cs="Arial"/>
                <w:color w:val="auto"/>
                <w:kern w:val="0"/>
                <w:sz w:val="22"/>
                <w:szCs w:val="22"/>
                <w:highlight w:val="none"/>
                <w:lang w:val="en-US" w:eastAsia="zh-CN"/>
              </w:rPr>
              <w:t>0.21</w:t>
            </w:r>
          </w:p>
        </w:tc>
        <w:tc>
          <w:tcPr>
            <w:tcW w:w="2943" w:type="dxa"/>
            <w:tcBorders>
              <w:tl2br w:val="nil"/>
              <w:tr2bl w:val="nil"/>
            </w:tcBorders>
            <w:noWrap/>
            <w:vAlign w:val="center"/>
          </w:tcPr>
          <w:p w14:paraId="02F978C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color w:val="auto"/>
                <w:kern w:val="0"/>
                <w:sz w:val="22"/>
                <w:szCs w:val="22"/>
                <w:highlight w:val="none"/>
                <w:lang w:val="en-US" w:eastAsia="zh-CN"/>
              </w:rPr>
            </w:pPr>
          </w:p>
        </w:tc>
      </w:tr>
    </w:tbl>
    <w:p w14:paraId="5FF121CE">
      <w:pPr>
        <w:autoSpaceDE w:val="0"/>
        <w:autoSpaceDN w:val="0"/>
        <w:spacing w:line="440" w:lineRule="exact"/>
        <w:ind w:firstLine="482"/>
        <w:jc w:val="both"/>
        <w:rPr>
          <w:rFonts w:hint="eastAsia" w:ascii="Arial" w:hAnsi="Arial" w:cs="Arial"/>
          <w:color w:val="auto"/>
          <w:sz w:val="26"/>
          <w:szCs w:val="26"/>
          <w:lang w:val="en-US" w:eastAsia="zh-CN"/>
        </w:rPr>
        <w:sectPr>
          <w:pgSz w:w="15840" w:h="12240" w:orient="landscape"/>
          <w:pgMar w:top="1701" w:right="1440" w:bottom="1701" w:left="1440" w:header="1020" w:footer="794" w:gutter="0"/>
          <w:pgBorders>
            <w:top w:val="none" w:sz="0" w:space="0"/>
            <w:left w:val="none" w:sz="0" w:space="0"/>
            <w:bottom w:val="none" w:sz="0" w:space="0"/>
            <w:right w:val="none" w:sz="0" w:space="0"/>
          </w:pgBorders>
          <w:pgNumType w:fmt="decimal"/>
          <w:cols w:space="720" w:num="1"/>
        </w:sectPr>
      </w:pPr>
    </w:p>
    <w:p w14:paraId="084E4FBB">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cs="Arial"/>
          <w:color w:val="auto"/>
          <w:sz w:val="26"/>
          <w:szCs w:val="26"/>
          <w:lang w:val="en-US" w:eastAsia="zh-CN"/>
        </w:rPr>
      </w:pPr>
      <w:r>
        <w:rPr>
          <w:rFonts w:hint="eastAsia" w:ascii="Arial" w:hAnsi="Arial" w:cs="Arial"/>
          <w:color w:val="auto"/>
          <w:sz w:val="26"/>
          <w:szCs w:val="26"/>
          <w:lang w:val="en-US" w:eastAsia="zh-CN"/>
        </w:rPr>
        <w:t>2.4移民安置</w:t>
      </w:r>
    </w:p>
    <w:p w14:paraId="5EF59CC8">
      <w:pPr>
        <w:keepNext w:val="0"/>
        <w:keepLines w:val="0"/>
        <w:pageBreakBefore w:val="0"/>
        <w:kinsoku/>
        <w:wordWrap/>
        <w:overflowPunct/>
        <w:topLinePunct w:val="0"/>
        <w:autoSpaceDE w:val="0"/>
        <w:autoSpaceDN w:val="0"/>
        <w:bidi w:val="0"/>
        <w:spacing w:line="460" w:lineRule="exact"/>
        <w:ind w:firstLine="520" w:firstLineChars="200"/>
        <w:jc w:val="both"/>
        <w:textAlignment w:val="auto"/>
        <w:rPr>
          <w:rFonts w:hint="default" w:ascii="Arial" w:hAnsi="Arial" w:cs="Arial"/>
          <w:color w:val="auto"/>
          <w:sz w:val="26"/>
          <w:szCs w:val="26"/>
          <w:lang w:val="en-US" w:eastAsia="zh-CN"/>
        </w:rPr>
      </w:pPr>
      <w:r>
        <w:rPr>
          <w:rFonts w:hint="eastAsia" w:ascii="Arial" w:hAnsi="Arial" w:cs="Arial"/>
          <w:color w:val="auto"/>
          <w:sz w:val="26"/>
          <w:szCs w:val="26"/>
          <w:lang w:val="en-US" w:eastAsia="zh-CN"/>
        </w:rPr>
        <w:t>根据《丰都县海螺沟水库工程建设征地移民安置规划报告》及其批</w:t>
      </w:r>
      <w:r>
        <w:rPr>
          <w:rFonts w:hint="eastAsia" w:ascii="Arial" w:cs="Arial"/>
          <w:bCs/>
          <w:color w:val="auto"/>
          <w:sz w:val="26"/>
          <w:lang w:val="en-US" w:eastAsia="zh-CN"/>
        </w:rPr>
        <w:t>复“丰都府〔2024〕14号”，海螺沟水库库区不会淹没居民房屋，不涉及道路、桥梁、输电线路、电杆等专项设施处理，但因征地需安置人口34人，均采取货币安置的方式。</w:t>
      </w:r>
    </w:p>
    <w:p w14:paraId="1FF43FE8">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cs="Arial"/>
          <w:color w:val="auto"/>
          <w:sz w:val="26"/>
          <w:szCs w:val="26"/>
          <w:lang w:val="en-US" w:eastAsia="zh-CN"/>
        </w:rPr>
      </w:pPr>
      <w:r>
        <w:rPr>
          <w:rFonts w:hint="eastAsia" w:ascii="Arial" w:hAnsi="Arial" w:cs="Arial"/>
          <w:color w:val="auto"/>
          <w:sz w:val="26"/>
          <w:szCs w:val="26"/>
          <w:lang w:val="en-US" w:eastAsia="zh-CN"/>
        </w:rPr>
        <w:t>2.5劳动定员及管理</w:t>
      </w:r>
    </w:p>
    <w:p w14:paraId="2ABF8503">
      <w:pPr>
        <w:keepNext w:val="0"/>
        <w:keepLines w:val="0"/>
        <w:pageBreakBefore w:val="0"/>
        <w:kinsoku/>
        <w:wordWrap/>
        <w:overflowPunct/>
        <w:topLinePunct w:val="0"/>
        <w:autoSpaceDE w:val="0"/>
        <w:autoSpaceDN w:val="0"/>
        <w:bidi w:val="0"/>
        <w:spacing w:line="460" w:lineRule="exact"/>
        <w:ind w:firstLine="482"/>
        <w:jc w:val="left"/>
        <w:textAlignment w:val="auto"/>
        <w:rPr>
          <w:rFonts w:hint="eastAsia" w:ascii="Arial" w:cs="Arial"/>
          <w:bCs/>
          <w:sz w:val="26"/>
        </w:rPr>
      </w:pPr>
      <w:r>
        <w:rPr>
          <w:rFonts w:hint="eastAsia" w:ascii="Arial" w:cs="Arial"/>
          <w:bCs/>
          <w:sz w:val="26"/>
          <w:lang w:eastAsia="zh-CN"/>
        </w:rPr>
        <w:t>海螺沟</w:t>
      </w:r>
      <w:r>
        <w:rPr>
          <w:rFonts w:hint="eastAsia" w:ascii="Arial" w:cs="Arial"/>
          <w:bCs/>
          <w:sz w:val="26"/>
        </w:rPr>
        <w:t>水库规模为小（</w:t>
      </w:r>
      <w:r>
        <w:rPr>
          <w:rFonts w:hint="eastAsia" w:ascii="Arial" w:cs="Arial"/>
          <w:bCs/>
          <w:sz w:val="26"/>
          <w:lang w:val="en-US" w:eastAsia="zh-CN"/>
        </w:rPr>
        <w:t>2</w:t>
      </w:r>
      <w:r>
        <w:rPr>
          <w:rFonts w:hint="eastAsia" w:ascii="Arial" w:cs="Arial"/>
          <w:bCs/>
          <w:sz w:val="26"/>
        </w:rPr>
        <w:t>）型水库，水库管理按小（</w:t>
      </w:r>
      <w:r>
        <w:rPr>
          <w:rFonts w:hint="eastAsia" w:ascii="Arial" w:cs="Arial"/>
          <w:bCs/>
          <w:sz w:val="26"/>
          <w:lang w:val="en-US" w:eastAsia="zh-CN"/>
        </w:rPr>
        <w:t>2</w:t>
      </w:r>
      <w:r>
        <w:rPr>
          <w:rFonts w:hint="eastAsia" w:ascii="Arial" w:cs="Arial"/>
          <w:bCs/>
          <w:sz w:val="26"/>
        </w:rPr>
        <w:t>）型水库标准Ⅳ等水库管理，</w:t>
      </w:r>
      <w:r>
        <w:rPr>
          <w:rFonts w:hint="eastAsia" w:ascii="Arial" w:cs="Arial"/>
          <w:bCs/>
          <w:sz w:val="26"/>
          <w:lang w:eastAsia="zh-CN"/>
        </w:rPr>
        <w:t>建成后由丰都县人民政府指定后期的运行管理单位，</w:t>
      </w:r>
      <w:r>
        <w:rPr>
          <w:rFonts w:hint="eastAsia" w:ascii="Arial" w:cs="Arial"/>
          <w:bCs/>
          <w:sz w:val="26"/>
        </w:rPr>
        <w:t>统一管理枢纽及输水工程、供水调度、防洪调度及水资源保护等。工程施工完成后，设水库管理区，生产管理及后勤人员共计</w:t>
      </w:r>
      <w:r>
        <w:rPr>
          <w:rFonts w:hint="eastAsia" w:ascii="Arial" w:cs="Arial"/>
          <w:bCs/>
          <w:sz w:val="26"/>
          <w:lang w:val="en-US" w:eastAsia="zh-CN"/>
        </w:rPr>
        <w:t>4</w:t>
      </w:r>
      <w:r>
        <w:rPr>
          <w:rFonts w:hint="eastAsia" w:ascii="Arial" w:cs="Arial"/>
          <w:bCs/>
          <w:sz w:val="26"/>
        </w:rPr>
        <w:t>人。</w:t>
      </w:r>
    </w:p>
    <w:p w14:paraId="1F9C61B3">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cs="Arial"/>
          <w:color w:val="auto"/>
          <w:sz w:val="26"/>
          <w:szCs w:val="26"/>
          <w:lang w:val="en-US" w:eastAsia="zh-CN"/>
        </w:rPr>
      </w:pPr>
      <w:r>
        <w:rPr>
          <w:rFonts w:hint="eastAsia" w:ascii="Arial" w:hAnsi="Arial" w:cs="Arial"/>
          <w:color w:val="auto"/>
          <w:sz w:val="26"/>
          <w:szCs w:val="26"/>
          <w:lang w:val="en-US" w:eastAsia="zh-CN"/>
        </w:rPr>
        <w:t>2.6工程特性指标</w:t>
      </w:r>
    </w:p>
    <w:p w14:paraId="68486B47">
      <w:pPr>
        <w:keepNext w:val="0"/>
        <w:keepLines w:val="0"/>
        <w:pageBreakBefore w:val="0"/>
        <w:kinsoku/>
        <w:wordWrap/>
        <w:overflowPunct/>
        <w:topLinePunct w:val="0"/>
        <w:autoSpaceDE w:val="0"/>
        <w:autoSpaceDN w:val="0"/>
        <w:bidi w:val="0"/>
        <w:spacing w:line="460" w:lineRule="exact"/>
        <w:ind w:firstLine="482"/>
        <w:jc w:val="both"/>
        <w:textAlignment w:val="auto"/>
        <w:rPr>
          <w:rFonts w:hint="eastAsia" w:ascii="Arial" w:cs="Arial"/>
          <w:bCs/>
          <w:color w:val="auto"/>
          <w:sz w:val="26"/>
          <w:lang w:val="en-US" w:eastAsia="zh-CN"/>
        </w:rPr>
      </w:pPr>
      <w:r>
        <w:rPr>
          <w:rFonts w:hint="eastAsia" w:ascii="Arial" w:cs="Arial"/>
          <w:bCs/>
          <w:color w:val="auto"/>
          <w:sz w:val="26"/>
          <w:lang w:val="en-US" w:eastAsia="zh-CN"/>
        </w:rPr>
        <w:t>海螺沟水库工程特性指标详见表2.6-1所示。</w:t>
      </w:r>
    </w:p>
    <w:p w14:paraId="5EAD593B">
      <w:pPr>
        <w:keepNext w:val="0"/>
        <w:keepLines w:val="0"/>
        <w:pageBreakBefore w:val="0"/>
        <w:widowControl w:val="0"/>
        <w:kinsoku/>
        <w:wordWrap/>
        <w:overflowPunct/>
        <w:topLinePunct w:val="0"/>
        <w:autoSpaceDE w:val="0"/>
        <w:autoSpaceDN w:val="0"/>
        <w:bidi w:val="0"/>
        <w:adjustRightInd/>
        <w:snapToGrid/>
        <w:spacing w:line="460" w:lineRule="exact"/>
        <w:ind w:firstLine="0"/>
        <w:jc w:val="center"/>
        <w:textAlignment w:val="auto"/>
        <w:rPr>
          <w:rFonts w:hint="eastAsia" w:ascii="Arial" w:cs="Arial"/>
          <w:b/>
          <w:bCs w:val="0"/>
          <w:color w:val="auto"/>
          <w:sz w:val="26"/>
          <w:lang w:val="en-US" w:eastAsia="zh-CN"/>
        </w:rPr>
      </w:pPr>
      <w:r>
        <w:rPr>
          <w:rFonts w:hint="eastAsia" w:ascii="Arial" w:cs="Arial"/>
          <w:b/>
          <w:bCs w:val="0"/>
          <w:color w:val="auto"/>
          <w:sz w:val="26"/>
          <w:lang w:val="en-US" w:eastAsia="zh-CN"/>
        </w:rPr>
        <w:t>表2.6-1 海螺沟水库工程特性指标一览表</w:t>
      </w:r>
    </w:p>
    <w:tbl>
      <w:tblPr>
        <w:tblStyle w:val="77"/>
        <w:tblW w:w="93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41"/>
        <w:gridCol w:w="1050"/>
        <w:gridCol w:w="1391"/>
        <w:gridCol w:w="1167"/>
        <w:gridCol w:w="2789"/>
      </w:tblGrid>
      <w:tr w14:paraId="5808A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941" w:type="dxa"/>
            <w:tcBorders>
              <w:tl2br w:val="nil"/>
              <w:tr2bl w:val="nil"/>
            </w:tcBorders>
            <w:noWrap w:val="0"/>
            <w:vAlign w:val="center"/>
          </w:tcPr>
          <w:p w14:paraId="5C36253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名称</w:t>
            </w:r>
          </w:p>
        </w:tc>
        <w:tc>
          <w:tcPr>
            <w:tcW w:w="1050" w:type="dxa"/>
            <w:tcBorders>
              <w:tl2br w:val="nil"/>
              <w:tr2bl w:val="nil"/>
            </w:tcBorders>
            <w:noWrap w:val="0"/>
            <w:vAlign w:val="center"/>
          </w:tcPr>
          <w:p w14:paraId="548CC15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单位</w:t>
            </w:r>
          </w:p>
        </w:tc>
        <w:tc>
          <w:tcPr>
            <w:tcW w:w="2558" w:type="dxa"/>
            <w:gridSpan w:val="2"/>
            <w:tcBorders>
              <w:tl2br w:val="nil"/>
              <w:tr2bl w:val="nil"/>
            </w:tcBorders>
            <w:noWrap/>
            <w:vAlign w:val="center"/>
          </w:tcPr>
          <w:p w14:paraId="679F748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数据</w:t>
            </w:r>
          </w:p>
        </w:tc>
        <w:tc>
          <w:tcPr>
            <w:tcW w:w="2789" w:type="dxa"/>
            <w:tcBorders>
              <w:tl2br w:val="nil"/>
              <w:tr2bl w:val="nil"/>
            </w:tcBorders>
            <w:noWrap w:val="0"/>
            <w:vAlign w:val="center"/>
          </w:tcPr>
          <w:p w14:paraId="3AE392A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备注</w:t>
            </w:r>
          </w:p>
        </w:tc>
      </w:tr>
      <w:tr w14:paraId="3E099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E7CD96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一、水文</w:t>
            </w:r>
          </w:p>
        </w:tc>
        <w:tc>
          <w:tcPr>
            <w:tcW w:w="1050" w:type="dxa"/>
            <w:tcBorders>
              <w:tl2br w:val="nil"/>
              <w:tr2bl w:val="nil"/>
            </w:tcBorders>
            <w:noWrap w:val="0"/>
            <w:vAlign w:val="center"/>
          </w:tcPr>
          <w:p w14:paraId="2C437A6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6AE7431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0"/>
            <w:vAlign w:val="center"/>
          </w:tcPr>
          <w:p w14:paraId="581E534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7764D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66926E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1、流域面积</w:t>
            </w:r>
          </w:p>
        </w:tc>
        <w:tc>
          <w:tcPr>
            <w:tcW w:w="1050" w:type="dxa"/>
            <w:tcBorders>
              <w:tl2br w:val="nil"/>
              <w:tr2bl w:val="nil"/>
            </w:tcBorders>
            <w:noWrap w:val="0"/>
            <w:vAlign w:val="center"/>
          </w:tcPr>
          <w:p w14:paraId="5E312A7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7F6FA1D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0"/>
            <w:vAlign w:val="center"/>
          </w:tcPr>
          <w:p w14:paraId="5702830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99A4B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B437C4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海螺沟流域</w:t>
            </w:r>
          </w:p>
        </w:tc>
        <w:tc>
          <w:tcPr>
            <w:tcW w:w="1050" w:type="dxa"/>
            <w:tcBorders>
              <w:tl2br w:val="nil"/>
              <w:tr2bl w:val="nil"/>
            </w:tcBorders>
            <w:noWrap w:val="0"/>
            <w:vAlign w:val="center"/>
          </w:tcPr>
          <w:p w14:paraId="09DEDD6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km</w:t>
            </w:r>
            <w:r>
              <w:rPr>
                <w:rFonts w:hint="default" w:ascii="Arial" w:hAnsi="Arial" w:cs="Arial"/>
                <w:sz w:val="22"/>
                <w:szCs w:val="22"/>
                <w:vertAlign w:val="superscript"/>
              </w:rPr>
              <w:t>2</w:t>
            </w:r>
          </w:p>
        </w:tc>
        <w:tc>
          <w:tcPr>
            <w:tcW w:w="2558" w:type="dxa"/>
            <w:gridSpan w:val="2"/>
            <w:tcBorders>
              <w:tl2br w:val="nil"/>
              <w:tr2bl w:val="nil"/>
            </w:tcBorders>
            <w:noWrap/>
            <w:vAlign w:val="center"/>
          </w:tcPr>
          <w:p w14:paraId="7EB4D30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3.48</w:t>
            </w:r>
          </w:p>
        </w:tc>
        <w:tc>
          <w:tcPr>
            <w:tcW w:w="2789" w:type="dxa"/>
            <w:tcBorders>
              <w:tl2br w:val="nil"/>
              <w:tr2bl w:val="nil"/>
            </w:tcBorders>
            <w:noWrap w:val="0"/>
            <w:vAlign w:val="center"/>
          </w:tcPr>
          <w:p w14:paraId="4EA283A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2FD80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76A340D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坝址以上流域面积</w:t>
            </w:r>
          </w:p>
        </w:tc>
        <w:tc>
          <w:tcPr>
            <w:tcW w:w="1050" w:type="dxa"/>
            <w:tcBorders>
              <w:tl2br w:val="nil"/>
              <w:tr2bl w:val="nil"/>
            </w:tcBorders>
            <w:noWrap w:val="0"/>
            <w:vAlign w:val="center"/>
          </w:tcPr>
          <w:p w14:paraId="756C8E6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km</w:t>
            </w:r>
            <w:r>
              <w:rPr>
                <w:rFonts w:hint="default" w:ascii="Arial" w:hAnsi="Arial" w:cs="Arial"/>
                <w:sz w:val="22"/>
                <w:szCs w:val="22"/>
                <w:vertAlign w:val="superscript"/>
              </w:rPr>
              <w:t>2</w:t>
            </w:r>
          </w:p>
        </w:tc>
        <w:tc>
          <w:tcPr>
            <w:tcW w:w="2558" w:type="dxa"/>
            <w:gridSpan w:val="2"/>
            <w:tcBorders>
              <w:tl2br w:val="nil"/>
              <w:tr2bl w:val="nil"/>
            </w:tcBorders>
            <w:noWrap/>
            <w:vAlign w:val="center"/>
          </w:tcPr>
          <w:p w14:paraId="487CEBA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2.04</w:t>
            </w:r>
          </w:p>
        </w:tc>
        <w:tc>
          <w:tcPr>
            <w:tcW w:w="2789" w:type="dxa"/>
            <w:tcBorders>
              <w:tl2br w:val="nil"/>
              <w:tr2bl w:val="nil"/>
            </w:tcBorders>
            <w:noWrap w:val="0"/>
            <w:vAlign w:val="center"/>
          </w:tcPr>
          <w:p w14:paraId="5E188F4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1B93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29FADE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2、利用的水文系列年限</w:t>
            </w:r>
          </w:p>
        </w:tc>
        <w:tc>
          <w:tcPr>
            <w:tcW w:w="1050" w:type="dxa"/>
            <w:tcBorders>
              <w:tl2br w:val="nil"/>
              <w:tr2bl w:val="nil"/>
            </w:tcBorders>
            <w:noWrap w:val="0"/>
            <w:vAlign w:val="center"/>
          </w:tcPr>
          <w:p w14:paraId="486C98D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年</w:t>
            </w:r>
          </w:p>
        </w:tc>
        <w:tc>
          <w:tcPr>
            <w:tcW w:w="2558" w:type="dxa"/>
            <w:gridSpan w:val="2"/>
            <w:tcBorders>
              <w:tl2br w:val="nil"/>
              <w:tr2bl w:val="nil"/>
            </w:tcBorders>
            <w:noWrap/>
            <w:vAlign w:val="center"/>
          </w:tcPr>
          <w:p w14:paraId="3077E26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59</w:t>
            </w:r>
          </w:p>
        </w:tc>
        <w:tc>
          <w:tcPr>
            <w:tcW w:w="2789" w:type="dxa"/>
            <w:tcBorders>
              <w:tl2br w:val="nil"/>
              <w:tr2bl w:val="nil"/>
            </w:tcBorders>
            <w:noWrap w:val="0"/>
            <w:vAlign w:val="center"/>
          </w:tcPr>
          <w:p w14:paraId="1708DD5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13C0D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031FA2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3、多年平均径流量</w:t>
            </w:r>
          </w:p>
        </w:tc>
        <w:tc>
          <w:tcPr>
            <w:tcW w:w="1050" w:type="dxa"/>
            <w:tcBorders>
              <w:tl2br w:val="nil"/>
              <w:tr2bl w:val="nil"/>
            </w:tcBorders>
            <w:noWrap w:val="0"/>
            <w:vAlign w:val="center"/>
          </w:tcPr>
          <w:p w14:paraId="077E26F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40912EC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105</w:t>
            </w:r>
          </w:p>
        </w:tc>
        <w:tc>
          <w:tcPr>
            <w:tcW w:w="2789" w:type="dxa"/>
            <w:tcBorders>
              <w:tl2br w:val="nil"/>
              <w:tr2bl w:val="nil"/>
            </w:tcBorders>
            <w:noWrap w:val="0"/>
            <w:vAlign w:val="center"/>
          </w:tcPr>
          <w:p w14:paraId="35E49BD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4C57E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68EDB2E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4、多年平均径流深</w:t>
            </w:r>
          </w:p>
        </w:tc>
        <w:tc>
          <w:tcPr>
            <w:tcW w:w="1050" w:type="dxa"/>
            <w:tcBorders>
              <w:tl2br w:val="nil"/>
              <w:tr2bl w:val="nil"/>
            </w:tcBorders>
            <w:noWrap w:val="0"/>
            <w:vAlign w:val="center"/>
          </w:tcPr>
          <w:p w14:paraId="1796074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mm</w:t>
            </w:r>
          </w:p>
        </w:tc>
        <w:tc>
          <w:tcPr>
            <w:tcW w:w="2558" w:type="dxa"/>
            <w:gridSpan w:val="2"/>
            <w:tcBorders>
              <w:tl2br w:val="nil"/>
              <w:tr2bl w:val="nil"/>
            </w:tcBorders>
            <w:noWrap/>
            <w:vAlign w:val="center"/>
          </w:tcPr>
          <w:p w14:paraId="16BBF12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514</w:t>
            </w:r>
          </w:p>
        </w:tc>
        <w:tc>
          <w:tcPr>
            <w:tcW w:w="2789" w:type="dxa"/>
            <w:tcBorders>
              <w:tl2br w:val="nil"/>
              <w:tr2bl w:val="nil"/>
            </w:tcBorders>
            <w:noWrap w:val="0"/>
            <w:vAlign w:val="center"/>
          </w:tcPr>
          <w:p w14:paraId="133CD8F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89E4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6FCE21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5、代表性流量</w:t>
            </w:r>
          </w:p>
        </w:tc>
        <w:tc>
          <w:tcPr>
            <w:tcW w:w="1050" w:type="dxa"/>
            <w:tcBorders>
              <w:tl2br w:val="nil"/>
              <w:tr2bl w:val="nil"/>
            </w:tcBorders>
            <w:noWrap w:val="0"/>
            <w:vAlign w:val="center"/>
          </w:tcPr>
          <w:p w14:paraId="1383EBC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50CDF49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0"/>
            <w:vAlign w:val="center"/>
          </w:tcPr>
          <w:p w14:paraId="64A2C6A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2BAE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770C08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设计洪水标准及流量</w:t>
            </w:r>
          </w:p>
        </w:tc>
        <w:tc>
          <w:tcPr>
            <w:tcW w:w="1050" w:type="dxa"/>
            <w:tcBorders>
              <w:tl2br w:val="nil"/>
              <w:tr2bl w:val="nil"/>
            </w:tcBorders>
            <w:noWrap w:val="0"/>
            <w:vAlign w:val="center"/>
          </w:tcPr>
          <w:p w14:paraId="08ABF78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680AFD0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38.9</w:t>
            </w:r>
          </w:p>
        </w:tc>
        <w:tc>
          <w:tcPr>
            <w:tcW w:w="2789" w:type="dxa"/>
            <w:tcBorders>
              <w:tl2br w:val="nil"/>
              <w:tr2bl w:val="nil"/>
            </w:tcBorders>
            <w:noWrap w:val="0"/>
            <w:vAlign w:val="center"/>
          </w:tcPr>
          <w:p w14:paraId="0EC7C0C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P=5%</w:t>
            </w:r>
          </w:p>
        </w:tc>
      </w:tr>
      <w:tr w14:paraId="09A0F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6" w:hRule="atLeast"/>
          <w:jc w:val="center"/>
        </w:trPr>
        <w:tc>
          <w:tcPr>
            <w:tcW w:w="2941" w:type="dxa"/>
            <w:tcBorders>
              <w:tl2br w:val="nil"/>
              <w:tr2bl w:val="nil"/>
            </w:tcBorders>
            <w:noWrap w:val="0"/>
            <w:vAlign w:val="center"/>
          </w:tcPr>
          <w:p w14:paraId="6ADF80A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校核洪水标准及流量</w:t>
            </w:r>
          </w:p>
        </w:tc>
        <w:tc>
          <w:tcPr>
            <w:tcW w:w="1050" w:type="dxa"/>
            <w:tcBorders>
              <w:tl2br w:val="nil"/>
              <w:tr2bl w:val="nil"/>
            </w:tcBorders>
            <w:noWrap w:val="0"/>
            <w:vAlign w:val="center"/>
          </w:tcPr>
          <w:p w14:paraId="2CCA3B2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3F46CB7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58.9</w:t>
            </w:r>
          </w:p>
        </w:tc>
        <w:tc>
          <w:tcPr>
            <w:tcW w:w="2789" w:type="dxa"/>
            <w:tcBorders>
              <w:tl2br w:val="nil"/>
              <w:tr2bl w:val="nil"/>
            </w:tcBorders>
            <w:noWrap w:val="0"/>
            <w:vAlign w:val="center"/>
          </w:tcPr>
          <w:p w14:paraId="2530206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P=0.5%</w:t>
            </w:r>
          </w:p>
        </w:tc>
      </w:tr>
      <w:tr w14:paraId="472F1C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8EA0B4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枢纽区施工导流标准及流量</w:t>
            </w:r>
          </w:p>
        </w:tc>
        <w:tc>
          <w:tcPr>
            <w:tcW w:w="1050" w:type="dxa"/>
            <w:tcBorders>
              <w:tl2br w:val="nil"/>
              <w:tr2bl w:val="nil"/>
            </w:tcBorders>
            <w:noWrap w:val="0"/>
            <w:vAlign w:val="center"/>
          </w:tcPr>
          <w:p w14:paraId="25596AD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0CE6A88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1.61</w:t>
            </w:r>
          </w:p>
        </w:tc>
        <w:tc>
          <w:tcPr>
            <w:tcW w:w="2789" w:type="dxa"/>
            <w:tcBorders>
              <w:tl2br w:val="nil"/>
              <w:tr2bl w:val="nil"/>
            </w:tcBorders>
            <w:noWrap w:val="0"/>
            <w:vAlign w:val="center"/>
          </w:tcPr>
          <w:p w14:paraId="5176B2E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11月～次年3月/5年一遇</w:t>
            </w:r>
          </w:p>
        </w:tc>
      </w:tr>
      <w:tr w14:paraId="51BFED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0C08EE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输水区施工导流标准及流量</w:t>
            </w:r>
          </w:p>
        </w:tc>
        <w:tc>
          <w:tcPr>
            <w:tcW w:w="1050" w:type="dxa"/>
            <w:tcBorders>
              <w:tl2br w:val="nil"/>
              <w:tr2bl w:val="nil"/>
            </w:tcBorders>
            <w:noWrap w:val="0"/>
            <w:vAlign w:val="center"/>
          </w:tcPr>
          <w:p w14:paraId="2C2868E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2EB5968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0.04~1.1</w:t>
            </w:r>
          </w:p>
        </w:tc>
        <w:tc>
          <w:tcPr>
            <w:tcW w:w="2789" w:type="dxa"/>
            <w:tcBorders>
              <w:tl2br w:val="nil"/>
              <w:tr2bl w:val="nil"/>
            </w:tcBorders>
            <w:noWrap w:val="0"/>
            <w:vAlign w:val="center"/>
          </w:tcPr>
          <w:p w14:paraId="78C3EE6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2月/5年一遇</w:t>
            </w:r>
          </w:p>
        </w:tc>
      </w:tr>
      <w:tr w14:paraId="18431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61EF30A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6、泥沙</w:t>
            </w:r>
          </w:p>
        </w:tc>
        <w:tc>
          <w:tcPr>
            <w:tcW w:w="1050" w:type="dxa"/>
            <w:tcBorders>
              <w:tl2br w:val="nil"/>
              <w:tr2bl w:val="nil"/>
            </w:tcBorders>
            <w:noWrap w:val="0"/>
            <w:vAlign w:val="center"/>
          </w:tcPr>
          <w:p w14:paraId="38463B0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7152142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0"/>
            <w:vAlign w:val="center"/>
          </w:tcPr>
          <w:p w14:paraId="79444BE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095DC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A2F035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多年平均年输沙量</w:t>
            </w:r>
          </w:p>
        </w:tc>
        <w:tc>
          <w:tcPr>
            <w:tcW w:w="1050" w:type="dxa"/>
            <w:tcBorders>
              <w:tl2br w:val="nil"/>
              <w:tr2bl w:val="nil"/>
            </w:tcBorders>
            <w:noWrap w:val="0"/>
            <w:vAlign w:val="center"/>
          </w:tcPr>
          <w:p w14:paraId="3869A8F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t</w:t>
            </w:r>
          </w:p>
        </w:tc>
        <w:tc>
          <w:tcPr>
            <w:tcW w:w="2558" w:type="dxa"/>
            <w:gridSpan w:val="2"/>
            <w:tcBorders>
              <w:tl2br w:val="nil"/>
              <w:tr2bl w:val="nil"/>
            </w:tcBorders>
            <w:noWrap/>
            <w:vAlign w:val="center"/>
          </w:tcPr>
          <w:p w14:paraId="3837747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703.8</w:t>
            </w:r>
          </w:p>
        </w:tc>
        <w:tc>
          <w:tcPr>
            <w:tcW w:w="2789" w:type="dxa"/>
            <w:tcBorders>
              <w:tl2br w:val="nil"/>
              <w:tr2bl w:val="nil"/>
            </w:tcBorders>
            <w:noWrap w:val="0"/>
            <w:vAlign w:val="center"/>
          </w:tcPr>
          <w:p w14:paraId="2679339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73797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2C1CCC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多年平均悬移质年输沙量</w:t>
            </w:r>
          </w:p>
        </w:tc>
        <w:tc>
          <w:tcPr>
            <w:tcW w:w="1050" w:type="dxa"/>
            <w:tcBorders>
              <w:tl2br w:val="nil"/>
              <w:tr2bl w:val="nil"/>
            </w:tcBorders>
            <w:noWrap w:val="0"/>
            <w:vAlign w:val="center"/>
          </w:tcPr>
          <w:p w14:paraId="44D3066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t</w:t>
            </w:r>
          </w:p>
        </w:tc>
        <w:tc>
          <w:tcPr>
            <w:tcW w:w="2558" w:type="dxa"/>
            <w:gridSpan w:val="2"/>
            <w:tcBorders>
              <w:tl2br w:val="nil"/>
              <w:tr2bl w:val="nil"/>
            </w:tcBorders>
            <w:noWrap/>
            <w:vAlign w:val="center"/>
          </w:tcPr>
          <w:p w14:paraId="1BDEC0C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612</w:t>
            </w:r>
          </w:p>
        </w:tc>
        <w:tc>
          <w:tcPr>
            <w:tcW w:w="2789" w:type="dxa"/>
            <w:tcBorders>
              <w:tl2br w:val="nil"/>
              <w:tr2bl w:val="nil"/>
            </w:tcBorders>
            <w:noWrap w:val="0"/>
            <w:vAlign w:val="center"/>
          </w:tcPr>
          <w:p w14:paraId="5DFB3F5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B8C68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F230D2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多年平均推移质年输沙量</w:t>
            </w:r>
          </w:p>
        </w:tc>
        <w:tc>
          <w:tcPr>
            <w:tcW w:w="1050" w:type="dxa"/>
            <w:tcBorders>
              <w:tl2br w:val="nil"/>
              <w:tr2bl w:val="nil"/>
            </w:tcBorders>
            <w:noWrap w:val="0"/>
            <w:vAlign w:val="center"/>
          </w:tcPr>
          <w:p w14:paraId="5414946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t</w:t>
            </w:r>
          </w:p>
        </w:tc>
        <w:tc>
          <w:tcPr>
            <w:tcW w:w="2558" w:type="dxa"/>
            <w:gridSpan w:val="2"/>
            <w:tcBorders>
              <w:tl2br w:val="nil"/>
              <w:tr2bl w:val="nil"/>
            </w:tcBorders>
            <w:noWrap/>
            <w:vAlign w:val="center"/>
          </w:tcPr>
          <w:p w14:paraId="16B3715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91.8</w:t>
            </w:r>
          </w:p>
        </w:tc>
        <w:tc>
          <w:tcPr>
            <w:tcW w:w="2789" w:type="dxa"/>
            <w:tcBorders>
              <w:tl2br w:val="nil"/>
              <w:tr2bl w:val="nil"/>
            </w:tcBorders>
            <w:noWrap w:val="0"/>
            <w:vAlign w:val="center"/>
          </w:tcPr>
          <w:p w14:paraId="7D318A7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3E7ECA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3238FE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二、水库</w:t>
            </w:r>
          </w:p>
        </w:tc>
        <w:tc>
          <w:tcPr>
            <w:tcW w:w="1050" w:type="dxa"/>
            <w:tcBorders>
              <w:tl2br w:val="nil"/>
              <w:tr2bl w:val="nil"/>
            </w:tcBorders>
            <w:noWrap w:val="0"/>
            <w:vAlign w:val="center"/>
          </w:tcPr>
          <w:p w14:paraId="6F61F40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7C219A2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0"/>
            <w:vAlign w:val="center"/>
          </w:tcPr>
          <w:p w14:paraId="02087C9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2622B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781225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1、水库水位</w:t>
            </w:r>
          </w:p>
        </w:tc>
        <w:tc>
          <w:tcPr>
            <w:tcW w:w="1050" w:type="dxa"/>
            <w:tcBorders>
              <w:tl2br w:val="nil"/>
              <w:tr2bl w:val="nil"/>
            </w:tcBorders>
            <w:noWrap w:val="0"/>
            <w:vAlign w:val="center"/>
          </w:tcPr>
          <w:p w14:paraId="4CE9663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0683B40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0"/>
            <w:vAlign w:val="center"/>
          </w:tcPr>
          <w:p w14:paraId="20E4C92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F4B57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752E5E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校核洪水位</w:t>
            </w:r>
          </w:p>
        </w:tc>
        <w:tc>
          <w:tcPr>
            <w:tcW w:w="1050" w:type="dxa"/>
            <w:tcBorders>
              <w:tl2br w:val="nil"/>
              <w:tr2bl w:val="nil"/>
            </w:tcBorders>
            <w:noWrap w:val="0"/>
            <w:vAlign w:val="center"/>
          </w:tcPr>
          <w:p w14:paraId="037702B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1BFDEE4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421.78</w:t>
            </w:r>
          </w:p>
        </w:tc>
        <w:tc>
          <w:tcPr>
            <w:tcW w:w="2789" w:type="dxa"/>
            <w:tcBorders>
              <w:tl2br w:val="nil"/>
              <w:tr2bl w:val="nil"/>
            </w:tcBorders>
            <w:noWrap w:val="0"/>
            <w:vAlign w:val="center"/>
          </w:tcPr>
          <w:p w14:paraId="663C63E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P=0.5%</w:t>
            </w:r>
          </w:p>
        </w:tc>
      </w:tr>
      <w:tr w14:paraId="71649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684D4B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设计洪水位</w:t>
            </w:r>
          </w:p>
        </w:tc>
        <w:tc>
          <w:tcPr>
            <w:tcW w:w="1050" w:type="dxa"/>
            <w:tcBorders>
              <w:tl2br w:val="nil"/>
              <w:tr2bl w:val="nil"/>
            </w:tcBorders>
            <w:noWrap w:val="0"/>
            <w:vAlign w:val="center"/>
          </w:tcPr>
          <w:p w14:paraId="076532B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19E88BA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421.3</w:t>
            </w:r>
          </w:p>
        </w:tc>
        <w:tc>
          <w:tcPr>
            <w:tcW w:w="2789" w:type="dxa"/>
            <w:tcBorders>
              <w:tl2br w:val="nil"/>
              <w:tr2bl w:val="nil"/>
            </w:tcBorders>
            <w:noWrap w:val="0"/>
            <w:vAlign w:val="center"/>
          </w:tcPr>
          <w:p w14:paraId="53BF9CD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P=5%</w:t>
            </w:r>
          </w:p>
        </w:tc>
      </w:tr>
      <w:tr w14:paraId="083B9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C20AAA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正常蓄水位</w:t>
            </w:r>
          </w:p>
        </w:tc>
        <w:tc>
          <w:tcPr>
            <w:tcW w:w="1050" w:type="dxa"/>
            <w:tcBorders>
              <w:tl2br w:val="nil"/>
              <w:tr2bl w:val="nil"/>
            </w:tcBorders>
            <w:noWrap w:val="0"/>
            <w:vAlign w:val="center"/>
          </w:tcPr>
          <w:p w14:paraId="38F215C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7A65056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420.0</w:t>
            </w:r>
          </w:p>
        </w:tc>
        <w:tc>
          <w:tcPr>
            <w:tcW w:w="2789" w:type="dxa"/>
            <w:tcBorders>
              <w:tl2br w:val="nil"/>
              <w:tr2bl w:val="nil"/>
            </w:tcBorders>
            <w:noWrap w:val="0"/>
            <w:vAlign w:val="center"/>
          </w:tcPr>
          <w:p w14:paraId="1E607AD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B42D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941" w:type="dxa"/>
            <w:tcBorders>
              <w:tl2br w:val="nil"/>
              <w:tr2bl w:val="nil"/>
            </w:tcBorders>
            <w:noWrap w:val="0"/>
            <w:vAlign w:val="center"/>
          </w:tcPr>
          <w:p w14:paraId="45BC687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死水位</w:t>
            </w:r>
          </w:p>
        </w:tc>
        <w:tc>
          <w:tcPr>
            <w:tcW w:w="1050" w:type="dxa"/>
            <w:tcBorders>
              <w:tl2br w:val="nil"/>
              <w:tr2bl w:val="nil"/>
            </w:tcBorders>
            <w:noWrap w:val="0"/>
            <w:vAlign w:val="center"/>
          </w:tcPr>
          <w:p w14:paraId="58C608C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548938E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407.5</w:t>
            </w:r>
          </w:p>
        </w:tc>
        <w:tc>
          <w:tcPr>
            <w:tcW w:w="2789" w:type="dxa"/>
            <w:tcBorders>
              <w:tl2br w:val="nil"/>
              <w:tr2bl w:val="nil"/>
            </w:tcBorders>
            <w:noWrap w:val="0"/>
            <w:vAlign w:val="center"/>
          </w:tcPr>
          <w:p w14:paraId="5DE68B2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D75C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5D33C1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2、水库容积</w:t>
            </w:r>
          </w:p>
        </w:tc>
        <w:tc>
          <w:tcPr>
            <w:tcW w:w="1050" w:type="dxa"/>
            <w:tcBorders>
              <w:tl2br w:val="nil"/>
              <w:tr2bl w:val="nil"/>
            </w:tcBorders>
            <w:noWrap w:val="0"/>
            <w:vAlign w:val="center"/>
          </w:tcPr>
          <w:p w14:paraId="202F95B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14BF4DB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0"/>
            <w:vAlign w:val="center"/>
          </w:tcPr>
          <w:p w14:paraId="4C1ED4A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918F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5DFF3B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总库容</w:t>
            </w:r>
          </w:p>
        </w:tc>
        <w:tc>
          <w:tcPr>
            <w:tcW w:w="1050" w:type="dxa"/>
            <w:tcBorders>
              <w:tl2br w:val="nil"/>
              <w:tr2bl w:val="nil"/>
            </w:tcBorders>
            <w:noWrap w:val="0"/>
            <w:vAlign w:val="center"/>
          </w:tcPr>
          <w:p w14:paraId="31BA1CC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5834399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80.51</w:t>
            </w:r>
          </w:p>
        </w:tc>
        <w:tc>
          <w:tcPr>
            <w:tcW w:w="2789" w:type="dxa"/>
            <w:tcBorders>
              <w:tl2br w:val="nil"/>
              <w:tr2bl w:val="nil"/>
            </w:tcBorders>
            <w:noWrap w:val="0"/>
            <w:vAlign w:val="center"/>
          </w:tcPr>
          <w:p w14:paraId="1AB1737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77540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D7D893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正常蓄水位以下库容</w:t>
            </w:r>
          </w:p>
        </w:tc>
        <w:tc>
          <w:tcPr>
            <w:tcW w:w="1050" w:type="dxa"/>
            <w:tcBorders>
              <w:tl2br w:val="nil"/>
              <w:tr2bl w:val="nil"/>
            </w:tcBorders>
            <w:noWrap w:val="0"/>
            <w:vAlign w:val="center"/>
          </w:tcPr>
          <w:p w14:paraId="756C533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3855DF8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65.36</w:t>
            </w:r>
          </w:p>
        </w:tc>
        <w:tc>
          <w:tcPr>
            <w:tcW w:w="2789" w:type="dxa"/>
            <w:tcBorders>
              <w:tl2br w:val="nil"/>
              <w:tr2bl w:val="nil"/>
            </w:tcBorders>
            <w:noWrap w:val="0"/>
            <w:vAlign w:val="center"/>
          </w:tcPr>
          <w:p w14:paraId="54B3229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F9F8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0614D5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调节库容</w:t>
            </w:r>
          </w:p>
        </w:tc>
        <w:tc>
          <w:tcPr>
            <w:tcW w:w="1050" w:type="dxa"/>
            <w:tcBorders>
              <w:tl2br w:val="nil"/>
              <w:tr2bl w:val="nil"/>
            </w:tcBorders>
            <w:noWrap w:val="0"/>
            <w:vAlign w:val="center"/>
          </w:tcPr>
          <w:p w14:paraId="54D4ABB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41895C4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59.74</w:t>
            </w:r>
          </w:p>
        </w:tc>
        <w:tc>
          <w:tcPr>
            <w:tcW w:w="2789" w:type="dxa"/>
            <w:tcBorders>
              <w:tl2br w:val="nil"/>
              <w:tr2bl w:val="nil"/>
            </w:tcBorders>
            <w:noWrap w:val="0"/>
            <w:vAlign w:val="center"/>
          </w:tcPr>
          <w:p w14:paraId="3922AF7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422F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FB50C8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死库容</w:t>
            </w:r>
          </w:p>
        </w:tc>
        <w:tc>
          <w:tcPr>
            <w:tcW w:w="1050" w:type="dxa"/>
            <w:tcBorders>
              <w:tl2br w:val="nil"/>
              <w:tr2bl w:val="nil"/>
            </w:tcBorders>
            <w:noWrap w:val="0"/>
            <w:vAlign w:val="center"/>
          </w:tcPr>
          <w:p w14:paraId="4B9FF9E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35E75E2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5.62</w:t>
            </w:r>
          </w:p>
        </w:tc>
        <w:tc>
          <w:tcPr>
            <w:tcW w:w="2789" w:type="dxa"/>
            <w:tcBorders>
              <w:tl2br w:val="nil"/>
              <w:tr2bl w:val="nil"/>
            </w:tcBorders>
            <w:noWrap/>
            <w:vAlign w:val="center"/>
          </w:tcPr>
          <w:p w14:paraId="4352079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89D1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12C8E7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3、库容系数</w:t>
            </w:r>
          </w:p>
        </w:tc>
        <w:tc>
          <w:tcPr>
            <w:tcW w:w="1050" w:type="dxa"/>
            <w:tcBorders>
              <w:tl2br w:val="nil"/>
              <w:tr2bl w:val="nil"/>
            </w:tcBorders>
            <w:noWrap w:val="0"/>
            <w:vAlign w:val="center"/>
          </w:tcPr>
          <w:p w14:paraId="0D13A5C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w:t>
            </w:r>
          </w:p>
        </w:tc>
        <w:tc>
          <w:tcPr>
            <w:tcW w:w="2558" w:type="dxa"/>
            <w:gridSpan w:val="2"/>
            <w:tcBorders>
              <w:tl2br w:val="nil"/>
              <w:tr2bl w:val="nil"/>
            </w:tcBorders>
            <w:noWrap/>
            <w:vAlign w:val="center"/>
          </w:tcPr>
          <w:p w14:paraId="18E07D3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56.89</w:t>
            </w:r>
          </w:p>
        </w:tc>
        <w:tc>
          <w:tcPr>
            <w:tcW w:w="2789" w:type="dxa"/>
            <w:tcBorders>
              <w:tl2br w:val="nil"/>
              <w:tr2bl w:val="nil"/>
            </w:tcBorders>
            <w:noWrap/>
            <w:vAlign w:val="center"/>
          </w:tcPr>
          <w:p w14:paraId="09F7705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75107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9C44B4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4、水量利用系数</w:t>
            </w:r>
          </w:p>
        </w:tc>
        <w:tc>
          <w:tcPr>
            <w:tcW w:w="1050" w:type="dxa"/>
            <w:tcBorders>
              <w:tl2br w:val="nil"/>
              <w:tr2bl w:val="nil"/>
            </w:tcBorders>
            <w:noWrap w:val="0"/>
            <w:vAlign w:val="center"/>
          </w:tcPr>
          <w:p w14:paraId="0E80353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w:t>
            </w:r>
          </w:p>
        </w:tc>
        <w:tc>
          <w:tcPr>
            <w:tcW w:w="2558" w:type="dxa"/>
            <w:gridSpan w:val="2"/>
            <w:tcBorders>
              <w:tl2br w:val="nil"/>
              <w:tr2bl w:val="nil"/>
            </w:tcBorders>
            <w:noWrap/>
            <w:vAlign w:val="center"/>
          </w:tcPr>
          <w:p w14:paraId="174022C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72.65</w:t>
            </w:r>
          </w:p>
        </w:tc>
        <w:tc>
          <w:tcPr>
            <w:tcW w:w="2789" w:type="dxa"/>
            <w:tcBorders>
              <w:tl2br w:val="nil"/>
              <w:tr2bl w:val="nil"/>
            </w:tcBorders>
            <w:noWrap/>
            <w:vAlign w:val="center"/>
          </w:tcPr>
          <w:p w14:paraId="77DFBB5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3C2F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509F6F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三、下泄流量</w:t>
            </w:r>
          </w:p>
        </w:tc>
        <w:tc>
          <w:tcPr>
            <w:tcW w:w="1050" w:type="dxa"/>
            <w:tcBorders>
              <w:tl2br w:val="nil"/>
              <w:tr2bl w:val="nil"/>
            </w:tcBorders>
            <w:noWrap w:val="0"/>
            <w:vAlign w:val="center"/>
          </w:tcPr>
          <w:p w14:paraId="2CEC9FC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02EC31E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08E4BE8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13397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6831B6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1、设计洪水位时最大泄量</w:t>
            </w:r>
          </w:p>
        </w:tc>
        <w:tc>
          <w:tcPr>
            <w:tcW w:w="1050" w:type="dxa"/>
            <w:tcBorders>
              <w:tl2br w:val="nil"/>
              <w:tr2bl w:val="nil"/>
            </w:tcBorders>
            <w:noWrap w:val="0"/>
            <w:vAlign w:val="center"/>
          </w:tcPr>
          <w:p w14:paraId="5FD20CB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025FAE1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21.1</w:t>
            </w:r>
          </w:p>
        </w:tc>
        <w:tc>
          <w:tcPr>
            <w:tcW w:w="2789" w:type="dxa"/>
            <w:tcBorders>
              <w:tl2br w:val="nil"/>
              <w:tr2bl w:val="nil"/>
            </w:tcBorders>
            <w:noWrap/>
            <w:vAlign w:val="center"/>
          </w:tcPr>
          <w:p w14:paraId="7766508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P=5%</w:t>
            </w:r>
          </w:p>
        </w:tc>
      </w:tr>
      <w:tr w14:paraId="5788A5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220007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2、校核洪水位时最大泄量</w:t>
            </w:r>
          </w:p>
        </w:tc>
        <w:tc>
          <w:tcPr>
            <w:tcW w:w="1050" w:type="dxa"/>
            <w:tcBorders>
              <w:tl2br w:val="nil"/>
              <w:tr2bl w:val="nil"/>
            </w:tcBorders>
            <w:noWrap w:val="0"/>
            <w:vAlign w:val="center"/>
          </w:tcPr>
          <w:p w14:paraId="5CDBD79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22FD47F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34.0</w:t>
            </w:r>
          </w:p>
        </w:tc>
        <w:tc>
          <w:tcPr>
            <w:tcW w:w="2789" w:type="dxa"/>
            <w:tcBorders>
              <w:tl2br w:val="nil"/>
              <w:tr2bl w:val="nil"/>
            </w:tcBorders>
            <w:noWrap/>
            <w:vAlign w:val="center"/>
          </w:tcPr>
          <w:p w14:paraId="618D1A6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P=0.5%</w:t>
            </w:r>
          </w:p>
        </w:tc>
      </w:tr>
      <w:tr w14:paraId="799EF5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D46742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四、规模指标</w:t>
            </w:r>
          </w:p>
        </w:tc>
        <w:tc>
          <w:tcPr>
            <w:tcW w:w="1050" w:type="dxa"/>
            <w:tcBorders>
              <w:tl2br w:val="nil"/>
              <w:tr2bl w:val="nil"/>
            </w:tcBorders>
            <w:noWrap w:val="0"/>
            <w:vAlign w:val="center"/>
          </w:tcPr>
          <w:p w14:paraId="4610FAF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4B66378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0D5476C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4D829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DBFC3A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1、水库任务</w:t>
            </w:r>
          </w:p>
        </w:tc>
        <w:tc>
          <w:tcPr>
            <w:tcW w:w="1050" w:type="dxa"/>
            <w:tcBorders>
              <w:tl2br w:val="nil"/>
              <w:tr2bl w:val="nil"/>
            </w:tcBorders>
            <w:noWrap w:val="0"/>
            <w:vAlign w:val="center"/>
          </w:tcPr>
          <w:p w14:paraId="159426D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26C1103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供水、灌溉</w:t>
            </w:r>
          </w:p>
        </w:tc>
        <w:tc>
          <w:tcPr>
            <w:tcW w:w="2789" w:type="dxa"/>
            <w:tcBorders>
              <w:tl2br w:val="nil"/>
              <w:tr2bl w:val="nil"/>
            </w:tcBorders>
            <w:noWrap/>
            <w:vAlign w:val="center"/>
          </w:tcPr>
          <w:p w14:paraId="6059040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FF60A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2941" w:type="dxa"/>
            <w:tcBorders>
              <w:tl2br w:val="nil"/>
              <w:tr2bl w:val="nil"/>
            </w:tcBorders>
            <w:noWrap w:val="0"/>
            <w:vAlign w:val="center"/>
          </w:tcPr>
          <w:p w14:paraId="7219287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2、供水</w:t>
            </w:r>
          </w:p>
        </w:tc>
        <w:tc>
          <w:tcPr>
            <w:tcW w:w="1050" w:type="dxa"/>
            <w:tcBorders>
              <w:tl2br w:val="nil"/>
              <w:tr2bl w:val="nil"/>
            </w:tcBorders>
            <w:noWrap w:val="0"/>
            <w:vAlign w:val="center"/>
          </w:tcPr>
          <w:p w14:paraId="58D38F5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3C7EB79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双龙社区、回龙场村、田家山村</w:t>
            </w:r>
          </w:p>
        </w:tc>
        <w:tc>
          <w:tcPr>
            <w:tcW w:w="2789" w:type="dxa"/>
            <w:tcBorders>
              <w:tl2br w:val="nil"/>
              <w:tr2bl w:val="nil"/>
            </w:tcBorders>
            <w:noWrap/>
            <w:vAlign w:val="center"/>
          </w:tcPr>
          <w:p w14:paraId="35E8E6C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7AFB2C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6" w:hRule="atLeast"/>
          <w:jc w:val="center"/>
        </w:trPr>
        <w:tc>
          <w:tcPr>
            <w:tcW w:w="2941" w:type="dxa"/>
            <w:tcBorders>
              <w:tl2br w:val="nil"/>
              <w:tr2bl w:val="nil"/>
            </w:tcBorders>
            <w:noWrap w:val="0"/>
            <w:vAlign w:val="center"/>
          </w:tcPr>
          <w:p w14:paraId="26638A5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供区人口</w:t>
            </w:r>
          </w:p>
        </w:tc>
        <w:tc>
          <w:tcPr>
            <w:tcW w:w="1050" w:type="dxa"/>
            <w:tcBorders>
              <w:tl2br w:val="nil"/>
              <w:tr2bl w:val="nil"/>
            </w:tcBorders>
            <w:noWrap w:val="0"/>
            <w:vAlign w:val="center"/>
          </w:tcPr>
          <w:p w14:paraId="2DD8D48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人</w:t>
            </w:r>
          </w:p>
        </w:tc>
        <w:tc>
          <w:tcPr>
            <w:tcW w:w="2558" w:type="dxa"/>
            <w:gridSpan w:val="2"/>
            <w:tcBorders>
              <w:tl2br w:val="nil"/>
              <w:tr2bl w:val="nil"/>
            </w:tcBorders>
            <w:noWrap/>
            <w:vAlign w:val="center"/>
          </w:tcPr>
          <w:p w14:paraId="0E84B93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7000</w:t>
            </w:r>
          </w:p>
        </w:tc>
        <w:tc>
          <w:tcPr>
            <w:tcW w:w="2789" w:type="dxa"/>
            <w:tcBorders>
              <w:tl2br w:val="nil"/>
              <w:tr2bl w:val="nil"/>
            </w:tcBorders>
            <w:noWrap/>
            <w:vAlign w:val="center"/>
          </w:tcPr>
          <w:p w14:paraId="43E57E0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B1D25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D4C8E0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供区牲畜</w:t>
            </w:r>
          </w:p>
        </w:tc>
        <w:tc>
          <w:tcPr>
            <w:tcW w:w="1050" w:type="dxa"/>
            <w:tcBorders>
              <w:tl2br w:val="nil"/>
              <w:tr2bl w:val="nil"/>
            </w:tcBorders>
            <w:noWrap w:val="0"/>
            <w:vAlign w:val="center"/>
          </w:tcPr>
          <w:p w14:paraId="3CB9786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个</w:t>
            </w:r>
          </w:p>
        </w:tc>
        <w:tc>
          <w:tcPr>
            <w:tcW w:w="2558" w:type="dxa"/>
            <w:gridSpan w:val="2"/>
            <w:tcBorders>
              <w:tl2br w:val="nil"/>
              <w:tr2bl w:val="nil"/>
            </w:tcBorders>
            <w:noWrap/>
            <w:vAlign w:val="center"/>
          </w:tcPr>
          <w:p w14:paraId="0372DFF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1610</w:t>
            </w:r>
          </w:p>
        </w:tc>
        <w:tc>
          <w:tcPr>
            <w:tcW w:w="2789" w:type="dxa"/>
            <w:tcBorders>
              <w:tl2br w:val="nil"/>
              <w:tr2bl w:val="nil"/>
            </w:tcBorders>
            <w:noWrap/>
            <w:vAlign w:val="center"/>
          </w:tcPr>
          <w:p w14:paraId="4649E53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39FE2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1C5BFA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供水保证率</w:t>
            </w:r>
          </w:p>
        </w:tc>
        <w:tc>
          <w:tcPr>
            <w:tcW w:w="1050" w:type="dxa"/>
            <w:tcBorders>
              <w:tl2br w:val="nil"/>
              <w:tr2bl w:val="nil"/>
            </w:tcBorders>
            <w:noWrap w:val="0"/>
            <w:vAlign w:val="center"/>
          </w:tcPr>
          <w:p w14:paraId="5920D43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w:t>
            </w:r>
          </w:p>
        </w:tc>
        <w:tc>
          <w:tcPr>
            <w:tcW w:w="2558" w:type="dxa"/>
            <w:gridSpan w:val="2"/>
            <w:tcBorders>
              <w:tl2br w:val="nil"/>
              <w:tr2bl w:val="nil"/>
            </w:tcBorders>
            <w:noWrap/>
            <w:vAlign w:val="center"/>
          </w:tcPr>
          <w:p w14:paraId="2D40C85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95.63</w:t>
            </w:r>
          </w:p>
        </w:tc>
        <w:tc>
          <w:tcPr>
            <w:tcW w:w="2789" w:type="dxa"/>
            <w:tcBorders>
              <w:tl2br w:val="nil"/>
              <w:tr2bl w:val="nil"/>
            </w:tcBorders>
            <w:noWrap/>
            <w:vAlign w:val="center"/>
          </w:tcPr>
          <w:p w14:paraId="3D29EDC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316CC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86F137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多年平均需水量</w:t>
            </w:r>
          </w:p>
        </w:tc>
        <w:tc>
          <w:tcPr>
            <w:tcW w:w="1050" w:type="dxa"/>
            <w:tcBorders>
              <w:tl2br w:val="nil"/>
              <w:tr2bl w:val="nil"/>
            </w:tcBorders>
            <w:noWrap w:val="0"/>
            <w:vAlign w:val="center"/>
          </w:tcPr>
          <w:p w14:paraId="6A097ED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66A5CB6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27.14</w:t>
            </w:r>
          </w:p>
        </w:tc>
        <w:tc>
          <w:tcPr>
            <w:tcW w:w="2789" w:type="dxa"/>
            <w:tcBorders>
              <w:tl2br w:val="nil"/>
              <w:tr2bl w:val="nil"/>
            </w:tcBorders>
            <w:noWrap/>
            <w:vAlign w:val="center"/>
          </w:tcPr>
          <w:p w14:paraId="4666C8B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3AE4B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1348C5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多年平均供水量</w:t>
            </w:r>
          </w:p>
        </w:tc>
        <w:tc>
          <w:tcPr>
            <w:tcW w:w="1050" w:type="dxa"/>
            <w:tcBorders>
              <w:tl2br w:val="nil"/>
              <w:tr2bl w:val="nil"/>
            </w:tcBorders>
            <w:noWrap w:val="0"/>
            <w:vAlign w:val="center"/>
          </w:tcPr>
          <w:p w14:paraId="6EA475F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609F1B4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26.87</w:t>
            </w:r>
          </w:p>
        </w:tc>
        <w:tc>
          <w:tcPr>
            <w:tcW w:w="2789" w:type="dxa"/>
            <w:tcBorders>
              <w:tl2br w:val="nil"/>
              <w:tr2bl w:val="nil"/>
            </w:tcBorders>
            <w:noWrap/>
            <w:vAlign w:val="center"/>
          </w:tcPr>
          <w:p w14:paraId="129624F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DAD59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1D24C7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设计流量</w:t>
            </w:r>
          </w:p>
        </w:tc>
        <w:tc>
          <w:tcPr>
            <w:tcW w:w="1050" w:type="dxa"/>
            <w:tcBorders>
              <w:tl2br w:val="nil"/>
              <w:tr2bl w:val="nil"/>
            </w:tcBorders>
            <w:noWrap w:val="0"/>
            <w:vAlign w:val="center"/>
          </w:tcPr>
          <w:p w14:paraId="79D8611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2D38828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0.0087</w:t>
            </w:r>
          </w:p>
        </w:tc>
        <w:tc>
          <w:tcPr>
            <w:tcW w:w="2789" w:type="dxa"/>
            <w:tcBorders>
              <w:tl2br w:val="nil"/>
              <w:tr2bl w:val="nil"/>
            </w:tcBorders>
            <w:noWrap/>
            <w:vAlign w:val="center"/>
          </w:tcPr>
          <w:p w14:paraId="3852BBD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7BB7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1DCA11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3、灌溉</w:t>
            </w:r>
          </w:p>
        </w:tc>
        <w:tc>
          <w:tcPr>
            <w:tcW w:w="1050" w:type="dxa"/>
            <w:tcBorders>
              <w:tl2br w:val="nil"/>
              <w:tr2bl w:val="nil"/>
            </w:tcBorders>
            <w:noWrap w:val="0"/>
            <w:vAlign w:val="center"/>
          </w:tcPr>
          <w:p w14:paraId="7FA3BF3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2E5E394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双龙社区、回龙场村</w:t>
            </w:r>
          </w:p>
        </w:tc>
        <w:tc>
          <w:tcPr>
            <w:tcW w:w="2789" w:type="dxa"/>
            <w:tcBorders>
              <w:tl2br w:val="nil"/>
              <w:tr2bl w:val="nil"/>
            </w:tcBorders>
            <w:noWrap/>
            <w:vAlign w:val="center"/>
          </w:tcPr>
          <w:p w14:paraId="4917B0E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BEBC5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81B1F1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灌溉面积</w:t>
            </w:r>
          </w:p>
        </w:tc>
        <w:tc>
          <w:tcPr>
            <w:tcW w:w="1050" w:type="dxa"/>
            <w:tcBorders>
              <w:tl2br w:val="nil"/>
              <w:tr2bl w:val="nil"/>
            </w:tcBorders>
            <w:noWrap w:val="0"/>
            <w:vAlign w:val="center"/>
          </w:tcPr>
          <w:p w14:paraId="4B23A24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亩</w:t>
            </w:r>
          </w:p>
        </w:tc>
        <w:tc>
          <w:tcPr>
            <w:tcW w:w="2558" w:type="dxa"/>
            <w:gridSpan w:val="2"/>
            <w:tcBorders>
              <w:tl2br w:val="nil"/>
              <w:tr2bl w:val="nil"/>
            </w:tcBorders>
            <w:noWrap/>
            <w:vAlign w:val="center"/>
          </w:tcPr>
          <w:p w14:paraId="2491075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2000</w:t>
            </w:r>
          </w:p>
        </w:tc>
        <w:tc>
          <w:tcPr>
            <w:tcW w:w="2789" w:type="dxa"/>
            <w:tcBorders>
              <w:tl2br w:val="nil"/>
              <w:tr2bl w:val="nil"/>
            </w:tcBorders>
            <w:noWrap/>
            <w:vAlign w:val="center"/>
          </w:tcPr>
          <w:p w14:paraId="75F3211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3B814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9827F9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灌溉保证率</w:t>
            </w:r>
          </w:p>
        </w:tc>
        <w:tc>
          <w:tcPr>
            <w:tcW w:w="1050" w:type="dxa"/>
            <w:tcBorders>
              <w:tl2br w:val="nil"/>
              <w:tr2bl w:val="nil"/>
            </w:tcBorders>
            <w:noWrap w:val="0"/>
            <w:vAlign w:val="center"/>
          </w:tcPr>
          <w:p w14:paraId="5638CB4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w:t>
            </w:r>
          </w:p>
        </w:tc>
        <w:tc>
          <w:tcPr>
            <w:tcW w:w="2558" w:type="dxa"/>
            <w:gridSpan w:val="2"/>
            <w:tcBorders>
              <w:tl2br w:val="nil"/>
              <w:tr2bl w:val="nil"/>
            </w:tcBorders>
            <w:noWrap/>
            <w:vAlign w:val="center"/>
          </w:tcPr>
          <w:p w14:paraId="7C57516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78.33</w:t>
            </w:r>
          </w:p>
        </w:tc>
        <w:tc>
          <w:tcPr>
            <w:tcW w:w="2789" w:type="dxa"/>
            <w:tcBorders>
              <w:tl2br w:val="nil"/>
              <w:tr2bl w:val="nil"/>
            </w:tcBorders>
            <w:noWrap/>
            <w:vAlign w:val="center"/>
          </w:tcPr>
          <w:p w14:paraId="7AD40B0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FF26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34F8D8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灌溉利用系数</w:t>
            </w:r>
          </w:p>
        </w:tc>
        <w:tc>
          <w:tcPr>
            <w:tcW w:w="1050" w:type="dxa"/>
            <w:tcBorders>
              <w:tl2br w:val="nil"/>
              <w:tr2bl w:val="nil"/>
            </w:tcBorders>
            <w:noWrap w:val="0"/>
            <w:vAlign w:val="center"/>
          </w:tcPr>
          <w:p w14:paraId="7E0CB36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140317C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0.831</w:t>
            </w:r>
          </w:p>
        </w:tc>
        <w:tc>
          <w:tcPr>
            <w:tcW w:w="2789" w:type="dxa"/>
            <w:tcBorders>
              <w:tl2br w:val="nil"/>
              <w:tr2bl w:val="nil"/>
            </w:tcBorders>
            <w:noWrap/>
            <w:vAlign w:val="center"/>
          </w:tcPr>
          <w:p w14:paraId="1BAF470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3654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05A43A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多年平均需水量</w:t>
            </w:r>
          </w:p>
        </w:tc>
        <w:tc>
          <w:tcPr>
            <w:tcW w:w="1050" w:type="dxa"/>
            <w:tcBorders>
              <w:tl2br w:val="nil"/>
              <w:tr2bl w:val="nil"/>
            </w:tcBorders>
            <w:noWrap w:val="0"/>
            <w:vAlign w:val="center"/>
          </w:tcPr>
          <w:p w14:paraId="7EF3E72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3AF4C26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51.41</w:t>
            </w:r>
          </w:p>
        </w:tc>
        <w:tc>
          <w:tcPr>
            <w:tcW w:w="2789" w:type="dxa"/>
            <w:tcBorders>
              <w:tl2br w:val="nil"/>
              <w:tr2bl w:val="nil"/>
            </w:tcBorders>
            <w:noWrap/>
            <w:vAlign w:val="center"/>
          </w:tcPr>
          <w:p w14:paraId="13AA11F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E2E9E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6B35DEB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多年平均供水量</w:t>
            </w:r>
          </w:p>
        </w:tc>
        <w:tc>
          <w:tcPr>
            <w:tcW w:w="1050" w:type="dxa"/>
            <w:tcBorders>
              <w:tl2br w:val="nil"/>
              <w:tr2bl w:val="nil"/>
            </w:tcBorders>
            <w:noWrap w:val="0"/>
            <w:vAlign w:val="center"/>
          </w:tcPr>
          <w:p w14:paraId="18D5863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38CE4F5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49.41</w:t>
            </w:r>
          </w:p>
        </w:tc>
        <w:tc>
          <w:tcPr>
            <w:tcW w:w="2789" w:type="dxa"/>
            <w:tcBorders>
              <w:tl2br w:val="nil"/>
              <w:tr2bl w:val="nil"/>
            </w:tcBorders>
            <w:noWrap/>
            <w:vAlign w:val="center"/>
          </w:tcPr>
          <w:p w14:paraId="08FC666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78B9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6886FB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设计流量</w:t>
            </w:r>
          </w:p>
        </w:tc>
        <w:tc>
          <w:tcPr>
            <w:tcW w:w="1050" w:type="dxa"/>
            <w:tcBorders>
              <w:tl2br w:val="nil"/>
              <w:tr2bl w:val="nil"/>
            </w:tcBorders>
            <w:noWrap w:val="0"/>
            <w:vAlign w:val="center"/>
          </w:tcPr>
          <w:p w14:paraId="5332B17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5B1D43C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0.0987</w:t>
            </w:r>
          </w:p>
        </w:tc>
        <w:tc>
          <w:tcPr>
            <w:tcW w:w="2789" w:type="dxa"/>
            <w:tcBorders>
              <w:tl2br w:val="nil"/>
              <w:tr2bl w:val="nil"/>
            </w:tcBorders>
            <w:noWrap/>
            <w:vAlign w:val="center"/>
          </w:tcPr>
          <w:p w14:paraId="745D658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3D838C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726524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4、生态流量</w:t>
            </w:r>
          </w:p>
        </w:tc>
        <w:tc>
          <w:tcPr>
            <w:tcW w:w="1050" w:type="dxa"/>
            <w:tcBorders>
              <w:tl2br w:val="nil"/>
              <w:tr2bl w:val="nil"/>
            </w:tcBorders>
            <w:noWrap w:val="0"/>
            <w:vAlign w:val="center"/>
          </w:tcPr>
          <w:p w14:paraId="76779F2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5D75E07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750E09B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71F57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8CC8A8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年需下泄生态流量</w:t>
            </w:r>
          </w:p>
        </w:tc>
        <w:tc>
          <w:tcPr>
            <w:tcW w:w="1050" w:type="dxa"/>
            <w:tcBorders>
              <w:tl2br w:val="nil"/>
              <w:tr2bl w:val="nil"/>
            </w:tcBorders>
            <w:noWrap w:val="0"/>
            <w:vAlign w:val="center"/>
          </w:tcPr>
          <w:p w14:paraId="36F4AE3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77F5963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15.75</w:t>
            </w:r>
          </w:p>
        </w:tc>
        <w:tc>
          <w:tcPr>
            <w:tcW w:w="2789" w:type="dxa"/>
            <w:tcBorders>
              <w:tl2br w:val="nil"/>
              <w:tr2bl w:val="nil"/>
            </w:tcBorders>
            <w:noWrap/>
            <w:vAlign w:val="center"/>
          </w:tcPr>
          <w:p w14:paraId="6379BBE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8FB89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5B7D4E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设计流量</w:t>
            </w:r>
          </w:p>
        </w:tc>
        <w:tc>
          <w:tcPr>
            <w:tcW w:w="1050" w:type="dxa"/>
            <w:tcBorders>
              <w:tl2br w:val="nil"/>
              <w:tr2bl w:val="nil"/>
            </w:tcBorders>
            <w:noWrap w:val="0"/>
            <w:vAlign w:val="center"/>
          </w:tcPr>
          <w:p w14:paraId="1473FDF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6694BD3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0.005</w:t>
            </w:r>
          </w:p>
        </w:tc>
        <w:tc>
          <w:tcPr>
            <w:tcW w:w="2789" w:type="dxa"/>
            <w:tcBorders>
              <w:tl2br w:val="nil"/>
              <w:tr2bl w:val="nil"/>
            </w:tcBorders>
            <w:noWrap/>
            <w:vAlign w:val="center"/>
          </w:tcPr>
          <w:p w14:paraId="2C360A4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4D7D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90CD77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五、淹没及工程占地</w:t>
            </w:r>
          </w:p>
        </w:tc>
        <w:tc>
          <w:tcPr>
            <w:tcW w:w="1050" w:type="dxa"/>
            <w:tcBorders>
              <w:tl2br w:val="nil"/>
              <w:tr2bl w:val="nil"/>
            </w:tcBorders>
            <w:noWrap w:val="0"/>
            <w:vAlign w:val="center"/>
          </w:tcPr>
          <w:p w14:paraId="070C459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419CCD8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427CD34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1C457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640DE17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1、永久征用土地</w:t>
            </w:r>
          </w:p>
        </w:tc>
        <w:tc>
          <w:tcPr>
            <w:tcW w:w="1050" w:type="dxa"/>
            <w:tcBorders>
              <w:tl2br w:val="nil"/>
              <w:tr2bl w:val="nil"/>
            </w:tcBorders>
            <w:noWrap w:val="0"/>
            <w:vAlign w:val="center"/>
          </w:tcPr>
          <w:p w14:paraId="3996730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25B5819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11.3182</w:t>
            </w:r>
          </w:p>
        </w:tc>
        <w:tc>
          <w:tcPr>
            <w:tcW w:w="2789" w:type="dxa"/>
            <w:tcBorders>
              <w:tl2br w:val="nil"/>
              <w:tr2bl w:val="nil"/>
            </w:tcBorders>
            <w:noWrap/>
            <w:vAlign w:val="center"/>
          </w:tcPr>
          <w:p w14:paraId="0471257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F77B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582166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水库淹没区</w:t>
            </w:r>
          </w:p>
        </w:tc>
        <w:tc>
          <w:tcPr>
            <w:tcW w:w="1050" w:type="dxa"/>
            <w:tcBorders>
              <w:tl2br w:val="nil"/>
              <w:tr2bl w:val="nil"/>
            </w:tcBorders>
            <w:noWrap w:val="0"/>
            <w:vAlign w:val="center"/>
          </w:tcPr>
          <w:p w14:paraId="5FD9DA0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hm</w:t>
            </w:r>
            <w:r>
              <w:rPr>
                <w:rFonts w:hint="eastAsia" w:ascii="Arial" w:hAnsi="Arial" w:cs="Arial"/>
                <w:sz w:val="22"/>
                <w:szCs w:val="22"/>
                <w:vertAlign w:val="superscript"/>
                <w:lang w:val="en-US" w:eastAsia="zh-CN"/>
              </w:rPr>
              <w:t>2</w:t>
            </w:r>
          </w:p>
        </w:tc>
        <w:tc>
          <w:tcPr>
            <w:tcW w:w="2558" w:type="dxa"/>
            <w:gridSpan w:val="2"/>
            <w:tcBorders>
              <w:tl2br w:val="nil"/>
              <w:tr2bl w:val="nil"/>
            </w:tcBorders>
            <w:noWrap/>
            <w:vAlign w:val="center"/>
          </w:tcPr>
          <w:p w14:paraId="1B7C63B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highlight w:val="none"/>
                <w:lang w:val="en-US" w:eastAsia="zh-CN"/>
              </w:rPr>
            </w:pPr>
            <w:r>
              <w:rPr>
                <w:rFonts w:hint="eastAsia" w:ascii="Arial" w:hAnsi="Arial" w:cs="Arial"/>
                <w:sz w:val="22"/>
                <w:szCs w:val="22"/>
                <w:highlight w:val="none"/>
                <w:lang w:val="en-US" w:eastAsia="zh-CN"/>
              </w:rPr>
              <w:t>8.3026</w:t>
            </w:r>
          </w:p>
        </w:tc>
        <w:tc>
          <w:tcPr>
            <w:tcW w:w="2789" w:type="dxa"/>
            <w:tcBorders>
              <w:tl2br w:val="nil"/>
              <w:tr2bl w:val="nil"/>
            </w:tcBorders>
            <w:noWrap/>
            <w:vAlign w:val="center"/>
          </w:tcPr>
          <w:p w14:paraId="2B692D5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95B2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10662F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枢纽工程建设区</w:t>
            </w:r>
          </w:p>
        </w:tc>
        <w:tc>
          <w:tcPr>
            <w:tcW w:w="1050" w:type="dxa"/>
            <w:tcBorders>
              <w:tl2br w:val="nil"/>
              <w:tr2bl w:val="nil"/>
            </w:tcBorders>
            <w:noWrap w:val="0"/>
            <w:vAlign w:val="center"/>
          </w:tcPr>
          <w:p w14:paraId="245BB42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eastAsia" w:ascii="Arial" w:hAnsi="Arial" w:cs="Arial"/>
                <w:sz w:val="22"/>
                <w:szCs w:val="22"/>
                <w:lang w:val="en-US" w:eastAsia="zh-CN"/>
              </w:rPr>
              <w:t>hm</w:t>
            </w:r>
            <w:r>
              <w:rPr>
                <w:rFonts w:hint="eastAsia" w:ascii="Arial" w:hAnsi="Arial" w:cs="Arial"/>
                <w:sz w:val="22"/>
                <w:szCs w:val="22"/>
                <w:vertAlign w:val="superscript"/>
                <w:lang w:val="en-US" w:eastAsia="zh-CN"/>
              </w:rPr>
              <w:t>2</w:t>
            </w:r>
          </w:p>
        </w:tc>
        <w:tc>
          <w:tcPr>
            <w:tcW w:w="2558" w:type="dxa"/>
            <w:gridSpan w:val="2"/>
            <w:tcBorders>
              <w:tl2br w:val="nil"/>
              <w:tr2bl w:val="nil"/>
            </w:tcBorders>
            <w:noWrap/>
            <w:vAlign w:val="center"/>
          </w:tcPr>
          <w:p w14:paraId="436CAF5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highlight w:val="none"/>
                <w:lang w:val="en-US" w:eastAsia="zh-CN"/>
              </w:rPr>
            </w:pPr>
            <w:r>
              <w:rPr>
                <w:rFonts w:hint="eastAsia" w:ascii="Arial" w:hAnsi="Arial" w:cs="Arial"/>
                <w:sz w:val="22"/>
                <w:szCs w:val="22"/>
                <w:highlight w:val="none"/>
                <w:lang w:val="en-US" w:eastAsia="zh-CN"/>
              </w:rPr>
              <w:t>3.0156</w:t>
            </w:r>
          </w:p>
        </w:tc>
        <w:tc>
          <w:tcPr>
            <w:tcW w:w="2789" w:type="dxa"/>
            <w:tcBorders>
              <w:tl2br w:val="nil"/>
              <w:tr2bl w:val="nil"/>
            </w:tcBorders>
            <w:noWrap/>
            <w:vAlign w:val="center"/>
          </w:tcPr>
          <w:p w14:paraId="014459F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101EB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891369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供水灌溉工程区</w:t>
            </w:r>
          </w:p>
        </w:tc>
        <w:tc>
          <w:tcPr>
            <w:tcW w:w="1050" w:type="dxa"/>
            <w:tcBorders>
              <w:tl2br w:val="nil"/>
              <w:tr2bl w:val="nil"/>
            </w:tcBorders>
            <w:noWrap w:val="0"/>
            <w:vAlign w:val="center"/>
          </w:tcPr>
          <w:p w14:paraId="7A10892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eastAsia" w:ascii="Arial" w:hAnsi="Arial" w:cs="Arial"/>
                <w:sz w:val="22"/>
                <w:szCs w:val="22"/>
                <w:lang w:val="en-US" w:eastAsia="zh-CN"/>
              </w:rPr>
              <w:t>hm</w:t>
            </w:r>
            <w:r>
              <w:rPr>
                <w:rFonts w:hint="eastAsia" w:ascii="Arial" w:hAnsi="Arial" w:cs="Arial"/>
                <w:sz w:val="22"/>
                <w:szCs w:val="22"/>
                <w:vertAlign w:val="superscript"/>
                <w:lang w:val="en-US" w:eastAsia="zh-CN"/>
              </w:rPr>
              <w:t>2</w:t>
            </w:r>
          </w:p>
        </w:tc>
        <w:tc>
          <w:tcPr>
            <w:tcW w:w="2558" w:type="dxa"/>
            <w:gridSpan w:val="2"/>
            <w:tcBorders>
              <w:tl2br w:val="nil"/>
              <w:tr2bl w:val="nil"/>
            </w:tcBorders>
            <w:noWrap/>
            <w:vAlign w:val="center"/>
          </w:tcPr>
          <w:p w14:paraId="714DA9F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sz w:val="22"/>
                <w:szCs w:val="22"/>
                <w:highlight w:val="yellow"/>
                <w:lang w:eastAsia="zh-CN"/>
              </w:rPr>
            </w:pPr>
            <w:r>
              <w:rPr>
                <w:rFonts w:hint="eastAsia" w:ascii="Arial" w:hAnsi="Arial" w:cs="Arial"/>
                <w:sz w:val="22"/>
                <w:szCs w:val="22"/>
                <w:highlight w:val="none"/>
                <w:lang w:val="en-US" w:eastAsia="zh-CN"/>
              </w:rPr>
              <w:t>/</w:t>
            </w:r>
          </w:p>
        </w:tc>
        <w:tc>
          <w:tcPr>
            <w:tcW w:w="2789" w:type="dxa"/>
            <w:tcBorders>
              <w:tl2br w:val="nil"/>
              <w:tr2bl w:val="nil"/>
            </w:tcBorders>
            <w:noWrap/>
            <w:vAlign w:val="center"/>
          </w:tcPr>
          <w:p w14:paraId="27B9B94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1DD714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DD8438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2、临时占地</w:t>
            </w:r>
          </w:p>
        </w:tc>
        <w:tc>
          <w:tcPr>
            <w:tcW w:w="1050" w:type="dxa"/>
            <w:tcBorders>
              <w:tl2br w:val="nil"/>
              <w:tr2bl w:val="nil"/>
            </w:tcBorders>
            <w:noWrap w:val="0"/>
            <w:vAlign w:val="center"/>
          </w:tcPr>
          <w:p w14:paraId="0550B47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50F0C34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39F9178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271C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5EE32B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highlight w:val="none"/>
              </w:rPr>
            </w:pPr>
            <w:r>
              <w:rPr>
                <w:rFonts w:hint="default" w:ascii="Arial" w:hAnsi="Arial" w:cs="Arial"/>
                <w:sz w:val="22"/>
                <w:szCs w:val="22"/>
                <w:highlight w:val="none"/>
              </w:rPr>
              <w:t>枢纽工程建设区</w:t>
            </w:r>
          </w:p>
        </w:tc>
        <w:tc>
          <w:tcPr>
            <w:tcW w:w="1050" w:type="dxa"/>
            <w:tcBorders>
              <w:tl2br w:val="nil"/>
              <w:tr2bl w:val="nil"/>
            </w:tcBorders>
            <w:noWrap w:val="0"/>
            <w:vAlign w:val="center"/>
          </w:tcPr>
          <w:p w14:paraId="01C4F1D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highlight w:val="none"/>
              </w:rPr>
            </w:pPr>
            <w:r>
              <w:rPr>
                <w:rFonts w:hint="eastAsia" w:ascii="Arial" w:hAnsi="Arial" w:cs="Arial"/>
                <w:sz w:val="22"/>
                <w:szCs w:val="22"/>
                <w:highlight w:val="none"/>
                <w:lang w:val="en-US" w:eastAsia="zh-CN"/>
              </w:rPr>
              <w:t>hm</w:t>
            </w:r>
            <w:r>
              <w:rPr>
                <w:rFonts w:hint="eastAsia" w:ascii="Arial" w:hAnsi="Arial" w:cs="Arial"/>
                <w:sz w:val="22"/>
                <w:szCs w:val="22"/>
                <w:highlight w:val="none"/>
                <w:vertAlign w:val="superscript"/>
                <w:lang w:val="en-US" w:eastAsia="zh-CN"/>
              </w:rPr>
              <w:t>2</w:t>
            </w:r>
          </w:p>
        </w:tc>
        <w:tc>
          <w:tcPr>
            <w:tcW w:w="2558" w:type="dxa"/>
            <w:gridSpan w:val="2"/>
            <w:tcBorders>
              <w:tl2br w:val="nil"/>
              <w:tr2bl w:val="nil"/>
            </w:tcBorders>
            <w:noWrap/>
            <w:vAlign w:val="center"/>
          </w:tcPr>
          <w:p w14:paraId="59C2523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highlight w:val="none"/>
                <w:lang w:val="en-US" w:eastAsia="zh-CN"/>
              </w:rPr>
            </w:pPr>
            <w:r>
              <w:rPr>
                <w:rFonts w:hint="eastAsia" w:ascii="Arial" w:hAnsi="Arial" w:cs="Arial"/>
                <w:sz w:val="22"/>
                <w:szCs w:val="22"/>
                <w:highlight w:val="none"/>
                <w:lang w:val="en-US" w:eastAsia="zh-CN"/>
              </w:rPr>
              <w:t>4.7817</w:t>
            </w:r>
          </w:p>
        </w:tc>
        <w:tc>
          <w:tcPr>
            <w:tcW w:w="2789" w:type="dxa"/>
            <w:tcBorders>
              <w:tl2br w:val="nil"/>
              <w:tr2bl w:val="nil"/>
            </w:tcBorders>
            <w:noWrap/>
            <w:vAlign w:val="center"/>
          </w:tcPr>
          <w:p w14:paraId="0882A26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B6AE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CB1F46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highlight w:val="none"/>
              </w:rPr>
            </w:pPr>
            <w:r>
              <w:rPr>
                <w:rFonts w:hint="default" w:ascii="Arial" w:hAnsi="Arial" w:cs="Arial"/>
                <w:sz w:val="22"/>
                <w:szCs w:val="22"/>
                <w:highlight w:val="none"/>
              </w:rPr>
              <w:t>供水灌溉工程区</w:t>
            </w:r>
          </w:p>
        </w:tc>
        <w:tc>
          <w:tcPr>
            <w:tcW w:w="1050" w:type="dxa"/>
            <w:tcBorders>
              <w:tl2br w:val="nil"/>
              <w:tr2bl w:val="nil"/>
            </w:tcBorders>
            <w:noWrap w:val="0"/>
            <w:vAlign w:val="center"/>
          </w:tcPr>
          <w:p w14:paraId="59005DE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highlight w:val="none"/>
              </w:rPr>
            </w:pPr>
            <w:r>
              <w:rPr>
                <w:rFonts w:hint="eastAsia" w:ascii="Arial" w:hAnsi="Arial" w:cs="Arial"/>
                <w:sz w:val="22"/>
                <w:szCs w:val="22"/>
                <w:highlight w:val="none"/>
                <w:lang w:val="en-US" w:eastAsia="zh-CN"/>
              </w:rPr>
              <w:t>hm</w:t>
            </w:r>
            <w:r>
              <w:rPr>
                <w:rFonts w:hint="eastAsia" w:ascii="Arial" w:hAnsi="Arial" w:cs="Arial"/>
                <w:sz w:val="22"/>
                <w:szCs w:val="22"/>
                <w:highlight w:val="none"/>
                <w:vertAlign w:val="superscript"/>
                <w:lang w:val="en-US" w:eastAsia="zh-CN"/>
              </w:rPr>
              <w:t>2</w:t>
            </w:r>
          </w:p>
        </w:tc>
        <w:tc>
          <w:tcPr>
            <w:tcW w:w="2558" w:type="dxa"/>
            <w:gridSpan w:val="2"/>
            <w:tcBorders>
              <w:tl2br w:val="nil"/>
              <w:tr2bl w:val="nil"/>
            </w:tcBorders>
            <w:noWrap/>
            <w:vAlign w:val="center"/>
          </w:tcPr>
          <w:p w14:paraId="20CFCFB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highlight w:val="none"/>
                <w:lang w:val="en-US" w:eastAsia="zh-CN"/>
              </w:rPr>
            </w:pPr>
            <w:r>
              <w:rPr>
                <w:rFonts w:hint="eastAsia" w:ascii="Arial" w:hAnsi="Arial" w:cs="Arial"/>
                <w:sz w:val="22"/>
                <w:szCs w:val="22"/>
                <w:highlight w:val="none"/>
                <w:lang w:val="en-US" w:eastAsia="zh-CN"/>
              </w:rPr>
              <w:t>8.3410</w:t>
            </w:r>
          </w:p>
        </w:tc>
        <w:tc>
          <w:tcPr>
            <w:tcW w:w="2789" w:type="dxa"/>
            <w:tcBorders>
              <w:tl2br w:val="nil"/>
              <w:tr2bl w:val="nil"/>
            </w:tcBorders>
            <w:noWrap/>
            <w:vAlign w:val="center"/>
          </w:tcPr>
          <w:p w14:paraId="2925755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86EB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7429365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六、主要建筑物及设备</w:t>
            </w:r>
          </w:p>
        </w:tc>
        <w:tc>
          <w:tcPr>
            <w:tcW w:w="1050" w:type="dxa"/>
            <w:tcBorders>
              <w:tl2br w:val="nil"/>
              <w:tr2bl w:val="nil"/>
            </w:tcBorders>
            <w:noWrap w:val="0"/>
            <w:vAlign w:val="center"/>
          </w:tcPr>
          <w:p w14:paraId="0F283D8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24343B3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0221CA1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7C0D0C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6806EBA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1、挡水建筑</w:t>
            </w:r>
          </w:p>
        </w:tc>
        <w:tc>
          <w:tcPr>
            <w:tcW w:w="1050" w:type="dxa"/>
            <w:tcBorders>
              <w:tl2br w:val="nil"/>
              <w:tr2bl w:val="nil"/>
            </w:tcBorders>
            <w:noWrap w:val="0"/>
            <w:vAlign w:val="center"/>
          </w:tcPr>
          <w:p w14:paraId="556D8CA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50542E7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非溢流坝段</w:t>
            </w:r>
          </w:p>
        </w:tc>
        <w:tc>
          <w:tcPr>
            <w:tcW w:w="2789" w:type="dxa"/>
            <w:tcBorders>
              <w:tl2br w:val="nil"/>
              <w:tr2bl w:val="nil"/>
            </w:tcBorders>
            <w:noWrap/>
            <w:vAlign w:val="center"/>
          </w:tcPr>
          <w:p w14:paraId="743047B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E11B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941" w:type="dxa"/>
            <w:tcBorders>
              <w:tl2br w:val="nil"/>
              <w:tr2bl w:val="nil"/>
            </w:tcBorders>
            <w:noWrap w:val="0"/>
            <w:vAlign w:val="center"/>
          </w:tcPr>
          <w:p w14:paraId="7A95228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型式</w:t>
            </w:r>
          </w:p>
        </w:tc>
        <w:tc>
          <w:tcPr>
            <w:tcW w:w="1050" w:type="dxa"/>
            <w:tcBorders>
              <w:tl2br w:val="nil"/>
              <w:tr2bl w:val="nil"/>
            </w:tcBorders>
            <w:noWrap w:val="0"/>
            <w:vAlign w:val="center"/>
          </w:tcPr>
          <w:p w14:paraId="1C88147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64A6722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C20埋石砼重力坝</w:t>
            </w:r>
          </w:p>
        </w:tc>
        <w:tc>
          <w:tcPr>
            <w:tcW w:w="2789" w:type="dxa"/>
            <w:tcBorders>
              <w:tl2br w:val="nil"/>
              <w:tr2bl w:val="nil"/>
            </w:tcBorders>
            <w:noWrap/>
            <w:vAlign w:val="center"/>
          </w:tcPr>
          <w:p w14:paraId="408C0B5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埋石率20%</w:t>
            </w:r>
          </w:p>
        </w:tc>
      </w:tr>
      <w:tr w14:paraId="5B61E5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D7A8E1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地基特性</w:t>
            </w:r>
          </w:p>
        </w:tc>
        <w:tc>
          <w:tcPr>
            <w:tcW w:w="1050" w:type="dxa"/>
            <w:tcBorders>
              <w:tl2br w:val="nil"/>
              <w:tr2bl w:val="nil"/>
            </w:tcBorders>
            <w:noWrap w:val="0"/>
            <w:vAlign w:val="center"/>
          </w:tcPr>
          <w:p w14:paraId="0D83613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60EF958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砂泥岩互层</w:t>
            </w:r>
          </w:p>
        </w:tc>
        <w:tc>
          <w:tcPr>
            <w:tcW w:w="2789" w:type="dxa"/>
            <w:tcBorders>
              <w:tl2br w:val="nil"/>
              <w:tr2bl w:val="nil"/>
            </w:tcBorders>
            <w:noWrap/>
            <w:vAlign w:val="center"/>
          </w:tcPr>
          <w:p w14:paraId="1B33F4F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10F92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46A236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地震基本烈度/设防烈度</w:t>
            </w:r>
          </w:p>
        </w:tc>
        <w:tc>
          <w:tcPr>
            <w:tcW w:w="1050" w:type="dxa"/>
            <w:tcBorders>
              <w:tl2br w:val="nil"/>
              <w:tr2bl w:val="nil"/>
            </w:tcBorders>
            <w:noWrap w:val="0"/>
            <w:vAlign w:val="center"/>
          </w:tcPr>
          <w:p w14:paraId="2B49651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度</w:t>
            </w:r>
          </w:p>
        </w:tc>
        <w:tc>
          <w:tcPr>
            <w:tcW w:w="2558" w:type="dxa"/>
            <w:gridSpan w:val="2"/>
            <w:tcBorders>
              <w:tl2br w:val="nil"/>
              <w:tr2bl w:val="nil"/>
            </w:tcBorders>
            <w:noWrap/>
            <w:vAlign w:val="center"/>
          </w:tcPr>
          <w:p w14:paraId="4CE9FAB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Ⅵ</w:t>
            </w:r>
          </w:p>
        </w:tc>
        <w:tc>
          <w:tcPr>
            <w:tcW w:w="2789" w:type="dxa"/>
            <w:tcBorders>
              <w:tl2br w:val="nil"/>
              <w:tr2bl w:val="nil"/>
            </w:tcBorders>
            <w:noWrap/>
            <w:vAlign w:val="center"/>
          </w:tcPr>
          <w:p w14:paraId="26DB7C3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7877F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6" w:hRule="atLeast"/>
          <w:jc w:val="center"/>
        </w:trPr>
        <w:tc>
          <w:tcPr>
            <w:tcW w:w="2941" w:type="dxa"/>
            <w:tcBorders>
              <w:tl2br w:val="nil"/>
              <w:tr2bl w:val="nil"/>
            </w:tcBorders>
            <w:noWrap w:val="0"/>
            <w:vAlign w:val="center"/>
          </w:tcPr>
          <w:p w14:paraId="7851F3A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地震加速度</w:t>
            </w:r>
          </w:p>
        </w:tc>
        <w:tc>
          <w:tcPr>
            <w:tcW w:w="1050" w:type="dxa"/>
            <w:tcBorders>
              <w:tl2br w:val="nil"/>
              <w:tr2bl w:val="nil"/>
            </w:tcBorders>
            <w:noWrap w:val="0"/>
            <w:vAlign w:val="center"/>
          </w:tcPr>
          <w:p w14:paraId="631CB14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g</w:t>
            </w:r>
          </w:p>
        </w:tc>
        <w:tc>
          <w:tcPr>
            <w:tcW w:w="2558" w:type="dxa"/>
            <w:gridSpan w:val="2"/>
            <w:tcBorders>
              <w:tl2br w:val="nil"/>
              <w:tr2bl w:val="nil"/>
            </w:tcBorders>
            <w:noWrap/>
            <w:vAlign w:val="center"/>
          </w:tcPr>
          <w:p w14:paraId="1F48721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0.05</w:t>
            </w:r>
          </w:p>
        </w:tc>
        <w:tc>
          <w:tcPr>
            <w:tcW w:w="2789" w:type="dxa"/>
            <w:tcBorders>
              <w:tl2br w:val="nil"/>
              <w:tr2bl w:val="nil"/>
            </w:tcBorders>
            <w:noWrap/>
            <w:vAlign w:val="center"/>
          </w:tcPr>
          <w:p w14:paraId="751D828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5ACC9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A1A577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坝项高程</w:t>
            </w:r>
          </w:p>
        </w:tc>
        <w:tc>
          <w:tcPr>
            <w:tcW w:w="1050" w:type="dxa"/>
            <w:tcBorders>
              <w:tl2br w:val="nil"/>
              <w:tr2bl w:val="nil"/>
            </w:tcBorders>
            <w:noWrap w:val="0"/>
            <w:vAlign w:val="center"/>
          </w:tcPr>
          <w:p w14:paraId="3417B30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7887B66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424.0</w:t>
            </w:r>
          </w:p>
        </w:tc>
        <w:tc>
          <w:tcPr>
            <w:tcW w:w="2789" w:type="dxa"/>
            <w:tcBorders>
              <w:tl2br w:val="nil"/>
              <w:tr2bl w:val="nil"/>
            </w:tcBorders>
            <w:noWrap/>
            <w:vAlign w:val="center"/>
          </w:tcPr>
          <w:p w14:paraId="5A9F8E2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6812A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FC3252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最大坝高</w:t>
            </w:r>
          </w:p>
        </w:tc>
        <w:tc>
          <w:tcPr>
            <w:tcW w:w="1050" w:type="dxa"/>
            <w:tcBorders>
              <w:tl2br w:val="nil"/>
              <w:tr2bl w:val="nil"/>
            </w:tcBorders>
            <w:noWrap w:val="0"/>
            <w:vAlign w:val="center"/>
          </w:tcPr>
          <w:p w14:paraId="3012B0C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39FC6BE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30.5</w:t>
            </w:r>
          </w:p>
        </w:tc>
        <w:tc>
          <w:tcPr>
            <w:tcW w:w="2789" w:type="dxa"/>
            <w:tcBorders>
              <w:tl2br w:val="nil"/>
              <w:tr2bl w:val="nil"/>
            </w:tcBorders>
            <w:noWrap/>
            <w:vAlign w:val="center"/>
          </w:tcPr>
          <w:p w14:paraId="47D5AFB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重力坝段</w:t>
            </w:r>
          </w:p>
        </w:tc>
      </w:tr>
      <w:tr w14:paraId="51FF2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6EF96D5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坝顶长度</w:t>
            </w:r>
          </w:p>
        </w:tc>
        <w:tc>
          <w:tcPr>
            <w:tcW w:w="1050" w:type="dxa"/>
            <w:tcBorders>
              <w:tl2br w:val="nil"/>
              <w:tr2bl w:val="nil"/>
            </w:tcBorders>
            <w:noWrap w:val="0"/>
            <w:vAlign w:val="center"/>
          </w:tcPr>
          <w:p w14:paraId="50B5AC7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396F7F4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112.0</w:t>
            </w:r>
          </w:p>
        </w:tc>
        <w:tc>
          <w:tcPr>
            <w:tcW w:w="2789" w:type="dxa"/>
            <w:tcBorders>
              <w:tl2br w:val="nil"/>
              <w:tr2bl w:val="nil"/>
            </w:tcBorders>
            <w:noWrap/>
            <w:vAlign w:val="center"/>
          </w:tcPr>
          <w:p w14:paraId="4969EEF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3FFC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863588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2、泄水建筑物</w:t>
            </w:r>
          </w:p>
        </w:tc>
        <w:tc>
          <w:tcPr>
            <w:tcW w:w="1050" w:type="dxa"/>
            <w:tcBorders>
              <w:tl2br w:val="nil"/>
              <w:tr2bl w:val="nil"/>
            </w:tcBorders>
            <w:noWrap w:val="0"/>
            <w:vAlign w:val="center"/>
          </w:tcPr>
          <w:p w14:paraId="6729874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15C068A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溢流坝段</w:t>
            </w:r>
          </w:p>
        </w:tc>
        <w:tc>
          <w:tcPr>
            <w:tcW w:w="2789" w:type="dxa"/>
            <w:tcBorders>
              <w:tl2br w:val="nil"/>
              <w:tr2bl w:val="nil"/>
            </w:tcBorders>
            <w:noWrap/>
            <w:vAlign w:val="center"/>
          </w:tcPr>
          <w:p w14:paraId="0FAFE94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03E0D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6EE9571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型式</w:t>
            </w:r>
          </w:p>
        </w:tc>
        <w:tc>
          <w:tcPr>
            <w:tcW w:w="1050" w:type="dxa"/>
            <w:tcBorders>
              <w:tl2br w:val="nil"/>
              <w:tr2bl w:val="nil"/>
            </w:tcBorders>
            <w:noWrap w:val="0"/>
            <w:vAlign w:val="center"/>
          </w:tcPr>
          <w:p w14:paraId="7F689CB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1DBD0D4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宽顶堰</w:t>
            </w:r>
          </w:p>
        </w:tc>
        <w:tc>
          <w:tcPr>
            <w:tcW w:w="2789" w:type="dxa"/>
            <w:tcBorders>
              <w:tl2br w:val="nil"/>
              <w:tr2bl w:val="nil"/>
            </w:tcBorders>
            <w:noWrap/>
            <w:vAlign w:val="center"/>
          </w:tcPr>
          <w:p w14:paraId="31F26CD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1842CD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26043A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堰顶高程</w:t>
            </w:r>
          </w:p>
        </w:tc>
        <w:tc>
          <w:tcPr>
            <w:tcW w:w="1050" w:type="dxa"/>
            <w:tcBorders>
              <w:tl2br w:val="nil"/>
              <w:tr2bl w:val="nil"/>
            </w:tcBorders>
            <w:noWrap w:val="0"/>
            <w:vAlign w:val="center"/>
          </w:tcPr>
          <w:p w14:paraId="7F23AF5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29EDECC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420.0</w:t>
            </w:r>
          </w:p>
        </w:tc>
        <w:tc>
          <w:tcPr>
            <w:tcW w:w="2789" w:type="dxa"/>
            <w:tcBorders>
              <w:tl2br w:val="nil"/>
              <w:tr2bl w:val="nil"/>
            </w:tcBorders>
            <w:noWrap/>
            <w:vAlign w:val="center"/>
          </w:tcPr>
          <w:p w14:paraId="66BE061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3123B5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31DFF2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溢流净宽</w:t>
            </w:r>
          </w:p>
        </w:tc>
        <w:tc>
          <w:tcPr>
            <w:tcW w:w="1050" w:type="dxa"/>
            <w:tcBorders>
              <w:tl2br w:val="nil"/>
              <w:tr2bl w:val="nil"/>
            </w:tcBorders>
            <w:noWrap w:val="0"/>
            <w:vAlign w:val="center"/>
          </w:tcPr>
          <w:p w14:paraId="1BCF27B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7E655C2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9.0</w:t>
            </w:r>
          </w:p>
        </w:tc>
        <w:tc>
          <w:tcPr>
            <w:tcW w:w="2789" w:type="dxa"/>
            <w:tcBorders>
              <w:tl2br w:val="nil"/>
              <w:tr2bl w:val="nil"/>
            </w:tcBorders>
            <w:noWrap/>
            <w:vAlign w:val="center"/>
          </w:tcPr>
          <w:p w14:paraId="25CE634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5846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7EE5ED4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孔口数量、尺寸</w:t>
            </w:r>
          </w:p>
        </w:tc>
        <w:tc>
          <w:tcPr>
            <w:tcW w:w="1050" w:type="dxa"/>
            <w:tcBorders>
              <w:tl2br w:val="nil"/>
              <w:tr2bl w:val="nil"/>
            </w:tcBorders>
            <w:noWrap w:val="0"/>
            <w:vAlign w:val="center"/>
          </w:tcPr>
          <w:p w14:paraId="0CAA42E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孔-m×m</w:t>
            </w:r>
          </w:p>
        </w:tc>
        <w:tc>
          <w:tcPr>
            <w:tcW w:w="2558" w:type="dxa"/>
            <w:gridSpan w:val="2"/>
            <w:tcBorders>
              <w:tl2br w:val="nil"/>
              <w:tr2bl w:val="nil"/>
            </w:tcBorders>
            <w:noWrap/>
            <w:vAlign w:val="center"/>
          </w:tcPr>
          <w:p w14:paraId="4B26B0C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2-4.5×3.3</w:t>
            </w:r>
          </w:p>
        </w:tc>
        <w:tc>
          <w:tcPr>
            <w:tcW w:w="2789" w:type="dxa"/>
            <w:tcBorders>
              <w:tl2br w:val="nil"/>
              <w:tr2bl w:val="nil"/>
            </w:tcBorders>
            <w:noWrap/>
            <w:vAlign w:val="center"/>
          </w:tcPr>
          <w:p w14:paraId="7162F7C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1F2CFC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6BBDCAF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最大单宽流量</w:t>
            </w:r>
          </w:p>
        </w:tc>
        <w:tc>
          <w:tcPr>
            <w:tcW w:w="1050" w:type="dxa"/>
            <w:tcBorders>
              <w:tl2br w:val="nil"/>
              <w:tr2bl w:val="nil"/>
            </w:tcBorders>
            <w:noWrap w:val="0"/>
            <w:vAlign w:val="center"/>
          </w:tcPr>
          <w:p w14:paraId="0FFFE37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/s·m</w:t>
            </w:r>
          </w:p>
        </w:tc>
        <w:tc>
          <w:tcPr>
            <w:tcW w:w="2558" w:type="dxa"/>
            <w:gridSpan w:val="2"/>
            <w:tcBorders>
              <w:tl2br w:val="nil"/>
              <w:tr2bl w:val="nil"/>
            </w:tcBorders>
            <w:noWrap/>
            <w:vAlign w:val="center"/>
          </w:tcPr>
          <w:p w14:paraId="28BEF14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3.33</w:t>
            </w:r>
          </w:p>
        </w:tc>
        <w:tc>
          <w:tcPr>
            <w:tcW w:w="2789" w:type="dxa"/>
            <w:tcBorders>
              <w:tl2br w:val="nil"/>
              <w:tr2bl w:val="nil"/>
            </w:tcBorders>
            <w:noWrap/>
            <w:vAlign w:val="center"/>
          </w:tcPr>
          <w:p w14:paraId="2486ECA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1A7C7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BC7A7C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消能方式</w:t>
            </w:r>
          </w:p>
        </w:tc>
        <w:tc>
          <w:tcPr>
            <w:tcW w:w="1050" w:type="dxa"/>
            <w:tcBorders>
              <w:tl2br w:val="nil"/>
              <w:tr2bl w:val="nil"/>
            </w:tcBorders>
            <w:noWrap w:val="0"/>
            <w:vAlign w:val="center"/>
          </w:tcPr>
          <w:p w14:paraId="2178041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5660E69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阶梯消能+底流消能</w:t>
            </w:r>
          </w:p>
        </w:tc>
        <w:tc>
          <w:tcPr>
            <w:tcW w:w="2789" w:type="dxa"/>
            <w:tcBorders>
              <w:tl2br w:val="nil"/>
              <w:tr2bl w:val="nil"/>
            </w:tcBorders>
            <w:noWrap/>
            <w:vAlign w:val="center"/>
          </w:tcPr>
          <w:p w14:paraId="3C332F4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33C112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AC86E6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3、放水设施</w:t>
            </w:r>
          </w:p>
        </w:tc>
        <w:tc>
          <w:tcPr>
            <w:tcW w:w="1050" w:type="dxa"/>
            <w:tcBorders>
              <w:tl2br w:val="nil"/>
              <w:tr2bl w:val="nil"/>
            </w:tcBorders>
            <w:noWrap w:val="0"/>
            <w:vAlign w:val="center"/>
          </w:tcPr>
          <w:p w14:paraId="5048575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4220E4D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39C58B1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B861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7FDA69F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型式</w:t>
            </w:r>
          </w:p>
        </w:tc>
        <w:tc>
          <w:tcPr>
            <w:tcW w:w="1050" w:type="dxa"/>
            <w:tcBorders>
              <w:tl2br w:val="nil"/>
              <w:tr2bl w:val="nil"/>
            </w:tcBorders>
            <w:noWrap w:val="0"/>
            <w:vAlign w:val="center"/>
          </w:tcPr>
          <w:p w14:paraId="606BE87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0871A8C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管道</w:t>
            </w:r>
          </w:p>
        </w:tc>
        <w:tc>
          <w:tcPr>
            <w:tcW w:w="2789" w:type="dxa"/>
            <w:tcBorders>
              <w:tl2br w:val="nil"/>
              <w:tr2bl w:val="nil"/>
            </w:tcBorders>
            <w:noWrap/>
            <w:vAlign w:val="center"/>
          </w:tcPr>
          <w:p w14:paraId="6003A35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3B17B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2941" w:type="dxa"/>
            <w:tcBorders>
              <w:tl2br w:val="nil"/>
              <w:tr2bl w:val="nil"/>
            </w:tcBorders>
            <w:noWrap w:val="0"/>
            <w:vAlign w:val="center"/>
          </w:tcPr>
          <w:p w14:paraId="6B6E5D8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取水口高程</w:t>
            </w:r>
          </w:p>
        </w:tc>
        <w:tc>
          <w:tcPr>
            <w:tcW w:w="1050" w:type="dxa"/>
            <w:tcBorders>
              <w:tl2br w:val="nil"/>
              <w:tr2bl w:val="nil"/>
            </w:tcBorders>
            <w:noWrap w:val="0"/>
            <w:vAlign w:val="center"/>
          </w:tcPr>
          <w:p w14:paraId="1D59096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5794442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418.0、415.0、412.0、409.0、405.5</w:t>
            </w:r>
          </w:p>
        </w:tc>
        <w:tc>
          <w:tcPr>
            <w:tcW w:w="2789" w:type="dxa"/>
            <w:tcBorders>
              <w:tl2br w:val="nil"/>
              <w:tr2bl w:val="nil"/>
            </w:tcBorders>
            <w:noWrap/>
            <w:vAlign w:val="center"/>
          </w:tcPr>
          <w:p w14:paraId="029995F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管顶高程</w:t>
            </w:r>
          </w:p>
        </w:tc>
      </w:tr>
      <w:tr w14:paraId="0312F3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2941" w:type="dxa"/>
            <w:tcBorders>
              <w:tl2br w:val="nil"/>
              <w:tr2bl w:val="nil"/>
            </w:tcBorders>
            <w:noWrap w:val="0"/>
            <w:vAlign w:val="center"/>
          </w:tcPr>
          <w:p w14:paraId="3EAC987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取水口尺寸</w:t>
            </w:r>
          </w:p>
        </w:tc>
        <w:tc>
          <w:tcPr>
            <w:tcW w:w="1050" w:type="dxa"/>
            <w:tcBorders>
              <w:tl2br w:val="nil"/>
              <w:tr2bl w:val="nil"/>
            </w:tcBorders>
            <w:noWrap w:val="0"/>
            <w:vAlign w:val="center"/>
          </w:tcPr>
          <w:p w14:paraId="2C66FE0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mm</w:t>
            </w:r>
          </w:p>
        </w:tc>
        <w:tc>
          <w:tcPr>
            <w:tcW w:w="2558" w:type="dxa"/>
            <w:gridSpan w:val="2"/>
            <w:tcBorders>
              <w:tl2br w:val="nil"/>
              <w:tr2bl w:val="nil"/>
            </w:tcBorders>
            <w:noWrap/>
            <w:vAlign w:val="center"/>
          </w:tcPr>
          <w:p w14:paraId="6D9A768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D</w:t>
            </w:r>
            <w:r>
              <w:rPr>
                <w:rFonts w:hint="eastAsia" w:ascii="Arial" w:hAnsi="Arial" w:cs="Arial"/>
                <w:sz w:val="22"/>
                <w:szCs w:val="22"/>
                <w:lang w:val="en-US" w:eastAsia="zh-CN"/>
              </w:rPr>
              <w:t>N</w:t>
            </w:r>
            <w:r>
              <w:rPr>
                <w:rFonts w:hint="default" w:ascii="Arial" w:hAnsi="Arial" w:cs="Arial"/>
                <w:sz w:val="22"/>
                <w:szCs w:val="22"/>
              </w:rPr>
              <w:t>400（8mm）/D</w:t>
            </w:r>
            <w:r>
              <w:rPr>
                <w:rFonts w:hint="eastAsia" w:ascii="Arial" w:hAnsi="Arial" w:cs="Arial"/>
                <w:sz w:val="22"/>
                <w:szCs w:val="22"/>
                <w:lang w:val="en-US" w:eastAsia="zh-CN"/>
              </w:rPr>
              <w:t>N</w:t>
            </w:r>
            <w:r>
              <w:rPr>
                <w:rFonts w:hint="default" w:ascii="Arial" w:hAnsi="Arial" w:cs="Arial"/>
                <w:sz w:val="22"/>
                <w:szCs w:val="22"/>
              </w:rPr>
              <w:t>1000（8mm）</w:t>
            </w:r>
          </w:p>
        </w:tc>
        <w:tc>
          <w:tcPr>
            <w:tcW w:w="2789" w:type="dxa"/>
            <w:tcBorders>
              <w:tl2br w:val="nil"/>
              <w:tr2bl w:val="nil"/>
            </w:tcBorders>
            <w:noWrap/>
            <w:vAlign w:val="center"/>
          </w:tcPr>
          <w:p w14:paraId="544A041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钢管</w:t>
            </w:r>
          </w:p>
        </w:tc>
      </w:tr>
      <w:tr w14:paraId="71195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9494C9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取水流量</w:t>
            </w:r>
          </w:p>
        </w:tc>
        <w:tc>
          <w:tcPr>
            <w:tcW w:w="1050" w:type="dxa"/>
            <w:tcBorders>
              <w:tl2br w:val="nil"/>
              <w:tr2bl w:val="nil"/>
            </w:tcBorders>
            <w:noWrap w:val="0"/>
            <w:vAlign w:val="center"/>
          </w:tcPr>
          <w:p w14:paraId="2DDDE29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6479626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lang w:val="en-US" w:eastAsia="zh-CN"/>
              </w:rPr>
            </w:pPr>
            <w:r>
              <w:rPr>
                <w:rFonts w:hint="default" w:ascii="Arial" w:hAnsi="Arial" w:cs="Arial"/>
                <w:sz w:val="22"/>
                <w:szCs w:val="22"/>
              </w:rPr>
              <w:t>0.</w:t>
            </w:r>
            <w:r>
              <w:rPr>
                <w:rFonts w:hint="eastAsia" w:ascii="Arial" w:hAnsi="Arial" w:cs="Arial"/>
                <w:sz w:val="22"/>
                <w:szCs w:val="22"/>
                <w:lang w:val="en-US" w:eastAsia="zh-CN"/>
              </w:rPr>
              <w:t>1124</w:t>
            </w:r>
          </w:p>
        </w:tc>
        <w:tc>
          <w:tcPr>
            <w:tcW w:w="2789" w:type="dxa"/>
            <w:tcBorders>
              <w:tl2br w:val="nil"/>
              <w:tr2bl w:val="nil"/>
            </w:tcBorders>
            <w:noWrap/>
            <w:vAlign w:val="center"/>
          </w:tcPr>
          <w:p w14:paraId="6C6C000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2D8FA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BDB396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4、输水工程</w:t>
            </w:r>
          </w:p>
        </w:tc>
        <w:tc>
          <w:tcPr>
            <w:tcW w:w="1050" w:type="dxa"/>
            <w:tcBorders>
              <w:tl2br w:val="nil"/>
              <w:tr2bl w:val="nil"/>
            </w:tcBorders>
            <w:noWrap w:val="0"/>
            <w:vAlign w:val="center"/>
          </w:tcPr>
          <w:p w14:paraId="5D7E51A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598F572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324DC78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98FB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BC59D3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输水流量</w:t>
            </w:r>
          </w:p>
        </w:tc>
        <w:tc>
          <w:tcPr>
            <w:tcW w:w="1050" w:type="dxa"/>
            <w:tcBorders>
              <w:tl2br w:val="nil"/>
              <w:tr2bl w:val="nil"/>
            </w:tcBorders>
            <w:noWrap w:val="0"/>
            <w:vAlign w:val="center"/>
          </w:tcPr>
          <w:p w14:paraId="1403804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r>
              <w:rPr>
                <w:rFonts w:hint="default" w:ascii="Arial" w:hAnsi="Arial" w:cs="Arial"/>
                <w:sz w:val="22"/>
                <w:szCs w:val="22"/>
              </w:rPr>
              <w:t>/s</w:t>
            </w:r>
          </w:p>
        </w:tc>
        <w:tc>
          <w:tcPr>
            <w:tcW w:w="2558" w:type="dxa"/>
            <w:gridSpan w:val="2"/>
            <w:tcBorders>
              <w:tl2br w:val="nil"/>
              <w:tr2bl w:val="nil"/>
            </w:tcBorders>
            <w:noWrap/>
            <w:vAlign w:val="center"/>
          </w:tcPr>
          <w:p w14:paraId="3A7882C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lang w:val="en-US" w:eastAsia="zh-CN"/>
              </w:rPr>
            </w:pPr>
            <w:r>
              <w:rPr>
                <w:rFonts w:hint="default" w:ascii="Arial" w:hAnsi="Arial" w:cs="Arial"/>
                <w:sz w:val="22"/>
                <w:szCs w:val="22"/>
              </w:rPr>
              <w:t>0.1</w:t>
            </w:r>
            <w:r>
              <w:rPr>
                <w:rFonts w:hint="eastAsia" w:ascii="Arial" w:hAnsi="Arial" w:cs="Arial"/>
                <w:sz w:val="22"/>
                <w:szCs w:val="22"/>
                <w:lang w:val="en-US" w:eastAsia="zh-CN"/>
              </w:rPr>
              <w:t>074</w:t>
            </w:r>
          </w:p>
        </w:tc>
        <w:tc>
          <w:tcPr>
            <w:tcW w:w="2789" w:type="dxa"/>
            <w:tcBorders>
              <w:tl2br w:val="nil"/>
              <w:tr2bl w:val="nil"/>
            </w:tcBorders>
            <w:noWrap/>
            <w:vAlign w:val="center"/>
          </w:tcPr>
          <w:p w14:paraId="2C27DC8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干管</w:t>
            </w:r>
          </w:p>
        </w:tc>
      </w:tr>
      <w:tr w14:paraId="7061C2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941" w:type="dxa"/>
            <w:tcBorders>
              <w:tl2br w:val="nil"/>
              <w:tr2bl w:val="nil"/>
            </w:tcBorders>
            <w:noWrap w:val="0"/>
            <w:vAlign w:val="center"/>
          </w:tcPr>
          <w:p w14:paraId="1B8A4A1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管道尺寸</w:t>
            </w:r>
          </w:p>
        </w:tc>
        <w:tc>
          <w:tcPr>
            <w:tcW w:w="1050" w:type="dxa"/>
            <w:tcBorders>
              <w:tl2br w:val="nil"/>
              <w:tr2bl w:val="nil"/>
            </w:tcBorders>
            <w:noWrap w:val="0"/>
            <w:vAlign w:val="center"/>
          </w:tcPr>
          <w:p w14:paraId="50B59C1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mm</w:t>
            </w:r>
          </w:p>
        </w:tc>
        <w:tc>
          <w:tcPr>
            <w:tcW w:w="2558" w:type="dxa"/>
            <w:gridSpan w:val="2"/>
            <w:tcBorders>
              <w:tl2br w:val="nil"/>
              <w:tr2bl w:val="nil"/>
            </w:tcBorders>
            <w:noWrap/>
            <w:vAlign w:val="center"/>
          </w:tcPr>
          <w:p w14:paraId="2A1C6B0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eastAsia" w:ascii="Arial" w:hAnsi="Arial" w:cs="Arial"/>
                <w:sz w:val="22"/>
                <w:szCs w:val="22"/>
                <w:lang w:val="en-US" w:eastAsia="zh-CN"/>
              </w:rPr>
              <w:t>DN</w:t>
            </w:r>
            <w:r>
              <w:rPr>
                <w:rFonts w:hint="default" w:ascii="Arial" w:hAnsi="Arial" w:cs="Arial"/>
                <w:sz w:val="22"/>
                <w:szCs w:val="22"/>
              </w:rPr>
              <w:t>400、</w:t>
            </w:r>
            <w:r>
              <w:rPr>
                <w:rFonts w:hint="eastAsia" w:ascii="Arial" w:hAnsi="Arial" w:cs="Arial"/>
                <w:sz w:val="22"/>
                <w:szCs w:val="22"/>
                <w:lang w:val="en-US" w:eastAsia="zh-CN"/>
              </w:rPr>
              <w:t>DN</w:t>
            </w:r>
            <w:r>
              <w:rPr>
                <w:rFonts w:hint="default" w:ascii="Arial" w:hAnsi="Arial" w:cs="Arial"/>
                <w:sz w:val="22"/>
                <w:szCs w:val="22"/>
              </w:rPr>
              <w:t>325、</w:t>
            </w:r>
            <w:r>
              <w:rPr>
                <w:rFonts w:hint="eastAsia" w:ascii="Arial" w:hAnsi="Arial" w:cs="Arial"/>
                <w:sz w:val="22"/>
                <w:szCs w:val="22"/>
                <w:lang w:val="en-US" w:eastAsia="zh-CN"/>
              </w:rPr>
              <w:t>DN</w:t>
            </w:r>
            <w:r>
              <w:rPr>
                <w:rFonts w:hint="default" w:ascii="Arial" w:hAnsi="Arial" w:cs="Arial"/>
                <w:sz w:val="22"/>
                <w:szCs w:val="22"/>
              </w:rPr>
              <w:t>273、</w:t>
            </w:r>
            <w:r>
              <w:rPr>
                <w:rFonts w:hint="eastAsia" w:ascii="Arial" w:hAnsi="Arial" w:cs="Arial"/>
                <w:sz w:val="22"/>
                <w:szCs w:val="22"/>
                <w:lang w:val="en-US" w:eastAsia="zh-CN"/>
              </w:rPr>
              <w:t>DN</w:t>
            </w:r>
            <w:r>
              <w:rPr>
                <w:rFonts w:hint="default" w:ascii="Arial" w:hAnsi="Arial" w:cs="Arial"/>
                <w:sz w:val="22"/>
                <w:szCs w:val="22"/>
              </w:rPr>
              <w:t>108/</w:t>
            </w:r>
            <w:r>
              <w:rPr>
                <w:rFonts w:hint="eastAsia" w:ascii="Arial" w:hAnsi="Arial" w:cs="Arial"/>
                <w:sz w:val="22"/>
                <w:szCs w:val="22"/>
                <w:lang w:val="en-US" w:eastAsia="zh-CN"/>
              </w:rPr>
              <w:t>DN</w:t>
            </w:r>
            <w:r>
              <w:rPr>
                <w:rFonts w:hint="default" w:ascii="Arial" w:hAnsi="Arial" w:cs="Arial"/>
                <w:sz w:val="22"/>
                <w:szCs w:val="22"/>
              </w:rPr>
              <w:t>48、</w:t>
            </w:r>
            <w:r>
              <w:rPr>
                <w:rFonts w:hint="eastAsia" w:ascii="Arial" w:hAnsi="Arial" w:cs="Arial"/>
                <w:sz w:val="22"/>
                <w:szCs w:val="22"/>
                <w:lang w:val="en-US" w:eastAsia="zh-CN"/>
              </w:rPr>
              <w:t>DN</w:t>
            </w:r>
            <w:r>
              <w:rPr>
                <w:rFonts w:hint="default" w:ascii="Arial" w:hAnsi="Arial" w:cs="Arial"/>
                <w:sz w:val="22"/>
                <w:szCs w:val="22"/>
              </w:rPr>
              <w:t>32、</w:t>
            </w:r>
            <w:r>
              <w:rPr>
                <w:rFonts w:hint="eastAsia" w:ascii="Arial" w:hAnsi="Arial" w:cs="Arial"/>
                <w:sz w:val="22"/>
                <w:szCs w:val="22"/>
                <w:lang w:val="en-US" w:eastAsia="zh-CN"/>
              </w:rPr>
              <w:t>DN</w:t>
            </w:r>
            <w:r>
              <w:rPr>
                <w:rFonts w:hint="default" w:ascii="Arial" w:hAnsi="Arial" w:cs="Arial"/>
                <w:sz w:val="22"/>
                <w:szCs w:val="22"/>
              </w:rPr>
              <w:t>32</w:t>
            </w:r>
          </w:p>
        </w:tc>
        <w:tc>
          <w:tcPr>
            <w:tcW w:w="2789" w:type="dxa"/>
            <w:tcBorders>
              <w:tl2br w:val="nil"/>
              <w:tr2bl w:val="nil"/>
            </w:tcBorders>
            <w:noWrap/>
            <w:vAlign w:val="center"/>
          </w:tcPr>
          <w:p w14:paraId="44FD8F8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干管/5条支管</w:t>
            </w:r>
          </w:p>
        </w:tc>
      </w:tr>
      <w:tr w14:paraId="62D721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65BD61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管道长度</w:t>
            </w:r>
          </w:p>
        </w:tc>
        <w:tc>
          <w:tcPr>
            <w:tcW w:w="1050" w:type="dxa"/>
            <w:tcBorders>
              <w:tl2br w:val="nil"/>
              <w:tr2bl w:val="nil"/>
            </w:tcBorders>
            <w:noWrap w:val="0"/>
            <w:vAlign w:val="center"/>
          </w:tcPr>
          <w:p w14:paraId="0B6C323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km</w:t>
            </w:r>
          </w:p>
        </w:tc>
        <w:tc>
          <w:tcPr>
            <w:tcW w:w="2558" w:type="dxa"/>
            <w:gridSpan w:val="2"/>
            <w:tcBorders>
              <w:tl2br w:val="nil"/>
              <w:tr2bl w:val="nil"/>
            </w:tcBorders>
            <w:noWrap/>
            <w:vAlign w:val="center"/>
          </w:tcPr>
          <w:p w14:paraId="740BF0E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5.27/3.63</w:t>
            </w:r>
          </w:p>
        </w:tc>
        <w:tc>
          <w:tcPr>
            <w:tcW w:w="2789" w:type="dxa"/>
            <w:tcBorders>
              <w:tl2br w:val="nil"/>
              <w:tr2bl w:val="nil"/>
            </w:tcBorders>
            <w:noWrap/>
            <w:vAlign w:val="center"/>
          </w:tcPr>
          <w:p w14:paraId="7B00423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干管/5条支管</w:t>
            </w:r>
          </w:p>
        </w:tc>
      </w:tr>
      <w:tr w14:paraId="736CC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665EDF4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管道材质</w:t>
            </w:r>
          </w:p>
        </w:tc>
        <w:tc>
          <w:tcPr>
            <w:tcW w:w="1050" w:type="dxa"/>
            <w:tcBorders>
              <w:tl2br w:val="nil"/>
              <w:tr2bl w:val="nil"/>
            </w:tcBorders>
            <w:noWrap w:val="0"/>
            <w:vAlign w:val="center"/>
          </w:tcPr>
          <w:p w14:paraId="057A5DA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03D865A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PE管、涂塑钢管</w:t>
            </w:r>
          </w:p>
        </w:tc>
        <w:tc>
          <w:tcPr>
            <w:tcW w:w="2789" w:type="dxa"/>
            <w:tcBorders>
              <w:tl2br w:val="nil"/>
              <w:tr2bl w:val="nil"/>
            </w:tcBorders>
            <w:noWrap/>
            <w:vAlign w:val="center"/>
          </w:tcPr>
          <w:p w14:paraId="57FF293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097CE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E2E3F7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5、附属建筑物</w:t>
            </w:r>
          </w:p>
        </w:tc>
        <w:tc>
          <w:tcPr>
            <w:tcW w:w="1050" w:type="dxa"/>
            <w:tcBorders>
              <w:tl2br w:val="nil"/>
              <w:tr2bl w:val="nil"/>
            </w:tcBorders>
            <w:noWrap w:val="0"/>
            <w:vAlign w:val="center"/>
          </w:tcPr>
          <w:p w14:paraId="047985E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17F2C9C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1AC62F0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DDA8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C79EC2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水库管理房</w:t>
            </w:r>
          </w:p>
        </w:tc>
        <w:tc>
          <w:tcPr>
            <w:tcW w:w="1050" w:type="dxa"/>
            <w:tcBorders>
              <w:tl2br w:val="nil"/>
              <w:tr2bl w:val="nil"/>
            </w:tcBorders>
            <w:noWrap w:val="0"/>
            <w:vAlign w:val="center"/>
          </w:tcPr>
          <w:p w14:paraId="68923F1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2</w:t>
            </w:r>
          </w:p>
        </w:tc>
        <w:tc>
          <w:tcPr>
            <w:tcW w:w="2558" w:type="dxa"/>
            <w:gridSpan w:val="2"/>
            <w:tcBorders>
              <w:tl2br w:val="nil"/>
              <w:tr2bl w:val="nil"/>
            </w:tcBorders>
            <w:noWrap/>
            <w:vAlign w:val="center"/>
          </w:tcPr>
          <w:p w14:paraId="6386F8D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184</w:t>
            </w:r>
          </w:p>
        </w:tc>
        <w:tc>
          <w:tcPr>
            <w:tcW w:w="2789" w:type="dxa"/>
            <w:tcBorders>
              <w:tl2br w:val="nil"/>
              <w:tr2bl w:val="nil"/>
            </w:tcBorders>
            <w:noWrap/>
            <w:vAlign w:val="center"/>
          </w:tcPr>
          <w:p w14:paraId="001550B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22E1B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AC72AE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放空及取水管理房</w:t>
            </w:r>
          </w:p>
        </w:tc>
        <w:tc>
          <w:tcPr>
            <w:tcW w:w="1050" w:type="dxa"/>
            <w:tcBorders>
              <w:tl2br w:val="nil"/>
              <w:tr2bl w:val="nil"/>
            </w:tcBorders>
            <w:noWrap w:val="0"/>
            <w:vAlign w:val="center"/>
          </w:tcPr>
          <w:p w14:paraId="060180C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2</w:t>
            </w:r>
          </w:p>
        </w:tc>
        <w:tc>
          <w:tcPr>
            <w:tcW w:w="2558" w:type="dxa"/>
            <w:gridSpan w:val="2"/>
            <w:tcBorders>
              <w:tl2br w:val="nil"/>
              <w:tr2bl w:val="nil"/>
            </w:tcBorders>
            <w:noWrap/>
            <w:vAlign w:val="center"/>
          </w:tcPr>
          <w:p w14:paraId="7482ED5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20</w:t>
            </w:r>
          </w:p>
        </w:tc>
        <w:tc>
          <w:tcPr>
            <w:tcW w:w="2789" w:type="dxa"/>
            <w:tcBorders>
              <w:tl2br w:val="nil"/>
              <w:tr2bl w:val="nil"/>
            </w:tcBorders>
            <w:noWrap/>
            <w:vAlign w:val="center"/>
          </w:tcPr>
          <w:p w14:paraId="63D2C24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61C2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0BFA0A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上坝公路</w:t>
            </w:r>
          </w:p>
        </w:tc>
        <w:tc>
          <w:tcPr>
            <w:tcW w:w="1050" w:type="dxa"/>
            <w:tcBorders>
              <w:tl2br w:val="nil"/>
              <w:tr2bl w:val="nil"/>
            </w:tcBorders>
            <w:noWrap w:val="0"/>
            <w:vAlign w:val="center"/>
          </w:tcPr>
          <w:p w14:paraId="0EB0810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7CD1316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1762，宽4.5</w:t>
            </w:r>
          </w:p>
        </w:tc>
        <w:tc>
          <w:tcPr>
            <w:tcW w:w="2789" w:type="dxa"/>
            <w:tcBorders>
              <w:tl2br w:val="nil"/>
              <w:tr2bl w:val="nil"/>
            </w:tcBorders>
            <w:noWrap/>
            <w:vAlign w:val="center"/>
          </w:tcPr>
          <w:p w14:paraId="5E2ED67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C25砼路面</w:t>
            </w:r>
          </w:p>
        </w:tc>
      </w:tr>
      <w:tr w14:paraId="03DB08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A599D4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环库巡检步道</w:t>
            </w:r>
          </w:p>
        </w:tc>
        <w:tc>
          <w:tcPr>
            <w:tcW w:w="1050" w:type="dxa"/>
            <w:tcBorders>
              <w:tl2br w:val="nil"/>
              <w:tr2bl w:val="nil"/>
            </w:tcBorders>
            <w:noWrap w:val="0"/>
            <w:vAlign w:val="center"/>
          </w:tcPr>
          <w:p w14:paraId="2A2FECF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43DE523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2504，宽1.5</w:t>
            </w:r>
          </w:p>
        </w:tc>
        <w:tc>
          <w:tcPr>
            <w:tcW w:w="2789" w:type="dxa"/>
            <w:tcBorders>
              <w:tl2br w:val="nil"/>
              <w:tr2bl w:val="nil"/>
            </w:tcBorders>
            <w:noWrap/>
            <w:vAlign w:val="center"/>
          </w:tcPr>
          <w:p w14:paraId="423ECFE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C20砼路面</w:t>
            </w:r>
          </w:p>
        </w:tc>
      </w:tr>
      <w:tr w14:paraId="2A707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B7CDF0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监测设施</w:t>
            </w:r>
          </w:p>
        </w:tc>
        <w:tc>
          <w:tcPr>
            <w:tcW w:w="1050" w:type="dxa"/>
            <w:tcBorders>
              <w:tl2br w:val="nil"/>
              <w:tr2bl w:val="nil"/>
            </w:tcBorders>
            <w:noWrap w:val="0"/>
            <w:vAlign w:val="center"/>
          </w:tcPr>
          <w:p w14:paraId="745C907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套</w:t>
            </w:r>
          </w:p>
        </w:tc>
        <w:tc>
          <w:tcPr>
            <w:tcW w:w="2558" w:type="dxa"/>
            <w:gridSpan w:val="2"/>
            <w:tcBorders>
              <w:tl2br w:val="nil"/>
              <w:tr2bl w:val="nil"/>
            </w:tcBorders>
            <w:noWrap/>
            <w:vAlign w:val="center"/>
          </w:tcPr>
          <w:p w14:paraId="7B1A670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w:t>
            </w:r>
          </w:p>
        </w:tc>
        <w:tc>
          <w:tcPr>
            <w:tcW w:w="2789" w:type="dxa"/>
            <w:tcBorders>
              <w:tl2br w:val="nil"/>
              <w:tr2bl w:val="nil"/>
            </w:tcBorders>
            <w:noWrap/>
            <w:vAlign w:val="center"/>
          </w:tcPr>
          <w:p w14:paraId="1589D1F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D3793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616418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七、施工</w:t>
            </w:r>
          </w:p>
        </w:tc>
        <w:tc>
          <w:tcPr>
            <w:tcW w:w="1050" w:type="dxa"/>
            <w:tcBorders>
              <w:tl2br w:val="nil"/>
              <w:tr2bl w:val="nil"/>
            </w:tcBorders>
            <w:noWrap w:val="0"/>
            <w:vAlign w:val="center"/>
          </w:tcPr>
          <w:p w14:paraId="0A1A02D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05EEFD1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3409F13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3AC634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367FAB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1、工程总工程量</w:t>
            </w:r>
          </w:p>
        </w:tc>
        <w:tc>
          <w:tcPr>
            <w:tcW w:w="1050" w:type="dxa"/>
            <w:tcBorders>
              <w:tl2br w:val="nil"/>
              <w:tr2bl w:val="nil"/>
            </w:tcBorders>
            <w:noWrap w:val="0"/>
            <w:vAlign w:val="center"/>
          </w:tcPr>
          <w:p w14:paraId="3895F85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6B0DC3B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34C1360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7D600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3F1BFF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土方明挖</w:t>
            </w:r>
          </w:p>
        </w:tc>
        <w:tc>
          <w:tcPr>
            <w:tcW w:w="1050" w:type="dxa"/>
            <w:tcBorders>
              <w:tl2br w:val="nil"/>
              <w:tr2bl w:val="nil"/>
            </w:tcBorders>
            <w:noWrap w:val="0"/>
            <w:vAlign w:val="center"/>
          </w:tcPr>
          <w:p w14:paraId="7E7D38D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5D5E8EE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5.17</w:t>
            </w:r>
          </w:p>
        </w:tc>
        <w:tc>
          <w:tcPr>
            <w:tcW w:w="2789" w:type="dxa"/>
            <w:tcBorders>
              <w:tl2br w:val="nil"/>
              <w:tr2bl w:val="nil"/>
            </w:tcBorders>
            <w:noWrap/>
            <w:vAlign w:val="center"/>
          </w:tcPr>
          <w:p w14:paraId="65D5825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1ACC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5AE1E0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石方明挖</w:t>
            </w:r>
          </w:p>
        </w:tc>
        <w:tc>
          <w:tcPr>
            <w:tcW w:w="1050" w:type="dxa"/>
            <w:tcBorders>
              <w:tl2br w:val="nil"/>
              <w:tr2bl w:val="nil"/>
            </w:tcBorders>
            <w:noWrap w:val="0"/>
            <w:vAlign w:val="center"/>
          </w:tcPr>
          <w:p w14:paraId="49F6A84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467B264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6.67</w:t>
            </w:r>
          </w:p>
        </w:tc>
        <w:tc>
          <w:tcPr>
            <w:tcW w:w="2789" w:type="dxa"/>
            <w:tcBorders>
              <w:tl2br w:val="nil"/>
              <w:tr2bl w:val="nil"/>
            </w:tcBorders>
            <w:noWrap/>
            <w:vAlign w:val="center"/>
          </w:tcPr>
          <w:p w14:paraId="4402526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9644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B5B192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土石回填</w:t>
            </w:r>
          </w:p>
        </w:tc>
        <w:tc>
          <w:tcPr>
            <w:tcW w:w="1050" w:type="dxa"/>
            <w:tcBorders>
              <w:tl2br w:val="nil"/>
              <w:tr2bl w:val="nil"/>
            </w:tcBorders>
            <w:noWrap w:val="0"/>
            <w:vAlign w:val="center"/>
          </w:tcPr>
          <w:p w14:paraId="00BDBB0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139DB27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4.30</w:t>
            </w:r>
          </w:p>
        </w:tc>
        <w:tc>
          <w:tcPr>
            <w:tcW w:w="2789" w:type="dxa"/>
            <w:tcBorders>
              <w:tl2br w:val="nil"/>
              <w:tr2bl w:val="nil"/>
            </w:tcBorders>
            <w:noWrap/>
            <w:vAlign w:val="center"/>
          </w:tcPr>
          <w:p w14:paraId="0C5AB66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3E63C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8CCC0F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混凝土</w:t>
            </w:r>
          </w:p>
        </w:tc>
        <w:tc>
          <w:tcPr>
            <w:tcW w:w="1050" w:type="dxa"/>
            <w:tcBorders>
              <w:tl2br w:val="nil"/>
              <w:tr2bl w:val="nil"/>
            </w:tcBorders>
            <w:noWrap w:val="0"/>
            <w:vAlign w:val="center"/>
          </w:tcPr>
          <w:p w14:paraId="0FE890D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7CB432F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3.81</w:t>
            </w:r>
          </w:p>
        </w:tc>
        <w:tc>
          <w:tcPr>
            <w:tcW w:w="2789" w:type="dxa"/>
            <w:tcBorders>
              <w:tl2br w:val="nil"/>
              <w:tr2bl w:val="nil"/>
            </w:tcBorders>
            <w:noWrap/>
            <w:vAlign w:val="center"/>
          </w:tcPr>
          <w:p w14:paraId="296A66C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F26C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11E249E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帷幕灌浆</w:t>
            </w:r>
          </w:p>
        </w:tc>
        <w:tc>
          <w:tcPr>
            <w:tcW w:w="1050" w:type="dxa"/>
            <w:tcBorders>
              <w:tl2br w:val="nil"/>
              <w:tr2bl w:val="nil"/>
            </w:tcBorders>
            <w:noWrap w:val="0"/>
            <w:vAlign w:val="center"/>
          </w:tcPr>
          <w:p w14:paraId="148973D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69F7AF8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1905</w:t>
            </w:r>
          </w:p>
        </w:tc>
        <w:tc>
          <w:tcPr>
            <w:tcW w:w="2789" w:type="dxa"/>
            <w:tcBorders>
              <w:tl2br w:val="nil"/>
              <w:tr2bl w:val="nil"/>
            </w:tcBorders>
            <w:noWrap/>
            <w:vAlign w:val="center"/>
          </w:tcPr>
          <w:p w14:paraId="4713E81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E60D5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1FF947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固结灌浆</w:t>
            </w:r>
          </w:p>
        </w:tc>
        <w:tc>
          <w:tcPr>
            <w:tcW w:w="1050" w:type="dxa"/>
            <w:tcBorders>
              <w:tl2br w:val="nil"/>
              <w:tr2bl w:val="nil"/>
            </w:tcBorders>
            <w:noWrap w:val="0"/>
            <w:vAlign w:val="center"/>
          </w:tcPr>
          <w:p w14:paraId="405727A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p>
        </w:tc>
        <w:tc>
          <w:tcPr>
            <w:tcW w:w="2558" w:type="dxa"/>
            <w:gridSpan w:val="2"/>
            <w:tcBorders>
              <w:tl2br w:val="nil"/>
              <w:tr2bl w:val="nil"/>
            </w:tcBorders>
            <w:noWrap/>
            <w:vAlign w:val="center"/>
          </w:tcPr>
          <w:p w14:paraId="7FCEB35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2454</w:t>
            </w:r>
          </w:p>
        </w:tc>
        <w:tc>
          <w:tcPr>
            <w:tcW w:w="2789" w:type="dxa"/>
            <w:tcBorders>
              <w:tl2br w:val="nil"/>
              <w:tr2bl w:val="nil"/>
            </w:tcBorders>
            <w:noWrap/>
            <w:vAlign w:val="center"/>
          </w:tcPr>
          <w:p w14:paraId="3BDC201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19F92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941" w:type="dxa"/>
            <w:tcBorders>
              <w:tl2br w:val="nil"/>
              <w:tr2bl w:val="nil"/>
            </w:tcBorders>
            <w:noWrap w:val="0"/>
            <w:vAlign w:val="center"/>
          </w:tcPr>
          <w:p w14:paraId="03DC575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2、主要建筑材料</w:t>
            </w:r>
          </w:p>
        </w:tc>
        <w:tc>
          <w:tcPr>
            <w:tcW w:w="1050" w:type="dxa"/>
            <w:tcBorders>
              <w:tl2br w:val="nil"/>
              <w:tr2bl w:val="nil"/>
            </w:tcBorders>
            <w:noWrap w:val="0"/>
            <w:vAlign w:val="center"/>
          </w:tcPr>
          <w:p w14:paraId="1AA2DC3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28AA3CA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44F78CC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7C8E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7D650F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水泥</w:t>
            </w:r>
          </w:p>
        </w:tc>
        <w:tc>
          <w:tcPr>
            <w:tcW w:w="1050" w:type="dxa"/>
            <w:tcBorders>
              <w:tl2br w:val="nil"/>
              <w:tr2bl w:val="nil"/>
            </w:tcBorders>
            <w:noWrap w:val="0"/>
            <w:vAlign w:val="center"/>
          </w:tcPr>
          <w:p w14:paraId="546C71D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t</w:t>
            </w:r>
          </w:p>
        </w:tc>
        <w:tc>
          <w:tcPr>
            <w:tcW w:w="2558" w:type="dxa"/>
            <w:gridSpan w:val="2"/>
            <w:tcBorders>
              <w:tl2br w:val="nil"/>
              <w:tr2bl w:val="nil"/>
            </w:tcBorders>
            <w:noWrap/>
            <w:vAlign w:val="center"/>
          </w:tcPr>
          <w:p w14:paraId="06AB68A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13931.39</w:t>
            </w:r>
          </w:p>
        </w:tc>
        <w:tc>
          <w:tcPr>
            <w:tcW w:w="2789" w:type="dxa"/>
            <w:tcBorders>
              <w:tl2br w:val="nil"/>
              <w:tr2bl w:val="nil"/>
            </w:tcBorders>
            <w:noWrap/>
            <w:vAlign w:val="center"/>
          </w:tcPr>
          <w:p w14:paraId="0A12D33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7AF225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46AD7F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钢筋</w:t>
            </w:r>
          </w:p>
        </w:tc>
        <w:tc>
          <w:tcPr>
            <w:tcW w:w="1050" w:type="dxa"/>
            <w:tcBorders>
              <w:tl2br w:val="nil"/>
              <w:tr2bl w:val="nil"/>
            </w:tcBorders>
            <w:noWrap w:val="0"/>
            <w:vAlign w:val="center"/>
          </w:tcPr>
          <w:p w14:paraId="650BBA2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t</w:t>
            </w:r>
          </w:p>
        </w:tc>
        <w:tc>
          <w:tcPr>
            <w:tcW w:w="2558" w:type="dxa"/>
            <w:gridSpan w:val="2"/>
            <w:tcBorders>
              <w:tl2br w:val="nil"/>
              <w:tr2bl w:val="nil"/>
            </w:tcBorders>
            <w:noWrap/>
            <w:vAlign w:val="center"/>
          </w:tcPr>
          <w:p w14:paraId="7924AFC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496.79</w:t>
            </w:r>
          </w:p>
        </w:tc>
        <w:tc>
          <w:tcPr>
            <w:tcW w:w="2789" w:type="dxa"/>
            <w:tcBorders>
              <w:tl2br w:val="nil"/>
              <w:tr2bl w:val="nil"/>
            </w:tcBorders>
            <w:noWrap/>
            <w:vAlign w:val="center"/>
          </w:tcPr>
          <w:p w14:paraId="4A62485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81EE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7AC407E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砂料</w:t>
            </w:r>
          </w:p>
        </w:tc>
        <w:tc>
          <w:tcPr>
            <w:tcW w:w="1050" w:type="dxa"/>
            <w:tcBorders>
              <w:tl2br w:val="nil"/>
              <w:tr2bl w:val="nil"/>
            </w:tcBorders>
            <w:noWrap w:val="0"/>
            <w:vAlign w:val="center"/>
          </w:tcPr>
          <w:p w14:paraId="68863DB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434A3DA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23355.51</w:t>
            </w:r>
          </w:p>
        </w:tc>
        <w:tc>
          <w:tcPr>
            <w:tcW w:w="2789" w:type="dxa"/>
            <w:tcBorders>
              <w:tl2br w:val="nil"/>
              <w:tr2bl w:val="nil"/>
            </w:tcBorders>
            <w:noWrap/>
            <w:vAlign w:val="center"/>
          </w:tcPr>
          <w:p w14:paraId="1946963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FFA93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3A02C6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碎石</w:t>
            </w:r>
          </w:p>
        </w:tc>
        <w:tc>
          <w:tcPr>
            <w:tcW w:w="1050" w:type="dxa"/>
            <w:tcBorders>
              <w:tl2br w:val="nil"/>
              <w:tr2bl w:val="nil"/>
            </w:tcBorders>
            <w:noWrap w:val="0"/>
            <w:vAlign w:val="center"/>
          </w:tcPr>
          <w:p w14:paraId="7581054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3E756EF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33765.10</w:t>
            </w:r>
          </w:p>
        </w:tc>
        <w:tc>
          <w:tcPr>
            <w:tcW w:w="2789" w:type="dxa"/>
            <w:tcBorders>
              <w:tl2br w:val="nil"/>
              <w:tr2bl w:val="nil"/>
            </w:tcBorders>
            <w:noWrap/>
            <w:vAlign w:val="center"/>
          </w:tcPr>
          <w:p w14:paraId="2822D65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2959B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2B0F85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条块石</w:t>
            </w:r>
          </w:p>
        </w:tc>
        <w:tc>
          <w:tcPr>
            <w:tcW w:w="1050" w:type="dxa"/>
            <w:tcBorders>
              <w:tl2br w:val="nil"/>
              <w:tr2bl w:val="nil"/>
            </w:tcBorders>
            <w:noWrap w:val="0"/>
            <w:vAlign w:val="center"/>
          </w:tcPr>
          <w:p w14:paraId="4CCBCD6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m</w:t>
            </w:r>
            <w:r>
              <w:rPr>
                <w:rFonts w:hint="default" w:ascii="Arial" w:hAnsi="Arial" w:cs="Arial"/>
                <w:sz w:val="22"/>
                <w:szCs w:val="22"/>
                <w:vertAlign w:val="superscript"/>
              </w:rPr>
              <w:t>3</w:t>
            </w:r>
          </w:p>
        </w:tc>
        <w:tc>
          <w:tcPr>
            <w:tcW w:w="2558" w:type="dxa"/>
            <w:gridSpan w:val="2"/>
            <w:tcBorders>
              <w:tl2br w:val="nil"/>
              <w:tr2bl w:val="nil"/>
            </w:tcBorders>
            <w:noWrap/>
            <w:vAlign w:val="center"/>
          </w:tcPr>
          <w:p w14:paraId="4E4F594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13457.30</w:t>
            </w:r>
          </w:p>
        </w:tc>
        <w:tc>
          <w:tcPr>
            <w:tcW w:w="2789" w:type="dxa"/>
            <w:tcBorders>
              <w:tl2br w:val="nil"/>
              <w:tr2bl w:val="nil"/>
            </w:tcBorders>
            <w:noWrap/>
            <w:vAlign w:val="center"/>
          </w:tcPr>
          <w:p w14:paraId="4D76EC6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7E237E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941" w:type="dxa"/>
            <w:tcBorders>
              <w:tl2br w:val="nil"/>
              <w:tr2bl w:val="nil"/>
            </w:tcBorders>
            <w:noWrap w:val="0"/>
            <w:vAlign w:val="center"/>
          </w:tcPr>
          <w:p w14:paraId="2043E2B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汽油</w:t>
            </w:r>
          </w:p>
        </w:tc>
        <w:tc>
          <w:tcPr>
            <w:tcW w:w="1050" w:type="dxa"/>
            <w:tcBorders>
              <w:tl2br w:val="nil"/>
              <w:tr2bl w:val="nil"/>
            </w:tcBorders>
            <w:noWrap w:val="0"/>
            <w:vAlign w:val="center"/>
          </w:tcPr>
          <w:p w14:paraId="4181B28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t</w:t>
            </w:r>
          </w:p>
        </w:tc>
        <w:tc>
          <w:tcPr>
            <w:tcW w:w="2558" w:type="dxa"/>
            <w:gridSpan w:val="2"/>
            <w:tcBorders>
              <w:tl2br w:val="nil"/>
              <w:tr2bl w:val="nil"/>
            </w:tcBorders>
            <w:noWrap/>
            <w:vAlign w:val="center"/>
          </w:tcPr>
          <w:p w14:paraId="6EA6937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310.64</w:t>
            </w:r>
          </w:p>
        </w:tc>
        <w:tc>
          <w:tcPr>
            <w:tcW w:w="2789" w:type="dxa"/>
            <w:tcBorders>
              <w:tl2br w:val="nil"/>
              <w:tr2bl w:val="nil"/>
            </w:tcBorders>
            <w:noWrap/>
            <w:vAlign w:val="center"/>
          </w:tcPr>
          <w:p w14:paraId="157B0B96">
            <w:pPr>
              <w:pStyle w:val="130"/>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sz w:val="22"/>
                <w:szCs w:val="22"/>
              </w:rPr>
            </w:pPr>
          </w:p>
        </w:tc>
      </w:tr>
      <w:tr w14:paraId="5E942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55B2770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柴油</w:t>
            </w:r>
          </w:p>
        </w:tc>
        <w:tc>
          <w:tcPr>
            <w:tcW w:w="1050" w:type="dxa"/>
            <w:tcBorders>
              <w:tl2br w:val="nil"/>
              <w:tr2bl w:val="nil"/>
            </w:tcBorders>
            <w:noWrap w:val="0"/>
            <w:vAlign w:val="center"/>
          </w:tcPr>
          <w:p w14:paraId="35F0D95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t</w:t>
            </w:r>
          </w:p>
        </w:tc>
        <w:tc>
          <w:tcPr>
            <w:tcW w:w="2558" w:type="dxa"/>
            <w:gridSpan w:val="2"/>
            <w:tcBorders>
              <w:tl2br w:val="nil"/>
              <w:tr2bl w:val="nil"/>
            </w:tcBorders>
            <w:noWrap/>
            <w:vAlign w:val="center"/>
          </w:tcPr>
          <w:p w14:paraId="56BA59C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374.96</w:t>
            </w:r>
          </w:p>
        </w:tc>
        <w:tc>
          <w:tcPr>
            <w:tcW w:w="2789" w:type="dxa"/>
            <w:tcBorders>
              <w:tl2br w:val="nil"/>
              <w:tr2bl w:val="nil"/>
            </w:tcBorders>
            <w:noWrap/>
            <w:vAlign w:val="center"/>
          </w:tcPr>
          <w:p w14:paraId="4EC6895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0FC3F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941" w:type="dxa"/>
            <w:tcBorders>
              <w:tl2br w:val="nil"/>
              <w:tr2bl w:val="nil"/>
            </w:tcBorders>
            <w:noWrap w:val="0"/>
            <w:vAlign w:val="center"/>
          </w:tcPr>
          <w:p w14:paraId="7F1B0FE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3、对外交通</w:t>
            </w:r>
          </w:p>
        </w:tc>
        <w:tc>
          <w:tcPr>
            <w:tcW w:w="1050" w:type="dxa"/>
            <w:tcBorders>
              <w:tl2br w:val="nil"/>
              <w:tr2bl w:val="nil"/>
            </w:tcBorders>
            <w:noWrap w:val="0"/>
            <w:vAlign w:val="center"/>
          </w:tcPr>
          <w:p w14:paraId="0C7205A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1391" w:type="dxa"/>
            <w:tcBorders>
              <w:tl2br w:val="nil"/>
              <w:tr2bl w:val="nil"/>
            </w:tcBorders>
            <w:noWrap/>
            <w:vAlign w:val="center"/>
          </w:tcPr>
          <w:p w14:paraId="002600C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枢纽工程</w:t>
            </w:r>
          </w:p>
        </w:tc>
        <w:tc>
          <w:tcPr>
            <w:tcW w:w="1167" w:type="dxa"/>
            <w:tcBorders>
              <w:tl2br w:val="nil"/>
              <w:tr2bl w:val="nil"/>
            </w:tcBorders>
            <w:noWrap w:val="0"/>
            <w:vAlign w:val="center"/>
          </w:tcPr>
          <w:p w14:paraId="2B50960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输水工程</w:t>
            </w:r>
          </w:p>
        </w:tc>
        <w:tc>
          <w:tcPr>
            <w:tcW w:w="2789" w:type="dxa"/>
            <w:tcBorders>
              <w:tl2br w:val="nil"/>
              <w:tr2bl w:val="nil"/>
            </w:tcBorders>
            <w:noWrap/>
            <w:vAlign w:val="center"/>
          </w:tcPr>
          <w:p w14:paraId="55D3700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56BF8E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B73903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水泥</w:t>
            </w:r>
          </w:p>
        </w:tc>
        <w:tc>
          <w:tcPr>
            <w:tcW w:w="1050" w:type="dxa"/>
            <w:tcBorders>
              <w:tl2br w:val="nil"/>
              <w:tr2bl w:val="nil"/>
            </w:tcBorders>
            <w:noWrap w:val="0"/>
            <w:vAlign w:val="center"/>
          </w:tcPr>
          <w:p w14:paraId="3E9A5D3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km</w:t>
            </w:r>
          </w:p>
        </w:tc>
        <w:tc>
          <w:tcPr>
            <w:tcW w:w="1391" w:type="dxa"/>
            <w:tcBorders>
              <w:tl2br w:val="nil"/>
              <w:tr2bl w:val="nil"/>
            </w:tcBorders>
            <w:noWrap/>
            <w:vAlign w:val="center"/>
          </w:tcPr>
          <w:p w14:paraId="66F2115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112</w:t>
            </w:r>
          </w:p>
        </w:tc>
        <w:tc>
          <w:tcPr>
            <w:tcW w:w="1167" w:type="dxa"/>
            <w:tcBorders>
              <w:tl2br w:val="nil"/>
              <w:tr2bl w:val="nil"/>
            </w:tcBorders>
            <w:noWrap w:val="0"/>
            <w:vAlign w:val="center"/>
          </w:tcPr>
          <w:p w14:paraId="7F00A75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107</w:t>
            </w:r>
          </w:p>
        </w:tc>
        <w:tc>
          <w:tcPr>
            <w:tcW w:w="2789" w:type="dxa"/>
            <w:tcBorders>
              <w:tl2br w:val="nil"/>
              <w:tr2bl w:val="nil"/>
            </w:tcBorders>
            <w:noWrap/>
            <w:vAlign w:val="center"/>
          </w:tcPr>
          <w:p w14:paraId="61D1FFC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平均运距</w:t>
            </w:r>
          </w:p>
        </w:tc>
      </w:tr>
      <w:tr w14:paraId="54180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F506F5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钢材</w:t>
            </w:r>
          </w:p>
        </w:tc>
        <w:tc>
          <w:tcPr>
            <w:tcW w:w="1050" w:type="dxa"/>
            <w:tcBorders>
              <w:tl2br w:val="nil"/>
              <w:tr2bl w:val="nil"/>
            </w:tcBorders>
            <w:noWrap w:val="0"/>
            <w:vAlign w:val="center"/>
          </w:tcPr>
          <w:p w14:paraId="72B2E78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km</w:t>
            </w:r>
          </w:p>
        </w:tc>
        <w:tc>
          <w:tcPr>
            <w:tcW w:w="1391" w:type="dxa"/>
            <w:tcBorders>
              <w:tl2br w:val="nil"/>
              <w:tr2bl w:val="nil"/>
            </w:tcBorders>
            <w:noWrap/>
            <w:vAlign w:val="center"/>
          </w:tcPr>
          <w:p w14:paraId="13BC86D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75</w:t>
            </w:r>
          </w:p>
        </w:tc>
        <w:tc>
          <w:tcPr>
            <w:tcW w:w="1167" w:type="dxa"/>
            <w:tcBorders>
              <w:tl2br w:val="nil"/>
              <w:tr2bl w:val="nil"/>
            </w:tcBorders>
            <w:noWrap w:val="0"/>
            <w:vAlign w:val="center"/>
          </w:tcPr>
          <w:p w14:paraId="01309ED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70</w:t>
            </w:r>
          </w:p>
        </w:tc>
        <w:tc>
          <w:tcPr>
            <w:tcW w:w="2789" w:type="dxa"/>
            <w:tcBorders>
              <w:tl2br w:val="nil"/>
              <w:tr2bl w:val="nil"/>
            </w:tcBorders>
            <w:noWrap/>
            <w:vAlign w:val="center"/>
          </w:tcPr>
          <w:p w14:paraId="7B93857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平均运距</w:t>
            </w:r>
          </w:p>
        </w:tc>
      </w:tr>
      <w:tr w14:paraId="74622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9D0DB4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油料</w:t>
            </w:r>
          </w:p>
        </w:tc>
        <w:tc>
          <w:tcPr>
            <w:tcW w:w="1050" w:type="dxa"/>
            <w:tcBorders>
              <w:tl2br w:val="nil"/>
              <w:tr2bl w:val="nil"/>
            </w:tcBorders>
            <w:noWrap w:val="0"/>
            <w:vAlign w:val="center"/>
          </w:tcPr>
          <w:p w14:paraId="68D16EC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km</w:t>
            </w:r>
          </w:p>
        </w:tc>
        <w:tc>
          <w:tcPr>
            <w:tcW w:w="1391" w:type="dxa"/>
            <w:tcBorders>
              <w:tl2br w:val="nil"/>
              <w:tr2bl w:val="nil"/>
            </w:tcBorders>
            <w:noWrap/>
            <w:vAlign w:val="center"/>
          </w:tcPr>
          <w:p w14:paraId="2AEC962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30</w:t>
            </w:r>
          </w:p>
        </w:tc>
        <w:tc>
          <w:tcPr>
            <w:tcW w:w="1167" w:type="dxa"/>
            <w:tcBorders>
              <w:tl2br w:val="nil"/>
              <w:tr2bl w:val="nil"/>
            </w:tcBorders>
            <w:noWrap w:val="0"/>
            <w:vAlign w:val="center"/>
          </w:tcPr>
          <w:p w14:paraId="33D65F7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25</w:t>
            </w:r>
          </w:p>
        </w:tc>
        <w:tc>
          <w:tcPr>
            <w:tcW w:w="2789" w:type="dxa"/>
            <w:tcBorders>
              <w:tl2br w:val="nil"/>
              <w:tr2bl w:val="nil"/>
            </w:tcBorders>
            <w:noWrap/>
            <w:vAlign w:val="center"/>
          </w:tcPr>
          <w:p w14:paraId="2D832CE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平均运距</w:t>
            </w:r>
          </w:p>
        </w:tc>
      </w:tr>
      <w:tr w14:paraId="204E7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3108DF3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火工材料</w:t>
            </w:r>
          </w:p>
        </w:tc>
        <w:tc>
          <w:tcPr>
            <w:tcW w:w="1050" w:type="dxa"/>
            <w:tcBorders>
              <w:tl2br w:val="nil"/>
              <w:tr2bl w:val="nil"/>
            </w:tcBorders>
            <w:noWrap w:val="0"/>
            <w:vAlign w:val="center"/>
          </w:tcPr>
          <w:p w14:paraId="0302A57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km</w:t>
            </w:r>
          </w:p>
        </w:tc>
        <w:tc>
          <w:tcPr>
            <w:tcW w:w="1391" w:type="dxa"/>
            <w:tcBorders>
              <w:tl2br w:val="nil"/>
              <w:tr2bl w:val="nil"/>
            </w:tcBorders>
            <w:noWrap/>
            <w:vAlign w:val="center"/>
          </w:tcPr>
          <w:p w14:paraId="26A73D3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75</w:t>
            </w:r>
          </w:p>
        </w:tc>
        <w:tc>
          <w:tcPr>
            <w:tcW w:w="1167" w:type="dxa"/>
            <w:tcBorders>
              <w:tl2br w:val="nil"/>
              <w:tr2bl w:val="nil"/>
            </w:tcBorders>
            <w:noWrap w:val="0"/>
            <w:vAlign w:val="center"/>
          </w:tcPr>
          <w:p w14:paraId="7DDA7FE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70</w:t>
            </w:r>
          </w:p>
        </w:tc>
        <w:tc>
          <w:tcPr>
            <w:tcW w:w="2789" w:type="dxa"/>
            <w:tcBorders>
              <w:tl2br w:val="nil"/>
              <w:tr2bl w:val="nil"/>
            </w:tcBorders>
            <w:noWrap/>
            <w:vAlign w:val="center"/>
          </w:tcPr>
          <w:p w14:paraId="4A0CAA8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平均运距</w:t>
            </w:r>
          </w:p>
        </w:tc>
      </w:tr>
      <w:tr w14:paraId="2E739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7989334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特细砂</w:t>
            </w:r>
          </w:p>
        </w:tc>
        <w:tc>
          <w:tcPr>
            <w:tcW w:w="1050" w:type="dxa"/>
            <w:tcBorders>
              <w:tl2br w:val="nil"/>
              <w:tr2bl w:val="nil"/>
            </w:tcBorders>
            <w:noWrap w:val="0"/>
            <w:vAlign w:val="center"/>
          </w:tcPr>
          <w:p w14:paraId="2756FD6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km</w:t>
            </w:r>
          </w:p>
        </w:tc>
        <w:tc>
          <w:tcPr>
            <w:tcW w:w="1391" w:type="dxa"/>
            <w:tcBorders>
              <w:tl2br w:val="nil"/>
              <w:tr2bl w:val="nil"/>
            </w:tcBorders>
            <w:noWrap/>
            <w:vAlign w:val="center"/>
          </w:tcPr>
          <w:p w14:paraId="75CDEC9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77</w:t>
            </w:r>
          </w:p>
        </w:tc>
        <w:tc>
          <w:tcPr>
            <w:tcW w:w="1167" w:type="dxa"/>
            <w:tcBorders>
              <w:tl2br w:val="nil"/>
              <w:tr2bl w:val="nil"/>
            </w:tcBorders>
            <w:noWrap w:val="0"/>
            <w:vAlign w:val="center"/>
          </w:tcPr>
          <w:p w14:paraId="6633E6E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72</w:t>
            </w:r>
          </w:p>
        </w:tc>
        <w:tc>
          <w:tcPr>
            <w:tcW w:w="2789" w:type="dxa"/>
            <w:tcBorders>
              <w:tl2br w:val="nil"/>
              <w:tr2bl w:val="nil"/>
            </w:tcBorders>
            <w:noWrap/>
            <w:vAlign w:val="center"/>
          </w:tcPr>
          <w:p w14:paraId="1B135C8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平均运距</w:t>
            </w:r>
          </w:p>
        </w:tc>
      </w:tr>
      <w:tr w14:paraId="27A97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753EC78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碎石</w:t>
            </w:r>
          </w:p>
        </w:tc>
        <w:tc>
          <w:tcPr>
            <w:tcW w:w="1050" w:type="dxa"/>
            <w:tcBorders>
              <w:tl2br w:val="nil"/>
              <w:tr2bl w:val="nil"/>
            </w:tcBorders>
            <w:noWrap w:val="0"/>
            <w:vAlign w:val="center"/>
          </w:tcPr>
          <w:p w14:paraId="6A50EAC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km</w:t>
            </w:r>
          </w:p>
        </w:tc>
        <w:tc>
          <w:tcPr>
            <w:tcW w:w="1391" w:type="dxa"/>
            <w:tcBorders>
              <w:tl2br w:val="nil"/>
              <w:tr2bl w:val="nil"/>
            </w:tcBorders>
            <w:noWrap/>
            <w:vAlign w:val="center"/>
          </w:tcPr>
          <w:p w14:paraId="17E5147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25</w:t>
            </w:r>
          </w:p>
        </w:tc>
        <w:tc>
          <w:tcPr>
            <w:tcW w:w="1167" w:type="dxa"/>
            <w:tcBorders>
              <w:tl2br w:val="nil"/>
              <w:tr2bl w:val="nil"/>
            </w:tcBorders>
            <w:noWrap w:val="0"/>
            <w:vAlign w:val="center"/>
          </w:tcPr>
          <w:p w14:paraId="7A58CFE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20</w:t>
            </w:r>
          </w:p>
        </w:tc>
        <w:tc>
          <w:tcPr>
            <w:tcW w:w="2789" w:type="dxa"/>
            <w:tcBorders>
              <w:tl2br w:val="nil"/>
              <w:tr2bl w:val="nil"/>
            </w:tcBorders>
            <w:noWrap/>
            <w:vAlign w:val="center"/>
          </w:tcPr>
          <w:p w14:paraId="18C4CF3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平均运距</w:t>
            </w:r>
          </w:p>
        </w:tc>
      </w:tr>
      <w:tr w14:paraId="4A1AD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A13B31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块石</w:t>
            </w:r>
          </w:p>
        </w:tc>
        <w:tc>
          <w:tcPr>
            <w:tcW w:w="1050" w:type="dxa"/>
            <w:tcBorders>
              <w:tl2br w:val="nil"/>
              <w:tr2bl w:val="nil"/>
            </w:tcBorders>
            <w:noWrap w:val="0"/>
            <w:vAlign w:val="center"/>
          </w:tcPr>
          <w:p w14:paraId="287A1D9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km</w:t>
            </w:r>
          </w:p>
        </w:tc>
        <w:tc>
          <w:tcPr>
            <w:tcW w:w="1391" w:type="dxa"/>
            <w:tcBorders>
              <w:tl2br w:val="nil"/>
              <w:tr2bl w:val="nil"/>
            </w:tcBorders>
            <w:noWrap/>
            <w:vAlign w:val="center"/>
          </w:tcPr>
          <w:p w14:paraId="4B81ADE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25</w:t>
            </w:r>
          </w:p>
        </w:tc>
        <w:tc>
          <w:tcPr>
            <w:tcW w:w="1167" w:type="dxa"/>
            <w:tcBorders>
              <w:tl2br w:val="nil"/>
              <w:tr2bl w:val="nil"/>
            </w:tcBorders>
            <w:noWrap w:val="0"/>
            <w:vAlign w:val="center"/>
          </w:tcPr>
          <w:p w14:paraId="121F698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20</w:t>
            </w:r>
          </w:p>
        </w:tc>
        <w:tc>
          <w:tcPr>
            <w:tcW w:w="2789" w:type="dxa"/>
            <w:tcBorders>
              <w:tl2br w:val="nil"/>
              <w:tr2bl w:val="nil"/>
            </w:tcBorders>
            <w:noWrap/>
            <w:vAlign w:val="center"/>
          </w:tcPr>
          <w:p w14:paraId="2116E0ED">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平均运距</w:t>
            </w:r>
          </w:p>
        </w:tc>
      </w:tr>
      <w:tr w14:paraId="67D2E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068781D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4、施工导流</w:t>
            </w:r>
          </w:p>
        </w:tc>
        <w:tc>
          <w:tcPr>
            <w:tcW w:w="1050" w:type="dxa"/>
            <w:tcBorders>
              <w:tl2br w:val="nil"/>
              <w:tr2bl w:val="nil"/>
            </w:tcBorders>
            <w:noWrap w:val="0"/>
            <w:vAlign w:val="center"/>
          </w:tcPr>
          <w:p w14:paraId="2100279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31CDCC4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25B741B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7F75C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941" w:type="dxa"/>
            <w:tcBorders>
              <w:tl2br w:val="nil"/>
              <w:tr2bl w:val="nil"/>
            </w:tcBorders>
            <w:noWrap w:val="0"/>
            <w:vAlign w:val="center"/>
          </w:tcPr>
          <w:p w14:paraId="0B52E62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导流方式</w:t>
            </w:r>
          </w:p>
        </w:tc>
        <w:tc>
          <w:tcPr>
            <w:tcW w:w="1050" w:type="dxa"/>
            <w:tcBorders>
              <w:tl2br w:val="nil"/>
              <w:tr2bl w:val="nil"/>
            </w:tcBorders>
            <w:noWrap w:val="0"/>
            <w:vAlign w:val="center"/>
          </w:tcPr>
          <w:p w14:paraId="5031CA5E">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0"/>
            <w:vAlign w:val="center"/>
          </w:tcPr>
          <w:p w14:paraId="1B3C31B6">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枯期围堰挡水、导流涵管泄流</w:t>
            </w:r>
          </w:p>
        </w:tc>
        <w:tc>
          <w:tcPr>
            <w:tcW w:w="2789" w:type="dxa"/>
            <w:tcBorders>
              <w:tl2br w:val="nil"/>
              <w:tr2bl w:val="nil"/>
            </w:tcBorders>
            <w:noWrap/>
            <w:vAlign w:val="center"/>
          </w:tcPr>
          <w:p w14:paraId="0E8C798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62B29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1968C5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5、施工工期</w:t>
            </w:r>
          </w:p>
        </w:tc>
        <w:tc>
          <w:tcPr>
            <w:tcW w:w="1050" w:type="dxa"/>
            <w:tcBorders>
              <w:tl2br w:val="nil"/>
              <w:tr2bl w:val="nil"/>
            </w:tcBorders>
            <w:noWrap w:val="0"/>
            <w:vAlign w:val="center"/>
          </w:tcPr>
          <w:p w14:paraId="0006400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27AB71C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793D64E8">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4B292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C83621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总工期</w:t>
            </w:r>
          </w:p>
        </w:tc>
        <w:tc>
          <w:tcPr>
            <w:tcW w:w="1050" w:type="dxa"/>
            <w:tcBorders>
              <w:tl2br w:val="nil"/>
              <w:tr2bl w:val="nil"/>
            </w:tcBorders>
            <w:noWrap w:val="0"/>
            <w:vAlign w:val="center"/>
          </w:tcPr>
          <w:p w14:paraId="54F6BD51">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月</w:t>
            </w:r>
          </w:p>
        </w:tc>
        <w:tc>
          <w:tcPr>
            <w:tcW w:w="2558" w:type="dxa"/>
            <w:gridSpan w:val="2"/>
            <w:tcBorders>
              <w:tl2br w:val="nil"/>
              <w:tr2bl w:val="nil"/>
            </w:tcBorders>
            <w:noWrap/>
            <w:vAlign w:val="center"/>
          </w:tcPr>
          <w:p w14:paraId="0F747E5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24</w:t>
            </w:r>
          </w:p>
        </w:tc>
        <w:tc>
          <w:tcPr>
            <w:tcW w:w="2789" w:type="dxa"/>
            <w:tcBorders>
              <w:tl2br w:val="nil"/>
              <w:tr2bl w:val="nil"/>
            </w:tcBorders>
            <w:noWrap/>
            <w:vAlign w:val="center"/>
          </w:tcPr>
          <w:p w14:paraId="51B7A66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1B58F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29CE6FE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主体工程施工期</w:t>
            </w:r>
          </w:p>
        </w:tc>
        <w:tc>
          <w:tcPr>
            <w:tcW w:w="1050" w:type="dxa"/>
            <w:tcBorders>
              <w:tl2br w:val="nil"/>
              <w:tr2bl w:val="nil"/>
            </w:tcBorders>
            <w:noWrap w:val="0"/>
            <w:vAlign w:val="center"/>
          </w:tcPr>
          <w:p w14:paraId="4671806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月</w:t>
            </w:r>
          </w:p>
        </w:tc>
        <w:tc>
          <w:tcPr>
            <w:tcW w:w="2558" w:type="dxa"/>
            <w:gridSpan w:val="2"/>
            <w:tcBorders>
              <w:tl2br w:val="nil"/>
              <w:tr2bl w:val="nil"/>
            </w:tcBorders>
            <w:noWrap/>
            <w:vAlign w:val="center"/>
          </w:tcPr>
          <w:p w14:paraId="5AB1B92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18</w:t>
            </w:r>
          </w:p>
        </w:tc>
        <w:tc>
          <w:tcPr>
            <w:tcW w:w="2789" w:type="dxa"/>
            <w:tcBorders>
              <w:tl2br w:val="nil"/>
              <w:tr2bl w:val="nil"/>
            </w:tcBorders>
            <w:noWrap/>
            <w:vAlign w:val="center"/>
          </w:tcPr>
          <w:p w14:paraId="4AE3057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2253A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941" w:type="dxa"/>
            <w:tcBorders>
              <w:tl2br w:val="nil"/>
              <w:tr2bl w:val="nil"/>
            </w:tcBorders>
            <w:noWrap w:val="0"/>
            <w:vAlign w:val="center"/>
          </w:tcPr>
          <w:p w14:paraId="4A6B1CA7">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八、工程投资</w:t>
            </w:r>
          </w:p>
        </w:tc>
        <w:tc>
          <w:tcPr>
            <w:tcW w:w="1050" w:type="dxa"/>
            <w:tcBorders>
              <w:tl2br w:val="nil"/>
              <w:tr2bl w:val="nil"/>
            </w:tcBorders>
            <w:noWrap w:val="0"/>
            <w:vAlign w:val="center"/>
          </w:tcPr>
          <w:p w14:paraId="072BFB52">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558" w:type="dxa"/>
            <w:gridSpan w:val="2"/>
            <w:tcBorders>
              <w:tl2br w:val="nil"/>
              <w:tr2bl w:val="nil"/>
            </w:tcBorders>
            <w:noWrap/>
            <w:vAlign w:val="center"/>
          </w:tcPr>
          <w:p w14:paraId="3BAA8793">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c>
          <w:tcPr>
            <w:tcW w:w="2789" w:type="dxa"/>
            <w:tcBorders>
              <w:tl2br w:val="nil"/>
              <w:tr2bl w:val="nil"/>
            </w:tcBorders>
            <w:noWrap/>
            <w:vAlign w:val="center"/>
          </w:tcPr>
          <w:p w14:paraId="4D550700">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r w14:paraId="2A0EF0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941" w:type="dxa"/>
            <w:tcBorders>
              <w:tl2br w:val="nil"/>
              <w:tr2bl w:val="nil"/>
            </w:tcBorders>
            <w:noWrap w:val="0"/>
            <w:vAlign w:val="center"/>
          </w:tcPr>
          <w:p w14:paraId="00B47D9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总投资</w:t>
            </w:r>
          </w:p>
        </w:tc>
        <w:tc>
          <w:tcPr>
            <w:tcW w:w="1050" w:type="dxa"/>
            <w:tcBorders>
              <w:tl2br w:val="nil"/>
              <w:tr2bl w:val="nil"/>
            </w:tcBorders>
            <w:noWrap w:val="0"/>
            <w:vAlign w:val="center"/>
          </w:tcPr>
          <w:p w14:paraId="2CA5C17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万元</w:t>
            </w:r>
          </w:p>
        </w:tc>
        <w:tc>
          <w:tcPr>
            <w:tcW w:w="2558" w:type="dxa"/>
            <w:gridSpan w:val="2"/>
            <w:tcBorders>
              <w:tl2br w:val="nil"/>
              <w:tr2bl w:val="nil"/>
            </w:tcBorders>
            <w:noWrap/>
            <w:vAlign w:val="center"/>
          </w:tcPr>
          <w:p w14:paraId="4F6EFD7C">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r>
              <w:rPr>
                <w:rFonts w:hint="default" w:ascii="Arial" w:hAnsi="Arial" w:cs="Arial"/>
                <w:sz w:val="22"/>
                <w:szCs w:val="22"/>
              </w:rPr>
              <w:t>14499.60</w:t>
            </w:r>
          </w:p>
        </w:tc>
        <w:tc>
          <w:tcPr>
            <w:tcW w:w="2789" w:type="dxa"/>
            <w:tcBorders>
              <w:tl2br w:val="nil"/>
              <w:tr2bl w:val="nil"/>
            </w:tcBorders>
            <w:noWrap/>
            <w:vAlign w:val="center"/>
          </w:tcPr>
          <w:p w14:paraId="5828F6B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Arial" w:hAnsi="Arial" w:cs="Arial"/>
                <w:sz w:val="22"/>
                <w:szCs w:val="22"/>
              </w:rPr>
            </w:pPr>
          </w:p>
        </w:tc>
      </w:tr>
    </w:tbl>
    <w:p w14:paraId="75C654D2">
      <w:pPr>
        <w:autoSpaceDE w:val="0"/>
        <w:autoSpaceDN w:val="0"/>
        <w:spacing w:line="440" w:lineRule="exact"/>
        <w:ind w:firstLine="482"/>
        <w:jc w:val="both"/>
        <w:rPr>
          <w:rFonts w:hint="default" w:ascii="Arial" w:cs="Arial"/>
          <w:bCs/>
          <w:color w:val="auto"/>
          <w:sz w:val="26"/>
          <w:lang w:val="en-US" w:eastAsia="zh-CN"/>
        </w:rPr>
      </w:pPr>
    </w:p>
    <w:p w14:paraId="581ADA16">
      <w:pPr>
        <w:autoSpaceDE w:val="0"/>
        <w:autoSpaceDN w:val="0"/>
        <w:spacing w:line="440" w:lineRule="exact"/>
        <w:ind w:firstLine="482"/>
        <w:jc w:val="both"/>
        <w:rPr>
          <w:rFonts w:hint="eastAsia" w:ascii="Arial" w:cs="Arial"/>
          <w:bCs/>
          <w:color w:val="auto"/>
          <w:sz w:val="26"/>
          <w:lang w:val="en-US" w:eastAsia="zh-CN"/>
        </w:rPr>
      </w:pPr>
    </w:p>
    <w:p w14:paraId="027B3207">
      <w:pPr>
        <w:autoSpaceDE w:val="0"/>
        <w:autoSpaceDN w:val="0"/>
        <w:spacing w:line="440" w:lineRule="exact"/>
        <w:ind w:firstLine="482"/>
        <w:jc w:val="both"/>
        <w:rPr>
          <w:rFonts w:hint="default" w:ascii="Arial" w:cs="Arial"/>
          <w:bCs/>
          <w:color w:val="auto"/>
          <w:sz w:val="26"/>
          <w:lang w:val="en-US" w:eastAsia="zh-CN"/>
        </w:rPr>
      </w:pPr>
    </w:p>
    <w:p w14:paraId="0B5712FB">
      <w:pPr>
        <w:autoSpaceDE w:val="0"/>
        <w:autoSpaceDN w:val="0"/>
        <w:spacing w:line="440" w:lineRule="exact"/>
        <w:ind w:firstLine="482"/>
        <w:jc w:val="both"/>
        <w:rPr>
          <w:rFonts w:hint="eastAsia" w:ascii="Arial" w:cs="Arial"/>
          <w:bCs/>
          <w:color w:val="auto"/>
          <w:sz w:val="26"/>
          <w:lang w:val="en-US" w:eastAsia="zh-CN"/>
        </w:rPr>
      </w:pPr>
    </w:p>
    <w:p w14:paraId="0E03FDE5">
      <w:pPr>
        <w:autoSpaceDE w:val="0"/>
        <w:autoSpaceDN w:val="0"/>
        <w:spacing w:line="440" w:lineRule="exact"/>
        <w:ind w:firstLine="482"/>
        <w:jc w:val="both"/>
        <w:rPr>
          <w:rFonts w:hint="eastAsia" w:ascii="Arial" w:cs="Arial"/>
          <w:bCs/>
          <w:color w:val="auto"/>
          <w:sz w:val="26"/>
          <w:lang w:val="en-US" w:eastAsia="zh-CN"/>
        </w:rPr>
      </w:pPr>
    </w:p>
    <w:bookmarkEnd w:id="80"/>
    <w:p w14:paraId="0D42C1F3">
      <w:pPr>
        <w:snapToGrid w:val="0"/>
        <w:spacing w:line="348" w:lineRule="auto"/>
        <w:ind w:firstLine="602" w:firstLineChars="250"/>
        <w:jc w:val="center"/>
        <w:rPr>
          <w:b/>
          <w:kern w:val="0"/>
          <w:sz w:val="24"/>
          <w:szCs w:val="24"/>
        </w:rPr>
      </w:pPr>
    </w:p>
    <w:p w14:paraId="6468F169">
      <w:pPr>
        <w:sectPr>
          <w:pgSz w:w="12240" w:h="15840"/>
          <w:pgMar w:top="1440" w:right="1701" w:bottom="1440" w:left="1701" w:header="794" w:footer="794" w:gutter="0"/>
          <w:pgBorders>
            <w:top w:val="none" w:sz="0" w:space="0"/>
            <w:left w:val="none" w:sz="0" w:space="0"/>
            <w:bottom w:val="none" w:sz="0" w:space="0"/>
            <w:right w:val="none" w:sz="0" w:space="0"/>
          </w:pgBorders>
          <w:pgNumType w:fmt="decimal"/>
          <w:cols w:space="0" w:num="1"/>
          <w:rtlGutter w:val="0"/>
          <w:docGrid w:linePitch="0" w:charSpace="0"/>
        </w:sectPr>
      </w:pPr>
      <w:bookmarkStart w:id="81" w:name="_Toc401309565"/>
      <w:bookmarkStart w:id="82" w:name="_Toc327715387"/>
    </w:p>
    <w:bookmarkEnd w:id="81"/>
    <w:bookmarkEnd w:id="82"/>
    <w:p w14:paraId="0A2C41B3">
      <w:pPr>
        <w:keepNext w:val="0"/>
        <w:keepLines w:val="0"/>
        <w:pageBreakBefore w:val="0"/>
        <w:widowControl w:val="0"/>
        <w:kinsoku/>
        <w:wordWrap/>
        <w:overflowPunct/>
        <w:topLinePunct w:val="0"/>
        <w:autoSpaceDE/>
        <w:autoSpaceDN/>
        <w:bidi w:val="0"/>
        <w:adjustRightInd/>
        <w:snapToGrid/>
        <w:spacing w:before="0" w:beforeLines="100" w:after="0" w:afterLines="100" w:line="460" w:lineRule="exact"/>
        <w:jc w:val="center"/>
        <w:textAlignment w:val="auto"/>
        <w:outlineLvl w:val="0"/>
        <w:rPr>
          <w:rFonts w:hint="default" w:ascii="Arial" w:hAnsi="Arial" w:cs="Arial"/>
          <w:b/>
          <w:sz w:val="26"/>
          <w:szCs w:val="26"/>
          <w:highlight w:val="none"/>
        </w:rPr>
      </w:pPr>
      <w:bookmarkStart w:id="83" w:name="_Toc13059"/>
      <w:r>
        <w:rPr>
          <w:rFonts w:hint="default" w:ascii="Arial" w:hAnsi="Arial" w:cs="Arial"/>
          <w:b/>
          <w:sz w:val="26"/>
          <w:szCs w:val="26"/>
          <w:highlight w:val="none"/>
        </w:rPr>
        <w:t>3 工程分析</w:t>
      </w:r>
      <w:bookmarkEnd w:id="83"/>
    </w:p>
    <w:p w14:paraId="18DEA24F">
      <w:pPr>
        <w:pStyle w:val="1291"/>
        <w:keepNext w:val="0"/>
        <w:keepLines w:val="0"/>
        <w:pageBreakBefore w:val="0"/>
        <w:widowControl/>
        <w:kinsoku/>
        <w:wordWrap/>
        <w:overflowPunct/>
        <w:topLinePunct w:val="0"/>
        <w:autoSpaceDE/>
        <w:autoSpaceDN/>
        <w:bidi w:val="0"/>
        <w:adjustRightInd w:val="0"/>
        <w:snapToGrid w:val="0"/>
        <w:spacing w:line="440" w:lineRule="exact"/>
        <w:ind w:firstLine="522" w:firstLineChars="200"/>
        <w:jc w:val="both"/>
        <w:textAlignment w:val="auto"/>
        <w:rPr>
          <w:rFonts w:hint="eastAsia" w:ascii="Arial" w:hAnsi="Arial" w:eastAsia="宋体" w:cs="Arial"/>
          <w:sz w:val="26"/>
          <w:szCs w:val="26"/>
          <w:lang w:val="en-US" w:eastAsia="zh-CN"/>
        </w:rPr>
      </w:pPr>
      <w:bookmarkStart w:id="84" w:name="_Toc2262"/>
      <w:bookmarkStart w:id="85" w:name="_Toc306729619"/>
      <w:bookmarkStart w:id="86" w:name="_Toc401309573"/>
      <w:bookmarkStart w:id="87" w:name="_Toc327715405"/>
      <w:r>
        <w:rPr>
          <w:rFonts w:hint="eastAsia" w:ascii="Arial" w:hAnsi="Arial" w:eastAsia="宋体" w:cs="Arial"/>
          <w:sz w:val="26"/>
          <w:szCs w:val="26"/>
          <w:lang w:val="en-US" w:eastAsia="zh-CN"/>
        </w:rPr>
        <w:t>3.1</w:t>
      </w:r>
      <w:bookmarkEnd w:id="84"/>
      <w:r>
        <w:rPr>
          <w:rFonts w:hint="eastAsia" w:ascii="Arial" w:hAnsi="Arial" w:cs="Arial"/>
          <w:sz w:val="26"/>
          <w:szCs w:val="26"/>
          <w:lang w:val="en-US" w:eastAsia="zh-CN"/>
        </w:rPr>
        <w:t>施工期环境影响因素分析</w:t>
      </w:r>
    </w:p>
    <w:p w14:paraId="5B4B4012">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Arial" w:eastAsia="宋体" w:cs="Arial"/>
          <w:b/>
          <w:bCs w:val="0"/>
          <w:sz w:val="26"/>
          <w:szCs w:val="26"/>
          <w:lang w:val="en-US" w:eastAsia="zh-CN"/>
        </w:rPr>
      </w:pPr>
      <w:r>
        <w:rPr>
          <w:rFonts w:hint="eastAsia" w:ascii="Arial" w:hAnsi="Arial" w:cs="Arial"/>
          <w:b/>
          <w:bCs w:val="0"/>
          <w:sz w:val="26"/>
          <w:szCs w:val="26"/>
          <w:lang w:val="en-US" w:eastAsia="zh-CN"/>
        </w:rPr>
        <w:t>3.1.1施工工艺</w:t>
      </w:r>
    </w:p>
    <w:p w14:paraId="404860BF">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bCs/>
          <w:sz w:val="26"/>
          <w:szCs w:val="26"/>
          <w:lang w:val="en-US" w:eastAsia="zh-CN"/>
        </w:rPr>
      </w:pPr>
      <w:r>
        <w:rPr>
          <w:rFonts w:hint="eastAsia" w:ascii="Arial" w:hAnsi="Arial" w:cs="Arial"/>
          <w:b w:val="0"/>
          <w:bCs/>
          <w:sz w:val="26"/>
          <w:szCs w:val="26"/>
          <w:lang w:val="en-US" w:eastAsia="zh-CN"/>
        </w:rPr>
        <w:t>本项目主要建设内</w:t>
      </w:r>
      <w:r>
        <w:rPr>
          <w:rFonts w:hint="eastAsia" w:ascii="Arial" w:hAnsi="Arial" w:eastAsia="宋体" w:cs="Arial"/>
          <w:b w:val="0"/>
          <w:bCs/>
          <w:sz w:val="26"/>
          <w:szCs w:val="26"/>
          <w:lang w:val="en-US" w:eastAsia="zh-CN"/>
        </w:rPr>
        <w:t>容包括枢纽工程、输水工程和附属设施工程三部分，主要施工工艺流程如下：</w:t>
      </w:r>
    </w:p>
    <w:p w14:paraId="3DF3E336">
      <w:pPr>
        <w:spacing w:line="440" w:lineRule="exact"/>
        <w:ind w:firstLine="392" w:firstLineChars="150"/>
        <w:jc w:val="left"/>
        <w:outlineLvl w:val="3"/>
        <w:rPr>
          <w:rFonts w:hint="default" w:ascii="Arial" w:hAnsi="宋体" w:eastAsia="宋体" w:cs="Arial"/>
          <w:b/>
          <w:sz w:val="26"/>
          <w:szCs w:val="26"/>
          <w:lang w:val="en-US" w:eastAsia="zh-CN"/>
        </w:rPr>
      </w:pPr>
      <w:r>
        <w:rPr>
          <w:rFonts w:hint="eastAsia" w:ascii="Arial" w:hAnsi="宋体" w:eastAsia="宋体" w:cs="Arial"/>
          <w:b/>
          <w:sz w:val="26"/>
          <w:szCs w:val="26"/>
          <w:lang w:val="en-US" w:eastAsia="zh-CN"/>
        </w:rPr>
        <w:t>（1）枢纽工程</w:t>
      </w:r>
    </w:p>
    <w:p w14:paraId="36BF7B1D">
      <w:pPr>
        <w:spacing w:line="440" w:lineRule="exact"/>
        <w:ind w:firstLine="520" w:firstLineChars="200"/>
        <w:rPr>
          <w:rFonts w:hint="eastAsia" w:ascii="Arial" w:hAnsi="宋体" w:cs="Arial"/>
          <w:bCs/>
          <w:sz w:val="26"/>
          <w:szCs w:val="26"/>
        </w:rPr>
      </w:pPr>
      <w:r>
        <w:rPr>
          <w:rFonts w:hint="eastAsia" w:ascii="Arial" w:hAnsi="宋体" w:cs="Arial"/>
          <w:bCs/>
          <w:sz w:val="26"/>
          <w:szCs w:val="26"/>
        </w:rPr>
        <w:t>水库枢纽工程施工工艺流程及产污环节详见图3.</w:t>
      </w:r>
      <w:r>
        <w:rPr>
          <w:rFonts w:hint="eastAsia" w:ascii="Arial" w:hAnsi="宋体" w:cs="Arial"/>
          <w:bCs/>
          <w:sz w:val="26"/>
          <w:szCs w:val="26"/>
          <w:lang w:val="en-US" w:eastAsia="zh-CN"/>
        </w:rPr>
        <w:t>1</w:t>
      </w:r>
      <w:r>
        <w:rPr>
          <w:rFonts w:hint="eastAsia" w:ascii="Arial" w:hAnsi="宋体" w:cs="Arial"/>
          <w:bCs/>
          <w:sz w:val="26"/>
          <w:szCs w:val="26"/>
        </w:rPr>
        <w:t>-1所示。</w:t>
      </w:r>
    </w:p>
    <w:p w14:paraId="3F6C49DE">
      <w:pPr>
        <w:spacing w:line="440" w:lineRule="exact"/>
        <w:ind w:firstLine="420" w:firstLineChars="200"/>
        <w:rPr>
          <w:rFonts w:hint="eastAsia" w:ascii="Arial" w:hAnsi="宋体" w:cs="Arial"/>
          <w:bCs/>
          <w:sz w:val="26"/>
          <w:szCs w:val="26"/>
        </w:rPr>
      </w:pPr>
      <w:r>
        <w:drawing>
          <wp:anchor distT="0" distB="0" distL="114300" distR="114300" simplePos="0" relativeHeight="251680768" behindDoc="0" locked="0" layoutInCell="1" allowOverlap="1">
            <wp:simplePos x="0" y="0"/>
            <wp:positionH relativeFrom="column">
              <wp:posOffset>-286385</wp:posOffset>
            </wp:positionH>
            <wp:positionV relativeFrom="paragraph">
              <wp:posOffset>149225</wp:posOffset>
            </wp:positionV>
            <wp:extent cx="5953125" cy="3228340"/>
            <wp:effectExtent l="0" t="0" r="9525" b="1016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7" r:link="rId28"/>
                    <a:stretch>
                      <a:fillRect/>
                    </a:stretch>
                  </pic:blipFill>
                  <pic:spPr>
                    <a:xfrm>
                      <a:off x="0" y="0"/>
                      <a:ext cx="5953125" cy="3228340"/>
                    </a:xfrm>
                    <a:prstGeom prst="rect">
                      <a:avLst/>
                    </a:prstGeom>
                    <a:noFill/>
                    <a:ln>
                      <a:noFill/>
                    </a:ln>
                  </pic:spPr>
                </pic:pic>
              </a:graphicData>
            </a:graphic>
          </wp:anchor>
        </w:drawing>
      </w:r>
    </w:p>
    <w:p w14:paraId="281852F8">
      <w:pPr>
        <w:spacing w:line="440" w:lineRule="exact"/>
        <w:ind w:firstLine="520" w:firstLineChars="200"/>
        <w:rPr>
          <w:rFonts w:hint="eastAsia" w:ascii="Arial" w:hAnsi="宋体" w:cs="Arial"/>
          <w:bCs/>
          <w:sz w:val="26"/>
          <w:szCs w:val="26"/>
        </w:rPr>
      </w:pPr>
    </w:p>
    <w:p w14:paraId="26B8B15D">
      <w:pPr>
        <w:spacing w:line="440" w:lineRule="exact"/>
        <w:ind w:firstLine="520" w:firstLineChars="200"/>
        <w:rPr>
          <w:rFonts w:hint="eastAsia" w:ascii="Arial" w:hAnsi="宋体" w:cs="Arial"/>
          <w:bCs/>
          <w:sz w:val="26"/>
          <w:szCs w:val="26"/>
        </w:rPr>
      </w:pPr>
    </w:p>
    <w:p w14:paraId="1979B50A">
      <w:pPr>
        <w:spacing w:line="440" w:lineRule="exact"/>
        <w:ind w:firstLine="520" w:firstLineChars="200"/>
        <w:rPr>
          <w:rFonts w:hint="eastAsia" w:ascii="Arial" w:hAnsi="宋体" w:cs="Arial"/>
          <w:bCs/>
          <w:sz w:val="26"/>
          <w:szCs w:val="26"/>
        </w:rPr>
      </w:pPr>
    </w:p>
    <w:p w14:paraId="2C8C1247">
      <w:pPr>
        <w:spacing w:line="440" w:lineRule="exact"/>
        <w:ind w:firstLine="520" w:firstLineChars="200"/>
        <w:rPr>
          <w:rFonts w:hint="eastAsia" w:ascii="Arial" w:hAnsi="宋体" w:cs="Arial"/>
          <w:bCs/>
          <w:sz w:val="26"/>
          <w:szCs w:val="26"/>
        </w:rPr>
      </w:pPr>
    </w:p>
    <w:p w14:paraId="2AE6C31D">
      <w:pPr>
        <w:spacing w:line="440" w:lineRule="exact"/>
        <w:ind w:firstLine="520" w:firstLineChars="200"/>
        <w:rPr>
          <w:rFonts w:hint="eastAsia" w:ascii="Arial" w:hAnsi="宋体" w:cs="Arial"/>
          <w:bCs/>
          <w:sz w:val="26"/>
          <w:szCs w:val="26"/>
        </w:rPr>
      </w:pPr>
    </w:p>
    <w:p w14:paraId="73D3DB49">
      <w:pPr>
        <w:spacing w:line="440" w:lineRule="exact"/>
        <w:ind w:firstLine="520" w:firstLineChars="200"/>
        <w:rPr>
          <w:rFonts w:hint="eastAsia" w:ascii="Arial" w:hAnsi="宋体" w:cs="Arial"/>
          <w:bCs/>
          <w:sz w:val="26"/>
          <w:szCs w:val="26"/>
        </w:rPr>
      </w:pPr>
    </w:p>
    <w:p w14:paraId="25DB51E0">
      <w:pPr>
        <w:spacing w:line="440" w:lineRule="exact"/>
        <w:ind w:firstLine="520" w:firstLineChars="200"/>
        <w:rPr>
          <w:rFonts w:hint="eastAsia" w:ascii="Arial" w:hAnsi="宋体" w:cs="Arial"/>
          <w:bCs/>
          <w:sz w:val="26"/>
          <w:szCs w:val="26"/>
        </w:rPr>
      </w:pPr>
    </w:p>
    <w:p w14:paraId="5E207380">
      <w:pPr>
        <w:spacing w:line="440" w:lineRule="exact"/>
        <w:ind w:firstLine="520" w:firstLineChars="200"/>
        <w:rPr>
          <w:rFonts w:hint="eastAsia" w:ascii="Arial" w:hAnsi="宋体" w:cs="Arial"/>
          <w:bCs/>
          <w:sz w:val="26"/>
          <w:szCs w:val="26"/>
        </w:rPr>
      </w:pPr>
    </w:p>
    <w:p w14:paraId="054067A9">
      <w:pPr>
        <w:spacing w:line="440" w:lineRule="exact"/>
        <w:ind w:firstLine="520" w:firstLineChars="200"/>
        <w:rPr>
          <w:rFonts w:hint="eastAsia" w:ascii="Arial" w:hAnsi="宋体" w:cs="Arial"/>
          <w:bCs/>
          <w:sz w:val="26"/>
          <w:szCs w:val="26"/>
        </w:rPr>
      </w:pPr>
    </w:p>
    <w:p w14:paraId="6D0DC64A">
      <w:pPr>
        <w:spacing w:line="440" w:lineRule="exact"/>
        <w:ind w:firstLine="520" w:firstLineChars="200"/>
        <w:rPr>
          <w:rFonts w:hint="eastAsia" w:ascii="Arial" w:hAnsi="宋体" w:cs="Arial"/>
          <w:bCs/>
          <w:sz w:val="26"/>
          <w:szCs w:val="26"/>
        </w:rPr>
      </w:pPr>
    </w:p>
    <w:p w14:paraId="54B2197E">
      <w:pPr>
        <w:spacing w:line="440" w:lineRule="exact"/>
        <w:ind w:firstLine="520" w:firstLineChars="200"/>
        <w:rPr>
          <w:rFonts w:hint="eastAsia" w:ascii="Arial" w:hAnsi="宋体" w:cs="Arial"/>
          <w:bCs/>
          <w:sz w:val="26"/>
          <w:szCs w:val="26"/>
        </w:rPr>
      </w:pPr>
    </w:p>
    <w:p w14:paraId="2FB6BD28">
      <w:pPr>
        <w:spacing w:line="440" w:lineRule="exact"/>
        <w:jc w:val="center"/>
        <w:rPr>
          <w:rFonts w:hint="eastAsia" w:ascii="Arial" w:hAnsi="宋体" w:cs="Arial"/>
          <w:b/>
          <w:bCs/>
          <w:sz w:val="26"/>
          <w:szCs w:val="26"/>
        </w:rPr>
      </w:pPr>
      <w:r>
        <w:rPr>
          <w:rFonts w:hint="eastAsia" w:ascii="Arial" w:hAnsi="宋体" w:cs="Arial"/>
          <w:b/>
          <w:bCs/>
          <w:sz w:val="26"/>
          <w:szCs w:val="26"/>
        </w:rPr>
        <w:t>图3.4-1 水库枢纽工程施工工艺流程及产污环节示意图</w:t>
      </w:r>
    </w:p>
    <w:p w14:paraId="052A0626">
      <w:pPr>
        <w:spacing w:line="440" w:lineRule="exact"/>
        <w:ind w:firstLine="392" w:firstLineChars="150"/>
        <w:jc w:val="left"/>
        <w:outlineLvl w:val="3"/>
        <w:rPr>
          <w:rFonts w:hint="default" w:ascii="Arial" w:hAnsi="宋体" w:eastAsia="宋体" w:cs="Arial"/>
          <w:b/>
          <w:sz w:val="26"/>
          <w:szCs w:val="26"/>
          <w:lang w:val="en-US" w:eastAsia="zh-CN"/>
        </w:rPr>
      </w:pPr>
      <w:r>
        <w:rPr>
          <w:rFonts w:hint="eastAsia" w:ascii="Arial" w:hAnsi="宋体" w:eastAsia="宋体" w:cs="Arial"/>
          <w:b/>
          <w:sz w:val="26"/>
          <w:szCs w:val="26"/>
          <w:lang w:val="en-US" w:eastAsia="zh-CN"/>
        </w:rPr>
        <w:t>（</w:t>
      </w:r>
      <w:r>
        <w:rPr>
          <w:rFonts w:hint="eastAsia" w:ascii="Arial" w:hAnsi="宋体" w:cs="Arial"/>
          <w:b/>
          <w:sz w:val="26"/>
          <w:szCs w:val="26"/>
          <w:lang w:val="en-US" w:eastAsia="zh-CN"/>
        </w:rPr>
        <w:t>2</w:t>
      </w:r>
      <w:r>
        <w:rPr>
          <w:rFonts w:hint="eastAsia" w:ascii="Arial" w:hAnsi="宋体" w:eastAsia="宋体" w:cs="Arial"/>
          <w:b/>
          <w:sz w:val="26"/>
          <w:szCs w:val="26"/>
          <w:lang w:val="en-US" w:eastAsia="zh-CN"/>
        </w:rPr>
        <w:t>）</w:t>
      </w:r>
      <w:r>
        <w:rPr>
          <w:rFonts w:hint="eastAsia" w:ascii="Arial" w:hAnsi="宋体" w:cs="Arial"/>
          <w:b/>
          <w:sz w:val="26"/>
          <w:szCs w:val="26"/>
          <w:lang w:val="en-US" w:eastAsia="zh-CN"/>
        </w:rPr>
        <w:t>输水</w:t>
      </w:r>
      <w:r>
        <w:rPr>
          <w:rFonts w:hint="eastAsia" w:ascii="Arial" w:hAnsi="宋体" w:eastAsia="宋体" w:cs="Arial"/>
          <w:b/>
          <w:sz w:val="26"/>
          <w:szCs w:val="26"/>
          <w:lang w:val="en-US" w:eastAsia="zh-CN"/>
        </w:rPr>
        <w:t>工程</w:t>
      </w:r>
    </w:p>
    <w:p w14:paraId="7407F10D">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bCs/>
          <w:sz w:val="26"/>
          <w:szCs w:val="26"/>
          <w:lang w:val="en-US" w:eastAsia="zh-CN"/>
        </w:rPr>
      </w:pPr>
      <w:r>
        <w:rPr>
          <w:rFonts w:hint="eastAsia" w:ascii="Arial" w:hAnsi="Arial" w:eastAsia="宋体" w:cs="Arial"/>
          <w:b w:val="0"/>
          <w:bCs/>
          <w:sz w:val="26"/>
          <w:szCs w:val="26"/>
          <w:lang w:val="en-US" w:eastAsia="zh-CN"/>
        </w:rPr>
        <w:t>本项目输水管道陆域段施工工艺流程及产污环节详见图3.4-2所示。</w:t>
      </w:r>
    </w:p>
    <w:p w14:paraId="65D8F3DD">
      <w:pPr>
        <w:spacing w:line="460" w:lineRule="exact"/>
        <w:ind w:firstLine="520" w:firstLineChars="200"/>
        <w:rPr>
          <w:rFonts w:hint="eastAsia" w:ascii="Arial" w:hAnsi="宋体" w:cs="Arial"/>
          <w:bCs/>
          <w:sz w:val="26"/>
          <w:szCs w:val="26"/>
        </w:rPr>
      </w:pPr>
    </w:p>
    <w:p w14:paraId="40C0E55A">
      <w:pPr>
        <w:spacing w:line="460" w:lineRule="exact"/>
        <w:ind w:firstLine="520" w:firstLineChars="200"/>
        <w:rPr>
          <w:rFonts w:hint="eastAsia" w:ascii="Arial" w:hAnsi="宋体" w:cs="Arial"/>
          <w:bCs/>
          <w:sz w:val="26"/>
          <w:szCs w:val="26"/>
        </w:rPr>
      </w:pPr>
    </w:p>
    <w:p w14:paraId="75C07678">
      <w:pPr>
        <w:spacing w:line="460" w:lineRule="exact"/>
        <w:ind w:firstLine="520" w:firstLineChars="200"/>
        <w:rPr>
          <w:rFonts w:hint="eastAsia" w:ascii="Arial" w:hAnsi="宋体" w:cs="Arial"/>
          <w:bCs/>
          <w:sz w:val="26"/>
          <w:szCs w:val="26"/>
        </w:rPr>
      </w:pPr>
    </w:p>
    <w:p w14:paraId="5362CC71">
      <w:pPr>
        <w:spacing w:line="460" w:lineRule="exact"/>
        <w:ind w:firstLine="520" w:firstLineChars="200"/>
        <w:rPr>
          <w:rFonts w:hint="eastAsia" w:ascii="Arial" w:hAnsi="宋体" w:cs="Arial"/>
          <w:bCs/>
          <w:sz w:val="26"/>
          <w:szCs w:val="26"/>
        </w:rPr>
      </w:pPr>
    </w:p>
    <w:p w14:paraId="05B41840">
      <w:pPr>
        <w:spacing w:line="460" w:lineRule="exact"/>
        <w:ind w:firstLine="520" w:firstLineChars="200"/>
        <w:rPr>
          <w:rFonts w:hint="eastAsia" w:ascii="Arial" w:hAnsi="宋体" w:cs="Arial"/>
          <w:bCs/>
          <w:sz w:val="26"/>
          <w:szCs w:val="26"/>
        </w:rPr>
      </w:pPr>
    </w:p>
    <w:p w14:paraId="5F9AEB6B">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693056" behindDoc="0" locked="0" layoutInCell="1" allowOverlap="1">
                <wp:simplePos x="0" y="0"/>
                <wp:positionH relativeFrom="column">
                  <wp:posOffset>595630</wp:posOffset>
                </wp:positionH>
                <wp:positionV relativeFrom="paragraph">
                  <wp:posOffset>170180</wp:posOffset>
                </wp:positionV>
                <wp:extent cx="1471930" cy="321945"/>
                <wp:effectExtent l="0" t="0" r="13970" b="1905"/>
                <wp:wrapNone/>
                <wp:docPr id="92" name="矩形 92"/>
                <wp:cNvGraphicFramePr/>
                <a:graphic xmlns:a="http://schemas.openxmlformats.org/drawingml/2006/main">
                  <a:graphicData uri="http://schemas.microsoft.com/office/word/2010/wordprocessingShape">
                    <wps:wsp>
                      <wps:cNvSpPr/>
                      <wps:spPr>
                        <a:xfrm>
                          <a:off x="0" y="0"/>
                          <a:ext cx="1471930" cy="321945"/>
                        </a:xfrm>
                        <a:prstGeom prst="rect">
                          <a:avLst/>
                        </a:prstGeom>
                        <a:solidFill>
                          <a:srgbClr val="FFFFFF"/>
                        </a:solidFill>
                        <a:ln>
                          <a:noFill/>
                        </a:ln>
                      </wps:spPr>
                      <wps:txbx>
                        <w:txbxContent>
                          <w:p w14:paraId="492856F0">
                            <w:r>
                              <w:rPr>
                                <w:rFonts w:hint="eastAsia"/>
                              </w:rPr>
                              <w:t>噪声、扬尘、弃土弃渣</w:t>
                            </w:r>
                          </w:p>
                        </w:txbxContent>
                      </wps:txbx>
                      <wps:bodyPr upright="1"/>
                    </wps:wsp>
                  </a:graphicData>
                </a:graphic>
              </wp:anchor>
            </w:drawing>
          </mc:Choice>
          <mc:Fallback>
            <w:pict>
              <v:rect id="_x0000_s1026" o:spid="_x0000_s1026" o:spt="1" style="position:absolute;left:0pt;margin-left:46.9pt;margin-top:13.4pt;height:25.35pt;width:115.9pt;z-index:251693056;mso-width-relative:page;mso-height-relative:page;" fillcolor="#FFFFFF" filled="t" stroked="f" coordsize="21600,21600" o:gfxdata="UEsDBAoAAAAAAIdO4kAAAAAAAAAAAAAAAAAEAAAAZHJzL1BLAwQUAAAACACHTuJAQaBc49cAAAAI&#10;AQAADwAAAGRycy9kb3ducmV2LnhtbE2PwU7DMBBE70j8g7VI3KjdhKQ0zaYHpJ6AAy0S1228TaLG&#10;doidNvw95gSn1WhGM2/L7Wx6ceHRd84iLBcKBNva6c42CB+H3cMTCB/IauqdZYRv9rCtbm9KKrS7&#10;2ne+7EMjYon1BSG0IQyFlL5u2ZBfuIFt9E5uNBSiHBupR7rGctPLRKlcGupsXGhp4OeW6/N+MgiU&#10;P+qvt1P6eniZclo3s9plnwrx/m6pNiACz+EvDL/4ER2qyHR0k9Ve9AjrNJIHhCSPN/ppkuUgjgir&#10;VQayKuX/B6ofUEsDBBQAAAAIAIdO4kAaAowztwEAAGwDAAAOAAAAZHJzL2Uyb0RvYy54bWytU0tu&#10;2zAQ3RfoHQjua1lO+rFgOYsa7qZoA6Q9AE1REgH+MENb8mkKdNdD9DhFr9EhpTptsskiWlDz45t5&#10;b6TNzWgNOylA7V3Ny8WSM+Wkb7Trav71y/7VO84wCtcI452q+Vkhv9m+fLEZQqVWvvemUcAIxGE1&#10;hJr3MYaqKFD2ygpc+KAcJVsPVkRyoSsaEAOhW1Oslss3xeChCeClQqTobkryGRGeAujbVku18/Jo&#10;lYsTKigjIlHCXgfk2zxt2yoZP7ctqshMzYlpzCc1IfuQzmK7EVUHIvRaziOIp4zwgJMV2lHTC9RO&#10;RMGOoB9BWS3Bo2/jQnpbTESyIsSiXD7Q5q4XQWUuJDWGi+j4fLDy0+kWmG5qvl5x5oSljf/+9uPX&#10;z++MAqTOELCiortwC7OHZCaqYws2vYkEG7Oi54uiaoxMUrC8fluur0hsSbmrVbm+fp1Ai/vbATB+&#10;UN6yZNQcaGNZSHH6iHEq/VuSmqE3utlrY7ID3eG9AXYStN19fmb0/8qMS8XOp2sTYooUidnEJVlx&#10;PIwzwYNvziTKMYDuepqpzKCpiJaQh58/mLTlf/0Mev+Tb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aBc49cAAAAIAQAADwAAAAAAAAABACAAAAAiAAAAZHJzL2Rvd25yZXYueG1sUEsBAhQAFAAA&#10;AAgAh07iQBoCjDO3AQAAbAMAAA4AAAAAAAAAAQAgAAAAJgEAAGRycy9lMm9Eb2MueG1sUEsFBgAA&#10;AAAGAAYAWQEAAE8FAAAAAA==&#10;">
                <v:fill on="t" focussize="0,0"/>
                <v:stroke on="f"/>
                <v:imagedata o:title=""/>
                <o:lock v:ext="edit" aspectratio="f"/>
                <v:textbox>
                  <w:txbxContent>
                    <w:p w14:paraId="492856F0">
                      <w:r>
                        <w:rPr>
                          <w:rFonts w:hint="eastAsia"/>
                        </w:rPr>
                        <w:t>噪声、扬尘、弃土弃渣</w:t>
                      </w:r>
                    </w:p>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687936" behindDoc="0" locked="0" layoutInCell="1" allowOverlap="1">
                <wp:simplePos x="0" y="0"/>
                <wp:positionH relativeFrom="column">
                  <wp:posOffset>3783965</wp:posOffset>
                </wp:positionH>
                <wp:positionV relativeFrom="paragraph">
                  <wp:posOffset>170180</wp:posOffset>
                </wp:positionV>
                <wp:extent cx="1064895" cy="321945"/>
                <wp:effectExtent l="0" t="0" r="1905" b="1905"/>
                <wp:wrapNone/>
                <wp:docPr id="61" name="矩形 61"/>
                <wp:cNvGraphicFramePr/>
                <a:graphic xmlns:a="http://schemas.openxmlformats.org/drawingml/2006/main">
                  <a:graphicData uri="http://schemas.microsoft.com/office/word/2010/wordprocessingShape">
                    <wps:wsp>
                      <wps:cNvSpPr/>
                      <wps:spPr>
                        <a:xfrm>
                          <a:off x="0" y="0"/>
                          <a:ext cx="1064895" cy="321945"/>
                        </a:xfrm>
                        <a:prstGeom prst="rect">
                          <a:avLst/>
                        </a:prstGeom>
                        <a:solidFill>
                          <a:srgbClr val="FFFFFF"/>
                        </a:solidFill>
                        <a:ln>
                          <a:noFill/>
                        </a:ln>
                      </wps:spPr>
                      <wps:txbx>
                        <w:txbxContent>
                          <w:p w14:paraId="092A5A33">
                            <w:r>
                              <w:rPr>
                                <w:rFonts w:hint="eastAsia"/>
                              </w:rPr>
                              <w:t>破坏陆生生态</w:t>
                            </w:r>
                          </w:p>
                        </w:txbxContent>
                      </wps:txbx>
                      <wps:bodyPr upright="1"/>
                    </wps:wsp>
                  </a:graphicData>
                </a:graphic>
              </wp:anchor>
            </w:drawing>
          </mc:Choice>
          <mc:Fallback>
            <w:pict>
              <v:rect id="_x0000_s1026" o:spid="_x0000_s1026" o:spt="1" style="position:absolute;left:0pt;margin-left:297.95pt;margin-top:13.4pt;height:25.35pt;width:83.85pt;z-index:251687936;mso-width-relative:page;mso-height-relative:page;" fillcolor="#FFFFFF" filled="t" stroked="f" coordsize="21600,21600" o:gfxdata="UEsDBAoAAAAAAIdO4kAAAAAAAAAAAAAAAAAEAAAAZHJzL1BLAwQUAAAACACHTuJA5c8cg9cAAAAJ&#10;AQAADwAAAGRycy9kb3ducmV2LnhtbE2PwU7DMAyG70i8Q2QkbizZRjNamu6AtBNwYEPi6jVeW9Ek&#10;pUm38vaYE9xs+dPv7y+3s+vFmcbYBW9guVAgyNfBdr4x8H7Y3T2AiAm9xT54MvBNEbbV9VWJhQ0X&#10;/0bnfWoEh/hYoIE2paGQMtYtOYyLMJDn2ymMDhOvYyPtiBcOd71cKaWlw87zhxYHemqp/txPzgDq&#10;e/v1elq/HJ4njXkzq132oYy5vVmqRxCJ5vQHw68+q0PFTscweRtFbyDLs5xRAyvNFRjY6LUGceRh&#10;k4GsSvm/QfUDUEsDBBQAAAAIAIdO4kCNyUfytwEAAGwDAAAOAAAAZHJzL2Uyb0RvYy54bWytU0tu&#10;2zAQ3RfoHQjua8luYiSC5SxquJuiDZDmADRFSQT4wwxtyacp0F0P0eMUvUaHlOq06SaLakHNj2/m&#10;vZE2d6M17KQAtXc1Xy5KzpSTvtGuq/nj5/2bG84wCtcI452q+Vkhv9u+frUZQqVWvvemUcAIxGE1&#10;hJr3MYaqKFD2ygpc+KAcJVsPVkRyoSsaEAOhW1OsynJdDB6aAF4qRIrupiSfEeElgL5ttVQ7L49W&#10;uTihgjIiEiXsdUC+zdO2rZLxU9uiiszUnJjGfFITsg/pLLYbUXUgQq/lPIJ4yQjPOFmhHTW9QO1E&#10;FOwI+h8oqyV49G1cSG+LiUhWhFgsy2faPPQiqMyFpMZwER3/H6z8eLoHppuar5ecOWFp4z+/fPvx&#10;/SujAKkzBKyo6CHcw+whmYnq2IJNbyLBxqzo+aKoGiOTFFyW66ub22vOJOXerpa3V9cJtHi6HQDj&#10;e+UtS0bNgTaWhRSnDxin0t8lqRl6o5u9NiY70B3eGWAnQdvd52dG/6vMuFTsfLo2IaZIkZhNXJIV&#10;x8M4Ezz45kyiHAPorqeZsg65nJaQh58/mLTlP/0M+vSTbH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5c8cg9cAAAAJAQAADwAAAAAAAAABACAAAAAiAAAAZHJzL2Rvd25yZXYueG1sUEsBAhQAFAAA&#10;AAgAh07iQI3JR/K3AQAAbAMAAA4AAAAAAAAAAQAgAAAAJgEAAGRycy9lMm9Eb2MueG1sUEsFBgAA&#10;AAAGAAYAWQEAAE8FAAAAAA==&#10;">
                <v:fill on="t" focussize="0,0"/>
                <v:stroke on="f"/>
                <v:imagedata o:title=""/>
                <o:lock v:ext="edit" aspectratio="f"/>
                <v:textbox>
                  <w:txbxContent>
                    <w:p w14:paraId="092A5A33">
                      <w:r>
                        <w:rPr>
                          <w:rFonts w:hint="eastAsia"/>
                        </w:rPr>
                        <w:t>破坏陆生生态</w:t>
                      </w:r>
                    </w:p>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683840" behindDoc="0" locked="0" layoutInCell="1" allowOverlap="1">
                <wp:simplePos x="0" y="0"/>
                <wp:positionH relativeFrom="column">
                  <wp:posOffset>2395855</wp:posOffset>
                </wp:positionH>
                <wp:positionV relativeFrom="paragraph">
                  <wp:posOffset>170180</wp:posOffset>
                </wp:positionV>
                <wp:extent cx="1012825" cy="321945"/>
                <wp:effectExtent l="5080" t="4445" r="10795" b="16510"/>
                <wp:wrapNone/>
                <wp:docPr id="64" name="矩形 64"/>
                <wp:cNvGraphicFramePr/>
                <a:graphic xmlns:a="http://schemas.openxmlformats.org/drawingml/2006/main">
                  <a:graphicData uri="http://schemas.microsoft.com/office/word/2010/wordprocessingShape">
                    <wps:wsp>
                      <wps:cNvSpPr/>
                      <wps:spPr>
                        <a:xfrm>
                          <a:off x="0" y="0"/>
                          <a:ext cx="1012825" cy="321945"/>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55001991">
                            <w:r>
                              <w:rPr>
                                <w:rFonts w:hint="eastAsia"/>
                              </w:rPr>
                              <w:t>作业线路清理</w:t>
                            </w:r>
                          </w:p>
                        </w:txbxContent>
                      </wps:txbx>
                      <wps:bodyPr upright="1"/>
                    </wps:wsp>
                  </a:graphicData>
                </a:graphic>
              </wp:anchor>
            </w:drawing>
          </mc:Choice>
          <mc:Fallback>
            <w:pict>
              <v:rect id="_x0000_s1026" o:spid="_x0000_s1026" o:spt="1" style="position:absolute;left:0pt;margin-left:188.65pt;margin-top:13.4pt;height:25.35pt;width:79.75pt;z-index:251683840;mso-width-relative:page;mso-height-relative:page;" fillcolor="#FFC000" filled="t" stroked="t" coordsize="21600,21600" o:gfxdata="UEsDBAoAAAAAAIdO4kAAAAAAAAAAAAAAAAAEAAAAZHJzL1BLAwQUAAAACACHTuJAReczatYAAAAJ&#10;AQAADwAAAGRycy9kb3ducmV2LnhtbE2PTU/DMAyG70j8h8hI3Fi6VWug1J0QKuLEgYE4Z41pK5oP&#10;NdnW/nu8E9xs+dHr5612sx3FiaY4eIewXmUgyLXeDK5D+Px4ubsHEZN2Ro/eEcJCEXb19VWlS+PP&#10;7p1O+9QJDnGx1Ah9SqGUMrY9WR1XPpDj27efrE68Tp00kz5zuB3lJssKafXg+EOvAz331P7sjxZh&#10;fvgKS1O8tm/Nk1lCU9hcFRbx9madPYJINKc/GC76rA41Ox380ZkoRoRcqZxRhE3BFRjY5pfhgKDU&#10;FmRdyf8N6l9QSwMEFAAAAAgAh07iQLeoItUIAgAAKwQAAA4AAABkcnMvZTJvRG9jLnhtbK1TS27b&#10;MBDdF+gdCO5rSU6cJoLloIjrboo2QNoD0CQlEeAPHNqST1Ogux6ixyl6jQwp1/m0iyy6kWY4wzfz&#10;3gyX16PRZC8DKGcbWs1KSqTlTijbNfTrl82bS0ogMiuYdlY29CCBXq9ev1oOvpZz1zstZCAIYqEe&#10;fEP7GH1dFMB7aRjMnJcWg60LhkV0Q1eIwAZEN7qYl+VFMbggfHBcAuDpegrSI2J4CaBrW8Xl2vGd&#10;kTZOqEFqFpES9MoDXeVu21by+LltQUaiG4pMY/5iEbS36VuslqzuAvO94scW2EtaeMbJMGWx6Alq&#10;zSIju6D+gjKKBweujTPuTDERyYogi6p8ps1dz7zMXFBq8CfR4f/B8k/720CUaOjFOSWWGZz4728/&#10;fv38TvAA1Rk81Jh052/D0QM0E9WxDSb9kQQZs6KHk6JyjITjYVVW88v5ghKOsbN5dXW+SKDFw20f&#10;IH6QzpBkNDTgxLKQbP8R4pT6JyUVA6eV2CitsxO67Y0OZM9wupvNTVnmgSL6kzRtydDQq0Xug+HK&#10;trgq2JLxSBtsl+s9uQGPgd+WZ+W7fwKnxtYM+qmBjDAtlFFRJrlY3Usm3ltB4sGjshZfFE3NGCko&#10;0RIfYLJyZmRKvyQT2WmLEqbBTKNIVhy3I8Ikc+vEAWe680F1PUpaZcVTBHcoa3/c97Skj/0M+vDG&#10;V/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5zNq1gAAAAkBAAAPAAAAAAAAAAEAIAAAACIAAABk&#10;cnMvZG93bnJldi54bWxQSwECFAAUAAAACACHTuJAt6gi1QgCAAArBAAADgAAAAAAAAABACAAAAAl&#10;AQAAZHJzL2Uyb0RvYy54bWxQSwUGAAAAAAYABgBZAQAAnwUAAAAA&#10;">
                <v:fill on="t" focussize="0,0"/>
                <v:stroke color="#7030A0" joinstyle="miter"/>
                <v:imagedata o:title=""/>
                <o:lock v:ext="edit" aspectratio="f"/>
                <v:textbox>
                  <w:txbxContent>
                    <w:p w14:paraId="55001991">
                      <w:r>
                        <w:rPr>
                          <w:rFonts w:hint="eastAsia"/>
                        </w:rPr>
                        <w:t>作业线路清理</w:t>
                      </w:r>
                    </w:p>
                  </w:txbxContent>
                </v:textbox>
              </v:rect>
            </w:pict>
          </mc:Fallback>
        </mc:AlternateContent>
      </w:r>
    </w:p>
    <w:p w14:paraId="18ED78D7">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697152" behindDoc="0" locked="0" layoutInCell="1" allowOverlap="1">
                <wp:simplePos x="0" y="0"/>
                <wp:positionH relativeFrom="column">
                  <wp:posOffset>2896870</wp:posOffset>
                </wp:positionH>
                <wp:positionV relativeFrom="paragraph">
                  <wp:posOffset>200025</wp:posOffset>
                </wp:positionV>
                <wp:extent cx="0" cy="199390"/>
                <wp:effectExtent l="38100" t="0" r="38100" b="10160"/>
                <wp:wrapNone/>
                <wp:docPr id="90" name="直接箭头连接符 90"/>
                <wp:cNvGraphicFramePr/>
                <a:graphic xmlns:a="http://schemas.openxmlformats.org/drawingml/2006/main">
                  <a:graphicData uri="http://schemas.microsoft.com/office/word/2010/wordprocessingShape">
                    <wps:wsp>
                      <wps:cNvCnPr/>
                      <wps:spPr>
                        <a:xfrm>
                          <a:off x="0" y="0"/>
                          <a:ext cx="0" cy="1993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8.1pt;margin-top:15.75pt;height:15.7pt;width:0pt;z-index:251697152;mso-width-relative:page;mso-height-relative:page;" filled="f" stroked="t" coordsize="21600,21600" o:gfxdata="UEsDBAoAAAAAAIdO4kAAAAAAAAAAAAAAAAAEAAAAZHJzL1BLAwQUAAAACACHTuJASm3Mb9kAAAAJ&#10;AQAADwAAAGRycy9kb3ducmV2LnhtbE2Py07DMBBF90j8gzVI7KiTQC0aMqkEFSIbKtFWFUs3NrFF&#10;PI5i98XXY8QCljNzdOfcan5yPTvoMVhPCPkkA6ap9cpSh7BZP9/cAwtRkpK9J41w1gHm9eVFJUvl&#10;j/SmD6vYsRRCoZQIJsah5Dy0RjsZJn7QlG4ffnQypnHsuBrlMYW7nhdZJriTltIHIwf9ZHT7udo7&#10;hLh4PxuxbR9ndrl+eRX2q2maBeL1VZ49AIv6FP9g+NFP6lAnp53fkwqsR7ibiiKhCLf5FFgCfhc7&#10;BFHMgNcV/9+g/gZQSwMEFAAAAAgAh07iQFvCQBECAgAA8QMAAA4AAABkcnMvZTJvRG9jLnhtbK1T&#10;zY7TMBC+I/EOlu80bdEiGjXdQ8tyQVAJeICp4ySW/CePt2lfghdA4gScgNPeeRpYHoOx022XRUh7&#10;IAdnPJ75Zr7P4/n5zmi2lQGVsxWfjMacSStcrWxb8bdvLh495Qwj2Bq0s7Lie4n8fPHwwbz3pZy6&#10;zulaBkYgFsveV7yL0ZdFgaKTBnDkvLR02LhgINI2tEUdoCd0o4vpePyk6F2ofXBCIpJ3NRzyA2K4&#10;D6BrGiXkyolLI20cUIPUEIkSdsojX+Rum0aK+KppUEamK05MY16pCNmbtBaLOZRtAN8pcWgB7tPC&#10;HU4GlKWiR6gVRGCXQf0FZZQIDl0TR8KZYiCSFSEWk/EdbV534GXmQlKjP4qO/w9WvNyuA1N1xWck&#10;iQVDN379/urnu0/X377++Hj16/uHZH/5zOicxOo9lpSztOtw2KFfh8R81wST/sSJ7bLA+6PAcheZ&#10;GJyCvJPZ7PEAV5zyfMD4XDrDklFxjAFU28Wls5Zu0YVJ1he2LzBSZUq8SUhFtWU9UTibnnEmgKay&#10;oWkg03hihrbNuei0qi+U1ikDQ7tZ6sC2kCYjf4kf4f4RloqsALshLh8NM9NJqJ/ZmsW9J8ksPRWe&#10;WjCy5kxLelnJIkAoIyh9ioxBgW31P6KpvLbURZJ5EDZZG1fvs97ZT5OQ+zxMbRq12/ucfXqp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Kbcxv2QAAAAkBAAAPAAAAAAAAAAEAIAAAACIAAABkcnMv&#10;ZG93bnJldi54bWxQSwECFAAUAAAACACHTuJAW8JAEQICAADxAwAADgAAAAAAAAABACAAAAAoAQAA&#10;ZHJzL2Uyb0RvYy54bWxQSwUGAAAAAAYABgBZAQAAnAUAAAAA&#10;">
                <v:fill on="f" focussize="0,0"/>
                <v:stroke color="#000000" joinstyle="round" endarrow="block"/>
                <v:imagedata o:title=""/>
                <o:lock v:ext="edit" aspectratio="f"/>
              </v:shape>
            </w:pict>
          </mc:Fallback>
        </mc:AlternateContent>
      </w:r>
      <w:r>
        <w:rPr>
          <w:rFonts w:hint="eastAsia" w:ascii="Arial" w:hAnsi="宋体" w:cs="Arial"/>
          <w:bCs/>
          <w:sz w:val="26"/>
          <w:szCs w:val="26"/>
        </w:rPr>
        <mc:AlternateContent>
          <mc:Choice Requires="wps">
            <w:drawing>
              <wp:anchor distT="0" distB="0" distL="114300" distR="114300" simplePos="0" relativeHeight="251688960" behindDoc="0" locked="0" layoutInCell="1" allowOverlap="1">
                <wp:simplePos x="0" y="0"/>
                <wp:positionH relativeFrom="column">
                  <wp:posOffset>2067560</wp:posOffset>
                </wp:positionH>
                <wp:positionV relativeFrom="paragraph">
                  <wp:posOffset>25400</wp:posOffset>
                </wp:positionV>
                <wp:extent cx="328295" cy="0"/>
                <wp:effectExtent l="0" t="38100" r="14605" b="38100"/>
                <wp:wrapNone/>
                <wp:docPr id="86" name="直接连接符 86"/>
                <wp:cNvGraphicFramePr/>
                <a:graphic xmlns:a="http://schemas.openxmlformats.org/drawingml/2006/main">
                  <a:graphicData uri="http://schemas.microsoft.com/office/word/2010/wordprocessingShape">
                    <wps:wsp>
                      <wps:cNvCnPr/>
                      <wps:spPr>
                        <a:xfrm flipH="1" flipV="1">
                          <a:off x="0" y="0"/>
                          <a:ext cx="328295" cy="0"/>
                        </a:xfrm>
                        <a:prstGeom prst="line">
                          <a:avLst/>
                        </a:prstGeom>
                        <a:ln w="9525" cap="rnd" cmpd="sng">
                          <a:solidFill>
                            <a:srgbClr val="000000"/>
                          </a:solidFill>
                          <a:prstDash val="sysDot"/>
                          <a:headEnd type="none" w="med" len="med"/>
                          <a:tailEnd type="triangle" w="med" len="med"/>
                        </a:ln>
                      </wps:spPr>
                      <wps:bodyPr upright="1"/>
                    </wps:wsp>
                  </a:graphicData>
                </a:graphic>
              </wp:anchor>
            </w:drawing>
          </mc:Choice>
          <mc:Fallback>
            <w:pict>
              <v:line id="_x0000_s1026" o:spid="_x0000_s1026" o:spt="20" style="position:absolute;left:0pt;flip:x y;margin-left:162.8pt;margin-top:2pt;height:0pt;width:25.85pt;z-index:251688960;mso-width-relative:page;mso-height-relative:page;" filled="f" stroked="t" coordsize="21600,21600" o:gfxdata="UEsDBAoAAAAAAIdO4kAAAAAAAAAAAAAAAAAEAAAAZHJzL1BLAwQUAAAACACHTuJAeTUAWNYAAAAH&#10;AQAADwAAAGRycy9kb3ducmV2LnhtbE2PMU/DMBSEdyT+g/WQWBB12pS2SuN0qMTAhNoCUjc3fokj&#10;4ucodprw73mwwHi60913+W5yrbhiHxpPCuazBARS6U1DtYK30/PjBkSImoxuPaGCLwywK25vcp0Z&#10;P9IBr8dYCy6hkGkFNsYukzKUFp0OM98hsVf53unIsq+l6fXI5a6ViyRZSacb4gWrO9xbLD+Pg1Pw&#10;SnYjq6E5jf6wnD7k+8tDtT8rdX83T7YgIk7xLww/+IwOBTNd/EAmiFZBunhacVTBki+xn67XKYjL&#10;r5ZFLv/zF99QSwMEFAAAAAgAh07iQMDvVUILAgAA/QMAAA4AAABkcnMvZTJvRG9jLnhtbK1TzY7T&#10;MBC+I/EOlu80bdGuulHTPWxZOCCoxM99ajuJJf/J4zbNS/ACSNzgxJE7b8PyGIyTbhcWIe2BHKyx&#10;5/M3830ZLy8P1rC9iqi9q/hsMuVMOeGldk3F3729frLgDBM4CcY7VfFeIb9cPX607EKp5r71RqrI&#10;iMRh2YWKtymFsihQtMoCTnxQjpK1jxYSbWNTyAgdsVtTzKfT86LzUYbohUKk0/WY5EfG+BBCX9da&#10;qLUXO6tcGlmjMpBIErY6IF8N3da1Eul1XaNKzFSclKZhpSIUb/NarJZQNhFCq8WxBXhIC/c0WdCO&#10;ip6o1pCA7aL+i8pqET36Ok2Et8UoZHCEVMym97x500JQgxayGsPJdPx/tOLVfhOZlhVfnHPmwNIf&#10;v/n47ceHzz+/f6L15usXRhmyqQtYEvrKbeJxh2ETs+ZDHS2rjQ4vaJ74EL3PUc6RQnYY7O5PdqtD&#10;YoIOn84X84szzsRtqhi58r0QMT1X3rIcVNxol42AEvYvMVF9gt5C8rFxrKv4xdk80wFNZXSSIhtI&#10;GLpmuIreaHmtjckXMDbbKxPZHvJgDF8WSbR/wHKNNWA74rDHtU/jzLQK5DMnWeoDWeboqfDcglVU&#10;1yh6WTkiRigTaHOHTFGDa8w/0FTfOGojmz3am6Otlz39pV2IumnJjdnQas7QVAxNHyc4j93v+4Hp&#10;7tW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5NQBY1gAAAAcBAAAPAAAAAAAAAAEAIAAAACIA&#10;AABkcnMvZG93bnJldi54bWxQSwECFAAUAAAACACHTuJAwO9VQgsCAAD9AwAADgAAAAAAAAABACAA&#10;AAAlAQAAZHJzL2Uyb0RvYy54bWxQSwUGAAAAAAYABgBZAQAAogUAAAAA&#10;">
                <v:fill on="f" focussize="0,0"/>
                <v:stroke color="#000000" joinstyle="round" dashstyle="1 1" endcap="round" endarrow="block"/>
                <v:imagedata o:title=""/>
                <o:lock v:ext="edit" aspectratio="f"/>
              </v:line>
            </w:pict>
          </mc:Fallback>
        </mc:AlternateContent>
      </w:r>
      <w:r>
        <w:rPr>
          <w:rFonts w:hint="eastAsia" w:ascii="Arial" w:hAnsi="宋体" w:cs="Arial"/>
          <w:bCs/>
          <w:sz w:val="26"/>
          <w:szCs w:val="26"/>
        </w:rPr>
        <mc:AlternateContent>
          <mc:Choice Requires="wps">
            <w:drawing>
              <wp:anchor distT="0" distB="0" distL="114300" distR="114300" simplePos="0" relativeHeight="251686912" behindDoc="0" locked="0" layoutInCell="1" allowOverlap="1">
                <wp:simplePos x="0" y="0"/>
                <wp:positionH relativeFrom="column">
                  <wp:posOffset>3408680</wp:posOffset>
                </wp:positionH>
                <wp:positionV relativeFrom="paragraph">
                  <wp:posOffset>19050</wp:posOffset>
                </wp:positionV>
                <wp:extent cx="375285" cy="6350"/>
                <wp:effectExtent l="0" t="36830" r="5715" b="33020"/>
                <wp:wrapNone/>
                <wp:docPr id="91" name="直接连接符 91"/>
                <wp:cNvGraphicFramePr/>
                <a:graphic xmlns:a="http://schemas.openxmlformats.org/drawingml/2006/main">
                  <a:graphicData uri="http://schemas.microsoft.com/office/word/2010/wordprocessingShape">
                    <wps:wsp>
                      <wps:cNvCnPr/>
                      <wps:spPr>
                        <a:xfrm flipV="1">
                          <a:off x="0" y="0"/>
                          <a:ext cx="375285" cy="635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268.4pt;margin-top:1.5pt;height:0.5pt;width:29.55pt;z-index:251686912;mso-width-relative:page;mso-height-relative:page;" filled="f" stroked="t" coordsize="21600,21600" o:gfxdata="UEsDBAoAAAAAAIdO4kAAAAAAAAAAAAAAAAAEAAAAZHJzL1BLAwQUAAAACACHTuJAR4ovzNQAAAAH&#10;AQAADwAAAGRycy9kb3ducmV2LnhtbE2Py07DMBBF90j8gzVI7KhdSioS4nRRCQl1R1uJrRtPk6j2&#10;ONjui69nuoLl6F6de6ZeXLwTJ4xpCKRhOlEgkNpgB+o0bDfvT68gUjZkjQuEGq6YYNHc39WmsuFM&#10;n3ha504whFJlNPQ5j5WUqe3RmzQJIxJn+xC9yXzGTtpozgz3Tj4rNZfeDMQLvRlx2WN7WB+9hhf1&#10;/bPcrLqhdB9YJoy0P+QvrR8fpuoNRMZL/ivDTZ/VoWGnXTiSTcJpKGZzVs8aZvwS50VZlCB2NzjI&#10;ppb//ZtfUEsDBBQAAAAIAIdO4kDe+apqCAIAAPUDAAAOAAAAZHJzL2Uyb0RvYy54bWytU0uOEzEQ&#10;3SNxB8t70klGGYZWOrOYMGwQROKzr9jubkv+yeX8LsEFkNjBiiX7uQ3DMSi7QwYGIc2CXlhlV/Wr&#10;es/P88u9NWyrImrvGj4ZjTlTTnipXdfwd2+vn1xwhgmcBOOdavhBIb9cPH4034VaTX3vjVSREYjD&#10;ehca3qcU6qpC0SsLOPJBOUq2PlpItI1dJSPsCN2aajoen1c7H2WIXihEOl0OSX5EjA8B9G2rhVp6&#10;sbHKpQE1KgOJKGGvA/JFmbZtlUiv2xZVYqbhxDSVlZpQvM5rtZhD3UUIvRbHEeAhI9zjZEE7anqC&#10;WkICton6LyirRfTo2zQS3lYDkaIIsZiM72nzpoegCheSGsNJdPx/sOLVdhWZlg1/NuHMgaUbv/34&#10;7fuHzz9uPtF6+/ULowzJtAtYU/WVW8XjDsMqZs77NlrWGh3ek5+KCsSL7YvIh5PIap+YoMOzp7Pp&#10;xYwzQanzs1m5gmoAyWAhYnqhvGU5aLjRLisANWxfYqLGVPqrJB8bx3Y0+2yaEYHs2JINKLSBKKHr&#10;yr/ojZbX2pj8B8ZufWUi20K2RPkyPcL9oyw3WQL2Q52kaPBKr0A+d5KlQyCpHD0RniewSnJmFL2o&#10;HBEe1Am0uatMUYPrzD+qqbtxNEQWeZA1R2svD3Q7mxB115MY5R5KDbmhjHx0brbb7/uCdPda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4ovzNQAAAAHAQAADwAAAAAAAAABACAAAAAiAAAAZHJz&#10;L2Rvd25yZXYueG1sUEsBAhQAFAAAAAgAh07iQN75qmoIAgAA9QMAAA4AAAAAAAAAAQAgAAAAIwEA&#10;AGRycy9lMm9Eb2MueG1sUEsFBgAAAAAGAAYAWQEAAJ0FAAAAAA==&#10;">
                <v:fill on="f" focussize="0,0"/>
                <v:stroke color="#000000" joinstyle="round" dashstyle="dash" endarrow="block"/>
                <v:imagedata o:title=""/>
                <o:lock v:ext="edit" aspectratio="f"/>
              </v:line>
            </w:pict>
          </mc:Fallback>
        </mc:AlternateContent>
      </w:r>
    </w:p>
    <w:p w14:paraId="4722C0A1">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694080" behindDoc="0" locked="0" layoutInCell="1" allowOverlap="1">
                <wp:simplePos x="0" y="0"/>
                <wp:positionH relativeFrom="column">
                  <wp:posOffset>257810</wp:posOffset>
                </wp:positionH>
                <wp:positionV relativeFrom="paragraph">
                  <wp:posOffset>51435</wp:posOffset>
                </wp:positionV>
                <wp:extent cx="1944370" cy="322580"/>
                <wp:effectExtent l="0" t="0" r="17780" b="1270"/>
                <wp:wrapNone/>
                <wp:docPr id="63" name="矩形 63"/>
                <wp:cNvGraphicFramePr/>
                <a:graphic xmlns:a="http://schemas.openxmlformats.org/drawingml/2006/main">
                  <a:graphicData uri="http://schemas.microsoft.com/office/word/2010/wordprocessingShape">
                    <wps:wsp>
                      <wps:cNvSpPr/>
                      <wps:spPr>
                        <a:xfrm>
                          <a:off x="0" y="0"/>
                          <a:ext cx="1944370" cy="322580"/>
                        </a:xfrm>
                        <a:prstGeom prst="rect">
                          <a:avLst/>
                        </a:prstGeom>
                        <a:solidFill>
                          <a:srgbClr val="FFFFFF"/>
                        </a:solidFill>
                        <a:ln>
                          <a:noFill/>
                        </a:ln>
                      </wps:spPr>
                      <wps:txbx>
                        <w:txbxContent>
                          <w:p w14:paraId="054BBFCF">
                            <w:r>
                              <w:rPr>
                                <w:rFonts w:hint="eastAsia"/>
                              </w:rPr>
                              <w:t>噪声、扬尘、弃土、基坑废水</w:t>
                            </w:r>
                          </w:p>
                        </w:txbxContent>
                      </wps:txbx>
                      <wps:bodyPr upright="1"/>
                    </wps:wsp>
                  </a:graphicData>
                </a:graphic>
              </wp:anchor>
            </w:drawing>
          </mc:Choice>
          <mc:Fallback>
            <w:pict>
              <v:rect id="_x0000_s1026" o:spid="_x0000_s1026" o:spt="1" style="position:absolute;left:0pt;margin-left:20.3pt;margin-top:4.05pt;height:25.4pt;width:153.1pt;z-index:251694080;mso-width-relative:page;mso-height-relative:page;" fillcolor="#FFFFFF" filled="t" stroked="f" coordsize="21600,21600" o:gfxdata="UEsDBAoAAAAAAIdO4kAAAAAAAAAAAAAAAAAEAAAAZHJzL1BLAwQUAAAACACHTuJA80mwctYAAAAH&#10;AQAADwAAAGRycy9kb3ducmV2LnhtbE2PMU/DMBSEdyT+g/UqsVE7NI3SkJcOSJ2AgbYS62vsJlFj&#10;O8ROG/49jwnG053uviu3s+3F1Yyh8w4hWSoQxtVed65BOB52jzmIEMlp6r0zCN8mwLa6vyup0P7m&#10;Psx1HxvBJS4UhNDGOBRShro1lsLSD8axd/ajpchybKQe6cbltpdPSmXSUud4oaXBvLSmvuwni0BZ&#10;qr/ez6u3w+uU0aaZ1W79qRAfFol6BhHNHP/C8IvP6FAx08lPTgfRI6Qq4yRCnoBge5Vm/OSEsM43&#10;IKtS/uevfgBQSwMEFAAAAAgAh07iQCmus3+5AQAAbAMAAA4AAABkcnMvZTJvRG9jLnhtbK1TS27b&#10;MBDdF+gdCO5r+ZOmqWA5ixrOJmgDJDkATVESAf4wQ1vyaQp010P0OEWv0SGlOG26yaJaUPPjm3lv&#10;pPX1YA07KkDtXcUXszlnyklfa9dW/PFh9+6KM4zC1cJ4pyp+UsivN2/frPtQqqXvvKkVMAJxWPah&#10;4l2MoSwKlJ2yAmc+KEfJxoMVkVxoixpET+jWFMv5/LLoPdQBvFSIFN2OST4hwmsAfdNoqbZeHqxy&#10;cUQFZUQkStjpgHyTp20aJeOXpkEVmak4MY35pCZk79NZbNaibEGETstpBPGaEV5wskI7anqG2ooo&#10;2AH0P1BWS/DomziT3hYjkawIsVjMX2hz34mgMheSGsNZdPx/sPLz8Q6Yrit+ueLMCUsb//X1+88f&#10;3xgFSJ0+YElF9+EOJg/JTFSHBmx6Ewk2ZEVPZ0XVEJmk4OLjxcXqA4ktKbdaLt9fZcmL59sBMN4o&#10;b1kyKg60sSykON5ipI5U+lSSmqE3ut5pY7ID7f6TAXYUtN1dftLIdOWvMuNSsfPp2phOkSIxG7kk&#10;Kw77YSK49/WJRDkE0G1HMy0yaCqiJWT46YNJW/7Tz6DPP8n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NJsHLWAAAABwEAAA8AAAAAAAAAAQAgAAAAIgAAAGRycy9kb3ducmV2LnhtbFBLAQIUABQA&#10;AAAIAIdO4kAprrN/uQEAAGwDAAAOAAAAAAAAAAEAIAAAACUBAABkcnMvZTJvRG9jLnhtbFBLBQYA&#10;AAAABgAGAFkBAABQBQAAAAA=&#10;">
                <v:fill on="t" focussize="0,0"/>
                <v:stroke on="f"/>
                <v:imagedata o:title=""/>
                <o:lock v:ext="edit" aspectratio="f"/>
                <v:textbox>
                  <w:txbxContent>
                    <w:p w14:paraId="054BBFCF">
                      <w:r>
                        <w:rPr>
                          <w:rFonts w:hint="eastAsia"/>
                        </w:rPr>
                        <w:t>噪声、扬尘、弃土、基坑废水</w:t>
                      </w:r>
                    </w:p>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704320" behindDoc="0" locked="0" layoutInCell="1" allowOverlap="1">
                <wp:simplePos x="0" y="0"/>
                <wp:positionH relativeFrom="column">
                  <wp:posOffset>3594735</wp:posOffset>
                </wp:positionH>
                <wp:positionV relativeFrom="paragraph">
                  <wp:posOffset>51435</wp:posOffset>
                </wp:positionV>
                <wp:extent cx="1541145" cy="321945"/>
                <wp:effectExtent l="0" t="0" r="1905" b="1905"/>
                <wp:wrapNone/>
                <wp:docPr id="32" name="矩形 32"/>
                <wp:cNvGraphicFramePr/>
                <a:graphic xmlns:a="http://schemas.openxmlformats.org/drawingml/2006/main">
                  <a:graphicData uri="http://schemas.microsoft.com/office/word/2010/wordprocessingShape">
                    <wps:wsp>
                      <wps:cNvSpPr/>
                      <wps:spPr>
                        <a:xfrm>
                          <a:off x="0" y="0"/>
                          <a:ext cx="1541145" cy="321945"/>
                        </a:xfrm>
                        <a:prstGeom prst="rect">
                          <a:avLst/>
                        </a:prstGeom>
                        <a:solidFill>
                          <a:srgbClr val="FFFFFF"/>
                        </a:solidFill>
                        <a:ln>
                          <a:noFill/>
                        </a:ln>
                      </wps:spPr>
                      <wps:txbx>
                        <w:txbxContent>
                          <w:p w14:paraId="2B897768">
                            <w:r>
                              <w:rPr>
                                <w:rFonts w:hint="eastAsia"/>
                              </w:rPr>
                              <w:t>破坏陆、水生生态</w:t>
                            </w:r>
                          </w:p>
                        </w:txbxContent>
                      </wps:txbx>
                      <wps:bodyPr upright="1"/>
                    </wps:wsp>
                  </a:graphicData>
                </a:graphic>
              </wp:anchor>
            </w:drawing>
          </mc:Choice>
          <mc:Fallback>
            <w:pict>
              <v:rect id="_x0000_s1026" o:spid="_x0000_s1026" o:spt="1" style="position:absolute;left:0pt;margin-left:283.05pt;margin-top:4.05pt;height:25.35pt;width:121.35pt;z-index:251704320;mso-width-relative:page;mso-height-relative:page;" fillcolor="#FFFFFF" filled="t" stroked="f" coordsize="21600,21600" o:gfxdata="UEsDBAoAAAAAAIdO4kAAAAAAAAAAAAAAAAAEAAAAZHJzL1BLAwQUAAAACACHTuJAuqq9TtQAAAAI&#10;AQAADwAAAGRycy9kb3ducmV2LnhtbE2PwU7DMBBE70j8g7VI3KgdoFEIcXpA6gk40CJx3cbbJCJe&#10;h9hpw9+znOA0Wr3R7Ey1WfygTjTFPrCFbGVAETfB9dxaeN9vbwpQMSE7HAKThW+KsKkvLyosXTjz&#10;G512qVUSwrFEC11KY6l1bDryGFdhJBZ2DJPHJOfUajfhWcL9oG+NybXHnuVDhyM9ddR87mZvAfN7&#10;9/V6vHvZP885PrSL2a4/jLXXV5l5BJVoSX9m+K0v1aGWTocws4tqsLDO80ysFgoR4YUpZMpBgKiu&#10;K/1/QP0DUEsDBBQAAAAIAIdO4kBSNlSbtgEAAGwDAAAOAAAAZHJzL2Uyb0RvYy54bWytU0tu2zAQ&#10;3RfIHQjua1lOUrSC5SxqOJsiDZDmADRFSQT4wwxtyacpkF0P0eMUvUaHlOq06SaLakHNj2/mvZHW&#10;N6M17KgAtXc1LxdLzpSTvtGuq/njl93b95xhFK4RxjtV85NCfrO5eLMeQqVWvvemUcAIxGE1hJr3&#10;MYaqKFD2ygpc+KAcJVsPVkRyoSsaEAOhW1Oslst3xeChCeClQqTodkryGRFeA+jbVku19fJglYsT&#10;KigjIlHCXgfkmzxt2yoZP7ctqshMzYlpzCc1IXufzmKzFlUHIvRaziOI14zwgpMV2lHTM9RWRMEO&#10;oP+BslqCR9/GhfS2mIhkRYhFuXyhzUMvgspcSGoMZ9Hx/8HKu+M9MN3U/HLFmROWNv7z67cf358Y&#10;BUidIWBFRQ/hHmYPyUxUxxZsehMJNmZFT2dF1RiZpGB5fVWWV9ecScpdrsoPZBNM8Xw7AMZb5S1L&#10;Rs2BNpaFFMdPGKfS3yWpGXqjm502JjvQ7T8aYEdB293lZ0b/q8y4VOx8ujYhpkiRmE1ckhXH/TgT&#10;3PvmRKIcAuiup5nKDJqKaAl5+PmDSVv+08+gzz/J5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6&#10;qr1O1AAAAAgBAAAPAAAAAAAAAAEAIAAAACIAAABkcnMvZG93bnJldi54bWxQSwECFAAUAAAACACH&#10;TuJAUjZUm7YBAABsAwAADgAAAAAAAAABACAAAAAjAQAAZHJzL2Uyb0RvYy54bWxQSwUGAAAAAAYA&#10;BgBZAQAASwUAAAAA&#10;">
                <v:fill on="t" focussize="0,0"/>
                <v:stroke on="f"/>
                <v:imagedata o:title=""/>
                <o:lock v:ext="edit" aspectratio="f"/>
                <v:textbox>
                  <w:txbxContent>
                    <w:p w14:paraId="2B897768">
                      <w:r>
                        <w:rPr>
                          <w:rFonts w:hint="eastAsia"/>
                        </w:rPr>
                        <w:t>破坏陆、水生生态</w:t>
                      </w:r>
                    </w:p>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703296" behindDoc="0" locked="0" layoutInCell="1" allowOverlap="1">
                <wp:simplePos x="0" y="0"/>
                <wp:positionH relativeFrom="column">
                  <wp:posOffset>3239135</wp:posOffset>
                </wp:positionH>
                <wp:positionV relativeFrom="paragraph">
                  <wp:posOffset>212725</wp:posOffset>
                </wp:positionV>
                <wp:extent cx="374650" cy="6350"/>
                <wp:effectExtent l="0" t="36830" r="6350" b="33020"/>
                <wp:wrapNone/>
                <wp:docPr id="58" name="直接连接符 58"/>
                <wp:cNvGraphicFramePr/>
                <a:graphic xmlns:a="http://schemas.openxmlformats.org/drawingml/2006/main">
                  <a:graphicData uri="http://schemas.microsoft.com/office/word/2010/wordprocessingShape">
                    <wps:wsp>
                      <wps:cNvCnPr/>
                      <wps:spPr>
                        <a:xfrm flipV="1">
                          <a:off x="0" y="0"/>
                          <a:ext cx="374650" cy="635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255.05pt;margin-top:16.75pt;height:0.5pt;width:29.5pt;z-index:251703296;mso-width-relative:page;mso-height-relative:page;" filled="f" stroked="t" coordsize="21600,21600" o:gfxdata="UEsDBAoAAAAAAIdO4kAAAAAAAAAAAAAAAAAEAAAAZHJzL1BLAwQUAAAACACHTuJARg1az9YAAAAJ&#10;AQAADwAAAGRycy9kb3ducmV2LnhtbE2PTU/DMAyG70j8h8hI3FhStk60NN1hEhLixjaJa9Z4bbXE&#10;KUn2Ab8ec4KjXz96/bhZXb0TZ4xpDKShmCkQSF2wI/UadtuXhycQKRuyxgVCDV+YYNXe3jSmtuFC&#10;73je5F5wCaXaaBhynmopUzegN2kWJiTeHUL0JvMYe2mjuXC5d/JRqaX0ZiS+MJgJ1wN2x83Ja1io&#10;z+/19q0fK/eKVcJIh2P+0Pr+rlDPIDJe8x8Mv/qsDi077cOJbBJOQ1moglEN83kJgoFyWXGw52BR&#10;gmwb+f+D9gdQSwMEFAAAAAgAh07iQPft6joGAgAA9QMAAA4AAABkcnMvZTJvRG9jLnhtbK1TS44T&#10;MRDdI3EHy3vSSYaEoZXOLCYMGwSR+Owr/nRb8k+2k04uwQWQ2MGK5ey5DTPHoOwOGRiENAu8sMqu&#10;5+d6z+XFxd5oshMhKmcbOhmNKRGWOa5s29D3766enFMSE1gO2lnR0IOI9GL5+NGi97WYus5pLgJB&#10;Ehvr3je0S8nXVRVZJwzEkfPCYlK6YCDhMrQVD9Aju9HVdDyeV70L3AfHRIy4uxqS9MgYHkLopFRM&#10;rBzbGmHTwBqEhoSSYqd8pMtSrZSCpTdSRpGIbigqTWXGSzDe5LlaLqBuA/hOsWMJ8JAS7mkyoCxe&#10;eqJaQQKyDeovKqNYcNHJNGLOVIOQ4giqmIzvefO2Ay+KFrQ6+pPp8f/Rste7dSCKN3SG727B4Ivf&#10;fLr+8fHL7ffPON98+0owgzb1PtaIvrTrcFxFvw5Z814GQ6RW/gP2U3EBdZF9MflwMlnsE2G4efbs&#10;6XyG9jNMzc8wQrZqIMlkPsT0UjhDctBQrWx2AGrYvYppgP6C5G1tSd/Q57PpDBkB21FiG2BoPEqK&#10;ti1no9OKXymt84kY2s2lDmQHuSXKOJbwByxfsoLYDTiOUUZB3QngLywn6eDRKotfhOYKjOCUaIE/&#10;KkcFmUDpO2QKCmyr/4FGA7RFH7LJg6052jh+wNfZ+qDaDs2YlEJzBruhuHbs3Nxuv68L091v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g1az9YAAAAJAQAADwAAAAAAAAABACAAAAAiAAAAZHJz&#10;L2Rvd25yZXYueG1sUEsBAhQAFAAAAAgAh07iQPft6joGAgAA9QMAAA4AAAAAAAAAAQAgAAAAJQEA&#10;AGRycy9lMm9Eb2MueG1sUEsFBgAAAAAGAAYAWQEAAJ0FAAAAAA==&#10;">
                <v:fill on="f" focussize="0,0"/>
                <v:stroke color="#000000" joinstyle="round" dashstyle="dash" endarrow="block"/>
                <v:imagedata o:title=""/>
                <o:lock v:ext="edit" aspectratio="f"/>
              </v:line>
            </w:pict>
          </mc:Fallback>
        </mc:AlternateContent>
      </w:r>
      <w:r>
        <w:rPr>
          <w:rFonts w:hint="eastAsia" w:ascii="Arial" w:hAnsi="宋体" w:cs="Arial"/>
          <w:bCs/>
          <w:sz w:val="26"/>
          <w:szCs w:val="26"/>
        </w:rPr>
        <mc:AlternateContent>
          <mc:Choice Requires="wps">
            <w:drawing>
              <wp:anchor distT="0" distB="0" distL="114300" distR="114300" simplePos="0" relativeHeight="251689984" behindDoc="0" locked="0" layoutInCell="1" allowOverlap="1">
                <wp:simplePos x="0" y="0"/>
                <wp:positionH relativeFrom="column">
                  <wp:posOffset>2219325</wp:posOffset>
                </wp:positionH>
                <wp:positionV relativeFrom="paragraph">
                  <wp:posOffset>218440</wp:posOffset>
                </wp:positionV>
                <wp:extent cx="339090" cy="0"/>
                <wp:effectExtent l="0" t="38100" r="3810" b="38100"/>
                <wp:wrapNone/>
                <wp:docPr id="73" name="直接连接符 73"/>
                <wp:cNvGraphicFramePr/>
                <a:graphic xmlns:a="http://schemas.openxmlformats.org/drawingml/2006/main">
                  <a:graphicData uri="http://schemas.microsoft.com/office/word/2010/wordprocessingShape">
                    <wps:wsp>
                      <wps:cNvCnPr/>
                      <wps:spPr>
                        <a:xfrm flipH="1">
                          <a:off x="0" y="0"/>
                          <a:ext cx="339090" cy="0"/>
                        </a:xfrm>
                        <a:prstGeom prst="line">
                          <a:avLst/>
                        </a:prstGeom>
                        <a:ln w="9525" cap="flat" cmpd="sng">
                          <a:solidFill>
                            <a:srgbClr val="000000"/>
                          </a:solidFill>
                          <a:prstDash val="sysDot"/>
                          <a:headEnd type="none" w="med" len="med"/>
                          <a:tailEnd type="triangle" w="med" len="med"/>
                        </a:ln>
                      </wps:spPr>
                      <wps:bodyPr upright="1"/>
                    </wps:wsp>
                  </a:graphicData>
                </a:graphic>
              </wp:anchor>
            </w:drawing>
          </mc:Choice>
          <mc:Fallback>
            <w:pict>
              <v:line id="_x0000_s1026" o:spid="_x0000_s1026" o:spt="20" style="position:absolute;left:0pt;flip:x;margin-left:174.75pt;margin-top:17.2pt;height:0pt;width:26.7pt;z-index:251689984;mso-width-relative:page;mso-height-relative:page;" filled="f" stroked="t" coordsize="21600,21600" o:gfxdata="UEsDBAoAAAAAAIdO4kAAAAAAAAAAAAAAAAAEAAAAZHJzL1BLAwQUAAAACACHTuJA3BFz4NkAAAAJ&#10;AQAADwAAAGRycy9kb3ducmV2LnhtbE2Py07DMBBF90j8gzVIbBC164ZHQ5wukFBBsKAFJJZuPCQR&#10;8TiynTT9e1yxgN08ju6cKVaT7diIPrSOFMxnAhhS5UxLtYL3t4fLW2AhajK6c4QKDhhgVZ6eFDo3&#10;bk8bHLexZimEQq4VNDH2OeehatDqMHM9Utp9OW91TK2vufF6n8Jtx6UQ19zqltKFRvd432D1vR2s&#10;gs3H6/N4kGFYLx4vPtdPk/QvN1Kp87O5uAMWcYp/MBz1kzqUyWnnBjKBdQoW2fIqocciA5aATMgl&#10;sN3vgJcF//9B+QNQSwMEFAAAAAgAh07iQIr4ZB0IAgAA9AMAAA4AAABkcnMvZTJvRG9jLnhtbK1T&#10;S44TMRDdI3EHy3vS+WiAtNKZxYSBBYJIMAeouN3dlvyTy0knl+ACSOxgxZL93IbhGFN2ZzIwCGkW&#10;9MIqu8qv6r1+XpzvjWY7GVA5W/HJaMyZtMLVyrYVv/p4+ewlZxjB1qCdlRU/SOTny6dPFr0v5dR1&#10;TtcyMAKxWPa+4l2MviwKFJ00gCPnpaVk44KBSNvQFnWAntCNLqbj8fOid6H2wQmJSKerIcmPiOEx&#10;gK5plJArJ7ZG2jigBqkhEiXslEe+zNM2jRTxfdOgjExXnJjGvFITijdpLZYLKNsAvlPiOAI8ZoQH&#10;nAwoS01PUCuIwLZB/QVllAgOXRNHwpliIJIVIRaT8QNtPnTgZeZCUqM/iY7/D1a8260DU3XFX8w4&#10;s2Doj998/vHz09df119ovfn+jVGGZOo9llR9YdfhuEO/DonzvgmGNVr5N+SnrALxYvss8uEkstxH&#10;JuhwNpuP5yS/uEsVA0JC8gHja+kMS0HFtbKJPpSwe4uRulLpXUk61pb1FZ+fTc8IDsiLDXmAQuOJ&#10;D9o230WnVX2ptE43MLSbCx3YDpIf8pe4Ee4fZanJCrAb6vCAKxcHq3QS6le2ZvHgSSlLL4SnGYys&#10;OdOSHlSKCBHKCErfV8agwLb6H9XUX1saI2k8qJqijasP9HO2Pqi2IzkmedSUITPkoY/GTW77fZ+R&#10;7h/r8h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EXPg2QAAAAkBAAAPAAAAAAAAAAEAIAAAACIA&#10;AABkcnMvZG93bnJldi54bWxQSwECFAAUAAAACACHTuJAivhkHQgCAAD0AwAADgAAAAAAAAABACAA&#10;AAAoAQAAZHJzL2Uyb0RvYy54bWxQSwUGAAAAAAYABgBZAQAAogUAAAAA&#10;">
                <v:fill on="f" focussize="0,0"/>
                <v:stroke color="#000000" joinstyle="round" dashstyle="1 1" endarrow="block"/>
                <v:imagedata o:title=""/>
                <o:lock v:ext="edit" aspectratio="f"/>
              </v:line>
            </w:pict>
          </mc:Fallback>
        </mc:AlternateContent>
      </w:r>
      <w:r>
        <w:rPr>
          <w:rFonts w:hint="eastAsia" w:ascii="Arial" w:hAnsi="宋体" w:cs="Arial"/>
          <w:bCs/>
          <w:sz w:val="26"/>
          <w:szCs w:val="26"/>
        </w:rPr>
        <mc:AlternateContent>
          <mc:Choice Requires="wps">
            <w:drawing>
              <wp:anchor distT="0" distB="0" distL="114300" distR="114300" simplePos="0" relativeHeight="251684864" behindDoc="0" locked="0" layoutInCell="1" allowOverlap="1">
                <wp:simplePos x="0" y="0"/>
                <wp:positionH relativeFrom="column">
                  <wp:posOffset>2570480</wp:posOffset>
                </wp:positionH>
                <wp:positionV relativeFrom="paragraph">
                  <wp:posOffset>107315</wp:posOffset>
                </wp:positionV>
                <wp:extent cx="668655" cy="322580"/>
                <wp:effectExtent l="4445" t="4445" r="12700" b="15875"/>
                <wp:wrapNone/>
                <wp:docPr id="80" name="矩形 80"/>
                <wp:cNvGraphicFramePr/>
                <a:graphic xmlns:a="http://schemas.openxmlformats.org/drawingml/2006/main">
                  <a:graphicData uri="http://schemas.microsoft.com/office/word/2010/wordprocessingShape">
                    <wps:wsp>
                      <wps:cNvSpPr/>
                      <wps:spPr>
                        <a:xfrm>
                          <a:off x="0" y="0"/>
                          <a:ext cx="668655" cy="3225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48D142E8">
                            <w:r>
                              <w:rPr>
                                <w:rFonts w:hint="eastAsia"/>
                              </w:rPr>
                              <w:t>管沟开挖</w:t>
                            </w:r>
                          </w:p>
                        </w:txbxContent>
                      </wps:txbx>
                      <wps:bodyPr lIns="18000" tIns="45720" rIns="18000" bIns="45720" upright="1"/>
                    </wps:wsp>
                  </a:graphicData>
                </a:graphic>
              </wp:anchor>
            </w:drawing>
          </mc:Choice>
          <mc:Fallback>
            <w:pict>
              <v:rect id="_x0000_s1026" o:spid="_x0000_s1026" o:spt="1" style="position:absolute;left:0pt;margin-left:202.4pt;margin-top:8.45pt;height:25.4pt;width:52.65pt;z-index:251684864;mso-width-relative:page;mso-height-relative:page;" fillcolor="#FFC000" filled="t" stroked="t" coordsize="21600,21600" o:gfxdata="UEsDBAoAAAAAAIdO4kAAAAAAAAAAAAAAAAAEAAAAZHJzL1BLAwQUAAAACACHTuJAQkElotUAAAAJ&#10;AQAADwAAAGRycy9kb3ducmV2LnhtbE2PwU7DMBBE70j8g7VIXBC1AyWlIU4PSNxpyge48TZJG69N&#10;7LTN37Oc4Dia0cybcnN1gzjjGHtPGrKFAoHUeNtTq+Fr9/H4CiImQ9YMnlDDjBE21e1NaQrrL7TF&#10;c51awSUUC6OhSykUUsamQ2fiwgck9g5+dCaxHFtpR3PhcjfIJ6Vy6UxPvNCZgO8dNqd6chqmz+ah&#10;PsrvzD8fQ0jbw2xVPmt9f5epNxAJr+kvDL/4jA4VM+39RDaKQcNSLRk9sZGvQXDgJVMZiL2GfLUC&#10;WZXy/4PqB1BLAwQUAAAACACHTuJAZKMmhh4CAABeBAAADgAAAGRycy9lMm9Eb2MueG1srVTNjtMw&#10;EL4j8Q6W7zRplnZL1HSFthQhIVhp4QFcx0ks+U8et0mfBokbD8HjoH0Nxk7pdhcOPXBJZzzjb+b7&#10;ZtzlzaAV2QsP0pqKTic5JcJwW0vTVvTrl82rBSUQmKmZskZU9CCA3qxevlj2rhSF7ayqhScIYqDs&#10;XUW7EFyZZcA7oRlMrBMGg431mgV0fZvVnvWIrlVW5Pk8662vnbdcAODpegzSI6K/BNA2jeRibflO&#10;CxNGVC8UC0gJOumArlK3TSN4+Nw0IAJRFUWmIX2xCNrb+M1WS1a2nrlO8mML7JIWnnHSTBoseoJa&#10;s8DIzsu/oLTk3oJtwoRbnY1EkiLIYpo/0+a+Y04kLig1uJPo8P9g+af9nSeyrugCJTFM48Qfvv34&#10;9fM7wQNUp3dQYtK9u/NHD9CMVIfG6/iLJMiQFD2cFBVDIBwP5/PFfDajhGPoqihmI2b2eNl5CO+F&#10;1SQaFfU4sKQj23+EgAUx9U9KrAVWyXojlUqOb7e3ypM9w+FuNrd5njrGK0/SlCF9Rd/MitgHw41t&#10;cFPQ1A5Zg2lTvSc34Bz4Or/K3/4TODa2ZtCNDSSEcZ+0DCKqxcpOsPqdqUk4OBTW4IOisRktakqU&#10;wPcXrZQZmFSXZCI7ZVCXOJdxEtEKw3Y4jmdr6wOOVH0wuCbTRRSFhOS8nl0X6PjzyPY8snNeth2O&#10;YRp7SiVw7dIQjk8k7vW5n7Ie/xZ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QSWi1QAAAAkB&#10;AAAPAAAAAAAAAAEAIAAAACIAAABkcnMvZG93bnJldi54bWxQSwECFAAUAAAACACHTuJAZKMmhh4C&#10;AABeBAAADgAAAAAAAAABACAAAAAkAQAAZHJzL2Uyb0RvYy54bWxQSwUGAAAAAAYABgBZAQAAtAUA&#10;AAAA&#10;">
                <v:fill on="t" focussize="0,0"/>
                <v:stroke color="#7030A0" joinstyle="miter"/>
                <v:imagedata o:title=""/>
                <o:lock v:ext="edit" aspectratio="f"/>
                <v:textbox inset="0.5mm,1.27mm,0.5mm,1.27mm">
                  <w:txbxContent>
                    <w:p w14:paraId="48D142E8">
                      <w:r>
                        <w:rPr>
                          <w:rFonts w:hint="eastAsia"/>
                        </w:rPr>
                        <w:t>管沟开挖</w:t>
                      </w:r>
                    </w:p>
                  </w:txbxContent>
                </v:textbox>
              </v:rect>
            </w:pict>
          </mc:Fallback>
        </mc:AlternateContent>
      </w:r>
    </w:p>
    <w:p w14:paraId="1AB37A0A">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698176" behindDoc="0" locked="0" layoutInCell="1" allowOverlap="1">
                <wp:simplePos x="0" y="0"/>
                <wp:positionH relativeFrom="column">
                  <wp:posOffset>2896870</wp:posOffset>
                </wp:positionH>
                <wp:positionV relativeFrom="paragraph">
                  <wp:posOffset>123190</wp:posOffset>
                </wp:positionV>
                <wp:extent cx="0" cy="198755"/>
                <wp:effectExtent l="38100" t="0" r="38100" b="10795"/>
                <wp:wrapNone/>
                <wp:docPr id="87" name="直接箭头连接符 87"/>
                <wp:cNvGraphicFramePr/>
                <a:graphic xmlns:a="http://schemas.openxmlformats.org/drawingml/2006/main">
                  <a:graphicData uri="http://schemas.microsoft.com/office/word/2010/wordprocessingShape">
                    <wps:wsp>
                      <wps:cNvCnPr/>
                      <wps:spPr>
                        <a:xfrm>
                          <a:off x="0" y="0"/>
                          <a:ext cx="0" cy="198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8.1pt;margin-top:9.7pt;height:15.65pt;width:0pt;z-index:251698176;mso-width-relative:page;mso-height-relative:page;" filled="f" stroked="t" coordsize="21600,21600" o:gfxdata="UEsDBAoAAAAAAIdO4kAAAAAAAAAAAAAAAAAEAAAAZHJzL1BLAwQUAAAACACHTuJA3QvXw9gAAAAJ&#10;AQAADwAAAGRycy9kb3ducmV2LnhtbE2PTU/DMAyG70j8h8hI3FiyaStbaToJJkQvILFNiGPWmKai&#10;caom++LXY8QBjvb76PXjYnnynTjgENtAGsYjBQKpDralRsN283gzBxGTIWu6QKjhjBGW5eVFYXIb&#10;jvSKh3VqBJdQzI0Gl1KfSxlrh97EUeiROPsIgzeJx6GRdjBHLvednCiVSW9a4gvO9PjgsP5c772G&#10;tHo/u+ytvl+0L5un56z9qqpqpfX11VjdgUh4Sn8w/OizOpTstAt7slF0GqazbMIoB4spCAZ+FzsN&#10;M3ULsizk/w/Kb1BLAwQUAAAACACHTuJAzi9/ewMCAADxAwAADgAAAGRycy9lMm9Eb2MueG1srVPN&#10;jtMwEL4j8Q6W7zRtpbLdqOketiwXBJWAB5g6TmLJf/J4m/YleAEkTsAJOO2dp4HlMRg7pYVFSHsg&#10;B2c8nvlmvs/jxcXOaLaVAZWzFZ+MxpxJK1ytbFvx16+uHs05wwi2Bu2srPheIr9YPnyw6H0pp65z&#10;upaBEYjFsvcV72L0ZVGg6KQBHDkvLR02LhiItA1tUQfoCd3oYjoePy56F2ofnJCI5F0Nh/yAGO4D&#10;6JpGCbly4tpIGwfUIDVEooSd8siXudumkSK+aBqUkemKE9OYVypC9iatxXIBZRvAd0ocWoD7tHCH&#10;kwFlqegRagUR2HVQf0EZJYJD18SRcKYYiGRFiMVkfEeblx14mbmQ1OiPouP/gxXPt+vAVF3x+Rln&#10;Fgzd+O3bm+9vPtx++fzt/c2Pr++S/ekjo3MSq/dYUs6lXYfDDv06JOa7Jpj0J05slwXeHwWWu8jE&#10;4BTknZzPz2azBFec8nzA+FQ6w5JRcYwBVNvFS2ct3aILk6wvbJ9hHBJ/JaSi2rK+4uez6YwzATSV&#10;DU0DmcYTM7RtzkWnVX2ltE4ZGNrNpQ5sC2ky8ndo6I+wVGQF2A1x+SiFQdlJqJ/YmsW9J8ksPRWe&#10;WjCy5kxLelnJypERlD5FxqDAtvof0aSHtiRLknkQNlkbV++z3tlPk5CFO0xtGrXf9zn79FK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dC9fD2AAAAAkBAAAPAAAAAAAAAAEAIAAAACIAAABkcnMv&#10;ZG93bnJldi54bWxQSwECFAAUAAAACACHTuJAzi9/ewMCAADxAwAADgAAAAAAAAABACAAAAAnAQAA&#10;ZHJzL2Uyb0RvYy54bWxQSwUGAAAAAAYABgBZAQAAnAUAAAAA&#10;">
                <v:fill on="f" focussize="0,0"/>
                <v:stroke color="#000000" joinstyle="round" endarrow="block"/>
                <v:imagedata o:title=""/>
                <o:lock v:ext="edit" aspectratio="f"/>
              </v:shape>
            </w:pict>
          </mc:Fallback>
        </mc:AlternateContent>
      </w:r>
    </w:p>
    <w:p w14:paraId="08DC50F7">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695104" behindDoc="0" locked="0" layoutInCell="1" allowOverlap="1">
                <wp:simplePos x="0" y="0"/>
                <wp:positionH relativeFrom="column">
                  <wp:posOffset>859155</wp:posOffset>
                </wp:positionH>
                <wp:positionV relativeFrom="paragraph">
                  <wp:posOffset>44450</wp:posOffset>
                </wp:positionV>
                <wp:extent cx="1299210" cy="321945"/>
                <wp:effectExtent l="0" t="0" r="15240" b="1905"/>
                <wp:wrapNone/>
                <wp:docPr id="94" name="矩形 94"/>
                <wp:cNvGraphicFramePr/>
                <a:graphic xmlns:a="http://schemas.openxmlformats.org/drawingml/2006/main">
                  <a:graphicData uri="http://schemas.microsoft.com/office/word/2010/wordprocessingShape">
                    <wps:wsp>
                      <wps:cNvSpPr/>
                      <wps:spPr>
                        <a:xfrm>
                          <a:off x="0" y="0"/>
                          <a:ext cx="1299210" cy="321945"/>
                        </a:xfrm>
                        <a:prstGeom prst="rect">
                          <a:avLst/>
                        </a:prstGeom>
                        <a:solidFill>
                          <a:srgbClr val="FFFFFF"/>
                        </a:solidFill>
                        <a:ln>
                          <a:noFill/>
                        </a:ln>
                      </wps:spPr>
                      <wps:txbx>
                        <w:txbxContent>
                          <w:p w14:paraId="18140AC5">
                            <w:r>
                              <w:rPr>
                                <w:rFonts w:hint="eastAsia"/>
                              </w:rPr>
                              <w:t>噪声、扬尘、废水</w:t>
                            </w:r>
                          </w:p>
                        </w:txbxContent>
                      </wps:txbx>
                      <wps:bodyPr upright="1"/>
                    </wps:wsp>
                  </a:graphicData>
                </a:graphic>
              </wp:anchor>
            </w:drawing>
          </mc:Choice>
          <mc:Fallback>
            <w:pict>
              <v:rect id="_x0000_s1026" o:spid="_x0000_s1026" o:spt="1" style="position:absolute;left:0pt;margin-left:67.65pt;margin-top:3.5pt;height:25.35pt;width:102.3pt;z-index:251695104;mso-width-relative:page;mso-height-relative:page;" fillcolor="#FFFFFF" filled="t" stroked="f" coordsize="21600,21600" o:gfxdata="UEsDBAoAAAAAAIdO4kAAAAAAAAAAAAAAAAAEAAAAZHJzL1BLAwQUAAAACACHTuJAqqTqLtYAAAAI&#10;AQAADwAAAGRycy9kb3ducmV2LnhtbE2PMU/DMBSEdyT+g/WQ2KhdQhIS4nRA6gQMtEisr/FrEhHb&#10;IXba8O95THQ83enuu2qz2EGcaAq9dxrWKwWCXONN71oNH/vt3SOIENEZHLwjDT8UYFNfX1VYGn92&#10;73TaxVZwiQslauhiHEspQ9ORxbDyIzn2jn6yGFlOrTQTnrncDvJeqUxa7B0vdDjSc0fN1262GjB7&#10;MN9vx+R1/zJnWLSL2qafSuvbm7V6AhFpif9h+MNndKiZ6eBnZ4IYWCdpwlENOV9iP0mKAsRBQ5rn&#10;IOtKXh6ofwFQSwMEFAAAAAgAh07iQHNEtDi1AQAAbAMAAA4AAABkcnMvZTJvRG9jLnhtbK1TzY7T&#10;MBC+I/EOlu80TVgQjZrugapcEKy08ACu4ySW/KcZt0mfBokbD8HjIF6DsRO6sFz2QA7O/Pmb+b5J&#10;treTNeysALV3DS9Xa86Uk77Vrm/450+HF284wyhcK4x3quEXhfx29/zZdgy1qvzgTauAEYjDegwN&#10;H2IMdVGgHJQVuPJBOUp2HqyI5EJftCBGQremqNbr18XooQ3gpUKk6H5O8gURngLou05LtffyZJWL&#10;MyooIyJRwkEH5Ls8bdcpGT92HarITMOJacwnNSH7mM5itxV1DyIMWi4jiKeM8IiTFdpR0yvUXkTB&#10;TqD/gbJagkffxZX0tpiJZEWIRbl+pM39IILKXEhqDFfR8f/Byg/nO2C6bfjmhjMnLG3855dvP75/&#10;ZRQgdcaANRXdhztYPCQzUZ06sOlNJNiUFb1cFVVTZJKCZbXZVCWJLSn3sio3N68SaPFwOwDGd8pb&#10;loyGA20sCynO7zHOpb9LUjP0RrcHbUx2oD++NcDOgrZ7yM+C/leZcanY+XRtRkyRIjGbuSQrTsdp&#10;IXj07YVEOQXQ/UAzlRk0FdES8vDLB5O2/KefQR9+kt0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qTqLtYAAAAIAQAADwAAAAAAAAABACAAAAAiAAAAZHJzL2Rvd25yZXYueG1sUEsBAhQAFAAAAAgA&#10;h07iQHNEtDi1AQAAbAMAAA4AAAAAAAAAAQAgAAAAJQEAAGRycy9lMm9Eb2MueG1sUEsFBgAAAAAG&#10;AAYAWQEAAEwFAAAAAA==&#10;">
                <v:fill on="t" focussize="0,0"/>
                <v:stroke on="f"/>
                <v:imagedata o:title=""/>
                <o:lock v:ext="edit" aspectratio="f"/>
                <v:textbox>
                  <w:txbxContent>
                    <w:p w14:paraId="18140AC5">
                      <w:r>
                        <w:rPr>
                          <w:rFonts w:hint="eastAsia"/>
                        </w:rPr>
                        <w:t>噪声、扬尘、废水</w:t>
                      </w:r>
                    </w:p>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691008" behindDoc="0" locked="0" layoutInCell="1" allowOverlap="1">
                <wp:simplePos x="0" y="0"/>
                <wp:positionH relativeFrom="column">
                  <wp:posOffset>2158365</wp:posOffset>
                </wp:positionH>
                <wp:positionV relativeFrom="paragraph">
                  <wp:posOffset>161290</wp:posOffset>
                </wp:positionV>
                <wp:extent cx="327660" cy="0"/>
                <wp:effectExtent l="0" t="38100" r="15240" b="38100"/>
                <wp:wrapNone/>
                <wp:docPr id="50" name="直接连接符 50"/>
                <wp:cNvGraphicFramePr/>
                <a:graphic xmlns:a="http://schemas.openxmlformats.org/drawingml/2006/main">
                  <a:graphicData uri="http://schemas.microsoft.com/office/word/2010/wordprocessingShape">
                    <wps:wsp>
                      <wps:cNvCnPr/>
                      <wps:spPr>
                        <a:xfrm flipH="1" flipV="1">
                          <a:off x="0" y="0"/>
                          <a:ext cx="327660" cy="0"/>
                        </a:xfrm>
                        <a:prstGeom prst="line">
                          <a:avLst/>
                        </a:prstGeom>
                        <a:ln w="9525" cap="rnd" cmpd="sng">
                          <a:solidFill>
                            <a:srgbClr val="000000"/>
                          </a:solidFill>
                          <a:prstDash val="sysDot"/>
                          <a:headEnd type="none" w="med" len="med"/>
                          <a:tailEnd type="triangle" w="med" len="med"/>
                        </a:ln>
                      </wps:spPr>
                      <wps:bodyPr upright="1"/>
                    </wps:wsp>
                  </a:graphicData>
                </a:graphic>
              </wp:anchor>
            </w:drawing>
          </mc:Choice>
          <mc:Fallback>
            <w:pict>
              <v:line id="_x0000_s1026" o:spid="_x0000_s1026" o:spt="20" style="position:absolute;left:0pt;flip:x y;margin-left:169.95pt;margin-top:12.7pt;height:0pt;width:25.8pt;z-index:251691008;mso-width-relative:page;mso-height-relative:page;" filled="f" stroked="t" coordsize="21600,21600" o:gfxdata="UEsDBAoAAAAAAIdO4kAAAAAAAAAAAAAAAAAEAAAAZHJzL1BLAwQUAAAACACHTuJAWgfUWNkAAAAJ&#10;AQAADwAAAGRycy9kb3ducmV2LnhtbE2PsW7CMBCG90p9B+sqsVTghAAiaRwGpA5MCGgrdTPxJY4a&#10;n6PYIeHt66pDO97dp/++P99NpmU37F1jSUC8iIAhlVY1VAt4u7zOt8Ccl6RkawkF3NHBrnh8yGWm&#10;7EgnvJ19zUIIuUwK0N53Geeu1GikW9gOKdwq2xvpw9jXXPVyDOGm5cso2nAjGwoftOxwr7H8Og9G&#10;wJH0lldDcxntaTV98PfDc7X/FGL2FEcvwDxO/g+GH/2gDkVwutqBlGOtgCRJ04AKWK5XwAKQpPEa&#10;2PV3wYuc/29QfANQSwMEFAAAAAgAh07iQIeE4vYLAgAA/QMAAA4AAABkcnMvZTJvRG9jLnhtbK1T&#10;S44TMRDdI3EHy3vSSVAC00pnFhMGFggi8dlX3O5uS/7J5aSTS3ABJHawYjl7bsPMMSi7MxkYhDQL&#10;emGVXc+v6r0uL873RrOdDKicrfhkNOZMWuFqZduKf3h/+eQ5ZxjB1qCdlRU/SOTny8ePFr0v5dR1&#10;TtcyMCKxWPa+4l2MviwKFJ00gCPnpaVk44KBSNvQFnWAntiNLqbj8bzoXah9cEIi0ulqSPIjY3gI&#10;oWsaJeTKia2RNg6sQWqIJAk75ZEvc7dNI0V82zQoI9MVJ6Uxr1SE4k1ai+UCyjaA75Q4tgAPaeGe&#10;JgPKUtET1QoisG1Qf1EZJYJD18SRcKYYhGRHSMVkfM+bdx14mbWQ1ehPpuP/oxVvduvAVF3xGVli&#10;wdAfv/589fPT15sfX2i9/v6NUYZs6j2WhL6w63DcoV+HpHnfBMMarfwrmieeo48pSjlSyPbZ7sPJ&#10;brmPTNDh0+mz+ZyqittUMXClez5gfCmdYSmouFY2GQEl7F5jpPoEvYWkY21ZX/Gz2XRGdEBTGWxN&#10;kfEkDG2br6LTqr5UWqcLGNrNhQ5sB2kw8pdEEu0fsFRjBdgNODzgysVhZjoJ9Qtbs3jwZJmlp8JT&#10;C0ZSXS3pZaWIGKGMoPQdMgYFttX/QFN9bamNZPZgb4o2rj7QX9r6oNqO3JjkVlOGpiI3fZzgNHa/&#10;7zPT3atd/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aB9RY2QAAAAkBAAAPAAAAAAAAAAEAIAAA&#10;ACIAAABkcnMvZG93bnJldi54bWxQSwECFAAUAAAACACHTuJAh4Ti9gsCAAD9AwAADgAAAAAAAAAB&#10;ACAAAAAoAQAAZHJzL2Uyb0RvYy54bWxQSwUGAAAAAAYABgBZAQAApQUAAAAA&#10;">
                <v:fill on="f" focussize="0,0"/>
                <v:stroke color="#000000" joinstyle="round" dashstyle="1 1" endcap="round" endarrow="block"/>
                <v:imagedata o:title=""/>
                <o:lock v:ext="edit" aspectratio="f"/>
              </v:line>
            </w:pict>
          </mc:Fallback>
        </mc:AlternateContent>
      </w:r>
      <w:r>
        <w:rPr>
          <w:rFonts w:hint="eastAsia" w:ascii="Arial" w:hAnsi="宋体" w:cs="Arial"/>
          <w:bCs/>
          <w:sz w:val="26"/>
          <w:szCs w:val="26"/>
        </w:rPr>
        <mc:AlternateContent>
          <mc:Choice Requires="wps">
            <w:drawing>
              <wp:anchor distT="0" distB="0" distL="114300" distR="114300" simplePos="0" relativeHeight="251682816" behindDoc="0" locked="0" layoutInCell="1" allowOverlap="1">
                <wp:simplePos x="0" y="0"/>
                <wp:positionH relativeFrom="column">
                  <wp:posOffset>2505710</wp:posOffset>
                </wp:positionH>
                <wp:positionV relativeFrom="paragraph">
                  <wp:posOffset>44450</wp:posOffset>
                </wp:positionV>
                <wp:extent cx="864870" cy="327025"/>
                <wp:effectExtent l="4445" t="4445" r="6985" b="11430"/>
                <wp:wrapNone/>
                <wp:docPr id="71" name="矩形 71"/>
                <wp:cNvGraphicFramePr/>
                <a:graphic xmlns:a="http://schemas.openxmlformats.org/drawingml/2006/main">
                  <a:graphicData uri="http://schemas.microsoft.com/office/word/2010/wordprocessingShape">
                    <wps:wsp>
                      <wps:cNvSpPr/>
                      <wps:spPr>
                        <a:xfrm>
                          <a:off x="0" y="0"/>
                          <a:ext cx="864870" cy="327025"/>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1D28D54C">
                            <w:r>
                              <w:rPr>
                                <w:rFonts w:hint="eastAsia"/>
                              </w:rPr>
                              <w:t>管沟修砌</w:t>
                            </w:r>
                          </w:p>
                          <w:p w14:paraId="31F2FC8D"/>
                        </w:txbxContent>
                      </wps:txbx>
                      <wps:bodyPr upright="1"/>
                    </wps:wsp>
                  </a:graphicData>
                </a:graphic>
              </wp:anchor>
            </w:drawing>
          </mc:Choice>
          <mc:Fallback>
            <w:pict>
              <v:rect id="_x0000_s1026" o:spid="_x0000_s1026" o:spt="1" style="position:absolute;left:0pt;margin-left:197.3pt;margin-top:3.5pt;height:25.75pt;width:68.1pt;z-index:251682816;mso-width-relative:page;mso-height-relative:page;" fillcolor="#FFC000" filled="t" stroked="t" coordsize="21600,21600" o:gfxdata="UEsDBAoAAAAAAIdO4kAAAAAAAAAAAAAAAAAEAAAAZHJzL1BLAwQUAAAACACHTuJAM8gtx9YAAAAI&#10;AQAADwAAAGRycy9kb3ducmV2LnhtbE2PwU7DMBBE70j8g7VI3KhdQt02xKkQCuLEgYI4u/GSRMTr&#10;KHbb5O9ZTvS2oxnNzit2k+/FCcfYBTKwXCgQSHVwHTUGPj9e7jYgYrLkbB8IDcwYYVdeXxU2d+FM&#10;73jap0ZwCcXcGmhTGnIpY92it3ERBiT2vsPobWI5NtKN9szlvpf3SmnpbUf8obUDPrdY/+yP3sC0&#10;/RrmSr/Wb9WTm4dK+2ytvTG3N0v1CCLhlP7D8Defp0PJmw7hSC6K3kC2fdAcNbBmJPZXmWKUAx+b&#10;FciykJcA5S9QSwMEFAAAAAgAh07iQKvwO1gGAgAAKgQAAA4AAABkcnMvZTJvRG9jLnhtbK1TS44T&#10;MRDdI3EHy3vSnQwzybTSGaEJYYNgpIEDOLa725J/cjnpzmmQ2HEIjoO4BmV3yPxYZMGmu2yXX9V7&#10;r7y8GYwmexlAOVvT6aSkRFruhLJtTb9+2bxZUAKRWcG0s7KmBwn0ZvX61bL3lZy5zmkhA0EQC1Xv&#10;a9rF6KuiAN5Jw2DivLR42LhgWMRlaAsRWI/oRhezsrwqeheED45LANxdj4f0iBjOAXRNo7hcO74z&#10;0sYRNUjNIlKCTnmgq9xt00gePzcNyEh0TZFpzF8sgvE2fYvVklVtYL5T/NgCO6eFZ5wMUxaLnqDW&#10;LDKyC+oFlFE8OHBNnHBnipFIVgRZTMtn2tx3zMvMBaUGfxId/h8s/7S/C0SJms6nlFhm0PHf3378&#10;+vmd4Aaq03uoMOne34XjCjBMVIcmmPRHEmTIih5OisohEo6bi6u3izlqzfHoYjYvZ5cJs3i47APE&#10;D9IZkoKaBjQs68j2HyGOqX9TUi1wWomN0jovQru91YHsGZq72dyWZfYT0Z+kaUv6ml5fYm3CGU5s&#10;g5OCofHIGmyb6z25AY+B5+VF+e6fwKmxNYNubCAjjPNkVJRJLVZ1kon3VpB48CisxQdFUzNGCkq0&#10;xPeXopwZmdLnZCI7bVHC5MvoRIrisB0QJoVbJw5o6c4H1XYoaXYxp+MIZe2P455m9PE6gz488d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8gtx9YAAAAIAQAADwAAAAAAAAABACAAAAAiAAAAZHJz&#10;L2Rvd25yZXYueG1sUEsBAhQAFAAAAAgAh07iQKvwO1gGAgAAKgQAAA4AAAAAAAAAAQAgAAAAJQEA&#10;AGRycy9lMm9Eb2MueG1sUEsFBgAAAAAGAAYAWQEAAJ0FAAAAAA==&#10;">
                <v:fill on="t" focussize="0,0"/>
                <v:stroke color="#7030A0" joinstyle="miter"/>
                <v:imagedata o:title=""/>
                <o:lock v:ext="edit" aspectratio="f"/>
                <v:textbox>
                  <w:txbxContent>
                    <w:p w14:paraId="1D28D54C">
                      <w:r>
                        <w:rPr>
                          <w:rFonts w:hint="eastAsia"/>
                        </w:rPr>
                        <w:t>管沟修砌</w:t>
                      </w:r>
                    </w:p>
                    <w:p w14:paraId="31F2FC8D"/>
                  </w:txbxContent>
                </v:textbox>
              </v:rect>
            </w:pict>
          </mc:Fallback>
        </mc:AlternateContent>
      </w:r>
    </w:p>
    <w:p w14:paraId="2EDAD6B7">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706368" behindDoc="0" locked="0" layoutInCell="1" allowOverlap="1">
                <wp:simplePos x="0" y="0"/>
                <wp:positionH relativeFrom="column">
                  <wp:posOffset>859155</wp:posOffset>
                </wp:positionH>
                <wp:positionV relativeFrom="paragraph">
                  <wp:posOffset>246380</wp:posOffset>
                </wp:positionV>
                <wp:extent cx="1299210" cy="322580"/>
                <wp:effectExtent l="0" t="0" r="15240" b="1270"/>
                <wp:wrapNone/>
                <wp:docPr id="72" name="矩形 72"/>
                <wp:cNvGraphicFramePr/>
                <a:graphic xmlns:a="http://schemas.openxmlformats.org/drawingml/2006/main">
                  <a:graphicData uri="http://schemas.microsoft.com/office/word/2010/wordprocessingShape">
                    <wps:wsp>
                      <wps:cNvSpPr/>
                      <wps:spPr>
                        <a:xfrm>
                          <a:off x="0" y="0"/>
                          <a:ext cx="1299210" cy="322580"/>
                        </a:xfrm>
                        <a:prstGeom prst="rect">
                          <a:avLst/>
                        </a:prstGeom>
                        <a:solidFill>
                          <a:srgbClr val="FFFFFF"/>
                        </a:solidFill>
                        <a:ln>
                          <a:noFill/>
                        </a:ln>
                      </wps:spPr>
                      <wps:txbx>
                        <w:txbxContent>
                          <w:p w14:paraId="08BA8B84">
                            <w:r>
                              <w:rPr>
                                <w:rFonts w:hint="eastAsia"/>
                              </w:rPr>
                              <w:t>噪声、扬尘、废水</w:t>
                            </w:r>
                          </w:p>
                        </w:txbxContent>
                      </wps:txbx>
                      <wps:bodyPr upright="1"/>
                    </wps:wsp>
                  </a:graphicData>
                </a:graphic>
              </wp:anchor>
            </w:drawing>
          </mc:Choice>
          <mc:Fallback>
            <w:pict>
              <v:rect id="_x0000_s1026" o:spid="_x0000_s1026" o:spt="1" style="position:absolute;left:0pt;margin-left:67.65pt;margin-top:19.4pt;height:25.4pt;width:102.3pt;z-index:251706368;mso-width-relative:page;mso-height-relative:page;" fillcolor="#FFFFFF" filled="t" stroked="f" coordsize="21600,21600" o:gfxdata="UEsDBAoAAAAAAIdO4kAAAAAAAAAAAAAAAAAEAAAAZHJzL1BLAwQUAAAACACHTuJALm/6XNYAAAAJ&#10;AQAADwAAAGRycy9kb3ducmV2LnhtbE2PMU/DMBCFdyT+g3VIbNQuplES4nRA6gQMtEis1/iaRMR2&#10;iJ02/HuOCcan+/Tue9V2cYM40xT74A2sVwoE+SbY3rcG3g+7uxxETOgtDsGTgW+KsK2vryosbbj4&#10;NzrvUyu4xMcSDXQpjaWUsenIYVyFkTzfTmFymDhOrbQTXrjcDfJeqUw67D1/6HCkp46az/3sDGD2&#10;YL9eT/rl8DxnWLSL2m0+lDG3N2v1CCLRkv5g+NVndajZ6Rhmb6MYOOuNZtSAznkCA1oXBYijgbzI&#10;QNaV/L+g/gFQSwMEFAAAAAgAh07iQEIMxKK4AQAAbAMAAA4AAABkcnMvZTJvRG9jLnhtbK1TS47U&#10;MBDdI3EHy3s6nSBgJur0LGg1GwQjDRzA7TiJJf9U5e6kT4PEjkNwHMQ1KDuhB2Y2s5gsnPr5Vb1X&#10;yeZmsoadFKD2ruHlas2ZctK32vUN//pl/+qKM4zCtcJ4pxp+Vshvti9fbMZQq8oP3rQKGIE4rMfQ&#10;8CHGUBcFykFZgSsflKNk58GKSC70RQtiJHRrimq9fluMHtoAXipEiu7mJF8Q4SmAvuu0VDsvj1a5&#10;OKOCMiISJRx0QL7N03adkvFz16GKzDScmMZ8UhOyD+ksthtR9yDCoOUygnjKCA84WaEdNb1A7UQU&#10;7Aj6EZTVEjz6Lq6kt8VMJCtCLMr1A23uBhFU5kJSY7iIjs8HKz+dboHptuHvKs6csLTx399+/Pr5&#10;nVGA1BkD1lR0F25h8ZDMRHXqwKY3kWBTVvR8UVRNkUkKltX1dVWS2JJyr6vqzVWWvLi/HQDjB+Ut&#10;S0bDgTaWhRSnjxipI5X+LUnN0Bvd7rUx2YH+8N4AOwna7j4/aWS68l+ZcanY+XRtTqdIkZjNXJIV&#10;p8O0EDz49kyiHAPofqCZygyaimgJGX75YNKW//Uz6P1Psv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m/6XNYAAAAJAQAADwAAAAAAAAABACAAAAAiAAAAZHJzL2Rvd25yZXYueG1sUEsBAhQAFAAA&#10;AAgAh07iQEIMxKK4AQAAbAMAAA4AAAAAAAAAAQAgAAAAJQEAAGRycy9lMm9Eb2MueG1sUEsFBgAA&#10;AAAGAAYAWQEAAE8FAAAAAA==&#10;">
                <v:fill on="t" focussize="0,0"/>
                <v:stroke on="f"/>
                <v:imagedata o:title=""/>
                <o:lock v:ext="edit" aspectratio="f"/>
                <v:textbox>
                  <w:txbxContent>
                    <w:p w14:paraId="08BA8B84">
                      <w:r>
                        <w:rPr>
                          <w:rFonts w:hint="eastAsia"/>
                        </w:rPr>
                        <w:t>噪声、扬尘、废水</w:t>
                      </w:r>
                    </w:p>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701248" behindDoc="0" locked="0" layoutInCell="1" allowOverlap="1">
                <wp:simplePos x="0" y="0"/>
                <wp:positionH relativeFrom="column">
                  <wp:posOffset>2505710</wp:posOffset>
                </wp:positionH>
                <wp:positionV relativeFrom="paragraph">
                  <wp:posOffset>246380</wp:posOffset>
                </wp:positionV>
                <wp:extent cx="864870" cy="281940"/>
                <wp:effectExtent l="4445" t="4445" r="6985" b="18415"/>
                <wp:wrapNone/>
                <wp:docPr id="8" name="矩形 8"/>
                <wp:cNvGraphicFramePr/>
                <a:graphic xmlns:a="http://schemas.openxmlformats.org/drawingml/2006/main">
                  <a:graphicData uri="http://schemas.microsoft.com/office/word/2010/wordprocessingShape">
                    <wps:wsp>
                      <wps:cNvSpPr/>
                      <wps:spPr>
                        <a:xfrm>
                          <a:off x="0" y="0"/>
                          <a:ext cx="864870" cy="28194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59A00F07">
                            <w:r>
                              <w:rPr>
                                <w:rFonts w:hint="eastAsia"/>
                              </w:rPr>
                              <w:t>管道安装</w:t>
                            </w:r>
                          </w:p>
                          <w:p w14:paraId="154DC639"/>
                        </w:txbxContent>
                      </wps:txbx>
                      <wps:bodyPr upright="1"/>
                    </wps:wsp>
                  </a:graphicData>
                </a:graphic>
              </wp:anchor>
            </w:drawing>
          </mc:Choice>
          <mc:Fallback>
            <w:pict>
              <v:rect id="_x0000_s1026" o:spid="_x0000_s1026" o:spt="1" style="position:absolute;left:0pt;margin-left:197.3pt;margin-top:19.4pt;height:22.2pt;width:68.1pt;z-index:251701248;mso-width-relative:page;mso-height-relative:page;" fillcolor="#FFC000" filled="t" stroked="t" coordsize="21600,21600" o:gfxdata="UEsDBAoAAAAAAIdO4kAAAAAAAAAAAAAAAAAEAAAAZHJzL1BLAwQUAAAACACHTuJAJQCM7NYAAAAJ&#10;AQAADwAAAGRycy9kb3ducmV2LnhtbE2PwU7DMBBE70j8g7VI3KjdBkIa4lQIBXHiQEGc3XhJIuK1&#10;Fbtt8vcsJ7jNaJ9mZ6rd7EZxwikOnjSsVwoEUuvtQJ2Gj/fnmwJETIasGT2hhgUj7OrLi8qU1p/p&#10;DU/71AkOoVgaDX1KoZQytj06E1c+IPHty0/OJLZTJ+1kzhzuRrlRKpfODMQfehPwqcf2e390Gubt&#10;Z1ia/KV9bR7tEprcZfe50/r6aq0eQCSc0x8Mv/W5OtTc6eCPZKMYNWTb25xRFgVPYOAuUywOGops&#10;A7Ku5P8F9Q9QSwMEFAAAAAgAh07iQP3ZWr8FAgAAKAQAAA4AAABkcnMvZTJvRG9jLnhtbK1TS27b&#10;MBDdF+gdCO5ryW4+jmA5KOK6m6INkPYANElJBPgDh7bk0xTorofocYpeo0PKcT7NwotspCH5+Gbe&#10;m+HiejCa7GQA5WxNp5OSEmm5E8q2Nf3+bf1uTglEZgXTzsqa7iXQ6+XbN4veV3LmOqeFDARJLFS9&#10;r2kXo6+KAngnDYOJ89LiYeOCYRGXoS1EYD2yG13MyvKi6F0QPjguAXB3NR7SA2M4hdA1jeJy5fjW&#10;SBtH1iA1iygJOuWBLnO1TSN5/No0ICPRNUWlMX8xCcab9C2WC1a1gflO8UMJ7JQSnmkyTFlMeqRa&#10;scjINqj/qIziwYFr4oQ7U4xCsiOoYlo+8+auY15mLWg1+KPp8Hq0/MvuNhAlaoptt8xgw//++PXn&#10;908yT970HiqE3PnbcFgBhkno0AST/iiBDNnP/dFPOUTCcXN+cTa/RKc5Hs3m06uz7HfxcNkHiJ+k&#10;MyQFNQ3Yruwi232GiAkReg9JucBpJdZK67wI7eZGB7Jj2Nr1+qYs79mfwLQlfU2vzmfnWAfDeW1w&#10;TjA0HjWDbXO+JzfgMfFl+b788CJxKmzFoBsLyAzjNBkVZXKLVZ1k4qMVJO49+mrxOdFUjJGCEi3x&#10;9aUoIyNT+hQkGqIt+pL6MnYiRXHYDIf2bJzYY0O3Pqi2Q0uniT/DcYCyoYdhTxP6eJ1RDw98+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lAIzs1gAAAAkBAAAPAAAAAAAAAAEAIAAAACIAAABkcnMv&#10;ZG93bnJldi54bWxQSwECFAAUAAAACACHTuJA/dlavwUCAAAoBAAADgAAAAAAAAABACAAAAAlAQAA&#10;ZHJzL2Uyb0RvYy54bWxQSwUGAAAAAAYABgBZAQAAnAUAAAAA&#10;">
                <v:fill on="t" focussize="0,0"/>
                <v:stroke color="#7030A0" joinstyle="miter"/>
                <v:imagedata o:title=""/>
                <o:lock v:ext="edit" aspectratio="f"/>
                <v:textbox>
                  <w:txbxContent>
                    <w:p w14:paraId="59A00F07">
                      <w:r>
                        <w:rPr>
                          <w:rFonts w:hint="eastAsia"/>
                        </w:rPr>
                        <w:t>管道安装</w:t>
                      </w:r>
                    </w:p>
                    <w:p w14:paraId="154DC639"/>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699200" behindDoc="0" locked="0" layoutInCell="1" allowOverlap="1">
                <wp:simplePos x="0" y="0"/>
                <wp:positionH relativeFrom="column">
                  <wp:posOffset>2896870</wp:posOffset>
                </wp:positionH>
                <wp:positionV relativeFrom="paragraph">
                  <wp:posOffset>68580</wp:posOffset>
                </wp:positionV>
                <wp:extent cx="0" cy="199390"/>
                <wp:effectExtent l="38100" t="0" r="38100" b="10160"/>
                <wp:wrapNone/>
                <wp:docPr id="85" name="直接箭头连接符 85"/>
                <wp:cNvGraphicFramePr/>
                <a:graphic xmlns:a="http://schemas.openxmlformats.org/drawingml/2006/main">
                  <a:graphicData uri="http://schemas.microsoft.com/office/word/2010/wordprocessingShape">
                    <wps:wsp>
                      <wps:cNvCnPr/>
                      <wps:spPr>
                        <a:xfrm>
                          <a:off x="0" y="0"/>
                          <a:ext cx="0" cy="1993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8.1pt;margin-top:5.4pt;height:15.7pt;width:0pt;z-index:251699200;mso-width-relative:page;mso-height-relative:page;" filled="f" stroked="t" coordsize="21600,21600" o:gfxdata="UEsDBAoAAAAAAIdO4kAAAAAAAAAAAAAAAAAEAAAAZHJzL1BLAwQUAAAACACHTuJArSDvvNYAAAAJ&#10;AQAADwAAAGRycy9kb3ducmV2LnhtbE2PT0vEMBDF74LfIYzgzU22aNHadEEXsRcFd0U8ZpuxCTaT&#10;0mT/+ekd8aC3mXmPN79XLw5hEDucko+kYT5TIJC6aD31Gl7XDxfXIFI2ZM0QCTUcMcGiOT2pTWXj&#10;nl5wt8q94BBKldHgch4rKVPnMJg0iyMSax9xCibzOvXSTmbP4WGQhVKlDMYTf3BmxHuH3edqGzTk&#10;5fvRlW/d3Y1/Xj8+lf6rbdul1udnc3ULIuMh/5nhB5/RoWGmTdySTWLQcHlVFmxlQXEFNvweNjwU&#10;Bcimlv8bNN9QSwMEFAAAAAgAh07iQGivYL0EAgAA8QMAAA4AAABkcnMvZTJvRG9jLnhtbK1TzY7T&#10;MBC+I/EOlu80bdGibdR0Dy3LBUEl4AGmjpNY8p883qZ9CV4AiRNwAk5736eB5TEYO6WFRUh7IAdn&#10;PJ75Zr7P4/nFzmi2lQGVsxWfjMacSStcrWxb8TevLx+dc4YRbA3aWVnxvUR+sXj4YN77Uk5d53Qt&#10;AyMQi2XvK97F6MuiQNFJAzhyXlo6bFwwEGkb2qIO0BO60cV0PH5S9C7UPjghEcm7Gg75ATHcB9A1&#10;jRJy5cSVkTYOqEFqiEQJO+WRL3K3TSNFfNk0KCPTFSemMa9UhOxNWovFHMo2gO+UOLQA92nhDicD&#10;ylLRI9QKIrCroP6CMkoEh66JI+FMMRDJihCLyfiONq868DJzIanRH0XH/wcrXmzXgam64udnnFkw&#10;dOO3766/v/14+/XLtw/XP27eJ/vzJ0bnJFbvsaScpV2Hww79OiTmuyaY9CdObJcF3h8FlrvIxOAU&#10;5J3MZo9nWfvilOcDxmfSGZaMimMMoNouLp21dIsuTLK+sH2OkSpT4q+EVFRb1ld8djYlEgJoKhua&#10;BjKNJ2Zo25yLTqv6UmmdMjC0m6UObAtpMvKX+BHuH2GpyAqwG+Ly0TAznYT6qa1Z3HuSzNJT4akF&#10;I2vOtKSXlSwChDKC0qfIGBTYVv8jmsprS10kmQdhk7Vx9T7rnf00CbnPw9SmUft9n7NPL3Xx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0g77zWAAAACQEAAA8AAAAAAAAAAQAgAAAAIgAAAGRycy9k&#10;b3ducmV2LnhtbFBLAQIUABQAAAAIAIdO4kBor2C9BAIAAPEDAAAOAAAAAAAAAAEAIAAAACUBAABk&#10;cnMvZTJvRG9jLnhtbFBLBQYAAAAABgAGAFkBAACbBQAAAAA=&#10;">
                <v:fill on="f" focussize="0,0"/>
                <v:stroke color="#000000" joinstyle="round" endarrow="block"/>
                <v:imagedata o:title=""/>
                <o:lock v:ext="edit" aspectratio="f"/>
              </v:shape>
            </w:pict>
          </mc:Fallback>
        </mc:AlternateContent>
      </w:r>
    </w:p>
    <w:p w14:paraId="25A5F334">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705344" behindDoc="0" locked="0" layoutInCell="1" allowOverlap="1">
                <wp:simplePos x="0" y="0"/>
                <wp:positionH relativeFrom="column">
                  <wp:posOffset>2158365</wp:posOffset>
                </wp:positionH>
                <wp:positionV relativeFrom="paragraph">
                  <wp:posOffset>70485</wp:posOffset>
                </wp:positionV>
                <wp:extent cx="327660" cy="0"/>
                <wp:effectExtent l="0" t="38100" r="15240" b="38100"/>
                <wp:wrapNone/>
                <wp:docPr id="62" name="直接连接符 62"/>
                <wp:cNvGraphicFramePr/>
                <a:graphic xmlns:a="http://schemas.openxmlformats.org/drawingml/2006/main">
                  <a:graphicData uri="http://schemas.microsoft.com/office/word/2010/wordprocessingShape">
                    <wps:wsp>
                      <wps:cNvCnPr/>
                      <wps:spPr>
                        <a:xfrm flipH="1" flipV="1">
                          <a:off x="0" y="0"/>
                          <a:ext cx="327660" cy="0"/>
                        </a:xfrm>
                        <a:prstGeom prst="line">
                          <a:avLst/>
                        </a:prstGeom>
                        <a:ln w="9525" cap="rnd" cmpd="sng">
                          <a:solidFill>
                            <a:srgbClr val="000000"/>
                          </a:solidFill>
                          <a:prstDash val="sysDot"/>
                          <a:headEnd type="none" w="med" len="med"/>
                          <a:tailEnd type="triangle" w="med" len="med"/>
                        </a:ln>
                      </wps:spPr>
                      <wps:bodyPr upright="1"/>
                    </wps:wsp>
                  </a:graphicData>
                </a:graphic>
              </wp:anchor>
            </w:drawing>
          </mc:Choice>
          <mc:Fallback>
            <w:pict>
              <v:line id="_x0000_s1026" o:spid="_x0000_s1026" o:spt="20" style="position:absolute;left:0pt;flip:x y;margin-left:169.95pt;margin-top:5.55pt;height:0pt;width:25.8pt;z-index:251705344;mso-width-relative:page;mso-height-relative:page;" filled="f" stroked="t" coordsize="21600,21600" o:gfxdata="UEsDBAoAAAAAAIdO4kAAAAAAAAAAAAAAAAAEAAAAZHJzL1BLAwQUAAAACACHTuJAgDk23dcAAAAJ&#10;AQAADwAAAGRycy9kb3ducmV2LnhtbE2PwU7DMAyG70i8Q2QkLoilpYDW0nSHSRw4oW2AxC1r3Kai&#10;caomXcvbY8SBHe3/0+/P5WZxvTjhGDpPCtJVAgKp9qajVsHb4fl2DSJETUb3nlDBNwbYVJcXpS6M&#10;n2mHp31sBZdQKLQCG+NQSBlqi06HlR+QOGv86HTkcWylGfXM5a6Xd0nyKJ3uiC9YPeDWYv21n5yC&#10;V7Jr2UzdYfa7++VDvr/cNNtPpa6v0uQJRMQl/sPwq8/qULHT0U9kgugVZFmeM8pBmoJgIMvTBxDH&#10;v4WsSnn+QfUDUEsDBBQAAAAIAIdO4kABhTHACwIAAP0DAAAOAAAAZHJzL2Uyb0RvYy54bWytU72O&#10;EzEQ7pF4B8s92SToAqyyueLCQYEgEj/9xPbuWvKfPE42+xK8ABIdVJTX8zYcj8F4N5eDQ0hX4MIa&#10;e2a+me/zeHl+sIbtVUTtXcVnkylnygkvtWsq/v7d5aOnnGECJ8F4pyreK+Tnq4cPll0o1dy33kgV&#10;GYE4LLtQ8TalUBYFilZZwIkPypGz9tFComNsChmhI3Rrivl0uig6H2WIXihEul2PTn5EjPcB9HWt&#10;hVp7sbPKpRE1KgOJKGGrA/LV0G1dK5He1DWqxEzFiWkadipC9jbvxWoJZRMhtFocW4D7tHCHkwXt&#10;qOgJag0J2C7qv6CsFtGjr9NEeFuMRAZFiMVsekebty0ENXAhqTGcRMf/Byte7zeRaVnxxZwzB5Ze&#10;/PrT1Y+PX35+/0z79bevjDwkUxewpOgLt4nHE4ZNzJwPdbSsNjq8pHnig/UhW9lHDNlhkLs/ya0O&#10;iQm6fDx/sljQQ4gbVzFi5bwQMb1Q3rJsVNxol4WAEvavMFF9Cr0JydfGsa7iz87mZwQHNJXRSbJs&#10;IGLomiEVvdHyUhuTEzA22wsT2R7yYAwrkyTYP8JyjTVgO8Zhj2ufxplpFcjnTrLUB5LM0VfhuQWr&#10;qK5R9LOyRYhQJtDmNjJFDa4x/4im+sZRG1nsUd5sbb3s6ZV2IeqmJTVmQ6vZQ1MxNH2c4Dx2v58H&#10;pNtfu/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Dk23dcAAAAJAQAADwAAAAAAAAABACAAAAAi&#10;AAAAZHJzL2Rvd25yZXYueG1sUEsBAhQAFAAAAAgAh07iQAGFMcALAgAA/QMAAA4AAAAAAAAAAQAg&#10;AAAAJgEAAGRycy9lMm9Eb2MueG1sUEsFBgAAAAAGAAYAWQEAAKMFAAAAAA==&#10;">
                <v:fill on="f" focussize="0,0"/>
                <v:stroke color="#000000" joinstyle="round" dashstyle="1 1" endcap="round" endarrow="block"/>
                <v:imagedata o:title=""/>
                <o:lock v:ext="edit" aspectratio="f"/>
              </v:line>
            </w:pict>
          </mc:Fallback>
        </mc:AlternateContent>
      </w:r>
      <w:r>
        <w:rPr>
          <w:rFonts w:hint="eastAsia" w:ascii="Arial" w:hAnsi="宋体" w:cs="Arial"/>
          <w:bCs/>
          <w:sz w:val="26"/>
          <w:szCs w:val="26"/>
        </w:rPr>
        <mc:AlternateContent>
          <mc:Choice Requires="wps">
            <w:drawing>
              <wp:anchor distT="0" distB="0" distL="114300" distR="114300" simplePos="0" relativeHeight="251702272" behindDoc="0" locked="0" layoutInCell="1" allowOverlap="1">
                <wp:simplePos x="0" y="0"/>
                <wp:positionH relativeFrom="column">
                  <wp:posOffset>2896870</wp:posOffset>
                </wp:positionH>
                <wp:positionV relativeFrom="paragraph">
                  <wp:posOffset>257175</wp:posOffset>
                </wp:positionV>
                <wp:extent cx="0" cy="199390"/>
                <wp:effectExtent l="38100" t="0" r="38100" b="10160"/>
                <wp:wrapNone/>
                <wp:docPr id="93" name="直接箭头连接符 93"/>
                <wp:cNvGraphicFramePr/>
                <a:graphic xmlns:a="http://schemas.openxmlformats.org/drawingml/2006/main">
                  <a:graphicData uri="http://schemas.microsoft.com/office/word/2010/wordprocessingShape">
                    <wps:wsp>
                      <wps:cNvCnPr/>
                      <wps:spPr>
                        <a:xfrm>
                          <a:off x="0" y="0"/>
                          <a:ext cx="0" cy="1993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8.1pt;margin-top:20.25pt;height:15.7pt;width:0pt;z-index:251702272;mso-width-relative:page;mso-height-relative:page;" filled="f" stroked="t" coordsize="21600,21600" o:gfxdata="UEsDBAoAAAAAAIdO4kAAAAAAAAAAAAAAAAAEAAAAZHJzL1BLAwQUAAAACACHTuJALUkXydgAAAAJ&#10;AQAADwAAAGRycy9kb3ducmV2LnhtbE2Py07DMBBF90j8gzVI7KidigYa4lSCCpENlWgRYunGQxwR&#10;j6PYffH1DGIBu3kc3TlTLo6+F3scYxdIQzZRIJCaYDtqNbxuHq9uQcRkyJo+EGo4YYRFdX5WmsKG&#10;A73gfp1awSEUC6PBpTQUUsbGoTdxEgYk3n2E0ZvE7dhKO5oDh/teTpXKpTcd8QVnBnxw2Hyud15D&#10;Wr6fXP7W3M+71ebpOe++6rpean15kak7EAmP6Q+GH31Wh4qdtmFHNopew/UsnzLKhZqBYOB3sNVw&#10;k81BVqX8/0H1DVBLAwQUAAAACACHTuJATYggRAQCAADxAwAADgAAAGRycy9lMm9Eb2MueG1srVPN&#10;jtMwEL4j8Q6W7zRtV4to1HQPLcsFQSXgAaaOk1jynzzepn0JXgCJE3ACTnvfp4HlMRg7pYVFSHsg&#10;B2c8nvlmvs/j+cXOaLaVAZWzFZ+MxpxJK1ytbFvxN68vHz3hDCPYGrSzsuJ7ifxi8fDBvPelnLrO&#10;6VoGRiAWy95XvIvRl0WBopMGcOS8tHTYuGAg0ja0RR2gJ3Sji+l4/LjoXah9cEIiknc1HPIDYrgP&#10;oGsaJeTKiSsjbRxQg9QQiRJ2yiNf5G6bRor4smlQRqYrTkxjXqkI2Zu0Fos5lG0A3ylxaAHu08Id&#10;TgaUpaJHqBVEYFdB/QVllAgOXRNHwpliIJIVIRaT8R1tXnXgZeZCUqM/io7/D1a82K4DU3XFZ2ec&#10;WTB047fvrr+//Xj79cu3D9c/bt4n+/MnRuckVu+xpJylXYfDDv06JOa7Jpj0J05slwXeHwWWu8jE&#10;4BTkncxmZ7OsfXHK8wHjM+kMS0bFMQZQbReXzlq6RRcmWV/YPsdIlSnxV0Iqqi3ricL59JwzATSV&#10;DU0DmcYTM7RtzkWnVX2ptE4ZGNrNUge2hTQZ+Uv8CPePsFRkBdgNcflomJlOQv3U1izuPUlm6anw&#10;1IKRNWda0stKFgFCGUHpU2QMCmyr/xFN5bWlLpLMg7DJ2rh6n/XOfpqE3OdhatOo/b7P2aeXuv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UkXydgAAAAJAQAADwAAAAAAAAABACAAAAAiAAAAZHJz&#10;L2Rvd25yZXYueG1sUEsBAhQAFAAAAAgAh07iQE2IIEQEAgAA8QMAAA4AAAAAAAAAAQAgAAAAJwEA&#10;AGRycy9lMm9Eb2MueG1sUEsFBgAAAAAGAAYAWQEAAJ0FAAAAAA==&#10;">
                <v:fill on="f" focussize="0,0"/>
                <v:stroke color="#000000" joinstyle="round" endarrow="block"/>
                <v:imagedata o:title=""/>
                <o:lock v:ext="edit" aspectratio="f"/>
              </v:shape>
            </w:pict>
          </mc:Fallback>
        </mc:AlternateContent>
      </w:r>
    </w:p>
    <w:p w14:paraId="38E41B24">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696128" behindDoc="0" locked="0" layoutInCell="1" allowOverlap="1">
                <wp:simplePos x="0" y="0"/>
                <wp:positionH relativeFrom="column">
                  <wp:posOffset>1386840</wp:posOffset>
                </wp:positionH>
                <wp:positionV relativeFrom="paragraph">
                  <wp:posOffset>181610</wp:posOffset>
                </wp:positionV>
                <wp:extent cx="832485" cy="321945"/>
                <wp:effectExtent l="0" t="0" r="5715" b="1905"/>
                <wp:wrapNone/>
                <wp:docPr id="60" name="矩形 60"/>
                <wp:cNvGraphicFramePr/>
                <a:graphic xmlns:a="http://schemas.openxmlformats.org/drawingml/2006/main">
                  <a:graphicData uri="http://schemas.microsoft.com/office/word/2010/wordprocessingShape">
                    <wps:wsp>
                      <wps:cNvSpPr/>
                      <wps:spPr>
                        <a:xfrm>
                          <a:off x="0" y="0"/>
                          <a:ext cx="832485" cy="321945"/>
                        </a:xfrm>
                        <a:prstGeom prst="rect">
                          <a:avLst/>
                        </a:prstGeom>
                        <a:solidFill>
                          <a:srgbClr val="FFFFFF"/>
                        </a:solidFill>
                        <a:ln>
                          <a:noFill/>
                        </a:ln>
                      </wps:spPr>
                      <wps:txbx>
                        <w:txbxContent>
                          <w:p w14:paraId="436D40FD">
                            <w:r>
                              <w:rPr>
                                <w:rFonts w:hint="eastAsia"/>
                              </w:rPr>
                              <w:t>噪声、扬尘</w:t>
                            </w:r>
                          </w:p>
                        </w:txbxContent>
                      </wps:txbx>
                      <wps:bodyPr upright="1"/>
                    </wps:wsp>
                  </a:graphicData>
                </a:graphic>
              </wp:anchor>
            </w:drawing>
          </mc:Choice>
          <mc:Fallback>
            <w:pict>
              <v:rect id="_x0000_s1026" o:spid="_x0000_s1026" o:spt="1" style="position:absolute;left:0pt;margin-left:109.2pt;margin-top:14.3pt;height:25.35pt;width:65.55pt;z-index:251696128;mso-width-relative:page;mso-height-relative:page;" fillcolor="#FFFFFF" filled="t" stroked="f" coordsize="21600,21600" o:gfxdata="UEsDBAoAAAAAAIdO4kAAAAAAAAAAAAAAAAAEAAAAZHJzL1BLAwQUAAAACACHTuJARzNThdgAAAAJ&#10;AQAADwAAAGRycy9kb3ducmV2LnhtbE2PsW6DMBCG90p9B+sqdWtsAqFAMRkqZUo7NImU9YIdQMU2&#10;xSYhb9/r1Gx3uk//fX+5nk3PLnr0nbMSooUApm3tVGcbCYf95iUD5gNahb2zWsJNe1hXjw8lFspd&#10;7Ze+7ELDKMT6AiW0IQwF575utUG/cIO2dDu70WCgdWy4GvFK4abnSyFSbrCz9KHFQb+3uv7eTUYC&#10;pon6+TzHH/vtlGLezGKzOgopn58i8QYs6Dn8w/CnT+pQkdPJTVZ51ktYRllCKA1ZCoyAOMlXwE4S&#10;XvMYeFXy+wbVL1BLAwQUAAAACACHTuJAGp8vS7YBAABrAwAADgAAAGRycy9lMm9Eb2MueG1srVNL&#10;btswEN0XyB0I7mvZzgeuYDmLGs6mSAOkOQBNURIB/jBDW/JpCmTXQ/Q4Ra/RIaU6bbrJolpQ8+Ob&#10;eW+k9e1gDTsqQO1dxRezOWfKSV9r11b86cvu/YozjMLVwninKn5SyG83F+/WfSjV0nfe1AoYgTgs&#10;+1DxLsZQFgXKTlmBMx+Uo2TjwYpILrRFDaIndGuK5Xx+U/Qe6gBeKkSKbscknxDhLYC+abRUWy8P&#10;Vrk4ooIyIhIl7HRAvsnTNo2S8XPToIrMVJyYxnxSE7L36Sw2a1G2IEKn5TSCeMsIrzhZoR01PUNt&#10;RRTsAPofKKslePRNnElvi5FIVoRYLOavtHnsRFCZC0mN4Sw6/j9YeX98AKbrit+QJE5Y2vjPr99+&#10;fH9mFCB1+oAlFT2GB5g8JDNRHRqw6U0k2JAVPZ0VVUNkkoKry+XV6pozSanL5eLD1XXCLF4uB8B4&#10;p7xlyag40MKyjuL4CeNY+rsk9UJvdL3TxmQH2v1HA+woaLm7/Ezof5UZl4qdT9dGxBQpErGRSrLi&#10;sB8mfntfn0iTQwDddjTTIoOmItpBHn76XtKS//Qz6Ms/sv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zNThdgAAAAJAQAADwAAAAAAAAABACAAAAAiAAAAZHJzL2Rvd25yZXYueG1sUEsBAhQAFAAA&#10;AAgAh07iQBqfL0u2AQAAawMAAA4AAAAAAAAAAQAgAAAAJwEAAGRycy9lMm9Eb2MueG1sUEsFBgAA&#10;AAAGAAYAWQEAAE8FAAAAAA==&#10;">
                <v:fill on="t" focussize="0,0"/>
                <v:stroke on="f"/>
                <v:imagedata o:title=""/>
                <o:lock v:ext="edit" aspectratio="f"/>
                <v:textbox>
                  <w:txbxContent>
                    <w:p w14:paraId="436D40FD">
                      <w:r>
                        <w:rPr>
                          <w:rFonts w:hint="eastAsia"/>
                        </w:rPr>
                        <w:t>噪声、扬尘</w:t>
                      </w:r>
                    </w:p>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685888" behindDoc="0" locked="0" layoutInCell="1" allowOverlap="1">
                <wp:simplePos x="0" y="0"/>
                <wp:positionH relativeFrom="column">
                  <wp:posOffset>2570480</wp:posOffset>
                </wp:positionH>
                <wp:positionV relativeFrom="paragraph">
                  <wp:posOffset>167640</wp:posOffset>
                </wp:positionV>
                <wp:extent cx="668655" cy="295275"/>
                <wp:effectExtent l="4445" t="4445" r="12700" b="5080"/>
                <wp:wrapNone/>
                <wp:docPr id="59" name="文本框 59"/>
                <wp:cNvGraphicFramePr/>
                <a:graphic xmlns:a="http://schemas.openxmlformats.org/drawingml/2006/main">
                  <a:graphicData uri="http://schemas.microsoft.com/office/word/2010/wordprocessingShape">
                    <wps:wsp>
                      <wps:cNvSpPr txBox="1"/>
                      <wps:spPr>
                        <a:xfrm>
                          <a:off x="0" y="0"/>
                          <a:ext cx="668655" cy="295275"/>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5CCF25C6">
                            <w:r>
                              <w:rPr>
                                <w:rFonts w:hint="eastAsia"/>
                              </w:rPr>
                              <w:t>覆土回填</w:t>
                            </w:r>
                          </w:p>
                        </w:txbxContent>
                      </wps:txbx>
                      <wps:bodyPr lIns="18000" tIns="45720" rIns="18000" bIns="45720" upright="1"/>
                    </wps:wsp>
                  </a:graphicData>
                </a:graphic>
              </wp:anchor>
            </w:drawing>
          </mc:Choice>
          <mc:Fallback>
            <w:pict>
              <v:shape id="_x0000_s1026" o:spid="_x0000_s1026" o:spt="202" type="#_x0000_t202" style="position:absolute;left:0pt;margin-left:202.4pt;margin-top:13.2pt;height:23.25pt;width:52.65pt;z-index:251685888;mso-width-relative:page;mso-height-relative:page;" fillcolor="#FFC000" filled="t" stroked="t" coordsize="21600,21600" o:gfxdata="UEsDBAoAAAAAAIdO4kAAAAAAAAAAAAAAAAAEAAAAZHJzL1BLAwQUAAAACACHTuJAwsqEX9kAAAAJ&#10;AQAADwAAAGRycy9kb3ducmV2LnhtbE2PQUvEMBSE74L/ITzBi7hJS61a+7rggieRsqsI3rLNs602&#10;L7XJbuu/N570OMww8025XuwgjjT53jFCslIgiBtnem4RXp4fLm9A+KDZ6MExIXyTh3V1elLqwriZ&#10;t3TchVbEEvaFRuhCGAspfdOR1X7lRuLovbvJ6hDl1Eoz6TmW20GmSuXS6p7jQqdH2nTUfO4OFiGf&#10;v+o6ueD7j7eNfXwdSS71U414fpaoOxCBlvAXhl/8iA5VZNq7AxsvBoRMZRE9IKR5BiIGrhKVgNgj&#10;XKe3IKtS/n9Q/QBQSwMEFAAAAAgAh07iQIny96QoAgAAawQAAA4AAABkcnMvZTJvRG9jLnhtbK1U&#10;zY7TMBC+I/EOlu80aSHdbtV0BVuKkBAgLTyA6ziJJf/J4zbpC8AbcOLCnefqczB2ut3uwqEHLsmM&#10;Z/LNzPeNs7jptSI74UFaU9LxKKdEGG4raZqSfv2yfjGjBAIzFVPWiJLuBdCb5fNni87NxcS2VlXC&#10;EwQxMO9cSdsQ3DzLgLdCMxhZJwwGa+s1C+j6Jqs86xBdq2yS59Oss75y3nIBgKerIUiPiP4SQFvX&#10;kouV5VstTBhQvVAs4EjQSgd0mbqta8HDp7oGEYgqKU4a0hOLoL2Jz2y5YPPGM9dKfmyBXdLCk5k0&#10;kwaLnqBWLDCy9fIvKC25t2DrMOJWZ8MgiRGcYpw/4eauZU6kWZBqcCfS4f/B8o+7z57IqqTFNSWG&#10;aVT88OP74efvw69vBM+QoM7BHPPuHGaG/o3tcW3uzwEP49x97XV840QE40jv/kSv6APheDidzqZF&#10;QQnH0OS6mFwVESV7+Nh5CO+E1SQaJfWoXiKV7T5AGFLvU2ItsEpWa6lUcnyzuVWe7BgqvV7f5nkS&#10;F9EfpSlDupJi8dgHw/WtcW3Q1A4pANOkeo++gHPgq/xl/vqfwLGxFYN2aCAhDMulZRA+rVkrWPXW&#10;VCTsHbJs8HbR2IwWFSVK4GWMVsoMTKpLMnE6ZZDCqNCgRLRCv+kRJpobW+1RNfXe4M6MZ5EUEpLz&#10;qriaoOPPI5vzyNZ52bQoQ9I6lcAdTHod70tc8nM/NfLwj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LKhF/ZAAAACQEAAA8AAAAAAAAAAQAgAAAAIgAAAGRycy9kb3ducmV2LnhtbFBLAQIUABQA&#10;AAAIAIdO4kCJ8vekKAIAAGsEAAAOAAAAAAAAAAEAIAAAACgBAABkcnMvZTJvRG9jLnhtbFBLBQYA&#10;AAAABgAGAFkBAADCBQAAAAA=&#10;">
                <v:fill on="t" focussize="0,0"/>
                <v:stroke color="#7030A0" joinstyle="miter"/>
                <v:imagedata o:title=""/>
                <o:lock v:ext="edit" aspectratio="f"/>
                <v:textbox inset="0.5mm,1.27mm,0.5mm,1.27mm">
                  <w:txbxContent>
                    <w:p w14:paraId="5CCF25C6">
                      <w:r>
                        <w:rPr>
                          <w:rFonts w:hint="eastAsia"/>
                        </w:rPr>
                        <w:t>覆土回填</w:t>
                      </w:r>
                    </w:p>
                  </w:txbxContent>
                </v:textbox>
              </v:shape>
            </w:pict>
          </mc:Fallback>
        </mc:AlternateContent>
      </w:r>
    </w:p>
    <w:p w14:paraId="1924C23E">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700224" behindDoc="0" locked="0" layoutInCell="1" allowOverlap="1">
                <wp:simplePos x="0" y="0"/>
                <wp:positionH relativeFrom="column">
                  <wp:posOffset>2896870</wp:posOffset>
                </wp:positionH>
                <wp:positionV relativeFrom="paragraph">
                  <wp:posOffset>168910</wp:posOffset>
                </wp:positionV>
                <wp:extent cx="0" cy="198755"/>
                <wp:effectExtent l="38100" t="0" r="38100" b="10795"/>
                <wp:wrapNone/>
                <wp:docPr id="51" name="直接箭头连接符 51"/>
                <wp:cNvGraphicFramePr/>
                <a:graphic xmlns:a="http://schemas.openxmlformats.org/drawingml/2006/main">
                  <a:graphicData uri="http://schemas.microsoft.com/office/word/2010/wordprocessingShape">
                    <wps:wsp>
                      <wps:cNvCnPr/>
                      <wps:spPr>
                        <a:xfrm>
                          <a:off x="0" y="0"/>
                          <a:ext cx="0" cy="198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8.1pt;margin-top:13.3pt;height:15.65pt;width:0pt;z-index:251700224;mso-width-relative:page;mso-height-relative:page;" filled="f" stroked="t" coordsize="21600,21600" o:gfxdata="UEsDBAoAAAAAAIdO4kAAAAAAAAAAAAAAAAAEAAAAZHJzL1BLAwQUAAAACACHTuJAddAC4tgAAAAJ&#10;AQAADwAAAGRycy9kb3ducmV2LnhtbE2PTU/DMAyG70j8h8hI3Fi6igVW6k6CCdELk9gQ4pg1pqlo&#10;nKrJvvj1BHGAo+1Hr5+3XBxdL/Y0hs4zwnSSgSBuvOm4RXjdPF7dgghRs9G9Z0I4UYBFdX5W6sL4&#10;A7/Qfh1bkUI4FBrBxjgUUobGktNh4gfidPvwo9MxjWMrzagPKdz1Ms8yJZ3uOH2weqAHS83neucQ&#10;4vL9ZNVbcz/vVpunZ9V91XW9RLy8mGZ3ICId4x8MP/pJHarktPU7NkH0CNczlScUIVcKRAJ+F1uE&#10;2c0cZFXK/w2qb1BLAwQUAAAACACHTuJABVDa5gICAADxAwAADgAAAGRycy9lMm9Eb2MueG1srVPN&#10;jtMwEL4j8Q6W7zRtpcJu1HQPLcsFQSXgAaaOk1jynzzepn0JXgCJE3ACTnvfp4HlMRg7pYVFSHsg&#10;B2c8nvlmvs/j+cXOaLaVAZWzFZ+MxpxJK1ytbFvxN68vH51xhhFsDdpZWfG9RH6xePhg3vtSTl3n&#10;dC0DIxCLZe8r3sXoy6JA0UkDOHJeWjpsXDAQaRvaog7QE7rRxXQ8flz0LtQ+OCERybsaDvkBMdwH&#10;0DWNEnLlxJWRNg6oQWqIRAk75ZEvcrdNI0V82TQoI9MVJ6Yxr1SE7E1ai8UcyjaA75Q4tAD3aeEO&#10;JwPKUtEj1AoisKug/oIySgSHrokj4UwxEMmKEIvJ+I42rzrwMnMhqdEfRcf/BytebNeBqbriswln&#10;Fgzd+O276+9vP95+/fLtw/WPm/fJ/vyJ0TmJ1XssKWdp1+GwQ78OifmuCSb9iRPbZYH3R4HlLjIx&#10;OAV5J+dnT2azBFec8nzA+Ew6w5JRcYwBVNvFpbOWbtGFSdYXts8xDom/ElJRbVlf8fPZdMaZAJrK&#10;hqaBTOOJGdo256LTqr5UWqcMDO1mqQPbQpqM/B0a+iMsFVkBdkNcPkphUHYS6qe2ZnHvSTJLT4Wn&#10;FoysOdOSXlaycmQEpU+RMSiwrf5HNOmhLcmSZB6ETdbG1fusd/bTJGThDlObRu33fc4+vdT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XQAuLYAAAACQEAAA8AAAAAAAAAAQAgAAAAIgAAAGRycy9k&#10;b3ducmV2LnhtbFBLAQIUABQAAAAIAIdO4kAFUNrmAgIAAPEDAAAOAAAAAAAAAAEAIAAAACcBAABk&#10;cnMvZTJvRG9jLnhtbFBLBQYAAAAABgAGAFkBAACbBQAAAAA=&#10;">
                <v:fill on="f" focussize="0,0"/>
                <v:stroke color="#000000" joinstyle="round" endarrow="block"/>
                <v:imagedata o:title=""/>
                <o:lock v:ext="edit" aspectratio="f"/>
              </v:shape>
            </w:pict>
          </mc:Fallback>
        </mc:AlternateContent>
      </w:r>
      <w:r>
        <w:rPr>
          <w:rFonts w:hint="eastAsia" w:ascii="Arial" w:hAnsi="宋体" w:cs="Arial"/>
          <w:bCs/>
          <w:sz w:val="26"/>
          <w:szCs w:val="26"/>
        </w:rPr>
        <mc:AlternateContent>
          <mc:Choice Requires="wps">
            <w:drawing>
              <wp:anchor distT="0" distB="0" distL="114300" distR="114300" simplePos="0" relativeHeight="251692032" behindDoc="0" locked="0" layoutInCell="1" allowOverlap="1">
                <wp:simplePos x="0" y="0"/>
                <wp:positionH relativeFrom="column">
                  <wp:posOffset>2230755</wp:posOffset>
                </wp:positionH>
                <wp:positionV relativeFrom="paragraph">
                  <wp:posOffset>33020</wp:posOffset>
                </wp:positionV>
                <wp:extent cx="327660" cy="0"/>
                <wp:effectExtent l="0" t="38100" r="15240" b="38100"/>
                <wp:wrapNone/>
                <wp:docPr id="55" name="直接连接符 55"/>
                <wp:cNvGraphicFramePr/>
                <a:graphic xmlns:a="http://schemas.openxmlformats.org/drawingml/2006/main">
                  <a:graphicData uri="http://schemas.microsoft.com/office/word/2010/wordprocessingShape">
                    <wps:wsp>
                      <wps:cNvCnPr/>
                      <wps:spPr>
                        <a:xfrm flipH="1" flipV="1">
                          <a:off x="0" y="0"/>
                          <a:ext cx="327660" cy="0"/>
                        </a:xfrm>
                        <a:prstGeom prst="line">
                          <a:avLst/>
                        </a:prstGeom>
                        <a:ln w="9525" cap="rnd" cmpd="sng">
                          <a:solidFill>
                            <a:srgbClr val="000000"/>
                          </a:solidFill>
                          <a:prstDash val="sysDot"/>
                          <a:headEnd type="none" w="med" len="med"/>
                          <a:tailEnd type="triangle" w="med" len="med"/>
                        </a:ln>
                      </wps:spPr>
                      <wps:bodyPr upright="1"/>
                    </wps:wsp>
                  </a:graphicData>
                </a:graphic>
              </wp:anchor>
            </w:drawing>
          </mc:Choice>
          <mc:Fallback>
            <w:pict>
              <v:line id="_x0000_s1026" o:spid="_x0000_s1026" o:spt="20" style="position:absolute;left:0pt;flip:x y;margin-left:175.65pt;margin-top:2.6pt;height:0pt;width:25.8pt;z-index:251692032;mso-width-relative:page;mso-height-relative:page;" filled="f" stroked="t" coordsize="21600,21600" o:gfxdata="UEsDBAoAAAAAAIdO4kAAAAAAAAAAAAAAAAAEAAAAZHJzL1BLAwQUAAAACACHTuJApfCFeNYAAAAH&#10;AQAADwAAAGRycy9kb3ducmV2LnhtbE2OsU7DMBRFd6T+g/UqsSBqJ21RCXE6VOrAhNoCEpsbv8RR&#10;4+codprw9xgWOl7dq3NPvp1sy67Y+8aRhGQhgCGVTjdUS3g/7R83wHxQpFXrCCV8o4dtMbvLVabd&#10;SAe8HkPNIoR8piSYELqMc18atMovXIcUu8r1VoUY+5rrXo0RblueCvHErWooPhjV4c5geTkOVsIb&#10;mQ2vhuY0usNq+uQfrw/V7kvK+3kiXoAFnML/GH71ozoU0ensBtKetRKW62QZpxLWKbDYr0T6DOz8&#10;l3mR81v/4gdQSwMEFAAAAAgAh07iQBu24egLAgAA/QMAAA4AAABkcnMvZTJvRG9jLnhtbK1TvY4T&#10;MRDukXgHyz3ZJCiBW2VzxYWDAkEkfvqJ17tryX/yONnkJXgBJDqoKK/nbbh7DMbeXA4OIV2BC2vs&#10;mflmvs/jxfneaLaTAZWzFZ+MxpxJK1ytbFvxD+8vnzznDCPYGrSzsuIHifx8+fjRovelnLrO6VoG&#10;RiAWy95XvIvRl0WBopMGcOS8tORsXDAQ6Rjaog7QE7rRxXQ8nhe9C7UPTkhEul0NTn5EDA8BdE2j&#10;hFw5sTXSxgE1SA2RKGGnPPJl7rZppIhvmwZlZLrixDTmnYqQvUl7sVxA2QbwnRLHFuAhLdzjZEBZ&#10;KnqCWkEEtg3qLyijRHDomjgSzhQDkawIsZiM72nzrgMvMxeSGv1JdPx/sOLNbh2Yqis+m3FmwdCL&#10;X3+++vnp682PL7Rff//GyEMy9R5Lir6w63A8oV+HxHnfBMMarfwrmieerY/JSj5iyPZZ7sNJbrmP&#10;TNDl0+mz+ZweQty6igEr5fmA8aV0hiWj4lrZJASUsHuNkepT6G1IutaW9RU/m02JhACaymBrsown&#10;YmjbnIpOq/pSaZ0SMLSbCx3YDtJg5JVIEuwfYanGCrAb4vCAKxeHmekk1C9szeLBk2SWvgpPLRhJ&#10;dbWkn5UsQoQygtJ3kTEosK3+RzTV15baSGIP8iZr4+oDvdLWB9V2pMYkt5o8NBW56eMEp7H7/ZyR&#10;7n7t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8IV41gAAAAcBAAAPAAAAAAAAAAEAIAAAACIA&#10;AABkcnMvZG93bnJldi54bWxQSwECFAAUAAAACACHTuJAG7bh6AsCAAD9AwAADgAAAAAAAAABACAA&#10;AAAlAQAAZHJzL2Uyb0RvYy54bWxQSwUGAAAAAAYABgBZAQAAogUAAAAA&#10;">
                <v:fill on="f" focussize="0,0"/>
                <v:stroke color="#000000" joinstyle="round" dashstyle="1 1" endcap="round" endarrow="block"/>
                <v:imagedata o:title=""/>
                <o:lock v:ext="edit" aspectratio="f"/>
              </v:line>
            </w:pict>
          </mc:Fallback>
        </mc:AlternateContent>
      </w:r>
    </w:p>
    <w:p w14:paraId="09A3E6DF">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681792" behindDoc="0" locked="0" layoutInCell="1" allowOverlap="1">
                <wp:simplePos x="0" y="0"/>
                <wp:positionH relativeFrom="column">
                  <wp:posOffset>2400935</wp:posOffset>
                </wp:positionH>
                <wp:positionV relativeFrom="paragraph">
                  <wp:posOffset>76835</wp:posOffset>
                </wp:positionV>
                <wp:extent cx="1016635" cy="321945"/>
                <wp:effectExtent l="4445" t="4445" r="7620" b="16510"/>
                <wp:wrapNone/>
                <wp:docPr id="56" name="文本框 56"/>
                <wp:cNvGraphicFramePr/>
                <a:graphic xmlns:a="http://schemas.openxmlformats.org/drawingml/2006/main">
                  <a:graphicData uri="http://schemas.microsoft.com/office/word/2010/wordprocessingShape">
                    <wps:wsp>
                      <wps:cNvSpPr txBox="1"/>
                      <wps:spPr>
                        <a:xfrm>
                          <a:off x="0" y="0"/>
                          <a:ext cx="1016635" cy="321945"/>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0161480F">
                            <w:r>
                              <w:rPr>
                                <w:rFonts w:hint="eastAsia"/>
                              </w:rPr>
                              <w:t>作业带植被恢复</w:t>
                            </w:r>
                          </w:p>
                        </w:txbxContent>
                      </wps:txbx>
                      <wps:bodyPr lIns="18000" tIns="45720" rIns="18000" bIns="45720" upright="1"/>
                    </wps:wsp>
                  </a:graphicData>
                </a:graphic>
              </wp:anchor>
            </w:drawing>
          </mc:Choice>
          <mc:Fallback>
            <w:pict>
              <v:shape id="_x0000_s1026" o:spid="_x0000_s1026" o:spt="202" type="#_x0000_t202" style="position:absolute;left:0pt;margin-left:189.05pt;margin-top:6.05pt;height:25.35pt;width:80.05pt;z-index:251681792;mso-width-relative:page;mso-height-relative:page;" fillcolor="#FFC000" filled="t" stroked="t" coordsize="21600,21600" o:gfxdata="UEsDBAoAAAAAAIdO4kAAAAAAAAAAAAAAAAAEAAAAZHJzL1BLAwQUAAAACACHTuJAGJE139kAAAAJ&#10;AQAADwAAAGRycy9kb3ducmV2LnhtbE2PwUrDQBCG74LvsIzgRdpNUmxDmk3BgieRYC2F3rbZMYlm&#10;Z2N228S3dzzV0zD8P998k28m24kLDr51pCCeRyCQKmdaqhXs359nKQgfNBndOUIFP+hhU9ze5Doz&#10;bqQ3vOxCLRhCPtMKmhD6TEpfNWi1n7seibMPN1gdeB1qaQY9Mtx2MomipbS6Jb7Q6B63DVZfu7NV&#10;sBy/yzJ+oKfP49a+HHqUU/laKnV/F0drEAGncC3Dnz6rQ8FOJ3cm40WnYLFKY65ykPDkwuMiTUCc&#10;mJ6kIItc/v+g+AVQSwMEFAAAAAgAh07iQP5ybHIqAgAAbAQAAA4AAABkcnMvZTJvRG9jLnhtbK1U&#10;zW4TMRC+I/EOlu9kN0mTtlE2FTQEISFAavsAjte7a8l/8jjZzQvAG3Diwp3nynMw9qZpWjjkwGUz&#10;4xl/M/N948xvOq3IVniQ1hR0OMgpEYbbUpq6oA/3qzdXlEBgpmTKGlHQnQB6s3j9at66mRjZxqpS&#10;eIIgBmatK2gTgptlGfBGaAYD64TBYGW9ZgFdX2elZy2ia5WN8nyatdaXzlsuAPB02QfpAdGfA2ir&#10;SnKxtHyjhQk9qheKBRwJGumALlK3VSV4+FJVIAJRBcVJQ/piEbTX8Zst5mxWe+YayQ8tsHNaeDGT&#10;ZtJg0SPUkgVGNl7+BaUl9xZsFQbc6qwfJDGCUwzzF9zcNcyJNAtSDe5IOvw/WP55+9UTWRZ0MqXE&#10;MI2K73983//8vf/1jeAZEtQ6mGHencPM0L2zHa7N4zngYZy7q7yOvzgRwTjSuzvSK7pAeLyUD6fT&#10;8YQSjrHxaHh9MYkw2dNt5yF8EFaTaBTUo3yJVbb9BKFPfUyJxcAqWa6kUsnx9fpWebJlKPVqdZvn&#10;SV1Ef5amDGkLej0ZxT4Y7m+Fe4OmdsgBmDrVe3YDToEv83H+9p/AsbElg6ZvICH026VlED7tWSNY&#10;+d6UJOwc0mzwedHYjBYlJUrga4xWygxMqnMycTplkMIoUS9FtEK37hAmmmtb7lA29dHg0gyvIikk&#10;JOdicjlCx59G1qeRjfOyblCGJHYqgUuY9Do8mLjlp35q5OlPYv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JE139kAAAAJAQAADwAAAAAAAAABACAAAAAiAAAAZHJzL2Rvd25yZXYueG1sUEsBAhQA&#10;FAAAAAgAh07iQP5ybHIqAgAAbAQAAA4AAAAAAAAAAQAgAAAAKAEAAGRycy9lMm9Eb2MueG1sUEsF&#10;BgAAAAAGAAYAWQEAAMQFAAAAAA==&#10;">
                <v:fill on="t" focussize="0,0"/>
                <v:stroke color="#7030A0" joinstyle="miter"/>
                <v:imagedata o:title=""/>
                <o:lock v:ext="edit" aspectratio="f"/>
                <v:textbox inset="0.5mm,1.27mm,0.5mm,1.27mm">
                  <w:txbxContent>
                    <w:p w14:paraId="0161480F">
                      <w:r>
                        <w:rPr>
                          <w:rFonts w:hint="eastAsia"/>
                        </w:rPr>
                        <w:t>作业带植被恢复</w:t>
                      </w:r>
                    </w:p>
                  </w:txbxContent>
                </v:textbox>
              </v:shape>
            </w:pict>
          </mc:Fallback>
        </mc:AlternateContent>
      </w:r>
    </w:p>
    <w:p w14:paraId="1E80A23D">
      <w:pPr>
        <w:spacing w:line="240" w:lineRule="exact"/>
        <w:ind w:firstLine="522" w:firstLineChars="200"/>
        <w:jc w:val="center"/>
        <w:rPr>
          <w:rFonts w:hint="eastAsia" w:ascii="Arial" w:hAnsi="宋体" w:cs="Arial"/>
          <w:b/>
          <w:bCs/>
          <w:sz w:val="26"/>
          <w:szCs w:val="26"/>
        </w:rPr>
      </w:pPr>
    </w:p>
    <w:p w14:paraId="32D6775E">
      <w:pPr>
        <w:spacing w:line="240" w:lineRule="exact"/>
        <w:ind w:firstLine="522" w:firstLineChars="200"/>
        <w:jc w:val="center"/>
        <w:rPr>
          <w:rFonts w:hint="eastAsia" w:ascii="Arial" w:hAnsi="宋体" w:cs="Arial"/>
          <w:b/>
          <w:bCs/>
          <w:sz w:val="26"/>
          <w:szCs w:val="26"/>
        </w:rPr>
      </w:pPr>
    </w:p>
    <w:p w14:paraId="4634C933">
      <w:pPr>
        <w:spacing w:line="460" w:lineRule="exact"/>
        <w:ind w:firstLine="522" w:firstLineChars="200"/>
        <w:jc w:val="center"/>
        <w:rPr>
          <w:rFonts w:hint="eastAsia" w:ascii="Arial" w:hAnsi="宋体" w:cs="Arial"/>
          <w:bCs/>
          <w:sz w:val="26"/>
          <w:szCs w:val="26"/>
        </w:rPr>
      </w:pPr>
      <w:r>
        <w:rPr>
          <w:rFonts w:hint="eastAsia" w:ascii="Arial" w:hAnsi="宋体" w:cs="Arial"/>
          <w:b/>
          <w:bCs/>
          <w:sz w:val="26"/>
          <w:szCs w:val="26"/>
        </w:rPr>
        <w:t>图3.4-</w:t>
      </w:r>
      <w:r>
        <w:rPr>
          <w:rFonts w:hint="eastAsia" w:ascii="Arial" w:hAnsi="宋体" w:cs="Arial"/>
          <w:b/>
          <w:bCs/>
          <w:sz w:val="26"/>
          <w:szCs w:val="26"/>
          <w:lang w:val="en-US" w:eastAsia="zh-CN"/>
        </w:rPr>
        <w:t>2</w:t>
      </w:r>
      <w:r>
        <w:rPr>
          <w:rFonts w:hint="eastAsia" w:ascii="Arial" w:hAnsi="宋体" w:cs="Arial"/>
          <w:b/>
          <w:bCs/>
          <w:sz w:val="26"/>
          <w:szCs w:val="26"/>
        </w:rPr>
        <w:t xml:space="preserve"> 输水工程</w:t>
      </w:r>
      <w:r>
        <w:rPr>
          <w:rFonts w:hint="eastAsia" w:ascii="Arial" w:hAnsi="宋体" w:cs="Arial"/>
          <w:b/>
          <w:bCs/>
          <w:sz w:val="26"/>
          <w:szCs w:val="26"/>
          <w:lang w:eastAsia="zh-CN"/>
        </w:rPr>
        <w:t>陆域段</w:t>
      </w:r>
      <w:r>
        <w:rPr>
          <w:rFonts w:hint="eastAsia" w:ascii="Arial" w:hAnsi="宋体" w:cs="Arial"/>
          <w:b/>
          <w:bCs/>
          <w:sz w:val="26"/>
          <w:szCs w:val="26"/>
        </w:rPr>
        <w:t>施工工艺流程及产污环节示意图</w:t>
      </w:r>
    </w:p>
    <w:p w14:paraId="74E8B34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lang w:val="en-US" w:eastAsia="zh-CN"/>
        </w:rPr>
      </w:pPr>
      <w:r>
        <w:rPr>
          <w:rFonts w:hint="eastAsia" w:ascii="Arial" w:hAnsi="Arial" w:cs="Arial"/>
          <w:b w:val="0"/>
          <w:bCs/>
          <w:sz w:val="26"/>
          <w:szCs w:val="26"/>
          <w:lang w:val="en-US" w:eastAsia="zh-CN"/>
        </w:rPr>
        <w:t>本项目输水管线</w:t>
      </w:r>
      <w:r>
        <w:rPr>
          <w:rFonts w:hint="eastAsia" w:ascii="Arial" w:hAnsi="Arial" w:cs="Arial"/>
          <w:sz w:val="26"/>
          <w:szCs w:val="26"/>
          <w:lang w:eastAsia="zh-CN"/>
        </w:rPr>
        <w:t>共有</w:t>
      </w:r>
      <w:r>
        <w:rPr>
          <w:rFonts w:hint="eastAsia" w:ascii="Arial" w:hAnsi="Arial" w:cs="Arial"/>
          <w:sz w:val="26"/>
          <w:szCs w:val="26"/>
          <w:lang w:val="en-US" w:eastAsia="zh-CN"/>
        </w:rPr>
        <w:t>5处穿越现状河道，其中1次穿越海螺沟、3次穿越高洞桥河、1次穿越双龙河，采用顶管、定向钻</w:t>
      </w:r>
      <w:r>
        <w:rPr>
          <w:rFonts w:hint="eastAsia" w:ascii="Arial" w:hAnsi="Arial" w:cs="Arial"/>
          <w:color w:val="auto"/>
          <w:sz w:val="26"/>
          <w:szCs w:val="26"/>
          <w:lang w:val="en-US" w:eastAsia="zh-CN"/>
        </w:rPr>
        <w:t>等不涉水施工工艺</w:t>
      </w:r>
      <w:r>
        <w:rPr>
          <w:rFonts w:hint="eastAsia" w:ascii="Arial" w:hAnsi="宋体" w:cs="Arial"/>
          <w:color w:val="auto"/>
          <w:sz w:val="26"/>
          <w:szCs w:val="26"/>
        </w:rPr>
        <w:t>，减小水质扰动。</w:t>
      </w:r>
      <w:r>
        <w:rPr>
          <w:rFonts w:hint="eastAsia" w:ascii="Arial" w:hAnsi="宋体" w:cs="Arial"/>
          <w:bCs/>
          <w:color w:val="auto"/>
          <w:sz w:val="26"/>
          <w:szCs w:val="26"/>
        </w:rPr>
        <w:t>施工工艺流程及产污环节详见图3.4-</w:t>
      </w:r>
      <w:r>
        <w:rPr>
          <w:rFonts w:hint="eastAsia" w:ascii="Arial" w:hAnsi="宋体" w:cs="Arial"/>
          <w:bCs/>
          <w:color w:val="auto"/>
          <w:sz w:val="26"/>
          <w:szCs w:val="26"/>
          <w:lang w:val="en-US" w:eastAsia="zh-CN"/>
        </w:rPr>
        <w:t>3</w:t>
      </w:r>
      <w:r>
        <w:rPr>
          <w:rFonts w:hint="eastAsia" w:ascii="Arial" w:hAnsi="宋体" w:cs="Arial"/>
          <w:bCs/>
          <w:color w:val="auto"/>
          <w:sz w:val="26"/>
          <w:szCs w:val="26"/>
        </w:rPr>
        <w:t>所示</w:t>
      </w:r>
      <w:r>
        <w:rPr>
          <w:rFonts w:hint="eastAsia" w:ascii="Arial" w:hAnsi="Arial" w:cs="Arial"/>
          <w:color w:val="auto"/>
          <w:sz w:val="26"/>
          <w:szCs w:val="26"/>
          <w:lang w:val="en-US" w:eastAsia="zh-CN"/>
        </w:rPr>
        <w:t>。</w:t>
      </w:r>
    </w:p>
    <w:p w14:paraId="50673B97">
      <w:pPr>
        <w:pStyle w:val="41"/>
        <w:adjustRightInd w:val="0"/>
        <w:snapToGrid w:val="0"/>
        <w:spacing w:line="460" w:lineRule="exact"/>
        <w:ind w:firstLine="482" w:firstLineChars="200"/>
        <w:rPr>
          <w:rFonts w:hint="eastAsia" w:ascii="Arial" w:hAnsi="Arial" w:eastAsia="仿宋_GB2312" w:cs="Arial"/>
          <w:color w:val="000000"/>
          <w:sz w:val="24"/>
        </w:rPr>
      </w:pPr>
      <w:r>
        <w:rPr>
          <w:rFonts w:ascii="Arial" w:hAnsi="Arial" w:eastAsia="黑体" w:cs="Arial"/>
          <w:b/>
          <w:sz w:val="24"/>
        </w:rPr>
        <mc:AlternateContent>
          <mc:Choice Requires="wps">
            <w:drawing>
              <wp:anchor distT="0" distB="0" distL="114300" distR="114300" simplePos="0" relativeHeight="251723776" behindDoc="0" locked="0" layoutInCell="1" allowOverlap="1">
                <wp:simplePos x="0" y="0"/>
                <wp:positionH relativeFrom="column">
                  <wp:posOffset>5177155</wp:posOffset>
                </wp:positionH>
                <wp:positionV relativeFrom="paragraph">
                  <wp:posOffset>83185</wp:posOffset>
                </wp:positionV>
                <wp:extent cx="514350" cy="487045"/>
                <wp:effectExtent l="4445" t="4445" r="14605" b="22860"/>
                <wp:wrapNone/>
                <wp:docPr id="95" name="矩形 95"/>
                <wp:cNvGraphicFramePr/>
                <a:graphic xmlns:a="http://schemas.openxmlformats.org/drawingml/2006/main">
                  <a:graphicData uri="http://schemas.microsoft.com/office/word/2010/wordprocessingShape">
                    <wps:wsp>
                      <wps:cNvSpPr/>
                      <wps:spPr>
                        <a:xfrm>
                          <a:off x="0" y="0"/>
                          <a:ext cx="514350" cy="487045"/>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3ED39F6E">
                            <w:pPr>
                              <w:jc w:val="center"/>
                              <w:rPr>
                                <w:rFonts w:hint="eastAsia"/>
                              </w:rPr>
                            </w:pPr>
                            <w:r>
                              <w:rPr>
                                <w:rFonts w:hint="eastAsia"/>
                              </w:rPr>
                              <w:t>管内运土</w:t>
                            </w:r>
                          </w:p>
                        </w:txbxContent>
                      </wps:txbx>
                      <wps:bodyPr upright="1"/>
                    </wps:wsp>
                  </a:graphicData>
                </a:graphic>
              </wp:anchor>
            </w:drawing>
          </mc:Choice>
          <mc:Fallback>
            <w:pict>
              <v:rect id="_x0000_s1026" o:spid="_x0000_s1026" o:spt="1" style="position:absolute;left:0pt;margin-left:407.65pt;margin-top:6.55pt;height:38.35pt;width:40.5pt;z-index:251723776;mso-width-relative:page;mso-height-relative:page;" fillcolor="#FFC000" filled="t" stroked="t" coordsize="21600,21600" o:gfxdata="UEsDBAoAAAAAAIdO4kAAAAAAAAAAAAAAAAAEAAAAZHJzL1BLAwQUAAAACACHTuJAMikGo9YAAAAJ&#10;AQAADwAAAGRycy9kb3ducmV2LnhtbE2PQU/DMAyF70j8h8hI3FhaKkLXNZ0QKuLEgQ1xzhrTVmuc&#10;qsm29t/jneBm+z09f6/czm4QZ5xC70lDukpAIDXe9tRq+Nq/PeQgQjRkzeAJNSwYYFvd3pSmsP5C&#10;n3jexVZwCIXCaOhiHAspQ9OhM2HlRyTWfvzkTOR1aqWdzIXD3SAfk0RJZ3riD50Z8bXD5rg7OQ3z&#10;+ntcavXefNQvdhlr5bJn5bS+v0uTDYiIc/wzwxWf0aFipoM/kQ1i0JCnTxlbWchSEGzI14oPh+uQ&#10;g6xK+b9B9QtQSwMEFAAAAAgAh07iQDzW9kUGAgAAKgQAAA4AAABkcnMvZTJvRG9jLnhtbK1TS44T&#10;MRDdI3EHy3vSnUzCzLTSGaEJYYNgpIEDOLa725J/cjnpzmmQ2HEIjoO4BmV3yPxYZMGmu2w/v6r3&#10;qry8GYwmexlAOVvT6aSkRFruhLJtTb9+2by5ogQis4JpZ2VNDxLozer1q2XvKzlzndNCBoIkFqre&#10;17SL0VdFAbyThsHEeWnxsHHBsIjL0BYisB7ZjS5mZfm26F0QPjguAXB3PR7SI2M4h9A1jeJy7fjO&#10;SBtH1iA1iygJOuWBrnK1TSN5/Nw0ICPRNUWlMX8xCcbb9C1WS1a1gflO8WMJ7JwSnmkyTFlMeqJa&#10;s8jILqgXVEbx4MA1ccKdKUYh2RFUMS2feXPfMS+zFrQa/Ml0+H+0/NP+LhAlanq9oMQygx3//e3H&#10;r5/fCW6gO72HCkH3/i4cV4Bhkjo0waQ/iiBDdvRwclQOkXDcXEznFwv0muPR/OqynGfO4uGyDxA/&#10;SGdICmoasGHZR7b/CBETIvQvJOUCp5XYKK3zIrTbWx3InmFzN5vbssz9xCtPYNqSPsmboUDOcGIb&#10;nBQMjUfVYNuc78kNeEx8WV6U7/5JnApbM+jGAjLDOE9GRZncYlUnmXhvBYkHj8ZafFA0FWOkoERL&#10;fH8pysjIlD4Hieq0RV9SX8ZOpCgO2+HYnq0TB2zpzgfVdmjpNPFnOI5QNvQ47mlGH68z6uGJ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ikGo9YAAAAJAQAADwAAAAAAAAABACAAAAAiAAAAZHJz&#10;L2Rvd25yZXYueG1sUEsBAhQAFAAAAAgAh07iQDzW9kUGAgAAKgQAAA4AAAAAAAAAAQAgAAAAJQEA&#10;AGRycy9lMm9Eb2MueG1sUEsFBgAAAAAGAAYAWQEAAJ0FAAAAAA==&#10;">
                <v:fill on="t" focussize="0,0"/>
                <v:stroke color="#7030A0" joinstyle="miter"/>
                <v:imagedata o:title=""/>
                <o:lock v:ext="edit" aspectratio="f"/>
                <v:textbox>
                  <w:txbxContent>
                    <w:p w14:paraId="3ED39F6E">
                      <w:pPr>
                        <w:jc w:val="center"/>
                        <w:rPr>
                          <w:rFonts w:hint="eastAsia"/>
                        </w:rPr>
                      </w:pPr>
                      <w:r>
                        <w:rPr>
                          <w:rFonts w:hint="eastAsia"/>
                        </w:rPr>
                        <w:t>管内运土</w:t>
                      </w:r>
                    </w:p>
                  </w:txbxContent>
                </v:textbox>
              </v:rect>
            </w:pict>
          </mc:Fallback>
        </mc:AlternateContent>
      </w:r>
      <w:r>
        <w:rPr>
          <w:rFonts w:ascii="Arial" w:hAnsi="Arial" w:eastAsia="黑体" w:cs="Arial"/>
          <w:b/>
          <w:sz w:val="24"/>
        </w:rPr>
        <mc:AlternateContent>
          <mc:Choice Requires="wps">
            <w:drawing>
              <wp:anchor distT="0" distB="0" distL="114300" distR="114300" simplePos="0" relativeHeight="251711488" behindDoc="0" locked="0" layoutInCell="1" allowOverlap="1">
                <wp:simplePos x="0" y="0"/>
                <wp:positionH relativeFrom="column">
                  <wp:posOffset>2148840</wp:posOffset>
                </wp:positionH>
                <wp:positionV relativeFrom="paragraph">
                  <wp:posOffset>225425</wp:posOffset>
                </wp:positionV>
                <wp:extent cx="730885" cy="284480"/>
                <wp:effectExtent l="4445" t="4445" r="7620" b="15875"/>
                <wp:wrapNone/>
                <wp:docPr id="193" name="矩形 193"/>
                <wp:cNvGraphicFramePr/>
                <a:graphic xmlns:a="http://schemas.openxmlformats.org/drawingml/2006/main">
                  <a:graphicData uri="http://schemas.microsoft.com/office/word/2010/wordprocessingShape">
                    <wps:wsp>
                      <wps:cNvSpPr/>
                      <wps:spPr>
                        <a:xfrm>
                          <a:off x="0" y="0"/>
                          <a:ext cx="730885"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6C247355">
                            <w:pPr>
                              <w:rPr>
                                <w:rFonts w:hint="eastAsia"/>
                              </w:rPr>
                            </w:pPr>
                            <w:r>
                              <w:rPr>
                                <w:rFonts w:hint="eastAsia"/>
                              </w:rPr>
                              <w:t>安装管节</w:t>
                            </w:r>
                          </w:p>
                        </w:txbxContent>
                      </wps:txbx>
                      <wps:bodyPr upright="1"/>
                    </wps:wsp>
                  </a:graphicData>
                </a:graphic>
              </wp:anchor>
            </w:drawing>
          </mc:Choice>
          <mc:Fallback>
            <w:pict>
              <v:rect id="_x0000_s1026" o:spid="_x0000_s1026" o:spt="1" style="position:absolute;left:0pt;margin-left:169.2pt;margin-top:17.75pt;height:22.4pt;width:57.55pt;z-index:251711488;mso-width-relative:page;mso-height-relative:page;" fillcolor="#FFC000" filled="t" stroked="t" coordsize="21600,21600" o:gfxdata="UEsDBAoAAAAAAIdO4kAAAAAAAAAAAAAAAAAEAAAAZHJzL1BLAwQUAAAACACHTuJA0eOSBdcAAAAJ&#10;AQAADwAAAGRycy9kb3ducmV2LnhtbE2Py07DMBBF90j8gzVI7Khd3KQhxKkQCmLFgoK6duMhiYgf&#10;it02+XuGFezuaI7unKl2sx3ZGac4eKdgvRLA0LXeDK5T8PnxclcAi0k7o0fvUMGCEXb19VWlS+Mv&#10;7h3P+9QxKnGx1Ar6lELJeWx7tDqufEBHuy8/WZ1onDpuJn2hcjvyeyFybvXg6EKvAz732H7vT1bB&#10;/HAIS5O/tm/Nk1lCk1u5za1Stzdr8Qgs4Zz+YPjVJ3WoyenoT85ENiqQstgQSiHLgBGwySSFo4JC&#10;SOB1xf9/UP8AUEsDBBQAAAAIAIdO4kDNtiPGBwIAACwEAAAOAAAAZHJzL2Uyb0RvYy54bWytU0tu&#10;2zAQ3RfoHQjua8l20jiC5aCI626KNkDaA9AkJRHgDxzakk9ToLseoscpeo0OKcf5tAsvupGG5OOb&#10;eW+Gy5vBaLKXAZSzNZ1OSkqk5U4o29b065fNmwUlEJkVTDsra3qQQG9Wr18te1/JmeucFjIQJLFQ&#10;9b6mXYy+KgrgnTQMJs5Li4eNC4ZFXIa2EIH1yG50MSvLt0XvgvDBcQmAu+vxkB4ZwzmErmkUl2vH&#10;d0baOLIGqVlESdApD3SVq20ayePnpgEZia4pKo35i0kw3qZvsVqyqg3Md4ofS2DnlPBCk2HKYtIT&#10;1ZpFRnZB/UVlFA8OXBMn3JliFJIdQRXT8oU39x3zMmtBq8GfTIf/R8s/7e8CUQIn4XpOiWUGW/77&#10;249fP7+TtIP+9B4qhN37u3BcAYZJ7NAEk/4ogwzZ08PJUzlEwnHzal4uFpeUcDyaLS4uFtnz4vGy&#10;DxA/SGdICmoasGXZSbb/CBETIvQBknKB00pslNZ5EdrtrQ5kz7C9m81tWT6wP4NpS/qaXl/OUh0M&#10;Z7bBWcHQeNQNts35nt2Ap8RX5bx890/iVNiaQTcWkBnGiTIqyuQWqzrJxHsrSDx4dNbik6KpGCMF&#10;JVriC0xRRkam9DlINERb9CX1ZexEiuKwHY7t2TpxwKbufFBth5ZOE3+G4xBlQ48Dn6b06TqjHh/5&#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45IF1wAAAAkBAAAPAAAAAAAAAAEAIAAAACIAAABk&#10;cnMvZG93bnJldi54bWxQSwECFAAUAAAACACHTuJAzbYjxgcCAAAsBAAADgAAAAAAAAABACAAAAAm&#10;AQAAZHJzL2Uyb0RvYy54bWxQSwUGAAAAAAYABgBZAQAAnwUAAAAA&#10;">
                <v:fill on="t" focussize="0,0"/>
                <v:stroke color="#7030A0" joinstyle="miter"/>
                <v:imagedata o:title=""/>
                <o:lock v:ext="edit" aspectratio="f"/>
                <v:textbox>
                  <w:txbxContent>
                    <w:p w14:paraId="6C247355">
                      <w:pPr>
                        <w:rPr>
                          <w:rFonts w:hint="eastAsia"/>
                        </w:rPr>
                      </w:pPr>
                      <w:r>
                        <w:rPr>
                          <w:rFonts w:hint="eastAsia"/>
                        </w:rPr>
                        <w:t>安装管节</w:t>
                      </w:r>
                    </w:p>
                  </w:txbxContent>
                </v:textbox>
              </v:rect>
            </w:pict>
          </mc:Fallback>
        </mc:AlternateContent>
      </w:r>
      <w:r>
        <w:rPr>
          <w:rFonts w:ascii="Arial" w:hAnsi="Arial" w:eastAsia="黑体" w:cs="Arial"/>
          <w:b/>
          <w:sz w:val="24"/>
        </w:rPr>
        <mc:AlternateContent>
          <mc:Choice Requires="wps">
            <w:drawing>
              <wp:anchor distT="0" distB="0" distL="114300" distR="114300" simplePos="0" relativeHeight="251709440" behindDoc="0" locked="0" layoutInCell="1" allowOverlap="1">
                <wp:simplePos x="0" y="0"/>
                <wp:positionH relativeFrom="column">
                  <wp:posOffset>906780</wp:posOffset>
                </wp:positionH>
                <wp:positionV relativeFrom="paragraph">
                  <wp:posOffset>225425</wp:posOffset>
                </wp:positionV>
                <wp:extent cx="1002665" cy="284480"/>
                <wp:effectExtent l="4445" t="4445" r="21590" b="15875"/>
                <wp:wrapNone/>
                <wp:docPr id="194" name="矩形 194"/>
                <wp:cNvGraphicFramePr/>
                <a:graphic xmlns:a="http://schemas.openxmlformats.org/drawingml/2006/main">
                  <a:graphicData uri="http://schemas.microsoft.com/office/word/2010/wordprocessingShape">
                    <wps:wsp>
                      <wps:cNvSpPr/>
                      <wps:spPr>
                        <a:xfrm>
                          <a:off x="0" y="0"/>
                          <a:ext cx="1002665"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107084C6">
                            <w:pPr>
                              <w:rPr>
                                <w:rFonts w:hint="eastAsia"/>
                              </w:rPr>
                            </w:pPr>
                            <w:r>
                              <w:rPr>
                                <w:rFonts w:hint="eastAsia"/>
                              </w:rPr>
                              <w:t>安装顶进设备</w:t>
                            </w:r>
                          </w:p>
                        </w:txbxContent>
                      </wps:txbx>
                      <wps:bodyPr upright="1"/>
                    </wps:wsp>
                  </a:graphicData>
                </a:graphic>
              </wp:anchor>
            </w:drawing>
          </mc:Choice>
          <mc:Fallback>
            <w:pict>
              <v:rect id="_x0000_s1026" o:spid="_x0000_s1026" o:spt="1" style="position:absolute;left:0pt;margin-left:71.4pt;margin-top:17.75pt;height:22.4pt;width:78.95pt;z-index:251709440;mso-width-relative:page;mso-height-relative:page;" fillcolor="#FFC000" filled="t" stroked="t" coordsize="21600,21600" o:gfxdata="UEsDBAoAAAAAAIdO4kAAAAAAAAAAAAAAAAAEAAAAZHJzL1BLAwQUAAAACACHTuJAbDHLj9cAAAAJ&#10;AQAADwAAAGRycy9kb3ducmV2LnhtbE2PwU7DMBBE70j8g7VI3KjdhqYlxKkQCuLEgYI4u/GSRMRr&#10;K3bb5O9ZTvQ4mtHMm3I3uUGccIy9Jw3LhQKB1HjbU6vh8+PlbgsiJkPWDJ5Qw4wRdtX1VWkK68/0&#10;jqd9agWXUCyMhi6lUEgZmw6diQsfkNj79qMzieXYSjuaM5e7Qa6UyqUzPfFCZwI+d9j87I9Ow/Tw&#10;FeY6f23e6ic7hzp32SZ3Wt/eLNUjiIRT+g/DHz6jQ8VMB38kG8XA+n7F6ElDtl6D4ECm1AbEQcNW&#10;ZSCrUl4+qH4BUEsDBBQAAAAIAIdO4kCH2NidCAIAAC0EAAAOAAAAZHJzL2Uyb0RvYy54bWytU0tu&#10;2zAQ3RfoHQjua8mu4zqC5aCI626KNkDaA9AkJRHgDxzakk9ToLseoscpeo0MKcf5tIssupGG5OOb&#10;eW+Gq6vBaHKQAZSzNZ1OSkqk5U4o29b029ftmyUlEJkVTDsra3qUQK/Wr1+tel/JmeucFjIQJLFQ&#10;9b6mXYy+KgrgnTQMJs5Li4eNC4ZFXIa2EIH1yG50MSvLRdG7IHxwXALg7mY8pCfG8BJC1zSKy43j&#10;eyNtHFmD1CyiJOiUB7rO1TaN5PFL04CMRNcUlcb8xSQY79K3WK9Y1QbmO8VPJbCXlPBMk2HKYtIz&#10;1YZFRvZB/UVlFA8OXBMn3JliFJIdQRXT8pk3tx3zMmtBq8GfTYf/R8s/H24CUQIn4XJOiWUGW/7n&#10;+8/fv36QtIP+9B4qhN36m3BaAYZJ7NAEk/4ogwzZ0+PZUzlEwnFzWpazxeKCEo5ns+V8vsymFw+3&#10;fYD4UTpDUlDTgD3LVrLDJ4iYEaH3kJQMnFZiq7TOi9DurnUgB4b93W6vy/Ke/QlMW9LX9PJilupg&#10;OLQNDguGxqNwsG3O9+QGPCZ+V74t3/+TOBW2YdCNBWSGcaSMijLZxapOMvHBChKPHq21+KZoKsZI&#10;QYmW+ARTlJGRKf0SJBqiLfqSGjO2IkVx2A2n/uycOGJX9z6otkNLp4k/w3GKsqGniU9j+nidUQ+v&#10;fH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DHLj9cAAAAJAQAADwAAAAAAAAABACAAAAAiAAAA&#10;ZHJzL2Rvd25yZXYueG1sUEsBAhQAFAAAAAgAh07iQIfY2J0IAgAALQQAAA4AAAAAAAAAAQAgAAAA&#10;JgEAAGRycy9lMm9Eb2MueG1sUEsFBgAAAAAGAAYAWQEAAKAFAAAAAA==&#10;">
                <v:fill on="t" focussize="0,0"/>
                <v:stroke color="#7030A0" joinstyle="miter"/>
                <v:imagedata o:title=""/>
                <o:lock v:ext="edit" aspectratio="f"/>
                <v:textbox>
                  <w:txbxContent>
                    <w:p w14:paraId="107084C6">
                      <w:pPr>
                        <w:rPr>
                          <w:rFonts w:hint="eastAsia"/>
                        </w:rPr>
                      </w:pPr>
                      <w:r>
                        <w:rPr>
                          <w:rFonts w:hint="eastAsia"/>
                        </w:rPr>
                        <w:t>安装顶进设备</w:t>
                      </w:r>
                    </w:p>
                  </w:txbxContent>
                </v:textbox>
              </v:rect>
            </w:pict>
          </mc:Fallback>
        </mc:AlternateContent>
      </w:r>
      <w:r>
        <w:rPr>
          <w:rFonts w:ascii="Arial" w:hAnsi="Arial" w:eastAsia="黑体" w:cs="Arial"/>
          <w:b/>
          <w:sz w:val="24"/>
        </w:rPr>
        <mc:AlternateContent>
          <mc:Choice Requires="wps">
            <w:drawing>
              <wp:anchor distT="0" distB="0" distL="114300" distR="114300" simplePos="0" relativeHeight="251707392" behindDoc="0" locked="0" layoutInCell="1" allowOverlap="1">
                <wp:simplePos x="0" y="0"/>
                <wp:positionH relativeFrom="column">
                  <wp:posOffset>-186690</wp:posOffset>
                </wp:positionH>
                <wp:positionV relativeFrom="paragraph">
                  <wp:posOffset>225425</wp:posOffset>
                </wp:positionV>
                <wp:extent cx="860425" cy="284480"/>
                <wp:effectExtent l="4445" t="4445" r="11430" b="15875"/>
                <wp:wrapNone/>
                <wp:docPr id="98" name="矩形 98"/>
                <wp:cNvGraphicFramePr/>
                <a:graphic xmlns:a="http://schemas.openxmlformats.org/drawingml/2006/main">
                  <a:graphicData uri="http://schemas.microsoft.com/office/word/2010/wordprocessingShape">
                    <wps:wsp>
                      <wps:cNvSpPr/>
                      <wps:spPr>
                        <a:xfrm>
                          <a:off x="0" y="0"/>
                          <a:ext cx="860425"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731B85BF">
                            <w:pPr>
                              <w:rPr>
                                <w:rFonts w:hint="eastAsia"/>
                              </w:rPr>
                            </w:pPr>
                            <w:r>
                              <w:rPr>
                                <w:rFonts w:hint="eastAsia"/>
                              </w:rPr>
                              <w:t>工作井开挖</w:t>
                            </w:r>
                          </w:p>
                        </w:txbxContent>
                      </wps:txbx>
                      <wps:bodyPr upright="1"/>
                    </wps:wsp>
                  </a:graphicData>
                </a:graphic>
              </wp:anchor>
            </w:drawing>
          </mc:Choice>
          <mc:Fallback>
            <w:pict>
              <v:rect id="_x0000_s1026" o:spid="_x0000_s1026" o:spt="1" style="position:absolute;left:0pt;margin-left:-14.7pt;margin-top:17.75pt;height:22.4pt;width:67.75pt;z-index:251707392;mso-width-relative:page;mso-height-relative:page;" fillcolor="#FFC000" filled="t" stroked="t" coordsize="21600,21600" o:gfxdata="UEsDBAoAAAAAAIdO4kAAAAAAAAAAAAAAAAAEAAAAZHJzL1BLAwQUAAAACACHTuJAXyUMNtcAAAAJ&#10;AQAADwAAAGRycy9kb3ducmV2LnhtbE2PwU7DMBBE70j8g7VI3Fo7DTVtiFMhFMSJAwVxduMliYjX&#10;Vuy2yd/jnuhxNU8zb8vdZAd2wjH0jhRkSwEMqXGmp1bB1+frYgMsRE1GD45QwYwBdtXtTakL4870&#10;gad9bFkqoVBoBV2MvuA8NB1aHZbOI6Xsx41Wx3SOLTejPqdyO/CVEJJb3VNa6LTHlw6b3/3RKpi2&#10;336u5VvzXj+b2dfS5o/SKnV/l4knYBGn+A/DRT+pQ5WcDu5IJrBBwWK1fUiogny9BnYBhMyAHRRs&#10;RA68Kvn1B9UfUEsDBBQAAAAIAIdO4kDCMG2VBAIAACoEAAAOAAAAZHJzL2Uyb0RvYy54bWytU0uO&#10;EzEQ3SNxB8t70p2QGUIrnRGaEDYIRho4gGO7uy35J5eT7pwGiR2H4DiIa1B2ZzLfRRZsust2+VW9&#10;98rLq8FospcBlLM1nU5KSqTlTijb1vT7t82bBSUQmRVMOytrepBAr1avXy17X8mZ65wWMhAEsVD1&#10;vqZdjL4qCuCdNAwmzkuLh40LhkVchrYQgfWIbnQxK8vLondB+OC4BMDd9XhIj4jhHEDXNIrLteM7&#10;I20cUYPULCIl6JQHusrdNo3k8WvTgIxE1xSZxvzFIhhv07dYLVnVBuY7xY8tsHNaeMLJMGWx6Alq&#10;zSIju6CeQRnFgwPXxAl3phiJZEWQxbR8os1tx7zMXFBq8CfR4f/B8i/7m0CUqOl79N0yg47//fHr&#10;z++fBDdQnd5DhUm3/iYcV4Bhojo0waQ/kiBDVvRwUlQOkXDcXFyW89kFJRyPZov5fJEVL+4v+wDx&#10;k3SGpKCmAQ3LOrL9Z4hYEFPvUlItcFqJjdI6L0K7vdaB7Bmau9lcl+Ud+qM0bUmP9C5yHwwntsFJ&#10;wZaMR9Zg21zv0Q14CPyufFt+eBE4NbZm0I0NZIRxnoyKMqnFqk4y8dEKEg8ehbX4oGhqxkhBiZb4&#10;/lKUMyNT+pxMFERb1CX5MjqRojhsh6M9WycOaOnOB9V2KOk04ed0HKEs6HHc04w+XOes+y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JQw21wAAAAkBAAAPAAAAAAAAAAEAIAAAACIAAABkcnMv&#10;ZG93bnJldi54bWxQSwECFAAUAAAACACHTuJAwjBtlQQCAAAqBAAADgAAAAAAAAABACAAAAAmAQAA&#10;ZHJzL2Uyb0RvYy54bWxQSwUGAAAAAAYABgBZAQAAnAUAAAAA&#10;">
                <v:fill on="t" focussize="0,0"/>
                <v:stroke color="#7030A0" joinstyle="miter"/>
                <v:imagedata o:title=""/>
                <o:lock v:ext="edit" aspectratio="f"/>
                <v:textbox>
                  <w:txbxContent>
                    <w:p w14:paraId="731B85BF">
                      <w:pPr>
                        <w:rPr>
                          <w:rFonts w:hint="eastAsia"/>
                        </w:rPr>
                      </w:pPr>
                      <w:r>
                        <w:rPr>
                          <w:rFonts w:hint="eastAsia"/>
                        </w:rPr>
                        <w:t>工作井开挖</w:t>
                      </w:r>
                    </w:p>
                  </w:txbxContent>
                </v:textbox>
              </v:rect>
            </w:pict>
          </mc:Fallback>
        </mc:AlternateContent>
      </w:r>
      <w:r>
        <w:rPr>
          <w:rFonts w:ascii="Arial" w:hAnsi="Arial" w:eastAsia="黑体" w:cs="Arial"/>
          <w:b/>
          <w:sz w:val="24"/>
        </w:rPr>
        <mc:AlternateContent>
          <mc:Choice Requires="wps">
            <w:drawing>
              <wp:anchor distT="0" distB="0" distL="114300" distR="114300" simplePos="0" relativeHeight="251715584" behindDoc="0" locked="0" layoutInCell="1" allowOverlap="1">
                <wp:simplePos x="0" y="0"/>
                <wp:positionH relativeFrom="column">
                  <wp:posOffset>4093210</wp:posOffset>
                </wp:positionH>
                <wp:positionV relativeFrom="paragraph">
                  <wp:posOffset>221615</wp:posOffset>
                </wp:positionV>
                <wp:extent cx="860425" cy="284480"/>
                <wp:effectExtent l="4445" t="4445" r="11430" b="15875"/>
                <wp:wrapNone/>
                <wp:docPr id="116" name="矩形 116"/>
                <wp:cNvGraphicFramePr/>
                <a:graphic xmlns:a="http://schemas.openxmlformats.org/drawingml/2006/main">
                  <a:graphicData uri="http://schemas.microsoft.com/office/word/2010/wordprocessingShape">
                    <wps:wsp>
                      <wps:cNvSpPr/>
                      <wps:spPr>
                        <a:xfrm>
                          <a:off x="0" y="0"/>
                          <a:ext cx="860425"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35A70796">
                            <w:pPr>
                              <w:rPr>
                                <w:rFonts w:hint="eastAsia"/>
                              </w:rPr>
                            </w:pPr>
                            <w:r>
                              <w:rPr>
                                <w:rFonts w:hint="eastAsia"/>
                              </w:rPr>
                              <w:t>工作面开挖</w:t>
                            </w:r>
                          </w:p>
                        </w:txbxContent>
                      </wps:txbx>
                      <wps:bodyPr upright="1"/>
                    </wps:wsp>
                  </a:graphicData>
                </a:graphic>
              </wp:anchor>
            </w:drawing>
          </mc:Choice>
          <mc:Fallback>
            <w:pict>
              <v:rect id="_x0000_s1026" o:spid="_x0000_s1026" o:spt="1" style="position:absolute;left:0pt;margin-left:322.3pt;margin-top:17.45pt;height:22.4pt;width:67.75pt;z-index:251715584;mso-width-relative:page;mso-height-relative:page;" fillcolor="#FFC000" filled="t" stroked="t" coordsize="21600,21600" o:gfxdata="UEsDBAoAAAAAAIdO4kAAAAAAAAAAAAAAAAAEAAAAZHJzL1BLAwQUAAAACACHTuJA+itENdcAAAAJ&#10;AQAADwAAAGRycy9kb3ducmV2LnhtbE2Py07DMBBF90j8gzVI7KgdGjlNiFMhFMSKBQWxduMhiYgf&#10;it02+XuGFexmNEd3zq33i53YGec4eqcg2whg6DpvRtcr+Hh/vtsBi0k7oyfvUMGKEfbN9VWtK+Mv&#10;7g3Ph9QzCnGx0gqGlELFeewGtDpufEBHty8/W51onXtuZn2hcDvxeyEkt3p09GHQAZ8G7L4PJ6tg&#10;KT/D2sqX7rV9NGtopd0W0ip1e5OJB2AJl/QHw68+qUNDTkd/ciaySYHMc0mogm1eAiOg2IkM2JGG&#10;sgDe1Px/g+YHUEsDBBQAAAAIAIdO4kDglq33BgIAACwEAAAOAAAAZHJzL2Uyb0RvYy54bWytU0uO&#10;EzEQ3SNxB8t70p2QCaGVzghNCBsEIw0cwLHd3Zb8k8tJd06DxI5DcBzENSi7M5kPLLJg0122y6/e&#10;e1VeXQ9Gk4MMoJyt6XRSUiItd0LZtqZfv2xfLSmByKxg2llZ06MEer1++WLV+0rOXOe0kIEgiIWq&#10;9zXtYvRVUQDvpGEwcV5aPGxcMCziMrSFCKxHdKOLWVkuit4F4YPjEgB3N+MhPSGGSwBd0yguN47v&#10;jbRxRA1Ss4iSoFMe6DqzbRrJ4+emARmJrikqjfmLRTDepW+xXrGqDcx3ip8osEsoPNNkmLJY9Ay1&#10;YZGRfVB/QRnFgwPXxAl3phiFZEdQxbR85s1dx7zMWtBq8GfT4f/B8k+H20CUwEmYLiixzGDLf3/7&#10;8evnd5J20J/eQ4Vpd/42nFaAYRI7NMGkP8ogQ/b0ePZUDpFw3FwuyvnsihKOR7PlfL7MnhcPl32A&#10;+EE6Q1JQ04Aty06yw0eIWBBT71NSLXBaia3SOi9Cu7vRgRwYtne7vSnLe/QnadqSvqZvrzIPhjPb&#10;4KwgJeNRN9g213tyAx4Dvylfl+/+CZyIbRh0I4GMME6UUVEmt1jVSSbeW0Hi0aOzFp8UTWSMFJRo&#10;iS8wRTkzMqUvyURDtEVfUl/GTqQoDrvh1J6dE0ds6t4H1XZo6TTh53QcomzoaeDTlD5e56yHR7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orRDXXAAAACQEAAA8AAAAAAAAAAQAgAAAAIgAAAGRy&#10;cy9kb3ducmV2LnhtbFBLAQIUABQAAAAIAIdO4kDglq33BgIAACwEAAAOAAAAAAAAAAEAIAAAACYB&#10;AABkcnMvZTJvRG9jLnhtbFBLBQYAAAAABgAGAFkBAACeBQAAAAA=&#10;">
                <v:fill on="t" focussize="0,0"/>
                <v:stroke color="#7030A0" joinstyle="miter"/>
                <v:imagedata o:title=""/>
                <o:lock v:ext="edit" aspectratio="f"/>
                <v:textbox>
                  <w:txbxContent>
                    <w:p w14:paraId="35A70796">
                      <w:pPr>
                        <w:rPr>
                          <w:rFonts w:hint="eastAsia"/>
                        </w:rPr>
                      </w:pPr>
                      <w:r>
                        <w:rPr>
                          <w:rFonts w:hint="eastAsia"/>
                        </w:rPr>
                        <w:t>工作面开挖</w:t>
                      </w:r>
                    </w:p>
                  </w:txbxContent>
                </v:textbox>
              </v:rect>
            </w:pict>
          </mc:Fallback>
        </mc:AlternateContent>
      </w:r>
      <w:r>
        <w:rPr>
          <w:rFonts w:ascii="Arial" w:hAnsi="Arial" w:eastAsia="黑体" w:cs="Arial"/>
          <w:b/>
          <w:sz w:val="24"/>
        </w:rPr>
        <mc:AlternateContent>
          <mc:Choice Requires="wps">
            <w:drawing>
              <wp:anchor distT="0" distB="0" distL="114300" distR="114300" simplePos="0" relativeHeight="251713536" behindDoc="0" locked="0" layoutInCell="1" allowOverlap="1">
                <wp:simplePos x="0" y="0"/>
                <wp:positionH relativeFrom="column">
                  <wp:posOffset>3109595</wp:posOffset>
                </wp:positionH>
                <wp:positionV relativeFrom="paragraph">
                  <wp:posOffset>223520</wp:posOffset>
                </wp:positionV>
                <wp:extent cx="759460" cy="284480"/>
                <wp:effectExtent l="4445" t="4445" r="17145" b="15875"/>
                <wp:wrapNone/>
                <wp:docPr id="102" name="矩形 102"/>
                <wp:cNvGraphicFramePr/>
                <a:graphic xmlns:a="http://schemas.openxmlformats.org/drawingml/2006/main">
                  <a:graphicData uri="http://schemas.microsoft.com/office/word/2010/wordprocessingShape">
                    <wps:wsp>
                      <wps:cNvSpPr/>
                      <wps:spPr>
                        <a:xfrm>
                          <a:off x="0" y="0"/>
                          <a:ext cx="759460"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09101879">
                            <w:pPr>
                              <w:rPr>
                                <w:rFonts w:hint="eastAsia"/>
                              </w:rPr>
                            </w:pPr>
                            <w:r>
                              <w:rPr>
                                <w:rFonts w:hint="eastAsia"/>
                              </w:rPr>
                              <w:t>布设顶铁</w:t>
                            </w:r>
                          </w:p>
                        </w:txbxContent>
                      </wps:txbx>
                      <wps:bodyPr upright="1"/>
                    </wps:wsp>
                  </a:graphicData>
                </a:graphic>
              </wp:anchor>
            </w:drawing>
          </mc:Choice>
          <mc:Fallback>
            <w:pict>
              <v:rect id="_x0000_s1026" o:spid="_x0000_s1026" o:spt="1" style="position:absolute;left:0pt;margin-left:244.85pt;margin-top:17.6pt;height:22.4pt;width:59.8pt;z-index:251713536;mso-width-relative:page;mso-height-relative:page;" fillcolor="#FFC000" filled="t" stroked="t" coordsize="21600,21600" o:gfxdata="UEsDBAoAAAAAAIdO4kAAAAAAAAAAAAAAAAAEAAAAZHJzL1BLAwQUAAAACACHTuJA3l5F1NcAAAAJ&#10;AQAADwAAAGRycy9kb3ducmV2LnhtbE2PwU7DMBBE70j8g7VI3KjdBtwkZFMhFMSJAwVxdmOTRMRr&#10;K3bb5O8xJ3pczdPM22o325GdzBQGRwjrlQBmqHV6oA7h8+PlLgcWoiKtRkcGYTEBdvX1VaVK7c70&#10;bk772LFUQqFUCH2MvuQ8tL2xKqycN5SybzdZFdM5dVxP6pzK7cg3Qkhu1UBpoVfePPem/dkfLcJc&#10;fPmlka/tW/OkF99Im22lRby9WYtHYNHM8R+GP/2kDnVyOrgj6cBGhPu82CYUIXvYAEuAFEUG7ICQ&#10;CwG8rvjlB/UvUEsDBBQAAAAIAIdO4kAOQUEuCAIAACwEAAAOAAAAZHJzL2Uyb0RvYy54bWytU0tu&#10;2zAQ3RfoHQjua8munTiC5aCI626KNkDaA9AkJRHgDxzakk9ToLseoscpeo0OKcf5tIssupGG5OOb&#10;eW+Gq+vBaHKQAZSzNZ1OSkqk5U4o29b065ftmyUlEJkVTDsra3qUQK/Xr1+tel/JmeucFjIQJLFQ&#10;9b6mXYy+KgrgnTQMJs5Li4eNC4ZFXIa2EIH1yG50MSvLi6J3QfjguATA3c14SE+M4SWErmkUlxvH&#10;90baOLIGqVlESdApD3Sdq20ayePnpgEZia4pKo35i0kw3qVvsV6xqg3Md4qfSmAvKeGZJsOUxaRn&#10;qg2LjOyD+ovKKB4cuCZOuDPFKCQ7giqm5TNv7jrmZdaCVoM/mw7/j5Z/OtwGogROQjmjxDKDLf/9&#10;7cevn99J2kF/eg8Vwu78bTitAMMkdmiCSX+UQYbs6fHsqRwi4bh5ubiaX6DbHI9my/l8mT0vHi77&#10;APGDdIakoKYBW5adZIePEDEhQu8hKRc4rcRWaZ0Xod3d6EAODNu73d6U5T37E5i2pK/p1WK2wDoY&#10;zmyDs4Kh8agbbJvzPbkBj4kvy7flu38Sp8I2DLqxgMwwTpRRUSa3WNVJJt5bQeLRo7MWnxRNxRgp&#10;KNESX2CKMjIypV+CREO0RV9SX8ZOpCgOu+HUnp0TR2zq3gfVdmjpNPFnOA5RNvQ08GlKH68z6uGR&#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l5F1NcAAAAJAQAADwAAAAAAAAABACAAAAAiAAAA&#10;ZHJzL2Rvd25yZXYueG1sUEsBAhQAFAAAAAgAh07iQA5BQS4IAgAALAQAAA4AAAAAAAAAAQAgAAAA&#10;JgEAAGRycy9lMm9Eb2MueG1sUEsFBgAAAAAGAAYAWQEAAKAFAAAAAA==&#10;">
                <v:fill on="t" focussize="0,0"/>
                <v:stroke color="#7030A0" joinstyle="miter"/>
                <v:imagedata o:title=""/>
                <o:lock v:ext="edit" aspectratio="f"/>
                <v:textbox>
                  <w:txbxContent>
                    <w:p w14:paraId="09101879">
                      <w:pPr>
                        <w:rPr>
                          <w:rFonts w:hint="eastAsia"/>
                        </w:rPr>
                      </w:pPr>
                      <w:r>
                        <w:rPr>
                          <w:rFonts w:hint="eastAsia"/>
                        </w:rPr>
                        <w:t>布设顶铁</w:t>
                      </w:r>
                    </w:p>
                  </w:txbxContent>
                </v:textbox>
              </v:rect>
            </w:pict>
          </mc:Fallback>
        </mc:AlternateContent>
      </w:r>
    </w:p>
    <w:p w14:paraId="0A365454">
      <w:pPr>
        <w:pStyle w:val="41"/>
        <w:adjustRightInd w:val="0"/>
        <w:snapToGrid w:val="0"/>
        <w:spacing w:line="460" w:lineRule="exact"/>
        <w:ind w:firstLine="482" w:firstLineChars="200"/>
        <w:rPr>
          <w:rFonts w:hint="eastAsia" w:ascii="Arial" w:hAnsi="Arial" w:eastAsia="仿宋_GB2312" w:cs="Arial"/>
          <w:color w:val="000000"/>
          <w:sz w:val="24"/>
        </w:rPr>
      </w:pPr>
      <w:r>
        <w:rPr>
          <w:rFonts w:ascii="Arial" w:hAnsi="Arial" w:eastAsia="黑体" w:cs="Arial"/>
          <w:b/>
          <w:sz w:val="24"/>
        </w:rPr>
        <mc:AlternateContent>
          <mc:Choice Requires="wps">
            <w:drawing>
              <wp:anchor distT="0" distB="0" distL="114300" distR="114300" simplePos="0" relativeHeight="251714560" behindDoc="0" locked="0" layoutInCell="1" allowOverlap="1">
                <wp:simplePos x="0" y="0"/>
                <wp:positionH relativeFrom="column">
                  <wp:posOffset>3877310</wp:posOffset>
                </wp:positionH>
                <wp:positionV relativeFrom="paragraph">
                  <wp:posOffset>90170</wp:posOffset>
                </wp:positionV>
                <wp:extent cx="215900" cy="0"/>
                <wp:effectExtent l="0" t="38100" r="12700" b="38100"/>
                <wp:wrapNone/>
                <wp:docPr id="110" name="直接连接符 110"/>
                <wp:cNvGraphicFramePr/>
                <a:graphic xmlns:a="http://schemas.openxmlformats.org/drawingml/2006/main">
                  <a:graphicData uri="http://schemas.microsoft.com/office/word/2010/wordprocessingShape">
                    <wps:wsp>
                      <wps:cNvCnPr/>
                      <wps:spPr>
                        <a:xfrm>
                          <a:off x="0" y="0"/>
                          <a:ext cx="215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5.3pt;margin-top:7.1pt;height:0pt;width:17pt;z-index:251714560;mso-width-relative:page;mso-height-relative:page;" filled="f" stroked="t" coordsize="21600,21600" o:gfxdata="UEsDBAoAAAAAAIdO4kAAAAAAAAAAAAAAAAAEAAAAZHJzL1BLAwQUAAAACACHTuJAUFPlz9cAAAAJ&#10;AQAADwAAAGRycy9kb3ducmV2LnhtbE2PwU7DMBBE70j8g7VI3KiTKoqiEKcHpHJpAbVFCG5uvCQR&#10;8TqynTb8PYs40OPOPM3OVKvZDuKEPvSOFKSLBARS40xPrYLXw/quABGiJqMHR6jgGwOs6uurSpfG&#10;nWmHp31sBYdQKLWCLsaxlDI0HVodFm5EYu/Teasjn76Vxuszh9tBLpMkl1b3xB86PeJDh83XfrIK&#10;dtv1pnjbTHPjPx7T58PL9uk9FErd3qTJPYiIc/yH4bc+V4eaOx3dRCaIQUGeJjmjbGRLEAzkWcbC&#10;8U+QdSUvF9Q/UEsDBBQAAAAIAIdO4kCQXgpr/AEAAOsDAAAOAAAAZHJzL2Uyb0RvYy54bWytU0uO&#10;EzEQ3SNxB8t70kmkIKaVziwmDBsEIwEHqNjubkv+yeWkk0twASR2sGLJntswcwzK7kwCg5BmQS/c&#10;ZVf5Vb3nquXl3hq2UxG1dw2fTaacKSe81K5r+If3189ecIYJnATjnWr4QSG/XD19shxCrea+90aq&#10;yAjEYT2EhvcphbqqUPTKAk58UI6crY8WEm1jV8kIA6FbU82n0+fV4KMM0QuFSKfr0cmPiPExgL5t&#10;tVBrL7ZWuTSiRmUgESXsdUC+KtW2rRLpbduiSsw0nJimslISsjd5rVZLqLsIodfiWAI8poQHnCxo&#10;R0lPUGtIwLZR/wVltYgefZsmwttqJFIUIRaz6QNt3vUQVOFCUmM4iY7/D1a82d1EpiV1wow0cWDp&#10;yW8/ff/58cvdj8+03n77yrKLhBoC1hR/5W7icYfhJmbW+zba/Cc+bF/EPZzEVfvEBB3OZ4uLKaUQ&#10;967qfC9ETK+UtywbDTfaZdpQw+41JspFofch+dg4NjT8YjFfEBxQD7b09mTaQDzQdeUueqPltTYm&#10;38DYba5MZDvIfVC+zIhw/wjLSdaA/RhXXGOH9ArkSydZOgTSx9Fg8FyCVZIzo2iOskWAUCfQ5hyZ&#10;ogbXmX9EU3rjqIos7ChltjZeHuhNtiHqric1ZqXS7KEeKDUf+zU32e/7gnSe0d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FPlz9cAAAAJAQAADwAAAAAAAAABACAAAAAiAAAAZHJzL2Rvd25yZXYu&#10;eG1sUEsBAhQAFAAAAAgAh07iQJBeCmv8AQAA6wMAAA4AAAAAAAAAAQAgAAAAJgEAAGRycy9lMm9E&#10;b2MueG1sUEsFBgAAAAAGAAYAWQEAAJQFA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12512" behindDoc="0" locked="0" layoutInCell="1" allowOverlap="1">
                <wp:simplePos x="0" y="0"/>
                <wp:positionH relativeFrom="column">
                  <wp:posOffset>2899410</wp:posOffset>
                </wp:positionH>
                <wp:positionV relativeFrom="paragraph">
                  <wp:posOffset>82550</wp:posOffset>
                </wp:positionV>
                <wp:extent cx="215900" cy="0"/>
                <wp:effectExtent l="0" t="38100" r="12700" b="38100"/>
                <wp:wrapNone/>
                <wp:docPr id="100" name="直接连接符 100"/>
                <wp:cNvGraphicFramePr/>
                <a:graphic xmlns:a="http://schemas.openxmlformats.org/drawingml/2006/main">
                  <a:graphicData uri="http://schemas.microsoft.com/office/word/2010/wordprocessingShape">
                    <wps:wsp>
                      <wps:cNvCnPr/>
                      <wps:spPr>
                        <a:xfrm>
                          <a:off x="0" y="0"/>
                          <a:ext cx="215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8.3pt;margin-top:6.5pt;height:0pt;width:17pt;z-index:251712512;mso-width-relative:page;mso-height-relative:page;" filled="f" stroked="t" coordsize="21600,21600" o:gfxdata="UEsDBAoAAAAAAIdO4kAAAAAAAAAAAAAAAAAEAAAAZHJzL1BLAwQUAAAACACHTuJAWPon8tgAAAAJ&#10;AQAADwAAAGRycy9kb3ducmV2LnhtbE2PwU7DMBBE70j8g7VI3KgdKFEIcXpAKpcWqrYIwc2NlyQi&#10;Xkex04a/ZxEHOO7M0+xMsZhcJ444hNaThmSmQCBV3rZUa3jZL68yECEasqbzhBq+MMCiPD8rTG79&#10;ibZ43MVacAiF3GhoYuxzKUPVoDNh5nsk9j784Ezkc6ilHcyJw10nr5VKpTMt8YfG9PjQYPW5G52G&#10;7Xq5yl5X41QN74/J836zfnoLmdaXF4m6BxFxin8w/NTn6lByp4MfyQbRaZjfpimjbNzwJgbmd4qF&#10;w68gy0L+X1B+A1BLAwQUAAAACACHTuJArrp14/wBAADrAwAADgAAAGRycy9lMm9Eb2MueG1srVNL&#10;jhMxEN0jcQfLe9JJpCCmlc4sJgwbBCMBB6jY7m5L/snlpJNLcAEkdrBiyZ7bMHMMyu5MAoOQZkEv&#10;3GVX+VW956rl5d4atlMRtXcNn02mnCknvNSua/iH99fPXnCGCZwE451q+EEhv1w9fbIcQq3mvvdG&#10;qsgIxGE9hIb3KYW6qlD0ygJOfFCOnK2PFhJtY1fJCAOhW1PNp9Pn1eCjDNELhUin69HJj4jxMYC+&#10;bbVQay+2Vrk0okZlIBEl7HVAvirVtq0S6W3bokrMNJyYprJSErI3ea1WS6i7CKHX4lgCPKaEB5ws&#10;aEdJT1BrSMC2Uf8FZbWIHn2bJsLbaiRSFCEWs+kDbd71EFThQlJjOImO/w9WvNndRKYldcKUNHFg&#10;6clvP33/+fHL3Y/PtN5++8qyi4QaAtYUf+Vu4nGH4SZm1vs22vwnPmxfxD2cxFX7xAQdzmeLi5xC&#10;3Luq870QMb1S3rJsNNxol2lDDbvXmCgXhd6H5GPj2NDwi8V8QXBAPdjS25NpA/FA15W76I2W19qY&#10;fANjt7kyke0g90H5MiPC/SMsJ1kD9mNccY0d0iuQL51k6RBIH0eDwXMJVknOjKI5yhYBQp1Am3Nk&#10;ihpcZ/4RTemNoyqysKOU2dp4eaA32Yaou57UmJVKs4d6oNR87NfcZL/vC9J5Rl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j6J/LYAAAACQEAAA8AAAAAAAAAAQAgAAAAIgAAAGRycy9kb3ducmV2&#10;LnhtbFBLAQIUABQAAAAIAIdO4kCuunXj/AEAAOsDAAAOAAAAAAAAAAEAIAAAACcBAABkcnMvZTJv&#10;RG9jLnhtbFBLBQYAAAAABgAGAFkBAACVBQ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10464" behindDoc="0" locked="0" layoutInCell="1" allowOverlap="1">
                <wp:simplePos x="0" y="0"/>
                <wp:positionH relativeFrom="column">
                  <wp:posOffset>1914525</wp:posOffset>
                </wp:positionH>
                <wp:positionV relativeFrom="paragraph">
                  <wp:posOffset>73025</wp:posOffset>
                </wp:positionV>
                <wp:extent cx="215900" cy="0"/>
                <wp:effectExtent l="0" t="38100" r="12700" b="38100"/>
                <wp:wrapNone/>
                <wp:docPr id="103" name="直接连接符 103"/>
                <wp:cNvGraphicFramePr/>
                <a:graphic xmlns:a="http://schemas.openxmlformats.org/drawingml/2006/main">
                  <a:graphicData uri="http://schemas.microsoft.com/office/word/2010/wordprocessingShape">
                    <wps:wsp>
                      <wps:cNvCnPr/>
                      <wps:spPr>
                        <a:xfrm>
                          <a:off x="0" y="0"/>
                          <a:ext cx="215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0.75pt;margin-top:5.75pt;height:0pt;width:17pt;z-index:251710464;mso-width-relative:page;mso-height-relative:page;" filled="f" stroked="t" coordsize="21600,21600" o:gfxdata="UEsDBAoAAAAAAIdO4kAAAAAAAAAAAAAAAAAEAAAAZHJzL1BLAwQUAAAACACHTuJATwctJNcAAAAJ&#10;AQAADwAAAGRycy9kb3ducmV2LnhtbE2PzU7DMBCE70i8g7VI3KgdolZRiNMDUrm0ULVFCG5uvCQR&#10;8TqKnTa8PVtxgNP+zGj222I5uU6ccAitJw3JTIFAqrxtqdbweljdZSBCNGRN5wk1fGOAZXl9VZjc&#10;+jPt8LSPteAQCrnR0MTY51KGqkFnwsz3SKx9+sGZyONQSzuYM4e7Tt4rtZDOtMQXGtPjY4PV1350&#10;Gnab1Tp7W49TNXw8JS+H7eb5PWRa394k6gFExCn+meGCz+hQMtPRj2SD6DSkKpmzlYVLZUOazrk5&#10;/i5kWcj/H5Q/UEsDBBQAAAAIAIdO4kDG07Z7/QEAAOsDAAAOAAAAZHJzL2Uyb0RvYy54bWytU82O&#10;0zAQviPxDpbvNGlRERs13cOW5YKgEvAAU8dJLPlPHrdpX4IXQOIGJ47ceRuWx2DsdFt2V0h7IAdn&#10;7Bl/M9/nmcXl3mi2kwGVszWfTkrOpBWuUbar+ccP189ecoYRbAPaWVnzg0R+uXz6ZDH4Ss5c73Qj&#10;AyMQi9Xga97H6KuiQNFLAzhxXlpyti4YiLQNXdEEGAjd6GJWli+KwYXGByckIp2uRic/IobHALq2&#10;VUKunNgaaeOIGqSGSJSwVx75MlfbtlLEd22LMjJdc2Ia80pJyN6ktVguoOoC+F6JYwnwmBLucTKg&#10;LCU9Qa0gAtsG9QDKKBEcujZOhDPFSCQrQiym5T1t3vfgZeZCUqM/iY7/D1a83a0DUw11QvmcMwuG&#10;nvzm849fn77+/vmF1pvv31hykVCDx4rir+w6HHfo1yGx3rfBpD/xYfss7uEkrtxHJuhwNp1flCS7&#10;uHUV53s+YHwtnWHJqLlWNtGGCnZvMFIuCr0NScfasqHmF/PZnOCAerCltyfTeOKBtst30WnVXCut&#10;0w0M3eZKB7aD1Af5S4wI905YSrIC7Me47Bo7pJfQvLINiwdP+lgaDJ5KMLLhTEuao2QRIFQRlD5H&#10;xqDAdvof0ZReW6oiCTtKmayNaw70JlsfVNeTGtNcafJQD+Saj/2amuzvfUY6z+j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8HLSTXAAAACQEAAA8AAAAAAAAAAQAgAAAAIgAAAGRycy9kb3ducmV2&#10;LnhtbFBLAQIUABQAAAAIAIdO4kDG07Z7/QEAAOsDAAAOAAAAAAAAAAEAIAAAACYBAABkcnMvZTJv&#10;RG9jLnhtbFBLBQYAAAAABgAGAFkBAACVBQ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08416" behindDoc="0" locked="0" layoutInCell="1" allowOverlap="1">
                <wp:simplePos x="0" y="0"/>
                <wp:positionH relativeFrom="column">
                  <wp:posOffset>677545</wp:posOffset>
                </wp:positionH>
                <wp:positionV relativeFrom="paragraph">
                  <wp:posOffset>73025</wp:posOffset>
                </wp:positionV>
                <wp:extent cx="215900" cy="0"/>
                <wp:effectExtent l="0" t="38100" r="12700" b="38100"/>
                <wp:wrapNone/>
                <wp:docPr id="96" name="直接连接符 96"/>
                <wp:cNvGraphicFramePr/>
                <a:graphic xmlns:a="http://schemas.openxmlformats.org/drawingml/2006/main">
                  <a:graphicData uri="http://schemas.microsoft.com/office/word/2010/wordprocessingShape">
                    <wps:wsp>
                      <wps:cNvCnPr/>
                      <wps:spPr>
                        <a:xfrm>
                          <a:off x="0" y="0"/>
                          <a:ext cx="215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3.35pt;margin-top:5.75pt;height:0pt;width:17pt;z-index:251708416;mso-width-relative:page;mso-height-relative:page;" filled="f" stroked="t" coordsize="21600,21600" o:gfxdata="UEsDBAoAAAAAAIdO4kAAAAAAAAAAAAAAAAAEAAAAZHJzL1BLAwQUAAAACACHTuJAYURSLtcAAAAJ&#10;AQAADwAAAGRycy9kb3ducmV2LnhtbE2PQU/DMAyF70j8h8hI3FhSBKMqTXdAGpcN0DaE4JY1pq1o&#10;nCpJt/Lv8cQBbn7PT8+fy8XkenHAEDtPGrKZAoFUe9tRo+F1t7zKQcRkyJreE2r4xgiL6vysNIX1&#10;R9rgYZsawSUUC6OhTWkopIx1i87EmR+QePfpgzOJZWikDebI5a6X10rNpTMd8YXWDPjQYv21HZ2G&#10;zXq5yt9W41SHj8fsefeyfnqPudaXF5m6B5FwSn9hOOEzOlTMtPcj2Sh61mp+x1EeslsQp8CNYmP/&#10;a8iqlP8/qH4AUEsDBBQAAAAIAIdO4kDRDAlt/AEAAOkDAAAOAAAAZHJzL2Uyb0RvYy54bWytU0uO&#10;EzEQ3SNxB8t70kmkjJhWOrOYMGwQRAIOULHd3Zb8k8tJJ5fgAkjsYMWSPbdhOAZld2YCg5BmQS/c&#10;ZVf5Vb3nquXVwRq2VxG1dw2fTaacKSe81K5r+Pt3N8+ec4YJnATjnWr4USG/Wj19shxCrea+90aq&#10;yAjEYT2EhvcphbqqUPTKAk58UI6crY8WEm1jV8kIA6FbU82n04tq8FGG6IVCpNP16OQnxPgYQN+2&#10;Wqi1FzurXBpRozKQiBL2OiBflWrbVon0pm1RJWYaTkxTWSkJ2du8Vqsl1F2E0GtxKgEeU8IDTha0&#10;o6T3UGtIwHZR/wVltYgefZsmwttqJFIUIRaz6QNt3vYQVOFCUmO4Fx3/H6x4vd9EpmXDLy84c2Dp&#10;xW8/fvvx4fPP759ovf36hZGHZBoC1hR97TbxtMOwiZnzoY02/4kNOxRpj/fSqkNigg7ns8XllEQX&#10;d67qfC9ETC+VtywbDTfaZdJQw/4VJspFoXch+dg4NlC5i/mC4IA6sKWXJ9MGYoGuK3fRGy1vtDH5&#10;BsZue20i20PugvJlRoT7R1hOsgbsx7jiGvujVyBfOMnSMZA8jsaC5xKskpwZRVOULQKEOoE258gU&#10;NbjO/COa0htHVWRhRymztfXySC+yC1F3PakxK5VmD3VAqfnUrbnFft8XpPOE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URSLtcAAAAJAQAADwAAAAAAAAABACAAAAAiAAAAZHJzL2Rvd25yZXYu&#10;eG1sUEsBAhQAFAAAAAgAh07iQNEMCW38AQAA6QMAAA4AAAAAAAAAAQAgAAAAJgEAAGRycy9lMm9E&#10;b2MueG1sUEsFBgAAAAAGAAYAWQEAAJQFA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26848" behindDoc="0" locked="0" layoutInCell="1" allowOverlap="1">
                <wp:simplePos x="0" y="0"/>
                <wp:positionH relativeFrom="column">
                  <wp:posOffset>234315</wp:posOffset>
                </wp:positionH>
                <wp:positionV relativeFrom="paragraph">
                  <wp:posOffset>222250</wp:posOffset>
                </wp:positionV>
                <wp:extent cx="0" cy="212090"/>
                <wp:effectExtent l="38100" t="0" r="38100" b="16510"/>
                <wp:wrapNone/>
                <wp:docPr id="137" name="直接连接符 137"/>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8.45pt;margin-top:17.5pt;height:16.7pt;width:0pt;z-index:251726848;mso-width-relative:page;mso-height-relative:page;" filled="f" stroked="t" coordsize="21600,21600" o:gfxdata="UEsDBAoAAAAAAIdO4kAAAAAAAAAAAAAAAAAEAAAAZHJzL1BLAwQUAAAACACHTuJA8KNaiNcAAAAH&#10;AQAADwAAAGRycy9kb3ducmV2LnhtbE2PzU7DMBCE70i8g7VI3KgTfqI0xOkBqVxaQG0RKjc3XpKI&#10;eB3ZThvenoULnFajGc1+Uy4m24sj+tA5UpDOEhBItTMdNQped8urHESImozuHaGCLwywqM7PSl0Y&#10;d6INHrexEVxCodAK2hiHQspQt2h1mLkBib0P562OLH0jjdcnLre9vE6STFrdEX9o9YAPLdaf29Eq&#10;2KyXq/xtNU61f39Mn3cv66d9yJW6vEiTexARp/gXhh98RoeKmQ5uJBNEr+Amm3OS7x1PYv9XHxRk&#10;+S3IqpT/+atvUEsDBBQAAAAIAIdO4kBTZm50/QEAAOsDAAAOAAAAZHJzL2Uyb0RvYy54bWytU0uO&#10;EzEQ3SNxB8t70knQANNKZxYThg2CSMABKra725J/cjnp5BJcAIkdrFiy5zYMx6DsDgkMQpoFvXCX&#10;q8qv6j2XF1d7a9hORdTeNXw2mXKmnPBSu67h797ePHrGGSZwEox3quEHhfxq+fDBYgi1mvveG6ki&#10;IxCH9RAa3qcU6qpC0SsLOPFBOQq2PlpItI1dJSMMhG5NNZ9On1SDjzJELxQieVdjkB8R430Afdtq&#10;oVZebK1yaUSNykAiStjrgHxZum1bJdLrtkWVmGk4MU1lpSJkb/JaLRdQdxFCr8WxBbhPC3c4WdCO&#10;ip6gVpCAbaP+C8pqET36Nk2Et9VIpChCLGbTO9q86SGowoWkxnASHf8frHi1W0emJU3C46ecObB0&#10;5bcfvn5//+nHt4+03n75zHKIhBoC1pR/7dbxuMOwjpn1vo02/4kP2xdxDydx1T4xMToFeeez+fSy&#10;6F6dz4WI6YXylmWj4Ua7TBtq2L3ERLUo9VdKdhvHhoZfXswvOBNAM9jS3ZNpA/FA15Wz6I2WN9qY&#10;fAJjt7k2ke0gz0H5MiPC/SMtF1kB9mNeCY0T0iuQz51k6RBIH0cPg+cWrJKcGUXvKFsECHUCbc6Z&#10;KWpwnflHNpU3jrrIwo5SZmvj5YHuZBui7npSY1Y6zRGagdLzcV7zkP2+L0jnN7r8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CjWojXAAAABwEAAA8AAAAAAAAAAQAgAAAAIgAAAGRycy9kb3ducmV2&#10;LnhtbFBLAQIUABQAAAAIAIdO4kBTZm50/QEAAOsDAAAOAAAAAAAAAAEAIAAAACYBAABkcnMvZTJv&#10;RG9jLnhtbFBLBQYAAAAABgAGAFkBAACVBQ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22752" behindDoc="0" locked="0" layoutInCell="1" allowOverlap="1">
                <wp:simplePos x="0" y="0"/>
                <wp:positionH relativeFrom="column">
                  <wp:posOffset>4957445</wp:posOffset>
                </wp:positionH>
                <wp:positionV relativeFrom="paragraph">
                  <wp:posOffset>99695</wp:posOffset>
                </wp:positionV>
                <wp:extent cx="215900" cy="0"/>
                <wp:effectExtent l="0" t="38100" r="12700" b="38100"/>
                <wp:wrapNone/>
                <wp:docPr id="99" name="直接连接符 99"/>
                <wp:cNvGraphicFramePr/>
                <a:graphic xmlns:a="http://schemas.openxmlformats.org/drawingml/2006/main">
                  <a:graphicData uri="http://schemas.microsoft.com/office/word/2010/wordprocessingShape">
                    <wps:wsp>
                      <wps:cNvCnPr/>
                      <wps:spPr>
                        <a:xfrm>
                          <a:off x="0" y="0"/>
                          <a:ext cx="215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0.35pt;margin-top:7.85pt;height:0pt;width:17pt;z-index:251722752;mso-width-relative:page;mso-height-relative:page;" filled="f" stroked="t" coordsize="21600,21600" o:gfxdata="UEsDBAoAAAAAAIdO4kAAAAAAAAAAAAAAAAAEAAAAZHJzL1BLAwQUAAAACACHTuJAuvI/JtcAAAAJ&#10;AQAADwAAAGRycy9kb3ducmV2LnhtbE2PzU7DMBCE70i8g7VI3KgdBNQKcXpAKpcWUFuE4ObGSxIR&#10;r6PYacPbs6gHOO3PjGa/LRaT78QBh9gGMpDNFAikKriWagOvu+WVBhGTJWe7QGjgGyMsyvOzwuYu&#10;HGmDh22qBYdQzK2BJqU+lzJWDXobZ6FHYu0zDN4mHodausEeOdx38lqpO+ltS3yhsT0+NFh9bUdv&#10;YLNervTbapyq4eMxe969rJ/eozbm8iJT9yASTunPDL/4jA4lM+3DSC6KzsBcqzlbWbjlygad3XCz&#10;Py1kWcj/H5Q/UEsDBBQAAAAIAIdO4kCdb/fF+wEAAOkDAAAOAAAAZHJzL2Uyb0RvYy54bWytU82O&#10;0zAQviPxDpbvNGmlIho13cOW5YKgEvAAU8dJLPlPHrdpX4IXQOIGJ47ceRt2H4Ox021hEdIeyMEZ&#10;e8bfzPd5Znl1MJrtZUDlbM2nk5IzaYVrlO1q/uH9zbMXnGEE24B2Vtb8KJFfrZ4+WQ6+kjPXO93I&#10;wAjEYjX4mvcx+qooUPTSAE6cl5acrQsGIm1DVzQBBkI3upiV5fNicKHxwQmJSKfr0clPiOExgK5t&#10;lZBrJ3ZG2jiiBqkhEiXslUe+ytW2rRTxbduijEzXnJjGvFISsrdpLVZLqLoAvlfiVAI8poQHnAwo&#10;S0nPUGuIwHZB/QVllAgOXRsnwpliJJIVIRbT8oE273rwMnMhqdGfRcf/Byve7DeBqabmiwVnFgy9&#10;+O2n7z8/frn78ZnW229fGXlIpsFjRdHXdhNOO/SbkDgf2mDSn9iwQ5b2eJZWHiITdDibzhcliS7u&#10;XcXlng8YX0lnWDJqrpVNpKGC/WuMlItC70PSsbZsoHLnsznBAXVgSy9PpvHEAm2X76LTqrlRWqcb&#10;GLrttQ5sD6kL8pcYEe4fYSnJGrAf47Jr7I9eQvPSNiwePcljaSx4KsHIhjMtaYqSRYBQRVD6EhmD&#10;Atvpf0RTem2piiTsKGWytq450ovsfFBdT2pMc6XJQx2Qaz51a2qx3/cZ6TKh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68j8m1wAAAAkBAAAPAAAAAAAAAAEAIAAAACIAAABkcnMvZG93bnJldi54&#10;bWxQSwECFAAUAAAACACHTuJAnW/3xfsBAADpAwAADgAAAAAAAAABACAAAAAmAQAAZHJzL2Uyb0Rv&#10;Yy54bWxQSwUGAAAAAAYABgBZAQAAkwU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21728" behindDoc="0" locked="0" layoutInCell="1" allowOverlap="1">
                <wp:simplePos x="0" y="0"/>
                <wp:positionH relativeFrom="column">
                  <wp:posOffset>2516505</wp:posOffset>
                </wp:positionH>
                <wp:positionV relativeFrom="paragraph">
                  <wp:posOffset>250825</wp:posOffset>
                </wp:positionV>
                <wp:extent cx="0" cy="925195"/>
                <wp:effectExtent l="38100" t="0" r="38100" b="8255"/>
                <wp:wrapNone/>
                <wp:docPr id="133" name="直接连接符 133"/>
                <wp:cNvGraphicFramePr/>
                <a:graphic xmlns:a="http://schemas.openxmlformats.org/drawingml/2006/main">
                  <a:graphicData uri="http://schemas.microsoft.com/office/word/2010/wordprocessingShape">
                    <wps:wsp>
                      <wps:cNvCnPr/>
                      <wps:spPr>
                        <a:xfrm flipV="1">
                          <a:off x="0" y="0"/>
                          <a:ext cx="0" cy="9251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98.15pt;margin-top:19.75pt;height:72.85pt;width:0pt;z-index:251721728;mso-width-relative:page;mso-height-relative:page;" filled="f" stroked="t" coordsize="21600,21600" o:gfxdata="UEsDBAoAAAAAAIdO4kAAAAAAAAAAAAAAAAAEAAAAZHJzL1BLAwQUAAAACACHTuJATTKF+NgAAAAK&#10;AQAADwAAAGRycy9kb3ducmV2LnhtbE2PTU/CQBCG7yb8h82YeJNtgRKo3XIgmngyCsbE29Id20p3&#10;tu4uFPz1DvGgt/l48s4zxepkO3FEH1pHCtJxAgKpcqalWsHr9uF2ASJETUZ3jlDBGQOsytFVoXPj&#10;BnrB4ybWgkMo5FpBE2OfSxmqBq0OY9cj8e7Deasjt76WxuuBw20nJ0kyl1a3xBca3eO6wWq/OVgF&#10;y+2QuWe/f5ul7df79/1n7B+folI312lyByLiKf7BcNFndSjZaecOZILoFEyX8ymjlyIDwcDvYMfk&#10;IpuALAv5/4XyB1BLAwQUAAAACACHTuJA7ulZZAICAAD1AwAADgAAAGRycy9lMm9Eb2MueG1srVNL&#10;jhMxEN0jcQfLe9JJRkFMK51ZTBg2CEbis6+47W5L/snlpJNLcAEkdrBiyZ7bzHAMyu6QgUFIs6AX&#10;Vrnq+bne6/LyYm8N28mI2ruGzyZTzqQTvtWua/i7t1dPnnGGCVwLxjvZ8INEfrF6/Gg5hFrOfe9N&#10;KyMjEof1EBrepxTqqkLRSws48UE6KiofLSTaxq5qIwzEbk01n06fVoOPbYheSETKrsciPzLGhxB6&#10;pbSQay+2Vro0skZpIJEk7HVAvirdKiVFeq0UysRMw0lpKitdQvEmr9VqCXUXIfRaHFuAh7RwT5MF&#10;7ejSE9UaErBt1H9RWS2iR6/SRHhbjUKKI6RiNr3nzZsegixayGoMJ9Px/9GKV7vryHRLk3B2xpkD&#10;S7/89uO3mw+ff3z/ROvt1y8sl8ioIWBN+Et3HY87DNcxq96raJkyOrwnnuIDKWP7YvPhZLPcJybG&#10;pKDs+XwxO19k4mpkyEwhYnohvWU5aLjRLhsANexeYhqhvyA5bRwbiGkxX3AmgKZR0RRQaAMpQteV&#10;s+iNbq+0MfkExm5zaSLbQZ6I8h1b+AOWL1kD9iOulDIM6l5C+9y1LB0COeXoifDcgpUtZ0bSi8pR&#10;QSbQ5g6ZogbXmX+gyQHjyIhs8Whqjja+PdDf2Yaou57cmJVOc4Wmodh2nNw8br/vC9Pda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0yhfjYAAAACgEAAA8AAAAAAAAAAQAgAAAAIgAAAGRycy9k&#10;b3ducmV2LnhtbFBLAQIUABQAAAAIAIdO4kDu6VlkAgIAAPUDAAAOAAAAAAAAAAEAIAAAACcBAABk&#10;cnMvZTJvRG9jLnhtbFBLBQYAAAAABgAGAFkBAACbBQ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24800" behindDoc="0" locked="0" layoutInCell="1" allowOverlap="1">
                <wp:simplePos x="0" y="0"/>
                <wp:positionH relativeFrom="column">
                  <wp:posOffset>5462270</wp:posOffset>
                </wp:positionH>
                <wp:positionV relativeFrom="paragraph">
                  <wp:posOffset>287020</wp:posOffset>
                </wp:positionV>
                <wp:extent cx="0" cy="212090"/>
                <wp:effectExtent l="38100" t="0" r="38100" b="16510"/>
                <wp:wrapNone/>
                <wp:docPr id="115" name="直接连接符 115"/>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30.1pt;margin-top:22.6pt;height:16.7pt;width:0pt;z-index:251724800;mso-width-relative:page;mso-height-relative:page;" filled="f" stroked="t" coordsize="21600,21600" o:gfxdata="UEsDBAoAAAAAAIdO4kAAAAAAAAAAAAAAAAAEAAAAZHJzL1BLAwQUAAAACACHTuJA5EcDGNgAAAAJ&#10;AQAADwAAAGRycy9kb3ducmV2LnhtbE2PwU7DMAyG70i8Q2QkbizpBCXq6u6ANC4boG0IsVvWhLai&#10;Saok3crbY8QBTpbtT78/l8vJ9uxkQuy8Q8hmAphxtdedaxBe96sbCSwm5bTqvTMIXybCsrq8KFWh&#10;/dltzWmXGkYhLhYKoU1pKDiPdWusijM/GEe7Dx+sStSGhuugzhRuez4XIudWdY4utGowD62pP3ej&#10;RdhuVmv5th6nOhwes+f9y+bpPUrE66tMLIAlM6U/GH70SR0qcjr60enIegSZizmhCLd3VAn4HRwR&#10;7mUOvCr5/w+qb1BLAwQUAAAACACHTuJA3hmdUP0BAADrAwAADgAAAGRycy9lMm9Eb2MueG1srVNL&#10;jhMxEN0jcQfLe9JJpEFMK51ZTBg2CCIBB6jY7m5L/snlpJNLcAEkdrBiyZ7bMByDsjskzIyQZkEv&#10;3OWq8qt6z+XF1d4atlMRtXcNn02mnCknvNSua/iH9zfPXnCGCZwE451q+EEhv1o+fbIYQq3mvvdG&#10;qsgIxGE9hIb3KYW6qlD0ygJOfFCOgq2PFhJtY1fJCAOhW1PNp9Pn1eCjDNELhUje1RjkR8T4GEDf&#10;tlqolRdbq1waUaMykIgS9jogX5Zu21aJ9LZtUSVmGk5MU1mpCNmbvFbLBdRdhNBrcWwBHtPCPU4W&#10;tKOiJ6gVJGDbqB9AWS2iR9+mifC2GokURYjFbHpPm3c9BFW4kNQYTqLj/4MVb3bryLSkSZhdcObA&#10;0pXffvr+8+OXXz8+03r77SvLIRJqCFhT/rVbx+MOwzpm1vs22vwnPmxfxD2cxFX7xMToFOSdz+bT&#10;y6J7dT4XIqZXyluWjYYb7TJtqGH3GhPVotQ/KdltHBsafnkxp44F0Ay2dPdk2kA80HXlLHqj5Y02&#10;Jp/A2G2uTWQ7yHNQvsyIcO+k5SIrwH7MK6FxQnoF8qWTLB0C6ePoYfDcglWSM6PoHWWLAKFOoM05&#10;M0UNrjP/yKbyxlEXWdhRymxtvDzQnWxD1F1PasxKpzlCM1B6Ps5rHrK/9wXp/Ea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kRwMY2AAAAAkBAAAPAAAAAAAAAAEAIAAAACIAAABkcnMvZG93bnJl&#10;di54bWxQSwECFAAUAAAACACHTuJA3hmdUP0BAADrAwAADgAAAAAAAAABACAAAAAnAQAAZHJzL2Uy&#10;b0RvYy54bWxQSwUGAAAAAAYABgBZAQAAlgU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16608" behindDoc="0" locked="0" layoutInCell="1" allowOverlap="1">
                <wp:simplePos x="0" y="0"/>
                <wp:positionH relativeFrom="column">
                  <wp:posOffset>4360545</wp:posOffset>
                </wp:positionH>
                <wp:positionV relativeFrom="paragraph">
                  <wp:posOffset>235585</wp:posOffset>
                </wp:positionV>
                <wp:extent cx="0" cy="212090"/>
                <wp:effectExtent l="38100" t="0" r="38100" b="16510"/>
                <wp:wrapNone/>
                <wp:docPr id="105" name="直接连接符 105"/>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3.35pt;margin-top:18.55pt;height:16.7pt;width:0pt;z-index:251716608;mso-width-relative:page;mso-height-relative:page;" filled="f" stroked="t" coordsize="21600,21600" o:gfxdata="UEsDBAoAAAAAAIdO4kAAAAAAAAAAAAAAAAAEAAAAZHJzL1BLAwQUAAAACACHTuJAVkdmNdgAAAAJ&#10;AQAADwAAAGRycy9kb3ducmV2LnhtbE2PwU7DMAyG70i8Q2QkbiwpiLYqdXdAGpcN0DaE4JY1pq1o&#10;nKpJt/L2BHGAo+1Pv7+/XM62F0cafecYIVkoEMS1Mx03CC/71VUOwgfNRveOCeGLPCyr87NSF8ad&#10;eEvHXWhEDGFfaIQ2hKGQ0tctWe0XbiCOtw83Wh3iODbSjPoUw20vr5VKpdUdxw+tHui+pfpzN1mE&#10;7Wa1zl/X01yP7w/J0/558/jmc8TLi0TdgQg0hz8YfvSjOlTR6eAmNl70CGmeZhFFuMkSEBH4XRwQ&#10;MnULsirl/wbVN1BLAwQUAAAACACHTuJA4P3i2PwBAADrAwAADgAAAGRycy9lMm9Eb2MueG1srVPN&#10;jtMwEL4j8Q6W7zRppUVs1HQPW5YLgpWAB5jaTmLJf/K4TfsSvAASNzhx5M7bsDwGY6e0sAhpD+Tg&#10;jGfG38z3eby82lvDdiqi9q7l81nNmXLCS+36lr97e/PkGWeYwEkw3qmWHxTyq9XjR8sxNGrhB2+k&#10;ioxAHDZjaPmQUmiqCsWgLODMB+Uo2PloIdE29pWMMBK6NdWirp9Wo48yRC8UInnXU5AfEeNDAH3X&#10;aaHWXmytcmlCjcpAIko46IB8VbrtOiXS665DlZhpOTFNZaUiZG/yWq2W0PQRwqDFsQV4SAv3OFnQ&#10;joqeoNaQgG2j/gvKahE9+i7NhLfVRKQoQizm9T1t3gwQVOFCUmM4iY7/D1a82t1GpiVNQn3BmQNL&#10;V3734ev3959+fPtI692XzyyHSKgxYEP51+42HncYbmNmve+izX/iw/ZF3MNJXLVPTExOQd7FfFFf&#10;Ft2r87kQMb1Q3rJstNxol2lDA7uXmKgWpf5KyW7j2Njyy4sFdSyAZrCjuyfTBuKBri9n0Rstb7Qx&#10;+QTGfnNtIttBnoPyZUaE+0daLrIGHKa8EpomZFAgnzvJ0iGQPo4eBs8tWCU5M4reUbYIEJoE2pwz&#10;U9TgevOPbCpvHHWRhZ2kzNbGywPdyTZE3Q+kxrx0miM0A6Xn47zmIft9X5DOb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HZjXYAAAACQEAAA8AAAAAAAAAAQAgAAAAIgAAAGRycy9kb3ducmV2&#10;LnhtbFBLAQIUABQAAAAIAIdO4kDg/eLY/AEAAOsDAAAOAAAAAAAAAAEAIAAAACcBAABkcnMvZTJv&#10;RG9jLnhtbFBLBQYAAAAABgAGAFkBAACVBQ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28896" behindDoc="0" locked="0" layoutInCell="1" allowOverlap="1">
                <wp:simplePos x="0" y="0"/>
                <wp:positionH relativeFrom="column">
                  <wp:posOffset>1426845</wp:posOffset>
                </wp:positionH>
                <wp:positionV relativeFrom="paragraph">
                  <wp:posOffset>222250</wp:posOffset>
                </wp:positionV>
                <wp:extent cx="0" cy="212090"/>
                <wp:effectExtent l="38100" t="0" r="38100" b="16510"/>
                <wp:wrapNone/>
                <wp:docPr id="104" name="直接连接符 104"/>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17.5pt;height:16.7pt;width:0pt;z-index:251728896;mso-width-relative:page;mso-height-relative:page;" filled="f" stroked="t" coordsize="21600,21600" o:gfxdata="UEsDBAoAAAAAAIdO4kAAAAAAAAAAAAAAAAAEAAAAZHJzL1BLAwQUAAAACACHTuJACPWqYNkAAAAJ&#10;AQAADwAAAGRycy9kb3ducmV2LnhtbE2PwU7DMAyG70i8Q2QkbixtGaMqdXdAGpcN0DaE4JY1pq1o&#10;kipJt/L2GHGAo+1Pv7+/XE6mF0fyoXMWIZ0lIMjWTne2QXjZr65yECEqq1XvLCF8UYBldX5WqkK7&#10;k93ScRcbwSE2FAqhjXEopAx1S0aFmRvI8u3DeaMij76R2qsTh5teZkmykEZ1lj+0aqD7lurP3WgQ&#10;tpvVOn9dj1Pt3x/Sp/3z5vEt5IiXF2lyByLSFP9g+NFndajY6eBGq4PoEbJsfssowvUNd2Lgd3FA&#10;WORzkFUp/zeovgFQSwMEFAAAAAgAh07iQDglXK/9AQAA6wMAAA4AAABkcnMvZTJvRG9jLnhtbK1T&#10;zY7TMBC+I/EOlu80acQiNmq6hy3LBUEl4AGmjpNY8p88btO+BC+AxA1OHLnzNuw+BmOntLAIaQ/k&#10;4Ixnxt/M93m8uNobzXYyoHK24fNZyZm0wrXK9g1//+7myXPOMIJtQTsrG36QyK+Wjx8tRl/Lyg1O&#10;tzIwArFYj77hQ4y+LgoUgzSAM+elpWDngoFI29AXbYCR0I0uqrJ8VowutD44IRHJu5qC/IgYHgLo&#10;uk4JuXJia6SNE2qQGiJRwkF55MvcbddJEd90HcrIdMOJacwrFSF7k9ZiuYC6D+AHJY4twENauMfJ&#10;gLJU9AS1gghsG9RfUEaJ4NB1cSacKSYiWRFiMS/vafN2AC8zF5Ia/Ul0/H+w4vVuHZhqaRLKp5xZ&#10;MHTltx+//fjw+e77J1pvv35hKURCjR5ryr+263DcoV+HxHrfBZP+xIfts7iHk7hyH5mYnIK81bwq&#10;L7PuxfmcDxhfSmdYMhqulU20oYbdK4xUi1J/pSS3tmxs+OVFdcGZAJrBju6eTOOJB9o+n0WnVXuj&#10;tE4nMPSbax3YDtIc5C8xItw/0lKRFeAw5eXQNCGDhPaFbVk8eNLH0sPgqQUjW860pHeULAKEOoLS&#10;58wYFNhe/yObymtLXSRhJymTtXHtge5k64PqB1JjnjtNEZqB3PNxXtOQ/b7PSOc3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PWqYNkAAAAJAQAADwAAAAAAAAABACAAAAAiAAAAZHJzL2Rvd25y&#10;ZXYueG1sUEsBAhQAFAAAAAgAh07iQDglXK/9AQAA6wMAAA4AAAAAAAAAAQAgAAAAKAEAAGRycy9l&#10;Mm9Eb2MueG1sUEsFBgAAAAAGAAYAWQEAAJcFAAAAAA==&#10;">
                <v:fill on="f" focussize="0,0"/>
                <v:stroke color="#000000" joinstyle="round" endarrow="block"/>
                <v:imagedata o:title=""/>
                <o:lock v:ext="edit" aspectratio="f"/>
              </v:line>
            </w:pict>
          </mc:Fallback>
        </mc:AlternateContent>
      </w:r>
    </w:p>
    <w:p w14:paraId="386CE6F8">
      <w:pPr>
        <w:pStyle w:val="41"/>
        <w:adjustRightInd w:val="0"/>
        <w:snapToGrid w:val="0"/>
        <w:spacing w:line="460" w:lineRule="exact"/>
        <w:ind w:firstLine="482" w:firstLineChars="200"/>
        <w:rPr>
          <w:rFonts w:hint="eastAsia" w:ascii="Arial" w:hAnsi="Arial" w:eastAsia="仿宋_GB2312" w:cs="Arial"/>
          <w:color w:val="000000"/>
          <w:sz w:val="24"/>
        </w:rPr>
      </w:pPr>
      <w:r>
        <w:rPr>
          <w:rFonts w:ascii="Arial" w:hAnsi="Arial" w:eastAsia="黑体" w:cs="Arial"/>
          <w:b/>
          <w:sz w:val="24"/>
        </w:rPr>
        <mc:AlternateContent>
          <mc:Choice Requires="wps">
            <w:drawing>
              <wp:anchor distT="0" distB="0" distL="114300" distR="114300" simplePos="0" relativeHeight="251729920" behindDoc="0" locked="0" layoutInCell="1" allowOverlap="1">
                <wp:simplePos x="0" y="0"/>
                <wp:positionH relativeFrom="column">
                  <wp:posOffset>1151255</wp:posOffset>
                </wp:positionH>
                <wp:positionV relativeFrom="paragraph">
                  <wp:posOffset>163195</wp:posOffset>
                </wp:positionV>
                <wp:extent cx="500380" cy="28067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500380" cy="280670"/>
                        </a:xfrm>
                        <a:prstGeom prst="rect">
                          <a:avLst/>
                        </a:prstGeom>
                        <a:noFill/>
                        <a:ln>
                          <a:noFill/>
                        </a:ln>
                      </wps:spPr>
                      <wps:txbx>
                        <w:txbxContent>
                          <w:p w14:paraId="23D51539">
                            <w:pPr>
                              <w:jc w:val="center"/>
                              <w:rPr>
                                <w:rFonts w:hint="eastAsia"/>
                              </w:rPr>
                            </w:pPr>
                            <w:r>
                              <w:rPr>
                                <w:rFonts w:hint="eastAsia"/>
                              </w:rPr>
                              <w:t>噪声</w:t>
                            </w:r>
                          </w:p>
                        </w:txbxContent>
                      </wps:txbx>
                      <wps:bodyPr upright="1"/>
                    </wps:wsp>
                  </a:graphicData>
                </a:graphic>
              </wp:anchor>
            </w:drawing>
          </mc:Choice>
          <mc:Fallback>
            <w:pict>
              <v:shape id="_x0000_s1026" o:spid="_x0000_s1026" o:spt="202" type="#_x0000_t202" style="position:absolute;left:0pt;margin-left:90.65pt;margin-top:12.85pt;height:22.1pt;width:39.4pt;z-index:251729920;mso-width-relative:page;mso-height-relative:page;" filled="f" stroked="f" coordsize="21600,21600" o:gfxdata="UEsDBAoAAAAAAIdO4kAAAAAAAAAAAAAAAAAEAAAAZHJzL1BLAwQUAAAACACHTuJAhsG7edcAAAAJ&#10;AQAADwAAAGRycy9kb3ducmV2LnhtbE2Py07DMBBF90j9B2sqsaN2Ag1NiNNFEVsQ5SGxc+NpEjUe&#10;R7HbhL9nWMHyao7uPVNuZ9eLC46h86QhWSkQSLW3HTUa3t+ebjYgQjRkTe8JNXxjgG21uCpNYf1E&#10;r3jZx0ZwCYXCaGhjHAopQ92iM2HlByS+Hf3oTOQ4NtKOZuJy18tUqUw60xEvtGbAXYv1aX92Gj6e&#10;j1+fd+qleXTrYfKzkuRyqfX1MlEPICLO8Q+GX31Wh4qdDv5MNoie8ya5ZVRDur4HwUCaqQTEQUOW&#10;5yCrUv7/oPoBUEsDBBQAAAAIAIdO4kDezoMqrgEAAFEDAAAOAAAAZHJzL2Uyb0RvYy54bWytU0tu&#10;2zAQ3RfoHQjua8oumhqC5QCBkW6KpkDaA9AUZREgOQSHtuQLNDfoqpvuey6fo0PacX6bLLKhyJmn&#10;N/PekIvL0Vm20xEN+IZPJxVn2itojd80/OeP6w9zzjBJ30oLXjd8r5FfLt+/Wwyh1jPowbY6MiLx&#10;WA+h4X1KoRYCVa+dxAkE7SnZQXQy0TFuRBvlQOzOillVXYgBYhsiKI1I0dUxyU+M8TWE0HVG6RWo&#10;rdM+HVmjtjKRJOxNQL4s3XadVumm61AnZhtOSlNZqQjt13kVy4WsN1GG3qhTC/I1LTzT5KTxVPRM&#10;tZJJsm00L6icUREQujRR4MRRSHGEVEyrZ97c9jLoooWsxnA2Hd+OVn3bfY/MtHQTqilnXjoa+eH3&#10;3eHPv8PfXywHyaIhYE3I20DYNF7BSPD7OFIwKx+76PKXNDHKk8H7s8F6TExR8FNVfZxTRlFqNq8u&#10;PpcBiIefQ8T0RYNjedPwSPMrtsrdV0zUCEHvIbmWh2tjbZmh9U8CBMwRkTs/dph3aVyPJzlraPek&#10;Zhui2fRUqugpcHK6FDrdijzKx+dC+vASlv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sG7edcA&#10;AAAJAQAADwAAAAAAAAABACAAAAAiAAAAZHJzL2Rvd25yZXYueG1sUEsBAhQAFAAAAAgAh07iQN7O&#10;gyquAQAAUQMAAA4AAAAAAAAAAQAgAAAAJgEAAGRycy9lMm9Eb2MueG1sUEsFBgAAAAAGAAYAWQEA&#10;AEYFAAAAAA==&#10;">
                <v:fill on="f" focussize="0,0"/>
                <v:stroke on="f"/>
                <v:imagedata o:title=""/>
                <o:lock v:ext="edit" aspectratio="f"/>
                <v:textbox>
                  <w:txbxContent>
                    <w:p w14:paraId="23D51539">
                      <w:pPr>
                        <w:jc w:val="center"/>
                        <w:rPr>
                          <w:rFonts w:hint="eastAsia"/>
                        </w:rPr>
                      </w:pPr>
                      <w:r>
                        <w:rPr>
                          <w:rFonts w:hint="eastAsia"/>
                        </w:rPr>
                        <w:t>噪声</w:t>
                      </w:r>
                    </w:p>
                  </w:txbxContent>
                </v:textbox>
              </v:shape>
            </w:pict>
          </mc:Fallback>
        </mc:AlternateContent>
      </w:r>
      <w:r>
        <w:rPr>
          <w:rFonts w:ascii="Arial" w:hAnsi="Arial" w:eastAsia="黑体" w:cs="Arial"/>
          <w:b/>
          <w:sz w:val="24"/>
        </w:rPr>
        <mc:AlternateContent>
          <mc:Choice Requires="wps">
            <w:drawing>
              <wp:anchor distT="0" distB="0" distL="114300" distR="114300" simplePos="0" relativeHeight="251725824" behindDoc="0" locked="0" layoutInCell="1" allowOverlap="1">
                <wp:simplePos x="0" y="0"/>
                <wp:positionH relativeFrom="column">
                  <wp:posOffset>5222240</wp:posOffset>
                </wp:positionH>
                <wp:positionV relativeFrom="paragraph">
                  <wp:posOffset>210820</wp:posOffset>
                </wp:positionV>
                <wp:extent cx="514350" cy="424815"/>
                <wp:effectExtent l="4445" t="4445" r="14605" b="8890"/>
                <wp:wrapNone/>
                <wp:docPr id="111" name="矩形 111"/>
                <wp:cNvGraphicFramePr/>
                <a:graphic xmlns:a="http://schemas.openxmlformats.org/drawingml/2006/main">
                  <a:graphicData uri="http://schemas.microsoft.com/office/word/2010/wordprocessingShape">
                    <wps:wsp>
                      <wps:cNvSpPr/>
                      <wps:spPr>
                        <a:xfrm>
                          <a:off x="0" y="0"/>
                          <a:ext cx="514350" cy="424815"/>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30F3D73C">
                            <w:pPr>
                              <w:spacing w:line="240" w:lineRule="exact"/>
                              <w:jc w:val="center"/>
                              <w:rPr>
                                <w:rFonts w:hint="eastAsia"/>
                              </w:rPr>
                            </w:pPr>
                            <w:r>
                              <w:rPr>
                                <w:rFonts w:hint="eastAsia"/>
                              </w:rPr>
                              <w:t>土方提升</w:t>
                            </w:r>
                          </w:p>
                        </w:txbxContent>
                      </wps:txbx>
                      <wps:bodyPr upright="1"/>
                    </wps:wsp>
                  </a:graphicData>
                </a:graphic>
              </wp:anchor>
            </w:drawing>
          </mc:Choice>
          <mc:Fallback>
            <w:pict>
              <v:rect id="_x0000_s1026" o:spid="_x0000_s1026" o:spt="1" style="position:absolute;left:0pt;margin-left:411.2pt;margin-top:16.6pt;height:33.45pt;width:40.5pt;z-index:251725824;mso-width-relative:page;mso-height-relative:page;" fillcolor="#FFC000" filled="t" stroked="t" coordsize="21600,21600" o:gfxdata="UEsDBAoAAAAAAIdO4kAAAAAAAAAAAAAAAAAEAAAAZHJzL1BLAwQUAAAACACHTuJA1EI1sNcAAAAK&#10;AQAADwAAAGRycy9kb3ducmV2LnhtbE2PwU7DMAyG70i8Q2Qkbixpi8pWmk4IFe3EgQ1xzhrTVjRO&#10;1WRb+/YzJzja/vT7+8vt7AZxxin0njQkKwUCqfG2p1bD5+HtYQ0iREPWDJ5Qw4IBttXtTWkK6y/0&#10;ged9bAWHUCiMhi7GsZAyNB06E1Z+ROLbt5+ciTxOrbSTuXC4G2SqVC6d6Yk/dGbE1w6bn/3JaZg3&#10;X+NS57vmvX6xy1jnLnvKndb3d4l6BhFxjn8w/OqzOlTsdPQnskEMGtZp+siohixLQTCwURkvjkwq&#10;lYCsSvm/QnUFUEsDBBQAAAAIAIdO4kCTwk0ACAIAACwEAAAOAAAAZHJzL2Uyb0RvYy54bWytU82O&#10;0zAQviPxDpbvNEm3hSVqukJbygXBSgsP4NpOYsl/8rhN+jRI3HgIHgfxGjt2SvcHDnvgkszY48/z&#10;fd94dTUaTQ4ygHK2odWspERa7oSyXUO/ftm+uqQEIrOCaWdlQ48S6NX65YvV4Gs5d73TQgaCIBbq&#10;wTe0j9HXRQG8l4bBzHlpcbN1wbCIaegKEdiA6EYX87J8XQwuCB8clwC4upk26QkxPAfQta3icuP4&#10;3kgbJ9QgNYtICXrlga5zt20refzctiAj0Q1FpjF/8RKMd+lbrFes7gLzveKnFthzWnjCyTBl8dIz&#10;1IZFRvZB/QVlFA8OXBtn3JliIpIVQRZV+USb2555mbmg1ODPosP/g+WfDjeBKIGTUFWUWGbQ8t/f&#10;fvz6+Z2kFdRn8FBj2a2/CacMMExkxzaY9EcaZMyaHs+ayjESjovLanGxRLU5bi3mi8tqmTCL+8M+&#10;QPwgnSEpaGhAy7KS7PAR4lT6pyTdBU4rsVVa5yR0u2sdyIGhvdvtdVlmRxH9UZm2ZGjo2+V8iX0w&#10;nNkWZwVD45E32C7f9+gEPAR+U16U7/4JnBrbMOinBjLCNFFGRZnUYnUvmXhvBYlHj8pafFI0NWOk&#10;oERLfIEpypWRKf2cSmSnLUqYfJmcSFEcdyPCpHDnxBFN3fuguh4lzS7mchyirP1p4NOUPswz6P0j&#10;X9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EI1sNcAAAAKAQAADwAAAAAAAAABACAAAAAiAAAA&#10;ZHJzL2Rvd25yZXYueG1sUEsBAhQAFAAAAAgAh07iQJPCTQAIAgAALAQAAA4AAAAAAAAAAQAgAAAA&#10;JgEAAGRycy9lMm9Eb2MueG1sUEsFBgAAAAAGAAYAWQEAAKAFAAAAAA==&#10;">
                <v:fill on="t" focussize="0,0"/>
                <v:stroke color="#7030A0" joinstyle="miter"/>
                <v:imagedata o:title=""/>
                <o:lock v:ext="edit" aspectratio="f"/>
                <v:textbox>
                  <w:txbxContent>
                    <w:p w14:paraId="30F3D73C">
                      <w:pPr>
                        <w:spacing w:line="240" w:lineRule="exact"/>
                        <w:jc w:val="center"/>
                        <w:rPr>
                          <w:rFonts w:hint="eastAsia"/>
                        </w:rPr>
                      </w:pPr>
                      <w:r>
                        <w:rPr>
                          <w:rFonts w:hint="eastAsia"/>
                        </w:rPr>
                        <w:t>土方提升</w:t>
                      </w:r>
                    </w:p>
                  </w:txbxContent>
                </v:textbox>
              </v:rect>
            </w:pict>
          </mc:Fallback>
        </mc:AlternateContent>
      </w:r>
      <w:r>
        <w:rPr>
          <w:rFonts w:ascii="Arial" w:hAnsi="Arial" w:eastAsia="黑体" w:cs="Arial"/>
          <w:b/>
          <w:sz w:val="24"/>
        </w:rPr>
        <mc:AlternateContent>
          <mc:Choice Requires="wps">
            <w:drawing>
              <wp:anchor distT="0" distB="0" distL="114300" distR="114300" simplePos="0" relativeHeight="251717632" behindDoc="0" locked="0" layoutInCell="1" allowOverlap="1">
                <wp:simplePos x="0" y="0"/>
                <wp:positionH relativeFrom="column">
                  <wp:posOffset>3950335</wp:posOffset>
                </wp:positionH>
                <wp:positionV relativeFrom="paragraph">
                  <wp:posOffset>174625</wp:posOffset>
                </wp:positionV>
                <wp:extent cx="730885" cy="284480"/>
                <wp:effectExtent l="4445" t="4445" r="7620" b="15875"/>
                <wp:wrapNone/>
                <wp:docPr id="108" name="矩形 108"/>
                <wp:cNvGraphicFramePr/>
                <a:graphic xmlns:a="http://schemas.openxmlformats.org/drawingml/2006/main">
                  <a:graphicData uri="http://schemas.microsoft.com/office/word/2010/wordprocessingShape">
                    <wps:wsp>
                      <wps:cNvSpPr/>
                      <wps:spPr>
                        <a:xfrm>
                          <a:off x="0" y="0"/>
                          <a:ext cx="730885"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53DD512D">
                            <w:pPr>
                              <w:rPr>
                                <w:rFonts w:hint="eastAsia"/>
                              </w:rPr>
                            </w:pPr>
                            <w:r>
                              <w:rPr>
                                <w:rFonts w:hint="eastAsia"/>
                              </w:rPr>
                              <w:t>管道顶进</w:t>
                            </w:r>
                          </w:p>
                        </w:txbxContent>
                      </wps:txbx>
                      <wps:bodyPr upright="1"/>
                    </wps:wsp>
                  </a:graphicData>
                </a:graphic>
              </wp:anchor>
            </w:drawing>
          </mc:Choice>
          <mc:Fallback>
            <w:pict>
              <v:rect id="_x0000_s1026" o:spid="_x0000_s1026" o:spt="1" style="position:absolute;left:0pt;margin-left:311.05pt;margin-top:13.75pt;height:22.4pt;width:57.55pt;z-index:251717632;mso-width-relative:page;mso-height-relative:page;" fillcolor="#FFC000" filled="t" stroked="t" coordsize="21600,21600" o:gfxdata="UEsDBAoAAAAAAIdO4kAAAAAAAAAAAAAAAAAEAAAAZHJzL1BLAwQUAAAACACHTuJAKu2Ev9cAAAAJ&#10;AQAADwAAAGRycy9kb3ducmV2LnhtbE2PwU7DMAyG70i8Q2QkbixtKlJWmk4IFXHiwECcs8ZrKxon&#10;arKtfXvCCW62/On399e7xU7sjHMYHSnINxkwpM6ZkXoFnx8vdw/AQtRk9OQIFawYYNdcX9W6Mu5C&#10;73jex56lEAqVVjDE6CvOQzeg1WHjPFK6Hd1sdUzr3HMz60sKtxMXWSa51SOlD4P2+Dxg970/WQXL&#10;9suvrXzt3tons/pW2qKUVqnbmzx7BBZxiX8w/OondWiS08GdyAQ2KZBC5AlVIMp7YAkoi1IAO6RB&#10;FMCbmv9v0PwAUEsDBBQAAAAIAIdO4kBTKLP3BwIAACwEAAAOAAAAZHJzL2Uyb0RvYy54bWytU0tu&#10;2zAQ3RfoHQjua8lO0riC5aCI626KNkDaA9AkJRHgDxzakk9ToLseoscpeo0MKcf5NAsvspGG5PDN&#10;vPeGi6vBaLKTAZSzNZ1OSkqk5U4o29b0x/f1uzklEJkVTDsra7qXQK+Wb98sel/JmeucFjIQBLFQ&#10;9b6mXYy+KgrgnTQMJs5Li4eNC4ZFXIa2EIH1iG50MSvL90XvgvDBcQmAu6vxkB4QwymArmkUlyvH&#10;t0baOKIGqVlEStApD3SZu20ayeO3pgEZia4pMo35i0Uw3qRvsVywqg3Md4ofWmCntPCMk2HKYtEj&#10;1IpFRrZB/QdlFA8OXBMn3JliJJIVQRbT8pk2tx3zMnNBqcEfRYfXg+VfdzeBKIGTUKLxlhm0/N/P&#10;33///CJpB/XpPVSYdutvwmEFGCayQxNM+iMNMmRN90dN5RAJx83Ls3I+v6CE49Fsfn4+z5oXD5d9&#10;gPhZOkNSUNOAlmUl2e4LRCyIqfcpqRY4rcRaaZ0Xod1c60B2DO1dr6/L8h79SZq2pK/ph4tZ6oPh&#10;zDY4Kxgaj7zBtrnekxvwGPiyPCs/vgicGlsx6MYGMsI4UUZFmdRiVSeZ+GQFiXuPylp8UjQ1Y6Sg&#10;REt8gSnKmZEpfUomCqIt6pJ8GZ1IURw2w8GejRN7NHXrg2o7lHSa8HM6DlEW9DDwaUofr3PWwyNf&#10;3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7YS/1wAAAAkBAAAPAAAAAAAAAAEAIAAAACIAAABk&#10;cnMvZG93bnJldi54bWxQSwECFAAUAAAACACHTuJAUyiz9wcCAAAsBAAADgAAAAAAAAABACAAAAAm&#10;AQAAZHJzL2Uyb0RvYy54bWxQSwUGAAAAAAYABgBZAQAAnwUAAAAA&#10;">
                <v:fill on="t" focussize="0,0"/>
                <v:stroke color="#7030A0" joinstyle="miter"/>
                <v:imagedata o:title=""/>
                <o:lock v:ext="edit" aspectratio="f"/>
                <v:textbox>
                  <w:txbxContent>
                    <w:p w14:paraId="53DD512D">
                      <w:pPr>
                        <w:rPr>
                          <w:rFonts w:hint="eastAsia"/>
                        </w:rPr>
                      </w:pPr>
                      <w:r>
                        <w:rPr>
                          <w:rFonts w:hint="eastAsia"/>
                        </w:rPr>
                        <w:t>管道顶进</w:t>
                      </w:r>
                    </w:p>
                  </w:txbxContent>
                </v:textbox>
              </v:rect>
            </w:pict>
          </mc:Fallback>
        </mc:AlternateContent>
      </w:r>
      <w:r>
        <w:rPr>
          <w:rFonts w:ascii="Arial" w:hAnsi="Arial" w:eastAsia="黑体" w:cs="Arial"/>
          <w:b/>
          <w:sz w:val="24"/>
        </w:rPr>
        <mc:AlternateContent>
          <mc:Choice Requires="wps">
            <w:drawing>
              <wp:anchor distT="0" distB="0" distL="114300" distR="114300" simplePos="0" relativeHeight="251727872" behindDoc="0" locked="0" layoutInCell="1" allowOverlap="1">
                <wp:simplePos x="0" y="0"/>
                <wp:positionH relativeFrom="column">
                  <wp:posOffset>-216535</wp:posOffset>
                </wp:positionH>
                <wp:positionV relativeFrom="paragraph">
                  <wp:posOffset>153670</wp:posOffset>
                </wp:positionV>
                <wp:extent cx="1080135" cy="421005"/>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080135" cy="421005"/>
                        </a:xfrm>
                        <a:prstGeom prst="rect">
                          <a:avLst/>
                        </a:prstGeom>
                        <a:noFill/>
                        <a:ln>
                          <a:noFill/>
                        </a:ln>
                      </wps:spPr>
                      <wps:txbx>
                        <w:txbxContent>
                          <w:p w14:paraId="44C9CA10">
                            <w:pPr>
                              <w:spacing w:line="240" w:lineRule="exact"/>
                              <w:jc w:val="center"/>
                              <w:rPr>
                                <w:rFonts w:hint="eastAsia"/>
                              </w:rPr>
                            </w:pPr>
                            <w:r>
                              <w:rPr>
                                <w:rFonts w:hint="eastAsia"/>
                              </w:rPr>
                              <w:t>噪声、燃油废气、粉尘、固废</w:t>
                            </w:r>
                          </w:p>
                        </w:txbxContent>
                      </wps:txbx>
                      <wps:bodyPr upright="1"/>
                    </wps:wsp>
                  </a:graphicData>
                </a:graphic>
              </wp:anchor>
            </w:drawing>
          </mc:Choice>
          <mc:Fallback>
            <w:pict>
              <v:shape id="_x0000_s1026" o:spid="_x0000_s1026" o:spt="202" type="#_x0000_t202" style="position:absolute;left:0pt;margin-left:-17.05pt;margin-top:12.1pt;height:33.15pt;width:85.05pt;z-index:251727872;mso-width-relative:page;mso-height-relative:page;" filled="f" stroked="f" coordsize="21600,21600" o:gfxdata="UEsDBAoAAAAAAIdO4kAAAAAAAAAAAAAAAAAEAAAAZHJzL1BLAwQUAAAACACHTuJAevmQZdcAAAAJ&#10;AQAADwAAAGRycy9kb3ducmV2LnhtbE2PwU7DMBBE70j9B2srcWvtpGlFQzY9gLiCKLQSNzfeJhHx&#10;OordJvw97gmOq32aeVPsJtuJKw2+dYyQLBUI4sqZlmuEz4+XxQMIHzQb3TkmhB/ysCtnd4XOjRv5&#10;na77UIsYwj7XCE0IfS6lrxqy2i9dTxx/ZzdYHeI51NIMeozhtpOpUhtpdcuxodE9PTVUfe8vFuHw&#10;ev46ZuqtfrbrfnSTkmy3EvF+nqhHEIGm8AfDTT+qQxmdTu7CxosOYbHKkogipFkK4gasNnHcCWGr&#10;1iDLQv5fUP4CUEsDBBQAAAAIAIdO4kAdyNzzrgEAAFIDAAAOAAAAZHJzL2Uyb0RvYy54bWytU8Fu&#10;EzEQvSPxD5bvxJvQorLKphKK2gsqSIUPcLzerCXbY3mc7OYH6B9w4sKd78p3MPamKZRLD1y89szz&#10;m3lvvMvr0Vm21xEN+IbPZxVn2itojd82/OuXmzdXnGGSvpUWvG74QSO/Xr1+tRxCrRfQg211ZETi&#10;sR5Cw/uUQi0Eql47iTMI2lOyg+hkomPcijbKgdidFYuqeicGiG2IoDQiRddTkp8Y40sIoeuM0mtQ&#10;O6d9mlijtjKRJOxNQL4q3XadVulT16FOzDaclKayUhHab/IqVktZb6MMvVGnFuRLWnimyUnjqeiZ&#10;ai2TZLto/qFyRkVA6NJMgROTkOIIqZhXz7y572XQRQtZjeFsOv4/WnW3/xyZaeklvF9w5qWjkR+/&#10;Pxx//Dr+/MZykCwaAtaEvA+ETeMHGAn+GEcKZuVjF13+kiZGeTL4cDZYj4mpfKm6quZvLzlTlLtY&#10;zKvqMtOIp9shYrrV4FjeNDzSAIuvcv8R0wR9hORiHm6MtWWI1v8VIM4cEbn1qcW8S+NmPOnZQHsg&#10;ObsQzbanUkVQgZPVpafTs8iz/PNcSJ9+hd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vmQZdcA&#10;AAAJAQAADwAAAAAAAAABACAAAAAiAAAAZHJzL2Rvd25yZXYueG1sUEsBAhQAFAAAAAgAh07iQB3I&#10;3POuAQAAUgMAAA4AAAAAAAAAAQAgAAAAJgEAAGRycy9lMm9Eb2MueG1sUEsFBgAAAAAGAAYAWQEA&#10;AEYFAAAAAA==&#10;">
                <v:fill on="f" focussize="0,0"/>
                <v:stroke on="f"/>
                <v:imagedata o:title=""/>
                <o:lock v:ext="edit" aspectratio="f"/>
                <v:textbox>
                  <w:txbxContent>
                    <w:p w14:paraId="44C9CA10">
                      <w:pPr>
                        <w:spacing w:line="240" w:lineRule="exact"/>
                        <w:jc w:val="center"/>
                        <w:rPr>
                          <w:rFonts w:hint="eastAsia"/>
                        </w:rPr>
                      </w:pPr>
                      <w:r>
                        <w:rPr>
                          <w:rFonts w:hint="eastAsia"/>
                        </w:rPr>
                        <w:t>噪声、燃油废气、粉尘、固废</w:t>
                      </w:r>
                    </w:p>
                  </w:txbxContent>
                </v:textbox>
              </v:shape>
            </w:pict>
          </mc:Fallback>
        </mc:AlternateContent>
      </w:r>
    </w:p>
    <w:p w14:paraId="2A8098C2">
      <w:pPr>
        <w:pStyle w:val="41"/>
        <w:adjustRightInd w:val="0"/>
        <w:snapToGrid w:val="0"/>
        <w:spacing w:line="460" w:lineRule="exact"/>
        <w:ind w:firstLine="482" w:firstLineChars="200"/>
        <w:rPr>
          <w:rFonts w:hint="eastAsia" w:ascii="Arial" w:hAnsi="Arial" w:eastAsia="仿宋_GB2312" w:cs="Arial"/>
          <w:color w:val="000000"/>
          <w:sz w:val="24"/>
        </w:rPr>
      </w:pPr>
      <w:r>
        <w:rPr>
          <w:rFonts w:ascii="Arial" w:hAnsi="Arial" w:eastAsia="黑体" w:cs="Arial"/>
          <w:b/>
          <w:sz w:val="24"/>
        </w:rPr>
        <mc:AlternateContent>
          <mc:Choice Requires="wps">
            <w:drawing>
              <wp:anchor distT="0" distB="0" distL="114300" distR="114300" simplePos="0" relativeHeight="251718656" behindDoc="0" locked="0" layoutInCell="1" allowOverlap="1">
                <wp:simplePos x="0" y="0"/>
                <wp:positionH relativeFrom="column">
                  <wp:posOffset>4349115</wp:posOffset>
                </wp:positionH>
                <wp:positionV relativeFrom="paragraph">
                  <wp:posOffset>169545</wp:posOffset>
                </wp:positionV>
                <wp:extent cx="0" cy="212090"/>
                <wp:effectExtent l="38100" t="0" r="38100" b="16510"/>
                <wp:wrapNone/>
                <wp:docPr id="107" name="直接连接符 107"/>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2.45pt;margin-top:13.35pt;height:16.7pt;width:0pt;z-index:251718656;mso-width-relative:page;mso-height-relative:page;" filled="f" stroked="t" coordsize="21600,21600" o:gfxdata="UEsDBAoAAAAAAIdO4kAAAAAAAAAAAAAAAAAEAAAAZHJzL1BLAwQUAAAACACHTuJAmKdBENgAAAAJ&#10;AQAADwAAAGRycy9kb3ducmV2LnhtbE2PTU/DMAyG70j8h8hI3FjSCZVSmu6ANC4boG0IbbesMW1F&#10;41RNupV/jxEHuPnj0evHxWJynTjhEFpPGpKZAoFUedtSreFtt7zJQIRoyJrOE2r4wgCL8vKiMLn1&#10;Z9rgaRtrwSEUcqOhibHPpQxVg86Eme+RePfhB2cit0Mt7WDOHO46OVcqlc60xBca0+Njg9XndnQa&#10;NuvlKntfjVM1HJ6Sl93r+nkfMq2vrxL1ACLiFP9g+NFndSjZ6ehHskF0GtLs9p5RDfP0DgQDv4Mj&#10;FyoBWRby/wflN1BLAwQUAAAACACHTuJAUEyfN/0BAADrAwAADgAAAGRycy9lMm9Eb2MueG1srVPN&#10;jtMwEL4j8Q6W7zRppAU2arqHLcsFQSXgAaaOk1jynzxu074EL4DEDU4cufM27D4GY6e0sAhpD+Tg&#10;jGfG38z3eby42hvNdjKgcrbh81nJmbTCtcr2DX//7ubJc84wgm1BOysbfpDIr5aPHy1GX8vKDU63&#10;MjACsViPvuFDjL4uChSDNIAz56WlYOeCgUjb0BdtgJHQjS6qsnxajC60PjghEcm7moL8iBgeAui6&#10;Tgm5cmJrpI0TapAaIlHCQXnky9xt10kR33Qdysh0w4lpzCsVIXuT1mK5gLoP4Aclji3AQ1q4x8mA&#10;slT0BLWCCGwb1F9QRong0HVxJpwpJiJZEWIxL+9p83YALzMXkhr9SXT8f7Di9W4dmGppEspnnFkw&#10;dOW3H7/9+PD57vsnWm+/fmEpREKNHmvKv7brcNyhX4fEet8Fk/7Eh+2zuIeTuHIfmZicgrzVvCov&#10;s+7F+ZwPGF9KZ1gyGq6VTbShht0rjFSLUn+lJLe2bGz45UV1wZkAmsGO7p5M44kH2j6fRadVe6O0&#10;Ticw9JtrHdgO0hzkLzEi3D/SUpEV4DDl5dA0IYOE9oVtWTx40sfSw+CpBSNbzrSkd5QsAoQ6gtLn&#10;zBgU2F7/I5vKa0tdJGEnKZO1ce2B7mTrg+oHUmOeO00RmoHc83Fe05D9vs9I5z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Yp0EQ2AAAAAkBAAAPAAAAAAAAAAEAIAAAACIAAABkcnMvZG93bnJl&#10;di54bWxQSwECFAAUAAAACACHTuJAUEyfN/0BAADrAwAADgAAAAAAAAABACAAAAAnAQAAZHJzL2Uy&#10;b0RvYy54bWxQSwUGAAAAAAYABgBZAQAAlgUAAAAA&#10;">
                <v:fill on="f" focussize="0,0"/>
                <v:stroke color="#000000" joinstyle="round" endarrow="block"/>
                <v:imagedata o:title=""/>
                <o:lock v:ext="edit" aspectratio="f"/>
              </v:line>
            </w:pict>
          </mc:Fallback>
        </mc:AlternateContent>
      </w:r>
    </w:p>
    <w:p w14:paraId="593A1F2E">
      <w:pPr>
        <w:pStyle w:val="41"/>
        <w:adjustRightInd w:val="0"/>
        <w:snapToGrid w:val="0"/>
        <w:spacing w:line="460" w:lineRule="exact"/>
        <w:ind w:firstLine="482" w:firstLineChars="200"/>
        <w:rPr>
          <w:rFonts w:hint="eastAsia" w:ascii="Arial" w:hAnsi="Arial" w:eastAsia="仿宋_GB2312" w:cs="Arial"/>
          <w:color w:val="000000"/>
          <w:sz w:val="24"/>
        </w:rPr>
      </w:pPr>
      <w:r>
        <w:rPr>
          <w:rFonts w:ascii="Arial" w:hAnsi="Arial" w:eastAsia="黑体" w:cs="Arial"/>
          <w:b/>
          <w:sz w:val="24"/>
        </w:rPr>
        <mc:AlternateContent>
          <mc:Choice Requires="wps">
            <w:drawing>
              <wp:anchor distT="0" distB="0" distL="114300" distR="114300" simplePos="0" relativeHeight="251730944" behindDoc="0" locked="0" layoutInCell="1" allowOverlap="1">
                <wp:simplePos x="0" y="0"/>
                <wp:positionH relativeFrom="column">
                  <wp:posOffset>5471795</wp:posOffset>
                </wp:positionH>
                <wp:positionV relativeFrom="paragraph">
                  <wp:posOffset>55245</wp:posOffset>
                </wp:positionV>
                <wp:extent cx="0" cy="212090"/>
                <wp:effectExtent l="38100" t="0" r="38100" b="16510"/>
                <wp:wrapNone/>
                <wp:docPr id="106" name="直接连接符 106"/>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30.85pt;margin-top:4.35pt;height:16.7pt;width:0pt;z-index:251730944;mso-width-relative:page;mso-height-relative:page;" filled="f" stroked="t" coordsize="21600,21600" o:gfxdata="UEsDBAoAAAAAAIdO4kAAAAAAAAAAAAAAAAAEAAAAZHJzL1BLAwQUAAAACACHTuJAl9SJFNcAAAAI&#10;AQAADwAAAGRycy9kb3ducmV2LnhtbE2PQU/DMAyF70j8h8hI3FiaCY2qNN0BaVw2QNsQglvWmLai&#10;caok3cq/x4jDONlP7+n5c7mcXC+OGGLnSYOaZSCQam87ajS87lc3OYiYDFnTe0IN3xhhWV1elKaw&#10;/kRbPO5SI7iEYmE0tCkNhZSxbtGZOPMDEnufPjiTWIZG2mBOXO56Oc+yhXSmI77QmgEfWqy/dqPT&#10;sN2s1vnbepzq8PGonvcvm6f3mGt9faWyexAJp3QOwy8+o0PFTAc/ko2i15Av1B1HeeHB/p8+aLid&#10;K5BVKf8/UP0AUEsDBBQAAAAIAIdO4kCIlCFA/QEAAOsDAAAOAAAAZHJzL2Uyb0RvYy54bWytU82O&#10;0zAQviPxDpbvNGmkXbFR0z1sWS4IKgEPMHWcxJL/5HGb9iV4ASRucOLInbdh9zEYO6WFRUh7IAdn&#10;PDP+Zr7P48X13mi2kwGVsw2fz0rOpBWuVbZv+Pt3t8+ec4YRbAvaWdnwg0R+vXz6ZDH6WlZucLqV&#10;gRGIxXr0DR9i9HVRoBikAZw5Ly0FOxcMRNqGvmgDjIRudFGV5WUxutD64IREJO9qCvIjYngMoOs6&#10;JeTKia2RNk6oQWqIRAkH5ZEvc7ddJ0V803UoI9MNJ6Yxr1SE7E1ai+UC6j6AH5Q4tgCPaeEBJwPK&#10;UtET1AoisG1Qf0EZJYJD18WZcKaYiGRFiMW8fKDN2wG8zFxIavQn0fH/wYrXu3VgqqVJKC85s2Do&#10;yu8+fvvx4fP990+03n39wlKIhBo91pR/Y9fhuEO/Don1vgsm/YkP22dxDydx5T4yMTkFeat5VV5l&#10;3YvzOR8wvpTOsGQ0XCubaEMNu1cYqRal/kpJbm3Z2PCri+qCMwE0gx3dPZnGEw+0fT6LTqv2Vmmd&#10;TmDoNzc6sB2kOchfYkS4f6SlIivAYcrLoWlCBgntC9uyePCkj6WHwVMLRracaUnvKFkECHUEpc+Z&#10;MSiwvf5HNpXXlrpIwk5SJmvj2gPdydYH1Q+kxjx3miI0A7nn47ymIft9n5HOb3T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fUiRTXAAAACAEAAA8AAAAAAAAAAQAgAAAAIgAAAGRycy9kb3ducmV2&#10;LnhtbFBLAQIUABQAAAAIAIdO4kCIlCFA/QEAAOsDAAAOAAAAAAAAAAEAIAAAACYBAABkcnMvZTJv&#10;RG9jLnhtbFBLBQYAAAAABgAGAFkBAACVBQ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20704" behindDoc="0" locked="0" layoutInCell="1" allowOverlap="1">
                <wp:simplePos x="0" y="0"/>
                <wp:positionH relativeFrom="column">
                  <wp:posOffset>2519045</wp:posOffset>
                </wp:positionH>
                <wp:positionV relativeFrom="paragraph">
                  <wp:posOffset>290195</wp:posOffset>
                </wp:positionV>
                <wp:extent cx="1468755" cy="0"/>
                <wp:effectExtent l="0" t="38100" r="17145" b="38100"/>
                <wp:wrapNone/>
                <wp:docPr id="114" name="直接连接符 114"/>
                <wp:cNvGraphicFramePr/>
                <a:graphic xmlns:a="http://schemas.openxmlformats.org/drawingml/2006/main">
                  <a:graphicData uri="http://schemas.microsoft.com/office/word/2010/wordprocessingShape">
                    <wps:wsp>
                      <wps:cNvCnPr/>
                      <wps:spPr>
                        <a:xfrm flipH="1" flipV="1">
                          <a:off x="0" y="0"/>
                          <a:ext cx="146875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98.35pt;margin-top:22.85pt;height:0pt;width:115.65pt;z-index:251720704;mso-width-relative:page;mso-height-relative:page;" filled="f" stroked="t" coordsize="21600,21600" o:gfxdata="UEsDBAoAAAAAAIdO4kAAAAAAAAAAAAAAAAAEAAAAZHJzL1BLAwQUAAAACACHTuJAVf9T0dgAAAAJ&#10;AQAADwAAAGRycy9kb3ducmV2LnhtbE2PwU7DMBBE70j8g7VIXCpqJ0AoIU6FkICKC6LlA9x4SQL2&#10;Ooqdtvw9W3GA02p3RrNvquXBO7HDMfaBNGRzBQKpCbanVsP75vFiASImQ9a4QKjhGyMs69OTypQ2&#10;7OkNd+vUCg6hWBoNXUpDKWVsOvQmzsOAxNpHGL1JvI6ttKPZc7h3MleqkN70xB86M+BDh83XevIa&#10;7ofXzylfZU9WbfLZzK2KLDy/aH1+lqk7EAkP6c8MR3xGh5qZtmEiG4XTcHlb3LBVw9U1TzYU+YLL&#10;bX8Psq7k/wb1D1BLAwQUAAAACACHTuJARvPiawsCAAAABAAADgAAAGRycy9lMm9Eb2MueG1srVPL&#10;bhMxFN0j8Q+W92SSqCntKJMuGgoLBJF47G/8mLHkl2wnk/wEP4DEDlYsu+dvaD+Da0+aQhFSF8zC&#10;uva9PvecM9fzi53RZCtCVM42dDIaUyIsc1zZtqEf3l89O6MkJrActLOioXsR6cXi6ZN572sxdZ3T&#10;XASCIDbWvW9ol5KvqyqyThiII+eFxaR0wUDCbWgrHqBHdKOr6Xh8WvUucB8cEzHi6XJI0gNieAyg&#10;k1IxsXRsY4RNA2oQGhJKip3ykS4KWykFS2+ljCIR3VBUmsqKTTBe57VazKFuA/hOsQMFeAyFB5oM&#10;KItNj1BLSEA2Qf0FZRQLLjqZRsyZahBSHEEVk/EDb9514EXRglZHfzQ9/j9Y9ma7CkRxnITJCSUW&#10;DP7ym8/XPz99vf3xBdeb799ITqFRvY811l/aVTjsol+FrHongyFSK/8KcWiJPuYo51Aj2RXD90fD&#10;xS4RhoeTk9Oz57MZJewuVw1g+aIPMb0UzpAcNFQrm72AGravY0ICWHpXko+1JX1Dz2fTDAc4mBIH&#10;AkPjUVy0bbkbnVb8Smmdb8TQri91IFvIw1G+LBNx/yjLTZYQu6GupIax6QTwF5aTtPdomsXXQjMF&#10;IzglWuDjyhECQp1A6fvKFBTYVv+jGttriyyy24O/OVo7vscftfFBtR26MSlMcwYHo3A+DHGevN/3&#10;Ben+4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X/U9HYAAAACQEAAA8AAAAAAAAAAQAgAAAA&#10;IgAAAGRycy9kb3ducmV2LnhtbFBLAQIUABQAAAAIAIdO4kBG8+JrCwIAAAAEAAAOAAAAAAAAAAEA&#10;IAAAACcBAABkcnMvZTJvRG9jLnhtbFBLBQYAAAAABgAGAFkBAACkBQAAAAA=&#10;">
                <v:fill on="f" focussize="0,0"/>
                <v:stroke color="#000000" joinstyle="round" endarrow="block"/>
                <v:imagedata o:title=""/>
                <o:lock v:ext="edit" aspectratio="f"/>
              </v:line>
            </w:pict>
          </mc:Fallback>
        </mc:AlternateContent>
      </w:r>
      <w:r>
        <w:rPr>
          <w:rFonts w:ascii="Arial" w:hAnsi="Arial" w:eastAsia="黑体" w:cs="Arial"/>
          <w:b/>
          <w:sz w:val="24"/>
        </w:rPr>
        <mc:AlternateContent>
          <mc:Choice Requires="wps">
            <w:drawing>
              <wp:anchor distT="0" distB="0" distL="114300" distR="114300" simplePos="0" relativeHeight="251731968" behindDoc="0" locked="0" layoutInCell="1" allowOverlap="1">
                <wp:simplePos x="0" y="0"/>
                <wp:positionH relativeFrom="column">
                  <wp:posOffset>4906010</wp:posOffset>
                </wp:positionH>
                <wp:positionV relativeFrom="paragraph">
                  <wp:posOffset>273050</wp:posOffset>
                </wp:positionV>
                <wp:extent cx="879475" cy="42291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879475" cy="422910"/>
                        </a:xfrm>
                        <a:prstGeom prst="rect">
                          <a:avLst/>
                        </a:prstGeom>
                        <a:noFill/>
                        <a:ln>
                          <a:noFill/>
                        </a:ln>
                      </wps:spPr>
                      <wps:txbx>
                        <w:txbxContent>
                          <w:p w14:paraId="5BB9AE28">
                            <w:pPr>
                              <w:spacing w:line="240" w:lineRule="exact"/>
                              <w:jc w:val="center"/>
                              <w:rPr>
                                <w:rFonts w:hint="eastAsia"/>
                              </w:rPr>
                            </w:pPr>
                            <w:r>
                              <w:rPr>
                                <w:rFonts w:hint="eastAsia"/>
                              </w:rPr>
                              <w:t>弃土、粉尘、噪声</w:t>
                            </w:r>
                          </w:p>
                        </w:txbxContent>
                      </wps:txbx>
                      <wps:bodyPr upright="1"/>
                    </wps:wsp>
                  </a:graphicData>
                </a:graphic>
              </wp:anchor>
            </w:drawing>
          </mc:Choice>
          <mc:Fallback>
            <w:pict>
              <v:shape id="_x0000_s1026" o:spid="_x0000_s1026" o:spt="202" type="#_x0000_t202" style="position:absolute;left:0pt;margin-left:386.3pt;margin-top:21.5pt;height:33.3pt;width:69.25pt;z-index:251731968;mso-width-relative:page;mso-height-relative:page;" filled="f" stroked="f" coordsize="21600,21600" o:gfxdata="UEsDBAoAAAAAAIdO4kAAAAAAAAAAAAAAAAAEAAAAZHJzL1BLAwQUAAAACACHTuJAvq3QStcAAAAK&#10;AQAADwAAAGRycy9kb3ducmV2LnhtbE2PwU7DMBBE70j8g7VI3KjtUlIS4vQA4gqiQKXe3HibRMTr&#10;KHab8PcsJziu9mnmTbmZfS/OOMYukAG9UCCQ6uA6agx8vD/f3IOIyZKzfSA08I0RNtXlRWkLFyZ6&#10;w/M2NYJDKBbWQJvSUEgZ6xa9jYswIPHvGEZvE59jI91oJw73vVwqlUlvO+KG1g742GL9tT15A58v&#10;x/1upV6bJ383TGFWknwujbm+0uoBRMI5/cHwq8/qULHTIZzIRdEbWK+XGaMGVre8iYFcaw3iwKTK&#10;M5BVKf9PqH4AUEsDBBQAAAAIAIdO4kBOh6t3rwEAAFEDAAAOAAAAZHJzL2Uyb0RvYy54bWytU8Fu&#10;GyEQvVfqPyDuNbaVxM7K60iRlVyqtFLaD8AseJEWBjHYu/6B9g966qX3fpe/owN2nDa95JALCzNv&#10;38x7A4ubwXVspyNa8DWfjMacaa+gsX5T869f7j7MOcMkfSM78Lrme438Zvn+3aIPlZ5CC12jIyMS&#10;j1Ufat6mFCohULXaSRxB0J6SBqKTiY5xI5ooe2J3nZiOx1eih9iECEojUnR1TPITY3wNIRhjlV6B&#10;2jrt05E16k4mkoStDciXpVtjtEqfjEGdWFdzUprKSkVov86rWC5ktYkytFadWpCvaeGFJietp6Jn&#10;qpVMkm2j/Y/KWRUBwaSRAieOQoojpGIyfuHNYyuDLlrIagxn0/HtaNXD7nNktqGbMJ9x5qWjkR9+&#10;fD/8/H349Y3lIFnUB6wI+RgIm4ZbGAj+FEcKZuWDiS5/SROjPBm8Pxush8QUBeez64vZJWeKUhfT&#10;6fWkDEA8/xwipnsNjuVNzSPNr9gqdx8xUSMEfYLkWh7ubNeVGXb+nwABc0Tkzo8d5l0a1sNJzhqa&#10;PanZhmg3LZUqegqcnC6FTrcij/LvcyF9fgn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6t0ErX&#10;AAAACgEAAA8AAAAAAAAAAQAgAAAAIgAAAGRycy9kb3ducmV2LnhtbFBLAQIUABQAAAAIAIdO4kBO&#10;h6t3rwEAAFEDAAAOAAAAAAAAAAEAIAAAACYBAABkcnMvZTJvRG9jLnhtbFBLBQYAAAAABgAGAFkB&#10;AABHBQAAAAA=&#10;">
                <v:fill on="f" focussize="0,0"/>
                <v:stroke on="f"/>
                <v:imagedata o:title=""/>
                <o:lock v:ext="edit" aspectratio="f"/>
                <v:textbox>
                  <w:txbxContent>
                    <w:p w14:paraId="5BB9AE28">
                      <w:pPr>
                        <w:spacing w:line="240" w:lineRule="exact"/>
                        <w:jc w:val="center"/>
                        <w:rPr>
                          <w:rFonts w:hint="eastAsia"/>
                        </w:rPr>
                      </w:pPr>
                      <w:r>
                        <w:rPr>
                          <w:rFonts w:hint="eastAsia"/>
                        </w:rPr>
                        <w:t>弃土、粉尘、噪声</w:t>
                      </w:r>
                    </w:p>
                  </w:txbxContent>
                </v:textbox>
              </v:shape>
            </w:pict>
          </mc:Fallback>
        </mc:AlternateContent>
      </w:r>
      <w:r>
        <w:rPr>
          <w:rFonts w:ascii="Arial" w:hAnsi="Arial" w:eastAsia="黑体" w:cs="Arial"/>
          <w:b/>
          <w:sz w:val="24"/>
        </w:rPr>
        <mc:AlternateContent>
          <mc:Choice Requires="wps">
            <w:drawing>
              <wp:anchor distT="0" distB="0" distL="114300" distR="114300" simplePos="0" relativeHeight="251719680" behindDoc="0" locked="0" layoutInCell="1" allowOverlap="1">
                <wp:simplePos x="0" y="0"/>
                <wp:positionH relativeFrom="column">
                  <wp:posOffset>4022090</wp:posOffset>
                </wp:positionH>
                <wp:positionV relativeFrom="paragraph">
                  <wp:posOffset>97155</wp:posOffset>
                </wp:positionV>
                <wp:extent cx="593725" cy="286385"/>
                <wp:effectExtent l="4445" t="5080" r="11430" b="13335"/>
                <wp:wrapNone/>
                <wp:docPr id="117" name="矩形 117"/>
                <wp:cNvGraphicFramePr/>
                <a:graphic xmlns:a="http://schemas.openxmlformats.org/drawingml/2006/main">
                  <a:graphicData uri="http://schemas.microsoft.com/office/word/2010/wordprocessingShape">
                    <wps:wsp>
                      <wps:cNvSpPr/>
                      <wps:spPr>
                        <a:xfrm>
                          <a:off x="0" y="0"/>
                          <a:ext cx="593725" cy="286385"/>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5E920571">
                            <w:pPr>
                              <w:rPr>
                                <w:rFonts w:hint="eastAsia"/>
                              </w:rPr>
                            </w:pPr>
                            <w:r>
                              <w:rPr>
                                <w:rFonts w:hint="eastAsia"/>
                              </w:rPr>
                              <w:t>加顶铁</w:t>
                            </w:r>
                          </w:p>
                        </w:txbxContent>
                      </wps:txbx>
                      <wps:bodyPr upright="1"/>
                    </wps:wsp>
                  </a:graphicData>
                </a:graphic>
              </wp:anchor>
            </w:drawing>
          </mc:Choice>
          <mc:Fallback>
            <w:pict>
              <v:rect id="_x0000_s1026" o:spid="_x0000_s1026" o:spt="1" style="position:absolute;left:0pt;margin-left:316.7pt;margin-top:7.65pt;height:22.55pt;width:46.75pt;z-index:251719680;mso-width-relative:page;mso-height-relative:page;" fillcolor="#FFC000" filled="t" stroked="t" coordsize="21600,21600" o:gfxdata="UEsDBAoAAAAAAIdO4kAAAAAAAAAAAAAAAAAEAAAAZHJzL1BLAwQUAAAACACHTuJA0vlks9YAAAAJ&#10;AQAADwAAAGRycy9kb3ducmV2LnhtbE2PwU7DMBBE70j8g7VI3Kjdprg0xKkQCuLEgYI4u/GSRMTr&#10;KHbb5O9ZTvS4eqOZt8Vu8r044Ri7QAaWCwUCqQ6uo8bA58fL3QOImCw52wdCAzNG2JXXV4XNXTjT&#10;O572qRFcQjG3BtqUhlzKWLfobVyEAYnZdxi9TXyOjXSjPXO57+VKKS297YgXWjvgc4v1z/7oDUzb&#10;r2Gu9Gv9Vj25eai0zzbaG3N7s1SPIBJO6T8Mf/qsDiU7HcKRXBS9AZ1la44yuM9AcGCz0lsQByZq&#10;DbIs5OUH5S9QSwMEFAAAAAgAh07iQC5KV7UIAgAALAQAAA4AAABkcnMvZTJvRG9jLnhtbK1TzY7T&#10;MBC+I/EOlu80aatud6OmK7SlXBCstPAAru0klvwnj9ukT4PEjYfgcRCvwdgp3R849MAlmfGMv5nv&#10;m/HqdjCaHGQA5WxNp5OSEmm5E8q2Nf3yefvmmhKIzAqmnZU1PUqgt+vXr1a9r+TMdU4LGQiCWKh6&#10;X9MuRl8VBfBOGgYT56XFYOOCYRHd0BYisB7RjS5mZXlV9C4IHxyXAHi6GYP0hBguAXRNo7jcOL43&#10;0sYRNUjNIlKCTnmg69xt00gePzUNyEh0TZFpzF8sgvYufYv1ilVtYL5T/NQCu6SFF5wMUxaLnqE2&#10;LDKyD+ovKKN4cOCaOOHOFCORrAiymJYvtHnomJeZC0oN/iw6/D9Y/vFwH4gSuAnTJSWWGRz5r6/f&#10;f/74RtIJ6tN7qDDtwd+HkwdoJrJDE0z6Iw0yZE2PZ03lEAnHw8XNfDlbUMIxNLu+ml8vEmbxeNkH&#10;iO+lMyQZNQ04sqwkO3yAOKb+SUm1wGkltkrr7IR2d6cDOTAc73Z7V5Z5ooj+LE1b0tf0ZpH7YLiz&#10;De4KtmQ88gbb5nrPbsBT4GU5L9/+Ezg1tmHQjQ1khHGjjIoyqcWqTjLxzgoSjx6VtfikaGrGSEGJ&#10;lvgCk5UzI1P6kkxkpy1KmOYyTiJZcdgNCJPMnRNHHOreB9V2KOk0K54iuERZ+9PCpy196mfQx0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WSz1gAAAAkBAAAPAAAAAAAAAAEAIAAAACIAAABk&#10;cnMvZG93bnJldi54bWxQSwECFAAUAAAACACHTuJALkpXtQgCAAAsBAAADgAAAAAAAAABACAAAAAl&#10;AQAAZHJzL2Uyb0RvYy54bWxQSwUGAAAAAAYABgBZAQAAnwUAAAAA&#10;">
                <v:fill on="t" focussize="0,0"/>
                <v:stroke color="#7030A0" joinstyle="miter"/>
                <v:imagedata o:title=""/>
                <o:lock v:ext="edit" aspectratio="f"/>
                <v:textbox>
                  <w:txbxContent>
                    <w:p w14:paraId="5E920571">
                      <w:pPr>
                        <w:rPr>
                          <w:rFonts w:hint="eastAsia"/>
                        </w:rPr>
                      </w:pPr>
                      <w:r>
                        <w:rPr>
                          <w:rFonts w:hint="eastAsia"/>
                        </w:rPr>
                        <w:t>加顶铁</w:t>
                      </w:r>
                    </w:p>
                  </w:txbxContent>
                </v:textbox>
              </v:rect>
            </w:pict>
          </mc:Fallback>
        </mc:AlternateContent>
      </w:r>
    </w:p>
    <w:p w14:paraId="62C859FA">
      <w:pPr>
        <w:pStyle w:val="41"/>
        <w:adjustRightInd w:val="0"/>
        <w:snapToGrid w:val="0"/>
        <w:spacing w:line="460" w:lineRule="exact"/>
        <w:ind w:firstLine="480" w:firstLineChars="200"/>
        <w:rPr>
          <w:rFonts w:hint="eastAsia" w:ascii="Arial" w:hAnsi="Arial" w:eastAsia="仿宋_GB2312" w:cs="Arial"/>
          <w:color w:val="000000"/>
          <w:sz w:val="24"/>
        </w:rPr>
      </w:pPr>
    </w:p>
    <w:p w14:paraId="1FE11687">
      <w:pPr>
        <w:pStyle w:val="41"/>
        <w:adjustRightInd w:val="0"/>
        <w:snapToGrid w:val="0"/>
        <w:spacing w:line="240" w:lineRule="exact"/>
        <w:ind w:firstLine="480" w:firstLineChars="200"/>
        <w:rPr>
          <w:rFonts w:hint="eastAsia" w:ascii="Arial" w:hAnsi="Arial" w:eastAsia="仿宋_GB2312" w:cs="Arial"/>
          <w:color w:val="000000"/>
          <w:sz w:val="24"/>
        </w:rPr>
      </w:pPr>
    </w:p>
    <w:p w14:paraId="0F66FA0D">
      <w:pPr>
        <w:keepNext w:val="0"/>
        <w:keepLines w:val="0"/>
        <w:pageBreakBefore w:val="0"/>
        <w:widowControl w:val="0"/>
        <w:kinsoku/>
        <w:wordWrap/>
        <w:overflowPunct/>
        <w:topLinePunct w:val="0"/>
        <w:autoSpaceDE/>
        <w:autoSpaceDN/>
        <w:bidi w:val="0"/>
        <w:adjustRightInd/>
        <w:snapToGrid/>
        <w:spacing w:line="460" w:lineRule="exact"/>
        <w:ind w:firstLine="522" w:firstLineChars="200"/>
        <w:jc w:val="center"/>
        <w:textAlignment w:val="auto"/>
        <w:rPr>
          <w:rFonts w:ascii="Arial" w:hAnsi="宋体" w:cs="Arial"/>
          <w:b/>
          <w:bCs/>
          <w:color w:val="FF0000"/>
          <w:sz w:val="26"/>
          <w:szCs w:val="26"/>
        </w:rPr>
      </w:pPr>
      <w:r>
        <w:rPr>
          <w:rFonts w:ascii="Arial" w:hAnsi="宋体" w:cs="Arial"/>
          <w:b/>
          <w:bCs/>
          <w:color w:val="auto"/>
          <w:sz w:val="26"/>
          <w:szCs w:val="26"/>
        </w:rPr>
        <w:t>图</w:t>
      </w:r>
      <w:r>
        <w:rPr>
          <w:rFonts w:hint="eastAsia" w:ascii="Arial" w:hAnsi="宋体" w:cs="Arial"/>
          <w:b/>
          <w:bCs/>
          <w:color w:val="auto"/>
          <w:sz w:val="26"/>
          <w:szCs w:val="26"/>
        </w:rPr>
        <w:t>3.4-</w:t>
      </w:r>
      <w:r>
        <w:rPr>
          <w:rFonts w:hint="eastAsia" w:ascii="Arial" w:hAnsi="宋体" w:cs="Arial"/>
          <w:b/>
          <w:bCs/>
          <w:color w:val="auto"/>
          <w:sz w:val="26"/>
          <w:szCs w:val="26"/>
          <w:lang w:val="en-US" w:eastAsia="zh-CN"/>
        </w:rPr>
        <w:t>3</w:t>
      </w:r>
      <w:r>
        <w:rPr>
          <w:rFonts w:hint="eastAsia" w:ascii="Arial" w:hAnsi="宋体" w:cs="Arial"/>
          <w:b/>
          <w:bCs/>
          <w:color w:val="auto"/>
          <w:sz w:val="26"/>
          <w:szCs w:val="26"/>
        </w:rPr>
        <w:t xml:space="preserve"> </w:t>
      </w:r>
      <w:r>
        <w:rPr>
          <w:rFonts w:hint="eastAsia" w:ascii="Arial" w:hAnsi="宋体" w:cs="Arial"/>
          <w:b/>
          <w:bCs/>
          <w:sz w:val="26"/>
          <w:szCs w:val="26"/>
        </w:rPr>
        <w:t>输水工程</w:t>
      </w:r>
      <w:r>
        <w:rPr>
          <w:rFonts w:hint="eastAsia" w:ascii="Arial" w:hAnsi="宋体" w:cs="Arial"/>
          <w:b/>
          <w:bCs/>
          <w:sz w:val="26"/>
          <w:szCs w:val="26"/>
          <w:lang w:eastAsia="zh-CN"/>
        </w:rPr>
        <w:t>水域段</w:t>
      </w:r>
      <w:r>
        <w:rPr>
          <w:rFonts w:hint="eastAsia" w:ascii="Arial" w:hAnsi="宋体" w:cs="Arial"/>
          <w:b/>
          <w:bCs/>
          <w:color w:val="auto"/>
          <w:sz w:val="26"/>
          <w:szCs w:val="26"/>
        </w:rPr>
        <w:t>施工</w:t>
      </w:r>
      <w:r>
        <w:rPr>
          <w:rFonts w:ascii="Arial" w:hAnsi="宋体" w:cs="Arial"/>
          <w:b/>
          <w:bCs/>
          <w:color w:val="auto"/>
          <w:sz w:val="26"/>
          <w:szCs w:val="26"/>
        </w:rPr>
        <w:t>工艺流程及产排污环节图</w:t>
      </w:r>
    </w:p>
    <w:p w14:paraId="6753AAE6">
      <w:pPr>
        <w:keepNext w:val="0"/>
        <w:keepLines w:val="0"/>
        <w:pageBreakBefore w:val="0"/>
        <w:widowControl w:val="0"/>
        <w:kinsoku/>
        <w:wordWrap/>
        <w:overflowPunct/>
        <w:topLinePunct w:val="0"/>
        <w:autoSpaceDE/>
        <w:autoSpaceDN/>
        <w:bidi w:val="0"/>
        <w:adjustRightInd/>
        <w:snapToGrid/>
        <w:spacing w:line="460" w:lineRule="exact"/>
        <w:ind w:firstLine="392" w:firstLineChars="150"/>
        <w:jc w:val="left"/>
        <w:textAlignment w:val="auto"/>
        <w:outlineLvl w:val="3"/>
        <w:rPr>
          <w:rFonts w:hint="default" w:ascii="Arial" w:hAnsi="宋体" w:eastAsia="宋体" w:cs="Arial"/>
          <w:b/>
          <w:sz w:val="26"/>
          <w:szCs w:val="26"/>
          <w:lang w:val="en-US" w:eastAsia="zh-CN"/>
        </w:rPr>
      </w:pPr>
      <w:r>
        <w:rPr>
          <w:rFonts w:hint="eastAsia" w:ascii="Arial" w:hAnsi="宋体" w:eastAsia="宋体" w:cs="Arial"/>
          <w:b/>
          <w:sz w:val="26"/>
          <w:szCs w:val="26"/>
          <w:lang w:val="en-US" w:eastAsia="zh-CN"/>
        </w:rPr>
        <w:t>（</w:t>
      </w:r>
      <w:r>
        <w:rPr>
          <w:rFonts w:hint="eastAsia" w:ascii="Arial" w:hAnsi="宋体" w:cs="Arial"/>
          <w:b/>
          <w:sz w:val="26"/>
          <w:szCs w:val="26"/>
          <w:lang w:val="en-US" w:eastAsia="zh-CN"/>
        </w:rPr>
        <w:t>3</w:t>
      </w:r>
      <w:r>
        <w:rPr>
          <w:rFonts w:hint="eastAsia" w:ascii="Arial" w:hAnsi="宋体" w:eastAsia="宋体" w:cs="Arial"/>
          <w:b/>
          <w:sz w:val="26"/>
          <w:szCs w:val="26"/>
          <w:lang w:val="en-US" w:eastAsia="zh-CN"/>
        </w:rPr>
        <w:t>）附属设施工程</w:t>
      </w:r>
    </w:p>
    <w:p w14:paraId="35046F2E">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bCs/>
          <w:sz w:val="26"/>
          <w:szCs w:val="26"/>
          <w:lang w:val="en-US" w:eastAsia="zh-CN"/>
        </w:rPr>
      </w:pPr>
      <w:r>
        <w:rPr>
          <w:rFonts w:hint="eastAsia" w:ascii="Arial" w:hAnsi="Arial" w:cs="Arial"/>
          <w:b w:val="0"/>
          <w:bCs/>
          <w:sz w:val="26"/>
          <w:szCs w:val="26"/>
          <w:lang w:val="en-US" w:eastAsia="zh-CN"/>
        </w:rPr>
        <w:t>本项目附属设施主要为管理房、闸阀房、上坝道路、环</w:t>
      </w:r>
      <w:r>
        <w:rPr>
          <w:rFonts w:hint="eastAsia" w:ascii="Arial" w:hAnsi="Arial" w:cs="Arial"/>
          <w:b w:val="0"/>
          <w:bCs/>
          <w:color w:val="auto"/>
          <w:sz w:val="26"/>
          <w:szCs w:val="26"/>
          <w:lang w:val="en-US" w:eastAsia="zh-CN"/>
        </w:rPr>
        <w:t>库巡检步道等，</w:t>
      </w:r>
      <w:r>
        <w:rPr>
          <w:rFonts w:hint="eastAsia" w:ascii="Arial" w:hAnsi="宋体" w:cs="Arial"/>
          <w:b w:val="0"/>
          <w:bCs/>
          <w:color w:val="auto"/>
          <w:sz w:val="26"/>
          <w:szCs w:val="26"/>
        </w:rPr>
        <w:t>施工工艺流程及产污环节详见图3.4-</w:t>
      </w:r>
      <w:r>
        <w:rPr>
          <w:rFonts w:hint="eastAsia" w:ascii="Arial" w:hAnsi="宋体" w:cs="Arial"/>
          <w:b w:val="0"/>
          <w:bCs/>
          <w:color w:val="auto"/>
          <w:sz w:val="26"/>
          <w:szCs w:val="26"/>
          <w:lang w:val="en-US" w:eastAsia="zh-CN"/>
        </w:rPr>
        <w:t>4~5</w:t>
      </w:r>
      <w:r>
        <w:rPr>
          <w:rFonts w:hint="eastAsia" w:ascii="Arial" w:hAnsi="宋体" w:cs="Arial"/>
          <w:b w:val="0"/>
          <w:bCs/>
          <w:color w:val="auto"/>
          <w:sz w:val="26"/>
          <w:szCs w:val="26"/>
        </w:rPr>
        <w:t>所示</w:t>
      </w:r>
      <w:r>
        <w:rPr>
          <w:rFonts w:hint="eastAsia" w:ascii="Arial" w:hAnsi="Arial" w:cs="Arial"/>
          <w:b w:val="0"/>
          <w:bCs/>
          <w:color w:val="auto"/>
          <w:sz w:val="26"/>
          <w:szCs w:val="26"/>
          <w:lang w:val="en-US" w:eastAsia="zh-CN"/>
        </w:rPr>
        <w:t>。</w:t>
      </w:r>
    </w:p>
    <w:p w14:paraId="06590BB5">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bCs/>
          <w:sz w:val="26"/>
          <w:szCs w:val="26"/>
          <w:lang w:val="en-US" w:eastAsia="zh-CN"/>
        </w:rPr>
      </w:pPr>
    </w:p>
    <w:p w14:paraId="51A68C98">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bCs/>
          <w:sz w:val="26"/>
          <w:szCs w:val="26"/>
          <w:lang w:val="en-US" w:eastAsia="zh-CN"/>
        </w:rPr>
      </w:pPr>
    </w:p>
    <w:p w14:paraId="7902B957">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739136" behindDoc="0" locked="0" layoutInCell="1" allowOverlap="1">
                <wp:simplePos x="0" y="0"/>
                <wp:positionH relativeFrom="column">
                  <wp:posOffset>2753995</wp:posOffset>
                </wp:positionH>
                <wp:positionV relativeFrom="paragraph">
                  <wp:posOffset>99060</wp:posOffset>
                </wp:positionV>
                <wp:extent cx="1997075" cy="550545"/>
                <wp:effectExtent l="0" t="0" r="0" b="0"/>
                <wp:wrapNone/>
                <wp:docPr id="196" name="矩形 196"/>
                <wp:cNvGraphicFramePr/>
                <a:graphic xmlns:a="http://schemas.openxmlformats.org/drawingml/2006/main">
                  <a:graphicData uri="http://schemas.microsoft.com/office/word/2010/wordprocessingShape">
                    <wps:wsp>
                      <wps:cNvSpPr/>
                      <wps:spPr>
                        <a:xfrm>
                          <a:off x="0" y="0"/>
                          <a:ext cx="1997075" cy="550545"/>
                        </a:xfrm>
                        <a:prstGeom prst="rect">
                          <a:avLst/>
                        </a:prstGeom>
                        <a:noFill/>
                        <a:ln>
                          <a:noFill/>
                        </a:ln>
                      </wps:spPr>
                      <wps:txbx>
                        <w:txbxContent>
                          <w:p w14:paraId="5B94DC83">
                            <w:pPr>
                              <w:rPr>
                                <w:rFonts w:hint="eastAsia" w:eastAsia="宋体"/>
                                <w:lang w:eastAsia="zh-CN"/>
                              </w:rPr>
                            </w:pPr>
                            <w:r>
                              <w:rPr>
                                <w:rFonts w:hint="eastAsia"/>
                              </w:rPr>
                              <w:t>扬尘、噪声、水土流失</w:t>
                            </w:r>
                            <w:r>
                              <w:rPr>
                                <w:rFonts w:hint="eastAsia"/>
                                <w:lang w:eastAsia="zh-CN"/>
                              </w:rPr>
                              <w:t>、土石方</w:t>
                            </w:r>
                          </w:p>
                        </w:txbxContent>
                      </wps:txbx>
                      <wps:bodyPr upright="1"/>
                    </wps:wsp>
                  </a:graphicData>
                </a:graphic>
              </wp:anchor>
            </w:drawing>
          </mc:Choice>
          <mc:Fallback>
            <w:pict>
              <v:rect id="_x0000_s1026" o:spid="_x0000_s1026" o:spt="1" style="position:absolute;left:0pt;margin-left:216.85pt;margin-top:7.8pt;height:43.35pt;width:157.25pt;z-index:251739136;mso-width-relative:page;mso-height-relative:page;" filled="f" stroked="f" coordsize="21600,21600" o:gfxdata="UEsDBAoAAAAAAIdO4kAAAAAAAAAAAAAAAAAEAAAAZHJzL1BLAwQUAAAACACHTuJAtW6IQNsAAAAK&#10;AQAADwAAAGRycy9kb3ducmV2LnhtbE2PwU7CQBCG7ya+w2ZMvBjZpUUgpVsOJEZiTIhFOS/t0DZ2&#10;Z0t3afHtHU96nPm//PNNur7aVgzY+8aRhulEgUAqXNlQpeFj//y4BOGDodK0jlDDN3pYZ7c3qUlK&#10;N9I7DnmoBJeQT4yGOoQukdIXNVrjJ65D4uzkemsCj30ly96MXG5bGSk1l9Y0xBdq0+GmxuIrv1gN&#10;Y7EbDvu3F7l7OGwdnbfnTf75qvX93VStQAS8hj8YfvVZHTJ2OroLlV60GmZxvGCUg6c5CAYWs2UE&#10;4sgLFcUgs1T+fyH7AVBLAwQUAAAACACHTuJAroSDjqQBAABFAwAADgAAAGRycy9lMm9Eb2MueG1s&#10;rVJLbtswFNwXyB0I7mvKQZXUguVsjGRTtAHSHoCmSIsAf3ikLfk0BbrrIXqcotfoI6U4n26y6IZ6&#10;P82bGXJ9M1pDjhKi9q6ly0VFiXTCd9rtW/rt6+37j5TExF3HjXeypScZ6c3m4t16CI289L03nQSC&#10;IC42Q2hpn1JoGIuil5bHhQ/SYVN5sDxhCnvWAR8Q3Rp2WVVXbPDQBfBCxojV7dSkMyK8BdArpYXc&#10;enGw0qUJFaThCSXFXodIN4WtUlKkL0pFmYhpKSpN5cQlGO/yyTZr3uyBh16LmQJ/C4VXmizXDpee&#10;obY8cXIA/Q+U1QJ89CothLdsElIcQRXL6pU3Dz0PsmhBq2M4mx7/H6z4fLwHojt8CasrShy3eOV/&#10;vv/8/esHyRX0ZwixwbGHcA9zFjHMYkcFNn9RBhmLp6ezp3JMRGBxuVpdV9c1JQJ7dV3VH+oMyp7+&#10;DhDTnfSW5KClgHdWrOTHTzFNo48jeZnzt9oYrPPGuBcFxMwVlglPFHOUxt0489757oRqDwH0vsdV&#10;y8IkD6G7hdP8EvL1Pc8L6NPr3/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tW6IQNsAAAAKAQAA&#10;DwAAAAAAAAABACAAAAAiAAAAZHJzL2Rvd25yZXYueG1sUEsBAhQAFAAAAAgAh07iQK6Eg46kAQAA&#10;RQMAAA4AAAAAAAAAAQAgAAAAKgEAAGRycy9lMm9Eb2MueG1sUEsFBgAAAAAGAAYAWQEAAEAFAAAA&#10;AA==&#10;">
                <v:fill on="f" focussize="0,0"/>
                <v:stroke on="f"/>
                <v:imagedata o:title=""/>
                <o:lock v:ext="edit" aspectratio="f"/>
                <v:textbox>
                  <w:txbxContent>
                    <w:p w14:paraId="5B94DC83">
                      <w:pPr>
                        <w:rPr>
                          <w:rFonts w:hint="eastAsia" w:eastAsia="宋体"/>
                          <w:lang w:eastAsia="zh-CN"/>
                        </w:rPr>
                      </w:pPr>
                      <w:r>
                        <w:rPr>
                          <w:rFonts w:hint="eastAsia"/>
                        </w:rPr>
                        <w:t>扬尘、噪声、水土流失</w:t>
                      </w:r>
                      <w:r>
                        <w:rPr>
                          <w:rFonts w:hint="eastAsia"/>
                          <w:lang w:eastAsia="zh-CN"/>
                        </w:rPr>
                        <w:t>、土石方</w:t>
                      </w:r>
                    </w:p>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738112" behindDoc="0" locked="0" layoutInCell="1" allowOverlap="1">
                <wp:simplePos x="0" y="0"/>
                <wp:positionH relativeFrom="column">
                  <wp:posOffset>2178050</wp:posOffset>
                </wp:positionH>
                <wp:positionV relativeFrom="paragraph">
                  <wp:posOffset>276860</wp:posOffset>
                </wp:positionV>
                <wp:extent cx="575945" cy="0"/>
                <wp:effectExtent l="0" t="38100" r="14605" b="38100"/>
                <wp:wrapNone/>
                <wp:docPr id="197" name="直接连接符 197"/>
                <wp:cNvGraphicFramePr/>
                <a:graphic xmlns:a="http://schemas.openxmlformats.org/drawingml/2006/main">
                  <a:graphicData uri="http://schemas.microsoft.com/office/word/2010/wordprocessingShape">
                    <wps:wsp>
                      <wps:cNvCnPr/>
                      <wps:spPr>
                        <a:xfrm>
                          <a:off x="0" y="0"/>
                          <a:ext cx="575945"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margin-left:171.5pt;margin-top:21.8pt;height:0pt;width:45.35pt;z-index:251738112;mso-width-relative:page;mso-height-relative:page;" filled="f" stroked="t" coordsize="21600,21600" o:gfxdata="UEsDBAoAAAAAAIdO4kAAAAAAAAAAAAAAAAAEAAAAZHJzL1BLAwQUAAAACACHTuJAfDACMdkAAAAJ&#10;AQAADwAAAGRycy9kb3ducmV2LnhtbE2PS0/DMBCE70j9D9ZW4oKoUxxClcapEI8TB9rAgeM23iaB&#10;eB3F7gN+PUYc4Dg7o9lvitXJ9uJAo+8ca5jPEhDEtTMdNxpeXx4vFyB8QDbYOyYNn+RhVU7OCsyN&#10;O/KGDlVoRCxhn6OGNoQhl9LXLVn0MzcQR2/nRoshyrGRZsRjLLe9vEqSTFrsOH5ocaC7luqPam81&#10;ZG/PeLur1tfrYfNQq+rr3l08vWt9Pp0nSxCBTuEvDD/4ER3KyLR1ezZe9BpUquKWoCFVGYgYSJW6&#10;AbH9PciykP8XlN9QSwMEFAAAAAgAh07iQFRKZp3+AQAA6gMAAA4AAABkcnMvZTJvRG9jLnhtbK1T&#10;zY7TMBC+I/EOlu80bUVZGjXdw5blgqAS8ABT20ks+U8et2lfghdA4gYnjtx5G5bHYJx0W3ZXSHsg&#10;B2fsGX8z3+eZxeXeGrZTEbV3FZ+MxpwpJ7zUrqn4xw/Xz15yhgmcBOOdqvhBIb9cPn2y6EKppr71&#10;RqrICMRh2YWKtymFsihQtMoCjnxQjpy1jxYSbWNTyAgdoVtTTMfjF0XnowzRC4VIp6vByY+I8TGA&#10;vq61UCsvtla5NKBGZSARJWx1QL7sq61rJdK7ukaVmKk4MU39SknI3uS1WC6gbCKEVotjCfCYEu5x&#10;sqAdJT1BrSAB20b9AMpqET36Oo2Et8VApFeEWEzG97R530JQPReSGsNJdPx/sOLtbh2ZltQJ8wvO&#10;HFh68pvPP359+vr75xdab75/Y9lFQnUBS4q/cut43GFYx8x6X0eb/8SH7XtxDydx1T4xQYezi9n8&#10;+YwzcesqzvdCxPRaecuyUXGjXaYNJezeYKJcFHobko+NY13F57NphgPqwZrenkwbiAe6pr+L3mh5&#10;rY3JNzA2mysT2Q5yH/RfZkS4d8JykhVgO8RJsoYGaRXIV06ydAgkj6O54LkCqyRnRtEYZYvwoEyg&#10;zTkyRQ2uMf+IpuzGURFZ10HJbG28PNCTbEPUTUtiTPpCs4daoC/52K65x/7e90jnEV3+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wwAjHZAAAACQEAAA8AAAAAAAAAAQAgAAAAIgAAAGRycy9kb3du&#10;cmV2LnhtbFBLAQIUABQAAAAIAIdO4kBUSmad/gEAAOoDAAAOAAAAAAAAAAEAIAAAACgBAABkcnMv&#10;ZTJvRG9jLnhtbFBLBQYAAAAABgAGAFkBAACYBQAAAAA=&#10;">
                <v:fill on="f" focussize="0,0"/>
                <v:stroke color="#000000" joinstyle="round" dashstyle="dash" endarrow="block"/>
                <v:imagedata o:title=""/>
                <o:lock v:ext="edit" aspectratio="f"/>
              </v:line>
            </w:pict>
          </mc:Fallback>
        </mc:AlternateContent>
      </w:r>
      <w:r>
        <w:rPr>
          <w:rFonts w:hint="eastAsia" w:ascii="Arial" w:hAnsi="宋体" w:cs="Arial"/>
          <w:bCs/>
          <w:sz w:val="26"/>
          <w:szCs w:val="26"/>
        </w:rPr>
        <mc:AlternateContent>
          <mc:Choice Requires="wps">
            <w:drawing>
              <wp:anchor distT="0" distB="0" distL="114300" distR="114300" simplePos="0" relativeHeight="251732992" behindDoc="0" locked="0" layoutInCell="1" allowOverlap="1">
                <wp:simplePos x="0" y="0"/>
                <wp:positionH relativeFrom="column">
                  <wp:posOffset>1000125</wp:posOffset>
                </wp:positionH>
                <wp:positionV relativeFrom="paragraph">
                  <wp:posOffset>99060</wp:posOffset>
                </wp:positionV>
                <wp:extent cx="1177925" cy="317500"/>
                <wp:effectExtent l="4445" t="4445" r="17780" b="20955"/>
                <wp:wrapNone/>
                <wp:docPr id="195" name="矩形 195"/>
                <wp:cNvGraphicFramePr/>
                <a:graphic xmlns:a="http://schemas.openxmlformats.org/drawingml/2006/main">
                  <a:graphicData uri="http://schemas.microsoft.com/office/word/2010/wordprocessingShape">
                    <wps:wsp>
                      <wps:cNvSpPr/>
                      <wps:spPr>
                        <a:xfrm>
                          <a:off x="0" y="0"/>
                          <a:ext cx="1177925" cy="31750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506CAA22">
                            <w:pPr>
                              <w:jc w:val="center"/>
                              <w:rPr>
                                <w:rFonts w:hint="eastAsia" w:eastAsia="宋体"/>
                                <w:lang w:eastAsia="zh-CN"/>
                              </w:rPr>
                            </w:pPr>
                            <w:r>
                              <w:rPr>
                                <w:rFonts w:hint="eastAsia"/>
                                <w:lang w:eastAsia="zh-CN"/>
                              </w:rPr>
                              <w:t>路基平整</w:t>
                            </w:r>
                          </w:p>
                        </w:txbxContent>
                      </wps:txbx>
                      <wps:bodyPr upright="1"/>
                    </wps:wsp>
                  </a:graphicData>
                </a:graphic>
              </wp:anchor>
            </w:drawing>
          </mc:Choice>
          <mc:Fallback>
            <w:pict>
              <v:rect id="_x0000_s1026" o:spid="_x0000_s1026" o:spt="1" style="position:absolute;left:0pt;margin-left:78.75pt;margin-top:7.8pt;height:25pt;width:92.75pt;z-index:251732992;mso-width-relative:page;mso-height-relative:page;" fillcolor="#FFC000" filled="t" stroked="t" coordsize="21600,21600" o:gfxdata="UEsDBAoAAAAAAIdO4kAAAAAAAAAAAAAAAAAEAAAAZHJzL1BLAwQUAAAACACHTuJA5cHNXdUAAAAJ&#10;AQAADwAAAGRycy9kb3ducmV2LnhtbE2PQU/DMAyF70j8h8hI3Fg6yrJRmk4IFXHiwEA7Z41pKxon&#10;arKt/fd4J7j52U/P3yu3kxvECcfYe9KwXGQgkBpve2o1fH2+3m1AxGTImsETapgxwra6vipNYf2Z&#10;PvC0S63gEIqF0dClFAopY9OhM3HhAxLfvv3oTGI5ttKO5szhbpD3WaakMz3xh84EfOmw+dkdnYbp&#10;cR/mWr017/WznUOtXL5WTuvbm2X2BCLhlP7McMFndKiY6eCPZKMYWK/WK7ZeBgWCDflDzuUOGhQv&#10;ZFXK/w2qX1BLAwQUAAAACACHTuJAUVOYiwcCAAAtBAAADgAAAGRycy9lMm9Eb2MueG1srVPNjtMw&#10;EL4j8Q6W7zRJV6U0arpCW8oFwUoLD+A6TmLJf/K4Tfo0SNx4CB4H8RqMnWx3u1x64JKM7c/fzPfN&#10;eH07aEWOwoO0pqLFLKdEGG5radqKfvu6e/OOEgjM1ExZIyp6EkBvN69frXtXirntrKqFJ0hioOxd&#10;RbsQXJllwDuhGcysEwYPG+s1C7j0bVZ71iO7Vtk8z99mvfW185YLANzdjod0YvTXENqmkVxsLT9o&#10;YcLI6oViASVBJx3QTaq2aQQPX5oGRCCqoqg0pC8mwXgfv9lmzcrWM9dJPpXArinhhSbNpMGkZ6ot&#10;C4wcvPyHSkvuLdgmzLjV2SgkOYIqivyFNw8dcyJpQavBnU2H/0fLPx/vPZE1TsJqQYlhGlv+5/vP&#10;379+kLiD/vQOSoQ9uHs/rQDDKHZovI5/lEGG5Onp7KkYAuG4WRTL5WqO1BzPborlIk+mZ0+3nYfw&#10;UVhNYlBRjz1LVrLjJwiYEaGPkJgMrJL1TiqVFr7d3ylPjgz7u9vd5Wf2C5gypK/oapHqYDi0DQ4L&#10;lqQdCgfTpnwXN+A58TK/yd8/ln0Bi4VtGXRjAeloHCktg4h2sbITrP5gahJODq01+KZoLEaLmhIl&#10;8AnGKCEDk+oaJBqiDPoSGzO2IkZh2A9Tf/a2PmFXD87LtkNLi8if4DhFydBp4uOYPl8n1NMr3/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cHNXdUAAAAJAQAADwAAAAAAAAABACAAAAAiAAAAZHJz&#10;L2Rvd25yZXYueG1sUEsBAhQAFAAAAAgAh07iQFFTmIsHAgAALQQAAA4AAAAAAAAAAQAgAAAAJAEA&#10;AGRycy9lMm9Eb2MueG1sUEsFBgAAAAAGAAYAWQEAAJ0FAAAAAA==&#10;">
                <v:fill on="t" focussize="0,0"/>
                <v:stroke color="#7030A0" joinstyle="miter"/>
                <v:imagedata o:title=""/>
                <o:lock v:ext="edit" aspectratio="f"/>
                <v:textbox>
                  <w:txbxContent>
                    <w:p w14:paraId="506CAA22">
                      <w:pPr>
                        <w:jc w:val="center"/>
                        <w:rPr>
                          <w:rFonts w:hint="eastAsia" w:eastAsia="宋体"/>
                          <w:lang w:eastAsia="zh-CN"/>
                        </w:rPr>
                      </w:pPr>
                      <w:r>
                        <w:rPr>
                          <w:rFonts w:hint="eastAsia"/>
                          <w:lang w:eastAsia="zh-CN"/>
                        </w:rPr>
                        <w:t>路基平整</w:t>
                      </w:r>
                    </w:p>
                  </w:txbxContent>
                </v:textbox>
              </v:rect>
            </w:pict>
          </mc:Fallback>
        </mc:AlternateContent>
      </w:r>
    </w:p>
    <w:p w14:paraId="5EECE991">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734016" behindDoc="0" locked="0" layoutInCell="1" allowOverlap="1">
                <wp:simplePos x="0" y="0"/>
                <wp:positionH relativeFrom="column">
                  <wp:posOffset>1570990</wp:posOffset>
                </wp:positionH>
                <wp:positionV relativeFrom="paragraph">
                  <wp:posOffset>124460</wp:posOffset>
                </wp:positionV>
                <wp:extent cx="116840" cy="215900"/>
                <wp:effectExtent l="38100" t="0" r="0" b="12700"/>
                <wp:wrapNone/>
                <wp:docPr id="199" name="任意多边形 199"/>
                <wp:cNvGraphicFramePr/>
                <a:graphic xmlns:a="http://schemas.openxmlformats.org/drawingml/2006/main">
                  <a:graphicData uri="http://schemas.microsoft.com/office/word/2010/wordprocessingShape">
                    <wps:wsp>
                      <wps:cNvSpPr/>
                      <wps:spPr>
                        <a:xfrm>
                          <a:off x="0" y="0"/>
                          <a:ext cx="116840" cy="215900"/>
                        </a:xfrm>
                        <a:custGeom>
                          <a:avLst/>
                          <a:gdLst/>
                          <a:ahLst/>
                          <a:cxnLst/>
                          <a:pathLst>
                            <a:path w="1" h="360">
                              <a:moveTo>
                                <a:pt x="0" y="0"/>
                              </a:moveTo>
                              <a:lnTo>
                                <a:pt x="0" y="36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_x0000_s1026" o:spid="_x0000_s1026" o:spt="100" style="position:absolute;left:0pt;margin-left:123.7pt;margin-top:9.8pt;height:17pt;width:9.2pt;z-index:251734016;mso-width-relative:page;mso-height-relative:page;" filled="f" stroked="t" coordsize="1,360" o:gfxdata="UEsDBAoAAAAAAIdO4kAAAAAAAAAAAAAAAAAEAAAAZHJzL1BLAwQUAAAACACHTuJABErYf9kAAAAJ&#10;AQAADwAAAGRycy9kb3ducmV2LnhtbE2Py07DMBBF90j8gzVI7KiT0JoS4lQq5bEAITUgsXWTIY6I&#10;xyF20/L3DCtYju7RnXOL1dH1YsIxdJ40pLMEBFLtm45aDW+v9xdLECEaakzvCTV8Y4BVeXpSmLzx&#10;B9riVMVWcAmF3GiwMQ65lKG26EyY+QGJsw8/OhP5HFvZjObA5a6XWZIo6UxH/MGaAW8t1p/V3mmo&#10;6qe7h/fpK602zsq1Wr88bp5R6/OzNLkBEfEY/2D41Wd1KNlp5/fUBNFryOZXc0Y5uFYgGMjUgrfs&#10;NCwuFciykP8XlD9QSwMEFAAAAAgAh07iQJN0deI5AgAAkgQAAA4AAABkcnMvZTJvRG9jLnhtbK1U&#10;zY7TMBC+I/EOlu80SaGrbdR0D5TlgmClXR5g6jiJJf/Jdpv2zp07R8RLoBX7NCziMRg7/Vm6QtoD&#10;PaRjz+Sb75ufzC42SpI1d14YXdFilFPCNTO10G1FP95cvjinxAfQNUijeUW33NOL+fNns96WfGw6&#10;I2vuCIJoX/a2ol0ItswyzzquwI+M5RqdjXEKAh5dm9UOekRXMhvn+VnWG1dbZxj3Hm8Xg5PuEN1T&#10;AE3TCMYXhq0U12FAdVxCQEm+E9bTeWLbNJyFD03jeSCyoqg0pCcmQXsZn9l8BmXrwHaC7SjAUyic&#10;aFIgNCY9QC0gAFk58QhKCeaMN00YMaOyQUiqCKoo8pPaXHdgedKCpfb2UHT//2DZ+/WVI6LGSZhO&#10;KdGgsOU/b29/ffp8/+3L77vv9z++kujCQvXWlxh/ba/c7uTRjKo3jVPxH/WQTSru9lBcvgmE4WVR&#10;nJ2/wrIzdI2LyTRPxc+OL7OVD2+5SUCwfufD0Jt6b0G3t9hG700LIV7H5NEkPSaipKvoy7M8NUSZ&#10;Nb8xyR9OuGHuo1fqx1ERA0lg3OBFIyZJN4fEePmQuTaXQspEXepIZzoZT1A14Ko0OKJoKovl9rpN&#10;/LyRoo6vRIretcvX0pE1xHFNvx2Bv8Ks82EBvhvikiuGQdlxqN/omoStxTZq3F8aKSheUyI5rnu0&#10;UmQAIY+RwQnQrfxHdNKPomP/h45Ha2nqLY7OyjrRdrhXRWIaPTiqqUS7tYq78PCckI6fkv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ErYf9kAAAAJAQAADwAAAAAAAAABACAAAAAiAAAAZHJzL2Rv&#10;d25yZXYueG1sUEsBAhQAFAAAAAgAh07iQJN0deI5AgAAkgQAAA4AAAAAAAAAAQAgAAAAKAEAAGRy&#10;cy9lMm9Eb2MueG1sUEsFBgAAAAAGAAYAWQEAANMFAAAAAA==&#10;" path="m0,0l0,360e">
                <v:fill on="f" focussize="0,0"/>
                <v:stroke color="#000000" joinstyle="round" endarrow="block"/>
                <v:imagedata o:title=""/>
                <o:lock v:ext="edit" aspectratio="f"/>
              </v:shape>
            </w:pict>
          </mc:Fallback>
        </mc:AlternateContent>
      </w:r>
    </w:p>
    <w:p w14:paraId="7EC2F21B">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742208" behindDoc="0" locked="0" layoutInCell="1" allowOverlap="1">
                <wp:simplePos x="0" y="0"/>
                <wp:positionH relativeFrom="column">
                  <wp:posOffset>2814320</wp:posOffset>
                </wp:positionH>
                <wp:positionV relativeFrom="paragraph">
                  <wp:posOffset>78740</wp:posOffset>
                </wp:positionV>
                <wp:extent cx="2035175" cy="387350"/>
                <wp:effectExtent l="0" t="0" r="0" b="0"/>
                <wp:wrapNone/>
                <wp:docPr id="201" name="矩形 201"/>
                <wp:cNvGraphicFramePr/>
                <a:graphic xmlns:a="http://schemas.openxmlformats.org/drawingml/2006/main">
                  <a:graphicData uri="http://schemas.microsoft.com/office/word/2010/wordprocessingShape">
                    <wps:wsp>
                      <wps:cNvSpPr/>
                      <wps:spPr>
                        <a:xfrm>
                          <a:off x="0" y="0"/>
                          <a:ext cx="2035175" cy="387350"/>
                        </a:xfrm>
                        <a:prstGeom prst="rect">
                          <a:avLst/>
                        </a:prstGeom>
                        <a:noFill/>
                        <a:ln>
                          <a:noFill/>
                        </a:ln>
                      </wps:spPr>
                      <wps:txbx>
                        <w:txbxContent>
                          <w:p w14:paraId="11973B9B">
                            <w:r>
                              <w:rPr>
                                <w:rFonts w:hint="eastAsia"/>
                              </w:rPr>
                              <w:t>扬尘、噪声、水土流失、土石方</w:t>
                            </w:r>
                          </w:p>
                        </w:txbxContent>
                      </wps:txbx>
                      <wps:bodyPr upright="1"/>
                    </wps:wsp>
                  </a:graphicData>
                </a:graphic>
              </wp:anchor>
            </w:drawing>
          </mc:Choice>
          <mc:Fallback>
            <w:pict>
              <v:rect id="_x0000_s1026" o:spid="_x0000_s1026" o:spt="1" style="position:absolute;left:0pt;margin-left:221.6pt;margin-top:6.2pt;height:30.5pt;width:160.25pt;z-index:251742208;mso-width-relative:page;mso-height-relative:page;" filled="f" stroked="f" coordsize="21600,21600" o:gfxdata="UEsDBAoAAAAAAIdO4kAAAAAAAAAAAAAAAAAEAAAAZHJzL1BLAwQUAAAACACHTuJAJU6KtNoAAAAJ&#10;AQAADwAAAGRycy9kb3ducmV2LnhtbE2PwUrDQBCG74LvsIzgReymSWhLzKaHglhEKKa25212TILZ&#10;2TS7TerbO570NsP/8c83+fpqOzHi4FtHCuazCARS5UxLtYKP/fPjCoQPmozuHKGCb/SwLm5vcp0Z&#10;N9E7jmWoBZeQz7SCJoQ+k9JXDVrtZ65H4uzTDVYHXodamkFPXG47GUfRQlrdEl9odI+bBquv8mIV&#10;TNVuPO7fXuTu4bh1dN6eN+XhVan7u3n0BCLgNfzB8KvP6lCw08ldyHjRKUjTJGaUgzgFwcBykSxB&#10;nHhIUpBFLv9/UPwAUEsDBBQAAAAIAIdO4kBPgmABowEAAEUDAAAOAAAAZHJzL2Uyb0RvYy54bWyt&#10;Uktu2zAQ3RfoHQjua8k2nASC5WyMdFO0AdIegKZIiwB/mKEt+TQFssshcpyi1+iQVp023WTRDTUz&#10;HL037w3Xt6Oz7KgATfAtn89qzpSXoTN+3/JvX+8+3HCGSfhO2OBVy08K+e3m/bv1EBu1CH2wnQJG&#10;IB6bIba8Tyk2VYWyV07gLETl6VIHcCJRCvuqAzEQurPVoq6vqiFAFyFIhUjV7fmST4jwFsCgtZFq&#10;G+TBKZ/OqKCsSCQJexORb8q0WiuZvmiNKjHbclKaykkkFO/yWW3WotmDiL2R0wjiLSO80uSE8UR6&#10;gdqKJNgBzD9QzkgIGHSayeCqs5DiCKmY16+8eehFVEULWY3xYjr+P1j5+XgPzHQtJ37OvHC08p/f&#10;n348P7JcIX+GiA21PcR7mDKkMIsdNbj8JRlsLJ6eLp6qMTFJxUW9XM2vV5xJulveXC9XxfTq5e8I&#10;mD6q4FgOWg60s2KlOH7CRIzU+rslk/lwZ6wte7P+rwI15kqVBz6PmKM07sZp7l3oTqT2EMHse6Iq&#10;8ko7uVuIppeQ1/dnXkBfXv/m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VOirTaAAAACQEAAA8A&#10;AAAAAAAAAQAgAAAAIgAAAGRycy9kb3ducmV2LnhtbFBLAQIUABQAAAAIAIdO4kBPgmABowEAAEUD&#10;AAAOAAAAAAAAAAEAIAAAACkBAABkcnMvZTJvRG9jLnhtbFBLBQYAAAAABgAGAFkBAAA+BQAAAAA=&#10;">
                <v:fill on="f" focussize="0,0"/>
                <v:stroke on="f"/>
                <v:imagedata o:title=""/>
                <o:lock v:ext="edit" aspectratio="f"/>
                <v:textbox>
                  <w:txbxContent>
                    <w:p w14:paraId="11973B9B">
                      <w:r>
                        <w:rPr>
                          <w:rFonts w:hint="eastAsia"/>
                        </w:rPr>
                        <w:t>扬尘、噪声、水土流失、土石方</w:t>
                      </w:r>
                    </w:p>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743232" behindDoc="0" locked="0" layoutInCell="1" allowOverlap="1">
                <wp:simplePos x="0" y="0"/>
                <wp:positionH relativeFrom="column">
                  <wp:posOffset>2192655</wp:posOffset>
                </wp:positionH>
                <wp:positionV relativeFrom="paragraph">
                  <wp:posOffset>224790</wp:posOffset>
                </wp:positionV>
                <wp:extent cx="704215" cy="0"/>
                <wp:effectExtent l="0" t="38100" r="635" b="38100"/>
                <wp:wrapNone/>
                <wp:docPr id="203" name="直接连接符 203"/>
                <wp:cNvGraphicFramePr/>
                <a:graphic xmlns:a="http://schemas.openxmlformats.org/drawingml/2006/main">
                  <a:graphicData uri="http://schemas.microsoft.com/office/word/2010/wordprocessingShape">
                    <wps:wsp>
                      <wps:cNvCnPr/>
                      <wps:spPr>
                        <a:xfrm>
                          <a:off x="0" y="0"/>
                          <a:ext cx="704215"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margin-left:172.65pt;margin-top:17.7pt;height:0pt;width:55.45pt;z-index:251743232;mso-width-relative:page;mso-height-relative:page;" filled="f" stroked="t" coordsize="21600,21600" o:gfxdata="UEsDBAoAAAAAAIdO4kAAAAAAAAAAAAAAAAAEAAAAZHJzL1BLAwQUAAAACACHTuJA/x1YY9gAAAAJ&#10;AQAADwAAAGRycy9kb3ducmV2LnhtbE2PuU7DQBCGeyTeYTVINIisEx9CxusIcVQUJIaCcmJPbIN3&#10;1vJuDnh6JqKAbo5P/3xTLI92UHuafO/YwHwWgSKuXdNza+Dt9en6BpQPyA0OjsnAF3lYludnBeaN&#10;O/Ca9lVolYSwz9FAF8KYa+3rjiz6mRuJZbd1k8Ug7dTqZsKDhNtBL6Io0xZ7lgsdjnTfUf1Z7ayB&#10;7P0F77bVKl2N68c6rr4f3NXzhzGXF/PoFlSgY/iD4aQv6lCK08btuPFqMBAnaSyoFGkCSoAkzRag&#10;Nr8DXRb6/wflD1BLAwQUAAAACACHTuJA6dHsBf4BAADqAwAADgAAAGRycy9lMm9Eb2MueG1srVPN&#10;jtMwEL4j8Q6W7zRpYWGJmu5hy3JBUAl4gKntJJb8J4/btC/BCyBxgxNH7vs2LI+x46TbwiKkPZCD&#10;M/aMv5nv88z8YmcN26qI2ruaTyclZ8oJL7Vra/7xw9WTc84wgZNgvFM13yvkF4vHj+Z9qNTMd95I&#10;FRmBOKz6UPMupVAVBYpOWcCJD8qRs/HRQqJtbAsZoSd0a4pZWT4veh9liF4oRDpdjk5+QIwPAfRN&#10;o4VaerGxyqURNSoDiShhpwPyxVBt0yiR3jUNqsRMzYlpGlZKQvY6r8ViDlUbIXRaHEqAh5Rwj5MF&#10;7SjpEWoJCdgm6r+grBbRo2/SRHhbjEQGRYjFtLynzfsOghq4kNQYjqLj/4MVb7eryLSs+ax8ypkD&#10;S09+8/nHz09ff11/ofXm+zeWXSRUH7Ci+Eu3iocdhlXMrHdNtPlPfNhuEHd/FFftEhN0+KJ8Npue&#10;cSbuXMXpXoiYXitvWTZqbrTLtKGC7RtMlItC70LysXGsr/nLs1mGA+rBht6eTBuIB7p2uIveaHml&#10;jck3MLbrSxPZFnIfDF9mRLh/hOUkS8BujJNkjQ3SKZCvnGRpH0geR3PBcwVWSc6MojHKFuFBlUCb&#10;U2SKGlxr/hFN2Y2jIrKuo5LZWnu5pyfZhKjbjsSYDoVmD7XAUPKhXXOP/b4fkE4jur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1YY9gAAAAJAQAADwAAAAAAAAABACAAAAAiAAAAZHJzL2Rvd25y&#10;ZXYueG1sUEsBAhQAFAAAAAgAh07iQOnR7AX+AQAA6gMAAA4AAAAAAAAAAQAgAAAAJwEAAGRycy9l&#10;Mm9Eb2MueG1sUEsFBgAAAAAGAAYAWQEAAJcFAAAAAA==&#10;">
                <v:fill on="f" focussize="0,0"/>
                <v:stroke color="#000000" joinstyle="round" dashstyle="dash" endarrow="block"/>
                <v:imagedata o:title=""/>
                <o:lock v:ext="edit" aspectratio="f"/>
              </v:line>
            </w:pict>
          </mc:Fallback>
        </mc:AlternateContent>
      </w:r>
      <w:r>
        <w:rPr>
          <w:rFonts w:hint="eastAsia" w:ascii="Arial" w:hAnsi="宋体" w:cs="Arial"/>
          <w:bCs/>
          <w:sz w:val="26"/>
          <w:szCs w:val="26"/>
        </w:rPr>
        <mc:AlternateContent>
          <mc:Choice Requires="wps">
            <w:drawing>
              <wp:anchor distT="0" distB="0" distL="114300" distR="114300" simplePos="0" relativeHeight="251735040" behindDoc="0" locked="0" layoutInCell="1" allowOverlap="1">
                <wp:simplePos x="0" y="0"/>
                <wp:positionH relativeFrom="column">
                  <wp:posOffset>1032510</wp:posOffset>
                </wp:positionH>
                <wp:positionV relativeFrom="paragraph">
                  <wp:posOffset>78740</wp:posOffset>
                </wp:positionV>
                <wp:extent cx="1145540" cy="325120"/>
                <wp:effectExtent l="4445" t="4445" r="12065" b="13335"/>
                <wp:wrapNone/>
                <wp:docPr id="205" name="矩形 205"/>
                <wp:cNvGraphicFramePr/>
                <a:graphic xmlns:a="http://schemas.openxmlformats.org/drawingml/2006/main">
                  <a:graphicData uri="http://schemas.microsoft.com/office/word/2010/wordprocessingShape">
                    <wps:wsp>
                      <wps:cNvSpPr/>
                      <wps:spPr>
                        <a:xfrm>
                          <a:off x="0" y="0"/>
                          <a:ext cx="1145540" cy="32512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5C6E6B98">
                            <w:pPr>
                              <w:jc w:val="center"/>
                            </w:pPr>
                            <w:r>
                              <w:rPr>
                                <w:rFonts w:hint="eastAsia"/>
                                <w:lang w:eastAsia="zh-CN"/>
                              </w:rPr>
                              <w:t>修筑</w:t>
                            </w:r>
                            <w:r>
                              <w:rPr>
                                <w:rFonts w:hint="eastAsia"/>
                              </w:rPr>
                              <w:t>路堑</w:t>
                            </w:r>
                          </w:p>
                        </w:txbxContent>
                      </wps:txbx>
                      <wps:bodyPr upright="1"/>
                    </wps:wsp>
                  </a:graphicData>
                </a:graphic>
              </wp:anchor>
            </w:drawing>
          </mc:Choice>
          <mc:Fallback>
            <w:pict>
              <v:rect id="_x0000_s1026" o:spid="_x0000_s1026" o:spt="1" style="position:absolute;left:0pt;margin-left:81.3pt;margin-top:6.2pt;height:25.6pt;width:90.2pt;z-index:251735040;mso-width-relative:page;mso-height-relative:page;" fillcolor="#FFC000" filled="t" stroked="t" coordsize="21600,21600" o:gfxdata="UEsDBAoAAAAAAIdO4kAAAAAAAAAAAAAAAAAEAAAAZHJzL1BLAwQUAAAACACHTuJAKP0zotUAAAAJ&#10;AQAADwAAAGRycy9kb3ducmV2LnhtbE2PPU/DMBCGdyT+g3VIbNRpUpk2xKkQCmJioCBmNz6SiPhs&#10;xW6b/HuOCbZ7dY/ej2o/u1GccYqDJw3rVQYCqfV2oE7Dx/vz3RZETIasGT2hhgUj7Ovrq8qU1l/o&#10;Dc+H1Ak2oVgaDX1KoZQytj06E1c+IPHvy0/OJJZTJ+1kLmzuRplnmZLODMQJvQn41GP7fTg5DfPu&#10;MyyNemlfm0e7hEa54l45rW9v1tkDiIRz+oPhtz5Xh5o7Hf2JbBQja5UrRvnINyAYKDYFjztqUIUC&#10;WVfy/4L6B1BLAwQUAAAACACHTuJA8h+SNQcCAAAtBAAADgAAAGRycy9lMm9Eb2MueG1srVNLbtsw&#10;EN0X6B0I7mt9EvcjWA6KuO6maAOkPQBNURIB/sChLfk0BbrrIXqcotfIkFKcT7vwohtpSD6+mfdm&#10;uLoatSIH4UFaU9NikVMiDLeNNF1Nv33dvnpLCQRmGqasETU9CqBX65cvVoOrRGl7qxrhCZIYqAZX&#10;0z4EV2UZ8F5oBgvrhMHD1nrNAi59lzWeDciuVVbm+etssL5x3nIBgLub6ZDOjP4cQtu2kouN5Xst&#10;TJhYvVAsoCTopQO6TtW2reDhS9uCCETVFJWG9MUkGO/iN1uvWNV55nrJ5xLYOSU806SZNJj0RLVh&#10;gZG9l39Racm9BduGBbc6m4QkR1BFkT/z5rZnTiQtaDW4k+nw/2j558ONJ7KpaZkvKTFMY8v/fP/5&#10;+9cPEnfQn8FBhbBbd+PnFWAYxY6t1/GPMsiYPD2ePBVjIBw3i+JyubxEuzmeXZTLokymZw+3nYfw&#10;UVhNYlBTjz1LVrLDJwiYEaH3kJgMrJLNViqVFr7bXStPDgz7u91e5/k9+xOYMmSo6btliRI5w6Ft&#10;cVgw1A6Fg+lSvic34DHxm/wif/9P4ljYhkE/FZAYppHSMohoF6t6wZoPpiHh6NBag2+KxmK0aChR&#10;Ap9gjBIyMKnOQaIhyqAvsTFTK2IUxt0492dnmyN2de+87Hq0tIj8CY5TlAydJz6O6eN1Qj288v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P0zotUAAAAJAQAADwAAAAAAAAABACAAAAAiAAAAZHJz&#10;L2Rvd25yZXYueG1sUEsBAhQAFAAAAAgAh07iQPIfkjUHAgAALQQAAA4AAAAAAAAAAQAgAAAAJAEA&#10;AGRycy9lMm9Eb2MueG1sUEsFBgAAAAAGAAYAWQEAAJ0FAAAAAA==&#10;">
                <v:fill on="t" focussize="0,0"/>
                <v:stroke color="#7030A0" joinstyle="miter"/>
                <v:imagedata o:title=""/>
                <o:lock v:ext="edit" aspectratio="f"/>
                <v:textbox>
                  <w:txbxContent>
                    <w:p w14:paraId="5C6E6B98">
                      <w:pPr>
                        <w:jc w:val="center"/>
                      </w:pPr>
                      <w:r>
                        <w:rPr>
                          <w:rFonts w:hint="eastAsia"/>
                          <w:lang w:eastAsia="zh-CN"/>
                        </w:rPr>
                        <w:t>修筑</w:t>
                      </w:r>
                      <w:r>
                        <w:rPr>
                          <w:rFonts w:hint="eastAsia"/>
                        </w:rPr>
                        <w:t>路堑</w:t>
                      </w:r>
                    </w:p>
                  </w:txbxContent>
                </v:textbox>
              </v:rect>
            </w:pict>
          </mc:Fallback>
        </mc:AlternateContent>
      </w:r>
    </w:p>
    <w:p w14:paraId="6E4A6FC9">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736064" behindDoc="0" locked="0" layoutInCell="1" allowOverlap="1">
                <wp:simplePos x="0" y="0"/>
                <wp:positionH relativeFrom="column">
                  <wp:posOffset>1582420</wp:posOffset>
                </wp:positionH>
                <wp:positionV relativeFrom="paragraph">
                  <wp:posOffset>111760</wp:posOffset>
                </wp:positionV>
                <wp:extent cx="0" cy="288290"/>
                <wp:effectExtent l="38100" t="0" r="38100" b="16510"/>
                <wp:wrapNone/>
                <wp:docPr id="204" name="直接连接符 204"/>
                <wp:cNvGraphicFramePr/>
                <a:graphic xmlns:a="http://schemas.openxmlformats.org/drawingml/2006/main">
                  <a:graphicData uri="http://schemas.microsoft.com/office/word/2010/wordprocessingShape">
                    <wps:wsp>
                      <wps:cNvCnPr/>
                      <wps:spPr>
                        <a:xfrm>
                          <a:off x="0" y="0"/>
                          <a:ext cx="0"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4.6pt;margin-top:8.8pt;height:22.7pt;width:0pt;z-index:251736064;mso-width-relative:page;mso-height-relative:page;" filled="f" stroked="t" coordsize="21600,21600" o:gfxdata="UEsDBAoAAAAAAIdO4kAAAAAAAAAAAAAAAAAEAAAAZHJzL1BLAwQUAAAACACHTuJAUVQX+dgAAAAJ&#10;AQAADwAAAGRycy9kb3ducmV2LnhtbE2PwU7DMAyG70i8Q2QkbixpQaUrTXdAGpcNpm1oglvWmLai&#10;caok3crbE8QBjvb/6ffncjGZnp3Q+c6ShGQmgCHVVnfUSHjdL29yYD4o0qq3hBK+0MOiurwoVaHt&#10;mbZ42oWGxRLyhZLQhjAUnPu6RaP8zA5IMfuwzqgQR9dw7dQ5lpuep0Jk3KiO4oVWDfjYYv25G42E&#10;7Xq5yg+rcard+1Pyst+sn998LuX1VSIegAWcwh8MP/pRHarodLQjac96CendPI1oDO4zYBH4XRwl&#10;ZLcCeFXy/x9U31BLAwQUAAAACACHTuJAdhMALv4BAADrAwAADgAAAGRycy9lMm9Eb2MueG1srVPN&#10;jtMwEL4j8Q6W7zRtxKJu1HQPW5YLgkrAA0wdJ7HkP3ncpn0JXgCJG5w4cudtWB6DsVPa3UVIeyAH&#10;Zzwz/ma+z+PF1d5otpMBlbM1n02mnEkrXKNsV/MP72+ezTnDCLYB7ays+UEiv1o+fbIYfCVL1zvd&#10;yMAIxGI1+Jr3MfqqKFD00gBOnJeWgq0LBiJtQ1c0AQZCN7oop9MXxeBC44MTEpG8qzHIj4jhMYCu&#10;bZWQKye2Rto4ogapIRIl7JVHvszdtq0U8W3booxM15yYxrxSEbI3aS2WC6i6AL5X4tgCPKaFB5wM&#10;KEtFT1AriMC2Qf0FZZQIDl0bJ8KZYiSSFSEWs+kDbd714GXmQlKjP4mO/w9WvNmtA1NNzcvpc84s&#10;GLry20/ff3788uvHZ1pvv31lKURCDR4ryr+263DcoV+HxHrfBpP+xIfts7iHk7hyH5kYnYK85Xxe&#10;Xmbdi/M5HzC+ks6wZNRcK5toQwW71xipFqX+SUlubdlQ88uL8oIzATSDLd09mcYTD7RdPotOq+ZG&#10;aZ1OYOg21zqwHaQ5yF9iRLj30lKRFWA/5uXQOCG9hOalbVg8eNLH0sPgqQUjG860pHeULAKEKoLS&#10;58wYFNhO/yObymtLXSRhRymTtXHNge5k64PqelJjljtNEZqB3PNxXtOQ3d1npPMb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VQX+dgAAAAJAQAADwAAAAAAAAABACAAAAAiAAAAZHJzL2Rvd25y&#10;ZXYueG1sUEsBAhQAFAAAAAgAh07iQHYTAC7+AQAA6wMAAA4AAAAAAAAAAQAgAAAAJwEAAGRycy9l&#10;Mm9Eb2MueG1sUEsFBgAAAAAGAAYAWQEAAJcFAAAAAA==&#10;">
                <v:fill on="f" focussize="0,0"/>
                <v:stroke color="#000000" joinstyle="round" endarrow="block"/>
                <v:imagedata o:title=""/>
                <o:lock v:ext="edit" aspectratio="f"/>
              </v:line>
            </w:pict>
          </mc:Fallback>
        </mc:AlternateContent>
      </w:r>
    </w:p>
    <w:p w14:paraId="6D1BBBDD">
      <w:pPr>
        <w:spacing w:line="460" w:lineRule="exact"/>
        <w:ind w:firstLine="520" w:firstLineChars="200"/>
        <w:rPr>
          <w:rFonts w:hint="eastAsia" w:ascii="Arial" w:hAnsi="宋体" w:cs="Arial"/>
          <w:bCs/>
          <w:sz w:val="26"/>
          <w:szCs w:val="26"/>
        </w:rPr>
      </w:pPr>
      <w:r>
        <w:rPr>
          <w:rFonts w:hint="eastAsia" w:ascii="Arial" w:hAnsi="宋体" w:cs="Arial"/>
          <w:bCs/>
          <w:sz w:val="26"/>
          <w:szCs w:val="26"/>
        </w:rPr>
        <mc:AlternateContent>
          <mc:Choice Requires="wps">
            <w:drawing>
              <wp:anchor distT="0" distB="0" distL="114300" distR="114300" simplePos="0" relativeHeight="251741184" behindDoc="0" locked="0" layoutInCell="1" allowOverlap="1">
                <wp:simplePos x="0" y="0"/>
                <wp:positionH relativeFrom="column">
                  <wp:posOffset>2896870</wp:posOffset>
                </wp:positionH>
                <wp:positionV relativeFrom="paragraph">
                  <wp:posOffset>107950</wp:posOffset>
                </wp:positionV>
                <wp:extent cx="1784985" cy="295275"/>
                <wp:effectExtent l="0" t="0" r="0" b="0"/>
                <wp:wrapNone/>
                <wp:docPr id="206" name="矩形 206"/>
                <wp:cNvGraphicFramePr/>
                <a:graphic xmlns:a="http://schemas.openxmlformats.org/drawingml/2006/main">
                  <a:graphicData uri="http://schemas.microsoft.com/office/word/2010/wordprocessingShape">
                    <wps:wsp>
                      <wps:cNvSpPr/>
                      <wps:spPr>
                        <a:xfrm>
                          <a:off x="0" y="0"/>
                          <a:ext cx="1784985" cy="295275"/>
                        </a:xfrm>
                        <a:prstGeom prst="rect">
                          <a:avLst/>
                        </a:prstGeom>
                        <a:noFill/>
                        <a:ln>
                          <a:noFill/>
                        </a:ln>
                      </wps:spPr>
                      <wps:txbx>
                        <w:txbxContent>
                          <w:p w14:paraId="7E60EF45">
                            <w:r>
                              <w:rPr>
                                <w:rFonts w:hint="eastAsia"/>
                              </w:rPr>
                              <w:t>扬尘、噪声、废气</w:t>
                            </w:r>
                          </w:p>
                        </w:txbxContent>
                      </wps:txbx>
                      <wps:bodyPr upright="1"/>
                    </wps:wsp>
                  </a:graphicData>
                </a:graphic>
              </wp:anchor>
            </w:drawing>
          </mc:Choice>
          <mc:Fallback>
            <w:pict>
              <v:rect id="_x0000_s1026" o:spid="_x0000_s1026" o:spt="1" style="position:absolute;left:0pt;margin-left:228.1pt;margin-top:8.5pt;height:23.25pt;width:140.55pt;z-index:251741184;mso-width-relative:page;mso-height-relative:page;" filled="f" stroked="f" coordsize="21600,21600" o:gfxdata="UEsDBAoAAAAAAIdO4kAAAAAAAAAAAAAAAAAEAAAAZHJzL1BLAwQUAAAACACHTuJAPGgqRtoAAAAJ&#10;AQAADwAAAGRycy9kb3ducmV2LnhtbE2PQUvDQBCF74L/YRnBi9hNG5tIzKaHglhEKKba8zY7JsHs&#10;bJrdJvXfOz3pcXgfb76Xr862EyMOvnWkYD6LQCBVzrRUK/jYPd8/gvBBk9GdI1Twgx5WxfVVrjPj&#10;JnrHsQy14BLymVbQhNBnUvqqQav9zPVInH25werA51BLM+iJy20nF1GUSKtb4g+N7nHdYPVdnqyC&#10;qdqO+93bi9ze7TeOjpvjuvx8Ver2Zh49gQh4Dn8wXPRZHQp2OrgTGS86BQ/LZMEoBylvYiCN0xjE&#10;QUESL0EWufy/oPgFUEsDBBQAAAAIAIdO4kD1LHoKpAEAAEUDAAAOAAAAZHJzL2Uyb0RvYy54bWyt&#10;Uktu2zAU3BfoHQjua8pCnDiC5WyMdFO0AdIegKZIiwB/4KMt+TQFuushepyi1+gjpTptuskiG+r9&#10;NG9myM3daA05yQjau5YuFxUl0gnfaXdo6ZfP9+/WlEDiruPGO9nSswR6t337ZjOERta+96aTkSCI&#10;g2YILe1TCg1jIHppOSx8kA6bykfLE6bxwLrIB0S3htVVdc0GH7sQvZAAWN1NTTojxpcAeqW0kDsv&#10;jla6NKFGaXhCSdDrAHRb2ColRfqkFMhETEtRaSonLsF4n0+23fDmEHnotZgp8JdQeKbJcu1w6QVq&#10;xxMnx6j/g7JaRA9epYXwlk1CiiOoYlk98+ax50EWLWg1hIvp8Hqw4uPpIRLdtbSurilx3OKV//r6&#10;/eePbyRX0J8hQINjj+EhzhlgmMWOKtr8RRlkLJ6eL57KMRGBxeXN+up2vaJEYK++XdU3qwzKnv4O&#10;EdJ76S3JQUsj3lmxkp8+QJpG/4zkZc7fa2Owzhvj/ikgZq6wTHiimKM07seZ9953Z1R7DFEfely1&#10;LEzyELpbOM0vIV/f33kBfXr92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8aCpG2gAAAAkBAAAP&#10;AAAAAAAAAAEAIAAAACIAAABkcnMvZG93bnJldi54bWxQSwECFAAUAAAACACHTuJA9Sx6CqQBAABF&#10;AwAADgAAAAAAAAABACAAAAApAQAAZHJzL2Uyb0RvYy54bWxQSwUGAAAAAAYABgBZAQAAPwUAAAAA&#10;">
                <v:fill on="f" focussize="0,0"/>
                <v:stroke on="f"/>
                <v:imagedata o:title=""/>
                <o:lock v:ext="edit" aspectratio="f"/>
                <v:textbox>
                  <w:txbxContent>
                    <w:p w14:paraId="7E60EF45">
                      <w:r>
                        <w:rPr>
                          <w:rFonts w:hint="eastAsia"/>
                        </w:rPr>
                        <w:t>扬尘、噪声、废气</w:t>
                      </w:r>
                    </w:p>
                  </w:txbxContent>
                </v:textbox>
              </v:rect>
            </w:pict>
          </mc:Fallback>
        </mc:AlternateContent>
      </w:r>
      <w:r>
        <w:rPr>
          <w:rFonts w:hint="eastAsia" w:ascii="Arial" w:hAnsi="宋体" w:cs="Arial"/>
          <w:bCs/>
          <w:sz w:val="26"/>
          <w:szCs w:val="26"/>
        </w:rPr>
        <mc:AlternateContent>
          <mc:Choice Requires="wps">
            <w:drawing>
              <wp:anchor distT="0" distB="0" distL="114300" distR="114300" simplePos="0" relativeHeight="251740160" behindDoc="0" locked="0" layoutInCell="1" allowOverlap="1">
                <wp:simplePos x="0" y="0"/>
                <wp:positionH relativeFrom="column">
                  <wp:posOffset>2160905</wp:posOffset>
                </wp:positionH>
                <wp:positionV relativeFrom="paragraph">
                  <wp:posOffset>226695</wp:posOffset>
                </wp:positionV>
                <wp:extent cx="735965" cy="0"/>
                <wp:effectExtent l="0" t="38100" r="6985" b="38100"/>
                <wp:wrapNone/>
                <wp:docPr id="207" name="直接连接符 207"/>
                <wp:cNvGraphicFramePr/>
                <a:graphic xmlns:a="http://schemas.openxmlformats.org/drawingml/2006/main">
                  <a:graphicData uri="http://schemas.microsoft.com/office/word/2010/wordprocessingShape">
                    <wps:wsp>
                      <wps:cNvCnPr/>
                      <wps:spPr>
                        <a:xfrm>
                          <a:off x="0" y="0"/>
                          <a:ext cx="735965"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margin-left:170.15pt;margin-top:17.85pt;height:0pt;width:57.95pt;z-index:251740160;mso-width-relative:page;mso-height-relative:page;" filled="f" stroked="t" coordsize="21600,21600" o:gfxdata="UEsDBAoAAAAAAIdO4kAAAAAAAAAAAAAAAAAEAAAAZHJzL1BLAwQUAAAACACHTuJAF2Oz5NkAAAAJ&#10;AQAADwAAAGRycy9kb3ducmV2LnhtbE2Py07DMBBF90j8gzVIbFBrt2kCCnEqxGPFgjawYDmNp0kg&#10;Hkex+4Cvx4gF3c3j6M6ZYnm0vdjT6DvHGmZTBYK4dqbjRsPb69PkBoQPyAZ7x6Thizwsy/OzAnPj&#10;DrymfRUaEUPY56ihDWHIpfR1Sxb91A3Ecbd1o8UQ27GRZsRDDLe9nCuVSYsdxwstDnTfUv1Z7ayG&#10;7P0F77bVKl0N68c6qb4f3NXzh9aXFzN1CyLQMfzD8Ksf1aGMThu3Y+NFryFZqCSisUivQURgkWZz&#10;EJu/gSwLefpB+QNQSwMEFAAAAAgAh07iQC1iHcT/AQAA6gMAAA4AAABkcnMvZTJvRG9jLnhtbK1T&#10;zW4TMRC+I/EOlu9kk6C0dJVNDw3lgiAS9AEmtnfXkv/kcbLJS/ACSNzgxJE7b9PyGB3vpgkUIfXA&#10;Hrxjz/ib+T7PzC931rCtiqi9q/hkNOZMOeGldk3Fbz5ev3jFGSZwEox3quJ7hfxy8fzZvAulmvrW&#10;G6kiIxCHZRcq3qYUyqJA0SoLOPJBOXLWPlpItI1NISN0hG5NMR2Pz4rORxmiFwqRTpeDkx8Q41MA&#10;fV1roZZebKxyaUCNykAiStjqgHzRV1vXSqT3dY0qMVNxYpr6lZKQvc5rsZhD2UQIrRaHEuApJTzi&#10;ZEE7SnqEWkICton6LyirRfTo6zQS3hYDkV4RYjEZP9LmQwtB9VxIagxH0fH/wYp321VkWlZ8Oj7n&#10;zIGlJ7/7/OP209dfP7/Qevf9G8suEqoLWFL8lVvFww7DKmbWuzra/Cc+bNeLuz+Kq3aJCTo8fzm7&#10;OJtxJh5cxeleiJjeKG9ZNiputMu0oYTtW0yUi0IfQvKxcayr+MVsmuGAerCmtyfTBuKBrunvojda&#10;Xmtj8g2MzfrKRLaF3Af9lxkR7h9hOckSsB3iJFlDg7QK5GsnWdoHksfRXPBcgVWSM6NojLJFeFAm&#10;0OYUmaIG15h/RFN246iIrOugZLbWXu7pSTYh6qYlMSZ9odlDLdCXfGjX3GO/73uk04gu7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XY7Pk2QAAAAkBAAAPAAAAAAAAAAEAIAAAACIAAABkcnMvZG93&#10;bnJldi54bWxQSwECFAAUAAAACACHTuJALWIdxP8BAADqAwAADgAAAAAAAAABACAAAAAoAQAAZHJz&#10;L2Uyb0RvYy54bWxQSwUGAAAAAAYABgBZAQAAmQUAAAAA&#10;">
                <v:fill on="f" focussize="0,0"/>
                <v:stroke color="#000000" joinstyle="round" dashstyle="dash" endarrow="block"/>
                <v:imagedata o:title=""/>
                <o:lock v:ext="edit" aspectratio="f"/>
              </v:line>
            </w:pict>
          </mc:Fallback>
        </mc:AlternateContent>
      </w:r>
      <w:r>
        <w:rPr>
          <w:rFonts w:hint="eastAsia" w:ascii="Arial" w:hAnsi="宋体" w:cs="Arial"/>
          <w:bCs/>
          <w:sz w:val="26"/>
          <w:szCs w:val="26"/>
        </w:rPr>
        <mc:AlternateContent>
          <mc:Choice Requires="wps">
            <w:drawing>
              <wp:anchor distT="0" distB="0" distL="114300" distR="114300" simplePos="0" relativeHeight="251737088" behindDoc="0" locked="0" layoutInCell="1" allowOverlap="1">
                <wp:simplePos x="0" y="0"/>
                <wp:positionH relativeFrom="column">
                  <wp:posOffset>1066165</wp:posOffset>
                </wp:positionH>
                <wp:positionV relativeFrom="paragraph">
                  <wp:posOffset>107950</wp:posOffset>
                </wp:positionV>
                <wp:extent cx="1092200" cy="296545"/>
                <wp:effectExtent l="4445" t="4445" r="8255" b="22860"/>
                <wp:wrapNone/>
                <wp:docPr id="200" name="矩形 200"/>
                <wp:cNvGraphicFramePr/>
                <a:graphic xmlns:a="http://schemas.openxmlformats.org/drawingml/2006/main">
                  <a:graphicData uri="http://schemas.microsoft.com/office/word/2010/wordprocessingShape">
                    <wps:wsp>
                      <wps:cNvSpPr/>
                      <wps:spPr>
                        <a:xfrm>
                          <a:off x="0" y="0"/>
                          <a:ext cx="1092200" cy="296545"/>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2FDAB3BE">
                            <w:pPr>
                              <w:jc w:val="center"/>
                            </w:pPr>
                            <w:r>
                              <w:rPr>
                                <w:rFonts w:hint="eastAsia"/>
                              </w:rPr>
                              <w:t>路面工程</w:t>
                            </w:r>
                          </w:p>
                        </w:txbxContent>
                      </wps:txbx>
                      <wps:bodyPr upright="1"/>
                    </wps:wsp>
                  </a:graphicData>
                </a:graphic>
              </wp:anchor>
            </w:drawing>
          </mc:Choice>
          <mc:Fallback>
            <w:pict>
              <v:rect id="_x0000_s1026" o:spid="_x0000_s1026" o:spt="1" style="position:absolute;left:0pt;margin-left:83.95pt;margin-top:8.5pt;height:23.35pt;width:86pt;z-index:251737088;mso-width-relative:page;mso-height-relative:page;" fillcolor="#FFC000" filled="t" stroked="t" coordsize="21600,21600" o:gfxdata="UEsDBAoAAAAAAIdO4kAAAAAAAAAAAAAAAAAEAAAAZHJzL1BLAwQUAAAACACHTuJAI10779UAAAAJ&#10;AQAADwAAAGRycy9kb3ducmV2LnhtbE2PQU/DMAyF70j8h8hI3Fg6KqW0NJ0QKuLEgQ1xzhrTVjRO&#10;1GRb++8xJ7j52U/P36t3i5vEGec4etKw3WQgkDpvR+o1fBxe7h5AxGTImskTalgxwq65vqpNZf2F&#10;3vG8T73gEIqV0TCkFCopYzegM3HjAxLfvvzsTGI599LO5sLhbpL3WaakMyPxh8EEfB6w+96fnIal&#10;/Axrq167t/bJrqFVLi+U0/r2Zps9gki4pD8z/OIzOjTMdPQnslFMrFVRspWHgjuxIc9LXhw1qLwA&#10;2dTyf4PmB1BLAwQUAAAACACHTuJA6yoJXAgCAAAtBAAADgAAAGRycy9lMm9Eb2MueG1srVPNjtMw&#10;EL4j8Q6W7zRpoQuNmq7QlnJBsNKyD+DaTmLJf/K4Tfo0SNx4CB4H8Ro7drrd3XLpgUsy4xl/M983&#10;4+X1YDTZywDK2ZpOJyUl0nInlG1rev998+YDJRCZFUw7K2t6kECvV69fLXtfyZnrnBYyEASxUPW+&#10;pl2MvioK4J00DCbOS4vBxgXDIrqhLURgPaIbXczK8qroXRA+OC4B8HQ9BukRMVwC6JpGcbl2fGek&#10;jSNqkJpFpASd8kBXudumkTx+axqQkeiaItOYv1gE7W36Fqslq9rAfKf4sQV2SQtnnAxTFoueoNYs&#10;MrIL6h8oo3hw4Jo44c4UI5GsCLKYlmfa3HXMy8wFpQZ/Eh3+Hyz/ur8NRIma4mwosczgyP/++PXn&#10;90+STlCf3kOFaXf+Nhw9QDORHZpg0h9pkCFrejhpKodIOB5Oy8UsQ3OMzRZX83fzBFo83fYB4mfp&#10;DElGTQPOLEvJ9l8gjqmPKakYOK3ERmmdndBub3Qge4bz3WxuyrFlRH+Rpi3pa7qYz+aUcIZL2+Cy&#10;oGk8Egfb5novbsBz4Pfl2/Jj1uIcODW2ZtCNDWSEcaWMijLJxapOMvHJChIPHqW1+KZoasZIQYmW&#10;+ASTlTMjU/qSTGxCW5QwDWYcRbLisB0QJplbJw441Z0Pqu1Q0mlWPEVwi7L2x41Pa/rcz6BPr3z1&#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NdO+/VAAAACQEAAA8AAAAAAAAAAQAgAAAAIgAAAGRy&#10;cy9kb3ducmV2LnhtbFBLAQIUABQAAAAIAIdO4kDrKglcCAIAAC0EAAAOAAAAAAAAAAEAIAAAACQB&#10;AABkcnMvZTJvRG9jLnhtbFBLBQYAAAAABgAGAFkBAACeBQAAAAA=&#10;">
                <v:fill on="t" focussize="0,0"/>
                <v:stroke color="#7030A0" joinstyle="miter"/>
                <v:imagedata o:title=""/>
                <o:lock v:ext="edit" aspectratio="f"/>
                <v:textbox>
                  <w:txbxContent>
                    <w:p w14:paraId="2FDAB3BE">
                      <w:pPr>
                        <w:jc w:val="center"/>
                      </w:pPr>
                      <w:r>
                        <w:rPr>
                          <w:rFonts w:hint="eastAsia"/>
                        </w:rPr>
                        <w:t>路面工程</w:t>
                      </w:r>
                    </w:p>
                  </w:txbxContent>
                </v:textbox>
              </v:rect>
            </w:pict>
          </mc:Fallback>
        </mc:AlternateContent>
      </w:r>
    </w:p>
    <w:p w14:paraId="7C74A4EC">
      <w:pPr>
        <w:spacing w:line="240" w:lineRule="exact"/>
        <w:jc w:val="center"/>
        <w:rPr>
          <w:rFonts w:hint="eastAsia" w:ascii="Arial" w:hAnsi="宋体" w:cs="Arial"/>
          <w:b/>
          <w:bCs/>
          <w:sz w:val="26"/>
          <w:szCs w:val="26"/>
        </w:rPr>
      </w:pPr>
    </w:p>
    <w:p w14:paraId="2F3C677E">
      <w:pPr>
        <w:spacing w:line="240" w:lineRule="exact"/>
        <w:jc w:val="center"/>
        <w:rPr>
          <w:rFonts w:hint="eastAsia" w:ascii="Arial" w:hAnsi="宋体" w:cs="Arial"/>
          <w:b/>
          <w:bCs/>
          <w:sz w:val="26"/>
          <w:szCs w:val="26"/>
        </w:rPr>
      </w:pPr>
    </w:p>
    <w:p w14:paraId="04CD969B">
      <w:pPr>
        <w:spacing w:line="440" w:lineRule="exact"/>
        <w:jc w:val="center"/>
        <w:rPr>
          <w:rFonts w:hint="eastAsia" w:ascii="Arial" w:hAnsi="宋体" w:cs="Arial"/>
          <w:b/>
          <w:bCs/>
          <w:sz w:val="26"/>
          <w:szCs w:val="26"/>
        </w:rPr>
      </w:pPr>
      <w:r>
        <w:rPr>
          <w:rFonts w:hint="eastAsia" w:ascii="Arial" w:hAnsi="宋体" w:cs="Arial"/>
          <w:b/>
          <w:bCs/>
          <w:sz w:val="26"/>
          <w:szCs w:val="26"/>
        </w:rPr>
        <w:t>图3.4-</w:t>
      </w:r>
      <w:r>
        <w:rPr>
          <w:rFonts w:hint="eastAsia" w:ascii="Arial" w:hAnsi="宋体" w:cs="Arial"/>
          <w:b/>
          <w:bCs/>
          <w:sz w:val="26"/>
          <w:szCs w:val="26"/>
          <w:lang w:val="en-US" w:eastAsia="zh-CN"/>
        </w:rPr>
        <w:t>4</w:t>
      </w:r>
      <w:r>
        <w:rPr>
          <w:rFonts w:hint="eastAsia" w:ascii="Arial" w:hAnsi="宋体" w:cs="Arial"/>
          <w:b/>
          <w:bCs/>
          <w:sz w:val="26"/>
          <w:szCs w:val="26"/>
        </w:rPr>
        <w:t xml:space="preserve"> 上坝</w:t>
      </w:r>
      <w:r>
        <w:rPr>
          <w:rFonts w:hint="eastAsia" w:ascii="Arial" w:hAnsi="宋体" w:cs="Arial"/>
          <w:b/>
          <w:bCs/>
          <w:sz w:val="26"/>
          <w:szCs w:val="26"/>
          <w:lang w:eastAsia="zh-CN"/>
        </w:rPr>
        <w:t>道路、环库巡检步道</w:t>
      </w:r>
      <w:r>
        <w:rPr>
          <w:rFonts w:hint="eastAsia" w:ascii="Arial" w:hAnsi="宋体" w:cs="Arial"/>
          <w:b/>
          <w:bCs/>
          <w:sz w:val="26"/>
          <w:szCs w:val="26"/>
        </w:rPr>
        <w:t>施工工艺流程及产污环节示意图</w:t>
      </w:r>
    </w:p>
    <w:p w14:paraId="486B896E">
      <w:pPr>
        <w:spacing w:line="440" w:lineRule="exact"/>
        <w:ind w:firstLine="520" w:firstLineChars="200"/>
        <w:rPr>
          <w:rFonts w:hint="eastAsia" w:ascii="Arial" w:hAnsi="宋体" w:cs="Arial"/>
          <w:bCs/>
          <w:sz w:val="26"/>
          <w:szCs w:val="26"/>
        </w:rPr>
      </w:pPr>
    </w:p>
    <w:p w14:paraId="6EC96BBC">
      <w:pPr>
        <w:pStyle w:val="41"/>
        <w:adjustRightInd w:val="0"/>
        <w:snapToGrid w:val="0"/>
        <w:spacing w:line="460" w:lineRule="exact"/>
        <w:ind w:firstLine="400" w:firstLineChars="200"/>
        <w:rPr>
          <w:rFonts w:ascii="Arial" w:hAnsi="Arial" w:eastAsia="仿宋_GB2312" w:cs="Arial"/>
          <w:sz w:val="24"/>
        </w:rPr>
      </w:pPr>
      <w:r>
        <w:rPr>
          <w:rFonts w:ascii="宋体" w:hAnsi="Courier New"/>
          <w:sz w:val="20"/>
        </w:rPr>
        <mc:AlternateContent>
          <mc:Choice Requires="wps">
            <w:drawing>
              <wp:anchor distT="0" distB="0" distL="114300" distR="114300" simplePos="0" relativeHeight="251745280" behindDoc="0" locked="0" layoutInCell="1" allowOverlap="1">
                <wp:simplePos x="0" y="0"/>
                <wp:positionH relativeFrom="column">
                  <wp:posOffset>595630</wp:posOffset>
                </wp:positionH>
                <wp:positionV relativeFrom="paragraph">
                  <wp:posOffset>186055</wp:posOffset>
                </wp:positionV>
                <wp:extent cx="215900" cy="0"/>
                <wp:effectExtent l="0" t="38100" r="12700" b="38100"/>
                <wp:wrapNone/>
                <wp:docPr id="208" name="直接连接符 208"/>
                <wp:cNvGraphicFramePr/>
                <a:graphic xmlns:a="http://schemas.openxmlformats.org/drawingml/2006/main">
                  <a:graphicData uri="http://schemas.microsoft.com/office/word/2010/wordprocessingShape">
                    <wps:wsp>
                      <wps:cNvCnPr/>
                      <wps:spPr>
                        <a:xfrm>
                          <a:off x="0" y="0"/>
                          <a:ext cx="215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6.9pt;margin-top:14.65pt;height:0pt;width:17pt;z-index:251745280;mso-width-relative:page;mso-height-relative:page;" filled="f" stroked="t" coordsize="21600,21600" o:gfxdata="UEsDBAoAAAAAAIdO4kAAAAAAAAAAAAAAAAAEAAAAZHJzL1BLAwQUAAAACACHTuJAOwZbl9cAAAAI&#10;AQAADwAAAGRycy9kb3ducmV2LnhtbE2PwU7DMBBE70j8g7VI3KiTVII0xOkBqVxaQG0Rgts2XpKI&#10;eB3ZThv+Hlcc4Dgzq5m35XIyvTiS851lBeksAUFcW91xo+B1v7rJQfiArLG3TAq+ycOyurwosdD2&#10;xFs67kIjYgn7AhW0IQyFlL5uyaCf2YE4Zp/WGQxRukZqh6dYbnqZJcmtNNhxXGhxoIeW6q/daBRs&#10;N6t1/rYep9p9PKbP+5fN07vPlbq+SpN7EIGm8HcMZ/yIDlVkOtiRtRe9gsU8kgcF2WIO4pxnd9E4&#10;/BqyKuX/B6ofUEsDBBQAAAAIAIdO4kB80Ctx/QEAAOsDAAAOAAAAZHJzL2Uyb0RvYy54bWytU82O&#10;0zAQviPxDpbvNGmlIjZquoctywVBJeABpo6TWPKfPG7TvgQvgMQNThy58zbsPgZjp9uyu0LaAzk4&#10;Y8/4m/m+GS8u90aznQyonK35dFJyJq1wjbJdzT99vH7xijOMYBvQzsqaHyTyy+XzZ4vBV3Lmeqcb&#10;GRiBWKwGX/M+Rl8VBYpeGsCJ89KSs3XBQKRt6IomwEDoRhezsnxZDC40PjghEel0NTr5ETE8BdC1&#10;rRJy5cTWSBtH1CA1RKKEvfLIl7natpUivm9blJHpmhPTmFdKQvYmrcVyAVUXwPdKHEuAp5TwgJMB&#10;ZSnpCWoFEdg2qEdQRong0LVxIpwpRiJZEWIxLR9o86EHLzMXkhr9SXT8f7Di3W4dmGpqPiup8RYM&#10;tfzmy8/fn7/d/vpK682P7yy5SKjBY0XxV3Ydjjv065BY79tg0p/4sH0W93ASV+4jE3Q4m84vSpJd&#10;3LmK8z0fML6RzrBk1Fwrm2hDBbu3GCkXhd6FpGNt2VDzi/lsTnBAM9hS78k0nnig7fJddFo110rr&#10;dANDt7nSge0gzUH+EiPCvReWkqwA+zEuu8YJ6SU0r23D4sGTPpYeBk8lGNlwpiW9o2QRIFQRlD5H&#10;xqDAdvof0ZReW6oiCTtKmayNaw7Uk60PqutJjWmuNHloBnLNx3lNQ/b3PiOd3+j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GW5fXAAAACAEAAA8AAAAAAAAAAQAgAAAAIgAAAGRycy9kb3ducmV2&#10;LnhtbFBLAQIUABQAAAAIAIdO4kB80Ctx/QEAAOsDAAAOAAAAAAAAAAEAIAAAACYBAABkcnMvZTJv&#10;RG9jLnhtbFBLBQYAAAAABgAGAFkBAACVBQ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46304" behindDoc="0" locked="0" layoutInCell="1" allowOverlap="1">
                <wp:simplePos x="0" y="0"/>
                <wp:positionH relativeFrom="column">
                  <wp:posOffset>805815</wp:posOffset>
                </wp:positionH>
                <wp:positionV relativeFrom="paragraph">
                  <wp:posOffset>50800</wp:posOffset>
                </wp:positionV>
                <wp:extent cx="795020" cy="284480"/>
                <wp:effectExtent l="4445" t="4445" r="19685" b="15875"/>
                <wp:wrapNone/>
                <wp:docPr id="214" name="矩形 214"/>
                <wp:cNvGraphicFramePr/>
                <a:graphic xmlns:a="http://schemas.openxmlformats.org/drawingml/2006/main">
                  <a:graphicData uri="http://schemas.microsoft.com/office/word/2010/wordprocessingShape">
                    <wps:wsp>
                      <wps:cNvSpPr/>
                      <wps:spPr>
                        <a:xfrm>
                          <a:off x="0" y="0"/>
                          <a:ext cx="795020"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5AD7BA1F">
                            <w:r>
                              <w:rPr>
                                <w:rFonts w:hint="eastAsia"/>
                              </w:rPr>
                              <w:t>基础开挖</w:t>
                            </w:r>
                          </w:p>
                        </w:txbxContent>
                      </wps:txbx>
                      <wps:bodyPr upright="1"/>
                    </wps:wsp>
                  </a:graphicData>
                </a:graphic>
              </wp:anchor>
            </w:drawing>
          </mc:Choice>
          <mc:Fallback>
            <w:pict>
              <v:rect id="_x0000_s1026" o:spid="_x0000_s1026" o:spt="1" style="position:absolute;left:0pt;margin-left:63.45pt;margin-top:4pt;height:22.4pt;width:62.6pt;z-index:251746304;mso-width-relative:page;mso-height-relative:page;" fillcolor="#FFC000" filled="t" stroked="t" coordsize="21600,21600" o:gfxdata="UEsDBAoAAAAAAIdO4kAAAAAAAAAAAAAAAAAEAAAAZHJzL1BLAwQUAAAACACHTuJAqGFJF9UAAAAI&#10;AQAADwAAAGRycy9kb3ducmV2LnhtbE2PzU7DMBCE70i8g7VI3KgTo5o0xKkQSsWJAy3i7MZLEhH/&#10;KHbb5O27nOA4mtHMN9V2tiM74xQH7xTkqwwYutabwXUKPg+7hwJYTNoZPXqHChaMsK1vbypdGn9x&#10;H3jep45RiYulVtCnFErOY9uj1XHlAzryvv1kdSI5ddxM+kLlduQiyyS3enC00OuArz22P/uTVTBv&#10;vsLSyLf2vXkxS2ikfXySVqn7uzx7BpZwTn9h+MUndKiJ6ehPzkQ2khZyQ1EFBV0iX6xFDuyoYC0K&#10;4HXF/x+or1BLAwQUAAAACACHTuJAzN7tDwgCAAAsBAAADgAAAGRycy9lMm9Eb2MueG1srVNLbtsw&#10;EN0X6B0I7mvJqt04guUgiOtuijZA2gPQFCUR4A8c2pJPU6C7HqLHKXqNDCnH+bQLL7KRhuTjm3lv&#10;hsurQSuyFx6kNRWdTnJKhOG2lqat6Pdvm3cLSiAwUzNljajoQQC9Wr19s+xdKQrbWVULT5DEQNm7&#10;inYhuDLLgHdCM5hYJwweNtZrFnDp26z2rEd2rbIizz9kvfW185YLANxdj4f0yOjPIbRNI7lYW77T&#10;woSR1QvFAkqCTjqgq1Rt0wgevjYNiEBURVFpSF9MgvE2frPVkpWtZ66T/FgCO6eEF5o0kwaTnqjW&#10;LDCy8/IfKi25t2CbMOFWZ6OQ5AiqmOYvvLnrmBNJC1oN7mQ6vB4t/7K/9UTWFS2mM0oM09jyvz9+&#10;/fn9k8Qd9Kd3UCLszt364wowjGKHxuv4RxlkSJ4eTp6KIRCOmxeX87xAtzkeFYvZbJE8zx4vOw/h&#10;k7CaxKCiHluWnGT7zxAwIUIfIDEXWCXrjVQqLXy7vVGe7Bm2d7O5yfMH9mcwZUhf0ct5Mcc6GM5s&#10;g7OCoXaoG0yb8j27AU+JL/L3+fV/iWNhawbdWEBiGCdKyyCiW6zsBKs/mpqEg0NnDT4pGovRoqZE&#10;CXyBMUrIwKQ6B4mGKIO+xL6MnYhRGLbDsT1bWx+wqTvnZduhpdPIn+A4RMnQ48DHKX26TqjHR76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hSRfVAAAACAEAAA8AAAAAAAAAAQAgAAAAIgAAAGRy&#10;cy9kb3ducmV2LnhtbFBLAQIUABQAAAAIAIdO4kDM3u0PCAIAACwEAAAOAAAAAAAAAAEAIAAAACQB&#10;AABkcnMvZTJvRG9jLnhtbFBLBQYAAAAABgAGAFkBAACeBQAAAAA=&#10;">
                <v:fill on="t" focussize="0,0"/>
                <v:stroke color="#7030A0" joinstyle="miter"/>
                <v:imagedata o:title=""/>
                <o:lock v:ext="edit" aspectratio="f"/>
                <v:textbox>
                  <w:txbxContent>
                    <w:p w14:paraId="5AD7BA1F">
                      <w:r>
                        <w:rPr>
                          <w:rFonts w:hint="eastAsia"/>
                        </w:rPr>
                        <w:t>基础开挖</w:t>
                      </w:r>
                    </w:p>
                  </w:txbxContent>
                </v:textbox>
              </v:rect>
            </w:pict>
          </mc:Fallback>
        </mc:AlternateContent>
      </w:r>
      <w:r>
        <w:rPr>
          <w:rFonts w:ascii="宋体" w:hAnsi="Courier New"/>
          <w:sz w:val="20"/>
        </w:rPr>
        <mc:AlternateContent>
          <mc:Choice Requires="wps">
            <w:drawing>
              <wp:anchor distT="0" distB="0" distL="114300" distR="114300" simplePos="0" relativeHeight="251747328" behindDoc="0" locked="0" layoutInCell="1" allowOverlap="1">
                <wp:simplePos x="0" y="0"/>
                <wp:positionH relativeFrom="column">
                  <wp:posOffset>1608455</wp:posOffset>
                </wp:positionH>
                <wp:positionV relativeFrom="paragraph">
                  <wp:posOffset>196850</wp:posOffset>
                </wp:positionV>
                <wp:extent cx="215900" cy="0"/>
                <wp:effectExtent l="0" t="38100" r="12700" b="38100"/>
                <wp:wrapNone/>
                <wp:docPr id="212" name="直接连接符 212"/>
                <wp:cNvGraphicFramePr/>
                <a:graphic xmlns:a="http://schemas.openxmlformats.org/drawingml/2006/main">
                  <a:graphicData uri="http://schemas.microsoft.com/office/word/2010/wordprocessingShape">
                    <wps:wsp>
                      <wps:cNvCnPr/>
                      <wps:spPr>
                        <a:xfrm>
                          <a:off x="0" y="0"/>
                          <a:ext cx="215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6.65pt;margin-top:15.5pt;height:0pt;width:17pt;z-index:251747328;mso-width-relative:page;mso-height-relative:page;" filled="f" stroked="t" coordsize="21600,21600" o:gfxdata="UEsDBAoAAAAAAIdO4kAAAAAAAAAAAAAAAAAEAAAAZHJzL1BLAwQUAAAACACHTuJAWi/vSdcAAAAJ&#10;AQAADwAAAGRycy9kb3ducmV2LnhtbE2Py07DMBBF90j8gzVI7KjzEBCFOF0glU0LqC1CsHPjIYmI&#10;x5HttOHvGcQClnPn6D6q5WwHcUQfekcK0kUCAqlxpqdWwct+dVWACFGT0YMjVPCFAZb1+VmlS+NO&#10;tMXjLraCTSiUWkEX41hKGZoOrQ4LNyLx78N5qyOfvpXG6xOb20FmSXIjre6JEzo94n2Hzedusgq2&#10;m9W6eF1Pc+PfH9Kn/fPm8S0USl1epMkdiIhz/IPhpz5Xh5o7HdxEJohBQXad54wqyFPexEBW3LJw&#10;+BVkXcn/C+pvUEsDBBQAAAAIAIdO4kCwTz0d/QEAAOsDAAAOAAAAZHJzL2Uyb0RvYy54bWytU82O&#10;0zAQviPxDpbvNG2kIjZquoctywVBJeABpo6TWPKfPG7TvgQvgMQNThy58zbsPgZjp9uyu0LaAzk4&#10;Y8/4m/k+zywu90aznQyonK35bDLlTFrhGmW7mn/6eP3iFWcYwTagnZU1P0jkl8vnzxaDr2Tpeqcb&#10;GRiBWKwGX/M+Rl8VBYpeGsCJ89KSs3XBQKRt6IomwEDoRhfldPqyGFxofHBCItLpanTyI2J4CqBr&#10;WyXkyomtkTaOqEFqiEQJe+WRL3O1bStFfN+2KCPTNSemMa+UhOxNWovlAqougO+VOJYATynhAScD&#10;ylLSE9QKIrBtUI+gjBLBoWvjRDhTjESyIsRiNn2gzYcevMxcSGr0J9Hx/8GKd7t1YKqpeTkrObNg&#10;6Mlvvvz8/fnb7a+vtN78+M6Si4QaPFYUf2XX4bhDvw6J9b4NJv2JD9tncQ8nceU+MkGH5Wx+MSXZ&#10;xZ2rON/zAeMb6QxLRs21sok2VLB7i5FyUehdSDrWlg01v5iXc4ID6sGW3p5M44kH2i7fRadVc620&#10;TjcwdJsrHdgOUh/kLzEi3HthKckKsB/jsmvskF5C89o2LB486WNpMHgqwciGMy1pjpJFgFBFUPoc&#10;GYMC2+l/RFN6bamKJOwoZbI2rjnQm2x9UF1PasxypclDPZBrPvZrarK/9xnpPKP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ov70nXAAAACQEAAA8AAAAAAAAAAQAgAAAAIgAAAGRycy9kb3ducmV2&#10;LnhtbFBLAQIUABQAAAAIAIdO4kCwTz0d/QEAAOsDAAAOAAAAAAAAAAEAIAAAACYBAABkcnMvZTJv&#10;RG9jLnhtbFBLBQYAAAAABgAGAFkBAACVBQ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48352" behindDoc="0" locked="0" layoutInCell="1" allowOverlap="1">
                <wp:simplePos x="0" y="0"/>
                <wp:positionH relativeFrom="column">
                  <wp:posOffset>1818640</wp:posOffset>
                </wp:positionH>
                <wp:positionV relativeFrom="paragraph">
                  <wp:posOffset>61595</wp:posOffset>
                </wp:positionV>
                <wp:extent cx="795020" cy="284480"/>
                <wp:effectExtent l="4445" t="4445" r="19685" b="15875"/>
                <wp:wrapNone/>
                <wp:docPr id="223" name="矩形 223"/>
                <wp:cNvGraphicFramePr/>
                <a:graphic xmlns:a="http://schemas.openxmlformats.org/drawingml/2006/main">
                  <a:graphicData uri="http://schemas.microsoft.com/office/word/2010/wordprocessingShape">
                    <wps:wsp>
                      <wps:cNvSpPr/>
                      <wps:spPr>
                        <a:xfrm>
                          <a:off x="0" y="0"/>
                          <a:ext cx="795020"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69277C2F">
                            <w:r>
                              <w:rPr>
                                <w:rFonts w:hint="eastAsia"/>
                              </w:rPr>
                              <w:t>基础施工</w:t>
                            </w:r>
                          </w:p>
                        </w:txbxContent>
                      </wps:txbx>
                      <wps:bodyPr upright="1"/>
                    </wps:wsp>
                  </a:graphicData>
                </a:graphic>
              </wp:anchor>
            </w:drawing>
          </mc:Choice>
          <mc:Fallback>
            <w:pict>
              <v:rect id="_x0000_s1026" o:spid="_x0000_s1026" o:spt="1" style="position:absolute;left:0pt;margin-left:143.2pt;margin-top:4.85pt;height:22.4pt;width:62.6pt;z-index:251748352;mso-width-relative:page;mso-height-relative:page;" fillcolor="#FFC000" filled="t" stroked="t" coordsize="21600,21600" o:gfxdata="UEsDBAoAAAAAAIdO4kAAAAAAAAAAAAAAAAAEAAAAZHJzL1BLAwQUAAAACACHTuJA8gzmo9cAAAAI&#10;AQAADwAAAGRycy9kb3ducmV2LnhtbE2PwU7DMBBE70j8g7VI3KiTkrptyKZCKIgTBwrq2Y23SUS8&#10;jmK3Tf4ec4LjaEYzb4rdZHtxodF3jhHSRQKCuHam4wbh6/P1YQPCB81G944JYSYPu/L2ptC5cVf+&#10;oMs+NCKWsM81QhvCkEvp65as9gs3EEfv5EarQ5RjI82or7Hc9nKZJEpa3XFcaPVALy3V3/uzRZi2&#10;h2Gu1Fv9Xj2beaiUfVwri3h/lyZPIAJN4S8Mv/gRHcrIdHRnNl70CMuNymIUYbsGEf0sTRWII8Iq&#10;W4EsC/n/QPkDUEsDBBQAAAAIAIdO4kDtUPfiCAIAACwEAAAOAAAAZHJzL2Uyb0RvYy54bWytU0tu&#10;2zAQ3RfoHQjua8lK3DiC5aCI626KNkDaA9AUJRHgDxzakk9ToLseoscpeo0OKcX5tAsvupGG5OOb&#10;eW+Gq5tBK3IQHqQ1FZ3PckqE4baWpq3o1y/bN0tKIDBTM2WNqOhRAL1Zv3616l0pCttZVQtPkMRA&#10;2buKdiG4MsuAd0IzmFknDB421msWcOnbrPasR3atsiLP32a99bXzlgsA3N2Mh3Ri9OcQ2qaRXGws&#10;32thwsjqhWIBJUEnHdB1qrZpBA+fmwZEIKqiqDSkLybBeBe/2XrFytYz10k+lcDOKeGFJs2kwaQn&#10;qg0LjOy9/ItKS+4t2CbMuNXZKCQ5girm+Qtv7jvmRNKCVoM7mQ7/j5Z/Otx5IuuKFsUFJYZpbPnv&#10;bz9+/fxO4g760zsoEXbv7vy0Agyj2KHxOv5RBhmSp8eTp2IIhOPm1fUiL9BtjkfF8vJymTzPHi87&#10;D+GDsJrEoKIeW5acZIePEDAhQh8gMRdYJeutVCotfLu7VZ4cGLZ3u73N8wf2ZzBlSF/R60WxwDoY&#10;zmyDs4KhdqgbTJvyPbsBT4mv8ov83T+JY2EbBt1YQGIYJ0rLIKJbrOwEq9+bmoSjQ2cNPikai9Gi&#10;pkQJfIExSsjApDoHiYYog77EvoydiFEYdsPUnp2tj9jUvfOy7dDSeeRPcByiZOg08HFKn64T6vGR&#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gzmo9cAAAAIAQAADwAAAAAAAAABACAAAAAiAAAA&#10;ZHJzL2Rvd25yZXYueG1sUEsBAhQAFAAAAAgAh07iQO1Q9+IIAgAALAQAAA4AAAAAAAAAAQAgAAAA&#10;JgEAAGRycy9lMm9Eb2MueG1sUEsFBgAAAAAGAAYAWQEAAKAFAAAAAA==&#10;">
                <v:fill on="t" focussize="0,0"/>
                <v:stroke color="#7030A0" joinstyle="miter"/>
                <v:imagedata o:title=""/>
                <o:lock v:ext="edit" aspectratio="f"/>
                <v:textbox>
                  <w:txbxContent>
                    <w:p w14:paraId="69277C2F">
                      <w:r>
                        <w:rPr>
                          <w:rFonts w:hint="eastAsia"/>
                        </w:rPr>
                        <w:t>基础施工</w:t>
                      </w:r>
                    </w:p>
                  </w:txbxContent>
                </v:textbox>
              </v:rect>
            </w:pict>
          </mc:Fallback>
        </mc:AlternateContent>
      </w:r>
      <w:r>
        <w:rPr>
          <w:rFonts w:ascii="宋体" w:hAnsi="Courier New"/>
          <w:sz w:val="20"/>
        </w:rPr>
        <mc:AlternateContent>
          <mc:Choice Requires="wps">
            <w:drawing>
              <wp:anchor distT="0" distB="0" distL="114300" distR="114300" simplePos="0" relativeHeight="251749376" behindDoc="0" locked="0" layoutInCell="1" allowOverlap="1">
                <wp:simplePos x="0" y="0"/>
                <wp:positionH relativeFrom="column">
                  <wp:posOffset>2617470</wp:posOffset>
                </wp:positionH>
                <wp:positionV relativeFrom="paragraph">
                  <wp:posOffset>209550</wp:posOffset>
                </wp:positionV>
                <wp:extent cx="215900" cy="0"/>
                <wp:effectExtent l="0" t="38100" r="12700" b="38100"/>
                <wp:wrapNone/>
                <wp:docPr id="222" name="直接连接符 222"/>
                <wp:cNvGraphicFramePr/>
                <a:graphic xmlns:a="http://schemas.openxmlformats.org/drawingml/2006/main">
                  <a:graphicData uri="http://schemas.microsoft.com/office/word/2010/wordprocessingShape">
                    <wps:wsp>
                      <wps:cNvCnPr/>
                      <wps:spPr>
                        <a:xfrm>
                          <a:off x="0" y="0"/>
                          <a:ext cx="215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1pt;margin-top:16.5pt;height:0pt;width:17pt;z-index:251749376;mso-width-relative:page;mso-height-relative:page;" filled="f" stroked="t" coordsize="21600,21600" o:gfxdata="UEsDBAoAAAAAAIdO4kAAAAAAAAAAAAAAAAAEAAAAZHJzL1BLAwQUAAAACACHTuJAij/3R9gAAAAJ&#10;AQAADwAAAGRycy9kb3ducmV2LnhtbE2PTUvDQBCG74L/YRnBm90kDSWk2fQg1Eur0lbE3rbZMQlm&#10;Z0N208Z/74iHepx3Ht6PYjXZTpxx8K0jBfEsAoFUOdNSreDtsH7IQPigyejOESr4Rg+r8vam0Llx&#10;F9rheR9qwSbkc62gCaHPpfRVg1b7meuR+PfpBqsDn0MtzaAvbG47mUTRQlrdEic0usfHBquv/WgV&#10;7LbrTfa+GadqOD7FL4fX7fOHz5S6v4ujJYiAU7jC8Fufq0PJnU5uJONFpyCNk4RRBfM5b2IgTRcs&#10;nP4EWRby/4LyB1BLAwQUAAAACACHTuJAs2XMXv0BAADrAwAADgAAAGRycy9lMm9Eb2MueG1srVPN&#10;jtMwEL4j8Q6W7zRtpCI2arqHLcsFQSXgAaaOk1jynzxu074EL4DEDU4cufM27D4GY6fbsrtC2gM5&#10;OGPP+Jv5Ps8sLvdGs50MqJyt+Wwy5Uxa4Rplu5p/+nj94hVnGME2oJ2VNT9I5JfL588Wg69k6Xqn&#10;GxkYgVisBl/zPkZfFQWKXhrAifPSkrN1wUCkbeiKJsBA6EYX5XT6shhcaHxwQiLS6Wp08iNieAqg&#10;a1sl5MqJrZE2jqhBaohECXvlkS9ztW0rRXzftigj0zUnpjGvlITsTVqL5QKqLoDvlTiWAE8p4QEn&#10;A8pS0hPUCiKwbVCPoIwSwaFr40Q4U4xEsiLEYjZ9oM2HHrzMXEhq9CfR8f/Bine7dWCqqXlZlpxZ&#10;MPTkN19+/v787fbXV1pvfnxnyUVCDR4rir+y63DcoV+HxHrfBpP+xIfts7iHk7hyH5mgw3I2v5iS&#10;7OLOVZzv+YDxjXSGJaPmWtlEGyrYvcVIuSj0LiQda8uGml/MyznBAfVgS29PpvHEA22X76LTqrlW&#10;WqcbGLrNlQ5sB6kP8pcYEe69sJRkBdiPcdk1dkgvoXltGxYPnvSxNBg8lWBkw5mWNEfJIkCoIih9&#10;joxBge30P6IpvbZURRJ2lDJZG9cc6E22PqiuJzVmudLkoR7INR/7NTXZ3/uMdJ7R5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P/dH2AAAAAkBAAAPAAAAAAAAAAEAIAAAACIAAABkcnMvZG93bnJl&#10;di54bWxQSwECFAAUAAAACACHTuJAs2XMXv0BAADrAwAADgAAAAAAAAABACAAAAAnAQAAZHJzL2Uy&#10;b0RvYy54bWxQSwUGAAAAAAYABgBZAQAAlgU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50400" behindDoc="0" locked="0" layoutInCell="1" allowOverlap="1">
                <wp:simplePos x="0" y="0"/>
                <wp:positionH relativeFrom="column">
                  <wp:posOffset>2828925</wp:posOffset>
                </wp:positionH>
                <wp:positionV relativeFrom="paragraph">
                  <wp:posOffset>60325</wp:posOffset>
                </wp:positionV>
                <wp:extent cx="795020" cy="284480"/>
                <wp:effectExtent l="4445" t="4445" r="19685" b="15875"/>
                <wp:wrapNone/>
                <wp:docPr id="216" name="矩形 216"/>
                <wp:cNvGraphicFramePr/>
                <a:graphic xmlns:a="http://schemas.openxmlformats.org/drawingml/2006/main">
                  <a:graphicData uri="http://schemas.microsoft.com/office/word/2010/wordprocessingShape">
                    <wps:wsp>
                      <wps:cNvSpPr/>
                      <wps:spPr>
                        <a:xfrm>
                          <a:off x="0" y="0"/>
                          <a:ext cx="795020"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2D952192">
                            <w:r>
                              <w:rPr>
                                <w:rFonts w:hint="eastAsia"/>
                              </w:rPr>
                              <w:t>结构施工</w:t>
                            </w:r>
                          </w:p>
                        </w:txbxContent>
                      </wps:txbx>
                      <wps:bodyPr upright="1"/>
                    </wps:wsp>
                  </a:graphicData>
                </a:graphic>
              </wp:anchor>
            </w:drawing>
          </mc:Choice>
          <mc:Fallback>
            <w:pict>
              <v:rect id="_x0000_s1026" o:spid="_x0000_s1026" o:spt="1" style="position:absolute;left:0pt;margin-left:222.75pt;margin-top:4.75pt;height:22.4pt;width:62.6pt;z-index:251750400;mso-width-relative:page;mso-height-relative:page;" fillcolor="#FFC000" filled="t" stroked="t" coordsize="21600,21600" o:gfxdata="UEsDBAoAAAAAAIdO4kAAAAAAAAAAAAAAAAAEAAAAZHJzL1BLAwQUAAAACACHTuJAZWYQENcAAAAI&#10;AQAADwAAAGRycy9kb3ducmV2LnhtbE2PzU7DMBCE70i8g7VI3KhTmh8a4lQIBXHiQEGc3XhJIuK1&#10;Fbtt8vYsJ3raXc1o9ptqN9tRnHAKgyMF61UCAql1ZqBOwefHy90DiBA1GT06QgULBtjV11eVLo07&#10;0zue9rETHEKh1Ar6GH0pZWh7tDqsnEdi7dtNVkc+p06aSZ853I7yPklyafVA/KHXHp97bH/2R6tg&#10;3n75pclf27fmySy+ye2myK1Stzfr5BFExDn+m+EPn9GhZqaDO5IJYlSQplnGVgVbHqxnRVKAOPCS&#10;bkDWlbwsUP8CUEsDBBQAAAAIAIdO4kDIc+fDCAIAACwEAAAOAAAAZHJzL2Uyb0RvYy54bWytU0tu&#10;2zAQ3RfoHQjua8lqnDiC5aCI626KNkDaA9AUJRHgDxzakk9ToLseoscpeo0OKcX5tAsvupGG5OOb&#10;eW+Gq5tBK3IQHqQ1FZ3PckqE4baWpq3o1y/bN0tKIDBTM2WNqOhRAL1Zv3616l0pCttZVQtPkMRA&#10;2buKdiG4MsuAd0IzmFknDB421msWcOnbrPasR3atsiLPL7Pe+tp5ywUA7m7GQzox+nMIbdNILjaW&#10;77UwYWT1QrGAkqCTDug6Vds0gofPTQMiEFVRVBrSF5NgvIvfbL1iZeuZ6ySfSmDnlPBCk2bSYNIT&#10;1YYFRvZe/kWlJfcWbBNm3OpsFJIcQRXz/IU39x1zImlBq8GdTIf/R8s/He48kXVFi/klJYZpbPnv&#10;bz9+/fxO4g760zsoEXbv7vy0Agyj2KHxOv5RBhmSp8eTp2IIhOPm1fUiL9BtjkfF8uJimTzPHi87&#10;D+GDsJrEoKIeW5acZIePEDAhQh8gMRdYJeutVCotfLu7VZ4cGLZ3u73N8wf2ZzBlSF/R60WxwDoY&#10;zmyDs4KhdqgbTJvyPbsBT4mv8rf5u38Sx8I2DLqxgMQwTpSWQUS3WNkJVr83NQlHh84afFI0FqNF&#10;TYkS+AJjlJCBSXUOEg1RBn2JfRk7EaMw7IapPTtbH7Gpe+dl26Gl88if4DhEydBp4OOUPl0n1OMj&#10;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WYQENcAAAAIAQAADwAAAAAAAAABACAAAAAiAAAA&#10;ZHJzL2Rvd25yZXYueG1sUEsBAhQAFAAAAAgAh07iQMhz58MIAgAALAQAAA4AAAAAAAAAAQAgAAAA&#10;JgEAAGRycy9lMm9Eb2MueG1sUEsFBgAAAAAGAAYAWQEAAKAFAAAAAA==&#10;">
                <v:fill on="t" focussize="0,0"/>
                <v:stroke color="#7030A0" joinstyle="miter"/>
                <v:imagedata o:title=""/>
                <o:lock v:ext="edit" aspectratio="f"/>
                <v:textbox>
                  <w:txbxContent>
                    <w:p w14:paraId="2D952192">
                      <w:r>
                        <w:rPr>
                          <w:rFonts w:hint="eastAsia"/>
                        </w:rPr>
                        <w:t>结构施工</w:t>
                      </w:r>
                    </w:p>
                  </w:txbxContent>
                </v:textbox>
              </v:rect>
            </w:pict>
          </mc:Fallback>
        </mc:AlternateContent>
      </w:r>
      <w:r>
        <w:rPr>
          <w:rFonts w:ascii="宋体" w:hAnsi="Courier New"/>
          <w:sz w:val="20"/>
        </w:rPr>
        <mc:AlternateContent>
          <mc:Choice Requires="wps">
            <w:drawing>
              <wp:anchor distT="0" distB="0" distL="114300" distR="114300" simplePos="0" relativeHeight="251751424" behindDoc="0" locked="0" layoutInCell="1" allowOverlap="1">
                <wp:simplePos x="0" y="0"/>
                <wp:positionH relativeFrom="column">
                  <wp:posOffset>3621405</wp:posOffset>
                </wp:positionH>
                <wp:positionV relativeFrom="paragraph">
                  <wp:posOffset>219075</wp:posOffset>
                </wp:positionV>
                <wp:extent cx="215900" cy="0"/>
                <wp:effectExtent l="0" t="38100" r="12700" b="38100"/>
                <wp:wrapNone/>
                <wp:docPr id="229" name="直接连接符 229"/>
                <wp:cNvGraphicFramePr/>
                <a:graphic xmlns:a="http://schemas.openxmlformats.org/drawingml/2006/main">
                  <a:graphicData uri="http://schemas.microsoft.com/office/word/2010/wordprocessingShape">
                    <wps:wsp>
                      <wps:cNvCnPr/>
                      <wps:spPr>
                        <a:xfrm>
                          <a:off x="0" y="0"/>
                          <a:ext cx="215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5.15pt;margin-top:17.25pt;height:0pt;width:17pt;z-index:251751424;mso-width-relative:page;mso-height-relative:page;" filled="f" stroked="t" coordsize="21600,21600" o:gfxdata="UEsDBAoAAAAAAIdO4kAAAAAAAAAAAAAAAAAEAAAAZHJzL1BLAwQUAAAACACHTuJAMY6rR9kAAAAJ&#10;AQAADwAAAGRycy9kb3ducmV2LnhtbE2PTU/DMAyG70j8h8hI3FhS9kFVmu6ANC4bTNsQglvWmLai&#10;caom3cq/x4gDHP360evH+XJ0rThhHxpPGpKJAoFUettQpeHlsLpJQYRoyJrWE2r4wgDL4vIiN5n1&#10;Z9rhaR8rwSUUMqOhjrHLpAxljc6Eie+QePfhe2cij30lbW/OXO5aeavUQjrTEF+oTYcPNZaf+8Fp&#10;2G1W6/R1PYxl//6YPB+2m6e3kGp9fZWoexARx/gHw48+q0PBTkc/kA2i1TC/U1NGNUxncxAMLNSM&#10;g+NvIItc/v+g+AZQSwMEFAAAAAgAh07iQJnGG839AQAA6wMAAA4AAABkcnMvZTJvRG9jLnhtbK1T&#10;zY7TMBC+I/EOlu80baQiGjXdw5blgqAS8ABTx0ks+U8et2lfghdA4gYnjtx5G3Yfg7HTbWER0h7I&#10;wRl7xt/M93lmeXUwmu1lQOVszWeTKWfSCtco29X8w/ubZy84wwi2Ae2srPlRIr9aPX2yHHwlS9c7&#10;3cjACMRiNfia9zH6qihQ9NIATpyXlpytCwYibUNXNAEGQje6KKfT58XgQuODExKRTtejk58Qw2MA&#10;XdsqIddO7Iy0cUQNUkMkStgrj3yVq21bKeLbtkUZma45MY15pSRkb9NarJZQdQF8r8SpBHhMCQ84&#10;GVCWkp6h1hCB7YL6C8ooERy6Nk6EM8VIJCtCLGbTB9q868HLzIWkRn8WHf8frHiz3wSmmpqX5YIz&#10;C4ae/PbT958fv9z9+Ezr7bevLLlIqMFjRfHXdhNOO/SbkFgf2mDSn/iwQxb3eBZXHiITdFjO5osp&#10;yS7uXcXlng8YX0lnWDJqrpVNtKGC/WuMlItC70PSsbZsqPliXs4JDqgHW3p7Mo0nHmi7fBedVs2N&#10;0jrdwNBtr3Vge0h9kL/EiHD/CEtJ1oD9GJddY4f0EpqXtmHx6EkfS4PBUwlGNpxpSXOULAKEKoLS&#10;l8gYFNhO/yOa0mtLVSRhRymTtXXNkd5k54PqelJjlitNHuqBXPOpX1OT/b7PSJcZXf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Y6rR9kAAAAJAQAADwAAAAAAAAABACAAAAAiAAAAZHJzL2Rvd25y&#10;ZXYueG1sUEsBAhQAFAAAAAgAh07iQJnGG839AQAA6wMAAA4AAAAAAAAAAQAgAAAAKAEAAGRycy9l&#10;Mm9Eb2MueG1sUEsFBgAAAAAGAAYAWQEAAJcFA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52448" behindDoc="0" locked="0" layoutInCell="1" allowOverlap="1">
                <wp:simplePos x="0" y="0"/>
                <wp:positionH relativeFrom="column">
                  <wp:posOffset>3848100</wp:posOffset>
                </wp:positionH>
                <wp:positionV relativeFrom="paragraph">
                  <wp:posOffset>60325</wp:posOffset>
                </wp:positionV>
                <wp:extent cx="795020" cy="284480"/>
                <wp:effectExtent l="4445" t="4445" r="19685" b="15875"/>
                <wp:wrapNone/>
                <wp:docPr id="230" name="矩形 230"/>
                <wp:cNvGraphicFramePr/>
                <a:graphic xmlns:a="http://schemas.openxmlformats.org/drawingml/2006/main">
                  <a:graphicData uri="http://schemas.microsoft.com/office/word/2010/wordprocessingShape">
                    <wps:wsp>
                      <wps:cNvSpPr/>
                      <wps:spPr>
                        <a:xfrm>
                          <a:off x="0" y="0"/>
                          <a:ext cx="795020"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1F810539">
                            <w:r>
                              <w:rPr>
                                <w:rFonts w:hint="eastAsia"/>
                              </w:rPr>
                              <w:t>设备安装</w:t>
                            </w:r>
                          </w:p>
                        </w:txbxContent>
                      </wps:txbx>
                      <wps:bodyPr upright="1"/>
                    </wps:wsp>
                  </a:graphicData>
                </a:graphic>
              </wp:anchor>
            </w:drawing>
          </mc:Choice>
          <mc:Fallback>
            <w:pict>
              <v:rect id="_x0000_s1026" o:spid="_x0000_s1026" o:spt="1" style="position:absolute;left:0pt;margin-left:303pt;margin-top:4.75pt;height:22.4pt;width:62.6pt;z-index:251752448;mso-width-relative:page;mso-height-relative:page;" fillcolor="#FFC000" filled="t" stroked="t" coordsize="21600,21600" o:gfxdata="UEsDBAoAAAAAAIdO4kAAAAAAAAAAAAAAAAAEAAAAZHJzL1BLAwQUAAAACACHTuJAmLDK09cAAAAI&#10;AQAADwAAAGRycy9kb3ducmV2LnhtbE2PMU/DMBSEdyT+g/WQ2KidhrptiFMhFMTEQEHMbvyaRMTP&#10;Vuy2yb/HTHQ83enuu3I32YGdcQy9IwXZQgBDapzpqVXw9fn6sAEWoiajB0eoYMYAu+r2ptSFcRf6&#10;wPM+tiyVUCi0gi5GX3Aemg6tDgvnkZJ3dKPVMcmx5WbUl1RuB74UQnKre0oLnfb40mHzsz9ZBdP2&#10;28+1fGve62cz+1rafC2tUvd3mXgCFnGK/2H4w0/oUCWmgzuRCWxQIIVMX6KC7QpY8td5tgR2ULB6&#10;zIFXJb8+UP0CUEsDBBQAAAAIAIdO4kAxTChLBwIAACwEAAAOAAAAZHJzL2Uyb0RvYy54bWytU0tu&#10;2zAQ3RfoHQjua8lK3DiC5aCI626KNkDaA9AUJRHgDxzakk9ToLseoscpeo0OKcX5tAsvupGG5OOb&#10;eW+Gq5tBK3IQHqQ1FZ3PckqE4baWpq3o1y/bN0tKIDBTM2WNqOhRAL1Zv3616l0pCttZVQtPkMRA&#10;2buKdiG4MsuAd0IzmFknDB421msWcOnbrPasR3atsiLP32a99bXzlgsA3N2Mh3Ri9OcQ2qaRXGws&#10;32thwsjqhWIBJUEnHdB1qrZpBA+fmwZEIKqiqDSkLybBeBe/2XrFytYz10k+lcDOKeGFJs2kwaQn&#10;qg0LjOy9/ItKS+4t2CbMuNXZKCQ5girm+Qtv7jvmRNKCVoM7mQ7/j5Z/Otx5IuuKFhfoiWEaW/77&#10;249fP7+TuIP+9A5KhN27Oz+tAMModmi8jn+UQYbk6fHkqRgC4bh5db3IC2TmeFQsLy+XiTN7vOw8&#10;hA/CahKDinpsWXKSHT5CwIQIfYDEXGCVrLdSqbTw7e5WeXJg2N7t9jbPH9ifwZQhfUWvF8UC62A4&#10;sw3OCobaoW4wbcr37AY8Jb7KL/J3/ySOhW0YdGMBiWGcKC2DiG6xshOsfm9qEo4OnTX4pGgsRoua&#10;EiXwBcYoIQOT6hwkGqIM+hL7MnYiRmHYDVN7drY+YlP3zsu2Q0vnkT/BcYiSodPAxyl9uk6ox0e+&#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YsMrT1wAAAAgBAAAPAAAAAAAAAAEAIAAAACIAAABk&#10;cnMvZG93bnJldi54bWxQSwECFAAUAAAACACHTuJAMUwoSwcCAAAsBAAADgAAAAAAAAABACAAAAAm&#10;AQAAZHJzL2Uyb0RvYy54bWxQSwUGAAAAAAYABgBZAQAAnwUAAAAA&#10;">
                <v:fill on="t" focussize="0,0"/>
                <v:stroke color="#7030A0" joinstyle="miter"/>
                <v:imagedata o:title=""/>
                <o:lock v:ext="edit" aspectratio="f"/>
                <v:textbox>
                  <w:txbxContent>
                    <w:p w14:paraId="1F810539">
                      <w:r>
                        <w:rPr>
                          <w:rFonts w:hint="eastAsia"/>
                        </w:rPr>
                        <w:t>设备安装</w:t>
                      </w:r>
                    </w:p>
                  </w:txbxContent>
                </v:textbox>
              </v:rect>
            </w:pict>
          </mc:Fallback>
        </mc:AlternateContent>
      </w:r>
      <w:r>
        <w:rPr>
          <w:rFonts w:ascii="宋体" w:hAnsi="Courier New"/>
          <w:sz w:val="20"/>
        </w:rPr>
        <mc:AlternateContent>
          <mc:Choice Requires="wps">
            <w:drawing>
              <wp:anchor distT="0" distB="0" distL="114300" distR="114300" simplePos="0" relativeHeight="251753472" behindDoc="0" locked="0" layoutInCell="1" allowOverlap="1">
                <wp:simplePos x="0" y="0"/>
                <wp:positionH relativeFrom="column">
                  <wp:posOffset>4650105</wp:posOffset>
                </wp:positionH>
                <wp:positionV relativeFrom="paragraph">
                  <wp:posOffset>228600</wp:posOffset>
                </wp:positionV>
                <wp:extent cx="215900" cy="0"/>
                <wp:effectExtent l="0" t="38100" r="12700" b="38100"/>
                <wp:wrapNone/>
                <wp:docPr id="217" name="直接连接符 217"/>
                <wp:cNvGraphicFramePr/>
                <a:graphic xmlns:a="http://schemas.openxmlformats.org/drawingml/2006/main">
                  <a:graphicData uri="http://schemas.microsoft.com/office/word/2010/wordprocessingShape">
                    <wps:wsp>
                      <wps:cNvCnPr/>
                      <wps:spPr>
                        <a:xfrm>
                          <a:off x="0" y="0"/>
                          <a:ext cx="215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6.15pt;margin-top:18pt;height:0pt;width:17pt;z-index:251753472;mso-width-relative:page;mso-height-relative:page;" filled="f" stroked="t" coordsize="21600,21600" o:gfxdata="UEsDBAoAAAAAAIdO4kAAAAAAAAAAAAAAAAAEAAAAZHJzL1BLAwQUAAAACACHTuJAzzDMANgAAAAJ&#10;AQAADwAAAGRycy9kb3ducmV2LnhtbE2PTUvDQBCG74L/YRnBm92kgTSk2fQg1Eur0lbE3rbZMQlm&#10;Z0N208Z/74iHepx3Ht6PYjXZTpxx8K0jBfEsAoFUOdNSreDtsH7IQPigyejOESr4Rg+r8vam0Llx&#10;F9rheR9qwSbkc62gCaHPpfRVg1b7meuR+PfpBqsDn0MtzaAvbG47OY+iVFrdEic0usfHBquv/WgV&#10;7LbrTfa+GadqOD7FL4fX7fOHz5S6v4ujJYiAU7jC8Fufq0PJnU5uJONFp2CRzBNGFSQpb2JgkaYs&#10;nP4EWRby/4LyB1BLAwQUAAAACACHTuJASfIJb/0BAADrAwAADgAAAGRycy9lMm9Eb2MueG1srVNL&#10;jhMxEN0jcQfLe9JJpADTSmcWE4YNgpGAA1Rsd7cl/+Ry0skluAASO1ixZM9tGI5B2Z1JYBDSLOiF&#10;u+wqv6r3XLW83FvDdiqi9q7hs8mUM+WEl9p1DX//7vrJc84wgZNgvFMNPyjkl6vHj5ZDqNXc995I&#10;FRmBOKyH0PA+pVBXFYpeWcCJD8qRs/XRQqJt7CoZYSB0a6r5dPq0GnyUIXqhEOl0PTr5ETE+BNC3&#10;rRZq7cXWKpdG1KgMJKKEvQ7IV6XatlUivWlbVImZhhPTVFZKQvYmr9VqCXUXIfRaHEuAh5Rwj5MF&#10;7SjpCWoNCdg26r+grBbRo2/TRHhbjUSKIsRiNr2nzdsegipcSGoMJ9Hx/8GK17ubyLRs+Hz2jDMH&#10;lp789uO3Hx8+//z+idbbr19YdpFQQ8Ca4q/cTTzuMNzEzHrfRpv/xIfti7iHk7hqn5igw/lscTEl&#10;2cWdqzrfCxHTS+Uty0bDjXaZNtSwe4WJclHoXUg+No4NDb9YzBcEB9SDLb09mTYQD3RduYveaHmt&#10;jck3MHabKxPZDnIflC8zItw/wnKSNWA/xhXX2CG9AvnCSZYOgfRxNBg8l2CV5MwomqNsESDUCbQ5&#10;R6aowXXmH9GU3jiqIgs7SpmtjZcHepNtiLrrSY1ZqTR7qAdKzcd+zU32+74gnWd0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PMMwA2AAAAAkBAAAPAAAAAAAAAAEAIAAAACIAAABkcnMvZG93bnJl&#10;di54bWxQSwECFAAUAAAACACHTuJASfIJb/0BAADrAwAADgAAAAAAAAABACAAAAAnAQAAZHJzL2Uy&#10;b0RvYy54bWxQSwUGAAAAAAYABgBZAQAAlgU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54496" behindDoc="0" locked="0" layoutInCell="1" allowOverlap="1">
                <wp:simplePos x="0" y="0"/>
                <wp:positionH relativeFrom="column">
                  <wp:posOffset>4867275</wp:posOffset>
                </wp:positionH>
                <wp:positionV relativeFrom="paragraph">
                  <wp:posOffset>50800</wp:posOffset>
                </wp:positionV>
                <wp:extent cx="759460" cy="284480"/>
                <wp:effectExtent l="4445" t="4445" r="17145" b="15875"/>
                <wp:wrapNone/>
                <wp:docPr id="221" name="矩形 221"/>
                <wp:cNvGraphicFramePr/>
                <a:graphic xmlns:a="http://schemas.openxmlformats.org/drawingml/2006/main">
                  <a:graphicData uri="http://schemas.microsoft.com/office/word/2010/wordprocessingShape">
                    <wps:wsp>
                      <wps:cNvSpPr/>
                      <wps:spPr>
                        <a:xfrm>
                          <a:off x="0" y="0"/>
                          <a:ext cx="759460"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3040FA61">
                            <w:r>
                              <w:rPr>
                                <w:rFonts w:hint="eastAsia"/>
                              </w:rPr>
                              <w:t>投入运行</w:t>
                            </w:r>
                          </w:p>
                        </w:txbxContent>
                      </wps:txbx>
                      <wps:bodyPr upright="1"/>
                    </wps:wsp>
                  </a:graphicData>
                </a:graphic>
              </wp:anchor>
            </w:drawing>
          </mc:Choice>
          <mc:Fallback>
            <w:pict>
              <v:rect id="_x0000_s1026" o:spid="_x0000_s1026" o:spt="1" style="position:absolute;left:0pt;margin-left:383.25pt;margin-top:4pt;height:22.4pt;width:59.8pt;z-index:251754496;mso-width-relative:page;mso-height-relative:page;" fillcolor="#FFC000" filled="t" stroked="t" coordsize="21600,21600" o:gfxdata="UEsDBAoAAAAAAIdO4kAAAAAAAAAAAAAAAAAEAAAAZHJzL1BLAwQUAAAACACHTuJA9KehYdYAAAAI&#10;AQAADwAAAGRycy9kb3ducmV2LnhtbE2PwU7DMBBE70j8g7VI3KiToromZFMhFMSJAy3i7MYmiYjX&#10;Uey2yd+znOA4mtHMm3I3+0Gc3RT7QAj5KgPhqAm2pxbh4/Byp0HEZMiaIZBDWFyEXXV9VZrChgu9&#10;u/M+tYJLKBYGoUtpLKSMTee8iaswOmLvK0zeJJZTK+1kLlzuB7nOMiW96YkXOjO658413/uTR5gf&#10;PselVq/NW/1kl7FW/n6rPOLtTZ49gkhuTn9h+MVndKiY6RhOZKMYELZKbTiKoPkS+1qrHMQRYbPW&#10;IKtS/j9Q/QBQSwMEFAAAAAgAh07iQGrKWcQIAgAALAQAAA4AAABkcnMvZTJvRG9jLnhtbK1TS27b&#10;MBDdF+gdCO5ryaqdOILloIjrboo2QNoD0BQlEeAPHNqST1Ogux6ixyl6jQ4px/k0Cy+ykYbk8M28&#10;94bL60ErshcepDUVnU5ySoThtpamrej3b5t3C0ogMFMzZY2o6EEAvV69fbPsXSkK21lVC08QxEDZ&#10;u4p2Ibgyy4B3QjOYWCcMHjbWaxZw6dus9qxHdK2yIs8vst762nnLBQDursdDekT05wDappFcrC3f&#10;aWHCiOqFYgEpQScd0FXqtmkED1+bBkQgqqLINKQvFsF4G7/ZasnK1jPXSX5sgZ3TwjNOmkmDRU9Q&#10;axYY2Xn5H5SW3FuwTZhwq7ORSFIEWUzzZ9rcdcyJxAWlBncSHV4Pln/Z33oi64oWxZQSwzRa/vfH&#10;rz+/f5K4g/r0DkpMu3O3/rgCDCPZofE6/pEGGZKmh5OmYgiE4+bl/Gp2gWpzPCoWs9kiaZ49XHYe&#10;widhNYlBRT1alpRk+88QsCCm3qfEWmCVrDdSqbTw7fZGebJnaO9mc5Pn9+hP0pQhfUWv5sUc+2A4&#10;sw3OCobaIW8wbar35AY8Br7M3+cfXgSOja0ZdGMDCWGcKC2DiGqxshOs/mhqEg4OlTX4pGhsRoua&#10;EiXwBcYoZQYm1TmZKIgyqEv0ZXQiRmHYDkd7trY+oKk752XboaTJxZSOQ5QEPQ58nNLH6wT68MhX&#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p6Fh1gAAAAgBAAAPAAAAAAAAAAEAIAAAACIAAABk&#10;cnMvZG93bnJldi54bWxQSwECFAAUAAAACACHTuJAaspZxAgCAAAsBAAADgAAAAAAAAABACAAAAAl&#10;AQAAZHJzL2Uyb0RvYy54bWxQSwUGAAAAAAYABgBZAQAAnwUAAAAA&#10;">
                <v:fill on="t" focussize="0,0"/>
                <v:stroke color="#7030A0" joinstyle="miter"/>
                <v:imagedata o:title=""/>
                <o:lock v:ext="edit" aspectratio="f"/>
                <v:textbox>
                  <w:txbxContent>
                    <w:p w14:paraId="3040FA61">
                      <w:r>
                        <w:rPr>
                          <w:rFonts w:hint="eastAsia"/>
                        </w:rPr>
                        <w:t>投入运行</w:t>
                      </w:r>
                    </w:p>
                  </w:txbxContent>
                </v:textbox>
              </v:rect>
            </w:pict>
          </mc:Fallback>
        </mc:AlternateContent>
      </w:r>
      <w:r>
        <w:rPr>
          <w:rFonts w:ascii="宋体" w:hAnsi="Courier New"/>
          <w:sz w:val="20"/>
        </w:rPr>
        <mc:AlternateContent>
          <mc:Choice Requires="wps">
            <w:drawing>
              <wp:anchor distT="0" distB="0" distL="114300" distR="114300" simplePos="0" relativeHeight="251755520" behindDoc="0" locked="0" layoutInCell="1" allowOverlap="1">
                <wp:simplePos x="0" y="0"/>
                <wp:positionH relativeFrom="column">
                  <wp:posOffset>150495</wp:posOffset>
                </wp:positionH>
                <wp:positionV relativeFrom="paragraph">
                  <wp:posOffset>342900</wp:posOffset>
                </wp:positionV>
                <wp:extent cx="0" cy="212090"/>
                <wp:effectExtent l="38100" t="0" r="38100" b="16510"/>
                <wp:wrapNone/>
                <wp:docPr id="225" name="直接连接符 225"/>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85pt;margin-top:27pt;height:16.7pt;width:0pt;z-index:251755520;mso-width-relative:page;mso-height-relative:page;" filled="f" stroked="t" coordsize="21600,21600" o:gfxdata="UEsDBAoAAAAAAIdO4kAAAAAAAAAAAAAAAAAEAAAAZHJzL1BLAwQUAAAACACHTuJA0lINIdcAAAAH&#10;AQAADwAAAGRycy9kb3ducmV2LnhtbE2PwU7DMBBE70j8g7VI3KiTUmgUsukBqVxaQG0Ram9ubJKI&#10;eB3ZThv+noULHEczmnlTLEbbiZPxoXWEkE4SEIYqp1uqEd52y5sMRIiKtOocGYQvE2BRXl4UKtfu&#10;TBtz2sZacAmFXCE0Mfa5lKFqjFVh4npD7H04b1Vk6WupvTpzue3kNEnupVUt8UKjevPYmOpzO1iE&#10;zXq5yt5Xw1j5w1P6sntdP+9Dhnh9lSYPIKIZ418YfvAZHUpmOrqBdBAdwvR2zkmEuxlfYv9XHxGy&#10;+QxkWcj//OU3UEsDBBQAAAAIAIdO4kBNkyaK/AEAAOsDAAAOAAAAZHJzL2Uyb0RvYy54bWytU82O&#10;0zAQviPxDpbvNG2kRWzUdA9blguClYAHmNpOYsl/8rhN+xK8ABI3OHHkztuwPAZjp7SwCGkP5OCM&#10;Z8bfzPd5vLzaW8N2KqL2ruWL2Zwz5YSX2vUtf/f25skzzjCBk2C8Uy0/KORXq8ePlmNoVO0Hb6SK&#10;jEAcNmNo+ZBSaKoKxaAs4MwH5SjY+Wgh0Tb2lYwwEro1VT2fP61GH2WIXihE8q6nID8ixocA+q7T&#10;Qq292Frl0oQalYFElHDQAfmqdNt1SqTXXYcqMdNyYprKSkXI3uS1Wi2h6SOEQYtjC/CQFu5xsqAd&#10;FT1BrSEB20b9F5TVInr0XZoJb6uJSFGEWCzm97R5M0BQhQtJjeEkOv4/WPFqdxuZli2v6wvOHFi6&#10;8rsPX7+///Tj20da7758ZjlEQo0BG8q/drfxuMNwGzPrfRdt/hMfti/iHk7iqn1iYnIK8taLen5Z&#10;dK/O50LE9EJ5y7LRcqNdpg0N7F5iolqU+islu41jY8svL3LHAmgGO7p7Mm0gHuj6cha90fJGG5NP&#10;YOw31yayHeQ5KF9mRLh/pOUia8BhyiuhaUIGBfK5kywdAunj6GHw3IJVkjOj6B1liwChSaDNOTNF&#10;Da43/8im8sZRF1nYScpsbbw80J1sQ9T9QGosSqc5QjNQej7Oax6y3/cF6fxGV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lINIdcAAAAHAQAADwAAAAAAAAABACAAAAAiAAAAZHJzL2Rvd25yZXYu&#10;eG1sUEsBAhQAFAAAAAgAh07iQE2TJor8AQAA6wMAAA4AAAAAAAAAAQAgAAAAJgEAAGRycy9lMm9E&#10;b2MueG1sUEsFBgAAAAAGAAYAWQEAAJQFA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56544" behindDoc="0" locked="0" layoutInCell="1" allowOverlap="1">
                <wp:simplePos x="0" y="0"/>
                <wp:positionH relativeFrom="column">
                  <wp:posOffset>1183005</wp:posOffset>
                </wp:positionH>
                <wp:positionV relativeFrom="paragraph">
                  <wp:posOffset>333375</wp:posOffset>
                </wp:positionV>
                <wp:extent cx="0" cy="212090"/>
                <wp:effectExtent l="38100" t="0" r="38100" b="16510"/>
                <wp:wrapNone/>
                <wp:docPr id="226" name="直接连接符 226"/>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3.15pt;margin-top:26.25pt;height:16.7pt;width:0pt;z-index:251756544;mso-width-relative:page;mso-height-relative:page;" filled="f" stroked="t" coordsize="21600,21600" o:gfxdata="UEsDBAoAAAAAAIdO4kAAAAAAAAAAAAAAAAAEAAAAZHJzL1BLAwQUAAAACACHTuJAdgTORtgAAAAJ&#10;AQAADwAAAGRycy9kb3ducmV2LnhtbE2PwU7DMAyG70i8Q2Sk3VjaoU6hNN1h0rhsA21DCG5ZY9pq&#10;jVMl6VbenowLHH/70+/PxWI0HTuj860lCek0AYZUWd1SLeHtsLoXwHxQpFVnCSV8o4dFeXtTqFzb&#10;C+3wvA81iyXkcyWhCaHPOfdVg0b5qe2R4u7LOqNCjK7m2qlLLDcdnyXJnBvVUrzQqB6XDVan/WAk&#10;7DartXhfD2PlPp/Tl8PrZvvhhZSTuzR5AhZwDH8wXPWjOpTR6WgH0p51MYv5Q0QlZLMM2BX4HRwl&#10;iOwReFnw/x+UP1BLAwQUAAAACACHTuJAJfrlEv0BAADrAwAADgAAAGRycy9lMm9Eb2MueG1srVPN&#10;jtMwEL4j8Q6W7zRppF2xUdM9bFkuCCoBDzB1nMSS/+Rxm/YleAEkbnDiyJ23YfcxGDulhUVIeyAH&#10;Zzwz/ma+z+PF9d5otpMBlbMNn89KzqQVrlW2b/j7d7fPnnOGEWwL2lnZ8INEfr18+mQx+lpWbnC6&#10;lYERiMV69A0fYvR1UaAYpAGcOS8tBTsXDETahr5oA4yEbnRRleVlMbrQ+uCERCTvagryI2J4DKDr&#10;OiXkyomtkTZOqEFqiEQJB+WRL3O3XSdFfNN1KCPTDSemMa9UhOxNWovlAuo+gB+UOLYAj2nhAScD&#10;ylLRE9QKIrBtUH9BGSWCQ9fFmXCmmIhkRYjFvHygzdsBvMxcSGr0J9Hx/8GK17t1YKpteFVdcmbB&#10;0JXfffz248Pn+++faL37+oWlEAk1eqwp/8auw3GHfh0S630XTPoTH7bP4h5O4sp9ZGJyCvJW86q8&#10;yroX53M+YHwpnWHJaLhWNtGGGnavMFItSv2VktzasrHhVxfVBWcCaAY7unsyjSceaPt8Fp1W7a3S&#10;Op3A0G9udGA7SHOQv8SIcP9IS0VWgMOUl0PThAwS2he2ZfHgSR9LD4OnFoxsOdOS3lGyCBDqCEqf&#10;M2NQYHv9j2wqry11kYSdpEzWxrUHupOtD6ofSI157jRFaAZyz8d5TUP2+z4jnd/o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2BM5G2AAAAAkBAAAPAAAAAAAAAAEAIAAAACIAAABkcnMvZG93bnJl&#10;di54bWxQSwECFAAUAAAACACHTuJAJfrlEv0BAADrAwAADgAAAAAAAAABACAAAAAnAQAAZHJzL2Uy&#10;b0RvYy54bWxQSwUGAAAAAAYABgBZAQAAlgU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58592" behindDoc="0" locked="0" layoutInCell="1" allowOverlap="1">
                <wp:simplePos x="0" y="0"/>
                <wp:positionH relativeFrom="column">
                  <wp:posOffset>2215515</wp:posOffset>
                </wp:positionH>
                <wp:positionV relativeFrom="paragraph">
                  <wp:posOffset>352425</wp:posOffset>
                </wp:positionV>
                <wp:extent cx="0" cy="212090"/>
                <wp:effectExtent l="38100" t="0" r="38100" b="16510"/>
                <wp:wrapNone/>
                <wp:docPr id="218" name="直接连接符 218"/>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4.45pt;margin-top:27.75pt;height:16.7pt;width:0pt;z-index:251758592;mso-width-relative:page;mso-height-relative:page;" filled="f" stroked="t" coordsize="21600,21600" o:gfxdata="UEsDBAoAAAAAAIdO4kAAAAAAAAAAAAAAAAAEAAAAZHJzL1BLAwQUAAAACACHTuJADLtMUdgAAAAJ&#10;AQAADwAAAGRycy9kb3ducmV2LnhtbE2PwU7DMAyG70i8Q2QkbiwtUNSVujsgjcsGaBtC45Y1pq1o&#10;kipJt/L2GHGAo/1/+v25XEymF0fyoXMWIZ0lIMjWTne2QXjdLa9yECEqq1XvLCF8UYBFdX5WqkK7&#10;k93QcRsbwSU2FAqhjXEopAx1S0aFmRvIcvbhvFGRR99I7dWJy00vr5PkThrVWb7QqoEeWqo/t6NB&#10;2KyXq/xtNU61f39Mn3cv66d9yBEvL9LkHkSkKf7B8KPP6lCx08GNVgfRI9zc5nNGEbIsA8HA7+KA&#10;kHMgq1L+/6D6BlBLAwQUAAAACACHTuJA9c73sP0BAADrAwAADgAAAGRycy9lMm9Eb2MueG1srVPN&#10;jtMwEL4j8Q6W7zRtpEVs1HQPW5YLgpWAB5jaTmLJf/K4TfsSvAASNzhx5M7bsDwGY6e0sAhpD+Tg&#10;jGfG38z3eby82lvDdiqi9q7li9mcM+WEl9r1LX/39ubJM84wgZNgvFMtPyjkV6vHj5ZjaFTtB2+k&#10;ioxAHDZjaPmQUmiqCsWgLODMB+Uo2PloIdE29pWMMBK6NVU9nz+tRh9liF4oRPKupyA/IsaHAPqu&#10;00Ktvdha5dKEGpWBRJRw0AH5qnTbdUqk112HKjHTcmKaykpFyN7ktVotoekjhEGLYwvwkBbucbKg&#10;HRU9Qa0hAdtG/ReU1SJ69F2aCW+riUhRhFgs5ve0eTNAUIULSY3hJDr+P1jxancbmZYtrxd08Q4s&#10;Xfndh6/f33/68e0jrXdfPrMcIqHGgA3lX7vbeNxhuI2Z9b6LNv+JD9sXcQ8ncdU+MTE5BXnrRT2/&#10;LLpX53MhYnqhvGXZaLnRLtOGBnYvMVEtSv2Vkt3GsbHllxf1BWcCaAY7unsybSAe6PpyFr3R8kYb&#10;k09g7DfXJrId5DkoX2ZEuH+k5SJrwGHKK6FpQgYF8rmTLB0C6ePoYfDcglWSM6PoHWWLAKFJoM05&#10;M0UNrjf/yKbyxlEXWdhJymxtvDzQnWxD1P1AaixKpzlCM1B6Ps5rHrLf9wXp/EZ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Mu0xR2AAAAAkBAAAPAAAAAAAAAAEAIAAAACIAAABkcnMvZG93bnJl&#10;di54bWxQSwECFAAUAAAACACHTuJA9c73sP0BAADrAwAADgAAAAAAAAABACAAAAAnAQAAZHJzL2Uy&#10;b0RvYy54bWxQSwUGAAAAAAYABgBZAQAAlgU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59616" behindDoc="0" locked="0" layoutInCell="1" allowOverlap="1">
                <wp:simplePos x="0" y="0"/>
                <wp:positionH relativeFrom="column">
                  <wp:posOffset>3244215</wp:posOffset>
                </wp:positionH>
                <wp:positionV relativeFrom="paragraph">
                  <wp:posOffset>352425</wp:posOffset>
                </wp:positionV>
                <wp:extent cx="0" cy="212090"/>
                <wp:effectExtent l="38100" t="0" r="38100" b="16510"/>
                <wp:wrapNone/>
                <wp:docPr id="215" name="直接连接符 215"/>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5.45pt;margin-top:27.75pt;height:16.7pt;width:0pt;z-index:251759616;mso-width-relative:page;mso-height-relative:page;" filled="f" stroked="t" coordsize="21600,21600" o:gfxdata="UEsDBAoAAAAAAIdO4kAAAAAAAAAAAAAAAAAEAAAAZHJzL1BLAwQUAAAACACHTuJABz3XCtgAAAAJ&#10;AQAADwAAAGRycy9kb3ducmV2LnhtbE2PPU/DMBCGdyT+g3VIbNQOUpCbxumAVJYWUFuE6ObGJomI&#10;z5HttOHfc4ihbPfx6L3nyuXkenayIXYeFWQzAcxi7U2HjYK3/epOAotJo9G9R6vg20ZYVtdXpS6M&#10;P+PWnnapYRSCsdAK2pSGgvNYt9bpOPODRdp9+uB0ojY03AR9pnDX83shHrjTHdKFVg/2sbX11250&#10;Crab1Vq+r8epDoen7GX/unn+iFKp25tMLIAlO6ULDL/6pA4VOR39iCayXkGeiTmhVOQ5MAL+BkcF&#10;Us6BVyX//0H1A1BLAwQUAAAACACHTuJATrnXyfwBAADrAwAADgAAAGRycy9lMm9Eb2MueG1srVPN&#10;jtMwEL4j8Q6W7zRtpEVs1HQPW5YLgpWAB5jaTmLJf/K4TfsSvAASNzhx5M7bsDwGY6e0sAhpD+Tg&#10;jGfG38z3eby82lvDdiqi9q7li9mcM+WEl9r1LX/39ubJM84wgZNgvFMtPyjkV6vHj5ZjaFTtB2+k&#10;ioxAHDZjaPmQUmiqCsWgLODMB+Uo2PloIdE29pWMMBK6NVU9nz+tRh9liF4oRPKupyA/IsaHAPqu&#10;00Ktvdha5dKEGpWBRJRw0AH5qnTbdUqk112HKjHTcmKaykpFyN7ktVotoekjhEGLYwvwkBbucbKg&#10;HRU9Qa0hAdtG/ReU1SJ69F2aCW+riUhRhFgs5ve0eTNAUIULSY3hJDr+P1jxancbmZYtrxcXnDmw&#10;dOV3H75+f//px7ePtN59+cxyiIQaAzaUf+1u43GH4TZm1vsu2vwnPmxfxD2cxFX7xMTkFOStF/X8&#10;suhenc+FiOmF8pZlo+VGu0wbGti9xES1KPVXSnYbx8aWX17U1LEAmsGO7p5MG4gHur6cRW+0vNHG&#10;5BMY+821iWwHeQ7KlxkR7h9pucgacJjySmiakEGBfO4kS4dA+jh6GDy3YJXkzCh6R9kiQGgSaHPO&#10;TFGD680/sqm8cdRFFnaSMlsbLw90J9sQdT+QGovSaY7QDJSej/Oah+z3fUE6v9HV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c91wrYAAAACQEAAA8AAAAAAAAAAQAgAAAAIgAAAGRycy9kb3ducmV2&#10;LnhtbFBLAQIUABQAAAAIAIdO4kBOudfJ/AEAAOsDAAAOAAAAAAAAAAEAIAAAACcBAABkcnMvZTJv&#10;RG9jLnhtbFBLBQYAAAAABgAGAFkBAACVBQ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60640" behindDoc="0" locked="0" layoutInCell="1" allowOverlap="1">
                <wp:simplePos x="0" y="0"/>
                <wp:positionH relativeFrom="column">
                  <wp:posOffset>2739390</wp:posOffset>
                </wp:positionH>
                <wp:positionV relativeFrom="paragraph">
                  <wp:posOffset>561975</wp:posOffset>
                </wp:positionV>
                <wp:extent cx="993140" cy="45339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993140" cy="453390"/>
                        </a:xfrm>
                        <a:prstGeom prst="rect">
                          <a:avLst/>
                        </a:prstGeom>
                        <a:noFill/>
                        <a:ln>
                          <a:noFill/>
                        </a:ln>
                      </wps:spPr>
                      <wps:txbx>
                        <w:txbxContent>
                          <w:p w14:paraId="0F6BD6EC">
                            <w:pPr>
                              <w:jc w:val="center"/>
                            </w:pPr>
                            <w:r>
                              <w:rPr>
                                <w:rFonts w:hint="eastAsia"/>
                              </w:rPr>
                              <w:t>粉尘、噪声、废水、固废</w:t>
                            </w:r>
                          </w:p>
                        </w:txbxContent>
                      </wps:txbx>
                      <wps:bodyPr upright="1"/>
                    </wps:wsp>
                  </a:graphicData>
                </a:graphic>
              </wp:anchor>
            </w:drawing>
          </mc:Choice>
          <mc:Fallback>
            <w:pict>
              <v:shape id="_x0000_s1026" o:spid="_x0000_s1026" o:spt="202" type="#_x0000_t202" style="position:absolute;left:0pt;margin-left:215.7pt;margin-top:44.25pt;height:35.7pt;width:78.2pt;z-index:251760640;mso-width-relative:page;mso-height-relative:page;" filled="f" stroked="f" coordsize="21600,21600" o:gfxdata="UEsDBAoAAAAAAIdO4kAAAAAAAAAAAAAAAAAEAAAAZHJzL1BLAwQUAAAACACHTuJAHkFFmdcAAAAK&#10;AQAADwAAAGRycy9kb3ducmV2LnhtbE2PwU7DMBBE70j8g7VI3KgdSGgS4vQA4gqiQCVubrxNIuJ1&#10;FLtN+HuWEz2u9mnmTbVZ3CBOOIXek4ZkpUAgNd721Gr4eH++yUGEaMiawRNq+MEAm/ryojKl9TO9&#10;4WkbW8EhFEqjoYtxLKUMTYfOhJUfkfh38JMzkc+plXYyM4e7Qd4qdS+d6YkbOjPiY4fN9/boNHy+&#10;HL52qXptn1w2zn5Rklwhtb6+StQDiIhL/IfhT5/VoWanvT+SDWLQkN4lKaMa8jwDwUCWr3nLnsms&#10;KEDWlTyfUP8CUEsDBBQAAAAIAIdO4kDcUthxrwEAAFEDAAAOAAAAZHJzL2Uyb0RvYy54bWytU0uO&#10;EzEQ3SPNHSzvSecHIq10RkLRzAYB0jAHcNx22pLtslxOunMBuAErNuw5V85B2clkPmxmwcZtv6p+&#10;Ve+VvbwenGV7FdGAb/hkNOZMeQmt8duG33+7efuBM0zCt8KCVw0/KOTXq6s3yz7Uagod2FZFRiQe&#10;6z40vEsp1FWFslNO4AiC8hTUEJ1IdIzbqo2iJ3Znq+l4/L7qIbYhglSIhK5PQX5mjK8hBK2NVGuQ&#10;O6d8OrFGZUUiSdiZgHxVutVayfRFa1SJ2YaT0lRWKkL7TV6r1VLU2yhCZ+S5BfGaFl5ocsJ4Knqh&#10;Wosk2C6af6ickREQdBpJcNVJSHGEVEzGL7y560RQRQtZjeFiOv4/Wvl5/zUy0zZ8Op1z5oWjkR9/&#10;/jj++nP8/Z1lkCzqA9aUeRcoNw0fYaCL84AjgVn5oKPLX9LEKE4GHy4GqyExSeBiMZvMKSIpNH83&#10;my3KAKrHn0PEdKvAsbxpeKT5FVvF/hMmaoRSH1JyLQ83xtoyQ+ufAZSYkSp3fuow79KwGc5yNtAe&#10;SM0uRLPtqFTRU9LJ6VLofCvyKJ+eC+njS1j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5BRZnX&#10;AAAACgEAAA8AAAAAAAAAAQAgAAAAIgAAAGRycy9kb3ducmV2LnhtbFBLAQIUABQAAAAIAIdO4kDc&#10;UthxrwEAAFEDAAAOAAAAAAAAAAEAIAAAACYBAABkcnMvZTJvRG9jLnhtbFBLBQYAAAAABgAGAFkB&#10;AABHBQAAAAA=&#10;">
                <v:fill on="f" focussize="0,0"/>
                <v:stroke on="f"/>
                <v:imagedata o:title=""/>
                <o:lock v:ext="edit" aspectratio="f"/>
                <v:textbox>
                  <w:txbxContent>
                    <w:p w14:paraId="0F6BD6EC">
                      <w:pPr>
                        <w:jc w:val="center"/>
                      </w:pPr>
                      <w:r>
                        <w:rPr>
                          <w:rFonts w:hint="eastAsia"/>
                        </w:rPr>
                        <w:t>粉尘、噪声、废水、固废</w:t>
                      </w:r>
                    </w:p>
                  </w:txbxContent>
                </v:textbox>
              </v:shape>
            </w:pict>
          </mc:Fallback>
        </mc:AlternateContent>
      </w:r>
      <w:r>
        <w:rPr>
          <w:rFonts w:ascii="宋体" w:hAnsi="Courier New"/>
          <w:sz w:val="20"/>
        </w:rPr>
        <mc:AlternateContent>
          <mc:Choice Requires="wps">
            <w:drawing>
              <wp:anchor distT="0" distB="0" distL="114300" distR="114300" simplePos="0" relativeHeight="251761664" behindDoc="0" locked="0" layoutInCell="1" allowOverlap="1">
                <wp:simplePos x="0" y="0"/>
                <wp:positionH relativeFrom="column">
                  <wp:posOffset>5228590</wp:posOffset>
                </wp:positionH>
                <wp:positionV relativeFrom="paragraph">
                  <wp:posOffset>341630</wp:posOffset>
                </wp:positionV>
                <wp:extent cx="0" cy="212090"/>
                <wp:effectExtent l="38100" t="0" r="38100" b="16510"/>
                <wp:wrapNone/>
                <wp:docPr id="220" name="直接连接符 220"/>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11.7pt;margin-top:26.9pt;height:16.7pt;width:0pt;z-index:251761664;mso-width-relative:page;mso-height-relative:page;" filled="f" stroked="t" coordsize="21600,21600" o:gfxdata="UEsDBAoAAAAAAIdO4kAAAAAAAAAAAAAAAAAEAAAAZHJzL1BLAwQUAAAACACHTuJAi5ced9kAAAAJ&#10;AQAADwAAAGRycy9kb3ducmV2LnhtbE2PzU7DMBCE70i8g7VI3KiTlJ8oxOkBqVxaqNoiBDc3XpKI&#10;eB3ZThvenkUc4La7M5r9plxMthdH9KFzpCCdJSCQamc6ahS87JdXOYgQNRndO0IFXxhgUZ2flbow&#10;7kRbPO5iIziEQqEVtDEOhZShbtHqMHMDEmsfzlsdefWNNF6fONz2MkuSW2l1R/yh1QM+tFh/7kar&#10;YLtervLX1TjV/v0xfd5v1k9vIVfq8iJN7kFEnOKfGX7wGR0qZjq4kUwQvYI8m1+zVcHNnCuw4fdw&#10;4OEuA1mV8n+D6htQSwMEFAAAAAgAh07iQLQuEvj8AQAA6wMAAA4AAABkcnMvZTJvRG9jLnhtbK1T&#10;zY7TMBC+I/EOlu80baRFbNR0D1uWC4KVgAeY2k5iyX/yuE37ErwAEjc4ceTO27A8BmOntLAIaQ/k&#10;4Ixnxt/M93m8vNpbw3Yqovau5YvZnDPlhJfa9S1/9/bmyTPOMIGTYLxTLT8o5Ferx4+WY2hU7Qdv&#10;pIqMQBw2Y2j5kFJoqgrFoCzgzAflKNj5aCHRNvaVjDASujVVPZ8/rUYfZYheKETyrqcgPyLGhwD6&#10;rtNCrb3YWuXShBqVgUSUcNAB+ap023VKpNddhyox03JimspKRcje5LVaLaHpI4RBi2ML8JAW7nGy&#10;oB0VPUGtIQHbRv0XlNUievRdmglvq4lIUYRYLOb3tHkzQFCFC0mN4SQ6/j9Y8Wp3G5mWLa9r0sSB&#10;pSu/+/D1+/tPP759pPXuy2eWQyTUGLCh/Gt3G487DLcxs9530eY/8WH7Iu7hJK7aJyYmpyBvvajn&#10;lwWuOp8LEdML5S3LRsuNdpk2NLB7iYlqUeqvlOw2jo0tv7yoLzgTQDPY0d2TaQPxQNeXs+iNljfa&#10;mHwCY7+5NpHtIM9B+TIjwv0jLRdZAw5TXglNEzIokM+dZOkQSB9HD4PnFqySnBlF7yhbBAhNAm3O&#10;mSlqcL35RzaVN466yMJOUmZr4+WB7mQbou4HUmNROs0RmoHS83Fe85D9vi9I5ze6+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Llx532QAAAAkBAAAPAAAAAAAAAAEAIAAAACIAAABkcnMvZG93bnJl&#10;di54bWxQSwECFAAUAAAACACHTuJAtC4S+PwBAADrAwAADgAAAAAAAAABACAAAAAoAQAAZHJzL2Uy&#10;b0RvYy54bWxQSwUGAAAAAAYABgBZAQAAlgU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62688" behindDoc="0" locked="0" layoutInCell="1" allowOverlap="1">
                <wp:simplePos x="0" y="0"/>
                <wp:positionH relativeFrom="column">
                  <wp:posOffset>4978400</wp:posOffset>
                </wp:positionH>
                <wp:positionV relativeFrom="paragraph">
                  <wp:posOffset>571500</wp:posOffset>
                </wp:positionV>
                <wp:extent cx="495300" cy="28829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495300" cy="288290"/>
                        </a:xfrm>
                        <a:prstGeom prst="rect">
                          <a:avLst/>
                        </a:prstGeom>
                        <a:noFill/>
                        <a:ln>
                          <a:noFill/>
                        </a:ln>
                      </wps:spPr>
                      <wps:txbx>
                        <w:txbxContent>
                          <w:p w14:paraId="27272BA7">
                            <w:pPr>
                              <w:jc w:val="center"/>
                            </w:pPr>
                            <w:r>
                              <w:rPr>
                                <w:rFonts w:hint="eastAsia"/>
                              </w:rPr>
                              <w:t>噪声</w:t>
                            </w:r>
                          </w:p>
                        </w:txbxContent>
                      </wps:txbx>
                      <wps:bodyPr upright="1"/>
                    </wps:wsp>
                  </a:graphicData>
                </a:graphic>
              </wp:anchor>
            </w:drawing>
          </mc:Choice>
          <mc:Fallback>
            <w:pict>
              <v:shape id="_x0000_s1026" o:spid="_x0000_s1026" o:spt="202" type="#_x0000_t202" style="position:absolute;left:0pt;margin-left:392pt;margin-top:45pt;height:22.7pt;width:39pt;z-index:251762688;mso-width-relative:page;mso-height-relative:page;" filled="f" stroked="f" coordsize="21600,21600" o:gfxdata="UEsDBAoAAAAAAIdO4kAAAAAAAAAAAAAAAAAEAAAAZHJzL1BLAwQUAAAACACHTuJArnS97tgAAAAK&#10;AQAADwAAAGRycy9kb3ducmV2LnhtbE2PQW/CMAyF75P2HyJP2m0ksMJK15TDpl2HBgyJW2hMW61x&#10;qibQ7t/PnMbJtt7T8/fy1ehaccE+NJ40TCcKBFLpbUOVht324ykFEaIha1pPqOEXA6yK+7vcZNYP&#10;9IWXTawEh1DIjIY6xi6TMpQ1OhMmvkNi7eR7ZyKffSVtbwYOd62cKbWQzjTEH2rT4VuN5c/m7DR8&#10;f54O+0Stq3c37wY/KkluKbV+fJiqVxARx/hvhis+o0PBTEd/JhtEq+ElTbhL1LBUPNmQLma8HNn5&#10;PE9AFrm8rVD8AVBLAwQUAAAACACHTuJA5JL0ra8BAABRAwAADgAAAGRycy9lMm9Eb2MueG1srVNL&#10;jhMxEN0jcQfLe9Kd5qOklc5IKBo2CJAGDuC47bQl22W5nHTnAnADVmzYc66cg7KTycCwmQUbt/2q&#10;+lW9V/bqZnKWHVREA77j81nNmfISeuN3Hf/y+fbFgjNMwvfCglcdPyrkN+vnz1ZjaFUDA9heRUYk&#10;HtsxdHxIKbRVhXJQTuAMgvIU1BCdSHSMu6qPYiR2Z6umrt9UI8Q+RJAKkdDNOcgvjPEphKC1kWoD&#10;cu+UT2fWqKxIJAkHE5CvS7daK5k+ao0qMdtxUprKSkVov81rtV6JdhdFGIy8tCCe0sIjTU4YT0Wv&#10;VBuRBNtH8w+VMzICgk4zCa46CymOkIp5/cibu0EEVbSQ1RiupuP/o5UfDp8iM33Hm/mSMy8cjfz0&#10;/dvpx6/Tz68sg2TRGLClzLtAuWl6CxNdnHscCczKJx1d/pImRnEy+Hg1WE2JSQJfLV+/rCkiKdQs&#10;Fs2yDKB6+DlETO8UOJY3HY80v2KrOLzHRI1Q6n1KruXh1lhbZmj9XwAlZqTKnZ87zLs0baeLnC30&#10;R1KzD9HsBipV9JR0croUutyKPMo/z4X04SW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udL3u&#10;2AAAAAoBAAAPAAAAAAAAAAEAIAAAACIAAABkcnMvZG93bnJldi54bWxQSwECFAAUAAAACACHTuJA&#10;5JL0ra8BAABRAwAADgAAAAAAAAABACAAAAAnAQAAZHJzL2Uyb0RvYy54bWxQSwUGAAAAAAYABgBZ&#10;AQAASAUAAAAA&#10;">
                <v:fill on="f" focussize="0,0"/>
                <v:stroke on="f"/>
                <v:imagedata o:title=""/>
                <o:lock v:ext="edit" aspectratio="f"/>
                <v:textbox>
                  <w:txbxContent>
                    <w:p w14:paraId="27272BA7">
                      <w:pPr>
                        <w:jc w:val="center"/>
                      </w:pPr>
                      <w:r>
                        <w:rPr>
                          <w:rFonts w:hint="eastAsia"/>
                        </w:rPr>
                        <w:t>噪声</w:t>
                      </w:r>
                    </w:p>
                  </w:txbxContent>
                </v:textbox>
              </v:shape>
            </w:pict>
          </mc:Fallback>
        </mc:AlternateContent>
      </w:r>
      <w:r>
        <w:rPr>
          <w:rFonts w:ascii="宋体" w:hAnsi="Courier New"/>
          <w:sz w:val="20"/>
        </w:rPr>
        <mc:AlternateContent>
          <mc:Choice Requires="wps">
            <w:drawing>
              <wp:anchor distT="0" distB="0" distL="114300" distR="114300" simplePos="0" relativeHeight="251744256" behindDoc="0" locked="0" layoutInCell="1" allowOverlap="1">
                <wp:simplePos x="0" y="0"/>
                <wp:positionH relativeFrom="column">
                  <wp:posOffset>-203835</wp:posOffset>
                </wp:positionH>
                <wp:positionV relativeFrom="paragraph">
                  <wp:posOffset>50800</wp:posOffset>
                </wp:positionV>
                <wp:extent cx="795020" cy="284480"/>
                <wp:effectExtent l="4445" t="4445" r="19685" b="15875"/>
                <wp:wrapNone/>
                <wp:docPr id="227" name="矩形 227"/>
                <wp:cNvGraphicFramePr/>
                <a:graphic xmlns:a="http://schemas.openxmlformats.org/drawingml/2006/main">
                  <a:graphicData uri="http://schemas.microsoft.com/office/word/2010/wordprocessingShape">
                    <wps:wsp>
                      <wps:cNvSpPr/>
                      <wps:spPr>
                        <a:xfrm>
                          <a:off x="0" y="0"/>
                          <a:ext cx="795020" cy="284480"/>
                        </a:xfrm>
                        <a:prstGeom prst="rect">
                          <a:avLst/>
                        </a:prstGeom>
                        <a:solidFill>
                          <a:srgbClr val="FFC000"/>
                        </a:solidFill>
                        <a:ln w="9525" cap="flat" cmpd="sng">
                          <a:solidFill>
                            <a:srgbClr val="7030A0"/>
                          </a:solidFill>
                          <a:prstDash val="solid"/>
                          <a:miter/>
                          <a:headEnd type="none" w="med" len="med"/>
                          <a:tailEnd type="none" w="med" len="med"/>
                        </a:ln>
                      </wps:spPr>
                      <wps:txbx>
                        <w:txbxContent>
                          <w:p w14:paraId="1053D6B3">
                            <w:r>
                              <w:rPr>
                                <w:rFonts w:hint="eastAsia"/>
                              </w:rPr>
                              <w:t>场地平整</w:t>
                            </w:r>
                          </w:p>
                        </w:txbxContent>
                      </wps:txbx>
                      <wps:bodyPr upright="1"/>
                    </wps:wsp>
                  </a:graphicData>
                </a:graphic>
              </wp:anchor>
            </w:drawing>
          </mc:Choice>
          <mc:Fallback>
            <w:pict>
              <v:rect id="_x0000_s1026" o:spid="_x0000_s1026" o:spt="1" style="position:absolute;left:0pt;margin-left:-16.05pt;margin-top:4pt;height:22.4pt;width:62.6pt;z-index:251744256;mso-width-relative:page;mso-height-relative:page;" fillcolor="#FFC000" filled="t" stroked="t" coordsize="21600,21600" o:gfxdata="UEsDBAoAAAAAAIdO4kAAAAAAAAAAAAAAAAAEAAAAZHJzL1BLAwQUAAAACACHTuJApSyoENUAAAAH&#10;AQAADwAAAGRycy9kb3ducmV2LnhtbE2PzU7DMBCE70i8g7VI3FrnR4Q0ZFMhFMSJAwVxdmOTRMRr&#10;K3bb5O1ZTnAczWjmm3q/2EmczRxGRwjpNgFhqHN6pB7h4/15U4IIUZFWkyODsJoA++b6qlaVdhd6&#10;M+dD7AWXUKgUwhCjr6QM3WCsClvnDbH35WarIsu5l3pWFy63k8ySpJBWjcQLg/LmaTDd9+FkEZbd&#10;p1/b4qV7bR/16tvC5veFRby9SZMHENEs8S8Mv/iMDg0zHd2JdBATwibPUo4ilHyJ/V3O8ohwl5Ug&#10;m1r+529+AFBLAwQUAAAACACHTuJApAyToQgCAAAsBAAADgAAAGRycy9lMm9Eb2MueG1srVNLbtsw&#10;EN0X6B0I7mvJalw7guUgiOtuijZA2gPQFCUR4A8c2pJPU6C7HqLHKXqNDCnH+bQLL7KRhuTjm3lv&#10;hsurQSuyFx6kNRWdTnJKhOG2lqat6Pdvm3cLSiAwUzNljajoQQC9Wr19s+xdKQrbWVULT5DEQNm7&#10;inYhuDLLgHdCM5hYJwweNtZrFnDp26z2rEd2rbIizz9kvfW185YLANxdj4f0yOjPIbRNI7lYW77T&#10;woSR1QvFAkqCTjqgq1Rt0wgevjYNiEBURVFpSF9MgvE2frPVkpWtZ66T/FgCO6eEF5o0kwaTnqjW&#10;LDCy8/IfKi25t2CbMOFWZ6OQ5AiqmOYvvLnrmBNJC1oN7mQ6vB4t/7K/9UTWFS2KOSWGaWz53x+/&#10;/vz+SeIO+tM7KBF25279cQUYRrFD43X8owwyJE8PJ0/FEAjHzfnlLC/QbY5HxeLiYpE8zx4vOw/h&#10;k7CaxKCiHluWnGT7zxAwIUIfIDEXWCXrjVQqLXy7vVGe7Bm2d7O5yfMH9mcwZUhf0ctZMcM6GM5s&#10;g7OCoXaoG0yb8j27AU+J5/n7/Pq/xLGwNYNuLCAxjBOlZRDRLVZ2gtUfTU3CwaGzBp8UjcVoUVOi&#10;BL7AGCVkYFKdg0RDlEFfYl/GTsQoDNvh2J6trQ/Y1J3zsu3Q0mnkT3AcomToceDjlD5dJ9TjI1/d&#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UsqBDVAAAABwEAAA8AAAAAAAAAAQAgAAAAIgAAAGRy&#10;cy9kb3ducmV2LnhtbFBLAQIUABQAAAAIAIdO4kCkDJOhCAIAACwEAAAOAAAAAAAAAAEAIAAAACQB&#10;AABkcnMvZTJvRG9jLnhtbFBLBQYAAAAABgAGAFkBAACeBQAAAAA=&#10;">
                <v:fill on="t" focussize="0,0"/>
                <v:stroke color="#7030A0" joinstyle="miter"/>
                <v:imagedata o:title=""/>
                <o:lock v:ext="edit" aspectratio="f"/>
                <v:textbox>
                  <w:txbxContent>
                    <w:p w14:paraId="1053D6B3">
                      <w:r>
                        <w:rPr>
                          <w:rFonts w:hint="eastAsia"/>
                        </w:rPr>
                        <w:t>场地平整</w:t>
                      </w:r>
                    </w:p>
                  </w:txbxContent>
                </v:textbox>
              </v:rect>
            </w:pict>
          </mc:Fallback>
        </mc:AlternateContent>
      </w:r>
    </w:p>
    <w:p w14:paraId="2F9D7784">
      <w:pPr>
        <w:pStyle w:val="41"/>
        <w:adjustRightInd w:val="0"/>
        <w:snapToGrid w:val="0"/>
        <w:spacing w:line="460" w:lineRule="exact"/>
        <w:ind w:firstLine="400" w:firstLineChars="200"/>
        <w:rPr>
          <w:rFonts w:ascii="Arial" w:hAnsi="Arial" w:eastAsia="仿宋_GB2312" w:cs="Arial"/>
          <w:sz w:val="24"/>
        </w:rPr>
      </w:pPr>
      <w:r>
        <w:rPr>
          <w:rFonts w:ascii="宋体" w:hAnsi="Courier New"/>
          <w:sz w:val="20"/>
        </w:rPr>
        <mc:AlternateContent>
          <mc:Choice Requires="wps">
            <w:drawing>
              <wp:anchor distT="0" distB="0" distL="114300" distR="114300" simplePos="0" relativeHeight="251764736" behindDoc="0" locked="0" layoutInCell="1" allowOverlap="1">
                <wp:simplePos x="0" y="0"/>
                <wp:positionH relativeFrom="column">
                  <wp:posOffset>3878580</wp:posOffset>
                </wp:positionH>
                <wp:positionV relativeFrom="paragraph">
                  <wp:posOffset>257810</wp:posOffset>
                </wp:positionV>
                <wp:extent cx="790575" cy="521335"/>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790575" cy="521335"/>
                        </a:xfrm>
                        <a:prstGeom prst="rect">
                          <a:avLst/>
                        </a:prstGeom>
                        <a:noFill/>
                        <a:ln>
                          <a:noFill/>
                        </a:ln>
                      </wps:spPr>
                      <wps:txbx>
                        <w:txbxContent>
                          <w:p w14:paraId="497C78E0">
                            <w:pPr>
                              <w:jc w:val="center"/>
                              <w:rPr>
                                <w:rFonts w:hint="eastAsia" w:eastAsia="宋体"/>
                                <w:lang w:eastAsia="zh-CN"/>
                              </w:rPr>
                            </w:pPr>
                            <w:r>
                              <w:rPr>
                                <w:rFonts w:hint="eastAsia"/>
                              </w:rPr>
                              <w:t>噪声</w:t>
                            </w:r>
                            <w:r>
                              <w:rPr>
                                <w:rFonts w:hint="eastAsia"/>
                                <w:lang w:eastAsia="zh-CN"/>
                              </w:rPr>
                              <w:t>、固废</w:t>
                            </w:r>
                          </w:p>
                        </w:txbxContent>
                      </wps:txbx>
                      <wps:bodyPr upright="1"/>
                    </wps:wsp>
                  </a:graphicData>
                </a:graphic>
              </wp:anchor>
            </w:drawing>
          </mc:Choice>
          <mc:Fallback>
            <w:pict>
              <v:shape id="_x0000_s1026" o:spid="_x0000_s1026" o:spt="202" type="#_x0000_t202" style="position:absolute;left:0pt;margin-left:305.4pt;margin-top:20.3pt;height:41.05pt;width:62.25pt;z-index:251764736;mso-width-relative:page;mso-height-relative:page;" filled="f" stroked="f" coordsize="21600,21600" o:gfxdata="UEsDBAoAAAAAAIdO4kAAAAAAAAAAAAAAAAAEAAAAZHJzL1BLAwQUAAAACACHTuJAuekwwtgAAAAK&#10;AQAADwAAAGRycy9kb3ducmV2LnhtbE2Py07DMBBF90j9B2uQ2FE7aZvSNE4XRWxBlIfEzo2nSUQ8&#10;jmK3CX/PsKLL0T2690yxm1wnLjiE1pOGZK5AIFXetlRreH97un8AEaIhazpPqOEHA+zK2U1hcutH&#10;esXLIdaCSyjkRkMTY59LGaoGnQlz3yNxdvKDM5HPoZZ2MCOXu06mSmXSmZZ4oTE97husvg9np+Hj&#10;+fT1uVQv9aNb9aOflCS3kVrf3SZqCyLiFP9h+NNndSjZ6ejPZIPoNGSJYvWoYakyEAysF6sFiCOT&#10;aboGWRby+oXyF1BLAwQUAAAACACHTuJA0Duo2K8BAABRAwAADgAAAGRycy9lMm9Eb2MueG1srVNL&#10;btswEN0X6B0I7mvKMty0guUAgZFuirZAmgPQFGkR4A8c2pIv0N6gq26677l8jg4px2nTTRbZUOSb&#10;0Zt5b8jV9WgNOcgI2ruWzmcVJdIJ32m3a+n919s37yiBxF3HjXeypUcJ9Hr9+tVqCI2sfe9NJyNB&#10;EgfNEFrapxQaxkD00nKY+SAdBpWPlic8xh3rIh+Q3RpWV9VbNvjYheiFBEB0MwXpmTE+h9ArpYXc&#10;eLG30qWJNUrDE0qCXgeg69KtUlKkz0qBTMS0FJWmsmIR3G/zytYr3uwiD70W5xb4c1p4osly7bDo&#10;hWrDEyf7qP+jslpED16lmfCWTUKKI6hiXj3x5q7nQRYtaDWEi+nwcrTi0+FLJLprab2oKXHc4shP&#10;P76ffv4+/fpGMogWDQEazLwLmJvGGz/ixXnAAcGsfFTR5i9qIhhHg48Xg+WYiEDw6n21vFpSIjC0&#10;rOeLxTKzsMefQ4T0QXpL8qalEedXbOWHj5Cm1IeUXMv5W21MmaFx/wDImRGWO586zLs0bseznK3v&#10;jqhmH6Le9Viq6Cnp6HTp6Xwr8ij/PhfSx5ew/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56TDC&#10;2AAAAAoBAAAPAAAAAAAAAAEAIAAAACIAAABkcnMvZG93bnJldi54bWxQSwECFAAUAAAACACHTuJA&#10;0Duo2K8BAABRAwAADgAAAAAAAAABACAAAAAnAQAAZHJzL2Uyb0RvYy54bWxQSwUGAAAAAAYABgBZ&#10;AQAASAUAAAAA&#10;">
                <v:fill on="f" focussize="0,0"/>
                <v:stroke on="f"/>
                <v:imagedata o:title=""/>
                <o:lock v:ext="edit" aspectratio="f"/>
                <v:textbox>
                  <w:txbxContent>
                    <w:p w14:paraId="497C78E0">
                      <w:pPr>
                        <w:jc w:val="center"/>
                        <w:rPr>
                          <w:rFonts w:hint="eastAsia" w:eastAsia="宋体"/>
                          <w:lang w:eastAsia="zh-CN"/>
                        </w:rPr>
                      </w:pPr>
                      <w:r>
                        <w:rPr>
                          <w:rFonts w:hint="eastAsia"/>
                        </w:rPr>
                        <w:t>噪声</w:t>
                      </w:r>
                      <w:r>
                        <w:rPr>
                          <w:rFonts w:hint="eastAsia"/>
                          <w:lang w:eastAsia="zh-CN"/>
                        </w:rPr>
                        <w:t>、固废</w:t>
                      </w:r>
                    </w:p>
                  </w:txbxContent>
                </v:textbox>
              </v:shape>
            </w:pict>
          </mc:Fallback>
        </mc:AlternateContent>
      </w:r>
      <w:r>
        <w:rPr>
          <w:rFonts w:ascii="宋体" w:hAnsi="Courier New"/>
          <w:sz w:val="20"/>
        </w:rPr>
        <mc:AlternateContent>
          <mc:Choice Requires="wps">
            <w:drawing>
              <wp:anchor distT="0" distB="0" distL="114300" distR="114300" simplePos="0" relativeHeight="251763712" behindDoc="0" locked="0" layoutInCell="1" allowOverlap="1">
                <wp:simplePos x="0" y="0"/>
                <wp:positionH relativeFrom="column">
                  <wp:posOffset>4265930</wp:posOffset>
                </wp:positionH>
                <wp:positionV relativeFrom="paragraph">
                  <wp:posOffset>49530</wp:posOffset>
                </wp:positionV>
                <wp:extent cx="0" cy="212090"/>
                <wp:effectExtent l="38100" t="0" r="38100" b="16510"/>
                <wp:wrapNone/>
                <wp:docPr id="231" name="直接连接符 231"/>
                <wp:cNvGraphicFramePr/>
                <a:graphic xmlns:a="http://schemas.openxmlformats.org/drawingml/2006/main">
                  <a:graphicData uri="http://schemas.microsoft.com/office/word/2010/wordprocessingShape">
                    <wps:wsp>
                      <wps:cNvCnPr/>
                      <wps:spPr>
                        <a:xfrm>
                          <a:off x="0" y="0"/>
                          <a:ext cx="0" cy="2120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5.9pt;margin-top:3.9pt;height:16.7pt;width:0pt;z-index:251763712;mso-width-relative:page;mso-height-relative:page;" filled="f" stroked="t" coordsize="21600,21600" o:gfxdata="UEsDBAoAAAAAAIdO4kAAAAAAAAAAAAAAAAAEAAAAZHJzL1BLAwQUAAAACACHTuJAzYhsddcAAAAI&#10;AQAADwAAAGRycy9kb3ducmV2LnhtbE2PwU7DMBBE70j8g7VI3KjjCrVRiNMDUrm0gNoiBDc3XpKI&#10;eB3ZThv+nkUc4DQazWrmbbmaXC9OGGLnSYOaZSCQam87ajS8HNY3OYiYDFnTe0INXxhhVV1elKaw&#10;/kw7PO1TI7iEYmE0tCkNhZSxbtGZOPMDEmcfPjiT2IZG2mDOXO56Oc+yhXSmI15ozYD3Ldaf+9Fp&#10;2G3Xm/x1M051eH9QT4fn7eNbzLW+vlLZHYiEU/o7hh98RoeKmY5+JBtFr2GxVIyeNCxZOP/1Rw23&#10;ag6yKuX/B6pvUEsDBBQAAAAIAIdO4kBSEtMH/AEAAOsDAAAOAAAAZHJzL2Uyb0RvYy54bWytU82O&#10;0zAQviPxDpbvNGnQIjZquoctywVBJeABpo6TWPKfPG7TvgQvgMQNThy58zbsPgZjp7SwCGkP5OCM&#10;Z8bfzPd5vLjaG812MqBytuHzWcmZtMK1yvYNf//u5slzzjCCbUE7Kxt+kMivlo8fLUZfy8oNTrcy&#10;MAKxWI++4UOMvi4KFIM0gDPnpaVg54KBSNvQF22AkdCNLqqyfFaMLrQ+OCERybuagvyIGB4C6LpO&#10;CblyYmukjRNqkBoiUcJBeeTL3G3XSRHfdB3KyHTDiWnMKxUhe5PWYrmAug/gByWOLcBDWrjHyYCy&#10;VPQEtYIIbBvUX1BGieDQdXEmnCkmIlkRYjEv72nzdgAvMxeSGv1JdPx/sOL1bh2YahtePZ1zZsHQ&#10;ld9+/Pbjw+e7759ovf36haUQCTV6rCn/2q7DcYd+HRLrfRdM+hMfts/iHk7iyn1kYnIK8lbzqrzM&#10;uhfncz5gfCmdYclouFY20YYadq8wUi1K/ZWS3NqyseGXF9UFZwJoBju6ezKNJx5o+3wWnVbtjdI6&#10;ncDQb651YDtIc5C/xIhw/0hLRVaAw5SXQ9OEDBLaF7Zl8eBJH0sPg6cWjGw505LeUbIIEOoISp8z&#10;Y1Bge/2PbCqvLXWRhJ2kTNbGtQe6k60Pqh9Ijax9zqEZyD0f5zUN2e/7jHR+o8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YhsddcAAAAIAQAADwAAAAAAAAABACAAAAAiAAAAZHJzL2Rvd25yZXYu&#10;eG1sUEsBAhQAFAAAAAgAh07iQFIS0wf8AQAA6wMAAA4AAAAAAAAAAQAgAAAAJgEAAGRycy9lMm9E&#10;b2MueG1sUEsFBgAAAAAGAAYAWQEAAJQFAAAAAA==&#10;">
                <v:fill on="f" focussize="0,0"/>
                <v:stroke color="#000000" joinstyle="round" endarrow="block"/>
                <v:imagedata o:title=""/>
                <o:lock v:ext="edit" aspectratio="f"/>
              </v:line>
            </w:pict>
          </mc:Fallback>
        </mc:AlternateContent>
      </w:r>
      <w:r>
        <w:rPr>
          <w:rFonts w:ascii="宋体" w:hAnsi="Courier New"/>
          <w:sz w:val="20"/>
        </w:rPr>
        <mc:AlternateContent>
          <mc:Choice Requires="wps">
            <w:drawing>
              <wp:anchor distT="0" distB="0" distL="114300" distR="114300" simplePos="0" relativeHeight="251757568" behindDoc="0" locked="0" layoutInCell="1" allowOverlap="1">
                <wp:simplePos x="0" y="0"/>
                <wp:positionH relativeFrom="column">
                  <wp:posOffset>-182245</wp:posOffset>
                </wp:positionH>
                <wp:positionV relativeFrom="paragraph">
                  <wp:posOffset>274320</wp:posOffset>
                </wp:positionV>
                <wp:extent cx="2754630" cy="532765"/>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2754630" cy="532765"/>
                        </a:xfrm>
                        <a:prstGeom prst="rect">
                          <a:avLst/>
                        </a:prstGeom>
                        <a:noFill/>
                        <a:ln>
                          <a:noFill/>
                        </a:ln>
                      </wps:spPr>
                      <wps:txbx>
                        <w:txbxContent>
                          <w:p w14:paraId="108C2FEB">
                            <w:pPr>
                              <w:jc w:val="center"/>
                            </w:pPr>
                            <w:r>
                              <w:rPr>
                                <w:rFonts w:hint="eastAsia"/>
                              </w:rPr>
                              <w:t>噪声、燃油废气、粉尘、弃土弃渣、固废、地表扰动、水土流失等</w:t>
                            </w:r>
                          </w:p>
                        </w:txbxContent>
                      </wps:txbx>
                      <wps:bodyPr upright="1"/>
                    </wps:wsp>
                  </a:graphicData>
                </a:graphic>
              </wp:anchor>
            </w:drawing>
          </mc:Choice>
          <mc:Fallback>
            <w:pict>
              <v:shape id="_x0000_s1026" o:spid="_x0000_s1026" o:spt="202" type="#_x0000_t202" style="position:absolute;left:0pt;margin-left:-14.35pt;margin-top:21.6pt;height:41.95pt;width:216.9pt;z-index:251757568;mso-width-relative:page;mso-height-relative:page;" filled="f" stroked="f" coordsize="21600,21600" o:gfxdata="UEsDBAoAAAAAAIdO4kAAAAAAAAAAAAAAAAAEAAAAZHJzL1BLAwQUAAAACACHTuJAz18sLdgAAAAK&#10;AQAADwAAAGRycy9kb3ducmV2LnhtbE2Py07DMBBF90j8gzWV2LV2QkpLiNMFiC2I8pDYufE0iRqP&#10;o9htwt8zXbXL0T2690yxmVwnTjiE1pOGZKFAIFXetlRr+Pp8na9BhGjIms4TavjDAJvy9qYwufUj&#10;feBpG2vBJRRyo6GJsc+lDFWDzoSF75E42/vBmcjnUEs7mJHLXSdTpR6kMy3xQmN6fG6wOmyPTsP3&#10;2/73J1Pv9Ytb9qOflCT3KLW+myXqCUTEKV5gOOuzOpTstPNHskF0GubpesWohuw+BcFAppYJiB2T&#10;6SoBWRby+oXyH1BLAwQUAAAACACHTuJAiBzCEK8BAABSAwAADgAAAGRycy9lMm9Eb2MueG1srVPB&#10;jtMwEL0j8Q+W79TdLO2iqOlKqFouCJAWPsB1nMaS7bE8bpP+APwBJy7c+a5+B2On24Xlsgcujv1m&#10;8mbeG3t1OzrLDjqiAd/wq9mcM+0VtMbvGv7l892rN5xhkr6VFrxu+FEjv12/fLEaQq0r6MG2OjIi&#10;8VgPoeF9SqEWAlWvncQZBO0p2EF0MtEx7kQb5UDszopqPl+KAWIbIiiNSOhmCvIzY3wOIXSdUXoD&#10;au+0TxNr1FYmkoS9CcjXpduu0yp97DrUidmGk9JUVipC+21exXol612UoTfq3IJ8TgtPNDlpPBW9&#10;UG1kkmwfzT9UzqgICF2aKXBiElIcIRVX8yfe3Pcy6KKFrMZwMR3/H636cPgUmWkbXlU0eC8djfz0&#10;/dvpx6/Tz68sg2TRELCmzPtAuWl8CyNdnAccCczKxy66/CVNjOJk8PFisB4TUwRWN4vXy2sKKYot&#10;rqub5SLTiMe/Q8T0ToNjedPwSAMsvsrDe0xT6kNKLubhzlhbhmj9XwBxZkTk1qcW8y6N2/GsZwvt&#10;keTsQzS7nkoVQSWdrC49na9FnuWf50L6+BT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PXywt&#10;2AAAAAoBAAAPAAAAAAAAAAEAIAAAACIAAABkcnMvZG93bnJldi54bWxQSwECFAAUAAAACACHTuJA&#10;iBzCEK8BAABSAwAADgAAAAAAAAABACAAAAAnAQAAZHJzL2Uyb0RvYy54bWxQSwUGAAAAAAYABgBZ&#10;AQAASAUAAAAA&#10;">
                <v:fill on="f" focussize="0,0"/>
                <v:stroke on="f"/>
                <v:imagedata o:title=""/>
                <o:lock v:ext="edit" aspectratio="f"/>
                <v:textbox>
                  <w:txbxContent>
                    <w:p w14:paraId="108C2FEB">
                      <w:pPr>
                        <w:jc w:val="center"/>
                      </w:pPr>
                      <w:r>
                        <w:rPr>
                          <w:rFonts w:hint="eastAsia"/>
                        </w:rPr>
                        <w:t>噪声、燃油废气、粉尘、弃土弃渣、固废、地表扰动、水土流失等</w:t>
                      </w:r>
                    </w:p>
                  </w:txbxContent>
                </v:textbox>
              </v:shape>
            </w:pict>
          </mc:Fallback>
        </mc:AlternateContent>
      </w:r>
    </w:p>
    <w:p w14:paraId="6FFE5182">
      <w:pPr>
        <w:pStyle w:val="41"/>
        <w:adjustRightInd w:val="0"/>
        <w:snapToGrid w:val="0"/>
        <w:spacing w:line="460" w:lineRule="exact"/>
        <w:ind w:firstLine="480" w:firstLineChars="200"/>
        <w:rPr>
          <w:rFonts w:ascii="Arial" w:hAnsi="Arial" w:eastAsia="仿宋_GB2312" w:cs="Arial"/>
          <w:sz w:val="24"/>
        </w:rPr>
      </w:pPr>
    </w:p>
    <w:p w14:paraId="5F60BD8A">
      <w:pPr>
        <w:spacing w:line="240" w:lineRule="exact"/>
        <w:jc w:val="center"/>
        <w:rPr>
          <w:rFonts w:hint="eastAsia" w:ascii="Arial" w:hAnsi="宋体" w:cs="Arial"/>
          <w:b/>
          <w:bCs/>
          <w:sz w:val="26"/>
          <w:szCs w:val="26"/>
        </w:rPr>
      </w:pPr>
    </w:p>
    <w:p w14:paraId="7A817526">
      <w:pPr>
        <w:spacing w:line="240" w:lineRule="exact"/>
        <w:jc w:val="center"/>
        <w:rPr>
          <w:rFonts w:hint="eastAsia" w:ascii="Arial" w:hAnsi="宋体" w:cs="Arial"/>
          <w:b/>
          <w:bCs/>
          <w:sz w:val="26"/>
          <w:szCs w:val="26"/>
        </w:rPr>
      </w:pPr>
    </w:p>
    <w:p w14:paraId="00E48194">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宋体" w:cs="Arial"/>
          <w:b/>
          <w:bCs/>
          <w:sz w:val="26"/>
          <w:szCs w:val="26"/>
        </w:rPr>
      </w:pPr>
      <w:r>
        <w:rPr>
          <w:rFonts w:hint="eastAsia" w:ascii="Arial" w:hAnsi="宋体" w:cs="Arial"/>
          <w:b/>
          <w:bCs/>
          <w:sz w:val="26"/>
          <w:szCs w:val="26"/>
        </w:rPr>
        <w:t xml:space="preserve">图3.4-5 </w:t>
      </w:r>
      <w:r>
        <w:rPr>
          <w:rFonts w:hint="eastAsia" w:ascii="Arial" w:hAnsi="宋体" w:cs="Arial"/>
          <w:b/>
          <w:bCs/>
          <w:sz w:val="26"/>
          <w:szCs w:val="26"/>
          <w:lang w:eastAsia="zh-CN"/>
        </w:rPr>
        <w:t>管理房、闸阀房</w:t>
      </w:r>
      <w:r>
        <w:rPr>
          <w:rFonts w:hint="eastAsia" w:ascii="Arial" w:hAnsi="宋体" w:cs="Arial"/>
          <w:b/>
          <w:bCs/>
          <w:sz w:val="26"/>
          <w:szCs w:val="26"/>
        </w:rPr>
        <w:t>施工工艺流程及产排污环节图</w:t>
      </w:r>
    </w:p>
    <w:p w14:paraId="4FECDF4C">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Arial" w:eastAsia="宋体" w:cs="Arial"/>
          <w:b/>
          <w:bCs w:val="0"/>
          <w:sz w:val="26"/>
          <w:szCs w:val="26"/>
          <w:lang w:val="en-US" w:eastAsia="zh-CN"/>
        </w:rPr>
      </w:pPr>
      <w:r>
        <w:rPr>
          <w:rFonts w:hint="eastAsia" w:ascii="Arial" w:hAnsi="Arial" w:cs="Arial"/>
          <w:b/>
          <w:bCs w:val="0"/>
          <w:sz w:val="26"/>
          <w:szCs w:val="26"/>
          <w:lang w:val="en-US" w:eastAsia="zh-CN"/>
        </w:rPr>
        <w:t>3.1.2施工期环境影响因素</w:t>
      </w:r>
    </w:p>
    <w:p w14:paraId="5CDDE27D">
      <w:pPr>
        <w:keepNext w:val="0"/>
        <w:keepLines w:val="0"/>
        <w:pageBreakBefore w:val="0"/>
        <w:widowControl w:val="0"/>
        <w:kinsoku/>
        <w:wordWrap/>
        <w:overflowPunct/>
        <w:topLinePunct w:val="0"/>
        <w:autoSpaceDE/>
        <w:autoSpaceDN/>
        <w:bidi w:val="0"/>
        <w:adjustRightInd/>
        <w:snapToGrid/>
        <w:spacing w:line="460" w:lineRule="exact"/>
        <w:ind w:firstLine="392" w:firstLineChars="150"/>
        <w:jc w:val="left"/>
        <w:textAlignment w:val="auto"/>
        <w:outlineLvl w:val="3"/>
        <w:rPr>
          <w:rFonts w:hint="eastAsia" w:ascii="Arial" w:hAnsi="宋体" w:cs="Arial"/>
          <w:b/>
          <w:sz w:val="26"/>
          <w:szCs w:val="26"/>
        </w:rPr>
      </w:pPr>
      <w:r>
        <w:rPr>
          <w:rFonts w:hint="eastAsia" w:ascii="Arial" w:hAnsi="宋体" w:cs="Arial"/>
          <w:b/>
          <w:sz w:val="26"/>
          <w:szCs w:val="26"/>
        </w:rPr>
        <w:t>（</w:t>
      </w:r>
      <w:r>
        <w:rPr>
          <w:rFonts w:hint="eastAsia" w:ascii="Arial" w:hAnsi="宋体" w:cs="Arial"/>
          <w:b/>
          <w:sz w:val="26"/>
          <w:szCs w:val="26"/>
          <w:lang w:val="en-US" w:eastAsia="zh-CN"/>
        </w:rPr>
        <w:t>1</w:t>
      </w:r>
      <w:r>
        <w:rPr>
          <w:rFonts w:hint="eastAsia" w:ascii="Arial" w:hAnsi="宋体" w:cs="Arial"/>
          <w:b/>
          <w:sz w:val="26"/>
          <w:szCs w:val="26"/>
        </w:rPr>
        <w:t>）</w:t>
      </w:r>
      <w:r>
        <w:rPr>
          <w:rFonts w:hint="eastAsia" w:ascii="Arial" w:hAnsi="宋体" w:cs="Arial"/>
          <w:b/>
          <w:sz w:val="26"/>
          <w:szCs w:val="26"/>
          <w:lang w:eastAsia="zh-CN"/>
        </w:rPr>
        <w:t>废水</w:t>
      </w:r>
    </w:p>
    <w:p w14:paraId="2F93828A">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施工废水主要为混凝土拌合系统废水、基坑废水、车辆及施工设备冲洗等产生的含油废水、管道试压废水等生产废水，以及施工场地初期雨水和施工人员产生的生活污水。</w:t>
      </w:r>
    </w:p>
    <w:p w14:paraId="6AE31838">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sz w:val="26"/>
          <w:szCs w:val="26"/>
          <w:lang w:eastAsia="zh-CN"/>
        </w:rPr>
      </w:pPr>
      <w:r>
        <w:rPr>
          <w:rFonts w:ascii="Arial" w:hAnsi="Arial" w:cs="Arial"/>
          <w:b/>
          <w:bCs/>
          <w:sz w:val="26"/>
          <w:szCs w:val="26"/>
        </w:rPr>
        <w:t xml:space="preserve">① </w:t>
      </w:r>
      <w:r>
        <w:rPr>
          <w:rFonts w:hint="eastAsia" w:ascii="Arial" w:hAnsi="Arial" w:cs="Arial"/>
          <w:b/>
          <w:bCs/>
          <w:sz w:val="26"/>
          <w:szCs w:val="26"/>
          <w:lang w:eastAsia="zh-CN"/>
        </w:rPr>
        <w:t>混凝土拌合系统废水</w:t>
      </w:r>
    </w:p>
    <w:p w14:paraId="7E0F1C14">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本项目混凝土拌合系统废水来源于混凝土转筒和料罐的冲洗、混凝土养护废水。</w:t>
      </w:r>
    </w:p>
    <w:p w14:paraId="729117AD">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本项目施工期共布置7台可移动式混凝土搅拌机、1套混凝土拌合站，混凝土加工系统废水主要来源于混凝土转筒和料罐的冲洗工序，为碱性废水，预计每日产生量约5m</w:t>
      </w:r>
      <w:r>
        <w:rPr>
          <w:rFonts w:hint="eastAsia" w:ascii="Arial" w:hAnsi="Arial" w:cs="Arial"/>
          <w:b w:val="0"/>
          <w:bCs/>
          <w:sz w:val="26"/>
          <w:szCs w:val="26"/>
          <w:vertAlign w:val="superscript"/>
          <w:lang w:val="en-US" w:eastAsia="zh-CN"/>
        </w:rPr>
        <w:t>3/</w:t>
      </w:r>
      <w:r>
        <w:rPr>
          <w:rFonts w:hint="eastAsia" w:ascii="Arial" w:hAnsi="Arial" w:cs="Arial"/>
          <w:b w:val="0"/>
          <w:bCs/>
          <w:sz w:val="26"/>
          <w:szCs w:val="26"/>
          <w:lang w:val="en-US" w:eastAsia="zh-CN"/>
        </w:rPr>
        <w:t>d。主要污染因子为pH、SS，浓度分别为12、2000gm/L，经pH调节+隔油沉淀池处理后，循环使用于混凝土拌和，不外排；沉渣定期清理，回用作混凝土拌合原料。</w:t>
      </w:r>
    </w:p>
    <w:p w14:paraId="314DDAB3">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Arial" w:cs="Arial"/>
          <w:b w:val="0"/>
          <w:bCs/>
          <w:sz w:val="26"/>
          <w:szCs w:val="26"/>
          <w:lang w:val="en-US" w:eastAsia="zh-CN"/>
        </w:rPr>
      </w:pPr>
      <w:r>
        <w:rPr>
          <w:rFonts w:hint="eastAsia" w:ascii="Arial" w:hAnsi="Arial" w:cs="Arial"/>
          <w:b w:val="0"/>
          <w:bCs/>
          <w:sz w:val="26"/>
          <w:szCs w:val="26"/>
          <w:lang w:val="en-US" w:eastAsia="zh-CN"/>
        </w:rPr>
        <w:t>混凝土浇筑养护产生的废水也属于碱性废水，具有悬浮物浓度较高、间歇集中排放的特点。本工程混凝土浇筑总量3.81万m</w:t>
      </w:r>
      <w:r>
        <w:rPr>
          <w:rFonts w:hint="eastAsia" w:ascii="Arial" w:hAnsi="Arial" w:cs="Arial"/>
          <w:b w:val="0"/>
          <w:bCs/>
          <w:sz w:val="26"/>
          <w:szCs w:val="26"/>
          <w:vertAlign w:val="superscript"/>
          <w:lang w:val="en-US" w:eastAsia="zh-CN"/>
        </w:rPr>
        <w:t>3</w:t>
      </w:r>
      <w:r>
        <w:rPr>
          <w:rFonts w:hint="eastAsia" w:ascii="Arial" w:hAnsi="Arial" w:cs="Arial"/>
          <w:b w:val="0"/>
          <w:bCs/>
          <w:sz w:val="26"/>
          <w:szCs w:val="26"/>
          <w:lang w:val="en-US" w:eastAsia="zh-CN"/>
        </w:rPr>
        <w:t>。据有关资料，每养护1m</w:t>
      </w:r>
      <w:r>
        <w:rPr>
          <w:rFonts w:hint="eastAsia" w:ascii="Arial" w:hAnsi="Arial" w:cs="Arial"/>
          <w:b w:val="0"/>
          <w:bCs/>
          <w:sz w:val="26"/>
          <w:szCs w:val="26"/>
          <w:vertAlign w:val="superscript"/>
          <w:lang w:val="en-US" w:eastAsia="zh-CN"/>
        </w:rPr>
        <w:t>3</w:t>
      </w:r>
      <w:r>
        <w:rPr>
          <w:rFonts w:hint="eastAsia" w:ascii="Arial" w:hAnsi="Arial" w:cs="Arial"/>
          <w:b w:val="0"/>
          <w:bCs/>
          <w:sz w:val="26"/>
          <w:szCs w:val="26"/>
          <w:lang w:val="en-US" w:eastAsia="zh-CN"/>
        </w:rPr>
        <w:t>混凝土产生约0.35m</w:t>
      </w:r>
      <w:r>
        <w:rPr>
          <w:rFonts w:hint="eastAsia" w:ascii="Arial" w:hAnsi="Arial" w:cs="Arial"/>
          <w:b w:val="0"/>
          <w:bCs/>
          <w:sz w:val="26"/>
          <w:szCs w:val="26"/>
          <w:vertAlign w:val="superscript"/>
          <w:lang w:val="en-US" w:eastAsia="zh-CN"/>
        </w:rPr>
        <w:t>3</w:t>
      </w:r>
      <w:r>
        <w:rPr>
          <w:rFonts w:hint="eastAsia" w:ascii="Arial" w:hAnsi="Arial" w:cs="Arial"/>
          <w:b w:val="0"/>
          <w:bCs/>
          <w:sz w:val="26"/>
          <w:szCs w:val="26"/>
          <w:lang w:val="en-US" w:eastAsia="zh-CN"/>
        </w:rPr>
        <w:t>碱性废水，则项目养护废水产生量约1.33万m</w:t>
      </w:r>
      <w:r>
        <w:rPr>
          <w:rFonts w:hint="eastAsia" w:ascii="Arial" w:hAnsi="Arial" w:cs="Arial"/>
          <w:b w:val="0"/>
          <w:bCs/>
          <w:sz w:val="26"/>
          <w:szCs w:val="26"/>
          <w:vertAlign w:val="superscript"/>
          <w:lang w:val="en-US" w:eastAsia="zh-CN"/>
        </w:rPr>
        <w:t>3</w:t>
      </w:r>
      <w:r>
        <w:rPr>
          <w:rFonts w:hint="eastAsia" w:ascii="Arial" w:hAnsi="Arial" w:cs="Arial"/>
          <w:b w:val="0"/>
          <w:bCs/>
          <w:sz w:val="26"/>
          <w:szCs w:val="26"/>
          <w:lang w:val="en-US" w:eastAsia="zh-CN"/>
        </w:rPr>
        <w:t>。主要污染因子为pH、SS，浓度分别为12、2000gm/L，由排水沟收集后，经pH调节+隔油沉淀池处理后，上清液回用作抑尘洒水或混凝土养护用水，不外排；沉渣定期清理，自然风干后运至弃渣场处理。</w:t>
      </w:r>
    </w:p>
    <w:p w14:paraId="6DF8CECE">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sz w:val="26"/>
          <w:szCs w:val="26"/>
          <w:lang w:eastAsia="zh-CN"/>
        </w:rPr>
      </w:pPr>
      <w:r>
        <w:rPr>
          <w:rFonts w:ascii="Arial" w:hAnsi="Arial" w:cs="Arial"/>
          <w:b/>
          <w:bCs/>
          <w:sz w:val="26"/>
          <w:szCs w:val="26"/>
        </w:rPr>
        <w:t>②</w:t>
      </w:r>
      <w:r>
        <w:rPr>
          <w:rFonts w:hint="eastAsia" w:ascii="Arial" w:hAnsi="Arial" w:cs="Arial"/>
          <w:b/>
          <w:bCs/>
          <w:sz w:val="26"/>
          <w:szCs w:val="26"/>
          <w:lang w:val="en-US" w:eastAsia="zh-CN"/>
        </w:rPr>
        <w:t xml:space="preserve"> </w:t>
      </w:r>
      <w:r>
        <w:rPr>
          <w:rFonts w:hint="eastAsia" w:ascii="Arial" w:hAnsi="Arial" w:cs="Arial"/>
          <w:b/>
          <w:bCs/>
          <w:sz w:val="26"/>
          <w:szCs w:val="26"/>
          <w:lang w:eastAsia="zh-CN"/>
        </w:rPr>
        <w:t>基坑废水</w:t>
      </w:r>
    </w:p>
    <w:p w14:paraId="7EFF26BB">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ascii="Arial" w:cs="Arial"/>
          <w:b w:val="0"/>
          <w:bCs/>
          <w:color w:val="auto"/>
          <w:sz w:val="26"/>
          <w:szCs w:val="26"/>
        </w:rPr>
      </w:pPr>
      <w:r>
        <w:rPr>
          <w:rFonts w:ascii="Arial" w:cs="Arial"/>
          <w:b w:val="0"/>
          <w:bCs/>
          <w:color w:val="auto"/>
          <w:sz w:val="26"/>
          <w:szCs w:val="26"/>
        </w:rPr>
        <w:t>基坑排水分初期和经常</w:t>
      </w:r>
      <w:r>
        <w:rPr>
          <w:rFonts w:hint="eastAsia" w:ascii="Arial" w:cs="Arial"/>
          <w:b w:val="0"/>
          <w:bCs/>
          <w:color w:val="auto"/>
          <w:sz w:val="26"/>
          <w:szCs w:val="26"/>
          <w:lang w:eastAsia="zh-CN"/>
        </w:rPr>
        <w:t>性</w:t>
      </w:r>
      <w:r>
        <w:rPr>
          <w:rFonts w:ascii="Arial" w:cs="Arial"/>
          <w:b w:val="0"/>
          <w:bCs/>
          <w:color w:val="auto"/>
          <w:sz w:val="26"/>
          <w:szCs w:val="26"/>
        </w:rPr>
        <w:t>排水。</w:t>
      </w:r>
    </w:p>
    <w:p w14:paraId="76F9FC43">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color w:val="auto"/>
          <w:sz w:val="26"/>
          <w:szCs w:val="26"/>
          <w:lang w:eastAsia="zh-CN"/>
        </w:rPr>
      </w:pPr>
      <w:r>
        <w:rPr>
          <w:rFonts w:ascii="Arial" w:cs="Arial"/>
          <w:b w:val="0"/>
          <w:bCs/>
          <w:color w:val="auto"/>
          <w:sz w:val="26"/>
          <w:szCs w:val="26"/>
        </w:rPr>
        <w:t>初期排水</w:t>
      </w:r>
      <w:r>
        <w:rPr>
          <w:rFonts w:hint="eastAsia" w:ascii="Arial" w:cs="Arial"/>
          <w:b w:val="0"/>
          <w:bCs/>
          <w:color w:val="auto"/>
          <w:sz w:val="26"/>
          <w:szCs w:val="26"/>
          <w:lang w:eastAsia="zh-CN"/>
        </w:rPr>
        <w:t>为大坝</w:t>
      </w:r>
      <w:r>
        <w:rPr>
          <w:rFonts w:ascii="Arial" w:cs="Arial"/>
          <w:b w:val="0"/>
          <w:bCs/>
          <w:color w:val="auto"/>
          <w:sz w:val="26"/>
          <w:szCs w:val="26"/>
        </w:rPr>
        <w:t>上</w:t>
      </w:r>
      <w:r>
        <w:rPr>
          <w:rFonts w:hint="eastAsia" w:ascii="Arial" w:cs="Arial"/>
          <w:b w:val="0"/>
          <w:bCs/>
          <w:color w:val="auto"/>
          <w:sz w:val="26"/>
          <w:szCs w:val="26"/>
          <w:lang w:eastAsia="zh-CN"/>
        </w:rPr>
        <w:t>、下</w:t>
      </w:r>
      <w:r>
        <w:rPr>
          <w:rFonts w:ascii="Arial" w:cs="Arial"/>
          <w:b w:val="0"/>
          <w:bCs/>
          <w:color w:val="auto"/>
          <w:sz w:val="26"/>
          <w:szCs w:val="26"/>
        </w:rPr>
        <w:t>游土石围堰闭气后</w:t>
      </w:r>
      <w:r>
        <w:rPr>
          <w:rFonts w:hint="eastAsia" w:ascii="Arial" w:cs="Arial"/>
          <w:b w:val="0"/>
          <w:bCs/>
          <w:color w:val="auto"/>
          <w:sz w:val="26"/>
          <w:szCs w:val="26"/>
          <w:lang w:eastAsia="zh-CN"/>
        </w:rPr>
        <w:t>基坑内的积水</w:t>
      </w:r>
      <w:r>
        <w:rPr>
          <w:rFonts w:ascii="Arial" w:cs="Arial"/>
          <w:b w:val="0"/>
          <w:bCs/>
          <w:color w:val="auto"/>
          <w:sz w:val="26"/>
          <w:szCs w:val="26"/>
        </w:rPr>
        <w:t>，根据本工程的现场情况，先填筑上游围堰，再填筑下游围堰，下游围堰填筑完成后，基坑积水很少，</w:t>
      </w:r>
      <w:r>
        <w:rPr>
          <w:rFonts w:hint="eastAsia" w:ascii="Arial" w:cs="Arial"/>
          <w:b w:val="0"/>
          <w:bCs/>
          <w:color w:val="auto"/>
          <w:sz w:val="26"/>
          <w:szCs w:val="26"/>
          <w:lang w:eastAsia="zh-CN"/>
        </w:rPr>
        <w:t>泵入下游河道。</w:t>
      </w:r>
    </w:p>
    <w:p w14:paraId="1D397778">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bCs/>
          <w:color w:val="auto"/>
          <w:sz w:val="26"/>
          <w:szCs w:val="26"/>
          <w:lang w:val="en-US" w:eastAsia="zh-CN"/>
        </w:rPr>
      </w:pPr>
      <w:r>
        <w:rPr>
          <w:rFonts w:hint="eastAsia" w:ascii="Arial" w:cs="Arial"/>
          <w:b w:val="0"/>
          <w:bCs/>
          <w:color w:val="auto"/>
          <w:sz w:val="26"/>
          <w:szCs w:val="26"/>
          <w:lang w:eastAsia="zh-CN"/>
        </w:rPr>
        <w:t>经常性</w:t>
      </w:r>
      <w:r>
        <w:rPr>
          <w:rFonts w:ascii="Arial" w:cs="Arial"/>
          <w:b w:val="0"/>
          <w:bCs/>
          <w:color w:val="auto"/>
          <w:sz w:val="26"/>
          <w:szCs w:val="26"/>
        </w:rPr>
        <w:t>主要</w:t>
      </w:r>
      <w:r>
        <w:rPr>
          <w:rFonts w:hint="eastAsia" w:ascii="Arial" w:cs="Arial"/>
          <w:b w:val="0"/>
          <w:bCs/>
          <w:color w:val="auto"/>
          <w:sz w:val="26"/>
          <w:szCs w:val="26"/>
          <w:lang w:eastAsia="zh-CN"/>
        </w:rPr>
        <w:t>受</w:t>
      </w:r>
      <w:r>
        <w:rPr>
          <w:rFonts w:ascii="Arial" w:cs="Arial"/>
          <w:b w:val="0"/>
          <w:bCs/>
          <w:color w:val="auto"/>
          <w:sz w:val="26"/>
          <w:szCs w:val="26"/>
        </w:rPr>
        <w:t>堰体渗水</w:t>
      </w:r>
      <w:r>
        <w:rPr>
          <w:rFonts w:hint="eastAsia" w:ascii="Arial" w:cs="Arial"/>
          <w:b w:val="0"/>
          <w:bCs/>
          <w:color w:val="auto"/>
          <w:sz w:val="26"/>
          <w:szCs w:val="26"/>
          <w:lang w:eastAsia="zh-CN"/>
        </w:rPr>
        <w:t>施工废水（主要是混凝土养护废水）</w:t>
      </w:r>
      <w:r>
        <w:rPr>
          <w:rFonts w:ascii="Arial" w:cs="Arial"/>
          <w:b w:val="0"/>
          <w:bCs/>
          <w:color w:val="auto"/>
          <w:sz w:val="26"/>
          <w:szCs w:val="26"/>
        </w:rPr>
        <w:t>和大气降水等</w:t>
      </w:r>
      <w:r>
        <w:rPr>
          <w:rFonts w:hint="eastAsia" w:ascii="Arial" w:cs="Arial"/>
          <w:b w:val="0"/>
          <w:bCs/>
          <w:color w:val="auto"/>
          <w:sz w:val="26"/>
          <w:szCs w:val="26"/>
          <w:lang w:eastAsia="zh-CN"/>
        </w:rPr>
        <w:t>因素影响</w:t>
      </w:r>
      <w:r>
        <w:rPr>
          <w:rFonts w:ascii="Arial" w:cs="Arial"/>
          <w:b w:val="0"/>
          <w:bCs/>
          <w:color w:val="auto"/>
          <w:sz w:val="26"/>
          <w:szCs w:val="26"/>
        </w:rPr>
        <w:t>，最大排水强度约</w:t>
      </w:r>
      <w:r>
        <w:rPr>
          <w:rFonts w:hint="eastAsia" w:ascii="Arial" w:hAnsi="Arial" w:cs="Arial"/>
          <w:b w:val="0"/>
          <w:bCs/>
          <w:color w:val="auto"/>
          <w:sz w:val="26"/>
          <w:szCs w:val="26"/>
          <w:lang w:val="en-US" w:eastAsia="zh-CN"/>
        </w:rPr>
        <w:t>14</w:t>
      </w:r>
      <w:r>
        <w:rPr>
          <w:rFonts w:ascii="Arial" w:hAnsi="Arial" w:cs="Arial"/>
          <w:b w:val="0"/>
          <w:bCs/>
          <w:color w:val="auto"/>
          <w:sz w:val="26"/>
          <w:szCs w:val="26"/>
        </w:rPr>
        <w:t>m</w:t>
      </w:r>
      <w:r>
        <w:rPr>
          <w:rFonts w:ascii="Arial" w:hAnsi="Arial" w:cs="Arial"/>
          <w:b w:val="0"/>
          <w:bCs/>
          <w:color w:val="auto"/>
          <w:sz w:val="26"/>
          <w:szCs w:val="26"/>
          <w:vertAlign w:val="superscript"/>
        </w:rPr>
        <w:t>3</w:t>
      </w:r>
      <w:r>
        <w:rPr>
          <w:rFonts w:ascii="Arial" w:hAnsi="Arial" w:cs="Arial"/>
          <w:b w:val="0"/>
          <w:bCs/>
          <w:color w:val="auto"/>
          <w:sz w:val="26"/>
          <w:szCs w:val="26"/>
        </w:rPr>
        <w:t>/</w:t>
      </w:r>
      <w:r>
        <w:rPr>
          <w:rFonts w:hint="eastAsia" w:ascii="Arial" w:hAnsi="Arial" w:cs="Arial"/>
          <w:b w:val="0"/>
          <w:bCs/>
          <w:color w:val="auto"/>
          <w:sz w:val="26"/>
          <w:szCs w:val="26"/>
          <w:lang w:val="en-US" w:eastAsia="zh-CN"/>
        </w:rPr>
        <w:t>h，</w:t>
      </w:r>
      <w:r>
        <w:rPr>
          <w:rFonts w:hint="eastAsia" w:ascii="Arial" w:cs="Arial"/>
          <w:b w:val="0"/>
          <w:bCs/>
          <w:color w:val="auto"/>
          <w:sz w:val="26"/>
          <w:szCs w:val="26"/>
          <w:lang w:eastAsia="zh-CN"/>
        </w:rPr>
        <w:t>其特点是水量大、以天然水体为主，污染物种类少、含量低，</w:t>
      </w:r>
      <w:r>
        <w:rPr>
          <w:rFonts w:hint="eastAsia" w:ascii="Arial" w:hAnsi="Arial" w:cs="Arial"/>
          <w:b w:val="0"/>
          <w:bCs/>
          <w:color w:val="auto"/>
          <w:sz w:val="26"/>
          <w:szCs w:val="26"/>
          <w:lang w:val="en-US" w:eastAsia="zh-CN"/>
        </w:rPr>
        <w:t>主要污染物为SS，浓度约1000mg/L。经截水沟、集水坑收集沉淀处理后，上清液可用作施工用水，多余部分泵入下游河道。</w:t>
      </w:r>
    </w:p>
    <w:p w14:paraId="3CCEC8EB">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cs="Arial"/>
          <w:b/>
          <w:bCs/>
          <w:sz w:val="26"/>
          <w:szCs w:val="26"/>
          <w:lang w:val="en-US" w:eastAsia="zh-CN"/>
        </w:rPr>
      </w:pPr>
      <w:r>
        <w:rPr>
          <w:rFonts w:hint="eastAsia" w:ascii="Arial" w:hAnsi="Arial" w:cs="Arial"/>
          <w:b/>
          <w:bCs/>
          <w:sz w:val="26"/>
          <w:szCs w:val="26"/>
          <w:lang w:val="en-US" w:eastAsia="zh-CN"/>
        </w:rPr>
        <w:t>③ 含油废水</w:t>
      </w:r>
    </w:p>
    <w:p w14:paraId="35978B28">
      <w:pPr>
        <w:spacing w:line="460" w:lineRule="exact"/>
        <w:ind w:firstLine="520" w:firstLineChars="200"/>
        <w:rPr>
          <w:rFonts w:ascii="Arial" w:hAnsi="Arial" w:cs="Arial"/>
          <w:bCs/>
          <w:sz w:val="26"/>
          <w:szCs w:val="26"/>
        </w:rPr>
      </w:pPr>
      <w:r>
        <w:rPr>
          <w:rFonts w:hint="eastAsia" w:ascii="Arial" w:cs="Arial"/>
          <w:sz w:val="26"/>
          <w:szCs w:val="26"/>
          <w:lang w:eastAsia="zh-CN"/>
        </w:rPr>
        <w:t>本项目枢纽工程、输水工程施工场地内均设置有</w:t>
      </w:r>
      <w:r>
        <w:rPr>
          <w:rFonts w:hint="eastAsia" w:ascii="Arial" w:cs="Arial"/>
          <w:sz w:val="26"/>
          <w:szCs w:val="26"/>
          <w:lang w:val="en-US" w:eastAsia="zh-CN"/>
        </w:rPr>
        <w:t>1处施工机械停放场，会对施工机械进行简易的维护、检修、清洗，该过程会产生含油废水</w:t>
      </w:r>
      <w:r>
        <w:rPr>
          <w:rFonts w:ascii="Arial" w:cs="Arial"/>
          <w:sz w:val="26"/>
          <w:szCs w:val="26"/>
        </w:rPr>
        <w:t>。根据</w:t>
      </w:r>
      <w:r>
        <w:rPr>
          <w:rFonts w:hint="eastAsia" w:ascii="Arial" w:cs="Arial"/>
          <w:sz w:val="26"/>
          <w:szCs w:val="26"/>
          <w:lang w:eastAsia="zh-CN"/>
        </w:rPr>
        <w:t>类</w:t>
      </w:r>
      <w:r>
        <w:rPr>
          <w:rFonts w:ascii="Arial" w:cs="Arial"/>
          <w:sz w:val="26"/>
          <w:szCs w:val="26"/>
        </w:rPr>
        <w:t>比同类工程，预计</w:t>
      </w:r>
      <w:r>
        <w:rPr>
          <w:rFonts w:hint="eastAsia" w:ascii="Arial" w:cs="Arial"/>
          <w:sz w:val="26"/>
          <w:szCs w:val="26"/>
          <w:lang w:eastAsia="zh-CN"/>
        </w:rPr>
        <w:t>本项目施工期含油废水产生量</w:t>
      </w:r>
      <w:r>
        <w:rPr>
          <w:rFonts w:ascii="Arial" w:cs="Arial"/>
          <w:sz w:val="26"/>
          <w:szCs w:val="26"/>
        </w:rPr>
        <w:t>共计约</w:t>
      </w:r>
      <w:r>
        <w:rPr>
          <w:rFonts w:ascii="Arial" w:hAnsi="Arial" w:cs="Arial"/>
          <w:sz w:val="26"/>
          <w:szCs w:val="26"/>
        </w:rPr>
        <w:t>3.0m</w:t>
      </w:r>
      <w:r>
        <w:rPr>
          <w:rFonts w:ascii="Arial" w:hAnsi="Arial" w:cs="Arial"/>
          <w:sz w:val="26"/>
          <w:szCs w:val="26"/>
          <w:vertAlign w:val="superscript"/>
        </w:rPr>
        <w:t>3</w:t>
      </w:r>
      <w:r>
        <w:rPr>
          <w:rFonts w:ascii="Arial" w:hAnsi="Arial" w:cs="Arial"/>
          <w:sz w:val="26"/>
          <w:szCs w:val="26"/>
        </w:rPr>
        <w:t>/d</w:t>
      </w:r>
      <w:r>
        <w:rPr>
          <w:rFonts w:ascii="Arial" w:cs="Arial"/>
          <w:sz w:val="26"/>
          <w:szCs w:val="26"/>
        </w:rPr>
        <w:t>，废水主要含石油类、</w:t>
      </w:r>
      <w:r>
        <w:rPr>
          <w:rFonts w:ascii="Arial" w:hAnsi="Arial" w:cs="Arial"/>
          <w:sz w:val="26"/>
          <w:szCs w:val="26"/>
        </w:rPr>
        <w:t>SS</w:t>
      </w:r>
      <w:r>
        <w:rPr>
          <w:rFonts w:ascii="Arial" w:cs="Arial"/>
          <w:sz w:val="26"/>
          <w:szCs w:val="26"/>
        </w:rPr>
        <w:t>，浓度约为</w:t>
      </w:r>
      <w:r>
        <w:rPr>
          <w:rFonts w:ascii="Arial" w:hAnsi="Arial" w:cs="Arial"/>
          <w:sz w:val="26"/>
          <w:szCs w:val="26"/>
        </w:rPr>
        <w:t>1</w:t>
      </w:r>
      <w:r>
        <w:rPr>
          <w:rFonts w:hint="eastAsia" w:ascii="Arial" w:hAnsi="Arial" w:cs="Arial"/>
          <w:sz w:val="26"/>
          <w:szCs w:val="26"/>
          <w:lang w:val="en-US" w:eastAsia="zh-CN"/>
        </w:rPr>
        <w:t>2</w:t>
      </w:r>
      <w:r>
        <w:rPr>
          <w:rFonts w:ascii="Arial" w:hAnsi="Arial" w:cs="Arial"/>
          <w:sz w:val="26"/>
          <w:szCs w:val="26"/>
        </w:rPr>
        <w:t>0mg/L</w:t>
      </w:r>
      <w:r>
        <w:rPr>
          <w:rFonts w:ascii="Arial" w:cs="Arial"/>
          <w:sz w:val="26"/>
          <w:szCs w:val="26"/>
        </w:rPr>
        <w:t>、</w:t>
      </w:r>
      <w:r>
        <w:rPr>
          <w:rFonts w:ascii="Arial" w:hAnsi="Arial" w:cs="Arial"/>
          <w:sz w:val="26"/>
          <w:szCs w:val="26"/>
        </w:rPr>
        <w:t>1</w:t>
      </w:r>
      <w:r>
        <w:rPr>
          <w:rFonts w:hint="eastAsia" w:ascii="Arial" w:hAnsi="Arial" w:cs="Arial"/>
          <w:sz w:val="26"/>
          <w:szCs w:val="26"/>
          <w:lang w:val="en-US" w:eastAsia="zh-CN"/>
        </w:rPr>
        <w:t>0</w:t>
      </w:r>
      <w:r>
        <w:rPr>
          <w:rFonts w:ascii="Arial" w:hAnsi="Arial" w:cs="Arial"/>
          <w:sz w:val="26"/>
          <w:szCs w:val="26"/>
        </w:rPr>
        <w:t>00mg/L</w:t>
      </w:r>
      <w:r>
        <w:rPr>
          <w:rFonts w:ascii="Arial" w:cs="Arial"/>
          <w:sz w:val="26"/>
          <w:szCs w:val="26"/>
        </w:rPr>
        <w:t>。含油废水经</w:t>
      </w:r>
      <w:r>
        <w:rPr>
          <w:rFonts w:hint="eastAsia" w:ascii="Arial" w:cs="Arial"/>
          <w:sz w:val="26"/>
          <w:szCs w:val="26"/>
          <w:lang w:eastAsia="zh-CN"/>
        </w:rPr>
        <w:t>各施工场地</w:t>
      </w:r>
      <w:r>
        <w:rPr>
          <w:rFonts w:hint="eastAsia" w:ascii="Arial" w:cs="Arial"/>
          <w:sz w:val="26"/>
          <w:szCs w:val="26"/>
        </w:rPr>
        <w:t>内</w:t>
      </w:r>
      <w:r>
        <w:rPr>
          <w:rFonts w:ascii="Arial" w:cs="Arial"/>
          <w:sz w:val="26"/>
          <w:szCs w:val="26"/>
        </w:rPr>
        <w:t>设置的隔油池处理后全部回用</w:t>
      </w:r>
      <w:r>
        <w:rPr>
          <w:rFonts w:hint="eastAsia" w:ascii="Arial" w:cs="Arial"/>
          <w:sz w:val="26"/>
          <w:szCs w:val="26"/>
          <w:lang w:eastAsia="zh-CN"/>
        </w:rPr>
        <w:t>，</w:t>
      </w:r>
      <w:r>
        <w:rPr>
          <w:rFonts w:ascii="Arial" w:cs="Arial"/>
          <w:sz w:val="26"/>
          <w:szCs w:val="26"/>
        </w:rPr>
        <w:t>不外排。</w:t>
      </w:r>
    </w:p>
    <w:p w14:paraId="000385AD">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cs="Arial"/>
          <w:b/>
          <w:bCs/>
          <w:sz w:val="26"/>
          <w:szCs w:val="26"/>
          <w:lang w:val="en-US" w:eastAsia="zh-CN"/>
        </w:rPr>
      </w:pPr>
      <w:r>
        <w:rPr>
          <w:rFonts w:hint="eastAsia" w:ascii="Arial" w:hAnsi="Arial" w:cs="Arial"/>
          <w:b/>
          <w:bCs/>
          <w:sz w:val="26"/>
          <w:szCs w:val="26"/>
          <w:lang w:val="en-US" w:eastAsia="zh-CN"/>
        </w:rPr>
        <w:t>④ 初期雨水</w:t>
      </w:r>
    </w:p>
    <w:p w14:paraId="419D8AB5">
      <w:pPr>
        <w:spacing w:line="460" w:lineRule="exact"/>
        <w:ind w:firstLine="520" w:firstLineChars="200"/>
        <w:rPr>
          <w:rFonts w:hint="eastAsia" w:ascii="Arial" w:cs="Arial"/>
          <w:sz w:val="26"/>
          <w:szCs w:val="26"/>
          <w:lang w:eastAsia="zh-CN"/>
        </w:rPr>
      </w:pPr>
      <w:r>
        <w:rPr>
          <w:rFonts w:hint="eastAsia" w:ascii="Arial" w:cs="Arial"/>
          <w:b w:val="0"/>
          <w:bCs/>
          <w:sz w:val="26"/>
          <w:szCs w:val="26"/>
          <w:lang w:eastAsia="zh-CN"/>
        </w:rPr>
        <w:t>项目施工期遇雨天产生初期雨水，会伴有泥沙形成“黄泥水”，此类地表径流中的主要污染物为SS。主要发生区域为施工临时用地区，尤其是砂石料及土方堆放场所，若不加以处理大量含泥沙废水进入附近水体会导致水体中SS 浓度升高。因此，施工单位需在</w:t>
      </w:r>
      <w:r>
        <w:rPr>
          <w:rFonts w:hint="eastAsia" w:ascii="Arial" w:cs="Arial"/>
          <w:sz w:val="26"/>
          <w:szCs w:val="26"/>
          <w:lang w:eastAsia="zh-CN"/>
        </w:rPr>
        <w:t>各施工作业点地势较高一侧设置截水沟，在场地地势较低一侧设置排水沟和沉砂池，一方面减少场地雨水汇入量，二是将初期雨水沉淀后回用作施工用水或排入环境。</w:t>
      </w:r>
    </w:p>
    <w:p w14:paraId="0045E5E2">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cs="Arial"/>
          <w:b/>
          <w:bCs/>
          <w:sz w:val="26"/>
          <w:szCs w:val="26"/>
          <w:lang w:val="en-US" w:eastAsia="zh-CN"/>
        </w:rPr>
      </w:pPr>
      <w:r>
        <w:rPr>
          <w:rFonts w:hint="eastAsia" w:ascii="Arial" w:hAnsi="Arial" w:cs="Arial"/>
          <w:b/>
          <w:bCs/>
          <w:sz w:val="26"/>
          <w:szCs w:val="26"/>
          <w:lang w:val="en-US" w:eastAsia="zh-CN"/>
        </w:rPr>
        <w:t>⑤ 生活污水</w:t>
      </w:r>
    </w:p>
    <w:p w14:paraId="4F069772">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hAnsi="Arial" w:cs="Arial"/>
          <w:b w:val="0"/>
          <w:bCs/>
          <w:sz w:val="26"/>
          <w:szCs w:val="26"/>
          <w:lang w:val="en-US" w:eastAsia="zh-CN"/>
        </w:rPr>
        <w:t>本项目不设施工营地，施工人员大多就近招用，租赁项目区已有居民房屋作营地。</w:t>
      </w:r>
      <w:r>
        <w:rPr>
          <w:rFonts w:ascii="Arial" w:cs="Arial"/>
          <w:b w:val="0"/>
          <w:bCs/>
          <w:snapToGrid w:val="0"/>
          <w:sz w:val="26"/>
          <w:szCs w:val="26"/>
        </w:rPr>
        <w:t>枢纽工程高峰施工人数</w:t>
      </w:r>
      <w:r>
        <w:rPr>
          <w:rFonts w:hint="eastAsia" w:ascii="Arial" w:hAnsi="Arial" w:cs="Arial"/>
          <w:b w:val="0"/>
          <w:bCs/>
          <w:snapToGrid w:val="0"/>
          <w:sz w:val="26"/>
          <w:szCs w:val="26"/>
          <w:lang w:val="en-US" w:eastAsia="zh-CN"/>
        </w:rPr>
        <w:t>9</w:t>
      </w:r>
      <w:r>
        <w:rPr>
          <w:rFonts w:ascii="Arial" w:hAnsi="Arial" w:cs="Arial"/>
          <w:b w:val="0"/>
          <w:bCs/>
          <w:snapToGrid w:val="0"/>
          <w:sz w:val="26"/>
          <w:szCs w:val="26"/>
        </w:rPr>
        <w:t>0</w:t>
      </w:r>
      <w:r>
        <w:rPr>
          <w:rFonts w:ascii="Arial" w:cs="Arial"/>
          <w:b w:val="0"/>
          <w:bCs/>
          <w:snapToGrid w:val="0"/>
          <w:sz w:val="26"/>
          <w:szCs w:val="26"/>
        </w:rPr>
        <w:t>人</w:t>
      </w:r>
      <w:r>
        <w:rPr>
          <w:rFonts w:hint="eastAsia" w:ascii="Arial" w:cs="Arial"/>
          <w:b w:val="0"/>
          <w:bCs/>
          <w:snapToGrid w:val="0"/>
          <w:sz w:val="26"/>
          <w:szCs w:val="26"/>
        </w:rPr>
        <w:t>，</w:t>
      </w:r>
      <w:r>
        <w:rPr>
          <w:rFonts w:ascii="Arial" w:cs="Arial"/>
          <w:b w:val="0"/>
          <w:bCs/>
          <w:sz w:val="26"/>
          <w:szCs w:val="26"/>
        </w:rPr>
        <w:t>生活用水量按</w:t>
      </w:r>
      <w:r>
        <w:rPr>
          <w:rFonts w:ascii="Arial" w:hAnsi="Arial" w:cs="Arial"/>
          <w:b w:val="0"/>
          <w:bCs/>
          <w:sz w:val="26"/>
          <w:szCs w:val="26"/>
        </w:rPr>
        <w:t>100L/</w:t>
      </w:r>
      <w:r>
        <w:rPr>
          <w:rFonts w:ascii="Arial" w:cs="Arial"/>
          <w:b w:val="0"/>
          <w:bCs/>
          <w:sz w:val="26"/>
          <w:szCs w:val="26"/>
        </w:rPr>
        <w:t>人</w:t>
      </w:r>
      <w:r>
        <w:rPr>
          <w:rFonts w:ascii="Arial" w:hAnsi="Arial" w:cs="Arial"/>
          <w:b w:val="0"/>
          <w:bCs/>
          <w:sz w:val="26"/>
          <w:szCs w:val="26"/>
        </w:rPr>
        <w:t>·d</w:t>
      </w:r>
      <w:r>
        <w:rPr>
          <w:rFonts w:ascii="Arial" w:cs="Arial"/>
          <w:b w:val="0"/>
          <w:bCs/>
          <w:sz w:val="26"/>
          <w:szCs w:val="26"/>
        </w:rPr>
        <w:t>计，</w:t>
      </w:r>
      <w:r>
        <w:rPr>
          <w:rFonts w:hint="eastAsia" w:ascii="Arial" w:cs="Arial"/>
          <w:b w:val="0"/>
          <w:bCs/>
          <w:sz w:val="26"/>
          <w:szCs w:val="26"/>
          <w:lang w:eastAsia="zh-CN"/>
        </w:rPr>
        <w:t>排</w:t>
      </w:r>
      <w:r>
        <w:rPr>
          <w:rFonts w:ascii="Arial" w:cs="Arial"/>
          <w:b w:val="0"/>
          <w:bCs/>
          <w:sz w:val="26"/>
          <w:szCs w:val="26"/>
        </w:rPr>
        <w:t>污系数取</w:t>
      </w:r>
      <w:r>
        <w:rPr>
          <w:rFonts w:ascii="Arial" w:hAnsi="Arial" w:cs="Arial"/>
          <w:b w:val="0"/>
          <w:bCs/>
          <w:sz w:val="26"/>
          <w:szCs w:val="26"/>
        </w:rPr>
        <w:t>0.</w:t>
      </w:r>
      <w:r>
        <w:rPr>
          <w:rFonts w:hint="eastAsia" w:ascii="Arial" w:hAnsi="Arial" w:cs="Arial"/>
          <w:b w:val="0"/>
          <w:bCs/>
          <w:sz w:val="26"/>
          <w:szCs w:val="26"/>
          <w:lang w:val="en-US" w:eastAsia="zh-CN"/>
        </w:rPr>
        <w:t>9</w:t>
      </w:r>
      <w:r>
        <w:rPr>
          <w:rFonts w:ascii="Arial" w:cs="Arial"/>
          <w:b w:val="0"/>
          <w:bCs/>
          <w:sz w:val="26"/>
          <w:szCs w:val="26"/>
        </w:rPr>
        <w:t>，施工期生活废水产生量为</w:t>
      </w:r>
      <w:r>
        <w:rPr>
          <w:rFonts w:hint="eastAsia" w:ascii="Arial" w:hAnsi="Arial" w:cs="Arial"/>
          <w:b w:val="0"/>
          <w:bCs/>
          <w:sz w:val="26"/>
          <w:szCs w:val="26"/>
          <w:lang w:val="en-US" w:eastAsia="zh-CN"/>
        </w:rPr>
        <w:t>8.1</w:t>
      </w:r>
      <w:r>
        <w:rPr>
          <w:rFonts w:ascii="Arial" w:hAnsi="Arial" w:cs="Arial"/>
          <w:b w:val="0"/>
          <w:bCs/>
          <w:sz w:val="26"/>
          <w:szCs w:val="26"/>
        </w:rPr>
        <w:t>m</w:t>
      </w:r>
      <w:r>
        <w:rPr>
          <w:rFonts w:ascii="Arial" w:hAnsi="Arial" w:cs="Arial"/>
          <w:b w:val="0"/>
          <w:bCs/>
          <w:sz w:val="26"/>
          <w:szCs w:val="26"/>
          <w:vertAlign w:val="superscript"/>
        </w:rPr>
        <w:t>3</w:t>
      </w:r>
      <w:r>
        <w:rPr>
          <w:rFonts w:ascii="Arial" w:hAnsi="Arial" w:cs="Arial"/>
          <w:b w:val="0"/>
          <w:bCs/>
          <w:sz w:val="26"/>
          <w:szCs w:val="26"/>
        </w:rPr>
        <w:t>/d</w:t>
      </w:r>
      <w:r>
        <w:rPr>
          <w:rFonts w:ascii="Arial" w:cs="Arial"/>
          <w:b w:val="0"/>
          <w:bCs/>
          <w:sz w:val="26"/>
          <w:szCs w:val="26"/>
        </w:rPr>
        <w:t>。污水中污染物以</w:t>
      </w:r>
      <w:r>
        <w:rPr>
          <w:rFonts w:ascii="Arial" w:hAnsi="Arial" w:cs="Arial"/>
          <w:b w:val="0"/>
          <w:bCs/>
          <w:sz w:val="26"/>
          <w:szCs w:val="26"/>
        </w:rPr>
        <w:t>SS</w:t>
      </w:r>
      <w:r>
        <w:rPr>
          <w:rFonts w:ascii="Arial" w:cs="Arial"/>
          <w:b w:val="0"/>
          <w:bCs/>
          <w:sz w:val="26"/>
          <w:szCs w:val="26"/>
        </w:rPr>
        <w:t>、</w:t>
      </w:r>
      <w:r>
        <w:rPr>
          <w:rFonts w:ascii="Arial" w:hAnsi="Arial" w:cs="Arial"/>
          <w:b w:val="0"/>
          <w:bCs/>
          <w:sz w:val="26"/>
          <w:szCs w:val="26"/>
        </w:rPr>
        <w:t>BOD</w:t>
      </w:r>
      <w:r>
        <w:rPr>
          <w:rFonts w:ascii="Arial" w:hAnsi="Arial" w:cs="Arial"/>
          <w:b w:val="0"/>
          <w:bCs/>
          <w:sz w:val="26"/>
          <w:szCs w:val="26"/>
          <w:vertAlign w:val="subscript"/>
        </w:rPr>
        <w:t>5</w:t>
      </w:r>
      <w:r>
        <w:rPr>
          <w:rFonts w:ascii="Arial" w:cs="Arial"/>
          <w:b w:val="0"/>
          <w:bCs/>
          <w:sz w:val="26"/>
          <w:szCs w:val="26"/>
        </w:rPr>
        <w:t>、</w:t>
      </w:r>
      <w:r>
        <w:rPr>
          <w:rFonts w:ascii="Arial" w:hAnsi="Arial" w:cs="Arial"/>
          <w:b w:val="0"/>
          <w:bCs/>
          <w:sz w:val="26"/>
          <w:szCs w:val="26"/>
        </w:rPr>
        <w:t>COD</w:t>
      </w:r>
      <w:r>
        <w:rPr>
          <w:rFonts w:ascii="Arial" w:cs="Arial"/>
          <w:b w:val="0"/>
          <w:bCs/>
          <w:sz w:val="26"/>
          <w:szCs w:val="26"/>
        </w:rPr>
        <w:t>、</w:t>
      </w:r>
      <w:r>
        <w:rPr>
          <w:rFonts w:ascii="Arial" w:hAnsi="Arial" w:cs="Arial"/>
          <w:b w:val="0"/>
          <w:bCs/>
          <w:sz w:val="26"/>
          <w:szCs w:val="26"/>
        </w:rPr>
        <w:t>NH</w:t>
      </w:r>
      <w:r>
        <w:rPr>
          <w:rFonts w:ascii="Arial" w:hAnsi="Arial" w:cs="Arial"/>
          <w:b w:val="0"/>
          <w:bCs/>
          <w:sz w:val="26"/>
          <w:szCs w:val="26"/>
          <w:vertAlign w:val="subscript"/>
        </w:rPr>
        <w:t>3</w:t>
      </w:r>
      <w:r>
        <w:rPr>
          <w:rFonts w:ascii="Arial" w:hAnsi="Arial" w:cs="Arial"/>
          <w:b w:val="0"/>
          <w:bCs/>
          <w:sz w:val="26"/>
          <w:szCs w:val="26"/>
        </w:rPr>
        <w:t>-N</w:t>
      </w:r>
      <w:r>
        <w:rPr>
          <w:rFonts w:ascii="Arial" w:cs="Arial"/>
          <w:b w:val="0"/>
          <w:bCs/>
          <w:sz w:val="26"/>
          <w:szCs w:val="26"/>
        </w:rPr>
        <w:t>为主，浓度分别为</w:t>
      </w:r>
      <w:r>
        <w:rPr>
          <w:rFonts w:ascii="Arial" w:hAnsi="Arial" w:cs="Arial"/>
          <w:b w:val="0"/>
          <w:bCs/>
          <w:sz w:val="26"/>
          <w:szCs w:val="26"/>
        </w:rPr>
        <w:t>250mg/</w:t>
      </w:r>
      <w:r>
        <w:rPr>
          <w:rFonts w:hint="eastAsia" w:ascii="Arial" w:hAnsi="Arial" w:cs="Arial"/>
          <w:b w:val="0"/>
          <w:bCs/>
          <w:sz w:val="26"/>
          <w:szCs w:val="26"/>
        </w:rPr>
        <w:t>L</w:t>
      </w:r>
      <w:r>
        <w:rPr>
          <w:rFonts w:ascii="Arial" w:cs="Arial"/>
          <w:b w:val="0"/>
          <w:bCs/>
          <w:sz w:val="26"/>
          <w:szCs w:val="26"/>
        </w:rPr>
        <w:t>、</w:t>
      </w:r>
      <w:r>
        <w:rPr>
          <w:rFonts w:ascii="Arial" w:hAnsi="Arial" w:cs="Arial"/>
          <w:b w:val="0"/>
          <w:bCs/>
          <w:sz w:val="26"/>
          <w:szCs w:val="26"/>
        </w:rPr>
        <w:t>250mg/</w:t>
      </w:r>
      <w:r>
        <w:rPr>
          <w:rFonts w:hint="eastAsia" w:ascii="Arial" w:hAnsi="Arial" w:cs="Arial"/>
          <w:b w:val="0"/>
          <w:bCs/>
          <w:sz w:val="26"/>
          <w:szCs w:val="26"/>
        </w:rPr>
        <w:t>L</w:t>
      </w:r>
      <w:r>
        <w:rPr>
          <w:rFonts w:ascii="Arial" w:cs="Arial"/>
          <w:b w:val="0"/>
          <w:bCs/>
          <w:sz w:val="26"/>
          <w:szCs w:val="26"/>
        </w:rPr>
        <w:t>、</w:t>
      </w:r>
      <w:r>
        <w:rPr>
          <w:rFonts w:ascii="Arial" w:hAnsi="Arial" w:cs="Arial"/>
          <w:b w:val="0"/>
          <w:bCs/>
          <w:sz w:val="26"/>
          <w:szCs w:val="26"/>
        </w:rPr>
        <w:t>450mg/</w:t>
      </w:r>
      <w:r>
        <w:rPr>
          <w:rFonts w:hint="eastAsia" w:ascii="Arial" w:hAnsi="Arial" w:cs="Arial"/>
          <w:b w:val="0"/>
          <w:bCs/>
          <w:sz w:val="26"/>
          <w:szCs w:val="26"/>
        </w:rPr>
        <w:t>L</w:t>
      </w:r>
      <w:r>
        <w:rPr>
          <w:rFonts w:ascii="Arial" w:cs="Arial"/>
          <w:b w:val="0"/>
          <w:bCs/>
          <w:sz w:val="26"/>
          <w:szCs w:val="26"/>
        </w:rPr>
        <w:t>、</w:t>
      </w:r>
      <w:r>
        <w:rPr>
          <w:rFonts w:ascii="Arial" w:hAnsi="Arial" w:cs="Arial"/>
          <w:b w:val="0"/>
          <w:bCs/>
          <w:sz w:val="26"/>
          <w:szCs w:val="26"/>
        </w:rPr>
        <w:t>30mg/</w:t>
      </w:r>
      <w:r>
        <w:rPr>
          <w:rFonts w:hint="eastAsia" w:ascii="Arial" w:hAnsi="Arial" w:cs="Arial"/>
          <w:b w:val="0"/>
          <w:bCs/>
          <w:sz w:val="26"/>
          <w:szCs w:val="26"/>
        </w:rPr>
        <w:t>L</w:t>
      </w:r>
      <w:r>
        <w:rPr>
          <w:rFonts w:ascii="Arial" w:cs="Arial"/>
          <w:b w:val="0"/>
          <w:bCs/>
          <w:sz w:val="26"/>
          <w:szCs w:val="26"/>
        </w:rPr>
        <w:t>。</w:t>
      </w:r>
      <w:r>
        <w:rPr>
          <w:rFonts w:hint="eastAsia" w:ascii="Arial" w:cs="Arial"/>
          <w:b w:val="0"/>
          <w:bCs/>
          <w:sz w:val="26"/>
          <w:szCs w:val="26"/>
          <w:lang w:eastAsia="zh-CN"/>
        </w:rPr>
        <w:t>经租赁居民房屋内已有的旱厕收集处理后，全部用作农肥，不外排。根据现场勘查，项目地处山区，周围农耕作业覆盖范围大，有足够的田地可消纳本项目经处理后的生活污水。</w:t>
      </w:r>
    </w:p>
    <w:p w14:paraId="7FDD0772">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cs="Arial"/>
          <w:b w:val="0"/>
          <w:bCs/>
          <w:sz w:val="26"/>
          <w:szCs w:val="26"/>
          <w:lang w:eastAsia="zh-CN"/>
        </w:rPr>
        <w:t>输水工程为线状分布，施工人员</w:t>
      </w:r>
      <w:r>
        <w:rPr>
          <w:rFonts w:hint="eastAsia" w:ascii="Arial" w:hAnsi="Arial" w:cs="Arial"/>
          <w:b w:val="0"/>
          <w:bCs/>
          <w:sz w:val="26"/>
          <w:szCs w:val="26"/>
          <w:lang w:val="en-US" w:eastAsia="zh-CN"/>
        </w:rPr>
        <w:t>大多就近招用，租赁沿线已有居民房屋作营地。输水</w:t>
      </w:r>
      <w:r>
        <w:rPr>
          <w:rFonts w:ascii="Arial" w:cs="Arial"/>
          <w:b w:val="0"/>
          <w:bCs/>
          <w:snapToGrid w:val="0"/>
          <w:sz w:val="26"/>
          <w:szCs w:val="26"/>
        </w:rPr>
        <w:t>工程高峰施工人数</w:t>
      </w:r>
      <w:r>
        <w:rPr>
          <w:rFonts w:hint="eastAsia" w:ascii="Arial" w:hAnsi="Arial" w:cs="Arial"/>
          <w:b w:val="0"/>
          <w:bCs/>
          <w:snapToGrid w:val="0"/>
          <w:sz w:val="26"/>
          <w:szCs w:val="26"/>
          <w:lang w:val="en-US" w:eastAsia="zh-CN"/>
        </w:rPr>
        <w:t>4</w:t>
      </w:r>
      <w:r>
        <w:rPr>
          <w:rFonts w:ascii="Arial" w:hAnsi="Arial" w:cs="Arial"/>
          <w:b w:val="0"/>
          <w:bCs/>
          <w:snapToGrid w:val="0"/>
          <w:sz w:val="26"/>
          <w:szCs w:val="26"/>
        </w:rPr>
        <w:t>0</w:t>
      </w:r>
      <w:r>
        <w:rPr>
          <w:rFonts w:ascii="Arial" w:cs="Arial"/>
          <w:b w:val="0"/>
          <w:bCs/>
          <w:snapToGrid w:val="0"/>
          <w:sz w:val="26"/>
          <w:szCs w:val="26"/>
        </w:rPr>
        <w:t>人</w:t>
      </w:r>
      <w:r>
        <w:rPr>
          <w:rFonts w:hint="eastAsia" w:ascii="Arial" w:cs="Arial"/>
          <w:b w:val="0"/>
          <w:bCs/>
          <w:snapToGrid w:val="0"/>
          <w:sz w:val="26"/>
          <w:szCs w:val="26"/>
        </w:rPr>
        <w:t>，</w:t>
      </w:r>
      <w:r>
        <w:rPr>
          <w:rFonts w:ascii="Arial" w:cs="Arial"/>
          <w:b w:val="0"/>
          <w:bCs/>
          <w:sz w:val="26"/>
          <w:szCs w:val="26"/>
        </w:rPr>
        <w:t>生活用水量按</w:t>
      </w:r>
      <w:r>
        <w:rPr>
          <w:rFonts w:ascii="Arial" w:hAnsi="Arial" w:cs="Arial"/>
          <w:b w:val="0"/>
          <w:bCs/>
          <w:sz w:val="26"/>
          <w:szCs w:val="26"/>
        </w:rPr>
        <w:t>100L/</w:t>
      </w:r>
      <w:r>
        <w:rPr>
          <w:rFonts w:ascii="Arial" w:cs="Arial"/>
          <w:b w:val="0"/>
          <w:bCs/>
          <w:sz w:val="26"/>
          <w:szCs w:val="26"/>
        </w:rPr>
        <w:t>人</w:t>
      </w:r>
      <w:r>
        <w:rPr>
          <w:rFonts w:ascii="Arial" w:hAnsi="Arial" w:cs="Arial"/>
          <w:b w:val="0"/>
          <w:bCs/>
          <w:sz w:val="26"/>
          <w:szCs w:val="26"/>
        </w:rPr>
        <w:t>·d</w:t>
      </w:r>
      <w:r>
        <w:rPr>
          <w:rFonts w:ascii="Arial" w:cs="Arial"/>
          <w:b w:val="0"/>
          <w:bCs/>
          <w:sz w:val="26"/>
          <w:szCs w:val="26"/>
        </w:rPr>
        <w:t>计，</w:t>
      </w:r>
      <w:r>
        <w:rPr>
          <w:rFonts w:hint="eastAsia" w:ascii="Arial" w:cs="Arial"/>
          <w:b w:val="0"/>
          <w:bCs/>
          <w:sz w:val="26"/>
          <w:szCs w:val="26"/>
          <w:lang w:eastAsia="zh-CN"/>
        </w:rPr>
        <w:t>排</w:t>
      </w:r>
      <w:r>
        <w:rPr>
          <w:rFonts w:ascii="Arial" w:cs="Arial"/>
          <w:b w:val="0"/>
          <w:bCs/>
          <w:sz w:val="26"/>
          <w:szCs w:val="26"/>
        </w:rPr>
        <w:t>污系数取</w:t>
      </w:r>
      <w:r>
        <w:rPr>
          <w:rFonts w:ascii="Arial" w:hAnsi="Arial" w:cs="Arial"/>
          <w:b w:val="0"/>
          <w:bCs/>
          <w:sz w:val="26"/>
          <w:szCs w:val="26"/>
        </w:rPr>
        <w:t>0.</w:t>
      </w:r>
      <w:r>
        <w:rPr>
          <w:rFonts w:hint="eastAsia" w:ascii="Arial" w:hAnsi="Arial" w:cs="Arial"/>
          <w:b w:val="0"/>
          <w:bCs/>
          <w:sz w:val="26"/>
          <w:szCs w:val="26"/>
          <w:lang w:val="en-US" w:eastAsia="zh-CN"/>
        </w:rPr>
        <w:t>9</w:t>
      </w:r>
      <w:r>
        <w:rPr>
          <w:rFonts w:ascii="Arial" w:cs="Arial"/>
          <w:b w:val="0"/>
          <w:bCs/>
          <w:sz w:val="26"/>
          <w:szCs w:val="26"/>
        </w:rPr>
        <w:t>，施工期生活废水产生量为</w:t>
      </w:r>
      <w:r>
        <w:rPr>
          <w:rFonts w:hint="eastAsia" w:ascii="Arial" w:hAnsi="Arial" w:cs="Arial"/>
          <w:b w:val="0"/>
          <w:bCs/>
          <w:sz w:val="26"/>
          <w:szCs w:val="26"/>
          <w:lang w:val="en-US" w:eastAsia="zh-CN"/>
        </w:rPr>
        <w:t>3.6</w:t>
      </w:r>
      <w:r>
        <w:rPr>
          <w:rFonts w:ascii="Arial" w:hAnsi="Arial" w:cs="Arial"/>
          <w:b w:val="0"/>
          <w:bCs/>
          <w:sz w:val="26"/>
          <w:szCs w:val="26"/>
        </w:rPr>
        <w:t>m</w:t>
      </w:r>
      <w:r>
        <w:rPr>
          <w:rFonts w:ascii="Arial" w:hAnsi="Arial" w:cs="Arial"/>
          <w:b w:val="0"/>
          <w:bCs/>
          <w:sz w:val="26"/>
          <w:szCs w:val="26"/>
          <w:vertAlign w:val="superscript"/>
        </w:rPr>
        <w:t>3</w:t>
      </w:r>
      <w:r>
        <w:rPr>
          <w:rFonts w:ascii="Arial" w:hAnsi="Arial" w:cs="Arial"/>
          <w:b w:val="0"/>
          <w:bCs/>
          <w:sz w:val="26"/>
          <w:szCs w:val="26"/>
        </w:rPr>
        <w:t>/d</w:t>
      </w:r>
      <w:r>
        <w:rPr>
          <w:rFonts w:ascii="Arial" w:cs="Arial"/>
          <w:b w:val="0"/>
          <w:bCs/>
          <w:sz w:val="26"/>
          <w:szCs w:val="26"/>
        </w:rPr>
        <w:t>。污水中污染物以</w:t>
      </w:r>
      <w:r>
        <w:rPr>
          <w:rFonts w:ascii="Arial" w:hAnsi="Arial" w:cs="Arial"/>
          <w:b w:val="0"/>
          <w:bCs/>
          <w:sz w:val="26"/>
          <w:szCs w:val="26"/>
        </w:rPr>
        <w:t>SS</w:t>
      </w:r>
      <w:r>
        <w:rPr>
          <w:rFonts w:ascii="Arial" w:cs="Arial"/>
          <w:b w:val="0"/>
          <w:bCs/>
          <w:sz w:val="26"/>
          <w:szCs w:val="26"/>
        </w:rPr>
        <w:t>、</w:t>
      </w:r>
      <w:r>
        <w:rPr>
          <w:rFonts w:ascii="Arial" w:hAnsi="Arial" w:cs="Arial"/>
          <w:b w:val="0"/>
          <w:bCs/>
          <w:sz w:val="26"/>
          <w:szCs w:val="26"/>
        </w:rPr>
        <w:t>BOD</w:t>
      </w:r>
      <w:r>
        <w:rPr>
          <w:rFonts w:ascii="Arial" w:hAnsi="Arial" w:cs="Arial"/>
          <w:b w:val="0"/>
          <w:bCs/>
          <w:sz w:val="26"/>
          <w:szCs w:val="26"/>
          <w:vertAlign w:val="subscript"/>
        </w:rPr>
        <w:t>5</w:t>
      </w:r>
      <w:r>
        <w:rPr>
          <w:rFonts w:ascii="Arial" w:cs="Arial"/>
          <w:b w:val="0"/>
          <w:bCs/>
          <w:sz w:val="26"/>
          <w:szCs w:val="26"/>
        </w:rPr>
        <w:t>、</w:t>
      </w:r>
      <w:r>
        <w:rPr>
          <w:rFonts w:ascii="Arial" w:hAnsi="Arial" w:cs="Arial"/>
          <w:b w:val="0"/>
          <w:bCs/>
          <w:sz w:val="26"/>
          <w:szCs w:val="26"/>
        </w:rPr>
        <w:t>COD</w:t>
      </w:r>
      <w:r>
        <w:rPr>
          <w:rFonts w:ascii="Arial" w:cs="Arial"/>
          <w:b w:val="0"/>
          <w:bCs/>
          <w:sz w:val="26"/>
          <w:szCs w:val="26"/>
        </w:rPr>
        <w:t>、</w:t>
      </w:r>
      <w:r>
        <w:rPr>
          <w:rFonts w:ascii="Arial" w:hAnsi="Arial" w:cs="Arial"/>
          <w:b w:val="0"/>
          <w:bCs/>
          <w:sz w:val="26"/>
          <w:szCs w:val="26"/>
        </w:rPr>
        <w:t>NH</w:t>
      </w:r>
      <w:r>
        <w:rPr>
          <w:rFonts w:ascii="Arial" w:hAnsi="Arial" w:cs="Arial"/>
          <w:b w:val="0"/>
          <w:bCs/>
          <w:sz w:val="26"/>
          <w:szCs w:val="26"/>
          <w:vertAlign w:val="subscript"/>
        </w:rPr>
        <w:t>3</w:t>
      </w:r>
      <w:r>
        <w:rPr>
          <w:rFonts w:ascii="Arial" w:hAnsi="Arial" w:cs="Arial"/>
          <w:b w:val="0"/>
          <w:bCs/>
          <w:sz w:val="26"/>
          <w:szCs w:val="26"/>
        </w:rPr>
        <w:t>-N</w:t>
      </w:r>
      <w:r>
        <w:rPr>
          <w:rFonts w:ascii="Arial" w:cs="Arial"/>
          <w:b w:val="0"/>
          <w:bCs/>
          <w:sz w:val="26"/>
          <w:szCs w:val="26"/>
        </w:rPr>
        <w:t>为主，浓度分别为</w:t>
      </w:r>
      <w:r>
        <w:rPr>
          <w:rFonts w:ascii="Arial" w:hAnsi="Arial" w:cs="Arial"/>
          <w:b w:val="0"/>
          <w:bCs/>
          <w:sz w:val="26"/>
          <w:szCs w:val="26"/>
        </w:rPr>
        <w:t>250mg/</w:t>
      </w:r>
      <w:r>
        <w:rPr>
          <w:rFonts w:hint="eastAsia" w:ascii="Arial" w:hAnsi="Arial" w:cs="Arial"/>
          <w:b w:val="0"/>
          <w:bCs/>
          <w:sz w:val="26"/>
          <w:szCs w:val="26"/>
        </w:rPr>
        <w:t>L</w:t>
      </w:r>
      <w:r>
        <w:rPr>
          <w:rFonts w:ascii="Arial" w:cs="Arial"/>
          <w:b w:val="0"/>
          <w:bCs/>
          <w:sz w:val="26"/>
          <w:szCs w:val="26"/>
        </w:rPr>
        <w:t>、</w:t>
      </w:r>
      <w:r>
        <w:rPr>
          <w:rFonts w:ascii="Arial" w:hAnsi="Arial" w:cs="Arial"/>
          <w:b w:val="0"/>
          <w:bCs/>
          <w:sz w:val="26"/>
          <w:szCs w:val="26"/>
        </w:rPr>
        <w:t>250mg/</w:t>
      </w:r>
      <w:r>
        <w:rPr>
          <w:rFonts w:hint="eastAsia" w:ascii="Arial" w:hAnsi="Arial" w:cs="Arial"/>
          <w:b w:val="0"/>
          <w:bCs/>
          <w:sz w:val="26"/>
          <w:szCs w:val="26"/>
        </w:rPr>
        <w:t>L</w:t>
      </w:r>
      <w:r>
        <w:rPr>
          <w:rFonts w:ascii="Arial" w:cs="Arial"/>
          <w:b w:val="0"/>
          <w:bCs/>
          <w:sz w:val="26"/>
          <w:szCs w:val="26"/>
        </w:rPr>
        <w:t>、</w:t>
      </w:r>
      <w:r>
        <w:rPr>
          <w:rFonts w:ascii="Arial" w:hAnsi="Arial" w:cs="Arial"/>
          <w:b w:val="0"/>
          <w:bCs/>
          <w:sz w:val="26"/>
          <w:szCs w:val="26"/>
        </w:rPr>
        <w:t>450mg/</w:t>
      </w:r>
      <w:r>
        <w:rPr>
          <w:rFonts w:hint="eastAsia" w:ascii="Arial" w:hAnsi="Arial" w:cs="Arial"/>
          <w:b w:val="0"/>
          <w:bCs/>
          <w:sz w:val="26"/>
          <w:szCs w:val="26"/>
        </w:rPr>
        <w:t>L</w:t>
      </w:r>
      <w:r>
        <w:rPr>
          <w:rFonts w:ascii="Arial" w:cs="Arial"/>
          <w:b w:val="0"/>
          <w:bCs/>
          <w:sz w:val="26"/>
          <w:szCs w:val="26"/>
        </w:rPr>
        <w:t>、</w:t>
      </w:r>
      <w:r>
        <w:rPr>
          <w:rFonts w:ascii="Arial" w:hAnsi="Arial" w:cs="Arial"/>
          <w:b w:val="0"/>
          <w:bCs/>
          <w:sz w:val="26"/>
          <w:szCs w:val="26"/>
        </w:rPr>
        <w:t>30mg/</w:t>
      </w:r>
      <w:r>
        <w:rPr>
          <w:rFonts w:hint="eastAsia" w:ascii="Arial" w:hAnsi="Arial" w:cs="Arial"/>
          <w:b w:val="0"/>
          <w:bCs/>
          <w:sz w:val="26"/>
          <w:szCs w:val="26"/>
        </w:rPr>
        <w:t>L</w:t>
      </w:r>
      <w:r>
        <w:rPr>
          <w:rFonts w:ascii="Arial" w:cs="Arial"/>
          <w:b w:val="0"/>
          <w:bCs/>
          <w:sz w:val="26"/>
          <w:szCs w:val="26"/>
        </w:rPr>
        <w:t>。</w:t>
      </w:r>
      <w:r>
        <w:rPr>
          <w:rFonts w:hint="eastAsia" w:ascii="Arial" w:cs="Arial"/>
          <w:b w:val="0"/>
          <w:bCs/>
          <w:sz w:val="26"/>
          <w:szCs w:val="26"/>
          <w:lang w:eastAsia="zh-CN"/>
        </w:rPr>
        <w:t>经租赁居民房屋内已有的旱厕收集处理后，全部用作农肥，不外排。根据现场勘查，项目输水管线沿线两侧分布有大量的农耕地，有足够的田地可消纳本项目经处理后的生活污水。</w:t>
      </w:r>
    </w:p>
    <w:p w14:paraId="4EEEEC57">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cs="Arial"/>
          <w:b/>
          <w:bCs/>
          <w:sz w:val="26"/>
          <w:szCs w:val="26"/>
          <w:lang w:val="en-US" w:eastAsia="zh-CN"/>
        </w:rPr>
      </w:pPr>
      <w:r>
        <w:rPr>
          <w:rFonts w:hint="eastAsia" w:ascii="Arial" w:hAnsi="Arial" w:cs="Arial"/>
          <w:b/>
          <w:bCs/>
          <w:sz w:val="26"/>
          <w:szCs w:val="26"/>
          <w:lang w:val="en-US" w:eastAsia="zh-CN"/>
        </w:rPr>
        <w:t>⑥ 管道试压</w:t>
      </w:r>
    </w:p>
    <w:p w14:paraId="05F6FF07">
      <w:pPr>
        <w:spacing w:line="460" w:lineRule="exact"/>
        <w:ind w:firstLine="520" w:firstLineChars="200"/>
        <w:rPr>
          <w:rFonts w:hint="eastAsia" w:ascii="宋体" w:hAnsi="宋体" w:cs="宋体"/>
          <w:bCs/>
          <w:color w:val="auto"/>
          <w:sz w:val="26"/>
          <w:szCs w:val="26"/>
        </w:rPr>
      </w:pPr>
      <w:r>
        <w:rPr>
          <w:rFonts w:hint="eastAsia" w:ascii="宋体" w:hAnsi="宋体" w:cs="宋体"/>
          <w:bCs/>
          <w:color w:val="auto"/>
          <w:sz w:val="26"/>
          <w:szCs w:val="26"/>
        </w:rPr>
        <w:t>输送管道敷设完成后，将按照</w:t>
      </w:r>
      <w:r>
        <w:rPr>
          <w:rFonts w:hint="eastAsia" w:ascii="Arial" w:cs="Arial"/>
          <w:color w:val="auto"/>
          <w:sz w:val="26"/>
          <w:szCs w:val="26"/>
        </w:rPr>
        <w:t>《给水排水管道工程施工及验收规范》（</w:t>
      </w:r>
      <w:r>
        <w:rPr>
          <w:rFonts w:ascii="Arial" w:cs="Arial"/>
          <w:color w:val="auto"/>
          <w:sz w:val="26"/>
          <w:szCs w:val="26"/>
        </w:rPr>
        <w:t>GB50268-2008</w:t>
      </w:r>
      <w:r>
        <w:rPr>
          <w:rFonts w:hint="eastAsia" w:ascii="Arial" w:cs="Arial"/>
          <w:color w:val="auto"/>
          <w:sz w:val="26"/>
          <w:szCs w:val="26"/>
        </w:rPr>
        <w:t>）进行试压作业，试压采用河道清水，且试压点相对分散，局部排水量小，试压排水水质较好，属于清净下水，可直接用于浇灌周边林草，无污废水产生。</w:t>
      </w:r>
    </w:p>
    <w:p w14:paraId="0978AF37">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⑦ 小结</w:t>
      </w:r>
    </w:p>
    <w:p w14:paraId="50A09012">
      <w:pPr>
        <w:spacing w:line="460" w:lineRule="exact"/>
        <w:ind w:firstLine="520" w:firstLineChars="200"/>
        <w:rPr>
          <w:rFonts w:hint="eastAsia" w:ascii="宋体" w:hAnsi="宋体" w:cs="宋体"/>
          <w:bCs/>
          <w:color w:val="auto"/>
          <w:sz w:val="26"/>
          <w:szCs w:val="26"/>
          <w:lang w:eastAsia="zh-CN"/>
        </w:rPr>
      </w:pPr>
      <w:r>
        <w:rPr>
          <w:rFonts w:hint="eastAsia" w:ascii="宋体" w:hAnsi="宋体" w:cs="宋体"/>
          <w:bCs/>
          <w:color w:val="auto"/>
          <w:sz w:val="26"/>
          <w:szCs w:val="26"/>
          <w:lang w:eastAsia="zh-CN"/>
        </w:rPr>
        <w:t>本项目施工期</w:t>
      </w:r>
      <w:r>
        <w:rPr>
          <w:rFonts w:hint="eastAsia" w:ascii="宋体" w:hAnsi="宋体" w:cs="宋体"/>
          <w:bCs/>
          <w:color w:val="auto"/>
          <w:sz w:val="26"/>
          <w:szCs w:val="26"/>
        </w:rPr>
        <w:t>废水污染物排放情</w:t>
      </w:r>
      <w:r>
        <w:rPr>
          <w:rFonts w:hint="eastAsia" w:ascii="Arial" w:hAnsi="Calibri" w:eastAsia="宋体" w:cs="Arial"/>
          <w:b w:val="0"/>
          <w:bCs/>
          <w:kern w:val="0"/>
          <w:sz w:val="26"/>
          <w:szCs w:val="26"/>
          <w:lang w:val="en-US" w:eastAsia="zh-CN" w:bidi="ar-SA"/>
        </w:rPr>
        <w:t>况详见表3.1-1所示。</w:t>
      </w:r>
    </w:p>
    <w:p w14:paraId="5DB75239">
      <w:pPr>
        <w:spacing w:line="440" w:lineRule="exact"/>
        <w:jc w:val="center"/>
        <w:rPr>
          <w:rFonts w:hint="eastAsia" w:ascii="Arial" w:cs="Arial"/>
          <w:b/>
          <w:kern w:val="28"/>
          <w:sz w:val="26"/>
          <w:szCs w:val="26"/>
        </w:rPr>
      </w:pPr>
      <w:r>
        <w:rPr>
          <w:rFonts w:hint="eastAsia" w:ascii="Arial" w:cs="Arial"/>
          <w:b/>
          <w:kern w:val="28"/>
          <w:sz w:val="26"/>
          <w:szCs w:val="26"/>
        </w:rPr>
        <w:t>表3.</w:t>
      </w:r>
      <w:r>
        <w:rPr>
          <w:rFonts w:hint="eastAsia" w:ascii="Arial" w:cs="Arial"/>
          <w:b/>
          <w:kern w:val="28"/>
          <w:sz w:val="26"/>
          <w:szCs w:val="26"/>
          <w:lang w:val="en-US" w:eastAsia="zh-CN"/>
        </w:rPr>
        <w:t>1</w:t>
      </w:r>
      <w:r>
        <w:rPr>
          <w:rFonts w:hint="eastAsia" w:ascii="Arial" w:cs="Arial"/>
          <w:b/>
          <w:kern w:val="28"/>
          <w:sz w:val="26"/>
          <w:szCs w:val="26"/>
        </w:rPr>
        <w:t>-1 施工期废水排放情况汇总表</w:t>
      </w:r>
    </w:p>
    <w:tbl>
      <w:tblPr>
        <w:tblStyle w:val="77"/>
        <w:tblW w:w="913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8"/>
        <w:gridCol w:w="779"/>
        <w:gridCol w:w="709"/>
        <w:gridCol w:w="1231"/>
        <w:gridCol w:w="1942"/>
        <w:gridCol w:w="2723"/>
        <w:gridCol w:w="1050"/>
      </w:tblGrid>
      <w:tr w14:paraId="1F6909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21" w:hRule="atLeast"/>
          <w:jc w:val="center"/>
        </w:trPr>
        <w:tc>
          <w:tcPr>
            <w:tcW w:w="698" w:type="dxa"/>
            <w:tcBorders>
              <w:top w:val="single" w:color="auto" w:sz="12" w:space="0"/>
              <w:left w:val="single" w:color="auto" w:sz="12" w:space="0"/>
              <w:bottom w:val="single" w:color="auto" w:sz="4" w:space="0"/>
              <w:right w:val="single" w:color="auto" w:sz="4" w:space="0"/>
            </w:tcBorders>
            <w:noWrap w:val="0"/>
            <w:vAlign w:val="center"/>
          </w:tcPr>
          <w:p w14:paraId="545BDC8C">
            <w:pPr>
              <w:spacing w:line="280" w:lineRule="exact"/>
              <w:jc w:val="center"/>
              <w:rPr>
                <w:rFonts w:ascii="Arial" w:hAnsi="Arial" w:cs="Arial"/>
                <w:color w:val="auto"/>
                <w:sz w:val="22"/>
                <w:szCs w:val="22"/>
              </w:rPr>
            </w:pPr>
            <w:r>
              <w:rPr>
                <w:rFonts w:ascii="Arial" w:cs="Arial"/>
                <w:color w:val="auto"/>
                <w:sz w:val="22"/>
                <w:szCs w:val="22"/>
              </w:rPr>
              <w:t>序号</w:t>
            </w:r>
          </w:p>
        </w:tc>
        <w:tc>
          <w:tcPr>
            <w:tcW w:w="1488" w:type="dxa"/>
            <w:gridSpan w:val="2"/>
            <w:tcBorders>
              <w:top w:val="single" w:color="auto" w:sz="12" w:space="0"/>
              <w:left w:val="single" w:color="auto" w:sz="4" w:space="0"/>
              <w:bottom w:val="single" w:color="auto" w:sz="4" w:space="0"/>
              <w:right w:val="single" w:color="auto" w:sz="4" w:space="0"/>
            </w:tcBorders>
            <w:noWrap w:val="0"/>
            <w:vAlign w:val="center"/>
          </w:tcPr>
          <w:p w14:paraId="345330E5">
            <w:pPr>
              <w:spacing w:line="280" w:lineRule="exact"/>
              <w:jc w:val="center"/>
              <w:rPr>
                <w:rFonts w:ascii="Arial" w:hAnsi="Arial" w:cs="Arial"/>
                <w:color w:val="auto"/>
                <w:sz w:val="22"/>
                <w:szCs w:val="22"/>
              </w:rPr>
            </w:pPr>
            <w:r>
              <w:rPr>
                <w:rFonts w:ascii="Arial" w:cs="Arial"/>
                <w:color w:val="auto"/>
                <w:sz w:val="22"/>
                <w:szCs w:val="22"/>
              </w:rPr>
              <w:t>污染源</w:t>
            </w:r>
          </w:p>
        </w:tc>
        <w:tc>
          <w:tcPr>
            <w:tcW w:w="1231" w:type="dxa"/>
            <w:tcBorders>
              <w:top w:val="single" w:color="auto" w:sz="12" w:space="0"/>
              <w:left w:val="single" w:color="auto" w:sz="4" w:space="0"/>
              <w:bottom w:val="single" w:color="auto" w:sz="4" w:space="0"/>
              <w:right w:val="single" w:color="auto" w:sz="4" w:space="0"/>
            </w:tcBorders>
            <w:noWrap w:val="0"/>
            <w:vAlign w:val="center"/>
          </w:tcPr>
          <w:p w14:paraId="2F325338">
            <w:pPr>
              <w:spacing w:line="280" w:lineRule="exact"/>
              <w:jc w:val="center"/>
              <w:rPr>
                <w:rFonts w:ascii="Arial" w:hAnsi="Arial" w:cs="Arial"/>
                <w:color w:val="auto"/>
                <w:sz w:val="22"/>
                <w:szCs w:val="22"/>
              </w:rPr>
            </w:pPr>
            <w:r>
              <w:rPr>
                <w:rFonts w:ascii="Arial" w:cs="Arial"/>
                <w:color w:val="auto"/>
                <w:sz w:val="22"/>
                <w:szCs w:val="22"/>
              </w:rPr>
              <w:t>废水</w:t>
            </w:r>
          </w:p>
          <w:p w14:paraId="5EF6655D">
            <w:pPr>
              <w:spacing w:line="280" w:lineRule="exact"/>
              <w:jc w:val="center"/>
              <w:rPr>
                <w:rFonts w:ascii="Arial" w:hAnsi="Arial" w:cs="Arial"/>
                <w:color w:val="auto"/>
                <w:sz w:val="22"/>
                <w:szCs w:val="22"/>
              </w:rPr>
            </w:pPr>
            <w:r>
              <w:rPr>
                <w:rFonts w:ascii="Arial" w:cs="Arial"/>
                <w:color w:val="auto"/>
                <w:sz w:val="22"/>
                <w:szCs w:val="22"/>
              </w:rPr>
              <w:t>产生量</w:t>
            </w:r>
          </w:p>
        </w:tc>
        <w:tc>
          <w:tcPr>
            <w:tcW w:w="1942" w:type="dxa"/>
            <w:tcBorders>
              <w:top w:val="single" w:color="auto" w:sz="12" w:space="0"/>
              <w:left w:val="single" w:color="auto" w:sz="4" w:space="0"/>
              <w:bottom w:val="single" w:color="auto" w:sz="4" w:space="0"/>
              <w:right w:val="single" w:color="auto" w:sz="4" w:space="0"/>
            </w:tcBorders>
            <w:noWrap w:val="0"/>
            <w:vAlign w:val="center"/>
          </w:tcPr>
          <w:p w14:paraId="63ADC067">
            <w:pPr>
              <w:spacing w:line="280" w:lineRule="exact"/>
              <w:jc w:val="center"/>
              <w:rPr>
                <w:rFonts w:ascii="Arial" w:hAnsi="Arial" w:cs="Arial"/>
                <w:color w:val="auto"/>
                <w:sz w:val="22"/>
                <w:szCs w:val="22"/>
              </w:rPr>
            </w:pPr>
            <w:r>
              <w:rPr>
                <w:rFonts w:ascii="Arial" w:cs="Arial"/>
                <w:color w:val="auto"/>
                <w:sz w:val="22"/>
                <w:szCs w:val="22"/>
              </w:rPr>
              <w:t>主要污染因子及原始浓度</w:t>
            </w:r>
          </w:p>
        </w:tc>
        <w:tc>
          <w:tcPr>
            <w:tcW w:w="2723" w:type="dxa"/>
            <w:tcBorders>
              <w:top w:val="single" w:color="auto" w:sz="12" w:space="0"/>
              <w:left w:val="single" w:color="auto" w:sz="4" w:space="0"/>
              <w:bottom w:val="single" w:color="auto" w:sz="4" w:space="0"/>
              <w:right w:val="single" w:color="auto" w:sz="4" w:space="0"/>
            </w:tcBorders>
            <w:noWrap w:val="0"/>
            <w:vAlign w:val="center"/>
          </w:tcPr>
          <w:p w14:paraId="5F4A5FDF">
            <w:pPr>
              <w:spacing w:line="280" w:lineRule="exact"/>
              <w:jc w:val="center"/>
              <w:rPr>
                <w:rFonts w:ascii="Arial" w:hAnsi="Arial" w:cs="Arial"/>
                <w:color w:val="auto"/>
                <w:sz w:val="22"/>
                <w:szCs w:val="22"/>
              </w:rPr>
            </w:pPr>
            <w:r>
              <w:rPr>
                <w:rFonts w:ascii="Arial" w:cs="Arial"/>
                <w:color w:val="auto"/>
                <w:sz w:val="22"/>
                <w:szCs w:val="22"/>
              </w:rPr>
              <w:t>防治措施</w:t>
            </w:r>
          </w:p>
        </w:tc>
        <w:tc>
          <w:tcPr>
            <w:tcW w:w="1050" w:type="dxa"/>
            <w:tcBorders>
              <w:top w:val="single" w:color="auto" w:sz="12" w:space="0"/>
              <w:left w:val="single" w:color="auto" w:sz="4" w:space="0"/>
              <w:bottom w:val="single" w:color="auto" w:sz="4" w:space="0"/>
              <w:right w:val="single" w:color="auto" w:sz="12" w:space="0"/>
            </w:tcBorders>
            <w:noWrap w:val="0"/>
            <w:vAlign w:val="center"/>
          </w:tcPr>
          <w:p w14:paraId="4CB6302D">
            <w:pPr>
              <w:spacing w:line="280" w:lineRule="exact"/>
              <w:jc w:val="center"/>
              <w:rPr>
                <w:rFonts w:hint="eastAsia" w:ascii="Arial" w:hAnsi="Arial" w:eastAsia="宋体" w:cs="Arial"/>
                <w:color w:val="auto"/>
                <w:sz w:val="22"/>
                <w:szCs w:val="22"/>
                <w:lang w:eastAsia="zh-CN"/>
              </w:rPr>
            </w:pPr>
            <w:r>
              <w:rPr>
                <w:rFonts w:ascii="Arial" w:cs="Arial"/>
                <w:color w:val="auto"/>
                <w:sz w:val="22"/>
                <w:szCs w:val="22"/>
              </w:rPr>
              <w:t>废水排放</w:t>
            </w:r>
            <w:r>
              <w:rPr>
                <w:rFonts w:hint="eastAsia" w:ascii="Arial" w:cs="Arial"/>
                <w:color w:val="auto"/>
                <w:sz w:val="22"/>
                <w:szCs w:val="22"/>
                <w:lang w:eastAsia="zh-CN"/>
              </w:rPr>
              <w:t>情况</w:t>
            </w:r>
          </w:p>
        </w:tc>
      </w:tr>
      <w:tr w14:paraId="34B57C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tcBorders>
              <w:top w:val="single" w:color="auto" w:sz="4" w:space="0"/>
              <w:left w:val="single" w:color="auto" w:sz="12" w:space="0"/>
              <w:bottom w:val="single" w:color="auto" w:sz="4" w:space="0"/>
              <w:right w:val="single" w:color="auto" w:sz="4" w:space="0"/>
            </w:tcBorders>
            <w:noWrap w:val="0"/>
            <w:vAlign w:val="center"/>
          </w:tcPr>
          <w:p w14:paraId="62D139C6">
            <w:pPr>
              <w:spacing w:line="280" w:lineRule="exact"/>
              <w:jc w:val="center"/>
              <w:rPr>
                <w:rFonts w:ascii="Arial" w:hAnsi="Arial" w:cs="Arial"/>
                <w:color w:val="auto"/>
                <w:sz w:val="22"/>
                <w:szCs w:val="22"/>
              </w:rPr>
            </w:pPr>
            <w:r>
              <w:rPr>
                <w:rFonts w:ascii="Arial" w:hAnsi="Arial" w:cs="Arial"/>
                <w:color w:val="auto"/>
                <w:sz w:val="22"/>
                <w:szCs w:val="22"/>
              </w:rPr>
              <w:t>1</w:t>
            </w:r>
          </w:p>
        </w:tc>
        <w:tc>
          <w:tcPr>
            <w:tcW w:w="1488" w:type="dxa"/>
            <w:gridSpan w:val="2"/>
            <w:tcBorders>
              <w:top w:val="single" w:color="auto" w:sz="4" w:space="0"/>
              <w:left w:val="single" w:color="auto" w:sz="4" w:space="0"/>
              <w:bottom w:val="single" w:color="auto" w:sz="4" w:space="0"/>
              <w:right w:val="single" w:color="auto" w:sz="4" w:space="0"/>
            </w:tcBorders>
            <w:noWrap w:val="0"/>
            <w:vAlign w:val="center"/>
          </w:tcPr>
          <w:p w14:paraId="03662A5C">
            <w:pPr>
              <w:spacing w:line="280" w:lineRule="exact"/>
              <w:jc w:val="center"/>
              <w:rPr>
                <w:rFonts w:hint="eastAsia" w:ascii="Arial" w:eastAsia="宋体" w:cs="Arial"/>
                <w:color w:val="auto"/>
                <w:sz w:val="22"/>
                <w:szCs w:val="22"/>
                <w:lang w:eastAsia="zh-CN"/>
              </w:rPr>
            </w:pPr>
            <w:r>
              <w:rPr>
                <w:rFonts w:hint="eastAsia" w:ascii="Arial" w:cs="Arial"/>
                <w:color w:val="auto"/>
                <w:sz w:val="22"/>
                <w:szCs w:val="22"/>
              </w:rPr>
              <w:t>混凝土</w:t>
            </w:r>
            <w:r>
              <w:rPr>
                <w:rFonts w:hint="eastAsia" w:ascii="Arial" w:cs="Arial"/>
                <w:color w:val="auto"/>
                <w:sz w:val="22"/>
                <w:szCs w:val="22"/>
                <w:lang w:eastAsia="zh-CN"/>
              </w:rPr>
              <w:t>拌合系统废水</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D3F5EEC">
            <w:pPr>
              <w:spacing w:line="280" w:lineRule="exact"/>
              <w:jc w:val="center"/>
              <w:rPr>
                <w:rFonts w:ascii="Arial" w:hAnsi="Arial" w:cs="Arial"/>
                <w:color w:val="auto"/>
                <w:sz w:val="22"/>
                <w:szCs w:val="22"/>
              </w:rPr>
            </w:pPr>
            <w:r>
              <w:rPr>
                <w:rFonts w:hint="eastAsia" w:ascii="Arial" w:hAnsi="Arial" w:cs="Arial"/>
                <w:color w:val="auto"/>
                <w:sz w:val="22"/>
                <w:szCs w:val="22"/>
                <w:lang w:val="en-US" w:eastAsia="zh-CN"/>
              </w:rPr>
              <w:t>23.27</w:t>
            </w:r>
            <w:r>
              <w:rPr>
                <w:rFonts w:ascii="Arial" w:hAnsi="Arial" w:cs="Arial"/>
                <w:color w:val="auto"/>
                <w:sz w:val="22"/>
                <w:szCs w:val="22"/>
              </w:rPr>
              <w:t>m</w:t>
            </w:r>
            <w:r>
              <w:rPr>
                <w:rFonts w:ascii="Arial" w:hAnsi="Arial" w:cs="Arial"/>
                <w:color w:val="auto"/>
                <w:sz w:val="22"/>
                <w:szCs w:val="22"/>
                <w:vertAlign w:val="superscript"/>
              </w:rPr>
              <w:t>3</w:t>
            </w:r>
            <w:r>
              <w:rPr>
                <w:rFonts w:ascii="Arial" w:hAnsi="Arial" w:cs="Arial"/>
                <w:color w:val="auto"/>
                <w:sz w:val="22"/>
                <w:szCs w:val="22"/>
              </w:rPr>
              <w:t>/d</w:t>
            </w:r>
          </w:p>
        </w:tc>
        <w:tc>
          <w:tcPr>
            <w:tcW w:w="1942" w:type="dxa"/>
            <w:tcBorders>
              <w:top w:val="single" w:color="auto" w:sz="4" w:space="0"/>
              <w:left w:val="single" w:color="auto" w:sz="4" w:space="0"/>
              <w:bottom w:val="single" w:color="auto" w:sz="4" w:space="0"/>
              <w:right w:val="single" w:color="auto" w:sz="4" w:space="0"/>
            </w:tcBorders>
            <w:noWrap w:val="0"/>
            <w:vAlign w:val="center"/>
          </w:tcPr>
          <w:p w14:paraId="5BE04E41">
            <w:pPr>
              <w:spacing w:line="280" w:lineRule="exact"/>
              <w:jc w:val="center"/>
              <w:rPr>
                <w:rFonts w:hint="default" w:ascii="Arial" w:hAnsi="Arial" w:eastAsia="宋体" w:cs="Arial"/>
                <w:color w:val="auto"/>
                <w:sz w:val="22"/>
                <w:szCs w:val="22"/>
                <w:lang w:val="en-US" w:eastAsia="zh-CN"/>
              </w:rPr>
            </w:pPr>
            <w:r>
              <w:rPr>
                <w:rFonts w:hint="eastAsia" w:ascii="Arial" w:hAnsi="Arial" w:cs="Arial"/>
                <w:color w:val="auto"/>
                <w:sz w:val="22"/>
                <w:szCs w:val="22"/>
                <w:lang w:val="en-US" w:eastAsia="zh-CN"/>
              </w:rPr>
              <w:t>pH：12</w:t>
            </w:r>
          </w:p>
          <w:p w14:paraId="53D5495D">
            <w:pPr>
              <w:spacing w:line="280" w:lineRule="exact"/>
              <w:jc w:val="center"/>
              <w:rPr>
                <w:rFonts w:ascii="Arial" w:hAnsi="Arial" w:cs="Arial"/>
                <w:color w:val="auto"/>
                <w:sz w:val="22"/>
                <w:szCs w:val="22"/>
              </w:rPr>
            </w:pPr>
            <w:r>
              <w:rPr>
                <w:rFonts w:ascii="Arial" w:hAnsi="Arial" w:cs="Arial"/>
                <w:color w:val="auto"/>
                <w:sz w:val="22"/>
                <w:szCs w:val="22"/>
              </w:rPr>
              <w:t>SS</w:t>
            </w:r>
            <w:r>
              <w:rPr>
                <w:rFonts w:ascii="Arial" w:cs="Arial"/>
                <w:color w:val="auto"/>
                <w:sz w:val="22"/>
                <w:szCs w:val="22"/>
              </w:rPr>
              <w:t>：</w:t>
            </w:r>
            <w:r>
              <w:rPr>
                <w:rFonts w:hint="eastAsia" w:ascii="Arial" w:hAnsi="Arial" w:cs="Arial"/>
                <w:color w:val="auto"/>
                <w:sz w:val="22"/>
                <w:szCs w:val="22"/>
                <w:lang w:val="en-US" w:eastAsia="zh-CN"/>
              </w:rPr>
              <w:t>20</w:t>
            </w:r>
            <w:r>
              <w:rPr>
                <w:rFonts w:ascii="Arial" w:hAnsi="Arial" w:cs="Arial"/>
                <w:color w:val="auto"/>
                <w:sz w:val="22"/>
                <w:szCs w:val="22"/>
              </w:rPr>
              <w:t>00mg/L</w:t>
            </w:r>
          </w:p>
        </w:tc>
        <w:tc>
          <w:tcPr>
            <w:tcW w:w="2723" w:type="dxa"/>
            <w:tcBorders>
              <w:top w:val="single" w:color="auto" w:sz="4" w:space="0"/>
              <w:left w:val="single" w:color="auto" w:sz="4" w:space="0"/>
              <w:bottom w:val="single" w:color="auto" w:sz="4" w:space="0"/>
              <w:right w:val="single" w:color="auto" w:sz="4" w:space="0"/>
            </w:tcBorders>
            <w:noWrap w:val="0"/>
            <w:vAlign w:val="center"/>
          </w:tcPr>
          <w:p w14:paraId="2C62833D">
            <w:pPr>
              <w:spacing w:line="280" w:lineRule="exact"/>
              <w:jc w:val="center"/>
              <w:rPr>
                <w:rFonts w:ascii="Arial" w:cs="Arial"/>
                <w:color w:val="auto"/>
                <w:sz w:val="22"/>
                <w:szCs w:val="22"/>
              </w:rPr>
            </w:pPr>
            <w:r>
              <w:rPr>
                <w:rFonts w:hint="eastAsia" w:ascii="Arial" w:cs="Arial"/>
                <w:color w:val="auto"/>
                <w:sz w:val="22"/>
                <w:szCs w:val="22"/>
                <w:lang w:val="en-US" w:eastAsia="zh-CN"/>
              </w:rPr>
              <w:t>经pH调节+隔油沉淀池处理后，上清液循环使用或回用作抑尘洒水，不外排。</w:t>
            </w:r>
          </w:p>
        </w:tc>
        <w:tc>
          <w:tcPr>
            <w:tcW w:w="1050" w:type="dxa"/>
            <w:tcBorders>
              <w:top w:val="single" w:color="auto" w:sz="4" w:space="0"/>
              <w:left w:val="single" w:color="auto" w:sz="4" w:space="0"/>
              <w:bottom w:val="single" w:color="auto" w:sz="4" w:space="0"/>
              <w:right w:val="single" w:color="auto" w:sz="12" w:space="0"/>
            </w:tcBorders>
            <w:noWrap w:val="0"/>
            <w:vAlign w:val="center"/>
          </w:tcPr>
          <w:p w14:paraId="282343A6">
            <w:pPr>
              <w:spacing w:line="280" w:lineRule="exact"/>
              <w:jc w:val="center"/>
              <w:rPr>
                <w:rFonts w:hint="eastAsia" w:ascii="Arial" w:hAnsi="Arial" w:cs="Arial"/>
                <w:color w:val="auto"/>
                <w:sz w:val="22"/>
                <w:szCs w:val="22"/>
              </w:rPr>
            </w:pPr>
            <w:r>
              <w:rPr>
                <w:rFonts w:hint="eastAsia" w:ascii="Arial" w:hAnsi="Arial" w:cs="Arial"/>
                <w:color w:val="auto"/>
                <w:sz w:val="22"/>
                <w:szCs w:val="22"/>
              </w:rPr>
              <w:t>0</w:t>
            </w:r>
          </w:p>
        </w:tc>
      </w:tr>
      <w:tr w14:paraId="2FD183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98" w:type="dxa"/>
            <w:vMerge w:val="restart"/>
            <w:tcBorders>
              <w:top w:val="single" w:color="auto" w:sz="4" w:space="0"/>
              <w:left w:val="single" w:color="auto" w:sz="12" w:space="0"/>
              <w:bottom w:val="single" w:color="auto" w:sz="4" w:space="0"/>
              <w:right w:val="single" w:color="auto" w:sz="4" w:space="0"/>
            </w:tcBorders>
            <w:noWrap w:val="0"/>
            <w:vAlign w:val="center"/>
          </w:tcPr>
          <w:p w14:paraId="5808E084">
            <w:pPr>
              <w:spacing w:line="280" w:lineRule="exact"/>
              <w:jc w:val="center"/>
              <w:rPr>
                <w:rFonts w:hint="eastAsia" w:ascii="Arial" w:hAnsi="Arial" w:cs="Arial"/>
                <w:color w:val="auto"/>
                <w:sz w:val="22"/>
                <w:szCs w:val="22"/>
              </w:rPr>
            </w:pPr>
            <w:r>
              <w:rPr>
                <w:rFonts w:hint="eastAsia" w:ascii="Arial" w:hAnsi="Arial" w:cs="Arial"/>
                <w:color w:val="auto"/>
                <w:sz w:val="22"/>
                <w:szCs w:val="22"/>
              </w:rPr>
              <w:t>2</w:t>
            </w:r>
          </w:p>
        </w:tc>
        <w:tc>
          <w:tcPr>
            <w:tcW w:w="779" w:type="dxa"/>
            <w:vMerge w:val="restart"/>
            <w:tcBorders>
              <w:top w:val="single" w:color="auto" w:sz="4" w:space="0"/>
              <w:left w:val="single" w:color="auto" w:sz="4" w:space="0"/>
              <w:bottom w:val="single" w:color="auto" w:sz="4" w:space="0"/>
              <w:right w:val="single" w:color="auto" w:sz="4" w:space="0"/>
            </w:tcBorders>
            <w:noWrap w:val="0"/>
            <w:vAlign w:val="center"/>
          </w:tcPr>
          <w:p w14:paraId="1FBD6002">
            <w:pPr>
              <w:spacing w:line="280" w:lineRule="exact"/>
              <w:jc w:val="center"/>
              <w:rPr>
                <w:rFonts w:ascii="Arial" w:hAnsi="Arial" w:cs="Arial"/>
                <w:color w:val="auto"/>
                <w:sz w:val="22"/>
                <w:szCs w:val="22"/>
              </w:rPr>
            </w:pPr>
            <w:r>
              <w:rPr>
                <w:rFonts w:ascii="Arial" w:cs="Arial"/>
                <w:color w:val="auto"/>
                <w:sz w:val="22"/>
                <w:szCs w:val="22"/>
              </w:rPr>
              <w:t>基坑废水</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688563B">
            <w:pPr>
              <w:spacing w:line="280" w:lineRule="exact"/>
              <w:jc w:val="center"/>
              <w:rPr>
                <w:rFonts w:ascii="Arial" w:hAnsi="Arial" w:cs="Arial"/>
                <w:color w:val="auto"/>
                <w:sz w:val="22"/>
                <w:szCs w:val="22"/>
              </w:rPr>
            </w:pPr>
            <w:r>
              <w:rPr>
                <w:rFonts w:ascii="Arial" w:cs="Arial"/>
                <w:color w:val="auto"/>
                <w:sz w:val="22"/>
                <w:szCs w:val="22"/>
              </w:rPr>
              <w:t>初期</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07526F00">
            <w:pPr>
              <w:spacing w:line="280" w:lineRule="exact"/>
              <w:jc w:val="center"/>
              <w:rPr>
                <w:rFonts w:hint="eastAsia" w:ascii="Arial" w:hAnsi="Arial" w:eastAsia="宋体" w:cs="Arial"/>
                <w:color w:val="auto"/>
                <w:sz w:val="22"/>
                <w:szCs w:val="22"/>
                <w:lang w:eastAsia="zh-CN"/>
              </w:rPr>
            </w:pPr>
            <w:r>
              <w:rPr>
                <w:rFonts w:hint="eastAsia" w:ascii="Arial" w:hAnsi="Arial" w:cs="Arial"/>
                <w:color w:val="auto"/>
                <w:sz w:val="22"/>
                <w:szCs w:val="22"/>
                <w:lang w:eastAsia="zh-CN"/>
              </w:rPr>
              <w:t>少量</w:t>
            </w:r>
          </w:p>
        </w:tc>
        <w:tc>
          <w:tcPr>
            <w:tcW w:w="1942" w:type="dxa"/>
            <w:tcBorders>
              <w:top w:val="single" w:color="auto" w:sz="4" w:space="0"/>
              <w:left w:val="single" w:color="auto" w:sz="4" w:space="0"/>
              <w:bottom w:val="single" w:color="auto" w:sz="4" w:space="0"/>
              <w:right w:val="single" w:color="auto" w:sz="4" w:space="0"/>
            </w:tcBorders>
            <w:noWrap w:val="0"/>
            <w:vAlign w:val="center"/>
          </w:tcPr>
          <w:p w14:paraId="6F8068B9">
            <w:pPr>
              <w:spacing w:line="280" w:lineRule="exact"/>
              <w:jc w:val="center"/>
              <w:rPr>
                <w:rFonts w:hint="eastAsia" w:ascii="Arial" w:hAnsi="Arial" w:eastAsia="宋体" w:cs="Arial"/>
                <w:color w:val="auto"/>
                <w:sz w:val="22"/>
                <w:szCs w:val="22"/>
                <w:lang w:eastAsia="zh-CN"/>
              </w:rPr>
            </w:pPr>
            <w:r>
              <w:rPr>
                <w:rFonts w:hint="eastAsia" w:ascii="Arial" w:hAnsi="Arial" w:cs="Arial"/>
                <w:color w:val="auto"/>
                <w:sz w:val="22"/>
                <w:szCs w:val="22"/>
                <w:lang w:eastAsia="zh-CN"/>
              </w:rPr>
              <w:t>天然水体</w:t>
            </w:r>
          </w:p>
        </w:tc>
        <w:tc>
          <w:tcPr>
            <w:tcW w:w="2723" w:type="dxa"/>
            <w:tcBorders>
              <w:top w:val="single" w:color="auto" w:sz="4" w:space="0"/>
              <w:left w:val="single" w:color="auto" w:sz="4" w:space="0"/>
              <w:bottom w:val="single" w:color="auto" w:sz="4" w:space="0"/>
              <w:right w:val="single" w:color="auto" w:sz="4" w:space="0"/>
            </w:tcBorders>
            <w:noWrap w:val="0"/>
            <w:vAlign w:val="center"/>
          </w:tcPr>
          <w:p w14:paraId="5D74F82A">
            <w:pPr>
              <w:spacing w:line="280" w:lineRule="exact"/>
              <w:jc w:val="center"/>
              <w:rPr>
                <w:rFonts w:hint="eastAsia" w:ascii="Arial" w:hAnsi="Arial" w:eastAsia="宋体" w:cs="Arial"/>
                <w:color w:val="auto"/>
                <w:sz w:val="22"/>
                <w:szCs w:val="22"/>
                <w:lang w:eastAsia="zh-CN"/>
              </w:rPr>
            </w:pPr>
            <w:r>
              <w:rPr>
                <w:rFonts w:hint="eastAsia" w:ascii="Arial" w:hAnsi="Arial" w:cs="Arial"/>
                <w:color w:val="auto"/>
                <w:sz w:val="22"/>
                <w:szCs w:val="22"/>
                <w:lang w:eastAsia="zh-CN"/>
              </w:rPr>
              <w:t>泵入下游河道</w:t>
            </w:r>
          </w:p>
        </w:tc>
        <w:tc>
          <w:tcPr>
            <w:tcW w:w="1050" w:type="dxa"/>
            <w:tcBorders>
              <w:top w:val="single" w:color="auto" w:sz="4" w:space="0"/>
              <w:left w:val="single" w:color="auto" w:sz="4" w:space="0"/>
              <w:right w:val="single" w:color="auto" w:sz="12" w:space="0"/>
            </w:tcBorders>
            <w:noWrap w:val="0"/>
            <w:vAlign w:val="center"/>
          </w:tcPr>
          <w:p w14:paraId="4791E454">
            <w:pPr>
              <w:spacing w:line="280" w:lineRule="exact"/>
              <w:jc w:val="center"/>
              <w:rPr>
                <w:rFonts w:hint="eastAsia" w:ascii="Arial" w:hAnsi="Arial" w:eastAsia="宋体" w:cs="Arial"/>
                <w:color w:val="auto"/>
                <w:sz w:val="22"/>
                <w:szCs w:val="22"/>
                <w:lang w:val="en-US" w:eastAsia="zh-CN"/>
              </w:rPr>
            </w:pPr>
            <w:r>
              <w:rPr>
                <w:rFonts w:hint="eastAsia" w:ascii="Arial" w:hAnsi="Arial" w:cs="Arial"/>
                <w:color w:val="auto"/>
                <w:sz w:val="22"/>
                <w:szCs w:val="22"/>
                <w:lang w:val="en-US" w:eastAsia="zh-CN"/>
              </w:rPr>
              <w:t>0</w:t>
            </w:r>
          </w:p>
        </w:tc>
      </w:tr>
      <w:tr w14:paraId="30493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98" w:type="dxa"/>
            <w:vMerge w:val="continue"/>
            <w:tcBorders>
              <w:top w:val="single" w:color="auto" w:sz="4" w:space="0"/>
              <w:left w:val="single" w:color="auto" w:sz="12" w:space="0"/>
              <w:bottom w:val="single" w:color="auto" w:sz="4" w:space="0"/>
              <w:right w:val="single" w:color="auto" w:sz="4" w:space="0"/>
            </w:tcBorders>
            <w:noWrap w:val="0"/>
            <w:vAlign w:val="center"/>
          </w:tcPr>
          <w:p w14:paraId="4420FA9D">
            <w:pPr>
              <w:widowControl/>
              <w:spacing w:line="280" w:lineRule="exact"/>
              <w:jc w:val="left"/>
              <w:rPr>
                <w:rFonts w:ascii="Arial" w:hAnsi="Arial" w:cs="Arial"/>
                <w:color w:val="auto"/>
                <w:sz w:val="22"/>
                <w:szCs w:val="22"/>
              </w:rPr>
            </w:pPr>
          </w:p>
        </w:tc>
        <w:tc>
          <w:tcPr>
            <w:tcW w:w="779" w:type="dxa"/>
            <w:vMerge w:val="continue"/>
            <w:tcBorders>
              <w:top w:val="single" w:color="auto" w:sz="4" w:space="0"/>
              <w:left w:val="single" w:color="auto" w:sz="4" w:space="0"/>
              <w:bottom w:val="single" w:color="auto" w:sz="4" w:space="0"/>
              <w:right w:val="single" w:color="auto" w:sz="4" w:space="0"/>
            </w:tcBorders>
            <w:noWrap w:val="0"/>
            <w:vAlign w:val="center"/>
          </w:tcPr>
          <w:p w14:paraId="34B475BC">
            <w:pPr>
              <w:widowControl/>
              <w:spacing w:line="280" w:lineRule="exact"/>
              <w:jc w:val="left"/>
              <w:rPr>
                <w:rFonts w:ascii="Arial" w:hAnsi="Arial" w:cs="Arial"/>
                <w:color w:val="auto"/>
                <w:sz w:val="22"/>
                <w:szCs w:val="22"/>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3FA022E5">
            <w:pPr>
              <w:spacing w:line="280" w:lineRule="exact"/>
              <w:jc w:val="center"/>
              <w:rPr>
                <w:rFonts w:ascii="Arial" w:hAnsi="Arial" w:cs="Arial"/>
                <w:color w:val="auto"/>
                <w:sz w:val="22"/>
                <w:szCs w:val="22"/>
              </w:rPr>
            </w:pPr>
            <w:r>
              <w:rPr>
                <w:rFonts w:ascii="Arial" w:cs="Arial"/>
                <w:color w:val="auto"/>
                <w:sz w:val="22"/>
                <w:szCs w:val="22"/>
              </w:rPr>
              <w:t>经常性</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6805A8C">
            <w:pPr>
              <w:spacing w:line="280" w:lineRule="exact"/>
              <w:jc w:val="center"/>
              <w:rPr>
                <w:rFonts w:hint="eastAsia" w:ascii="Arial" w:hAnsi="Arial" w:eastAsia="宋体" w:cs="Arial"/>
                <w:color w:val="auto"/>
                <w:sz w:val="22"/>
                <w:szCs w:val="22"/>
                <w:lang w:eastAsia="zh-CN"/>
              </w:rPr>
            </w:pPr>
            <w:r>
              <w:rPr>
                <w:rFonts w:hint="eastAsia" w:ascii="Arial" w:hAnsi="Arial" w:cs="Arial"/>
                <w:color w:val="auto"/>
                <w:sz w:val="22"/>
                <w:szCs w:val="22"/>
                <w:lang w:val="en-US" w:eastAsia="zh-CN"/>
              </w:rPr>
              <w:t>14</w:t>
            </w:r>
            <w:r>
              <w:rPr>
                <w:rFonts w:ascii="Arial" w:hAnsi="Arial" w:cs="Arial"/>
                <w:color w:val="auto"/>
                <w:sz w:val="22"/>
                <w:szCs w:val="22"/>
              </w:rPr>
              <w:t>m</w:t>
            </w:r>
            <w:r>
              <w:rPr>
                <w:rFonts w:ascii="Arial" w:hAnsi="Arial" w:cs="Arial"/>
                <w:color w:val="auto"/>
                <w:sz w:val="22"/>
                <w:szCs w:val="22"/>
                <w:vertAlign w:val="superscript"/>
              </w:rPr>
              <w:t>3</w:t>
            </w:r>
            <w:r>
              <w:rPr>
                <w:rFonts w:ascii="Arial" w:hAnsi="Arial" w:cs="Arial"/>
                <w:color w:val="auto"/>
                <w:sz w:val="22"/>
                <w:szCs w:val="22"/>
              </w:rPr>
              <w:t>/</w:t>
            </w:r>
            <w:r>
              <w:rPr>
                <w:rFonts w:hint="eastAsia" w:ascii="Arial" w:hAnsi="Arial" w:cs="Arial"/>
                <w:color w:val="auto"/>
                <w:sz w:val="22"/>
                <w:szCs w:val="22"/>
                <w:lang w:val="en-US" w:eastAsia="zh-CN"/>
              </w:rPr>
              <w:t>h</w:t>
            </w:r>
          </w:p>
        </w:tc>
        <w:tc>
          <w:tcPr>
            <w:tcW w:w="1942" w:type="dxa"/>
            <w:tcBorders>
              <w:top w:val="single" w:color="auto" w:sz="4" w:space="0"/>
              <w:left w:val="single" w:color="auto" w:sz="4" w:space="0"/>
              <w:bottom w:val="single" w:color="auto" w:sz="4" w:space="0"/>
              <w:right w:val="single" w:color="auto" w:sz="4" w:space="0"/>
            </w:tcBorders>
            <w:noWrap w:val="0"/>
            <w:vAlign w:val="center"/>
          </w:tcPr>
          <w:p w14:paraId="2E58F0AF">
            <w:pPr>
              <w:widowControl/>
              <w:spacing w:line="280" w:lineRule="exact"/>
              <w:jc w:val="left"/>
              <w:rPr>
                <w:rFonts w:ascii="Arial" w:hAnsi="Arial" w:cs="Arial"/>
                <w:color w:val="auto"/>
                <w:sz w:val="22"/>
                <w:szCs w:val="22"/>
              </w:rPr>
            </w:pPr>
            <w:r>
              <w:rPr>
                <w:rFonts w:ascii="Arial" w:hAnsi="Arial" w:cs="Arial"/>
                <w:color w:val="auto"/>
                <w:sz w:val="22"/>
                <w:szCs w:val="22"/>
              </w:rPr>
              <w:t>SS</w:t>
            </w:r>
            <w:r>
              <w:rPr>
                <w:rFonts w:hint="eastAsia" w:ascii="Arial" w:hAnsi="Arial" w:cs="Arial"/>
                <w:color w:val="auto"/>
                <w:sz w:val="22"/>
                <w:szCs w:val="22"/>
                <w:lang w:val="en-US" w:eastAsia="zh-CN"/>
              </w:rPr>
              <w:t>：1</w:t>
            </w:r>
            <w:r>
              <w:rPr>
                <w:rFonts w:ascii="Arial" w:hAnsi="Arial" w:cs="Arial"/>
                <w:color w:val="auto"/>
                <w:sz w:val="22"/>
                <w:szCs w:val="22"/>
              </w:rPr>
              <w:t>000mg/L</w:t>
            </w:r>
          </w:p>
        </w:tc>
        <w:tc>
          <w:tcPr>
            <w:tcW w:w="2723" w:type="dxa"/>
            <w:tcBorders>
              <w:top w:val="single" w:color="auto" w:sz="4" w:space="0"/>
              <w:left w:val="single" w:color="auto" w:sz="4" w:space="0"/>
              <w:bottom w:val="single" w:color="auto" w:sz="4" w:space="0"/>
              <w:right w:val="single" w:color="auto" w:sz="4" w:space="0"/>
            </w:tcBorders>
            <w:noWrap w:val="0"/>
            <w:vAlign w:val="center"/>
          </w:tcPr>
          <w:p w14:paraId="54874AF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ascii="Arial" w:hAnsi="Arial" w:cs="Arial"/>
                <w:color w:val="auto"/>
                <w:sz w:val="22"/>
                <w:szCs w:val="22"/>
              </w:rPr>
            </w:pPr>
            <w:r>
              <w:rPr>
                <w:rFonts w:hint="eastAsia" w:ascii="Arial" w:hAnsi="Times New Roman" w:eastAsia="宋体" w:cs="Arial"/>
                <w:b w:val="0"/>
                <w:color w:val="auto"/>
                <w:kern w:val="2"/>
                <w:sz w:val="22"/>
                <w:szCs w:val="22"/>
                <w:lang w:val="en-US" w:eastAsia="zh-CN" w:bidi="ar-SA"/>
              </w:rPr>
              <w:t>经截水沟、集水坑收集沉淀处理后，上清液可用作施工用水，多余部分泵入下游河道。</w:t>
            </w:r>
          </w:p>
        </w:tc>
        <w:tc>
          <w:tcPr>
            <w:tcW w:w="1050" w:type="dxa"/>
            <w:tcBorders>
              <w:left w:val="single" w:color="auto" w:sz="4" w:space="0"/>
              <w:bottom w:val="single" w:color="auto" w:sz="4" w:space="0"/>
              <w:right w:val="single" w:color="auto" w:sz="12" w:space="0"/>
            </w:tcBorders>
            <w:noWrap w:val="0"/>
            <w:vAlign w:val="center"/>
          </w:tcPr>
          <w:p w14:paraId="2780A95F">
            <w:pPr>
              <w:spacing w:line="280" w:lineRule="exact"/>
              <w:jc w:val="center"/>
              <w:rPr>
                <w:rFonts w:ascii="Arial" w:hAnsi="Arial" w:cs="Arial"/>
                <w:color w:val="auto"/>
                <w:sz w:val="22"/>
                <w:szCs w:val="22"/>
              </w:rPr>
            </w:pPr>
            <w:r>
              <w:rPr>
                <w:rFonts w:hint="eastAsia" w:ascii="Arial" w:hAnsi="Arial" w:cs="Arial"/>
                <w:color w:val="auto"/>
                <w:sz w:val="22"/>
                <w:szCs w:val="22"/>
              </w:rPr>
              <w:t>少量</w:t>
            </w:r>
          </w:p>
        </w:tc>
      </w:tr>
      <w:tr w14:paraId="0AE783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98" w:type="dxa"/>
            <w:tcBorders>
              <w:top w:val="single" w:color="auto" w:sz="4" w:space="0"/>
              <w:left w:val="single" w:color="auto" w:sz="12" w:space="0"/>
              <w:bottom w:val="single" w:color="auto" w:sz="4" w:space="0"/>
              <w:right w:val="single" w:color="auto" w:sz="4" w:space="0"/>
            </w:tcBorders>
            <w:noWrap w:val="0"/>
            <w:vAlign w:val="center"/>
          </w:tcPr>
          <w:p w14:paraId="76D176BD">
            <w:pPr>
              <w:spacing w:line="280" w:lineRule="exact"/>
              <w:jc w:val="center"/>
              <w:rPr>
                <w:rFonts w:hint="eastAsia" w:ascii="Arial" w:hAnsi="Arial" w:cs="Arial"/>
                <w:color w:val="auto"/>
                <w:sz w:val="22"/>
                <w:szCs w:val="22"/>
              </w:rPr>
            </w:pPr>
            <w:r>
              <w:rPr>
                <w:rFonts w:hint="eastAsia" w:ascii="Arial" w:hAnsi="Arial" w:cs="Arial"/>
                <w:color w:val="auto"/>
                <w:sz w:val="22"/>
                <w:szCs w:val="22"/>
              </w:rPr>
              <w:t>3</w:t>
            </w:r>
          </w:p>
        </w:tc>
        <w:tc>
          <w:tcPr>
            <w:tcW w:w="1488" w:type="dxa"/>
            <w:gridSpan w:val="2"/>
            <w:tcBorders>
              <w:top w:val="single" w:color="auto" w:sz="4" w:space="0"/>
              <w:left w:val="single" w:color="auto" w:sz="4" w:space="0"/>
              <w:bottom w:val="single" w:color="auto" w:sz="4" w:space="0"/>
              <w:right w:val="single" w:color="auto" w:sz="4" w:space="0"/>
            </w:tcBorders>
            <w:noWrap w:val="0"/>
            <w:vAlign w:val="center"/>
          </w:tcPr>
          <w:p w14:paraId="2A88C8D1">
            <w:pPr>
              <w:spacing w:line="280" w:lineRule="exact"/>
              <w:jc w:val="center"/>
              <w:rPr>
                <w:rFonts w:ascii="Arial" w:hAnsi="Arial" w:cs="Arial"/>
                <w:color w:val="auto"/>
                <w:sz w:val="22"/>
                <w:szCs w:val="22"/>
              </w:rPr>
            </w:pPr>
            <w:r>
              <w:rPr>
                <w:rFonts w:ascii="Arial" w:cs="Arial"/>
                <w:color w:val="auto"/>
                <w:sz w:val="22"/>
                <w:szCs w:val="22"/>
              </w:rPr>
              <w:t>含油废水</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FE319B7">
            <w:pPr>
              <w:spacing w:line="280" w:lineRule="exact"/>
              <w:jc w:val="center"/>
              <w:rPr>
                <w:rFonts w:ascii="Arial" w:hAnsi="Arial" w:cs="Arial"/>
                <w:color w:val="auto"/>
                <w:sz w:val="22"/>
                <w:szCs w:val="22"/>
              </w:rPr>
            </w:pPr>
            <w:r>
              <w:rPr>
                <w:rFonts w:ascii="Arial" w:hAnsi="Arial" w:cs="Arial"/>
                <w:color w:val="auto"/>
                <w:sz w:val="22"/>
                <w:szCs w:val="22"/>
              </w:rPr>
              <w:t>3.0m</w:t>
            </w:r>
            <w:r>
              <w:rPr>
                <w:rFonts w:ascii="Arial" w:hAnsi="Arial" w:cs="Arial"/>
                <w:color w:val="auto"/>
                <w:sz w:val="22"/>
                <w:szCs w:val="22"/>
                <w:vertAlign w:val="superscript"/>
              </w:rPr>
              <w:t>3</w:t>
            </w:r>
            <w:r>
              <w:rPr>
                <w:rFonts w:ascii="Arial" w:hAnsi="Arial" w:cs="Arial"/>
                <w:color w:val="auto"/>
                <w:sz w:val="22"/>
                <w:szCs w:val="22"/>
              </w:rPr>
              <w:t>/d</w:t>
            </w:r>
          </w:p>
        </w:tc>
        <w:tc>
          <w:tcPr>
            <w:tcW w:w="1942" w:type="dxa"/>
            <w:tcBorders>
              <w:top w:val="single" w:color="auto" w:sz="4" w:space="0"/>
              <w:left w:val="single" w:color="auto" w:sz="4" w:space="0"/>
              <w:bottom w:val="single" w:color="auto" w:sz="4" w:space="0"/>
              <w:right w:val="single" w:color="auto" w:sz="4" w:space="0"/>
            </w:tcBorders>
            <w:noWrap w:val="0"/>
            <w:vAlign w:val="center"/>
          </w:tcPr>
          <w:p w14:paraId="34B74DBC">
            <w:pPr>
              <w:spacing w:line="280" w:lineRule="exact"/>
              <w:jc w:val="center"/>
              <w:rPr>
                <w:rFonts w:ascii="Arial" w:hAnsi="Arial" w:cs="Arial"/>
                <w:color w:val="auto"/>
                <w:sz w:val="22"/>
                <w:szCs w:val="22"/>
              </w:rPr>
            </w:pPr>
            <w:r>
              <w:rPr>
                <w:rFonts w:ascii="Arial" w:cs="Arial"/>
                <w:color w:val="auto"/>
                <w:sz w:val="22"/>
                <w:szCs w:val="22"/>
              </w:rPr>
              <w:t>石油类：</w:t>
            </w:r>
            <w:r>
              <w:rPr>
                <w:rFonts w:ascii="Arial" w:hAnsi="Arial" w:cs="Arial"/>
                <w:color w:val="auto"/>
                <w:sz w:val="22"/>
                <w:szCs w:val="22"/>
              </w:rPr>
              <w:t>1</w:t>
            </w:r>
            <w:r>
              <w:rPr>
                <w:rFonts w:hint="eastAsia" w:ascii="Arial" w:hAnsi="Arial" w:cs="Arial"/>
                <w:color w:val="auto"/>
                <w:sz w:val="22"/>
                <w:szCs w:val="22"/>
                <w:lang w:val="en-US" w:eastAsia="zh-CN"/>
              </w:rPr>
              <w:t>2</w:t>
            </w:r>
            <w:r>
              <w:rPr>
                <w:rFonts w:ascii="Arial" w:hAnsi="Arial" w:cs="Arial"/>
                <w:color w:val="auto"/>
                <w:sz w:val="22"/>
                <w:szCs w:val="22"/>
              </w:rPr>
              <w:t>0mg/L</w:t>
            </w:r>
          </w:p>
          <w:p w14:paraId="279184D7">
            <w:pPr>
              <w:spacing w:line="280" w:lineRule="exact"/>
              <w:jc w:val="center"/>
              <w:rPr>
                <w:rFonts w:ascii="Arial" w:hAnsi="Arial" w:cs="Arial"/>
                <w:color w:val="auto"/>
                <w:sz w:val="22"/>
                <w:szCs w:val="22"/>
              </w:rPr>
            </w:pPr>
            <w:r>
              <w:rPr>
                <w:rFonts w:ascii="Arial" w:hAnsi="Arial" w:cs="Arial"/>
                <w:color w:val="auto"/>
                <w:sz w:val="22"/>
                <w:szCs w:val="22"/>
              </w:rPr>
              <w:t>SS</w:t>
            </w:r>
            <w:r>
              <w:rPr>
                <w:rFonts w:ascii="Arial" w:cs="Arial"/>
                <w:color w:val="auto"/>
                <w:sz w:val="22"/>
                <w:szCs w:val="22"/>
              </w:rPr>
              <w:t>：</w:t>
            </w:r>
            <w:r>
              <w:rPr>
                <w:rFonts w:ascii="Arial" w:hAnsi="Arial" w:cs="Arial"/>
                <w:color w:val="auto"/>
                <w:sz w:val="22"/>
                <w:szCs w:val="22"/>
              </w:rPr>
              <w:t>1</w:t>
            </w:r>
            <w:r>
              <w:rPr>
                <w:rFonts w:hint="eastAsia" w:ascii="Arial" w:hAnsi="Arial" w:cs="Arial"/>
                <w:color w:val="auto"/>
                <w:sz w:val="22"/>
                <w:szCs w:val="22"/>
                <w:lang w:val="en-US" w:eastAsia="zh-CN"/>
              </w:rPr>
              <w:t>0</w:t>
            </w:r>
            <w:r>
              <w:rPr>
                <w:rFonts w:ascii="Arial" w:hAnsi="Arial" w:cs="Arial"/>
                <w:color w:val="auto"/>
                <w:sz w:val="22"/>
                <w:szCs w:val="22"/>
              </w:rPr>
              <w:t>00 mg/L</w:t>
            </w:r>
          </w:p>
        </w:tc>
        <w:tc>
          <w:tcPr>
            <w:tcW w:w="2723" w:type="dxa"/>
            <w:tcBorders>
              <w:top w:val="single" w:color="auto" w:sz="4" w:space="0"/>
              <w:left w:val="single" w:color="auto" w:sz="4" w:space="0"/>
              <w:bottom w:val="single" w:color="auto" w:sz="4" w:space="0"/>
              <w:right w:val="single" w:color="auto" w:sz="4" w:space="0"/>
            </w:tcBorders>
            <w:noWrap w:val="0"/>
            <w:vAlign w:val="center"/>
          </w:tcPr>
          <w:p w14:paraId="558AF8CA">
            <w:pPr>
              <w:spacing w:line="280" w:lineRule="exact"/>
              <w:jc w:val="center"/>
              <w:rPr>
                <w:rFonts w:hint="eastAsia" w:ascii="Arial" w:hAnsi="Arial" w:eastAsia="宋体" w:cs="Arial"/>
                <w:color w:val="auto"/>
                <w:sz w:val="22"/>
                <w:szCs w:val="22"/>
                <w:lang w:eastAsia="zh-CN"/>
              </w:rPr>
            </w:pPr>
            <w:r>
              <w:rPr>
                <w:rFonts w:ascii="Arial" w:hAnsi="Arial" w:cs="Arial"/>
                <w:color w:val="auto"/>
                <w:sz w:val="22"/>
                <w:szCs w:val="22"/>
              </w:rPr>
              <w:t>经施工</w:t>
            </w:r>
            <w:r>
              <w:rPr>
                <w:rFonts w:hint="eastAsia" w:ascii="Arial" w:hAnsi="Arial" w:cs="Arial"/>
                <w:color w:val="auto"/>
                <w:sz w:val="22"/>
                <w:szCs w:val="22"/>
              </w:rPr>
              <w:t>区内</w:t>
            </w:r>
            <w:r>
              <w:rPr>
                <w:rFonts w:ascii="Arial" w:hAnsi="Arial" w:cs="Arial"/>
                <w:color w:val="auto"/>
                <w:sz w:val="22"/>
                <w:szCs w:val="22"/>
              </w:rPr>
              <w:t>设置的隔油池处理后全部回用</w:t>
            </w:r>
            <w:r>
              <w:rPr>
                <w:rFonts w:hint="eastAsia" w:ascii="Arial" w:hAnsi="Arial" w:cs="Arial"/>
                <w:color w:val="auto"/>
                <w:sz w:val="22"/>
                <w:szCs w:val="22"/>
                <w:lang w:eastAsia="zh-CN"/>
              </w:rPr>
              <w:t>，</w:t>
            </w:r>
            <w:r>
              <w:rPr>
                <w:rFonts w:ascii="Arial" w:hAnsi="Arial" w:cs="Arial"/>
                <w:color w:val="auto"/>
                <w:sz w:val="22"/>
                <w:szCs w:val="22"/>
              </w:rPr>
              <w:t>不外排</w:t>
            </w:r>
            <w:r>
              <w:rPr>
                <w:rFonts w:hint="eastAsia" w:ascii="Arial" w:hAnsi="Arial" w:cs="Arial"/>
                <w:color w:val="auto"/>
                <w:sz w:val="22"/>
                <w:szCs w:val="22"/>
                <w:lang w:eastAsia="zh-CN"/>
              </w:rPr>
              <w:t>。</w:t>
            </w:r>
          </w:p>
        </w:tc>
        <w:tc>
          <w:tcPr>
            <w:tcW w:w="1050" w:type="dxa"/>
            <w:tcBorders>
              <w:top w:val="single" w:color="auto" w:sz="4" w:space="0"/>
              <w:left w:val="single" w:color="auto" w:sz="4" w:space="0"/>
              <w:bottom w:val="single" w:color="auto" w:sz="4" w:space="0"/>
              <w:right w:val="single" w:color="auto" w:sz="12" w:space="0"/>
            </w:tcBorders>
            <w:noWrap w:val="0"/>
            <w:vAlign w:val="center"/>
          </w:tcPr>
          <w:p w14:paraId="186425C4">
            <w:pPr>
              <w:spacing w:line="280" w:lineRule="exact"/>
              <w:jc w:val="center"/>
              <w:rPr>
                <w:rFonts w:ascii="Arial" w:hAnsi="Arial" w:cs="Arial"/>
                <w:color w:val="auto"/>
                <w:sz w:val="22"/>
                <w:szCs w:val="22"/>
              </w:rPr>
            </w:pPr>
            <w:r>
              <w:rPr>
                <w:rFonts w:ascii="Arial" w:hAnsi="Arial" w:cs="Arial"/>
                <w:color w:val="auto"/>
                <w:sz w:val="22"/>
                <w:szCs w:val="22"/>
              </w:rPr>
              <w:t>0</w:t>
            </w:r>
          </w:p>
        </w:tc>
      </w:tr>
      <w:tr w14:paraId="69E51E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98" w:type="dxa"/>
            <w:tcBorders>
              <w:top w:val="single" w:color="auto" w:sz="4" w:space="0"/>
              <w:left w:val="single" w:color="auto" w:sz="12" w:space="0"/>
              <w:bottom w:val="single" w:color="auto" w:sz="4" w:space="0"/>
              <w:right w:val="single" w:color="auto" w:sz="4" w:space="0"/>
            </w:tcBorders>
            <w:noWrap w:val="0"/>
            <w:vAlign w:val="center"/>
          </w:tcPr>
          <w:p w14:paraId="4799C884">
            <w:pPr>
              <w:spacing w:line="280" w:lineRule="exact"/>
              <w:jc w:val="center"/>
              <w:rPr>
                <w:rFonts w:hint="eastAsia" w:ascii="Arial" w:hAnsi="Arial" w:eastAsia="宋体" w:cs="Arial"/>
                <w:color w:val="auto"/>
                <w:sz w:val="22"/>
                <w:szCs w:val="22"/>
                <w:lang w:val="en-US" w:eastAsia="zh-CN"/>
              </w:rPr>
            </w:pPr>
            <w:r>
              <w:rPr>
                <w:rFonts w:hint="eastAsia" w:ascii="Arial" w:hAnsi="Arial" w:cs="Arial"/>
                <w:color w:val="auto"/>
                <w:sz w:val="22"/>
                <w:szCs w:val="22"/>
                <w:lang w:val="en-US" w:eastAsia="zh-CN"/>
              </w:rPr>
              <w:t>4</w:t>
            </w:r>
          </w:p>
        </w:tc>
        <w:tc>
          <w:tcPr>
            <w:tcW w:w="1488" w:type="dxa"/>
            <w:gridSpan w:val="2"/>
            <w:tcBorders>
              <w:top w:val="single" w:color="auto" w:sz="4" w:space="0"/>
              <w:left w:val="single" w:color="auto" w:sz="4" w:space="0"/>
              <w:bottom w:val="single" w:color="auto" w:sz="4" w:space="0"/>
              <w:right w:val="single" w:color="auto" w:sz="4" w:space="0"/>
            </w:tcBorders>
            <w:noWrap w:val="0"/>
            <w:vAlign w:val="center"/>
          </w:tcPr>
          <w:p w14:paraId="1B32FD0F">
            <w:pPr>
              <w:spacing w:line="280" w:lineRule="exact"/>
              <w:jc w:val="center"/>
              <w:rPr>
                <w:rFonts w:hint="eastAsia" w:ascii="Arial" w:eastAsia="宋体" w:cs="Arial"/>
                <w:color w:val="auto"/>
                <w:sz w:val="22"/>
                <w:szCs w:val="22"/>
                <w:lang w:eastAsia="zh-CN"/>
              </w:rPr>
            </w:pPr>
            <w:r>
              <w:rPr>
                <w:rFonts w:hint="eastAsia" w:ascii="Arial" w:cs="Arial"/>
                <w:color w:val="auto"/>
                <w:sz w:val="22"/>
                <w:szCs w:val="22"/>
                <w:lang w:eastAsia="zh-CN"/>
              </w:rPr>
              <w:t>初期雨水</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31FFA779">
            <w:pPr>
              <w:spacing w:line="280" w:lineRule="exact"/>
              <w:jc w:val="center"/>
              <w:rPr>
                <w:rFonts w:hint="eastAsia" w:ascii="Arial" w:hAnsi="Arial" w:eastAsia="宋体" w:cs="Arial"/>
                <w:color w:val="auto"/>
                <w:sz w:val="22"/>
                <w:szCs w:val="22"/>
                <w:lang w:val="en-US" w:eastAsia="zh-CN"/>
              </w:rPr>
            </w:pPr>
            <w:r>
              <w:rPr>
                <w:rFonts w:hint="eastAsia" w:ascii="Arial" w:hAnsi="Arial" w:cs="Arial"/>
                <w:color w:val="auto"/>
                <w:sz w:val="22"/>
                <w:szCs w:val="22"/>
                <w:lang w:val="en-US" w:eastAsia="zh-CN"/>
              </w:rPr>
              <w:t>/</w:t>
            </w:r>
          </w:p>
        </w:tc>
        <w:tc>
          <w:tcPr>
            <w:tcW w:w="1942" w:type="dxa"/>
            <w:tcBorders>
              <w:top w:val="single" w:color="auto" w:sz="4" w:space="0"/>
              <w:left w:val="single" w:color="auto" w:sz="4" w:space="0"/>
              <w:bottom w:val="single" w:color="auto" w:sz="4" w:space="0"/>
              <w:right w:val="single" w:color="auto" w:sz="4" w:space="0"/>
            </w:tcBorders>
            <w:noWrap w:val="0"/>
            <w:vAlign w:val="center"/>
          </w:tcPr>
          <w:p w14:paraId="11CC02BE">
            <w:pPr>
              <w:spacing w:line="280" w:lineRule="exact"/>
              <w:jc w:val="center"/>
              <w:rPr>
                <w:rFonts w:hint="default" w:ascii="Arial" w:hAnsi="Arial" w:eastAsia="宋体" w:cs="Arial"/>
                <w:color w:val="auto"/>
                <w:sz w:val="22"/>
                <w:szCs w:val="22"/>
                <w:lang w:val="en-US" w:eastAsia="zh-CN"/>
              </w:rPr>
            </w:pPr>
            <w:r>
              <w:rPr>
                <w:rFonts w:hint="eastAsia" w:ascii="Arial" w:hAnsi="Arial" w:cs="Arial"/>
                <w:color w:val="auto"/>
                <w:sz w:val="22"/>
                <w:szCs w:val="22"/>
                <w:lang w:val="en-US" w:eastAsia="zh-CN"/>
              </w:rPr>
              <w:t>SS</w:t>
            </w:r>
          </w:p>
        </w:tc>
        <w:tc>
          <w:tcPr>
            <w:tcW w:w="2723" w:type="dxa"/>
            <w:tcBorders>
              <w:top w:val="single" w:color="auto" w:sz="4" w:space="0"/>
              <w:left w:val="single" w:color="auto" w:sz="4" w:space="0"/>
              <w:bottom w:val="single" w:color="auto" w:sz="4" w:space="0"/>
              <w:right w:val="single" w:color="auto" w:sz="4" w:space="0"/>
            </w:tcBorders>
            <w:noWrap w:val="0"/>
            <w:vAlign w:val="center"/>
          </w:tcPr>
          <w:p w14:paraId="7AC0175F">
            <w:pPr>
              <w:spacing w:line="280" w:lineRule="exact"/>
              <w:jc w:val="center"/>
              <w:rPr>
                <w:rFonts w:hint="eastAsia" w:ascii="Arial" w:hAnsi="Arial" w:eastAsia="宋体" w:cs="Arial"/>
                <w:color w:val="auto"/>
                <w:sz w:val="22"/>
                <w:szCs w:val="22"/>
                <w:lang w:eastAsia="zh-CN"/>
              </w:rPr>
            </w:pPr>
            <w:r>
              <w:rPr>
                <w:rFonts w:hint="eastAsia" w:ascii="Arial" w:hAnsi="Arial" w:cs="Arial"/>
                <w:color w:val="auto"/>
                <w:sz w:val="22"/>
                <w:szCs w:val="22"/>
                <w:lang w:eastAsia="zh-CN"/>
              </w:rPr>
              <w:t>经截排水沟、沉砂池收集处理后，作施工用水。</w:t>
            </w:r>
          </w:p>
        </w:tc>
        <w:tc>
          <w:tcPr>
            <w:tcW w:w="1050" w:type="dxa"/>
            <w:tcBorders>
              <w:top w:val="single" w:color="auto" w:sz="4" w:space="0"/>
              <w:left w:val="single" w:color="auto" w:sz="4" w:space="0"/>
              <w:bottom w:val="single" w:color="auto" w:sz="4" w:space="0"/>
              <w:right w:val="single" w:color="auto" w:sz="12" w:space="0"/>
            </w:tcBorders>
            <w:noWrap w:val="0"/>
            <w:vAlign w:val="center"/>
          </w:tcPr>
          <w:p w14:paraId="6F6D33E0">
            <w:pPr>
              <w:spacing w:line="280" w:lineRule="exact"/>
              <w:jc w:val="center"/>
              <w:rPr>
                <w:rFonts w:hint="eastAsia" w:ascii="Arial" w:hAnsi="Arial" w:eastAsia="宋体" w:cs="Arial"/>
                <w:color w:val="auto"/>
                <w:sz w:val="22"/>
                <w:szCs w:val="22"/>
                <w:lang w:val="en-US" w:eastAsia="zh-CN"/>
              </w:rPr>
            </w:pPr>
            <w:r>
              <w:rPr>
                <w:rFonts w:hint="eastAsia" w:ascii="Arial" w:hAnsi="Arial" w:cs="Arial"/>
                <w:color w:val="auto"/>
                <w:sz w:val="22"/>
                <w:szCs w:val="22"/>
                <w:lang w:val="en-US" w:eastAsia="zh-CN"/>
              </w:rPr>
              <w:t>0</w:t>
            </w:r>
          </w:p>
        </w:tc>
      </w:tr>
      <w:tr w14:paraId="26615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698" w:type="dxa"/>
            <w:vMerge w:val="restart"/>
            <w:tcBorders>
              <w:top w:val="single" w:color="auto" w:sz="4" w:space="0"/>
              <w:left w:val="single" w:color="auto" w:sz="12" w:space="0"/>
              <w:bottom w:val="single" w:color="auto" w:sz="12" w:space="0"/>
              <w:right w:val="single" w:color="auto" w:sz="4" w:space="0"/>
            </w:tcBorders>
            <w:noWrap w:val="0"/>
            <w:vAlign w:val="center"/>
          </w:tcPr>
          <w:p w14:paraId="0E0C4073">
            <w:pPr>
              <w:spacing w:line="280" w:lineRule="exact"/>
              <w:jc w:val="center"/>
              <w:rPr>
                <w:rFonts w:hint="eastAsia" w:ascii="Arial" w:hAnsi="Arial" w:eastAsia="宋体" w:cs="Arial"/>
                <w:color w:val="auto"/>
                <w:sz w:val="22"/>
                <w:szCs w:val="22"/>
                <w:lang w:eastAsia="zh-CN"/>
              </w:rPr>
            </w:pPr>
            <w:r>
              <w:rPr>
                <w:rFonts w:hint="eastAsia" w:ascii="Arial" w:hAnsi="Arial" w:cs="Arial"/>
                <w:color w:val="auto"/>
                <w:sz w:val="22"/>
                <w:szCs w:val="22"/>
                <w:lang w:val="en-US" w:eastAsia="zh-CN"/>
              </w:rPr>
              <w:t>5</w:t>
            </w:r>
          </w:p>
        </w:tc>
        <w:tc>
          <w:tcPr>
            <w:tcW w:w="779" w:type="dxa"/>
            <w:vMerge w:val="restart"/>
            <w:tcBorders>
              <w:top w:val="single" w:color="auto" w:sz="4" w:space="0"/>
              <w:left w:val="single" w:color="auto" w:sz="4" w:space="0"/>
              <w:bottom w:val="single" w:color="auto" w:sz="12" w:space="0"/>
              <w:right w:val="single" w:color="auto" w:sz="4" w:space="0"/>
            </w:tcBorders>
            <w:noWrap w:val="0"/>
            <w:vAlign w:val="center"/>
          </w:tcPr>
          <w:p w14:paraId="3A2333A4">
            <w:pPr>
              <w:spacing w:line="280" w:lineRule="exact"/>
              <w:jc w:val="center"/>
              <w:rPr>
                <w:rFonts w:ascii="Arial" w:hAnsi="Arial" w:cs="Arial"/>
                <w:color w:val="auto"/>
                <w:sz w:val="22"/>
                <w:szCs w:val="22"/>
              </w:rPr>
            </w:pPr>
            <w:r>
              <w:rPr>
                <w:rFonts w:ascii="Arial" w:cs="Arial"/>
                <w:color w:val="auto"/>
                <w:sz w:val="22"/>
                <w:szCs w:val="22"/>
              </w:rPr>
              <w:t>生活污水</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A41E45B">
            <w:pPr>
              <w:spacing w:line="280" w:lineRule="exact"/>
              <w:jc w:val="center"/>
              <w:rPr>
                <w:rFonts w:ascii="Arial" w:hAnsi="Arial" w:cs="Arial"/>
                <w:color w:val="auto"/>
                <w:sz w:val="22"/>
                <w:szCs w:val="22"/>
              </w:rPr>
            </w:pPr>
            <w:r>
              <w:rPr>
                <w:rFonts w:ascii="Arial" w:cs="Arial"/>
                <w:color w:val="auto"/>
                <w:sz w:val="22"/>
                <w:szCs w:val="22"/>
              </w:rPr>
              <w:t>枢纽工程区</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BAC36BC">
            <w:pPr>
              <w:spacing w:line="280" w:lineRule="exact"/>
              <w:jc w:val="center"/>
              <w:rPr>
                <w:rFonts w:ascii="Arial" w:hAnsi="Arial" w:cs="Arial"/>
                <w:color w:val="auto"/>
                <w:sz w:val="22"/>
                <w:szCs w:val="22"/>
              </w:rPr>
            </w:pPr>
            <w:r>
              <w:rPr>
                <w:rFonts w:hint="eastAsia" w:ascii="Arial" w:hAnsi="Arial" w:cs="Arial"/>
                <w:color w:val="auto"/>
                <w:sz w:val="22"/>
                <w:szCs w:val="22"/>
                <w:lang w:val="en-US" w:eastAsia="zh-CN"/>
              </w:rPr>
              <w:t>8.1</w:t>
            </w:r>
            <w:r>
              <w:rPr>
                <w:rFonts w:ascii="Arial" w:hAnsi="Arial" w:cs="Arial"/>
                <w:color w:val="auto"/>
                <w:sz w:val="22"/>
                <w:szCs w:val="22"/>
              </w:rPr>
              <w:t>m</w:t>
            </w:r>
            <w:r>
              <w:rPr>
                <w:rFonts w:ascii="Arial" w:hAnsi="Arial" w:cs="Arial"/>
                <w:color w:val="auto"/>
                <w:sz w:val="22"/>
                <w:szCs w:val="22"/>
                <w:vertAlign w:val="superscript"/>
              </w:rPr>
              <w:t>3</w:t>
            </w:r>
            <w:r>
              <w:rPr>
                <w:rFonts w:ascii="Arial" w:hAnsi="Arial" w:cs="Arial"/>
                <w:color w:val="auto"/>
                <w:sz w:val="22"/>
                <w:szCs w:val="22"/>
              </w:rPr>
              <w:t>/d</w:t>
            </w:r>
          </w:p>
        </w:tc>
        <w:tc>
          <w:tcPr>
            <w:tcW w:w="1942" w:type="dxa"/>
            <w:tcBorders>
              <w:top w:val="single" w:color="auto" w:sz="4" w:space="0"/>
              <w:left w:val="single" w:color="auto" w:sz="4" w:space="0"/>
              <w:bottom w:val="single" w:color="auto" w:sz="4" w:space="0"/>
              <w:right w:val="single" w:color="auto" w:sz="4" w:space="0"/>
            </w:tcBorders>
            <w:noWrap w:val="0"/>
            <w:vAlign w:val="center"/>
          </w:tcPr>
          <w:p w14:paraId="335A1C64">
            <w:pPr>
              <w:spacing w:line="280" w:lineRule="exact"/>
              <w:jc w:val="center"/>
              <w:rPr>
                <w:rFonts w:ascii="Arial" w:hAnsi="Arial" w:cs="Arial"/>
                <w:color w:val="auto"/>
                <w:sz w:val="22"/>
                <w:szCs w:val="22"/>
              </w:rPr>
            </w:pPr>
            <w:r>
              <w:rPr>
                <w:rFonts w:ascii="Arial" w:hAnsi="Arial" w:cs="Arial"/>
                <w:color w:val="auto"/>
                <w:sz w:val="22"/>
                <w:szCs w:val="22"/>
              </w:rPr>
              <w:t>COD</w:t>
            </w:r>
            <w:r>
              <w:rPr>
                <w:rFonts w:ascii="Arial" w:cs="Arial"/>
                <w:color w:val="auto"/>
                <w:sz w:val="22"/>
                <w:szCs w:val="22"/>
              </w:rPr>
              <w:t>：</w:t>
            </w:r>
            <w:r>
              <w:rPr>
                <w:rFonts w:ascii="Arial" w:hAnsi="Arial" w:cs="Arial"/>
                <w:color w:val="auto"/>
                <w:sz w:val="22"/>
                <w:szCs w:val="22"/>
              </w:rPr>
              <w:t>450mg/L</w:t>
            </w:r>
          </w:p>
          <w:p w14:paraId="0C0FF2A6">
            <w:pPr>
              <w:spacing w:line="280" w:lineRule="exact"/>
              <w:jc w:val="center"/>
              <w:rPr>
                <w:rFonts w:ascii="Arial" w:hAnsi="Arial" w:cs="Arial"/>
                <w:color w:val="auto"/>
                <w:sz w:val="22"/>
                <w:szCs w:val="22"/>
              </w:rPr>
            </w:pPr>
            <w:r>
              <w:rPr>
                <w:rFonts w:ascii="Arial" w:hAnsi="Arial" w:cs="Arial"/>
                <w:color w:val="auto"/>
                <w:sz w:val="22"/>
                <w:szCs w:val="22"/>
              </w:rPr>
              <w:t>BOD</w:t>
            </w:r>
            <w:r>
              <w:rPr>
                <w:rFonts w:ascii="Arial" w:hAnsi="Arial" w:cs="Arial"/>
                <w:color w:val="auto"/>
                <w:sz w:val="22"/>
                <w:szCs w:val="22"/>
                <w:vertAlign w:val="subscript"/>
              </w:rPr>
              <w:t>5</w:t>
            </w:r>
            <w:r>
              <w:rPr>
                <w:rFonts w:ascii="Arial" w:cs="Arial"/>
                <w:color w:val="auto"/>
                <w:sz w:val="22"/>
                <w:szCs w:val="22"/>
              </w:rPr>
              <w:t>：</w:t>
            </w:r>
            <w:r>
              <w:rPr>
                <w:rFonts w:ascii="Arial" w:hAnsi="Arial" w:cs="Arial"/>
                <w:color w:val="auto"/>
                <w:sz w:val="22"/>
                <w:szCs w:val="22"/>
              </w:rPr>
              <w:t>250mg/L</w:t>
            </w:r>
          </w:p>
          <w:p w14:paraId="0A71133E">
            <w:pPr>
              <w:spacing w:line="280" w:lineRule="exact"/>
              <w:jc w:val="center"/>
              <w:rPr>
                <w:rFonts w:ascii="Arial" w:hAnsi="Arial" w:cs="Arial"/>
                <w:color w:val="auto"/>
                <w:sz w:val="22"/>
                <w:szCs w:val="22"/>
              </w:rPr>
            </w:pPr>
            <w:r>
              <w:rPr>
                <w:rFonts w:ascii="Arial" w:hAnsi="Arial" w:cs="Arial"/>
                <w:color w:val="auto"/>
                <w:sz w:val="22"/>
                <w:szCs w:val="22"/>
              </w:rPr>
              <w:t>SS</w:t>
            </w:r>
            <w:r>
              <w:rPr>
                <w:rFonts w:ascii="Arial" w:cs="Arial"/>
                <w:color w:val="auto"/>
                <w:sz w:val="22"/>
                <w:szCs w:val="22"/>
              </w:rPr>
              <w:t>：</w:t>
            </w:r>
            <w:r>
              <w:rPr>
                <w:rFonts w:ascii="Arial" w:hAnsi="Arial" w:cs="Arial"/>
                <w:color w:val="auto"/>
                <w:sz w:val="22"/>
                <w:szCs w:val="22"/>
              </w:rPr>
              <w:t>250mg/L</w:t>
            </w:r>
          </w:p>
          <w:p w14:paraId="6DEDC83B">
            <w:pPr>
              <w:spacing w:line="280" w:lineRule="exact"/>
              <w:jc w:val="center"/>
              <w:rPr>
                <w:rFonts w:ascii="Arial" w:hAnsi="Arial" w:cs="Arial"/>
                <w:color w:val="auto"/>
                <w:sz w:val="22"/>
                <w:szCs w:val="22"/>
              </w:rPr>
            </w:pPr>
            <w:r>
              <w:rPr>
                <w:rFonts w:ascii="Arial" w:cs="Arial"/>
                <w:color w:val="auto"/>
                <w:sz w:val="22"/>
                <w:szCs w:val="22"/>
              </w:rPr>
              <w:t>氨氮：</w:t>
            </w:r>
            <w:r>
              <w:rPr>
                <w:rFonts w:ascii="Arial" w:hAnsi="Arial" w:cs="Arial"/>
                <w:color w:val="auto"/>
                <w:sz w:val="22"/>
                <w:szCs w:val="22"/>
              </w:rPr>
              <w:t>30mg/L</w:t>
            </w:r>
          </w:p>
        </w:tc>
        <w:tc>
          <w:tcPr>
            <w:tcW w:w="2723" w:type="dxa"/>
            <w:vMerge w:val="restart"/>
            <w:tcBorders>
              <w:top w:val="single" w:color="auto" w:sz="4" w:space="0"/>
              <w:left w:val="single" w:color="auto" w:sz="4" w:space="0"/>
              <w:right w:val="single" w:color="auto" w:sz="4" w:space="0"/>
            </w:tcBorders>
            <w:noWrap w:val="0"/>
            <w:vAlign w:val="center"/>
          </w:tcPr>
          <w:p w14:paraId="1C7E1B54">
            <w:pPr>
              <w:spacing w:line="280" w:lineRule="exact"/>
              <w:jc w:val="center"/>
              <w:rPr>
                <w:rFonts w:hint="eastAsia" w:ascii="Arial" w:hAnsi="Arial" w:eastAsia="宋体" w:cs="Arial"/>
                <w:color w:val="auto"/>
                <w:sz w:val="22"/>
                <w:szCs w:val="22"/>
                <w:lang w:eastAsia="zh-CN"/>
              </w:rPr>
            </w:pPr>
            <w:r>
              <w:rPr>
                <w:rFonts w:hint="eastAsia" w:ascii="Arial" w:cs="Arial"/>
                <w:color w:val="auto"/>
                <w:sz w:val="22"/>
                <w:szCs w:val="22"/>
                <w:lang w:eastAsia="zh-CN"/>
              </w:rPr>
              <w:t>经租赁居民房屋内已有的旱厕收集处理后，全部回用作农肥，不外排。</w:t>
            </w:r>
          </w:p>
        </w:tc>
        <w:tc>
          <w:tcPr>
            <w:tcW w:w="1050" w:type="dxa"/>
            <w:tcBorders>
              <w:top w:val="single" w:color="auto" w:sz="4" w:space="0"/>
              <w:left w:val="single" w:color="auto" w:sz="4" w:space="0"/>
              <w:bottom w:val="single" w:color="auto" w:sz="4" w:space="0"/>
              <w:right w:val="single" w:color="auto" w:sz="12" w:space="0"/>
            </w:tcBorders>
            <w:noWrap w:val="0"/>
            <w:vAlign w:val="center"/>
          </w:tcPr>
          <w:p w14:paraId="64B4E8C8">
            <w:pPr>
              <w:spacing w:line="280" w:lineRule="exact"/>
              <w:jc w:val="center"/>
              <w:rPr>
                <w:rFonts w:hint="eastAsia" w:ascii="Arial" w:hAnsi="Arial" w:eastAsia="宋体" w:cs="Arial"/>
                <w:color w:val="auto"/>
                <w:sz w:val="22"/>
                <w:szCs w:val="22"/>
                <w:lang w:eastAsia="zh-CN"/>
              </w:rPr>
            </w:pPr>
            <w:r>
              <w:rPr>
                <w:rFonts w:hint="eastAsia" w:ascii="Arial" w:hAnsi="Arial" w:cs="Arial"/>
                <w:color w:val="auto"/>
                <w:sz w:val="22"/>
                <w:szCs w:val="22"/>
                <w:lang w:val="en-US" w:eastAsia="zh-CN"/>
              </w:rPr>
              <w:t>0</w:t>
            </w:r>
          </w:p>
        </w:tc>
      </w:tr>
      <w:tr w14:paraId="5A222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98" w:type="dxa"/>
            <w:vMerge w:val="continue"/>
            <w:tcBorders>
              <w:top w:val="single" w:color="auto" w:sz="4" w:space="0"/>
              <w:left w:val="single" w:color="auto" w:sz="12" w:space="0"/>
              <w:bottom w:val="single" w:color="auto" w:sz="12" w:space="0"/>
              <w:right w:val="single" w:color="auto" w:sz="4" w:space="0"/>
            </w:tcBorders>
            <w:noWrap w:val="0"/>
            <w:vAlign w:val="center"/>
          </w:tcPr>
          <w:p w14:paraId="2C1ED28B">
            <w:pPr>
              <w:widowControl/>
              <w:spacing w:line="280" w:lineRule="exact"/>
              <w:jc w:val="left"/>
              <w:rPr>
                <w:rFonts w:ascii="Arial" w:hAnsi="Arial" w:cs="Arial"/>
                <w:color w:val="auto"/>
                <w:sz w:val="22"/>
                <w:szCs w:val="22"/>
              </w:rPr>
            </w:pPr>
          </w:p>
        </w:tc>
        <w:tc>
          <w:tcPr>
            <w:tcW w:w="779" w:type="dxa"/>
            <w:vMerge w:val="continue"/>
            <w:tcBorders>
              <w:top w:val="single" w:color="auto" w:sz="4" w:space="0"/>
              <w:left w:val="single" w:color="auto" w:sz="4" w:space="0"/>
              <w:bottom w:val="single" w:color="auto" w:sz="12" w:space="0"/>
              <w:right w:val="single" w:color="auto" w:sz="4" w:space="0"/>
            </w:tcBorders>
            <w:noWrap w:val="0"/>
            <w:vAlign w:val="center"/>
          </w:tcPr>
          <w:p w14:paraId="7320C72F">
            <w:pPr>
              <w:widowControl/>
              <w:spacing w:line="280" w:lineRule="exact"/>
              <w:jc w:val="left"/>
              <w:rPr>
                <w:rFonts w:ascii="Arial" w:hAnsi="Arial" w:cs="Arial"/>
                <w:color w:val="auto"/>
                <w:sz w:val="22"/>
                <w:szCs w:val="22"/>
              </w:rPr>
            </w:pPr>
          </w:p>
        </w:tc>
        <w:tc>
          <w:tcPr>
            <w:tcW w:w="709" w:type="dxa"/>
            <w:tcBorders>
              <w:top w:val="single" w:color="auto" w:sz="4" w:space="0"/>
              <w:left w:val="single" w:color="auto" w:sz="4" w:space="0"/>
              <w:bottom w:val="single" w:color="auto" w:sz="12" w:space="0"/>
              <w:right w:val="single" w:color="auto" w:sz="4" w:space="0"/>
            </w:tcBorders>
            <w:noWrap w:val="0"/>
            <w:vAlign w:val="center"/>
          </w:tcPr>
          <w:p w14:paraId="272C2370">
            <w:pPr>
              <w:spacing w:line="280" w:lineRule="exact"/>
              <w:jc w:val="center"/>
              <w:rPr>
                <w:rFonts w:ascii="Arial" w:hAnsi="Arial" w:cs="Arial"/>
                <w:color w:val="auto"/>
                <w:sz w:val="22"/>
                <w:szCs w:val="22"/>
              </w:rPr>
            </w:pPr>
            <w:r>
              <w:rPr>
                <w:rFonts w:ascii="Arial" w:cs="Arial"/>
                <w:color w:val="auto"/>
                <w:sz w:val="22"/>
                <w:szCs w:val="22"/>
              </w:rPr>
              <w:t>灌区工程区</w:t>
            </w:r>
          </w:p>
        </w:tc>
        <w:tc>
          <w:tcPr>
            <w:tcW w:w="1231" w:type="dxa"/>
            <w:tcBorders>
              <w:top w:val="single" w:color="auto" w:sz="4" w:space="0"/>
              <w:left w:val="single" w:color="auto" w:sz="4" w:space="0"/>
              <w:bottom w:val="single" w:color="auto" w:sz="12" w:space="0"/>
              <w:right w:val="single" w:color="auto" w:sz="4" w:space="0"/>
            </w:tcBorders>
            <w:noWrap w:val="0"/>
            <w:vAlign w:val="center"/>
          </w:tcPr>
          <w:p w14:paraId="1D581BD4">
            <w:pPr>
              <w:spacing w:line="280" w:lineRule="exact"/>
              <w:jc w:val="center"/>
              <w:rPr>
                <w:rFonts w:ascii="Arial" w:hAnsi="Arial" w:cs="Arial"/>
                <w:color w:val="auto"/>
                <w:sz w:val="22"/>
                <w:szCs w:val="22"/>
              </w:rPr>
            </w:pPr>
            <w:r>
              <w:rPr>
                <w:rFonts w:hint="eastAsia" w:ascii="Arial" w:hAnsi="Arial" w:cs="Arial"/>
                <w:color w:val="auto"/>
                <w:sz w:val="22"/>
                <w:szCs w:val="22"/>
                <w:lang w:val="en-US" w:eastAsia="zh-CN"/>
              </w:rPr>
              <w:t>3.6</w:t>
            </w:r>
            <w:r>
              <w:rPr>
                <w:rFonts w:ascii="Arial" w:hAnsi="Arial" w:cs="Arial"/>
                <w:color w:val="auto"/>
                <w:sz w:val="22"/>
                <w:szCs w:val="22"/>
              </w:rPr>
              <w:t>m</w:t>
            </w:r>
            <w:r>
              <w:rPr>
                <w:rFonts w:ascii="Arial" w:hAnsi="Arial" w:cs="Arial"/>
                <w:color w:val="auto"/>
                <w:sz w:val="22"/>
                <w:szCs w:val="22"/>
                <w:vertAlign w:val="superscript"/>
              </w:rPr>
              <w:t>3</w:t>
            </w:r>
            <w:r>
              <w:rPr>
                <w:rFonts w:ascii="Arial" w:hAnsi="Arial" w:cs="Arial"/>
                <w:color w:val="auto"/>
                <w:sz w:val="22"/>
                <w:szCs w:val="22"/>
              </w:rPr>
              <w:t>/d</w:t>
            </w:r>
          </w:p>
        </w:tc>
        <w:tc>
          <w:tcPr>
            <w:tcW w:w="1942" w:type="dxa"/>
            <w:tcBorders>
              <w:top w:val="single" w:color="auto" w:sz="4" w:space="0"/>
              <w:left w:val="single" w:color="auto" w:sz="4" w:space="0"/>
              <w:bottom w:val="single" w:color="auto" w:sz="12" w:space="0"/>
              <w:right w:val="single" w:color="auto" w:sz="4" w:space="0"/>
            </w:tcBorders>
            <w:noWrap w:val="0"/>
            <w:vAlign w:val="center"/>
          </w:tcPr>
          <w:p w14:paraId="597D8458">
            <w:pPr>
              <w:spacing w:line="280" w:lineRule="exact"/>
              <w:jc w:val="center"/>
              <w:rPr>
                <w:rFonts w:ascii="Arial" w:hAnsi="Arial" w:cs="Arial"/>
                <w:color w:val="auto"/>
                <w:sz w:val="22"/>
                <w:szCs w:val="22"/>
              </w:rPr>
            </w:pPr>
            <w:r>
              <w:rPr>
                <w:rFonts w:ascii="Arial" w:hAnsi="Arial" w:cs="Arial"/>
                <w:color w:val="auto"/>
                <w:sz w:val="22"/>
                <w:szCs w:val="22"/>
              </w:rPr>
              <w:t>COD</w:t>
            </w:r>
            <w:r>
              <w:rPr>
                <w:rFonts w:ascii="Arial" w:cs="Arial"/>
                <w:color w:val="auto"/>
                <w:sz w:val="22"/>
                <w:szCs w:val="22"/>
              </w:rPr>
              <w:t>：</w:t>
            </w:r>
            <w:r>
              <w:rPr>
                <w:rFonts w:ascii="Arial" w:hAnsi="Arial" w:cs="Arial"/>
                <w:color w:val="auto"/>
                <w:sz w:val="22"/>
                <w:szCs w:val="22"/>
              </w:rPr>
              <w:t>450mg/L</w:t>
            </w:r>
          </w:p>
          <w:p w14:paraId="34A17AC1">
            <w:pPr>
              <w:spacing w:line="280" w:lineRule="exact"/>
              <w:jc w:val="center"/>
              <w:rPr>
                <w:rFonts w:ascii="Arial" w:hAnsi="Arial" w:cs="Arial"/>
                <w:color w:val="auto"/>
                <w:sz w:val="22"/>
                <w:szCs w:val="22"/>
              </w:rPr>
            </w:pPr>
            <w:r>
              <w:rPr>
                <w:rFonts w:ascii="Arial" w:hAnsi="Arial" w:cs="Arial"/>
                <w:color w:val="auto"/>
                <w:sz w:val="22"/>
                <w:szCs w:val="22"/>
              </w:rPr>
              <w:t>BOD</w:t>
            </w:r>
            <w:r>
              <w:rPr>
                <w:rFonts w:ascii="Arial" w:hAnsi="Arial" w:cs="Arial"/>
                <w:color w:val="auto"/>
                <w:sz w:val="22"/>
                <w:szCs w:val="22"/>
                <w:vertAlign w:val="subscript"/>
              </w:rPr>
              <w:t>5</w:t>
            </w:r>
            <w:r>
              <w:rPr>
                <w:rFonts w:ascii="Arial" w:cs="Arial"/>
                <w:color w:val="auto"/>
                <w:sz w:val="22"/>
                <w:szCs w:val="22"/>
              </w:rPr>
              <w:t>：</w:t>
            </w:r>
            <w:r>
              <w:rPr>
                <w:rFonts w:ascii="Arial" w:hAnsi="Arial" w:cs="Arial"/>
                <w:color w:val="auto"/>
                <w:sz w:val="22"/>
                <w:szCs w:val="22"/>
              </w:rPr>
              <w:t>250mg/L</w:t>
            </w:r>
          </w:p>
          <w:p w14:paraId="28AC5A84">
            <w:pPr>
              <w:spacing w:line="280" w:lineRule="exact"/>
              <w:jc w:val="center"/>
              <w:rPr>
                <w:rFonts w:ascii="Arial" w:hAnsi="Arial" w:cs="Arial"/>
                <w:color w:val="auto"/>
                <w:sz w:val="22"/>
                <w:szCs w:val="22"/>
              </w:rPr>
            </w:pPr>
            <w:r>
              <w:rPr>
                <w:rFonts w:ascii="Arial" w:hAnsi="Arial" w:cs="Arial"/>
                <w:color w:val="auto"/>
                <w:sz w:val="22"/>
                <w:szCs w:val="22"/>
              </w:rPr>
              <w:t>SS</w:t>
            </w:r>
            <w:r>
              <w:rPr>
                <w:rFonts w:ascii="Arial" w:cs="Arial"/>
                <w:color w:val="auto"/>
                <w:sz w:val="22"/>
                <w:szCs w:val="22"/>
              </w:rPr>
              <w:t>：</w:t>
            </w:r>
            <w:r>
              <w:rPr>
                <w:rFonts w:ascii="Arial" w:hAnsi="Arial" w:cs="Arial"/>
                <w:color w:val="auto"/>
                <w:sz w:val="22"/>
                <w:szCs w:val="22"/>
              </w:rPr>
              <w:t>250mg/L</w:t>
            </w:r>
          </w:p>
          <w:p w14:paraId="4ADD259F">
            <w:pPr>
              <w:spacing w:line="280" w:lineRule="exact"/>
              <w:jc w:val="center"/>
              <w:rPr>
                <w:rFonts w:ascii="Arial" w:hAnsi="Arial" w:cs="Arial"/>
                <w:color w:val="auto"/>
                <w:sz w:val="22"/>
                <w:szCs w:val="22"/>
              </w:rPr>
            </w:pPr>
            <w:r>
              <w:rPr>
                <w:rFonts w:ascii="Arial" w:cs="Arial"/>
                <w:color w:val="auto"/>
                <w:sz w:val="22"/>
                <w:szCs w:val="22"/>
              </w:rPr>
              <w:t>氨氮：</w:t>
            </w:r>
            <w:r>
              <w:rPr>
                <w:rFonts w:ascii="Arial" w:hAnsi="Arial" w:cs="Arial"/>
                <w:color w:val="auto"/>
                <w:sz w:val="22"/>
                <w:szCs w:val="22"/>
              </w:rPr>
              <w:t>30mg/L</w:t>
            </w:r>
          </w:p>
        </w:tc>
        <w:tc>
          <w:tcPr>
            <w:tcW w:w="2723" w:type="dxa"/>
            <w:vMerge w:val="continue"/>
            <w:tcBorders>
              <w:left w:val="single" w:color="auto" w:sz="4" w:space="0"/>
              <w:bottom w:val="single" w:color="auto" w:sz="12" w:space="0"/>
              <w:right w:val="single" w:color="auto" w:sz="4" w:space="0"/>
            </w:tcBorders>
            <w:noWrap w:val="0"/>
            <w:vAlign w:val="center"/>
          </w:tcPr>
          <w:p w14:paraId="4EC191DB">
            <w:pPr>
              <w:spacing w:line="280" w:lineRule="exact"/>
              <w:jc w:val="center"/>
              <w:rPr>
                <w:rFonts w:ascii="Arial" w:hAnsi="Arial" w:cs="Arial"/>
                <w:color w:val="auto"/>
                <w:sz w:val="22"/>
                <w:szCs w:val="22"/>
              </w:rPr>
            </w:pPr>
          </w:p>
        </w:tc>
        <w:tc>
          <w:tcPr>
            <w:tcW w:w="1050" w:type="dxa"/>
            <w:tcBorders>
              <w:top w:val="single" w:color="auto" w:sz="4" w:space="0"/>
              <w:left w:val="single" w:color="auto" w:sz="4" w:space="0"/>
              <w:bottom w:val="single" w:color="auto" w:sz="12" w:space="0"/>
              <w:right w:val="single" w:color="auto" w:sz="12" w:space="0"/>
            </w:tcBorders>
            <w:noWrap w:val="0"/>
            <w:vAlign w:val="center"/>
          </w:tcPr>
          <w:p w14:paraId="0214E565">
            <w:pPr>
              <w:spacing w:line="280" w:lineRule="exact"/>
              <w:jc w:val="center"/>
              <w:rPr>
                <w:rFonts w:hint="eastAsia" w:ascii="Arial" w:hAnsi="Arial" w:cs="Arial"/>
                <w:color w:val="auto"/>
                <w:sz w:val="22"/>
                <w:szCs w:val="22"/>
              </w:rPr>
            </w:pPr>
            <w:r>
              <w:rPr>
                <w:rFonts w:hint="eastAsia" w:ascii="Arial" w:hAnsi="Arial" w:cs="Arial"/>
                <w:color w:val="auto"/>
                <w:sz w:val="22"/>
                <w:szCs w:val="22"/>
              </w:rPr>
              <w:t>0</w:t>
            </w:r>
          </w:p>
        </w:tc>
      </w:tr>
    </w:tbl>
    <w:p w14:paraId="5B39051F">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eastAsia" w:ascii="宋体" w:hAnsi="宋体" w:cs="宋体"/>
          <w:bCs/>
          <w:color w:val="auto"/>
          <w:sz w:val="26"/>
          <w:szCs w:val="26"/>
        </w:rPr>
      </w:pPr>
    </w:p>
    <w:p w14:paraId="322B9907">
      <w:pPr>
        <w:keepNext w:val="0"/>
        <w:keepLines w:val="0"/>
        <w:pageBreakBefore w:val="0"/>
        <w:widowControl w:val="0"/>
        <w:kinsoku/>
        <w:wordWrap/>
        <w:overflowPunct/>
        <w:topLinePunct w:val="0"/>
        <w:autoSpaceDE/>
        <w:autoSpaceDN/>
        <w:bidi w:val="0"/>
        <w:adjustRightInd/>
        <w:snapToGrid/>
        <w:spacing w:line="460" w:lineRule="exact"/>
        <w:ind w:left="0" w:right="0" w:firstLine="392" w:firstLineChars="150"/>
        <w:jc w:val="both"/>
        <w:textAlignment w:val="auto"/>
        <w:outlineLvl w:val="3"/>
        <w:rPr>
          <w:rFonts w:hint="eastAsia" w:ascii="Arial" w:hAnsi="宋体" w:cs="Arial"/>
          <w:b/>
          <w:sz w:val="26"/>
          <w:szCs w:val="26"/>
        </w:rPr>
      </w:pPr>
      <w:r>
        <w:rPr>
          <w:rFonts w:hint="eastAsia" w:ascii="Arial" w:hAnsi="宋体" w:cs="Arial"/>
          <w:b/>
          <w:sz w:val="26"/>
          <w:szCs w:val="26"/>
        </w:rPr>
        <w:t>（</w:t>
      </w:r>
      <w:r>
        <w:rPr>
          <w:rFonts w:hint="eastAsia" w:ascii="Arial" w:hAnsi="宋体" w:cs="Arial"/>
          <w:b/>
          <w:sz w:val="26"/>
          <w:szCs w:val="26"/>
          <w:lang w:val="en-US" w:eastAsia="zh-CN"/>
        </w:rPr>
        <w:t>2</w:t>
      </w:r>
      <w:r>
        <w:rPr>
          <w:rFonts w:hint="eastAsia" w:ascii="Arial" w:hAnsi="宋体" w:cs="Arial"/>
          <w:b/>
          <w:sz w:val="26"/>
          <w:szCs w:val="26"/>
        </w:rPr>
        <w:t>）</w:t>
      </w:r>
      <w:r>
        <w:rPr>
          <w:rFonts w:hint="eastAsia" w:ascii="Arial" w:hAnsi="宋体" w:cs="Arial"/>
          <w:b/>
          <w:sz w:val="26"/>
          <w:szCs w:val="26"/>
          <w:lang w:eastAsia="zh-CN"/>
        </w:rPr>
        <w:t>废气</w:t>
      </w:r>
    </w:p>
    <w:p w14:paraId="0135F778">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宋体" w:hAnsi="宋体" w:cs="宋体"/>
          <w:bCs/>
          <w:color w:val="auto"/>
          <w:sz w:val="26"/>
          <w:szCs w:val="26"/>
        </w:rPr>
      </w:pPr>
      <w:r>
        <w:rPr>
          <w:rFonts w:hint="eastAsia" w:ascii="宋体" w:hAnsi="宋体" w:cs="宋体"/>
          <w:bCs/>
          <w:color w:val="auto"/>
          <w:sz w:val="26"/>
          <w:szCs w:val="26"/>
        </w:rPr>
        <w:t>本工程施工期环境空气污染物主要是土石方开挖、</w:t>
      </w:r>
      <w:r>
        <w:rPr>
          <w:rFonts w:hint="eastAsia" w:ascii="宋体" w:hAnsi="宋体" w:cs="宋体"/>
          <w:bCs/>
          <w:color w:val="auto"/>
          <w:sz w:val="26"/>
          <w:szCs w:val="26"/>
          <w:lang w:eastAsia="zh-CN"/>
        </w:rPr>
        <w:t>物料</w:t>
      </w:r>
      <w:r>
        <w:rPr>
          <w:rFonts w:hint="eastAsia" w:ascii="宋体" w:hAnsi="宋体" w:cs="宋体"/>
          <w:bCs/>
          <w:color w:val="auto"/>
          <w:sz w:val="26"/>
          <w:szCs w:val="26"/>
        </w:rPr>
        <w:t>运输等施工过程中产生的扬尘、混凝土拌和系统粉尘、施工机械和运输车辆废气。</w:t>
      </w:r>
    </w:p>
    <w:p w14:paraId="249DAC3A">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Arial" w:eastAsia="宋体" w:cs="Arial"/>
          <w:b/>
          <w:bCs/>
          <w:sz w:val="26"/>
          <w:szCs w:val="26"/>
          <w:lang w:eastAsia="zh-CN"/>
        </w:rPr>
      </w:pPr>
      <w:r>
        <w:rPr>
          <w:rFonts w:ascii="Arial" w:hAnsi="Arial" w:cs="Arial"/>
          <w:b/>
          <w:bCs/>
          <w:sz w:val="26"/>
          <w:szCs w:val="26"/>
        </w:rPr>
        <w:t xml:space="preserve">① </w:t>
      </w:r>
      <w:r>
        <w:rPr>
          <w:rFonts w:hint="eastAsia" w:ascii="Arial" w:hAnsi="Arial" w:cs="Arial"/>
          <w:b/>
          <w:bCs/>
          <w:sz w:val="26"/>
          <w:szCs w:val="26"/>
          <w:lang w:eastAsia="zh-CN"/>
        </w:rPr>
        <w:t>施工扬尘</w:t>
      </w:r>
    </w:p>
    <w:p w14:paraId="7C19B32E">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default" w:ascii="Arial" w:hAnsi="Arial" w:cs="Arial"/>
          <w:bCs/>
          <w:color w:val="auto"/>
          <w:sz w:val="26"/>
          <w:szCs w:val="26"/>
        </w:rPr>
      </w:pPr>
      <w:r>
        <w:rPr>
          <w:rFonts w:hint="default" w:ascii="Arial" w:hAnsi="Arial" w:cs="Arial"/>
          <w:bCs/>
          <w:color w:val="auto"/>
          <w:sz w:val="26"/>
          <w:szCs w:val="26"/>
        </w:rPr>
        <w:t>扬尘排放方式主要为无组织间歇性排放，其产生量受风向、风速和空气湿度等气象条件的影响，主要来源于：场地平整、土石方清挖过程的地面扬尘。项目开挖作业面扬尘参照《逸散性工业粉尘控制技术》</w:t>
      </w:r>
      <w:r>
        <w:rPr>
          <w:rFonts w:hint="eastAsia" w:ascii="Arial" w:hAnsi="Arial" w:cs="Arial"/>
          <w:bCs/>
          <w:color w:val="auto"/>
          <w:sz w:val="26"/>
          <w:szCs w:val="26"/>
          <w:lang w:eastAsia="zh-CN"/>
        </w:rPr>
        <w:t>（</w:t>
      </w:r>
      <w:r>
        <w:rPr>
          <w:rFonts w:hint="default" w:ascii="Arial" w:hAnsi="Arial" w:cs="Arial"/>
          <w:bCs/>
          <w:color w:val="auto"/>
          <w:sz w:val="26"/>
          <w:szCs w:val="26"/>
        </w:rPr>
        <w:t>中国环境科学出版社</w:t>
      </w:r>
      <w:r>
        <w:rPr>
          <w:rFonts w:hint="eastAsia" w:ascii="Arial" w:hAnsi="Arial" w:cs="Arial"/>
          <w:bCs/>
          <w:color w:val="auto"/>
          <w:sz w:val="26"/>
          <w:szCs w:val="26"/>
          <w:lang w:eastAsia="zh-CN"/>
        </w:rPr>
        <w:t>），</w:t>
      </w:r>
      <w:r>
        <w:rPr>
          <w:rFonts w:hint="default" w:ascii="Arial" w:hAnsi="Arial" w:cs="Arial"/>
          <w:bCs/>
          <w:color w:val="auto"/>
          <w:sz w:val="26"/>
          <w:szCs w:val="26"/>
        </w:rPr>
        <w:t>开挖作业逸散尘排放系数0.0365kg/t</w:t>
      </w:r>
      <w:r>
        <w:rPr>
          <w:rFonts w:hint="eastAsia" w:ascii="Arial" w:hAnsi="Arial" w:cs="Arial"/>
          <w:bCs/>
          <w:color w:val="auto"/>
          <w:sz w:val="26"/>
          <w:szCs w:val="26"/>
          <w:lang w:eastAsia="zh-CN"/>
        </w:rPr>
        <w:t>（</w:t>
      </w:r>
      <w:r>
        <w:rPr>
          <w:rFonts w:hint="default" w:ascii="Arial" w:hAnsi="Arial" w:cs="Arial"/>
          <w:bCs/>
          <w:color w:val="auto"/>
          <w:sz w:val="26"/>
          <w:szCs w:val="26"/>
        </w:rPr>
        <w:t>按最不利的剥离覆盖层考虑</w:t>
      </w:r>
      <w:r>
        <w:rPr>
          <w:rFonts w:hint="eastAsia" w:ascii="Arial" w:hAnsi="Arial" w:cs="Arial"/>
          <w:bCs/>
          <w:color w:val="auto"/>
          <w:sz w:val="26"/>
          <w:szCs w:val="26"/>
          <w:lang w:eastAsia="zh-CN"/>
        </w:rPr>
        <w:t>）。</w:t>
      </w:r>
      <w:r>
        <w:rPr>
          <w:rFonts w:hint="default" w:ascii="Arial" w:hAnsi="Arial" w:cs="Arial"/>
          <w:bCs/>
          <w:color w:val="auto"/>
          <w:sz w:val="26"/>
          <w:szCs w:val="26"/>
        </w:rPr>
        <w:t>本工程土石方开挖量合计</w:t>
      </w:r>
      <w:r>
        <w:rPr>
          <w:rFonts w:hint="eastAsia" w:ascii="Arial" w:hAnsi="Arial" w:cs="Arial"/>
          <w:bCs/>
          <w:color w:val="auto"/>
          <w:sz w:val="26"/>
          <w:szCs w:val="26"/>
          <w:lang w:val="en-US" w:eastAsia="zh-CN"/>
        </w:rPr>
        <w:t>11.84</w:t>
      </w:r>
      <w:r>
        <w:rPr>
          <w:rFonts w:hint="default" w:ascii="Arial" w:hAnsi="Arial" w:cs="Arial"/>
          <w:bCs/>
          <w:color w:val="auto"/>
          <w:sz w:val="26"/>
          <w:szCs w:val="26"/>
        </w:rPr>
        <w:t>万m</w:t>
      </w:r>
      <w:r>
        <w:rPr>
          <w:rFonts w:hint="eastAsia" w:ascii="Arial" w:hAnsi="Arial" w:cs="Arial"/>
          <w:bCs/>
          <w:color w:val="auto"/>
          <w:sz w:val="26"/>
          <w:szCs w:val="26"/>
          <w:vertAlign w:val="superscript"/>
          <w:lang w:val="en-US" w:eastAsia="zh-CN"/>
        </w:rPr>
        <w:t>3</w:t>
      </w:r>
      <w:r>
        <w:rPr>
          <w:rFonts w:hint="eastAsia" w:ascii="Arial" w:hAnsi="Arial" w:cs="Arial"/>
          <w:bCs/>
          <w:color w:val="auto"/>
          <w:sz w:val="26"/>
          <w:szCs w:val="26"/>
          <w:lang w:eastAsia="zh-CN"/>
        </w:rPr>
        <w:t>，</w:t>
      </w:r>
      <w:r>
        <w:rPr>
          <w:rFonts w:hint="default" w:ascii="Arial" w:hAnsi="Arial" w:cs="Arial"/>
          <w:bCs/>
          <w:color w:val="auto"/>
          <w:sz w:val="26"/>
          <w:szCs w:val="26"/>
        </w:rPr>
        <w:t>容重取1.8t/m</w:t>
      </w:r>
      <w:r>
        <w:rPr>
          <w:rFonts w:hint="eastAsia" w:ascii="Arial" w:hAnsi="Arial" w:cs="Arial"/>
          <w:bCs/>
          <w:color w:val="auto"/>
          <w:sz w:val="26"/>
          <w:szCs w:val="26"/>
          <w:vertAlign w:val="superscript"/>
          <w:lang w:val="en-US" w:eastAsia="zh-CN"/>
        </w:rPr>
        <w:t>3</w:t>
      </w:r>
      <w:r>
        <w:rPr>
          <w:rFonts w:hint="eastAsia" w:ascii="Arial" w:hAnsi="Arial" w:cs="Arial"/>
          <w:bCs/>
          <w:color w:val="auto"/>
          <w:sz w:val="26"/>
          <w:szCs w:val="26"/>
          <w:lang w:eastAsia="zh-CN"/>
        </w:rPr>
        <w:t>，</w:t>
      </w:r>
      <w:r>
        <w:rPr>
          <w:rFonts w:hint="default" w:ascii="Arial" w:hAnsi="Arial" w:cs="Arial"/>
          <w:bCs/>
          <w:color w:val="auto"/>
          <w:sz w:val="26"/>
          <w:szCs w:val="26"/>
        </w:rPr>
        <w:t>则开挖作业粉尘产生量为</w:t>
      </w:r>
      <w:r>
        <w:rPr>
          <w:rFonts w:hint="eastAsia" w:ascii="Arial" w:hAnsi="Arial" w:cs="Arial"/>
          <w:bCs/>
          <w:color w:val="auto"/>
          <w:sz w:val="26"/>
          <w:szCs w:val="26"/>
          <w:lang w:val="en-US" w:eastAsia="zh-CN"/>
        </w:rPr>
        <w:t>7.78</w:t>
      </w:r>
      <w:r>
        <w:rPr>
          <w:rFonts w:hint="default" w:ascii="Arial" w:hAnsi="Arial" w:cs="Arial"/>
          <w:bCs/>
          <w:color w:val="auto"/>
          <w:sz w:val="26"/>
          <w:szCs w:val="26"/>
        </w:rPr>
        <w:t>t。施工开挖过程中采取洒水抑尘+炮雾机降尘措施，可以有效抑制粉尘的产生，除尘效率达到</w:t>
      </w:r>
      <w:r>
        <w:rPr>
          <w:rFonts w:hint="eastAsia" w:ascii="Arial" w:hAnsi="Arial" w:cs="Arial"/>
          <w:bCs/>
          <w:color w:val="auto"/>
          <w:sz w:val="26"/>
          <w:szCs w:val="26"/>
          <w:lang w:val="en-US" w:eastAsia="zh-CN"/>
        </w:rPr>
        <w:t>8</w:t>
      </w:r>
      <w:r>
        <w:rPr>
          <w:rFonts w:hint="default" w:ascii="Arial" w:hAnsi="Arial" w:cs="Arial"/>
          <w:bCs/>
          <w:color w:val="auto"/>
          <w:sz w:val="26"/>
          <w:szCs w:val="26"/>
        </w:rPr>
        <w:t>0%以上，则开挖粉尘排放量为</w:t>
      </w:r>
      <w:r>
        <w:rPr>
          <w:rFonts w:hint="eastAsia" w:ascii="Arial" w:hAnsi="Arial" w:cs="Arial"/>
          <w:bCs/>
          <w:color w:val="auto"/>
          <w:sz w:val="26"/>
          <w:szCs w:val="26"/>
          <w:lang w:val="en-US" w:eastAsia="zh-CN"/>
        </w:rPr>
        <w:t>1.56</w:t>
      </w:r>
      <w:r>
        <w:rPr>
          <w:rFonts w:hint="default" w:ascii="Arial" w:hAnsi="Arial" w:cs="Arial"/>
          <w:bCs/>
          <w:color w:val="auto"/>
          <w:sz w:val="26"/>
          <w:szCs w:val="26"/>
        </w:rPr>
        <w:t>t。</w:t>
      </w:r>
    </w:p>
    <w:p w14:paraId="4148E7D9">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Arial" w:cs="Arial"/>
          <w:b/>
          <w:bCs/>
          <w:sz w:val="26"/>
          <w:szCs w:val="26"/>
          <w:lang w:val="en-US" w:eastAsia="zh-CN"/>
        </w:rPr>
      </w:pPr>
      <w:r>
        <w:rPr>
          <w:rFonts w:hint="default" w:ascii="Arial" w:hAnsi="Arial" w:cs="Arial"/>
          <w:b/>
          <w:bCs/>
          <w:sz w:val="26"/>
          <w:szCs w:val="26"/>
        </w:rPr>
        <w:t>②</w:t>
      </w:r>
      <w:r>
        <w:rPr>
          <w:rFonts w:hint="eastAsia" w:ascii="Arial" w:hAnsi="Arial" w:cs="Arial"/>
          <w:b/>
          <w:bCs/>
          <w:sz w:val="26"/>
          <w:szCs w:val="26"/>
          <w:lang w:val="en-US" w:eastAsia="zh-CN"/>
        </w:rPr>
        <w:t xml:space="preserve"> 装卸粉尘</w:t>
      </w:r>
    </w:p>
    <w:p w14:paraId="00511FF1">
      <w:pPr>
        <w:spacing w:line="460" w:lineRule="exact"/>
        <w:ind w:firstLine="520" w:firstLineChars="200"/>
        <w:rPr>
          <w:rFonts w:hint="eastAsia" w:eastAsia="宋体"/>
          <w:color w:val="auto"/>
          <w:sz w:val="26"/>
          <w:szCs w:val="26"/>
          <w:highlight w:val="none"/>
          <w:lang w:eastAsia="zh-CN"/>
        </w:rPr>
      </w:pPr>
      <w:r>
        <w:rPr>
          <w:rFonts w:hint="eastAsia" w:ascii="宋体" w:hAnsi="宋体" w:cs="宋体"/>
          <w:bCs/>
          <w:color w:val="auto"/>
          <w:sz w:val="26"/>
          <w:szCs w:val="26"/>
          <w:lang w:eastAsia="zh-CN"/>
        </w:rPr>
        <w:t>挖方运至填方区、弃渣运至弃渣场、外购水泥等车辆装卸扬尘量采用清华大学</w:t>
      </w:r>
      <w:r>
        <w:rPr>
          <w:rFonts w:hint="eastAsia" w:ascii="Arial" w:hAnsi="Arial" w:eastAsia="宋体" w:cs="Arial"/>
          <w:color w:val="auto"/>
          <w:sz w:val="26"/>
          <w:szCs w:val="26"/>
          <w:lang w:val="en-US" w:eastAsia="zh-CN"/>
        </w:rPr>
        <w:t>铲装扬尘公式计算：</w:t>
      </w:r>
    </w:p>
    <w:p w14:paraId="2C6941E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eastAsia="宋体"/>
          <w:color w:val="auto"/>
          <w:highlight w:val="none"/>
          <w:lang w:eastAsia="zh-CN"/>
        </w:rPr>
      </w:pPr>
      <w:r>
        <w:rPr>
          <w:rFonts w:ascii="Arial" w:hAnsi="Arial" w:cs="Arial"/>
          <w:bCs/>
          <w:color w:val="auto"/>
          <w:sz w:val="24"/>
          <w:szCs w:val="24"/>
        </w:rPr>
        <w:object>
          <v:shape id="_x0000_i1025" o:spt="75" type="#_x0000_t75" style="height:18pt;width:147pt;" o:ole="t" filled="f" o:preferrelative="t" stroked="f" coordsize="21600,21600">
            <v:path/>
            <v:fill on="f" alignshape="1" focussize="0,0"/>
            <v:stroke on="f"/>
            <v:imagedata r:id="rId30" o:title=""/>
            <o:lock v:ext="edit" aspectratio="t"/>
            <w10:wrap type="none"/>
            <w10:anchorlock/>
          </v:shape>
          <o:OLEObject Type="Embed" ProgID="Equation.3" ShapeID="_x0000_i1025" DrawAspect="Content" ObjectID="_1468075725" r:id="rId29">
            <o:LockedField>false</o:LockedField>
          </o:OLEObject>
        </w:object>
      </w:r>
    </w:p>
    <w:p w14:paraId="1EA88D9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bCs/>
          <w:color w:val="auto"/>
          <w:sz w:val="26"/>
          <w:szCs w:val="26"/>
        </w:rPr>
      </w:pPr>
      <w:r>
        <w:rPr>
          <w:rFonts w:hint="default" w:ascii="Arial" w:hAnsi="Arial" w:cs="Arial"/>
          <w:bCs/>
          <w:color w:val="auto"/>
          <w:sz w:val="26"/>
          <w:szCs w:val="26"/>
        </w:rPr>
        <w:t>式中：Q——</w:t>
      </w:r>
      <w:r>
        <w:rPr>
          <w:rFonts w:hint="eastAsia" w:ascii="Arial" w:hAnsi="Arial" w:cs="Arial"/>
          <w:bCs/>
          <w:color w:val="auto"/>
          <w:sz w:val="26"/>
          <w:szCs w:val="26"/>
          <w:lang w:eastAsia="zh-CN"/>
        </w:rPr>
        <w:t>装卸</w:t>
      </w:r>
      <w:r>
        <w:rPr>
          <w:rFonts w:hint="default" w:ascii="Arial" w:hAnsi="Arial" w:cs="Arial"/>
          <w:bCs/>
          <w:color w:val="auto"/>
          <w:sz w:val="26"/>
          <w:szCs w:val="26"/>
        </w:rPr>
        <w:t>扬尘，g/次；</w:t>
      </w:r>
    </w:p>
    <w:p w14:paraId="3B19992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bCs/>
          <w:color w:val="auto"/>
          <w:sz w:val="26"/>
          <w:szCs w:val="26"/>
        </w:rPr>
      </w:pPr>
      <w:r>
        <w:rPr>
          <w:rFonts w:hint="default" w:ascii="Arial" w:hAnsi="Arial" w:cs="Arial"/>
          <w:bCs/>
          <w:color w:val="auto"/>
          <w:sz w:val="26"/>
          <w:szCs w:val="26"/>
        </w:rPr>
        <w:t xml:space="preserve">     </w:t>
      </w:r>
      <w:r>
        <w:rPr>
          <w:rFonts w:hint="eastAsia" w:ascii="Arial" w:hAnsi="Arial" w:cs="Arial"/>
          <w:bCs/>
          <w:color w:val="auto"/>
          <w:sz w:val="26"/>
          <w:szCs w:val="26"/>
          <w:lang w:val="en-US" w:eastAsia="zh-CN"/>
        </w:rPr>
        <w:t xml:space="preserve"> </w:t>
      </w:r>
      <w:r>
        <w:rPr>
          <w:rFonts w:hint="default" w:ascii="Arial" w:hAnsi="Arial" w:cs="Arial"/>
          <w:bCs/>
          <w:color w:val="auto"/>
          <w:sz w:val="26"/>
          <w:szCs w:val="26"/>
        </w:rPr>
        <w:t>U——风速，</w:t>
      </w:r>
      <w:r>
        <w:rPr>
          <w:rFonts w:hint="eastAsia" w:ascii="Arial" w:hAnsi="Arial" w:cs="Arial"/>
          <w:color w:val="auto"/>
          <w:sz w:val="26"/>
          <w:szCs w:val="26"/>
          <w:lang w:eastAsia="zh-CN"/>
        </w:rPr>
        <w:t>丰都县年平均风速</w:t>
      </w:r>
      <w:r>
        <w:rPr>
          <w:rFonts w:hint="eastAsia" w:ascii="Arial" w:hAnsi="Arial" w:cs="Arial"/>
          <w:color w:val="auto"/>
          <w:sz w:val="26"/>
          <w:szCs w:val="26"/>
          <w:lang w:val="en-US" w:eastAsia="zh-CN"/>
        </w:rPr>
        <w:t>1.0</w:t>
      </w:r>
      <w:r>
        <w:rPr>
          <w:rFonts w:hint="default" w:ascii="Arial" w:hAnsi="Arial" w:cs="Arial"/>
          <w:color w:val="auto"/>
          <w:sz w:val="26"/>
          <w:szCs w:val="26"/>
        </w:rPr>
        <w:t>m/s</w:t>
      </w:r>
      <w:r>
        <w:rPr>
          <w:rFonts w:hint="default" w:ascii="Arial" w:hAnsi="Arial" w:cs="Arial"/>
          <w:bCs/>
          <w:color w:val="auto"/>
          <w:sz w:val="26"/>
          <w:szCs w:val="26"/>
        </w:rPr>
        <w:t>；</w:t>
      </w:r>
    </w:p>
    <w:p w14:paraId="4FE764C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bCs/>
          <w:color w:val="auto"/>
          <w:sz w:val="26"/>
          <w:szCs w:val="26"/>
        </w:rPr>
      </w:pPr>
      <w:r>
        <w:rPr>
          <w:rFonts w:hint="default" w:ascii="Arial" w:hAnsi="Arial" w:cs="Arial"/>
          <w:bCs/>
          <w:color w:val="auto"/>
          <w:sz w:val="26"/>
          <w:szCs w:val="26"/>
        </w:rPr>
        <w:t xml:space="preserve">      W——物料湿度，</w:t>
      </w:r>
      <w:r>
        <w:rPr>
          <w:rFonts w:hint="eastAsia" w:ascii="Arial" w:hAnsi="Arial" w:cs="Arial"/>
          <w:bCs/>
          <w:color w:val="auto"/>
          <w:sz w:val="26"/>
          <w:szCs w:val="26"/>
          <w:lang w:eastAsia="zh-CN"/>
        </w:rPr>
        <w:t>平均</w:t>
      </w:r>
      <w:r>
        <w:rPr>
          <w:rFonts w:hint="default" w:ascii="Arial" w:hAnsi="Arial" w:cs="Arial"/>
          <w:bCs/>
          <w:color w:val="auto"/>
          <w:sz w:val="26"/>
          <w:szCs w:val="26"/>
        </w:rPr>
        <w:t>取</w:t>
      </w:r>
      <w:r>
        <w:rPr>
          <w:rFonts w:hint="eastAsia" w:ascii="Arial" w:hAnsi="Arial" w:cs="Arial"/>
          <w:bCs/>
          <w:color w:val="auto"/>
          <w:sz w:val="26"/>
          <w:szCs w:val="26"/>
          <w:lang w:val="en-US" w:eastAsia="zh-CN"/>
        </w:rPr>
        <w:t>5</w:t>
      </w:r>
      <w:r>
        <w:rPr>
          <w:rFonts w:hint="default" w:ascii="Arial" w:hAnsi="Arial" w:cs="Arial"/>
          <w:bCs/>
          <w:color w:val="auto"/>
          <w:sz w:val="26"/>
          <w:szCs w:val="26"/>
        </w:rPr>
        <w:t>%；</w:t>
      </w:r>
    </w:p>
    <w:p w14:paraId="4960B85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bCs/>
          <w:color w:val="auto"/>
          <w:sz w:val="26"/>
          <w:szCs w:val="26"/>
        </w:rPr>
      </w:pPr>
      <w:r>
        <w:rPr>
          <w:rFonts w:hint="default" w:ascii="Arial" w:hAnsi="Arial" w:cs="Arial"/>
          <w:bCs/>
          <w:color w:val="auto"/>
          <w:sz w:val="26"/>
          <w:szCs w:val="26"/>
        </w:rPr>
        <w:t xml:space="preserve">      M——</w:t>
      </w:r>
      <w:r>
        <w:rPr>
          <w:rFonts w:hint="eastAsia" w:ascii="Arial" w:hAnsi="Arial" w:cs="Arial"/>
          <w:bCs/>
          <w:color w:val="auto"/>
          <w:sz w:val="26"/>
          <w:szCs w:val="26"/>
          <w:lang w:eastAsia="zh-CN"/>
        </w:rPr>
        <w:t>载重</w:t>
      </w:r>
      <w:r>
        <w:rPr>
          <w:rFonts w:hint="default" w:ascii="Arial" w:hAnsi="Arial" w:cs="Arial"/>
          <w:bCs/>
          <w:color w:val="auto"/>
          <w:sz w:val="26"/>
          <w:szCs w:val="26"/>
        </w:rPr>
        <w:t>，</w:t>
      </w:r>
      <w:r>
        <w:rPr>
          <w:rFonts w:hint="eastAsia" w:ascii="Arial" w:hAnsi="Arial" w:cs="Arial"/>
          <w:bCs/>
          <w:color w:val="auto"/>
          <w:sz w:val="26"/>
          <w:szCs w:val="26"/>
          <w:lang w:eastAsia="zh-CN"/>
        </w:rPr>
        <w:t>运输车辆载重</w:t>
      </w:r>
      <w:r>
        <w:rPr>
          <w:rFonts w:hint="eastAsia" w:ascii="Arial" w:hAnsi="Arial" w:cs="Arial"/>
          <w:bCs/>
          <w:color w:val="auto"/>
          <w:sz w:val="26"/>
          <w:szCs w:val="26"/>
          <w:lang w:val="en-US" w:eastAsia="zh-CN"/>
        </w:rPr>
        <w:t>20t</w:t>
      </w:r>
      <w:r>
        <w:rPr>
          <w:rFonts w:hint="default" w:ascii="Arial" w:hAnsi="Arial" w:cs="Arial"/>
          <w:bCs/>
          <w:color w:val="auto"/>
          <w:sz w:val="26"/>
          <w:szCs w:val="26"/>
        </w:rPr>
        <w:t>；</w:t>
      </w:r>
    </w:p>
    <w:p w14:paraId="69EC71F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bCs/>
          <w:color w:val="auto"/>
          <w:sz w:val="26"/>
          <w:szCs w:val="26"/>
        </w:rPr>
      </w:pPr>
      <w:r>
        <w:rPr>
          <w:rFonts w:hint="default" w:ascii="Arial" w:hAnsi="Arial" w:cs="Arial"/>
          <w:bCs/>
          <w:color w:val="auto"/>
          <w:sz w:val="26"/>
          <w:szCs w:val="26"/>
        </w:rPr>
        <w:t xml:space="preserve">      H——装卸高度，取</w:t>
      </w:r>
      <w:r>
        <w:rPr>
          <w:rFonts w:hint="eastAsia" w:ascii="Arial" w:hAnsi="Arial" w:cs="Arial"/>
          <w:bCs/>
          <w:color w:val="auto"/>
          <w:sz w:val="26"/>
          <w:szCs w:val="26"/>
          <w:lang w:val="en-US" w:eastAsia="zh-CN"/>
        </w:rPr>
        <w:t>1.5</w:t>
      </w:r>
      <w:r>
        <w:rPr>
          <w:rFonts w:hint="default" w:ascii="Arial" w:hAnsi="Arial" w:cs="Arial"/>
          <w:bCs/>
          <w:color w:val="auto"/>
          <w:sz w:val="26"/>
          <w:szCs w:val="26"/>
        </w:rPr>
        <w:t>m。</w:t>
      </w:r>
    </w:p>
    <w:p w14:paraId="294E8CA7">
      <w:pPr>
        <w:spacing w:line="460" w:lineRule="exact"/>
        <w:ind w:firstLine="520" w:firstLineChars="200"/>
        <w:rPr>
          <w:rFonts w:hint="default" w:ascii="Arial" w:hAnsi="Arial" w:eastAsia="宋体" w:cs="Arial"/>
          <w:bCs/>
          <w:color w:val="auto"/>
          <w:sz w:val="26"/>
          <w:szCs w:val="26"/>
          <w:lang w:val="en-US" w:eastAsia="zh-CN"/>
        </w:rPr>
      </w:pPr>
      <w:r>
        <w:rPr>
          <w:rFonts w:hint="default" w:ascii="Arial" w:hAnsi="Arial" w:cs="Arial"/>
          <w:bCs/>
          <w:color w:val="auto"/>
          <w:sz w:val="26"/>
          <w:szCs w:val="26"/>
          <w:lang w:eastAsia="zh-CN"/>
        </w:rPr>
        <w:t>本项目填方量为</w:t>
      </w:r>
      <w:r>
        <w:rPr>
          <w:rFonts w:hint="default" w:ascii="Arial" w:hAnsi="Arial" w:cs="Arial"/>
          <w:bCs/>
          <w:color w:val="auto"/>
          <w:sz w:val="26"/>
          <w:szCs w:val="26"/>
          <w:lang w:val="en-US" w:eastAsia="zh-CN"/>
        </w:rPr>
        <w:t>5.02万m</w:t>
      </w:r>
      <w:r>
        <w:rPr>
          <w:rFonts w:hint="default" w:ascii="Arial" w:hAnsi="Arial" w:cs="Arial"/>
          <w:bCs/>
          <w:color w:val="auto"/>
          <w:sz w:val="26"/>
          <w:szCs w:val="26"/>
          <w:vertAlign w:val="superscript"/>
          <w:lang w:val="en-US" w:eastAsia="zh-CN"/>
        </w:rPr>
        <w:t>3</w:t>
      </w:r>
      <w:r>
        <w:rPr>
          <w:rFonts w:hint="default" w:ascii="Arial" w:hAnsi="Arial" w:cs="Arial"/>
          <w:bCs/>
          <w:color w:val="auto"/>
          <w:sz w:val="26"/>
          <w:szCs w:val="26"/>
          <w:lang w:val="en-US" w:eastAsia="zh-CN"/>
        </w:rPr>
        <w:t>、弃渣量6.82万m</w:t>
      </w:r>
      <w:r>
        <w:rPr>
          <w:rFonts w:hint="default" w:ascii="Arial" w:hAnsi="Arial" w:cs="Arial"/>
          <w:bCs/>
          <w:color w:val="auto"/>
          <w:sz w:val="26"/>
          <w:szCs w:val="26"/>
          <w:vertAlign w:val="superscript"/>
          <w:lang w:val="en-US" w:eastAsia="zh-CN"/>
        </w:rPr>
        <w:t>3</w:t>
      </w:r>
      <w:r>
        <w:rPr>
          <w:rFonts w:hint="default" w:ascii="Arial" w:hAnsi="Arial" w:cs="Arial"/>
          <w:bCs/>
          <w:color w:val="auto"/>
          <w:sz w:val="26"/>
          <w:szCs w:val="26"/>
          <w:lang w:val="en-US" w:eastAsia="zh-CN"/>
        </w:rPr>
        <w:t>、水泥等物料消耗量1.39万t，</w:t>
      </w:r>
      <w:r>
        <w:rPr>
          <w:rFonts w:hint="eastAsia" w:ascii="Arial" w:hAnsi="Arial" w:cs="Arial"/>
          <w:bCs/>
          <w:color w:val="auto"/>
          <w:sz w:val="26"/>
          <w:szCs w:val="26"/>
          <w:lang w:val="en-US" w:eastAsia="zh-CN"/>
        </w:rPr>
        <w:t>则装卸粉尘产生量合计为14.2932t，经采取密闭运输、洒水抑尘后，</w:t>
      </w:r>
      <w:r>
        <w:rPr>
          <w:rFonts w:hint="default" w:ascii="Arial" w:hAnsi="Arial" w:cs="Arial"/>
          <w:bCs/>
          <w:color w:val="auto"/>
          <w:sz w:val="26"/>
          <w:szCs w:val="26"/>
        </w:rPr>
        <w:t>除尘效率达到</w:t>
      </w:r>
      <w:r>
        <w:rPr>
          <w:rFonts w:hint="eastAsia" w:ascii="Arial" w:hAnsi="Arial" w:cs="Arial"/>
          <w:bCs/>
          <w:color w:val="auto"/>
          <w:sz w:val="26"/>
          <w:szCs w:val="26"/>
          <w:lang w:val="en-US" w:eastAsia="zh-CN"/>
        </w:rPr>
        <w:t>8</w:t>
      </w:r>
      <w:r>
        <w:rPr>
          <w:rFonts w:hint="default" w:ascii="Arial" w:hAnsi="Arial" w:cs="Arial"/>
          <w:bCs/>
          <w:color w:val="auto"/>
          <w:sz w:val="26"/>
          <w:szCs w:val="26"/>
        </w:rPr>
        <w:t>0%以上，则</w:t>
      </w:r>
      <w:r>
        <w:rPr>
          <w:rFonts w:hint="eastAsia" w:ascii="Arial" w:hAnsi="Arial" w:cs="Arial"/>
          <w:bCs/>
          <w:color w:val="auto"/>
          <w:sz w:val="26"/>
          <w:szCs w:val="26"/>
          <w:lang w:eastAsia="zh-CN"/>
        </w:rPr>
        <w:t>装卸粉尘</w:t>
      </w:r>
      <w:r>
        <w:rPr>
          <w:rFonts w:hint="default" w:ascii="Arial" w:hAnsi="Arial" w:cs="Arial"/>
          <w:bCs/>
          <w:color w:val="auto"/>
          <w:sz w:val="26"/>
          <w:szCs w:val="26"/>
        </w:rPr>
        <w:t>排放量为</w:t>
      </w:r>
      <w:r>
        <w:rPr>
          <w:rFonts w:hint="eastAsia" w:ascii="Arial" w:hAnsi="Arial" w:cs="Arial"/>
          <w:bCs/>
          <w:color w:val="auto"/>
          <w:sz w:val="26"/>
          <w:szCs w:val="26"/>
          <w:lang w:val="en-US" w:eastAsia="zh-CN"/>
        </w:rPr>
        <w:t>2.8586</w:t>
      </w:r>
      <w:r>
        <w:rPr>
          <w:rFonts w:hint="default" w:ascii="Arial" w:hAnsi="Arial" w:cs="Arial"/>
          <w:bCs/>
          <w:color w:val="auto"/>
          <w:sz w:val="26"/>
          <w:szCs w:val="26"/>
        </w:rPr>
        <w:t>t。</w:t>
      </w:r>
    </w:p>
    <w:p w14:paraId="5F3BAF27">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Arial" w:eastAsia="宋体" w:cs="Arial"/>
          <w:b/>
          <w:bCs/>
          <w:sz w:val="26"/>
          <w:szCs w:val="26"/>
          <w:lang w:val="en-US" w:eastAsia="zh-CN"/>
        </w:rPr>
      </w:pPr>
      <w:r>
        <w:rPr>
          <w:rFonts w:hint="eastAsia" w:ascii="Arial" w:hAnsi="Arial" w:eastAsia="宋体" w:cs="Arial"/>
          <w:b/>
          <w:bCs/>
          <w:sz w:val="26"/>
          <w:szCs w:val="26"/>
        </w:rPr>
        <w:t>③</w:t>
      </w:r>
      <w:r>
        <w:rPr>
          <w:rFonts w:hint="eastAsia" w:ascii="Arial" w:hAnsi="Arial" w:eastAsia="宋体" w:cs="Arial"/>
          <w:b/>
          <w:bCs/>
          <w:sz w:val="26"/>
          <w:szCs w:val="26"/>
          <w:lang w:val="en-US" w:eastAsia="zh-CN"/>
        </w:rPr>
        <w:t xml:space="preserve"> 运输扬尘</w:t>
      </w:r>
    </w:p>
    <w:p w14:paraId="461195B4">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color w:val="auto"/>
          <w:sz w:val="26"/>
          <w:szCs w:val="26"/>
          <w:lang w:val="en-US" w:eastAsia="zh-CN"/>
        </w:rPr>
      </w:pPr>
      <w:r>
        <w:rPr>
          <w:rFonts w:hint="eastAsia" w:ascii="宋体" w:hAnsi="宋体" w:cs="宋体"/>
          <w:bCs/>
          <w:color w:val="auto"/>
          <w:sz w:val="26"/>
          <w:szCs w:val="26"/>
          <w:lang w:eastAsia="zh-CN"/>
        </w:rPr>
        <w:t>项目挖方运至填方区、弃渣至弃渣场、物料至堆场和施工区等车辆运输扬尘</w:t>
      </w:r>
      <w:r>
        <w:rPr>
          <w:rFonts w:hint="eastAsia" w:ascii="Arial" w:hAnsi="Arial" w:eastAsia="宋体" w:cs="Arial"/>
          <w:color w:val="auto"/>
          <w:sz w:val="26"/>
          <w:szCs w:val="26"/>
          <w:lang w:val="en-US" w:eastAsia="zh-CN"/>
        </w:rPr>
        <w:t>产生量按山西环保科研所、武汉水运工程学院提出的经验公式进行估算经验公式估算，经验公式如下：</w:t>
      </w:r>
    </w:p>
    <w:p w14:paraId="5924A6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Arial" w:hAnsi="Arial" w:cs="Arial"/>
          <w:color w:val="auto"/>
          <w:sz w:val="26"/>
          <w:szCs w:val="26"/>
        </w:rPr>
      </w:pPr>
      <w:r>
        <w:rPr>
          <w:rFonts w:hint="default" w:ascii="Arial" w:hAnsi="Arial" w:cs="Arial"/>
          <w:color w:val="auto"/>
          <w:sz w:val="26"/>
          <w:szCs w:val="26"/>
        </w:rPr>
        <w:t>Qi=0.0079×V×W</w:t>
      </w:r>
      <w:r>
        <w:rPr>
          <w:rFonts w:hint="default" w:ascii="Arial" w:hAnsi="Arial" w:cs="Arial"/>
          <w:color w:val="auto"/>
          <w:sz w:val="26"/>
          <w:szCs w:val="26"/>
          <w:vertAlign w:val="superscript"/>
        </w:rPr>
        <w:t>0.85</w:t>
      </w:r>
      <w:r>
        <w:rPr>
          <w:rFonts w:hint="default" w:ascii="Arial" w:hAnsi="Arial" w:cs="Arial"/>
          <w:color w:val="auto"/>
          <w:sz w:val="26"/>
          <w:szCs w:val="26"/>
        </w:rPr>
        <w:t>×P</w:t>
      </w:r>
      <w:r>
        <w:rPr>
          <w:rFonts w:hint="default" w:ascii="Arial" w:hAnsi="Arial" w:cs="Arial"/>
          <w:color w:val="auto"/>
          <w:sz w:val="26"/>
          <w:szCs w:val="26"/>
          <w:vertAlign w:val="superscript"/>
        </w:rPr>
        <w:t>0.72</w:t>
      </w:r>
    </w:p>
    <w:p w14:paraId="4EF42E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20" w:firstLineChars="200"/>
        <w:textAlignment w:val="auto"/>
        <w:rPr>
          <w:rFonts w:hint="default" w:ascii="Arial" w:hAnsi="Arial" w:cs="Arial"/>
          <w:color w:val="auto"/>
          <w:sz w:val="26"/>
          <w:szCs w:val="26"/>
        </w:rPr>
      </w:pPr>
      <w:r>
        <w:rPr>
          <w:rFonts w:hint="default" w:ascii="Arial" w:hAnsi="Arial" w:cs="Arial"/>
          <w:color w:val="auto"/>
          <w:sz w:val="26"/>
          <w:szCs w:val="26"/>
        </w:rPr>
        <w:t>式中：Qi—每辆汽车行驶扬尘量（kg/km辆）；</w:t>
      </w:r>
    </w:p>
    <w:p w14:paraId="39E23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1300" w:firstLineChars="500"/>
        <w:textAlignment w:val="auto"/>
        <w:rPr>
          <w:rFonts w:hint="default" w:ascii="Arial" w:hAnsi="Arial" w:cs="Arial"/>
          <w:color w:val="auto"/>
          <w:sz w:val="26"/>
          <w:szCs w:val="26"/>
        </w:rPr>
      </w:pPr>
      <w:r>
        <w:rPr>
          <w:rFonts w:hint="default" w:ascii="Arial" w:hAnsi="Arial" w:cs="Arial"/>
          <w:color w:val="auto"/>
          <w:sz w:val="26"/>
          <w:szCs w:val="26"/>
        </w:rPr>
        <w:t>V—汽车速度（km/h），取</w:t>
      </w:r>
      <w:r>
        <w:rPr>
          <w:rFonts w:hint="eastAsia" w:ascii="Arial" w:hAnsi="Arial" w:cs="Arial"/>
          <w:color w:val="auto"/>
          <w:sz w:val="26"/>
          <w:szCs w:val="26"/>
          <w:lang w:val="en-US" w:eastAsia="zh-CN"/>
        </w:rPr>
        <w:t>20</w:t>
      </w:r>
      <w:r>
        <w:rPr>
          <w:rFonts w:hint="default" w:ascii="Arial" w:hAnsi="Arial" w:cs="Arial"/>
          <w:color w:val="auto"/>
          <w:sz w:val="26"/>
          <w:szCs w:val="26"/>
        </w:rPr>
        <w:t>km/h；</w:t>
      </w:r>
    </w:p>
    <w:p w14:paraId="470603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1300" w:firstLineChars="500"/>
        <w:textAlignment w:val="auto"/>
        <w:rPr>
          <w:rFonts w:hint="default" w:ascii="Arial" w:hAnsi="Arial" w:cs="Arial"/>
          <w:color w:val="auto"/>
          <w:sz w:val="26"/>
          <w:szCs w:val="26"/>
        </w:rPr>
      </w:pPr>
      <w:r>
        <w:rPr>
          <w:rFonts w:hint="default" w:ascii="Arial" w:hAnsi="Arial" w:cs="Arial"/>
          <w:color w:val="auto"/>
          <w:sz w:val="26"/>
          <w:szCs w:val="26"/>
        </w:rPr>
        <w:t>W—汽车</w:t>
      </w:r>
      <w:r>
        <w:rPr>
          <w:rFonts w:hint="eastAsia" w:ascii="Arial" w:hAnsi="Arial" w:cs="Arial"/>
          <w:color w:val="auto"/>
          <w:sz w:val="26"/>
          <w:szCs w:val="26"/>
          <w:lang w:eastAsia="zh-CN"/>
        </w:rPr>
        <w:t>载重</w:t>
      </w:r>
      <w:r>
        <w:rPr>
          <w:rFonts w:hint="default" w:ascii="Arial" w:hAnsi="Arial" w:cs="Arial"/>
          <w:color w:val="auto"/>
          <w:sz w:val="26"/>
          <w:szCs w:val="26"/>
        </w:rPr>
        <w:t>（</w:t>
      </w:r>
      <w:r>
        <w:rPr>
          <w:rFonts w:hint="eastAsia" w:ascii="Arial" w:hAnsi="Arial" w:cs="Arial"/>
          <w:color w:val="auto"/>
          <w:sz w:val="26"/>
          <w:szCs w:val="26"/>
          <w:lang w:val="en-US" w:eastAsia="zh-CN"/>
        </w:rPr>
        <w:t>t/辆</w:t>
      </w:r>
      <w:r>
        <w:rPr>
          <w:rFonts w:hint="default" w:ascii="Arial" w:hAnsi="Arial" w:cs="Arial"/>
          <w:color w:val="auto"/>
          <w:sz w:val="26"/>
          <w:szCs w:val="26"/>
        </w:rPr>
        <w:t>）</w:t>
      </w:r>
      <w:r>
        <w:rPr>
          <w:rFonts w:hint="eastAsia" w:ascii="Arial" w:hAnsi="Arial" w:cs="Arial"/>
          <w:color w:val="auto"/>
          <w:sz w:val="26"/>
          <w:szCs w:val="26"/>
          <w:lang w:eastAsia="zh-CN"/>
        </w:rPr>
        <w:t>，取</w:t>
      </w:r>
      <w:r>
        <w:rPr>
          <w:rFonts w:hint="eastAsia" w:ascii="Arial" w:hAnsi="Arial" w:cs="Arial"/>
          <w:color w:val="auto"/>
          <w:sz w:val="26"/>
          <w:szCs w:val="26"/>
          <w:lang w:val="en-US" w:eastAsia="zh-CN"/>
        </w:rPr>
        <w:t>20t/辆</w:t>
      </w:r>
      <w:r>
        <w:rPr>
          <w:rFonts w:hint="default" w:ascii="Arial" w:hAnsi="Arial" w:cs="Arial"/>
          <w:color w:val="auto"/>
          <w:sz w:val="26"/>
          <w:szCs w:val="26"/>
        </w:rPr>
        <w:t>；</w:t>
      </w:r>
    </w:p>
    <w:p w14:paraId="572C06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20" w:firstLineChars="200"/>
        <w:textAlignment w:val="auto"/>
        <w:rPr>
          <w:rFonts w:hint="default" w:ascii="Arial" w:hAnsi="Arial" w:cs="Arial"/>
          <w:color w:val="auto"/>
          <w:sz w:val="26"/>
          <w:szCs w:val="26"/>
        </w:rPr>
      </w:pPr>
      <w:r>
        <w:rPr>
          <w:rFonts w:hint="default" w:ascii="Arial" w:hAnsi="Arial" w:cs="Arial"/>
          <w:color w:val="auto"/>
          <w:sz w:val="26"/>
          <w:szCs w:val="26"/>
        </w:rPr>
        <w:t xml:space="preserve">      P—道路表面粉尘量（kg/m</w:t>
      </w:r>
      <w:r>
        <w:rPr>
          <w:rFonts w:hint="default" w:ascii="Arial" w:hAnsi="Arial" w:cs="Arial"/>
          <w:color w:val="auto"/>
          <w:sz w:val="26"/>
          <w:szCs w:val="26"/>
          <w:vertAlign w:val="superscript"/>
        </w:rPr>
        <w:t>2</w:t>
      </w:r>
      <w:r>
        <w:rPr>
          <w:rFonts w:hint="default" w:ascii="Arial" w:hAnsi="Arial" w:cs="Arial"/>
          <w:color w:val="auto"/>
          <w:sz w:val="26"/>
          <w:szCs w:val="26"/>
        </w:rPr>
        <w:t>），取0.</w:t>
      </w:r>
      <w:r>
        <w:rPr>
          <w:rFonts w:hint="default" w:ascii="Arial" w:hAnsi="Arial" w:cs="Arial"/>
          <w:color w:val="auto"/>
          <w:sz w:val="26"/>
          <w:szCs w:val="26"/>
          <w:lang w:val="en-US" w:eastAsia="zh-CN"/>
        </w:rPr>
        <w:t>1</w:t>
      </w:r>
      <w:r>
        <w:rPr>
          <w:rFonts w:hint="default" w:ascii="Arial" w:hAnsi="Arial" w:cs="Arial"/>
          <w:color w:val="auto"/>
          <w:sz w:val="26"/>
          <w:szCs w:val="26"/>
        </w:rPr>
        <w:t>kg/m</w:t>
      </w:r>
      <w:r>
        <w:rPr>
          <w:rFonts w:hint="default" w:ascii="Arial" w:hAnsi="Arial" w:cs="Arial"/>
          <w:color w:val="auto"/>
          <w:sz w:val="26"/>
          <w:szCs w:val="26"/>
          <w:vertAlign w:val="superscript"/>
        </w:rPr>
        <w:t>2</w:t>
      </w:r>
      <w:r>
        <w:rPr>
          <w:rFonts w:hint="default" w:ascii="Arial" w:hAnsi="Arial" w:cs="Arial"/>
          <w:color w:val="auto"/>
          <w:sz w:val="26"/>
          <w:szCs w:val="26"/>
        </w:rPr>
        <w:t>。</w:t>
      </w:r>
    </w:p>
    <w:p w14:paraId="790274A0">
      <w:pPr>
        <w:keepNext w:val="0"/>
        <w:keepLines w:val="0"/>
        <w:pageBreakBefore w:val="0"/>
        <w:widowControl w:val="0"/>
        <w:kinsoku/>
        <w:wordWrap/>
        <w:overflowPunct/>
        <w:topLinePunct w:val="0"/>
        <w:autoSpaceDE/>
        <w:autoSpaceDN/>
        <w:bidi w:val="0"/>
        <w:adjustRightInd/>
        <w:snapToGrid/>
        <w:spacing w:line="460" w:lineRule="exact"/>
        <w:ind w:firstLine="522" w:firstLineChars="200"/>
        <w:jc w:val="center"/>
        <w:textAlignment w:val="auto"/>
        <w:rPr>
          <w:rFonts w:hint="default" w:ascii="Arial" w:hAnsi="Arial" w:cs="Arial"/>
          <w:b/>
          <w:bCs w:val="0"/>
          <w:color w:val="auto"/>
          <w:sz w:val="26"/>
          <w:szCs w:val="26"/>
          <w:lang w:val="en-US" w:eastAsia="zh-CN"/>
        </w:rPr>
      </w:pPr>
      <w:r>
        <w:rPr>
          <w:rFonts w:hint="default" w:ascii="Arial" w:hAnsi="Arial" w:cs="Arial"/>
          <w:b/>
          <w:bCs w:val="0"/>
          <w:color w:val="auto"/>
          <w:sz w:val="26"/>
          <w:szCs w:val="26"/>
          <w:lang w:eastAsia="zh-CN"/>
        </w:rPr>
        <w:t>表</w:t>
      </w:r>
      <w:r>
        <w:rPr>
          <w:rFonts w:hint="default" w:ascii="Arial" w:hAnsi="Arial" w:cs="Arial"/>
          <w:b/>
          <w:bCs w:val="0"/>
          <w:color w:val="auto"/>
          <w:sz w:val="26"/>
          <w:szCs w:val="26"/>
          <w:lang w:val="en-US" w:eastAsia="zh-CN"/>
        </w:rPr>
        <w:t>3.</w:t>
      </w:r>
      <w:r>
        <w:rPr>
          <w:rFonts w:hint="eastAsia" w:ascii="Arial" w:hAnsi="Arial" w:cs="Arial"/>
          <w:b/>
          <w:bCs w:val="0"/>
          <w:color w:val="auto"/>
          <w:sz w:val="26"/>
          <w:szCs w:val="26"/>
          <w:lang w:val="en-US" w:eastAsia="zh-CN"/>
        </w:rPr>
        <w:t>1</w:t>
      </w:r>
      <w:r>
        <w:rPr>
          <w:rFonts w:hint="default" w:ascii="Arial" w:hAnsi="Arial" w:cs="Arial"/>
          <w:b/>
          <w:bCs w:val="0"/>
          <w:color w:val="auto"/>
          <w:sz w:val="26"/>
          <w:szCs w:val="26"/>
          <w:lang w:val="en-US" w:eastAsia="zh-CN"/>
        </w:rPr>
        <w:t>-2运输扬尘计算结果统计表</w:t>
      </w:r>
    </w:p>
    <w:tbl>
      <w:tblPr>
        <w:tblStyle w:val="78"/>
        <w:tblW w:w="7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2188"/>
        <w:gridCol w:w="1729"/>
        <w:gridCol w:w="1487"/>
        <w:gridCol w:w="1929"/>
      </w:tblGrid>
      <w:tr w14:paraId="65DB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58" w:type="dxa"/>
            <w:vAlign w:val="center"/>
          </w:tcPr>
          <w:p w14:paraId="3883086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default" w:ascii="Arial" w:hAnsi="Arial" w:cs="Arial"/>
                <w:bCs/>
                <w:color w:val="auto"/>
                <w:sz w:val="22"/>
                <w:szCs w:val="22"/>
                <w:vertAlign w:val="baseline"/>
                <w:lang w:val="en-US" w:eastAsia="zh-CN"/>
              </w:rPr>
              <w:t>序号</w:t>
            </w:r>
          </w:p>
        </w:tc>
        <w:tc>
          <w:tcPr>
            <w:tcW w:w="2188" w:type="dxa"/>
            <w:vAlign w:val="center"/>
          </w:tcPr>
          <w:p w14:paraId="3E2B9EF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default" w:ascii="Arial" w:hAnsi="Arial" w:cs="Arial"/>
                <w:bCs/>
                <w:color w:val="auto"/>
                <w:sz w:val="22"/>
                <w:szCs w:val="22"/>
                <w:vertAlign w:val="baseline"/>
                <w:lang w:val="en-US" w:eastAsia="zh-CN"/>
              </w:rPr>
              <w:t>名称</w:t>
            </w:r>
          </w:p>
        </w:tc>
        <w:tc>
          <w:tcPr>
            <w:tcW w:w="1729" w:type="dxa"/>
            <w:shd w:val="clear" w:color="auto" w:fill="auto"/>
            <w:vAlign w:val="center"/>
          </w:tcPr>
          <w:p w14:paraId="74ABD2E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bCs/>
                <w:color w:val="auto"/>
                <w:kern w:val="2"/>
                <w:sz w:val="22"/>
                <w:szCs w:val="22"/>
                <w:vertAlign w:val="baseline"/>
                <w:lang w:val="en-US" w:eastAsia="zh-CN" w:bidi="ar-SA"/>
              </w:rPr>
            </w:pPr>
            <w:r>
              <w:rPr>
                <w:rFonts w:hint="default" w:ascii="Arial" w:hAnsi="Arial" w:cs="Arial"/>
                <w:bCs/>
                <w:color w:val="auto"/>
                <w:sz w:val="22"/>
                <w:szCs w:val="22"/>
                <w:vertAlign w:val="baseline"/>
                <w:lang w:val="en-US" w:eastAsia="zh-CN"/>
              </w:rPr>
              <w:t>运输量</w:t>
            </w:r>
          </w:p>
        </w:tc>
        <w:tc>
          <w:tcPr>
            <w:tcW w:w="1487" w:type="dxa"/>
            <w:shd w:val="clear" w:color="auto" w:fill="auto"/>
            <w:vAlign w:val="center"/>
          </w:tcPr>
          <w:p w14:paraId="43347FB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bCs/>
                <w:color w:val="auto"/>
                <w:kern w:val="2"/>
                <w:sz w:val="22"/>
                <w:szCs w:val="22"/>
                <w:vertAlign w:val="baseline"/>
                <w:lang w:val="en-US" w:eastAsia="zh-CN" w:bidi="ar-SA"/>
              </w:rPr>
            </w:pPr>
            <w:r>
              <w:rPr>
                <w:rFonts w:hint="default" w:ascii="Arial" w:hAnsi="Arial" w:cs="Arial"/>
                <w:bCs/>
                <w:color w:val="auto"/>
                <w:sz w:val="22"/>
                <w:szCs w:val="22"/>
                <w:vertAlign w:val="baseline"/>
                <w:lang w:val="en-US" w:eastAsia="zh-CN"/>
              </w:rPr>
              <w:t>运距</w:t>
            </w:r>
          </w:p>
        </w:tc>
        <w:tc>
          <w:tcPr>
            <w:tcW w:w="1929" w:type="dxa"/>
            <w:shd w:val="clear" w:color="auto" w:fill="auto"/>
            <w:vAlign w:val="center"/>
          </w:tcPr>
          <w:p w14:paraId="3AD1269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bCs/>
                <w:color w:val="auto"/>
                <w:kern w:val="2"/>
                <w:sz w:val="22"/>
                <w:szCs w:val="22"/>
                <w:vertAlign w:val="baseline"/>
                <w:lang w:val="en-US" w:eastAsia="zh-CN" w:bidi="ar-SA"/>
              </w:rPr>
            </w:pPr>
            <w:r>
              <w:rPr>
                <w:rFonts w:hint="default" w:ascii="Arial" w:hAnsi="Arial" w:cs="Arial"/>
                <w:bCs/>
                <w:color w:val="auto"/>
                <w:sz w:val="22"/>
                <w:szCs w:val="22"/>
                <w:vertAlign w:val="baseline"/>
                <w:lang w:val="en-US" w:eastAsia="zh-CN"/>
              </w:rPr>
              <w:t>扬尘产生量</w:t>
            </w:r>
          </w:p>
        </w:tc>
      </w:tr>
      <w:tr w14:paraId="0BC4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58" w:type="dxa"/>
            <w:vAlign w:val="center"/>
          </w:tcPr>
          <w:p w14:paraId="59AF2F3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default" w:ascii="Arial" w:hAnsi="Arial" w:cs="Arial"/>
                <w:bCs/>
                <w:color w:val="auto"/>
                <w:sz w:val="22"/>
                <w:szCs w:val="22"/>
                <w:vertAlign w:val="baseline"/>
                <w:lang w:val="en-US" w:eastAsia="zh-CN"/>
              </w:rPr>
              <w:t>1</w:t>
            </w:r>
          </w:p>
        </w:tc>
        <w:tc>
          <w:tcPr>
            <w:tcW w:w="2188" w:type="dxa"/>
            <w:vAlign w:val="center"/>
          </w:tcPr>
          <w:p w14:paraId="304C5FB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填方</w:t>
            </w:r>
          </w:p>
        </w:tc>
        <w:tc>
          <w:tcPr>
            <w:tcW w:w="1729" w:type="dxa"/>
            <w:vAlign w:val="center"/>
          </w:tcPr>
          <w:p w14:paraId="345BB59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5.02</w:t>
            </w:r>
            <w:r>
              <w:rPr>
                <w:rFonts w:hint="default" w:ascii="Arial" w:hAnsi="Arial" w:cs="Arial"/>
                <w:bCs/>
                <w:color w:val="auto"/>
                <w:sz w:val="22"/>
                <w:szCs w:val="22"/>
                <w:lang w:val="en-US" w:eastAsia="zh-CN"/>
              </w:rPr>
              <w:t>万m</w:t>
            </w:r>
            <w:r>
              <w:rPr>
                <w:rFonts w:hint="default" w:ascii="Arial" w:hAnsi="Arial" w:cs="Arial"/>
                <w:bCs/>
                <w:color w:val="auto"/>
                <w:sz w:val="22"/>
                <w:szCs w:val="22"/>
                <w:vertAlign w:val="superscript"/>
                <w:lang w:val="en-US" w:eastAsia="zh-CN"/>
              </w:rPr>
              <w:t>3</w:t>
            </w:r>
          </w:p>
        </w:tc>
        <w:tc>
          <w:tcPr>
            <w:tcW w:w="1487" w:type="dxa"/>
            <w:vAlign w:val="center"/>
          </w:tcPr>
          <w:p w14:paraId="05367E8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0.5km</w:t>
            </w:r>
          </w:p>
        </w:tc>
        <w:tc>
          <w:tcPr>
            <w:tcW w:w="1929" w:type="dxa"/>
            <w:vAlign w:val="center"/>
          </w:tcPr>
          <w:p w14:paraId="0BD6475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0.8679t</w:t>
            </w:r>
          </w:p>
        </w:tc>
      </w:tr>
      <w:tr w14:paraId="100F1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58" w:type="dxa"/>
            <w:vAlign w:val="center"/>
          </w:tcPr>
          <w:p w14:paraId="49E45A6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2</w:t>
            </w:r>
          </w:p>
        </w:tc>
        <w:tc>
          <w:tcPr>
            <w:tcW w:w="2188" w:type="dxa"/>
            <w:vAlign w:val="center"/>
          </w:tcPr>
          <w:p w14:paraId="6935129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弃方</w:t>
            </w:r>
          </w:p>
        </w:tc>
        <w:tc>
          <w:tcPr>
            <w:tcW w:w="1729" w:type="dxa"/>
            <w:vAlign w:val="center"/>
          </w:tcPr>
          <w:p w14:paraId="553F2FE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default" w:ascii="Arial" w:hAnsi="Arial" w:cs="Arial"/>
                <w:bCs/>
                <w:color w:val="auto"/>
                <w:sz w:val="22"/>
                <w:szCs w:val="22"/>
                <w:lang w:val="en-US" w:eastAsia="zh-CN"/>
              </w:rPr>
              <w:t>6.82万m</w:t>
            </w:r>
            <w:r>
              <w:rPr>
                <w:rFonts w:hint="default" w:ascii="Arial" w:hAnsi="Arial" w:cs="Arial"/>
                <w:bCs/>
                <w:color w:val="auto"/>
                <w:sz w:val="22"/>
                <w:szCs w:val="22"/>
                <w:vertAlign w:val="superscript"/>
                <w:lang w:val="en-US" w:eastAsia="zh-CN"/>
              </w:rPr>
              <w:t>3</w:t>
            </w:r>
          </w:p>
        </w:tc>
        <w:tc>
          <w:tcPr>
            <w:tcW w:w="1487" w:type="dxa"/>
            <w:vAlign w:val="center"/>
          </w:tcPr>
          <w:p w14:paraId="0672AFF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6km</w:t>
            </w:r>
          </w:p>
        </w:tc>
        <w:tc>
          <w:tcPr>
            <w:tcW w:w="1929" w:type="dxa"/>
            <w:vAlign w:val="center"/>
          </w:tcPr>
          <w:p w14:paraId="39D0D72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14.1493t</w:t>
            </w:r>
          </w:p>
        </w:tc>
      </w:tr>
      <w:tr w14:paraId="29717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8" w:type="dxa"/>
            <w:vAlign w:val="center"/>
          </w:tcPr>
          <w:p w14:paraId="4680A15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3</w:t>
            </w:r>
          </w:p>
        </w:tc>
        <w:tc>
          <w:tcPr>
            <w:tcW w:w="2188" w:type="dxa"/>
            <w:vAlign w:val="center"/>
          </w:tcPr>
          <w:p w14:paraId="1505E70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混凝土、钢筋等物料</w:t>
            </w:r>
          </w:p>
        </w:tc>
        <w:tc>
          <w:tcPr>
            <w:tcW w:w="1729" w:type="dxa"/>
            <w:vAlign w:val="center"/>
          </w:tcPr>
          <w:p w14:paraId="18DFAFF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lang w:val="en-US" w:eastAsia="zh-CN"/>
              </w:rPr>
            </w:pPr>
            <w:r>
              <w:rPr>
                <w:rFonts w:hint="eastAsia" w:ascii="Arial" w:hAnsi="Arial" w:cs="Arial"/>
                <w:bCs/>
                <w:color w:val="auto"/>
                <w:sz w:val="22"/>
                <w:szCs w:val="22"/>
                <w:lang w:val="en-US" w:eastAsia="zh-CN"/>
              </w:rPr>
              <w:t>3.86</w:t>
            </w:r>
            <w:r>
              <w:rPr>
                <w:rFonts w:hint="default" w:ascii="Arial" w:hAnsi="Arial" w:cs="Arial"/>
                <w:bCs/>
                <w:color w:val="auto"/>
                <w:sz w:val="22"/>
                <w:szCs w:val="22"/>
                <w:lang w:val="en-US" w:eastAsia="zh-CN"/>
              </w:rPr>
              <w:t>万</w:t>
            </w:r>
            <w:r>
              <w:rPr>
                <w:rFonts w:hint="eastAsia" w:ascii="Arial" w:hAnsi="Arial" w:cs="Arial"/>
                <w:bCs/>
                <w:color w:val="auto"/>
                <w:sz w:val="22"/>
                <w:szCs w:val="22"/>
                <w:lang w:val="en-US" w:eastAsia="zh-CN"/>
              </w:rPr>
              <w:t>t</w:t>
            </w:r>
          </w:p>
        </w:tc>
        <w:tc>
          <w:tcPr>
            <w:tcW w:w="1487" w:type="dxa"/>
            <w:vAlign w:val="center"/>
          </w:tcPr>
          <w:p w14:paraId="75906FE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0.5km</w:t>
            </w:r>
          </w:p>
        </w:tc>
        <w:tc>
          <w:tcPr>
            <w:tcW w:w="1929" w:type="dxa"/>
            <w:vAlign w:val="center"/>
          </w:tcPr>
          <w:p w14:paraId="02DECF3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0.3708t</w:t>
            </w:r>
          </w:p>
        </w:tc>
      </w:tr>
      <w:tr w14:paraId="6AD7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2" w:type="dxa"/>
            <w:gridSpan w:val="4"/>
            <w:vAlign w:val="center"/>
          </w:tcPr>
          <w:p w14:paraId="53E4F92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合计</w:t>
            </w:r>
          </w:p>
        </w:tc>
        <w:tc>
          <w:tcPr>
            <w:tcW w:w="1929" w:type="dxa"/>
            <w:vAlign w:val="center"/>
          </w:tcPr>
          <w:p w14:paraId="5948A7B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15.388t</w:t>
            </w:r>
          </w:p>
        </w:tc>
      </w:tr>
    </w:tbl>
    <w:p w14:paraId="6BA34D62">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default" w:ascii="宋体" w:hAnsi="宋体" w:cs="宋体"/>
          <w:bCs/>
          <w:color w:val="auto"/>
          <w:sz w:val="26"/>
          <w:szCs w:val="26"/>
          <w:lang w:val="en-US" w:eastAsia="zh-CN"/>
        </w:rPr>
      </w:pPr>
    </w:p>
    <w:p w14:paraId="23EE26E8">
      <w:pPr>
        <w:keepNext w:val="0"/>
        <w:keepLines w:val="0"/>
        <w:pageBreakBefore w:val="0"/>
        <w:widowControl w:val="0"/>
        <w:kinsoku/>
        <w:wordWrap/>
        <w:overflowPunct/>
        <w:topLinePunct w:val="0"/>
        <w:autoSpaceDE/>
        <w:autoSpaceDN/>
        <w:bidi w:val="0"/>
        <w:adjustRightInd w:val="0"/>
        <w:snapToGrid/>
        <w:spacing w:line="460" w:lineRule="exact"/>
        <w:ind w:right="0" w:firstLine="520" w:firstLineChars="200"/>
        <w:textAlignment w:val="auto"/>
        <w:rPr>
          <w:rFonts w:hint="eastAsia" w:ascii="宋体" w:hAnsi="宋体" w:eastAsia="宋体" w:cs="宋体"/>
          <w:bCs/>
          <w:color w:val="auto"/>
          <w:sz w:val="26"/>
          <w:szCs w:val="26"/>
          <w:lang w:eastAsia="zh-CN"/>
        </w:rPr>
      </w:pPr>
      <w:r>
        <w:rPr>
          <w:rFonts w:hint="eastAsia" w:ascii="宋体" w:hAnsi="宋体" w:eastAsia="宋体" w:cs="宋体"/>
          <w:bCs/>
          <w:color w:val="auto"/>
          <w:sz w:val="26"/>
          <w:szCs w:val="26"/>
          <w:lang w:eastAsia="zh-CN"/>
        </w:rPr>
        <w:t>通过采取硬化运输道路、安排专人清扫、洒水抑尘、限速限载、冲洗运输车辆等抑尘措施后，</w:t>
      </w:r>
      <w:r>
        <w:rPr>
          <w:rFonts w:hint="default" w:ascii="Arial" w:hAnsi="Arial" w:cs="Arial"/>
          <w:bCs/>
          <w:color w:val="auto"/>
          <w:sz w:val="26"/>
          <w:szCs w:val="26"/>
        </w:rPr>
        <w:t>除尘效率达到</w:t>
      </w:r>
      <w:r>
        <w:rPr>
          <w:rFonts w:hint="eastAsia" w:ascii="Arial" w:hAnsi="Arial" w:cs="Arial"/>
          <w:bCs/>
          <w:color w:val="auto"/>
          <w:sz w:val="26"/>
          <w:szCs w:val="26"/>
          <w:lang w:val="en-US" w:eastAsia="zh-CN"/>
        </w:rPr>
        <w:t>8</w:t>
      </w:r>
      <w:r>
        <w:rPr>
          <w:rFonts w:hint="default" w:ascii="Arial" w:hAnsi="Arial" w:cs="Arial"/>
          <w:bCs/>
          <w:color w:val="auto"/>
          <w:sz w:val="26"/>
          <w:szCs w:val="26"/>
        </w:rPr>
        <w:t>0%以上，则</w:t>
      </w:r>
      <w:r>
        <w:rPr>
          <w:rFonts w:hint="eastAsia" w:ascii="Arial" w:hAnsi="Arial" w:cs="Arial"/>
          <w:bCs/>
          <w:color w:val="auto"/>
          <w:sz w:val="26"/>
          <w:szCs w:val="26"/>
          <w:lang w:eastAsia="zh-CN"/>
        </w:rPr>
        <w:t>运输尘</w:t>
      </w:r>
      <w:r>
        <w:rPr>
          <w:rFonts w:hint="default" w:ascii="Arial" w:hAnsi="Arial" w:cs="Arial"/>
          <w:bCs/>
          <w:color w:val="auto"/>
          <w:sz w:val="26"/>
          <w:szCs w:val="26"/>
        </w:rPr>
        <w:t>排放量为</w:t>
      </w:r>
      <w:r>
        <w:rPr>
          <w:rFonts w:hint="eastAsia" w:ascii="Arial" w:hAnsi="Arial" w:cs="Arial"/>
          <w:bCs/>
          <w:color w:val="auto"/>
          <w:sz w:val="26"/>
          <w:szCs w:val="26"/>
          <w:lang w:val="en-US" w:eastAsia="zh-CN"/>
        </w:rPr>
        <w:t>3.0776</w:t>
      </w:r>
      <w:r>
        <w:rPr>
          <w:rFonts w:hint="default" w:ascii="Arial" w:hAnsi="Arial" w:cs="Arial"/>
          <w:bCs/>
          <w:color w:val="auto"/>
          <w:sz w:val="26"/>
          <w:szCs w:val="26"/>
        </w:rPr>
        <w:t>t。</w:t>
      </w:r>
    </w:p>
    <w:p w14:paraId="6A1EF153">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eastAsia="宋体" w:cs="Arial"/>
          <w:b/>
          <w:bCs/>
          <w:sz w:val="26"/>
          <w:szCs w:val="26"/>
          <w:lang w:val="en-US" w:eastAsia="zh-CN"/>
        </w:rPr>
      </w:pPr>
      <w:r>
        <w:rPr>
          <w:rFonts w:hint="eastAsia" w:ascii="Arial" w:hAnsi="Arial" w:eastAsia="宋体" w:cs="Arial"/>
          <w:b/>
          <w:bCs/>
          <w:sz w:val="26"/>
          <w:szCs w:val="26"/>
          <w:lang w:eastAsia="zh-CN"/>
        </w:rPr>
        <w:t>④</w:t>
      </w:r>
      <w:r>
        <w:rPr>
          <w:rFonts w:hint="eastAsia" w:ascii="Arial" w:hAnsi="Arial" w:eastAsia="宋体" w:cs="Arial"/>
          <w:b/>
          <w:bCs/>
          <w:sz w:val="26"/>
          <w:szCs w:val="26"/>
          <w:lang w:val="en-US" w:eastAsia="zh-CN"/>
        </w:rPr>
        <w:t xml:space="preserve"> 混凝土拌合站粉尘</w:t>
      </w:r>
    </w:p>
    <w:p w14:paraId="411BB1D3">
      <w:pPr>
        <w:keepNext w:val="0"/>
        <w:keepLines w:val="0"/>
        <w:pageBreakBefore w:val="0"/>
        <w:widowControl w:val="0"/>
        <w:kinsoku/>
        <w:wordWrap/>
        <w:overflowPunct/>
        <w:topLinePunct w:val="0"/>
        <w:autoSpaceDE/>
        <w:autoSpaceDN/>
        <w:bidi w:val="0"/>
        <w:snapToGrid/>
        <w:spacing w:line="460" w:lineRule="exact"/>
        <w:ind w:right="0" w:firstLine="520" w:firstLineChars="200"/>
        <w:textAlignment w:val="auto"/>
        <w:rPr>
          <w:rFonts w:hint="eastAsia" w:ascii="Arial" w:hAnsi="Arial" w:eastAsia="宋体" w:cs="Arial"/>
          <w:b w:val="0"/>
          <w:bCs/>
          <w:kern w:val="0"/>
          <w:sz w:val="26"/>
          <w:szCs w:val="26"/>
          <w:lang w:val="en-US" w:eastAsia="zh-CN" w:bidi="ar-SA"/>
        </w:rPr>
      </w:pPr>
      <w:r>
        <w:rPr>
          <w:rFonts w:hint="eastAsia" w:ascii="Arial" w:hAnsi="Arial" w:eastAsia="宋体" w:cs="Arial"/>
          <w:b w:val="0"/>
          <w:bCs/>
          <w:kern w:val="0"/>
          <w:sz w:val="26"/>
          <w:szCs w:val="26"/>
          <w:lang w:val="en-US" w:eastAsia="zh-CN" w:bidi="ar-SA"/>
        </w:rPr>
        <w:t>拌和站粉尘主要来自砂石、水泥原料堆放、拌和装料过程，根据《逸散性工业粉尘控制技术》和相关类比调查，混凝土拌和装料过程中颗粒物排放量在无控制情况产率为0.02kg/t，项目混凝土浇筑总量3.81万m</w:t>
      </w:r>
      <w:r>
        <w:rPr>
          <w:rFonts w:hint="eastAsia" w:ascii="Arial" w:hAnsi="Arial" w:eastAsia="宋体" w:cs="Arial"/>
          <w:b w:val="0"/>
          <w:bCs/>
          <w:kern w:val="0"/>
          <w:sz w:val="26"/>
          <w:szCs w:val="26"/>
          <w:vertAlign w:val="superscript"/>
          <w:lang w:val="en-US" w:eastAsia="zh-CN" w:bidi="ar-SA"/>
        </w:rPr>
        <w:t>3</w:t>
      </w:r>
      <w:r>
        <w:rPr>
          <w:rFonts w:hint="eastAsia" w:ascii="Arial" w:hAnsi="Arial" w:eastAsia="宋体" w:cs="Arial"/>
          <w:b w:val="0"/>
          <w:bCs/>
          <w:kern w:val="0"/>
          <w:sz w:val="26"/>
          <w:szCs w:val="26"/>
          <w:lang w:val="en-US" w:eastAsia="zh-CN" w:bidi="ar-SA"/>
        </w:rPr>
        <w:t>，混凝土容重为2350～2400kg/m</w:t>
      </w:r>
      <w:r>
        <w:rPr>
          <w:rFonts w:hint="eastAsia" w:ascii="Arial" w:hAnsi="Arial" w:eastAsia="宋体" w:cs="Arial"/>
          <w:b w:val="0"/>
          <w:bCs/>
          <w:kern w:val="0"/>
          <w:sz w:val="26"/>
          <w:szCs w:val="26"/>
          <w:vertAlign w:val="superscript"/>
          <w:lang w:val="en-US" w:eastAsia="zh-CN" w:bidi="ar-SA"/>
        </w:rPr>
        <w:t>3</w:t>
      </w:r>
      <w:r>
        <w:rPr>
          <w:rFonts w:hint="eastAsia" w:ascii="Arial" w:hAnsi="Arial" w:eastAsia="宋体" w:cs="Arial"/>
          <w:b w:val="0"/>
          <w:bCs/>
          <w:kern w:val="0"/>
          <w:sz w:val="26"/>
          <w:szCs w:val="26"/>
          <w:lang w:val="en-US" w:eastAsia="zh-CN" w:bidi="ar-SA"/>
        </w:rPr>
        <w:t>，本评价按2400kg/m</w:t>
      </w:r>
      <w:r>
        <w:rPr>
          <w:rFonts w:hint="eastAsia" w:ascii="Arial" w:hAnsi="Arial" w:eastAsia="宋体" w:cs="Arial"/>
          <w:b w:val="0"/>
          <w:bCs/>
          <w:kern w:val="0"/>
          <w:sz w:val="26"/>
          <w:szCs w:val="26"/>
          <w:vertAlign w:val="superscript"/>
          <w:lang w:val="en-US" w:eastAsia="zh-CN" w:bidi="ar-SA"/>
        </w:rPr>
        <w:t>3</w:t>
      </w:r>
      <w:r>
        <w:rPr>
          <w:rFonts w:hint="eastAsia" w:ascii="Arial" w:hAnsi="Arial" w:eastAsia="宋体" w:cs="Arial"/>
          <w:b w:val="0"/>
          <w:bCs/>
          <w:kern w:val="0"/>
          <w:sz w:val="26"/>
          <w:szCs w:val="26"/>
          <w:lang w:val="en-US" w:eastAsia="zh-CN" w:bidi="ar-SA"/>
        </w:rPr>
        <w:t>进行计算。则在没有采取措施的情况下，混凝土拌合系统粉尘产生量为1.8288t。粉状料采用密闭式筒仓存放，每个筒仓顶部配置仓顶除尘器；对搅拌机、料斗、输送皮带及转载点设施等产尘点进行洒水降尘，原料堆放场地设置围挡和顶棚，降尘效率可达到90%以上，则混凝土拌合系统粉尘无组织量为0.1829t。</w:t>
      </w:r>
    </w:p>
    <w:p w14:paraId="5E132CD8">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eastAsia="宋体" w:cs="Arial"/>
          <w:b/>
          <w:bCs/>
          <w:sz w:val="26"/>
          <w:szCs w:val="26"/>
          <w:lang w:val="en-US" w:eastAsia="zh-CN"/>
        </w:rPr>
      </w:pPr>
      <w:r>
        <w:rPr>
          <w:rFonts w:hint="eastAsia" w:ascii="Arial" w:hAnsi="Arial" w:eastAsia="宋体" w:cs="Arial"/>
          <w:b/>
          <w:bCs/>
          <w:sz w:val="26"/>
          <w:szCs w:val="26"/>
          <w:lang w:val="en-US" w:eastAsia="zh-CN"/>
        </w:rPr>
        <w:t>⑤ 燃油废气</w:t>
      </w:r>
    </w:p>
    <w:p w14:paraId="665DE959">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bCs/>
          <w:sz w:val="26"/>
          <w:szCs w:val="26"/>
          <w:lang w:val="en-US" w:eastAsia="zh-CN"/>
        </w:rPr>
      </w:pPr>
      <w:r>
        <w:rPr>
          <w:rFonts w:hint="eastAsia" w:ascii="Arial" w:hAnsi="Arial" w:eastAsia="宋体" w:cs="Arial"/>
          <w:b w:val="0"/>
          <w:bCs/>
          <w:sz w:val="26"/>
          <w:szCs w:val="26"/>
          <w:lang w:val="en-US" w:eastAsia="zh-CN"/>
        </w:rPr>
        <w:t>在施工过程中使用的施工机械，主要有挖掘机、推土机以及运输车辆等。该类机械以柴油、汽油为燃料，在使用过程中产生一定的废气。排放的尾气主要污染物有NOx、CO、HC等，其排放量较小，且为不连续排放，对环境的影响较小。但施工单位必须使用污染物排放符合国家标准的运输车辆和施工设备，加强设备、车辆的维护保养，使机械、车辆处于良好工作状态，严禁用报废和淘汰设备，以减少施工机械废气和汽车尾气对周围环境的影响。</w:t>
      </w:r>
    </w:p>
    <w:p w14:paraId="62B91DE7">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eastAsia="宋体" w:cs="Arial"/>
          <w:b/>
          <w:bCs/>
          <w:sz w:val="26"/>
          <w:szCs w:val="26"/>
          <w:lang w:val="en-US" w:eastAsia="zh-CN"/>
        </w:rPr>
      </w:pPr>
      <w:r>
        <w:rPr>
          <w:rFonts w:hint="eastAsia" w:ascii="Arial" w:hAnsi="Arial" w:eastAsia="宋体" w:cs="Arial"/>
          <w:b/>
          <w:bCs/>
          <w:sz w:val="26"/>
          <w:szCs w:val="26"/>
          <w:lang w:val="en-US" w:eastAsia="zh-CN"/>
        </w:rPr>
        <w:t>⑥ 堆场扬尘</w:t>
      </w:r>
    </w:p>
    <w:p w14:paraId="0A53FA3D">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bCs/>
          <w:sz w:val="26"/>
          <w:szCs w:val="26"/>
          <w:lang w:val="en-US" w:eastAsia="zh-CN"/>
        </w:rPr>
      </w:pPr>
      <w:r>
        <w:rPr>
          <w:rFonts w:hint="eastAsia" w:ascii="Arial" w:hAnsi="Arial" w:cs="Arial"/>
          <w:b w:val="0"/>
          <w:bCs/>
          <w:sz w:val="26"/>
          <w:szCs w:val="26"/>
          <w:lang w:val="en-US" w:eastAsia="zh-CN"/>
        </w:rPr>
        <w:t>本项目水泥等粉质物料均集中堆存，并采取篷布或围挡、顶棚进行遮盖；弃渣场夯实堆存，并洒水抑尘；</w:t>
      </w:r>
      <w:r>
        <w:rPr>
          <w:rFonts w:hint="eastAsia" w:ascii="Arial" w:hAnsi="Arial" w:eastAsia="宋体" w:cs="Arial"/>
          <w:b w:val="0"/>
          <w:bCs/>
          <w:sz w:val="26"/>
          <w:szCs w:val="26"/>
          <w:lang w:val="en-US" w:eastAsia="zh-CN"/>
        </w:rPr>
        <w:t>在采取上述措施后，项目物料、其中等堆放区风力起尘量极小，</w:t>
      </w:r>
      <w:r>
        <w:rPr>
          <w:rFonts w:hint="default" w:ascii="Arial" w:hAnsi="Arial" w:eastAsia="宋体" w:cs="Arial"/>
          <w:b w:val="0"/>
          <w:bCs/>
          <w:sz w:val="26"/>
          <w:szCs w:val="26"/>
          <w:lang w:val="en-US" w:eastAsia="zh-CN"/>
        </w:rPr>
        <w:t>不会对当地的环境空气产生明显的粉尘污染影响</w:t>
      </w:r>
      <w:r>
        <w:rPr>
          <w:rFonts w:hint="eastAsia" w:ascii="Arial" w:hAnsi="Arial" w:eastAsia="宋体" w:cs="Arial"/>
          <w:b w:val="0"/>
          <w:bCs/>
          <w:sz w:val="26"/>
          <w:szCs w:val="26"/>
          <w:lang w:val="en-US" w:eastAsia="zh-CN"/>
        </w:rPr>
        <w:t>，故本评价不进行量化分析。</w:t>
      </w:r>
    </w:p>
    <w:p w14:paraId="65E391BB">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Arial" w:eastAsia="宋体" w:cs="Arial"/>
          <w:b/>
          <w:bCs/>
          <w:kern w:val="2"/>
          <w:sz w:val="26"/>
          <w:szCs w:val="26"/>
          <w:lang w:val="en-US" w:eastAsia="zh-CN" w:bidi="ar-SA"/>
        </w:rPr>
      </w:pPr>
      <w:r>
        <w:rPr>
          <w:rFonts w:hint="eastAsia" w:ascii="Arial" w:hAnsi="Arial" w:eastAsia="宋体" w:cs="Arial"/>
          <w:b/>
          <w:bCs/>
          <w:kern w:val="2"/>
          <w:sz w:val="26"/>
          <w:szCs w:val="26"/>
          <w:lang w:val="en-US" w:eastAsia="zh-CN" w:bidi="ar-SA"/>
        </w:rPr>
        <w:t>⑦ 生活燃料废气</w:t>
      </w:r>
    </w:p>
    <w:p w14:paraId="70A283E1">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bCs/>
          <w:sz w:val="26"/>
          <w:szCs w:val="26"/>
          <w:lang w:val="en-US" w:eastAsia="zh-CN"/>
        </w:rPr>
      </w:pPr>
      <w:r>
        <w:rPr>
          <w:rFonts w:hint="eastAsia" w:ascii="Arial" w:hAnsi="Arial" w:cs="Arial"/>
          <w:b w:val="0"/>
          <w:bCs/>
          <w:sz w:val="26"/>
          <w:szCs w:val="26"/>
          <w:lang w:val="en-US" w:eastAsia="zh-CN"/>
        </w:rPr>
        <w:t>本项目租赁项目区已有居民房屋作施工营地，施工人员就近招用，仅少量管理、施工人员在施工营地内食宿，供热及生活主要采取电、液化石油气等清洁能源，排放废气少。</w:t>
      </w:r>
    </w:p>
    <w:p w14:paraId="698074DB">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Arial" w:eastAsia="宋体" w:cs="Arial"/>
          <w:b/>
          <w:bCs/>
          <w:kern w:val="2"/>
          <w:sz w:val="26"/>
          <w:szCs w:val="26"/>
          <w:lang w:val="en-US" w:eastAsia="zh-CN" w:bidi="ar-SA"/>
        </w:rPr>
      </w:pPr>
      <w:r>
        <w:rPr>
          <w:rFonts w:hint="eastAsia" w:ascii="Arial" w:hAnsi="Arial" w:eastAsia="宋体" w:cs="Arial"/>
          <w:b/>
          <w:bCs/>
          <w:kern w:val="2"/>
          <w:sz w:val="26"/>
          <w:szCs w:val="26"/>
          <w:lang w:val="en-US" w:eastAsia="zh-CN" w:bidi="ar-SA"/>
        </w:rPr>
        <w:t>⑧ 小结</w:t>
      </w:r>
    </w:p>
    <w:p w14:paraId="2F36459F">
      <w:pPr>
        <w:spacing w:line="460" w:lineRule="exact"/>
        <w:ind w:firstLine="520" w:firstLineChars="200"/>
        <w:rPr>
          <w:rFonts w:hint="eastAsia" w:ascii="宋体" w:hAnsi="宋体" w:cs="宋体"/>
          <w:bCs/>
          <w:color w:val="auto"/>
          <w:sz w:val="26"/>
          <w:szCs w:val="26"/>
          <w:lang w:eastAsia="zh-CN"/>
        </w:rPr>
      </w:pPr>
      <w:r>
        <w:rPr>
          <w:rFonts w:hint="eastAsia" w:ascii="宋体" w:hAnsi="宋体" w:cs="宋体"/>
          <w:bCs/>
          <w:color w:val="auto"/>
          <w:sz w:val="26"/>
          <w:szCs w:val="26"/>
          <w:lang w:eastAsia="zh-CN"/>
        </w:rPr>
        <w:t>本项目施工期</w:t>
      </w:r>
      <w:r>
        <w:rPr>
          <w:rFonts w:hint="eastAsia" w:ascii="宋体" w:hAnsi="宋体" w:cs="宋体"/>
          <w:bCs/>
          <w:color w:val="auto"/>
          <w:sz w:val="26"/>
          <w:szCs w:val="26"/>
        </w:rPr>
        <w:t>废</w:t>
      </w:r>
      <w:r>
        <w:rPr>
          <w:rFonts w:hint="eastAsia" w:ascii="宋体" w:hAnsi="宋体" w:cs="宋体"/>
          <w:bCs/>
          <w:color w:val="auto"/>
          <w:sz w:val="26"/>
          <w:szCs w:val="26"/>
          <w:lang w:eastAsia="zh-CN"/>
        </w:rPr>
        <w:t>气</w:t>
      </w:r>
      <w:r>
        <w:rPr>
          <w:rFonts w:hint="eastAsia" w:ascii="宋体" w:hAnsi="宋体" w:cs="宋体"/>
          <w:bCs/>
          <w:color w:val="auto"/>
          <w:sz w:val="26"/>
          <w:szCs w:val="26"/>
        </w:rPr>
        <w:t>污染物排放情</w:t>
      </w:r>
      <w:r>
        <w:rPr>
          <w:rFonts w:hint="eastAsia" w:ascii="Arial" w:hAnsi="Calibri" w:eastAsia="宋体" w:cs="Arial"/>
          <w:b w:val="0"/>
          <w:bCs/>
          <w:kern w:val="0"/>
          <w:sz w:val="26"/>
          <w:szCs w:val="26"/>
          <w:lang w:val="en-US" w:eastAsia="zh-CN" w:bidi="ar-SA"/>
        </w:rPr>
        <w:t>况详见表3.1-</w:t>
      </w:r>
      <w:r>
        <w:rPr>
          <w:rFonts w:hint="eastAsia" w:ascii="Arial" w:hAnsi="Calibri" w:cs="Arial"/>
          <w:b w:val="0"/>
          <w:bCs/>
          <w:kern w:val="0"/>
          <w:sz w:val="26"/>
          <w:szCs w:val="26"/>
          <w:lang w:val="en-US" w:eastAsia="zh-CN" w:bidi="ar-SA"/>
        </w:rPr>
        <w:t>3</w:t>
      </w:r>
      <w:r>
        <w:rPr>
          <w:rFonts w:hint="eastAsia" w:ascii="Arial" w:hAnsi="Calibri" w:eastAsia="宋体" w:cs="Arial"/>
          <w:b w:val="0"/>
          <w:bCs/>
          <w:kern w:val="0"/>
          <w:sz w:val="26"/>
          <w:szCs w:val="26"/>
          <w:lang w:val="en-US" w:eastAsia="zh-CN" w:bidi="ar-SA"/>
        </w:rPr>
        <w:t>所示。</w:t>
      </w:r>
    </w:p>
    <w:p w14:paraId="377CF649">
      <w:pPr>
        <w:spacing w:line="440" w:lineRule="exact"/>
        <w:jc w:val="center"/>
        <w:rPr>
          <w:rFonts w:hint="eastAsia" w:ascii="Arial" w:cs="Arial"/>
          <w:b/>
          <w:kern w:val="28"/>
          <w:sz w:val="26"/>
          <w:szCs w:val="26"/>
        </w:rPr>
      </w:pPr>
      <w:r>
        <w:rPr>
          <w:rFonts w:hint="eastAsia" w:ascii="Arial" w:cs="Arial"/>
          <w:b/>
          <w:kern w:val="28"/>
          <w:sz w:val="26"/>
          <w:szCs w:val="26"/>
        </w:rPr>
        <w:t>表3.</w:t>
      </w:r>
      <w:r>
        <w:rPr>
          <w:rFonts w:hint="eastAsia" w:ascii="Arial" w:cs="Arial"/>
          <w:b/>
          <w:kern w:val="28"/>
          <w:sz w:val="26"/>
          <w:szCs w:val="26"/>
          <w:lang w:val="en-US" w:eastAsia="zh-CN"/>
        </w:rPr>
        <w:t>1</w:t>
      </w:r>
      <w:r>
        <w:rPr>
          <w:rFonts w:hint="eastAsia" w:ascii="Arial" w:cs="Arial"/>
          <w:b/>
          <w:kern w:val="28"/>
          <w:sz w:val="26"/>
          <w:szCs w:val="26"/>
        </w:rPr>
        <w:t>-</w:t>
      </w:r>
      <w:r>
        <w:rPr>
          <w:rFonts w:hint="eastAsia" w:ascii="Arial" w:cs="Arial"/>
          <w:b/>
          <w:kern w:val="28"/>
          <w:sz w:val="26"/>
          <w:szCs w:val="26"/>
          <w:lang w:val="en-US" w:eastAsia="zh-CN"/>
        </w:rPr>
        <w:t>3</w:t>
      </w:r>
      <w:r>
        <w:rPr>
          <w:rFonts w:hint="eastAsia" w:ascii="Arial" w:cs="Arial"/>
          <w:b/>
          <w:kern w:val="28"/>
          <w:sz w:val="26"/>
          <w:szCs w:val="26"/>
        </w:rPr>
        <w:t xml:space="preserve"> 施工期</w:t>
      </w:r>
      <w:r>
        <w:rPr>
          <w:rFonts w:hint="eastAsia" w:ascii="Arial" w:cs="Arial"/>
          <w:b/>
          <w:kern w:val="28"/>
          <w:sz w:val="26"/>
          <w:szCs w:val="26"/>
          <w:lang w:eastAsia="zh-CN"/>
        </w:rPr>
        <w:t>废气</w:t>
      </w:r>
      <w:r>
        <w:rPr>
          <w:rFonts w:hint="eastAsia" w:ascii="Arial" w:cs="Arial"/>
          <w:b/>
          <w:kern w:val="28"/>
          <w:sz w:val="26"/>
          <w:szCs w:val="26"/>
        </w:rPr>
        <w:t>排放情况汇总表</w:t>
      </w:r>
    </w:p>
    <w:tbl>
      <w:tblPr>
        <w:tblStyle w:val="78"/>
        <w:tblW w:w="9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115"/>
        <w:gridCol w:w="1217"/>
        <w:gridCol w:w="1083"/>
        <w:gridCol w:w="4117"/>
        <w:gridCol w:w="1059"/>
      </w:tblGrid>
      <w:tr w14:paraId="4185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812" w:type="dxa"/>
            <w:vAlign w:val="center"/>
          </w:tcPr>
          <w:p w14:paraId="04518EA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default" w:ascii="Arial" w:hAnsi="Arial" w:cs="Arial"/>
                <w:bCs/>
                <w:color w:val="auto"/>
                <w:sz w:val="22"/>
                <w:szCs w:val="22"/>
                <w:vertAlign w:val="baseline"/>
                <w:lang w:val="en-US" w:eastAsia="zh-CN"/>
              </w:rPr>
              <w:t>序号</w:t>
            </w:r>
          </w:p>
        </w:tc>
        <w:tc>
          <w:tcPr>
            <w:tcW w:w="1115" w:type="dxa"/>
            <w:vAlign w:val="center"/>
          </w:tcPr>
          <w:p w14:paraId="1D27427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污染源</w:t>
            </w:r>
          </w:p>
        </w:tc>
        <w:tc>
          <w:tcPr>
            <w:tcW w:w="1217" w:type="dxa"/>
            <w:shd w:val="clear" w:color="auto" w:fill="auto"/>
            <w:vAlign w:val="center"/>
          </w:tcPr>
          <w:p w14:paraId="73C14AF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bCs/>
                <w:color w:val="auto"/>
                <w:kern w:val="2"/>
                <w:sz w:val="22"/>
                <w:szCs w:val="22"/>
                <w:vertAlign w:val="baseline"/>
                <w:lang w:val="en-US" w:eastAsia="zh-CN" w:bidi="ar-SA"/>
              </w:rPr>
            </w:pPr>
            <w:r>
              <w:rPr>
                <w:rFonts w:hint="eastAsia" w:ascii="Arial" w:hAnsi="Arial" w:cs="Arial"/>
                <w:bCs/>
                <w:color w:val="auto"/>
                <w:sz w:val="22"/>
                <w:szCs w:val="22"/>
                <w:vertAlign w:val="baseline"/>
                <w:lang w:val="en-US" w:eastAsia="zh-CN"/>
              </w:rPr>
              <w:t>污染因子</w:t>
            </w:r>
          </w:p>
        </w:tc>
        <w:tc>
          <w:tcPr>
            <w:tcW w:w="1083" w:type="dxa"/>
            <w:shd w:val="clear" w:color="auto" w:fill="auto"/>
            <w:vAlign w:val="center"/>
          </w:tcPr>
          <w:p w14:paraId="6D267AE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bCs/>
                <w:color w:val="auto"/>
                <w:kern w:val="2"/>
                <w:sz w:val="22"/>
                <w:szCs w:val="22"/>
                <w:vertAlign w:val="baseline"/>
                <w:lang w:val="en-US" w:eastAsia="zh-CN" w:bidi="ar-SA"/>
              </w:rPr>
            </w:pPr>
            <w:r>
              <w:rPr>
                <w:rFonts w:hint="eastAsia" w:ascii="Arial" w:hAnsi="Arial" w:cs="Arial"/>
                <w:bCs/>
                <w:color w:val="auto"/>
                <w:sz w:val="22"/>
                <w:szCs w:val="22"/>
                <w:vertAlign w:val="baseline"/>
                <w:lang w:val="en-US" w:eastAsia="zh-CN"/>
              </w:rPr>
              <w:t>产生量</w:t>
            </w:r>
          </w:p>
        </w:tc>
        <w:tc>
          <w:tcPr>
            <w:tcW w:w="4117" w:type="dxa"/>
            <w:shd w:val="clear" w:color="auto" w:fill="auto"/>
            <w:vAlign w:val="center"/>
          </w:tcPr>
          <w:p w14:paraId="4DD43C3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bCs/>
                <w:color w:val="auto"/>
                <w:kern w:val="2"/>
                <w:sz w:val="22"/>
                <w:szCs w:val="22"/>
                <w:vertAlign w:val="baseline"/>
                <w:lang w:val="en-US" w:eastAsia="zh-CN" w:bidi="ar-SA"/>
              </w:rPr>
            </w:pPr>
            <w:r>
              <w:rPr>
                <w:rFonts w:hint="eastAsia" w:ascii="Arial" w:hAnsi="Arial" w:cs="Arial"/>
                <w:bCs/>
                <w:color w:val="auto"/>
                <w:kern w:val="2"/>
                <w:sz w:val="22"/>
                <w:szCs w:val="22"/>
                <w:vertAlign w:val="baseline"/>
                <w:lang w:val="en-US" w:eastAsia="zh-CN" w:bidi="ar-SA"/>
              </w:rPr>
              <w:t>治理措施</w:t>
            </w:r>
          </w:p>
        </w:tc>
        <w:tc>
          <w:tcPr>
            <w:tcW w:w="1059" w:type="dxa"/>
            <w:shd w:val="clear" w:color="auto" w:fill="auto"/>
            <w:vAlign w:val="center"/>
          </w:tcPr>
          <w:p w14:paraId="3CB77CB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kern w:val="2"/>
                <w:sz w:val="22"/>
                <w:szCs w:val="22"/>
                <w:vertAlign w:val="baseline"/>
                <w:lang w:val="en-US" w:eastAsia="zh-CN" w:bidi="ar-SA"/>
              </w:rPr>
            </w:pPr>
            <w:r>
              <w:rPr>
                <w:rFonts w:hint="eastAsia" w:ascii="Arial" w:hAnsi="Arial" w:cs="Arial"/>
                <w:bCs/>
                <w:color w:val="auto"/>
                <w:kern w:val="2"/>
                <w:sz w:val="22"/>
                <w:szCs w:val="22"/>
                <w:vertAlign w:val="baseline"/>
                <w:lang w:val="en-US" w:eastAsia="zh-CN" w:bidi="ar-SA"/>
              </w:rPr>
              <w:t>排放量</w:t>
            </w:r>
          </w:p>
        </w:tc>
      </w:tr>
      <w:tr w14:paraId="19A5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12" w:type="dxa"/>
            <w:vAlign w:val="center"/>
          </w:tcPr>
          <w:p w14:paraId="72C2D3B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default" w:ascii="Arial" w:hAnsi="Arial" w:cs="Arial"/>
                <w:bCs/>
                <w:color w:val="auto"/>
                <w:sz w:val="22"/>
                <w:szCs w:val="22"/>
                <w:vertAlign w:val="baseline"/>
                <w:lang w:val="en-US" w:eastAsia="zh-CN"/>
              </w:rPr>
              <w:t>1</w:t>
            </w:r>
          </w:p>
        </w:tc>
        <w:tc>
          <w:tcPr>
            <w:tcW w:w="1115" w:type="dxa"/>
            <w:vAlign w:val="center"/>
          </w:tcPr>
          <w:p w14:paraId="52FB881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施工扬尘</w:t>
            </w:r>
          </w:p>
        </w:tc>
        <w:tc>
          <w:tcPr>
            <w:tcW w:w="1217" w:type="dxa"/>
            <w:vAlign w:val="center"/>
          </w:tcPr>
          <w:p w14:paraId="7F2EF2B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TSP</w:t>
            </w:r>
          </w:p>
        </w:tc>
        <w:tc>
          <w:tcPr>
            <w:tcW w:w="1083" w:type="dxa"/>
            <w:vAlign w:val="center"/>
          </w:tcPr>
          <w:p w14:paraId="415A89C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7.78t</w:t>
            </w:r>
          </w:p>
        </w:tc>
        <w:tc>
          <w:tcPr>
            <w:tcW w:w="4117" w:type="dxa"/>
            <w:vAlign w:val="center"/>
          </w:tcPr>
          <w:p w14:paraId="65ADBA2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采取湿法作业，洒水抑尘，大风天气对开挖边坡、裸露地面等进行遮盖。</w:t>
            </w:r>
          </w:p>
        </w:tc>
        <w:tc>
          <w:tcPr>
            <w:tcW w:w="1059" w:type="dxa"/>
            <w:vAlign w:val="center"/>
          </w:tcPr>
          <w:p w14:paraId="4C83F53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1.56t</w:t>
            </w:r>
          </w:p>
        </w:tc>
      </w:tr>
      <w:tr w14:paraId="22C1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12" w:type="dxa"/>
            <w:vAlign w:val="center"/>
          </w:tcPr>
          <w:p w14:paraId="52B032D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2</w:t>
            </w:r>
          </w:p>
        </w:tc>
        <w:tc>
          <w:tcPr>
            <w:tcW w:w="1115" w:type="dxa"/>
            <w:vAlign w:val="center"/>
          </w:tcPr>
          <w:p w14:paraId="6C24D10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装卸粉尘</w:t>
            </w:r>
          </w:p>
        </w:tc>
        <w:tc>
          <w:tcPr>
            <w:tcW w:w="1217" w:type="dxa"/>
            <w:vAlign w:val="center"/>
          </w:tcPr>
          <w:p w14:paraId="0F0E40E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TSP</w:t>
            </w:r>
          </w:p>
        </w:tc>
        <w:tc>
          <w:tcPr>
            <w:tcW w:w="1083" w:type="dxa"/>
            <w:vAlign w:val="center"/>
          </w:tcPr>
          <w:p w14:paraId="09F0881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14.2932t</w:t>
            </w:r>
          </w:p>
        </w:tc>
        <w:tc>
          <w:tcPr>
            <w:tcW w:w="4117" w:type="dxa"/>
            <w:vAlign w:val="center"/>
          </w:tcPr>
          <w:p w14:paraId="6DECBE0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洒水抑尘、严格控制落料高度、密闭运输。</w:t>
            </w:r>
          </w:p>
        </w:tc>
        <w:tc>
          <w:tcPr>
            <w:tcW w:w="1059" w:type="dxa"/>
            <w:vAlign w:val="center"/>
          </w:tcPr>
          <w:p w14:paraId="0BAFD3D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2.8586t</w:t>
            </w:r>
          </w:p>
        </w:tc>
      </w:tr>
      <w:tr w14:paraId="3D84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12" w:type="dxa"/>
            <w:vAlign w:val="center"/>
          </w:tcPr>
          <w:p w14:paraId="28E15A4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3</w:t>
            </w:r>
          </w:p>
        </w:tc>
        <w:tc>
          <w:tcPr>
            <w:tcW w:w="1115" w:type="dxa"/>
            <w:vAlign w:val="center"/>
          </w:tcPr>
          <w:p w14:paraId="156E316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运输扬尘</w:t>
            </w:r>
          </w:p>
        </w:tc>
        <w:tc>
          <w:tcPr>
            <w:tcW w:w="1217" w:type="dxa"/>
            <w:vAlign w:val="center"/>
          </w:tcPr>
          <w:p w14:paraId="3B37DF7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TSP</w:t>
            </w:r>
          </w:p>
        </w:tc>
        <w:tc>
          <w:tcPr>
            <w:tcW w:w="1083" w:type="dxa"/>
            <w:vAlign w:val="center"/>
          </w:tcPr>
          <w:p w14:paraId="0F4F387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15.388t</w:t>
            </w:r>
          </w:p>
        </w:tc>
        <w:tc>
          <w:tcPr>
            <w:tcW w:w="4117" w:type="dxa"/>
            <w:vAlign w:val="center"/>
          </w:tcPr>
          <w:p w14:paraId="5C6EE46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宋体" w:hAnsi="宋体" w:eastAsia="宋体" w:cs="宋体"/>
                <w:bCs/>
                <w:color w:val="auto"/>
                <w:sz w:val="22"/>
                <w:szCs w:val="22"/>
                <w:lang w:eastAsia="zh-CN"/>
              </w:rPr>
              <w:t>硬化运输道路、安排专人清扫、洒水抑尘、限速限载、冲洗运输车辆等</w:t>
            </w:r>
          </w:p>
        </w:tc>
        <w:tc>
          <w:tcPr>
            <w:tcW w:w="1059" w:type="dxa"/>
            <w:vAlign w:val="center"/>
          </w:tcPr>
          <w:p w14:paraId="015330C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3.0776t</w:t>
            </w:r>
          </w:p>
        </w:tc>
      </w:tr>
      <w:tr w14:paraId="0889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jc w:val="center"/>
        </w:trPr>
        <w:tc>
          <w:tcPr>
            <w:tcW w:w="812" w:type="dxa"/>
            <w:vAlign w:val="center"/>
          </w:tcPr>
          <w:p w14:paraId="56DD05A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4</w:t>
            </w:r>
          </w:p>
        </w:tc>
        <w:tc>
          <w:tcPr>
            <w:tcW w:w="1115" w:type="dxa"/>
            <w:vAlign w:val="center"/>
          </w:tcPr>
          <w:p w14:paraId="3781F9A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混凝土拌合粉尘</w:t>
            </w:r>
          </w:p>
        </w:tc>
        <w:tc>
          <w:tcPr>
            <w:tcW w:w="1217" w:type="dxa"/>
            <w:vAlign w:val="center"/>
          </w:tcPr>
          <w:p w14:paraId="22B580F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TSP</w:t>
            </w:r>
          </w:p>
        </w:tc>
        <w:tc>
          <w:tcPr>
            <w:tcW w:w="1083" w:type="dxa"/>
            <w:vAlign w:val="center"/>
          </w:tcPr>
          <w:p w14:paraId="3CAD451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1.8288</w:t>
            </w:r>
          </w:p>
        </w:tc>
        <w:tc>
          <w:tcPr>
            <w:tcW w:w="4117" w:type="dxa"/>
            <w:vAlign w:val="center"/>
          </w:tcPr>
          <w:p w14:paraId="2C11086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水泥。粉煤灰等粉质物料采取筒仓储存，并配置仓顶除尘器；碎石骨料堆存区设围挡和顶棚，对</w:t>
            </w:r>
            <w:r>
              <w:rPr>
                <w:rFonts w:hint="eastAsia" w:ascii="Arial" w:hAnsi="Arial" w:eastAsia="宋体" w:cs="Arial"/>
                <w:b w:val="0"/>
                <w:bCs/>
                <w:kern w:val="0"/>
                <w:sz w:val="22"/>
                <w:szCs w:val="22"/>
                <w:lang w:val="en-US" w:eastAsia="zh-CN" w:bidi="ar-SA"/>
              </w:rPr>
              <w:t>搅拌机、料斗、输送皮带及转载点设施等产尘点进行洒水降尘</w:t>
            </w:r>
          </w:p>
        </w:tc>
        <w:tc>
          <w:tcPr>
            <w:tcW w:w="1059" w:type="dxa"/>
            <w:vAlign w:val="center"/>
          </w:tcPr>
          <w:p w14:paraId="13F9100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0.1829t</w:t>
            </w:r>
          </w:p>
        </w:tc>
      </w:tr>
      <w:tr w14:paraId="1BD9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12" w:type="dxa"/>
            <w:vAlign w:val="center"/>
          </w:tcPr>
          <w:p w14:paraId="09E4918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5</w:t>
            </w:r>
          </w:p>
        </w:tc>
        <w:tc>
          <w:tcPr>
            <w:tcW w:w="1115" w:type="dxa"/>
            <w:vAlign w:val="center"/>
          </w:tcPr>
          <w:p w14:paraId="6BAED92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堆场扬尘</w:t>
            </w:r>
          </w:p>
        </w:tc>
        <w:tc>
          <w:tcPr>
            <w:tcW w:w="1217" w:type="dxa"/>
            <w:vAlign w:val="center"/>
          </w:tcPr>
          <w:p w14:paraId="517DC1E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TSP</w:t>
            </w:r>
          </w:p>
        </w:tc>
        <w:tc>
          <w:tcPr>
            <w:tcW w:w="1083" w:type="dxa"/>
            <w:vAlign w:val="center"/>
          </w:tcPr>
          <w:p w14:paraId="76B8EA1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少量</w:t>
            </w:r>
          </w:p>
        </w:tc>
        <w:tc>
          <w:tcPr>
            <w:tcW w:w="4117" w:type="dxa"/>
            <w:vAlign w:val="center"/>
          </w:tcPr>
          <w:p w14:paraId="5961DF4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 w:val="0"/>
                <w:bCs/>
                <w:sz w:val="22"/>
                <w:szCs w:val="22"/>
                <w:lang w:val="en-US" w:eastAsia="zh-CN"/>
              </w:rPr>
              <w:t>水泥等粉质物料均集中堆存，并采取篷布或围挡、顶棚进行遮盖；弃渣场夯实堆存，并洒水抑尘。</w:t>
            </w:r>
          </w:p>
        </w:tc>
        <w:tc>
          <w:tcPr>
            <w:tcW w:w="1059" w:type="dxa"/>
            <w:vAlign w:val="center"/>
          </w:tcPr>
          <w:p w14:paraId="51027D9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少量</w:t>
            </w:r>
          </w:p>
        </w:tc>
      </w:tr>
      <w:tr w14:paraId="1E771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12" w:type="dxa"/>
            <w:vAlign w:val="center"/>
          </w:tcPr>
          <w:p w14:paraId="360FDC3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6</w:t>
            </w:r>
          </w:p>
        </w:tc>
        <w:tc>
          <w:tcPr>
            <w:tcW w:w="1115" w:type="dxa"/>
            <w:vAlign w:val="center"/>
          </w:tcPr>
          <w:p w14:paraId="33254C0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燃油废气</w:t>
            </w:r>
          </w:p>
        </w:tc>
        <w:tc>
          <w:tcPr>
            <w:tcW w:w="1217" w:type="dxa"/>
            <w:vAlign w:val="center"/>
          </w:tcPr>
          <w:p w14:paraId="2A141D1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CO</w:t>
            </w:r>
          </w:p>
          <w:p w14:paraId="6E297B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HC</w:t>
            </w:r>
          </w:p>
        </w:tc>
        <w:tc>
          <w:tcPr>
            <w:tcW w:w="1083" w:type="dxa"/>
            <w:vAlign w:val="center"/>
          </w:tcPr>
          <w:p w14:paraId="26A90EA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少量</w:t>
            </w:r>
          </w:p>
        </w:tc>
        <w:tc>
          <w:tcPr>
            <w:tcW w:w="4117" w:type="dxa"/>
            <w:vAlign w:val="center"/>
          </w:tcPr>
          <w:p w14:paraId="2284C68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 w:val="0"/>
                <w:bCs/>
                <w:sz w:val="22"/>
                <w:szCs w:val="22"/>
                <w:lang w:val="en-US" w:eastAsia="zh-CN"/>
              </w:rPr>
            </w:pPr>
            <w:r>
              <w:rPr>
                <w:rFonts w:hint="eastAsia" w:ascii="Arial" w:hAnsi="Arial" w:cs="Arial"/>
                <w:b w:val="0"/>
                <w:bCs/>
                <w:sz w:val="22"/>
                <w:szCs w:val="22"/>
                <w:lang w:val="en-US" w:eastAsia="zh-CN"/>
              </w:rPr>
              <w:t>以柴油、汽油为燃料，加强对施工机械的维护、保养，使其处于良好的工作状态。</w:t>
            </w:r>
          </w:p>
        </w:tc>
        <w:tc>
          <w:tcPr>
            <w:tcW w:w="1059" w:type="dxa"/>
            <w:vAlign w:val="center"/>
          </w:tcPr>
          <w:p w14:paraId="70FF91F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少量</w:t>
            </w:r>
          </w:p>
        </w:tc>
      </w:tr>
      <w:tr w14:paraId="354FB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812" w:type="dxa"/>
            <w:vAlign w:val="center"/>
          </w:tcPr>
          <w:p w14:paraId="31F5E1F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7</w:t>
            </w:r>
          </w:p>
        </w:tc>
        <w:tc>
          <w:tcPr>
            <w:tcW w:w="1115" w:type="dxa"/>
            <w:vAlign w:val="center"/>
          </w:tcPr>
          <w:p w14:paraId="53652A7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生活燃料</w:t>
            </w:r>
          </w:p>
        </w:tc>
        <w:tc>
          <w:tcPr>
            <w:tcW w:w="1217" w:type="dxa"/>
            <w:vAlign w:val="center"/>
          </w:tcPr>
          <w:p w14:paraId="141B74D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SO</w:t>
            </w:r>
            <w:r>
              <w:rPr>
                <w:rFonts w:hint="eastAsia" w:ascii="Arial" w:hAnsi="Arial" w:cs="Arial"/>
                <w:bCs/>
                <w:color w:val="auto"/>
                <w:sz w:val="22"/>
                <w:szCs w:val="22"/>
                <w:vertAlign w:val="subscript"/>
                <w:lang w:val="en-US" w:eastAsia="zh-CN"/>
              </w:rPr>
              <w:t>2</w:t>
            </w:r>
          </w:p>
          <w:p w14:paraId="11CF474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NO</w:t>
            </w:r>
            <w:r>
              <w:rPr>
                <w:rFonts w:hint="eastAsia" w:ascii="Arial" w:hAnsi="Arial" w:cs="Arial"/>
                <w:bCs/>
                <w:color w:val="auto"/>
                <w:sz w:val="22"/>
                <w:szCs w:val="22"/>
                <w:vertAlign w:val="subscript"/>
                <w:lang w:val="en-US" w:eastAsia="zh-CN"/>
              </w:rPr>
              <w:t>2</w:t>
            </w:r>
          </w:p>
          <w:p w14:paraId="67FC060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烟尘</w:t>
            </w:r>
          </w:p>
        </w:tc>
        <w:tc>
          <w:tcPr>
            <w:tcW w:w="1083" w:type="dxa"/>
            <w:vAlign w:val="center"/>
          </w:tcPr>
          <w:p w14:paraId="0A3D98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少量</w:t>
            </w:r>
          </w:p>
        </w:tc>
        <w:tc>
          <w:tcPr>
            <w:tcW w:w="4117" w:type="dxa"/>
            <w:vAlign w:val="center"/>
          </w:tcPr>
          <w:p w14:paraId="5B16348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 w:val="0"/>
                <w:bCs/>
                <w:sz w:val="22"/>
                <w:szCs w:val="22"/>
                <w:lang w:val="en-US" w:eastAsia="zh-CN"/>
              </w:rPr>
            </w:pPr>
            <w:r>
              <w:rPr>
                <w:rFonts w:hint="eastAsia" w:ascii="Arial" w:hAnsi="Arial" w:cs="Arial"/>
                <w:b w:val="0"/>
                <w:bCs/>
                <w:sz w:val="22"/>
                <w:szCs w:val="22"/>
                <w:lang w:val="en-US" w:eastAsia="zh-CN"/>
              </w:rPr>
              <w:t>供热及生活主要采取电、液化石油气等清洁能源</w:t>
            </w:r>
          </w:p>
        </w:tc>
        <w:tc>
          <w:tcPr>
            <w:tcW w:w="1059" w:type="dxa"/>
            <w:vAlign w:val="center"/>
          </w:tcPr>
          <w:p w14:paraId="0109498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少量</w:t>
            </w:r>
          </w:p>
        </w:tc>
      </w:tr>
    </w:tbl>
    <w:p w14:paraId="3972FAC2">
      <w:pPr>
        <w:pStyle w:val="100"/>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Arial" w:hAnsi="Arial" w:eastAsia="宋体" w:cs="Arial"/>
          <w:b w:val="0"/>
          <w:bCs/>
          <w:sz w:val="26"/>
          <w:szCs w:val="26"/>
          <w:lang w:val="en-US" w:eastAsia="zh-CN"/>
        </w:rPr>
      </w:pPr>
    </w:p>
    <w:p w14:paraId="24F1C0D8">
      <w:pPr>
        <w:keepNext w:val="0"/>
        <w:keepLines w:val="0"/>
        <w:pageBreakBefore w:val="0"/>
        <w:widowControl w:val="0"/>
        <w:kinsoku/>
        <w:wordWrap/>
        <w:overflowPunct/>
        <w:topLinePunct w:val="0"/>
        <w:autoSpaceDE/>
        <w:autoSpaceDN/>
        <w:bidi w:val="0"/>
        <w:adjustRightInd/>
        <w:snapToGrid/>
        <w:spacing w:line="460" w:lineRule="exact"/>
        <w:ind w:left="0" w:right="0" w:firstLine="392" w:firstLineChars="150"/>
        <w:jc w:val="both"/>
        <w:textAlignment w:val="auto"/>
        <w:outlineLvl w:val="3"/>
        <w:rPr>
          <w:rFonts w:hint="eastAsia" w:ascii="Arial" w:hAnsi="宋体" w:cs="Arial"/>
          <w:b/>
          <w:sz w:val="26"/>
          <w:szCs w:val="26"/>
        </w:rPr>
      </w:pPr>
      <w:r>
        <w:rPr>
          <w:rFonts w:hint="eastAsia" w:ascii="Arial" w:hAnsi="宋体" w:cs="Arial"/>
          <w:b/>
          <w:sz w:val="26"/>
          <w:szCs w:val="26"/>
        </w:rPr>
        <w:t>（</w:t>
      </w:r>
      <w:r>
        <w:rPr>
          <w:rFonts w:hint="eastAsia" w:ascii="Arial" w:hAnsi="宋体" w:cs="Arial"/>
          <w:b/>
          <w:sz w:val="26"/>
          <w:szCs w:val="26"/>
          <w:lang w:val="en-US" w:eastAsia="zh-CN"/>
        </w:rPr>
        <w:t>3</w:t>
      </w:r>
      <w:r>
        <w:rPr>
          <w:rFonts w:hint="eastAsia" w:ascii="Arial" w:hAnsi="宋体" w:cs="Arial"/>
          <w:b/>
          <w:sz w:val="26"/>
          <w:szCs w:val="26"/>
        </w:rPr>
        <w:t>）</w:t>
      </w:r>
      <w:r>
        <w:rPr>
          <w:rFonts w:hint="eastAsia" w:ascii="Arial" w:hAnsi="宋体" w:cs="Arial"/>
          <w:b/>
          <w:sz w:val="26"/>
          <w:szCs w:val="26"/>
          <w:lang w:eastAsia="zh-CN"/>
        </w:rPr>
        <w:t>噪声</w:t>
      </w:r>
    </w:p>
    <w:p w14:paraId="1493BDD0">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default" w:ascii="Arial" w:hAnsi="Arial" w:cs="Arial"/>
          <w:bCs/>
          <w:color w:val="auto"/>
          <w:sz w:val="26"/>
          <w:szCs w:val="26"/>
          <w:lang w:val="en-US" w:eastAsia="zh-CN"/>
        </w:rPr>
      </w:pPr>
      <w:r>
        <w:rPr>
          <w:rFonts w:hint="default" w:ascii="Arial" w:hAnsi="Arial" w:cs="Arial"/>
          <w:bCs/>
          <w:color w:val="auto"/>
          <w:sz w:val="26"/>
          <w:szCs w:val="26"/>
          <w:lang w:eastAsia="zh-CN"/>
        </w:rPr>
        <w:t>施工期噪声源有固定声源和流动声源，固定声源主要指作业点施工机具、施工场地内加工机械产生的噪声，噪声较大的有挖掘机、破碎机、夯实机、振动碾、钻机、起重机等。流动噪声源主要是运输用载重汽车，其源强与施工区内运输车辆行驶速度、频率等密切相关。本项目不涉及爆破作业，施工区噪声污染情况详见表</w:t>
      </w:r>
      <w:r>
        <w:rPr>
          <w:rFonts w:hint="default" w:ascii="Arial" w:hAnsi="Arial" w:cs="Arial"/>
          <w:bCs/>
          <w:color w:val="auto"/>
          <w:sz w:val="26"/>
          <w:szCs w:val="26"/>
          <w:lang w:val="en-US" w:eastAsia="zh-CN"/>
        </w:rPr>
        <w:t>3.1-4所示。</w:t>
      </w:r>
    </w:p>
    <w:p w14:paraId="4F3335C6">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Arial" w:eastAsia="宋体" w:cs="Arial"/>
          <w:b/>
          <w:kern w:val="28"/>
          <w:sz w:val="26"/>
          <w:szCs w:val="26"/>
          <w:lang w:val="en-US" w:eastAsia="zh-CN"/>
        </w:rPr>
      </w:pPr>
      <w:r>
        <w:rPr>
          <w:rFonts w:hint="eastAsia" w:ascii="Arial" w:cs="Arial"/>
          <w:b/>
          <w:kern w:val="28"/>
          <w:sz w:val="26"/>
          <w:szCs w:val="26"/>
        </w:rPr>
        <w:t>表3.</w:t>
      </w:r>
      <w:r>
        <w:rPr>
          <w:rFonts w:hint="eastAsia" w:ascii="Arial" w:cs="Arial"/>
          <w:b/>
          <w:kern w:val="28"/>
          <w:sz w:val="26"/>
          <w:szCs w:val="26"/>
          <w:lang w:val="en-US" w:eastAsia="zh-CN"/>
        </w:rPr>
        <w:t>1</w:t>
      </w:r>
      <w:r>
        <w:rPr>
          <w:rFonts w:hint="eastAsia" w:ascii="Arial" w:cs="Arial"/>
          <w:b/>
          <w:kern w:val="28"/>
          <w:sz w:val="26"/>
          <w:szCs w:val="26"/>
        </w:rPr>
        <w:t>-</w:t>
      </w:r>
      <w:r>
        <w:rPr>
          <w:rFonts w:hint="eastAsia" w:ascii="Arial" w:cs="Arial"/>
          <w:b/>
          <w:kern w:val="28"/>
          <w:sz w:val="26"/>
          <w:szCs w:val="26"/>
          <w:lang w:val="en-US" w:eastAsia="zh-CN"/>
        </w:rPr>
        <w:t>4</w:t>
      </w:r>
      <w:r>
        <w:rPr>
          <w:rFonts w:hint="eastAsia" w:ascii="Arial" w:cs="Arial"/>
          <w:b/>
          <w:kern w:val="28"/>
          <w:sz w:val="26"/>
          <w:szCs w:val="26"/>
        </w:rPr>
        <w:t xml:space="preserve"> </w:t>
      </w:r>
      <w:r>
        <w:rPr>
          <w:rFonts w:hint="eastAsia" w:ascii="Arial" w:cs="Arial"/>
          <w:b/>
          <w:kern w:val="28"/>
          <w:sz w:val="26"/>
          <w:szCs w:val="26"/>
          <w:lang w:val="en-US" w:eastAsia="zh-CN"/>
        </w:rPr>
        <w:t xml:space="preserve"> </w:t>
      </w:r>
      <w:r>
        <w:rPr>
          <w:rFonts w:hint="eastAsia" w:ascii="Arial" w:cs="Arial"/>
          <w:b/>
          <w:kern w:val="28"/>
          <w:sz w:val="26"/>
          <w:szCs w:val="26"/>
        </w:rPr>
        <w:t>施工期</w:t>
      </w:r>
      <w:r>
        <w:rPr>
          <w:rFonts w:hint="eastAsia" w:ascii="Arial" w:cs="Arial"/>
          <w:b/>
          <w:kern w:val="28"/>
          <w:sz w:val="26"/>
          <w:szCs w:val="26"/>
          <w:lang w:eastAsia="zh-CN"/>
        </w:rPr>
        <w:t>噪声源强一览表</w:t>
      </w:r>
      <w:r>
        <w:rPr>
          <w:rFonts w:hint="eastAsia" w:ascii="Arial" w:cs="Arial"/>
          <w:b/>
          <w:kern w:val="28"/>
          <w:sz w:val="26"/>
          <w:szCs w:val="26"/>
          <w:lang w:val="en-US" w:eastAsia="zh-CN"/>
        </w:rPr>
        <w:t xml:space="preserve">  单位：dB（A）</w:t>
      </w:r>
    </w:p>
    <w:tbl>
      <w:tblPr>
        <w:tblStyle w:val="77"/>
        <w:tblW w:w="81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77"/>
        <w:gridCol w:w="3041"/>
        <w:gridCol w:w="2902"/>
      </w:tblGrid>
      <w:tr w14:paraId="3F406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177" w:type="dxa"/>
            <w:tcBorders>
              <w:tl2br w:val="nil"/>
              <w:tr2bl w:val="nil"/>
            </w:tcBorders>
            <w:noWrap w:val="0"/>
            <w:vAlign w:val="center"/>
          </w:tcPr>
          <w:p w14:paraId="765D9235">
            <w:pPr>
              <w:jc w:val="center"/>
              <w:rPr>
                <w:rFonts w:ascii="Arial" w:hAnsi="Arial" w:cs="Arial"/>
                <w:sz w:val="22"/>
                <w:szCs w:val="22"/>
              </w:rPr>
            </w:pPr>
            <w:r>
              <w:rPr>
                <w:rFonts w:ascii="Arial" w:hAnsi="宋体" w:cs="Arial"/>
                <w:sz w:val="22"/>
                <w:szCs w:val="22"/>
              </w:rPr>
              <w:t>声源类型</w:t>
            </w:r>
          </w:p>
        </w:tc>
        <w:tc>
          <w:tcPr>
            <w:tcW w:w="3041" w:type="dxa"/>
            <w:tcBorders>
              <w:tl2br w:val="nil"/>
              <w:tr2bl w:val="nil"/>
            </w:tcBorders>
            <w:noWrap w:val="0"/>
            <w:vAlign w:val="center"/>
          </w:tcPr>
          <w:p w14:paraId="3A1CF2FA">
            <w:pPr>
              <w:jc w:val="center"/>
              <w:rPr>
                <w:rFonts w:ascii="Arial" w:hAnsi="Arial" w:cs="Arial"/>
                <w:sz w:val="22"/>
                <w:szCs w:val="22"/>
              </w:rPr>
            </w:pPr>
            <w:r>
              <w:rPr>
                <w:rFonts w:ascii="Arial" w:hAnsi="宋体" w:cs="Arial"/>
                <w:sz w:val="22"/>
                <w:szCs w:val="22"/>
              </w:rPr>
              <w:t>设备名称</w:t>
            </w:r>
          </w:p>
        </w:tc>
        <w:tc>
          <w:tcPr>
            <w:tcW w:w="2902" w:type="dxa"/>
            <w:tcBorders>
              <w:tl2br w:val="nil"/>
              <w:tr2bl w:val="nil"/>
            </w:tcBorders>
            <w:noWrap w:val="0"/>
            <w:vAlign w:val="center"/>
          </w:tcPr>
          <w:p w14:paraId="32FFD5F0">
            <w:pPr>
              <w:jc w:val="center"/>
              <w:rPr>
                <w:rFonts w:ascii="Arial" w:hAnsi="Arial" w:cs="Arial"/>
                <w:sz w:val="22"/>
                <w:szCs w:val="22"/>
              </w:rPr>
            </w:pPr>
            <w:r>
              <w:rPr>
                <w:rFonts w:hint="eastAsia" w:ascii="Arial" w:hAnsi="宋体" w:cs="Arial"/>
                <w:sz w:val="22"/>
                <w:szCs w:val="22"/>
                <w:lang w:eastAsia="zh-CN"/>
              </w:rPr>
              <w:t>单机</w:t>
            </w:r>
            <w:r>
              <w:rPr>
                <w:rFonts w:ascii="Arial" w:hAnsi="宋体" w:cs="Arial"/>
                <w:sz w:val="22"/>
                <w:szCs w:val="22"/>
              </w:rPr>
              <w:t>噪声源强</w:t>
            </w:r>
          </w:p>
        </w:tc>
      </w:tr>
      <w:tr w14:paraId="0E1A0E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restart"/>
            <w:tcBorders>
              <w:tl2br w:val="nil"/>
              <w:tr2bl w:val="nil"/>
            </w:tcBorders>
            <w:noWrap w:val="0"/>
            <w:vAlign w:val="center"/>
          </w:tcPr>
          <w:p w14:paraId="2AA6E56B">
            <w:pPr>
              <w:jc w:val="center"/>
              <w:rPr>
                <w:rFonts w:ascii="Arial" w:hAnsi="Arial" w:cs="Arial"/>
                <w:sz w:val="22"/>
                <w:szCs w:val="22"/>
              </w:rPr>
            </w:pPr>
            <w:r>
              <w:rPr>
                <w:rFonts w:ascii="Arial" w:hAnsi="宋体" w:cs="Arial"/>
                <w:sz w:val="22"/>
                <w:szCs w:val="22"/>
              </w:rPr>
              <w:t>固定源及小范围流动源</w:t>
            </w:r>
          </w:p>
        </w:tc>
        <w:tc>
          <w:tcPr>
            <w:tcW w:w="3041" w:type="dxa"/>
            <w:tcBorders>
              <w:tl2br w:val="nil"/>
              <w:tr2bl w:val="nil"/>
            </w:tcBorders>
            <w:noWrap w:val="0"/>
            <w:vAlign w:val="center"/>
          </w:tcPr>
          <w:p w14:paraId="76434C8C">
            <w:pPr>
              <w:jc w:val="center"/>
              <w:rPr>
                <w:rFonts w:ascii="Arial" w:hAnsi="Arial" w:cs="Arial"/>
                <w:sz w:val="22"/>
                <w:szCs w:val="22"/>
              </w:rPr>
            </w:pPr>
            <w:r>
              <w:rPr>
                <w:rFonts w:ascii="Arial" w:hAnsi="宋体" w:cs="Arial"/>
                <w:sz w:val="22"/>
                <w:szCs w:val="22"/>
              </w:rPr>
              <w:t>搅拌机</w:t>
            </w:r>
          </w:p>
        </w:tc>
        <w:tc>
          <w:tcPr>
            <w:tcW w:w="2902" w:type="dxa"/>
            <w:tcBorders>
              <w:tl2br w:val="nil"/>
              <w:tr2bl w:val="nil"/>
            </w:tcBorders>
            <w:noWrap w:val="0"/>
            <w:vAlign w:val="center"/>
          </w:tcPr>
          <w:p w14:paraId="4D080CB3">
            <w:pPr>
              <w:jc w:val="center"/>
              <w:rPr>
                <w:rFonts w:hint="default" w:ascii="Arial" w:hAnsi="Arial" w:eastAsia="宋体" w:cs="Arial"/>
                <w:sz w:val="22"/>
                <w:szCs w:val="22"/>
                <w:lang w:val="en-US" w:eastAsia="zh-CN"/>
              </w:rPr>
            </w:pPr>
            <w:r>
              <w:rPr>
                <w:rFonts w:hint="eastAsia" w:ascii="Arial" w:hAnsi="Arial" w:cs="Arial"/>
                <w:sz w:val="22"/>
                <w:szCs w:val="22"/>
                <w:lang w:val="en-US" w:eastAsia="zh-CN"/>
              </w:rPr>
              <w:t>75~88</w:t>
            </w:r>
          </w:p>
        </w:tc>
      </w:tr>
      <w:tr w14:paraId="2A327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64DB5F70">
            <w:pPr>
              <w:jc w:val="center"/>
              <w:rPr>
                <w:rFonts w:ascii="Arial" w:hAnsi="宋体" w:cs="Arial"/>
                <w:sz w:val="22"/>
                <w:szCs w:val="22"/>
              </w:rPr>
            </w:pPr>
          </w:p>
        </w:tc>
        <w:tc>
          <w:tcPr>
            <w:tcW w:w="3041" w:type="dxa"/>
            <w:tcBorders>
              <w:tl2br w:val="nil"/>
              <w:tr2bl w:val="nil"/>
            </w:tcBorders>
            <w:noWrap w:val="0"/>
            <w:vAlign w:val="center"/>
          </w:tcPr>
          <w:p w14:paraId="0DF0655B">
            <w:pPr>
              <w:jc w:val="center"/>
              <w:rPr>
                <w:rFonts w:hint="eastAsia" w:ascii="Arial" w:hAnsi="宋体" w:eastAsia="宋体" w:cs="Arial"/>
                <w:sz w:val="22"/>
                <w:szCs w:val="22"/>
                <w:lang w:eastAsia="zh-CN"/>
              </w:rPr>
            </w:pPr>
            <w:r>
              <w:rPr>
                <w:rFonts w:hint="eastAsia" w:ascii="Arial" w:hAnsi="宋体" w:cs="Arial"/>
                <w:sz w:val="22"/>
                <w:szCs w:val="22"/>
                <w:lang w:eastAsia="zh-CN"/>
              </w:rPr>
              <w:t>破碎机</w:t>
            </w:r>
          </w:p>
        </w:tc>
        <w:tc>
          <w:tcPr>
            <w:tcW w:w="2902" w:type="dxa"/>
            <w:tcBorders>
              <w:tl2br w:val="nil"/>
              <w:tr2bl w:val="nil"/>
            </w:tcBorders>
            <w:noWrap w:val="0"/>
            <w:vAlign w:val="center"/>
          </w:tcPr>
          <w:p w14:paraId="1ADE7CE6">
            <w:pPr>
              <w:jc w:val="center"/>
              <w:rPr>
                <w:rFonts w:hint="default" w:ascii="Arial" w:hAnsi="Arial" w:cs="Arial"/>
                <w:sz w:val="22"/>
                <w:szCs w:val="22"/>
                <w:lang w:val="en-US" w:eastAsia="zh-CN"/>
              </w:rPr>
            </w:pPr>
            <w:r>
              <w:rPr>
                <w:rFonts w:hint="eastAsia" w:ascii="Arial" w:hAnsi="Arial" w:cs="Arial"/>
                <w:sz w:val="22"/>
                <w:szCs w:val="22"/>
                <w:lang w:val="en-US" w:eastAsia="zh-CN"/>
              </w:rPr>
              <w:t>80~110</w:t>
            </w:r>
          </w:p>
        </w:tc>
      </w:tr>
      <w:tr w14:paraId="3822C0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1DD4666C">
            <w:pPr>
              <w:widowControl/>
              <w:jc w:val="left"/>
              <w:rPr>
                <w:rFonts w:ascii="Arial" w:hAnsi="Arial" w:cs="Arial"/>
                <w:sz w:val="22"/>
                <w:szCs w:val="22"/>
              </w:rPr>
            </w:pPr>
          </w:p>
        </w:tc>
        <w:tc>
          <w:tcPr>
            <w:tcW w:w="3041" w:type="dxa"/>
            <w:tcBorders>
              <w:tl2br w:val="nil"/>
              <w:tr2bl w:val="nil"/>
            </w:tcBorders>
            <w:noWrap w:val="0"/>
            <w:vAlign w:val="center"/>
          </w:tcPr>
          <w:p w14:paraId="69431276">
            <w:pPr>
              <w:jc w:val="center"/>
              <w:rPr>
                <w:rFonts w:ascii="Arial" w:hAnsi="Arial" w:cs="Arial"/>
                <w:sz w:val="22"/>
                <w:szCs w:val="22"/>
              </w:rPr>
            </w:pPr>
            <w:r>
              <w:rPr>
                <w:rFonts w:ascii="Arial" w:hAnsi="宋体" w:cs="Arial"/>
                <w:sz w:val="22"/>
                <w:szCs w:val="22"/>
              </w:rPr>
              <w:t>混凝土振捣器</w:t>
            </w:r>
          </w:p>
        </w:tc>
        <w:tc>
          <w:tcPr>
            <w:tcW w:w="2902" w:type="dxa"/>
            <w:tcBorders>
              <w:tl2br w:val="nil"/>
              <w:tr2bl w:val="nil"/>
            </w:tcBorders>
            <w:noWrap w:val="0"/>
            <w:vAlign w:val="center"/>
          </w:tcPr>
          <w:p w14:paraId="44304BA7">
            <w:pPr>
              <w:jc w:val="center"/>
              <w:rPr>
                <w:rFonts w:hint="default" w:ascii="Arial" w:hAnsi="Arial" w:eastAsia="宋体" w:cs="Arial"/>
                <w:sz w:val="22"/>
                <w:szCs w:val="22"/>
                <w:lang w:val="en-US" w:eastAsia="zh-CN"/>
              </w:rPr>
            </w:pPr>
            <w:r>
              <w:rPr>
                <w:rFonts w:hint="eastAsia" w:ascii="Arial" w:hAnsi="Arial" w:cs="Arial"/>
                <w:sz w:val="22"/>
                <w:szCs w:val="22"/>
                <w:lang w:val="en-US" w:eastAsia="zh-CN"/>
              </w:rPr>
              <w:t>87</w:t>
            </w:r>
          </w:p>
        </w:tc>
      </w:tr>
      <w:tr w14:paraId="38677B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3857DFF5">
            <w:pPr>
              <w:widowControl/>
              <w:jc w:val="left"/>
              <w:rPr>
                <w:rFonts w:ascii="Arial" w:hAnsi="Arial" w:cs="Arial"/>
                <w:sz w:val="22"/>
                <w:szCs w:val="22"/>
              </w:rPr>
            </w:pPr>
          </w:p>
        </w:tc>
        <w:tc>
          <w:tcPr>
            <w:tcW w:w="3041" w:type="dxa"/>
            <w:tcBorders>
              <w:tl2br w:val="nil"/>
              <w:tr2bl w:val="nil"/>
            </w:tcBorders>
            <w:noWrap w:val="0"/>
            <w:vAlign w:val="center"/>
          </w:tcPr>
          <w:p w14:paraId="2A3376AA">
            <w:pPr>
              <w:jc w:val="center"/>
              <w:rPr>
                <w:rFonts w:ascii="Arial" w:hAnsi="Arial" w:cs="Arial"/>
                <w:sz w:val="22"/>
                <w:szCs w:val="22"/>
              </w:rPr>
            </w:pPr>
            <w:r>
              <w:rPr>
                <w:rFonts w:ascii="Arial" w:hAnsi="宋体" w:cs="Arial"/>
                <w:sz w:val="22"/>
                <w:szCs w:val="22"/>
              </w:rPr>
              <w:t>卷扬机</w:t>
            </w:r>
          </w:p>
        </w:tc>
        <w:tc>
          <w:tcPr>
            <w:tcW w:w="2902" w:type="dxa"/>
            <w:tcBorders>
              <w:tl2br w:val="nil"/>
              <w:tr2bl w:val="nil"/>
            </w:tcBorders>
            <w:noWrap w:val="0"/>
            <w:vAlign w:val="center"/>
          </w:tcPr>
          <w:p w14:paraId="33B4DB3D">
            <w:pPr>
              <w:jc w:val="center"/>
              <w:rPr>
                <w:rFonts w:ascii="Arial" w:hAnsi="Arial" w:cs="Arial"/>
                <w:sz w:val="22"/>
                <w:szCs w:val="22"/>
              </w:rPr>
            </w:pPr>
            <w:r>
              <w:rPr>
                <w:rFonts w:ascii="Arial" w:hAnsi="Arial" w:cs="Arial"/>
                <w:sz w:val="22"/>
                <w:szCs w:val="22"/>
              </w:rPr>
              <w:t>75</w:t>
            </w:r>
            <w:r>
              <w:rPr>
                <w:rFonts w:ascii="Arial" w:hAnsi="宋体" w:cs="Arial"/>
                <w:sz w:val="22"/>
                <w:szCs w:val="22"/>
              </w:rPr>
              <w:t>～</w:t>
            </w:r>
            <w:r>
              <w:rPr>
                <w:rFonts w:ascii="Arial" w:hAnsi="Arial" w:cs="Arial"/>
                <w:sz w:val="22"/>
                <w:szCs w:val="22"/>
              </w:rPr>
              <w:t>88</w:t>
            </w:r>
          </w:p>
        </w:tc>
      </w:tr>
      <w:tr w14:paraId="19ACC9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1D1949C5">
            <w:pPr>
              <w:widowControl/>
              <w:jc w:val="left"/>
              <w:rPr>
                <w:rFonts w:ascii="Arial" w:hAnsi="Arial" w:cs="Arial"/>
                <w:sz w:val="22"/>
                <w:szCs w:val="22"/>
              </w:rPr>
            </w:pPr>
          </w:p>
        </w:tc>
        <w:tc>
          <w:tcPr>
            <w:tcW w:w="3041" w:type="dxa"/>
            <w:tcBorders>
              <w:tl2br w:val="nil"/>
              <w:tr2bl w:val="nil"/>
            </w:tcBorders>
            <w:noWrap w:val="0"/>
            <w:vAlign w:val="center"/>
          </w:tcPr>
          <w:p w14:paraId="580B4636">
            <w:pPr>
              <w:jc w:val="center"/>
              <w:rPr>
                <w:rFonts w:hint="eastAsia" w:ascii="Arial" w:hAnsi="宋体" w:eastAsia="宋体" w:cs="Arial"/>
                <w:sz w:val="22"/>
                <w:szCs w:val="22"/>
                <w:lang w:eastAsia="zh-CN"/>
              </w:rPr>
            </w:pPr>
            <w:r>
              <w:rPr>
                <w:rFonts w:hint="eastAsia" w:ascii="Arial" w:hAnsi="宋体" w:cs="Arial"/>
                <w:sz w:val="22"/>
                <w:szCs w:val="22"/>
                <w:lang w:eastAsia="zh-CN"/>
              </w:rPr>
              <w:t>振动碾</w:t>
            </w:r>
          </w:p>
        </w:tc>
        <w:tc>
          <w:tcPr>
            <w:tcW w:w="2902" w:type="dxa"/>
            <w:tcBorders>
              <w:tl2br w:val="nil"/>
              <w:tr2bl w:val="nil"/>
            </w:tcBorders>
            <w:noWrap w:val="0"/>
            <w:vAlign w:val="center"/>
          </w:tcPr>
          <w:p w14:paraId="7EBB25F2">
            <w:pPr>
              <w:jc w:val="center"/>
              <w:rPr>
                <w:rFonts w:hint="default" w:ascii="Arial" w:hAnsi="Arial" w:eastAsia="宋体" w:cs="Arial"/>
                <w:sz w:val="22"/>
                <w:szCs w:val="22"/>
                <w:lang w:val="en-US" w:eastAsia="zh-CN"/>
              </w:rPr>
            </w:pPr>
            <w:r>
              <w:rPr>
                <w:rFonts w:hint="eastAsia" w:ascii="Arial" w:hAnsi="Arial" w:cs="Arial"/>
                <w:sz w:val="22"/>
                <w:szCs w:val="22"/>
                <w:lang w:val="en-US" w:eastAsia="zh-CN"/>
              </w:rPr>
              <w:t>95~120</w:t>
            </w:r>
          </w:p>
        </w:tc>
      </w:tr>
      <w:tr w14:paraId="655B3E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257ACDC3">
            <w:pPr>
              <w:widowControl/>
              <w:jc w:val="left"/>
              <w:rPr>
                <w:rFonts w:ascii="Arial" w:hAnsi="Arial" w:cs="Arial"/>
                <w:sz w:val="22"/>
                <w:szCs w:val="22"/>
              </w:rPr>
            </w:pPr>
          </w:p>
        </w:tc>
        <w:tc>
          <w:tcPr>
            <w:tcW w:w="3041" w:type="dxa"/>
            <w:tcBorders>
              <w:tl2br w:val="nil"/>
              <w:tr2bl w:val="nil"/>
            </w:tcBorders>
            <w:noWrap w:val="0"/>
            <w:vAlign w:val="center"/>
          </w:tcPr>
          <w:p w14:paraId="4C30F6BF">
            <w:pPr>
              <w:jc w:val="center"/>
              <w:rPr>
                <w:rFonts w:ascii="Arial" w:hAnsi="Arial" w:cs="Arial"/>
                <w:sz w:val="22"/>
                <w:szCs w:val="22"/>
              </w:rPr>
            </w:pPr>
            <w:r>
              <w:rPr>
                <w:rFonts w:ascii="Arial" w:hAnsi="宋体" w:cs="Arial"/>
                <w:sz w:val="22"/>
                <w:szCs w:val="22"/>
              </w:rPr>
              <w:t>装载机</w:t>
            </w:r>
          </w:p>
        </w:tc>
        <w:tc>
          <w:tcPr>
            <w:tcW w:w="2902" w:type="dxa"/>
            <w:tcBorders>
              <w:tl2br w:val="nil"/>
              <w:tr2bl w:val="nil"/>
            </w:tcBorders>
            <w:noWrap w:val="0"/>
            <w:vAlign w:val="center"/>
          </w:tcPr>
          <w:p w14:paraId="10D8C185">
            <w:pPr>
              <w:jc w:val="center"/>
              <w:rPr>
                <w:rFonts w:ascii="Arial" w:hAnsi="Arial" w:cs="Arial"/>
                <w:sz w:val="22"/>
                <w:szCs w:val="22"/>
              </w:rPr>
            </w:pPr>
            <w:r>
              <w:rPr>
                <w:rFonts w:ascii="Arial" w:hAnsi="Arial" w:cs="Arial"/>
                <w:sz w:val="22"/>
                <w:szCs w:val="22"/>
              </w:rPr>
              <w:t>85</w:t>
            </w:r>
            <w:r>
              <w:rPr>
                <w:rFonts w:ascii="Arial" w:hAnsi="宋体" w:cs="Arial"/>
                <w:sz w:val="22"/>
                <w:szCs w:val="22"/>
              </w:rPr>
              <w:t>～</w:t>
            </w:r>
            <w:r>
              <w:rPr>
                <w:rFonts w:ascii="Arial" w:hAnsi="Arial" w:cs="Arial"/>
                <w:sz w:val="22"/>
                <w:szCs w:val="22"/>
              </w:rPr>
              <w:t>98</w:t>
            </w:r>
          </w:p>
        </w:tc>
      </w:tr>
      <w:tr w14:paraId="685E2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63E66ADD">
            <w:pPr>
              <w:widowControl/>
              <w:jc w:val="left"/>
              <w:rPr>
                <w:rFonts w:ascii="Arial" w:hAnsi="Arial" w:cs="Arial"/>
                <w:sz w:val="22"/>
                <w:szCs w:val="22"/>
              </w:rPr>
            </w:pPr>
          </w:p>
        </w:tc>
        <w:tc>
          <w:tcPr>
            <w:tcW w:w="3041" w:type="dxa"/>
            <w:tcBorders>
              <w:tl2br w:val="nil"/>
              <w:tr2bl w:val="nil"/>
            </w:tcBorders>
            <w:noWrap w:val="0"/>
            <w:vAlign w:val="center"/>
          </w:tcPr>
          <w:p w14:paraId="7EDAA504">
            <w:pPr>
              <w:jc w:val="center"/>
              <w:rPr>
                <w:rFonts w:ascii="Arial" w:hAnsi="Arial" w:cs="Arial"/>
                <w:sz w:val="22"/>
                <w:szCs w:val="22"/>
              </w:rPr>
            </w:pPr>
            <w:r>
              <w:rPr>
                <w:rFonts w:ascii="Arial" w:hAnsi="宋体" w:cs="Arial"/>
                <w:sz w:val="22"/>
                <w:szCs w:val="22"/>
              </w:rPr>
              <w:t>挖掘机</w:t>
            </w:r>
          </w:p>
        </w:tc>
        <w:tc>
          <w:tcPr>
            <w:tcW w:w="2902" w:type="dxa"/>
            <w:tcBorders>
              <w:tl2br w:val="nil"/>
              <w:tr2bl w:val="nil"/>
            </w:tcBorders>
            <w:noWrap w:val="0"/>
            <w:vAlign w:val="center"/>
          </w:tcPr>
          <w:p w14:paraId="4D631F1C">
            <w:pPr>
              <w:jc w:val="center"/>
              <w:rPr>
                <w:rFonts w:ascii="Arial" w:hAnsi="Arial" w:cs="Arial"/>
                <w:sz w:val="22"/>
                <w:szCs w:val="22"/>
              </w:rPr>
            </w:pPr>
            <w:r>
              <w:rPr>
                <w:rFonts w:hint="eastAsia" w:ascii="Arial" w:hAnsi="Arial" w:cs="Arial"/>
                <w:sz w:val="22"/>
                <w:szCs w:val="22"/>
                <w:lang w:val="en-US" w:eastAsia="zh-CN"/>
              </w:rPr>
              <w:t>90~110</w:t>
            </w:r>
          </w:p>
        </w:tc>
      </w:tr>
      <w:tr w14:paraId="31435D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5EB0A63E">
            <w:pPr>
              <w:widowControl/>
              <w:jc w:val="left"/>
              <w:rPr>
                <w:rFonts w:ascii="Arial" w:hAnsi="Arial" w:cs="Arial"/>
                <w:sz w:val="22"/>
                <w:szCs w:val="22"/>
              </w:rPr>
            </w:pPr>
          </w:p>
        </w:tc>
        <w:tc>
          <w:tcPr>
            <w:tcW w:w="3041" w:type="dxa"/>
            <w:tcBorders>
              <w:tl2br w:val="nil"/>
              <w:tr2bl w:val="nil"/>
            </w:tcBorders>
            <w:noWrap w:val="0"/>
            <w:vAlign w:val="center"/>
          </w:tcPr>
          <w:p w14:paraId="43E9A9BD">
            <w:pPr>
              <w:jc w:val="center"/>
              <w:rPr>
                <w:rFonts w:ascii="Arial" w:hAnsi="Arial" w:cs="Arial"/>
                <w:sz w:val="22"/>
                <w:szCs w:val="22"/>
              </w:rPr>
            </w:pPr>
            <w:r>
              <w:rPr>
                <w:rFonts w:ascii="Arial" w:hAnsi="宋体" w:cs="Arial"/>
                <w:sz w:val="22"/>
                <w:szCs w:val="22"/>
              </w:rPr>
              <w:t>空压机</w:t>
            </w:r>
          </w:p>
        </w:tc>
        <w:tc>
          <w:tcPr>
            <w:tcW w:w="2902" w:type="dxa"/>
            <w:tcBorders>
              <w:tl2br w:val="nil"/>
              <w:tr2bl w:val="nil"/>
            </w:tcBorders>
            <w:noWrap w:val="0"/>
            <w:vAlign w:val="center"/>
          </w:tcPr>
          <w:p w14:paraId="6201730F">
            <w:pPr>
              <w:jc w:val="center"/>
              <w:rPr>
                <w:rFonts w:hint="default" w:ascii="Arial" w:hAnsi="Arial" w:eastAsia="宋体" w:cs="Arial"/>
                <w:sz w:val="22"/>
                <w:szCs w:val="22"/>
                <w:lang w:val="en-US" w:eastAsia="zh-CN"/>
              </w:rPr>
            </w:pPr>
            <w:r>
              <w:rPr>
                <w:rFonts w:hint="eastAsia" w:ascii="Arial" w:hAnsi="Arial" w:cs="Arial"/>
                <w:sz w:val="22"/>
                <w:szCs w:val="22"/>
                <w:lang w:val="en-US" w:eastAsia="zh-CN"/>
              </w:rPr>
              <w:t>85~100</w:t>
            </w:r>
          </w:p>
        </w:tc>
      </w:tr>
      <w:tr w14:paraId="72DF4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7B4D7EA1">
            <w:pPr>
              <w:widowControl/>
              <w:jc w:val="left"/>
              <w:rPr>
                <w:rFonts w:ascii="Arial" w:hAnsi="Arial" w:cs="Arial"/>
                <w:sz w:val="22"/>
                <w:szCs w:val="22"/>
              </w:rPr>
            </w:pPr>
          </w:p>
        </w:tc>
        <w:tc>
          <w:tcPr>
            <w:tcW w:w="3041" w:type="dxa"/>
            <w:tcBorders>
              <w:tl2br w:val="nil"/>
              <w:tr2bl w:val="nil"/>
            </w:tcBorders>
            <w:noWrap w:val="0"/>
            <w:vAlign w:val="center"/>
          </w:tcPr>
          <w:p w14:paraId="03D352B3">
            <w:pPr>
              <w:jc w:val="center"/>
              <w:rPr>
                <w:rFonts w:ascii="Arial" w:hAnsi="Arial" w:cs="Arial"/>
                <w:sz w:val="22"/>
                <w:szCs w:val="22"/>
              </w:rPr>
            </w:pPr>
            <w:r>
              <w:rPr>
                <w:rFonts w:ascii="Arial" w:hAnsi="宋体" w:cs="Arial"/>
                <w:sz w:val="22"/>
                <w:szCs w:val="22"/>
              </w:rPr>
              <w:t>风钻</w:t>
            </w:r>
          </w:p>
        </w:tc>
        <w:tc>
          <w:tcPr>
            <w:tcW w:w="2902" w:type="dxa"/>
            <w:tcBorders>
              <w:tl2br w:val="nil"/>
              <w:tr2bl w:val="nil"/>
            </w:tcBorders>
            <w:noWrap w:val="0"/>
            <w:vAlign w:val="center"/>
          </w:tcPr>
          <w:p w14:paraId="60FDAEB0">
            <w:pPr>
              <w:jc w:val="center"/>
              <w:rPr>
                <w:rFonts w:ascii="Arial" w:hAnsi="Arial" w:cs="Arial"/>
                <w:sz w:val="22"/>
                <w:szCs w:val="22"/>
              </w:rPr>
            </w:pPr>
            <w:r>
              <w:rPr>
                <w:rFonts w:ascii="Arial" w:hAnsi="Arial" w:cs="Arial"/>
                <w:sz w:val="22"/>
                <w:szCs w:val="22"/>
              </w:rPr>
              <w:t>95</w:t>
            </w:r>
            <w:r>
              <w:rPr>
                <w:rFonts w:ascii="Arial" w:hAnsi="宋体" w:cs="Arial"/>
                <w:sz w:val="22"/>
                <w:szCs w:val="22"/>
              </w:rPr>
              <w:t>～</w:t>
            </w:r>
            <w:r>
              <w:rPr>
                <w:rFonts w:ascii="Arial" w:hAnsi="Arial" w:cs="Arial"/>
                <w:sz w:val="22"/>
                <w:szCs w:val="22"/>
              </w:rPr>
              <w:t>1</w:t>
            </w:r>
            <w:r>
              <w:rPr>
                <w:rFonts w:hint="eastAsia" w:ascii="Arial" w:hAnsi="Arial" w:cs="Arial"/>
                <w:sz w:val="22"/>
                <w:szCs w:val="22"/>
                <w:lang w:val="en-US" w:eastAsia="zh-CN"/>
              </w:rPr>
              <w:t>2</w:t>
            </w:r>
            <w:r>
              <w:rPr>
                <w:rFonts w:ascii="Arial" w:hAnsi="Arial" w:cs="Arial"/>
                <w:sz w:val="22"/>
                <w:szCs w:val="22"/>
              </w:rPr>
              <w:t>0</w:t>
            </w:r>
          </w:p>
        </w:tc>
      </w:tr>
      <w:tr w14:paraId="2F454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3FE5E03E">
            <w:pPr>
              <w:widowControl/>
              <w:jc w:val="left"/>
              <w:rPr>
                <w:rFonts w:ascii="Arial" w:hAnsi="Arial" w:cs="Arial"/>
                <w:sz w:val="22"/>
                <w:szCs w:val="22"/>
              </w:rPr>
            </w:pPr>
          </w:p>
        </w:tc>
        <w:tc>
          <w:tcPr>
            <w:tcW w:w="3041" w:type="dxa"/>
            <w:tcBorders>
              <w:tl2br w:val="nil"/>
              <w:tr2bl w:val="nil"/>
            </w:tcBorders>
            <w:shd w:val="clear" w:color="auto" w:fill="auto"/>
            <w:noWrap w:val="0"/>
            <w:vAlign w:val="center"/>
          </w:tcPr>
          <w:p w14:paraId="48F1A7F2">
            <w:pPr>
              <w:jc w:val="center"/>
              <w:rPr>
                <w:rFonts w:ascii="Arial" w:hAnsi="Arial" w:eastAsia="宋体" w:cs="Arial"/>
                <w:kern w:val="2"/>
                <w:sz w:val="22"/>
                <w:szCs w:val="22"/>
                <w:lang w:val="en-US" w:eastAsia="zh-CN" w:bidi="ar-SA"/>
              </w:rPr>
            </w:pPr>
            <w:r>
              <w:rPr>
                <w:rFonts w:ascii="Arial" w:hAnsi="宋体" w:cs="Arial"/>
                <w:sz w:val="22"/>
                <w:szCs w:val="22"/>
              </w:rPr>
              <w:t>泵类</w:t>
            </w:r>
          </w:p>
        </w:tc>
        <w:tc>
          <w:tcPr>
            <w:tcW w:w="2902" w:type="dxa"/>
            <w:tcBorders>
              <w:tl2br w:val="nil"/>
              <w:tr2bl w:val="nil"/>
            </w:tcBorders>
            <w:shd w:val="clear" w:color="auto" w:fill="auto"/>
            <w:noWrap w:val="0"/>
            <w:vAlign w:val="center"/>
          </w:tcPr>
          <w:p w14:paraId="6E77BB1E">
            <w:pPr>
              <w:jc w:val="center"/>
              <w:rPr>
                <w:rFonts w:ascii="Arial" w:hAnsi="Arial" w:eastAsia="宋体" w:cs="Arial"/>
                <w:kern w:val="2"/>
                <w:sz w:val="22"/>
                <w:szCs w:val="22"/>
                <w:lang w:val="en-US" w:eastAsia="zh-CN" w:bidi="ar-SA"/>
              </w:rPr>
            </w:pPr>
            <w:r>
              <w:rPr>
                <w:rFonts w:ascii="Arial" w:hAnsi="Arial" w:cs="Arial"/>
                <w:sz w:val="22"/>
                <w:szCs w:val="22"/>
              </w:rPr>
              <w:t>90</w:t>
            </w:r>
          </w:p>
        </w:tc>
      </w:tr>
      <w:tr w14:paraId="504DB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177" w:type="dxa"/>
            <w:vMerge w:val="continue"/>
            <w:tcBorders>
              <w:tl2br w:val="nil"/>
              <w:tr2bl w:val="nil"/>
            </w:tcBorders>
            <w:noWrap w:val="0"/>
            <w:vAlign w:val="center"/>
          </w:tcPr>
          <w:p w14:paraId="49B8E853">
            <w:pPr>
              <w:widowControl/>
              <w:jc w:val="left"/>
              <w:rPr>
                <w:rFonts w:ascii="Arial" w:hAnsi="Arial" w:cs="Arial"/>
                <w:sz w:val="22"/>
                <w:szCs w:val="22"/>
              </w:rPr>
            </w:pPr>
          </w:p>
        </w:tc>
        <w:tc>
          <w:tcPr>
            <w:tcW w:w="3041" w:type="dxa"/>
            <w:tcBorders>
              <w:tl2br w:val="nil"/>
              <w:tr2bl w:val="nil"/>
            </w:tcBorders>
            <w:noWrap w:val="0"/>
            <w:vAlign w:val="center"/>
          </w:tcPr>
          <w:p w14:paraId="4DF821DC">
            <w:pPr>
              <w:jc w:val="center"/>
              <w:rPr>
                <w:rFonts w:hint="eastAsia" w:ascii="Arial" w:hAnsi="Arial" w:eastAsia="宋体" w:cs="Arial"/>
                <w:sz w:val="22"/>
                <w:szCs w:val="22"/>
                <w:lang w:eastAsia="zh-CN"/>
              </w:rPr>
            </w:pPr>
            <w:r>
              <w:rPr>
                <w:rFonts w:hint="eastAsia" w:ascii="Arial" w:hAnsi="Arial" w:cs="Arial"/>
                <w:sz w:val="22"/>
                <w:szCs w:val="22"/>
                <w:lang w:eastAsia="zh-CN"/>
              </w:rPr>
              <w:t>施工场地综合加工</w:t>
            </w:r>
          </w:p>
        </w:tc>
        <w:tc>
          <w:tcPr>
            <w:tcW w:w="2902" w:type="dxa"/>
            <w:tcBorders>
              <w:tl2br w:val="nil"/>
              <w:tr2bl w:val="nil"/>
            </w:tcBorders>
            <w:noWrap w:val="0"/>
            <w:vAlign w:val="center"/>
          </w:tcPr>
          <w:p w14:paraId="16D090CC">
            <w:pPr>
              <w:jc w:val="center"/>
              <w:rPr>
                <w:rFonts w:hint="default" w:ascii="Arial" w:hAnsi="Arial" w:eastAsia="宋体" w:cs="Arial"/>
                <w:sz w:val="22"/>
                <w:szCs w:val="22"/>
                <w:lang w:val="en-US" w:eastAsia="zh-CN"/>
              </w:rPr>
            </w:pPr>
            <w:r>
              <w:rPr>
                <w:rFonts w:hint="eastAsia" w:ascii="Arial" w:hAnsi="Arial" w:cs="Arial"/>
                <w:sz w:val="22"/>
                <w:szCs w:val="22"/>
                <w:lang w:val="en-US" w:eastAsia="zh-CN"/>
              </w:rPr>
              <w:t>95~110</w:t>
            </w:r>
          </w:p>
        </w:tc>
      </w:tr>
      <w:tr w14:paraId="1D889F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restart"/>
            <w:tcBorders>
              <w:tl2br w:val="nil"/>
              <w:tr2bl w:val="nil"/>
            </w:tcBorders>
            <w:noWrap w:val="0"/>
            <w:vAlign w:val="center"/>
          </w:tcPr>
          <w:p w14:paraId="3EEC1AF0">
            <w:pPr>
              <w:jc w:val="center"/>
              <w:rPr>
                <w:rFonts w:ascii="Arial" w:hAnsi="Arial" w:cs="Arial"/>
                <w:sz w:val="22"/>
                <w:szCs w:val="22"/>
              </w:rPr>
            </w:pPr>
            <w:r>
              <w:rPr>
                <w:rFonts w:ascii="Arial" w:hAnsi="宋体" w:cs="Arial"/>
                <w:sz w:val="22"/>
                <w:szCs w:val="22"/>
              </w:rPr>
              <w:t>大范围流动源</w:t>
            </w:r>
          </w:p>
        </w:tc>
        <w:tc>
          <w:tcPr>
            <w:tcW w:w="3041" w:type="dxa"/>
            <w:tcBorders>
              <w:tl2br w:val="nil"/>
              <w:tr2bl w:val="nil"/>
            </w:tcBorders>
            <w:noWrap w:val="0"/>
            <w:vAlign w:val="center"/>
          </w:tcPr>
          <w:p w14:paraId="240E2ED6">
            <w:pPr>
              <w:jc w:val="center"/>
              <w:rPr>
                <w:rFonts w:ascii="Arial" w:hAnsi="Arial" w:cs="Arial"/>
                <w:sz w:val="22"/>
                <w:szCs w:val="22"/>
              </w:rPr>
            </w:pPr>
            <w:r>
              <w:rPr>
                <w:rFonts w:ascii="Arial" w:hAnsi="宋体" w:cs="Arial"/>
                <w:sz w:val="22"/>
                <w:szCs w:val="22"/>
              </w:rPr>
              <w:t>重型载重汽车</w:t>
            </w:r>
          </w:p>
        </w:tc>
        <w:tc>
          <w:tcPr>
            <w:tcW w:w="2902" w:type="dxa"/>
            <w:tcBorders>
              <w:tl2br w:val="nil"/>
              <w:tr2bl w:val="nil"/>
            </w:tcBorders>
            <w:noWrap w:val="0"/>
            <w:vAlign w:val="center"/>
          </w:tcPr>
          <w:p w14:paraId="33709C50">
            <w:pPr>
              <w:jc w:val="center"/>
              <w:rPr>
                <w:rFonts w:ascii="Arial" w:hAnsi="Arial" w:cs="Arial"/>
                <w:sz w:val="22"/>
                <w:szCs w:val="22"/>
              </w:rPr>
            </w:pPr>
            <w:r>
              <w:rPr>
                <w:rFonts w:ascii="Arial" w:hAnsi="Arial" w:cs="Arial"/>
                <w:sz w:val="22"/>
                <w:szCs w:val="22"/>
              </w:rPr>
              <w:t>88</w:t>
            </w:r>
            <w:r>
              <w:rPr>
                <w:rFonts w:ascii="Arial" w:hAnsi="宋体" w:cs="Arial"/>
                <w:sz w:val="22"/>
                <w:szCs w:val="22"/>
              </w:rPr>
              <w:t>～</w:t>
            </w:r>
            <w:r>
              <w:rPr>
                <w:rFonts w:ascii="Arial" w:hAnsi="Arial" w:cs="Arial"/>
                <w:sz w:val="22"/>
                <w:szCs w:val="22"/>
              </w:rPr>
              <w:t>93</w:t>
            </w:r>
          </w:p>
        </w:tc>
      </w:tr>
      <w:tr w14:paraId="4E704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0ABEAB93">
            <w:pPr>
              <w:widowControl/>
              <w:jc w:val="left"/>
              <w:rPr>
                <w:rFonts w:ascii="Arial" w:hAnsi="Arial" w:cs="Arial"/>
                <w:sz w:val="22"/>
                <w:szCs w:val="22"/>
              </w:rPr>
            </w:pPr>
          </w:p>
        </w:tc>
        <w:tc>
          <w:tcPr>
            <w:tcW w:w="3041" w:type="dxa"/>
            <w:tcBorders>
              <w:tl2br w:val="nil"/>
              <w:tr2bl w:val="nil"/>
            </w:tcBorders>
            <w:noWrap w:val="0"/>
            <w:vAlign w:val="center"/>
          </w:tcPr>
          <w:p w14:paraId="573A0E3F">
            <w:pPr>
              <w:jc w:val="center"/>
              <w:rPr>
                <w:rFonts w:ascii="Arial" w:hAnsi="Arial" w:cs="Arial"/>
                <w:sz w:val="22"/>
                <w:szCs w:val="22"/>
              </w:rPr>
            </w:pPr>
            <w:r>
              <w:rPr>
                <w:rFonts w:ascii="Arial" w:hAnsi="宋体" w:cs="Arial"/>
                <w:sz w:val="22"/>
                <w:szCs w:val="22"/>
              </w:rPr>
              <w:t>中型载重汽车</w:t>
            </w:r>
          </w:p>
        </w:tc>
        <w:tc>
          <w:tcPr>
            <w:tcW w:w="2902" w:type="dxa"/>
            <w:tcBorders>
              <w:tl2br w:val="nil"/>
              <w:tr2bl w:val="nil"/>
            </w:tcBorders>
            <w:noWrap w:val="0"/>
            <w:vAlign w:val="center"/>
          </w:tcPr>
          <w:p w14:paraId="2E502442">
            <w:pPr>
              <w:jc w:val="center"/>
              <w:rPr>
                <w:rFonts w:ascii="Arial" w:hAnsi="Arial" w:cs="Arial"/>
                <w:sz w:val="22"/>
                <w:szCs w:val="22"/>
              </w:rPr>
            </w:pPr>
            <w:r>
              <w:rPr>
                <w:rFonts w:ascii="Arial" w:hAnsi="Arial" w:cs="Arial"/>
                <w:sz w:val="22"/>
                <w:szCs w:val="22"/>
              </w:rPr>
              <w:t>85</w:t>
            </w:r>
            <w:r>
              <w:rPr>
                <w:rFonts w:ascii="Arial" w:hAnsi="宋体" w:cs="Arial"/>
                <w:sz w:val="22"/>
                <w:szCs w:val="22"/>
              </w:rPr>
              <w:t>～</w:t>
            </w:r>
            <w:r>
              <w:rPr>
                <w:rFonts w:ascii="Arial" w:hAnsi="Arial" w:cs="Arial"/>
                <w:sz w:val="22"/>
                <w:szCs w:val="22"/>
              </w:rPr>
              <w:t>91</w:t>
            </w:r>
          </w:p>
        </w:tc>
      </w:tr>
      <w:tr w14:paraId="259B8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5675401A">
            <w:pPr>
              <w:widowControl/>
              <w:jc w:val="left"/>
              <w:rPr>
                <w:rFonts w:ascii="Arial" w:hAnsi="Arial" w:cs="Arial"/>
                <w:sz w:val="22"/>
                <w:szCs w:val="22"/>
              </w:rPr>
            </w:pPr>
          </w:p>
        </w:tc>
        <w:tc>
          <w:tcPr>
            <w:tcW w:w="3041" w:type="dxa"/>
            <w:tcBorders>
              <w:tl2br w:val="nil"/>
              <w:tr2bl w:val="nil"/>
            </w:tcBorders>
            <w:noWrap w:val="0"/>
            <w:vAlign w:val="center"/>
          </w:tcPr>
          <w:p w14:paraId="69939494">
            <w:pPr>
              <w:jc w:val="center"/>
              <w:rPr>
                <w:rFonts w:ascii="Arial" w:hAnsi="Arial" w:cs="Arial"/>
                <w:sz w:val="22"/>
                <w:szCs w:val="22"/>
              </w:rPr>
            </w:pPr>
            <w:r>
              <w:rPr>
                <w:rFonts w:ascii="Arial" w:hAnsi="宋体" w:cs="Arial"/>
                <w:sz w:val="22"/>
                <w:szCs w:val="22"/>
              </w:rPr>
              <w:t>轻型载重汽车</w:t>
            </w:r>
          </w:p>
        </w:tc>
        <w:tc>
          <w:tcPr>
            <w:tcW w:w="2902" w:type="dxa"/>
            <w:tcBorders>
              <w:tl2br w:val="nil"/>
              <w:tr2bl w:val="nil"/>
            </w:tcBorders>
            <w:noWrap w:val="0"/>
            <w:vAlign w:val="center"/>
          </w:tcPr>
          <w:p w14:paraId="7F4FA746">
            <w:pPr>
              <w:jc w:val="center"/>
              <w:rPr>
                <w:rFonts w:ascii="Arial" w:hAnsi="Arial" w:cs="Arial"/>
                <w:sz w:val="22"/>
                <w:szCs w:val="22"/>
              </w:rPr>
            </w:pPr>
            <w:r>
              <w:rPr>
                <w:rFonts w:ascii="Arial" w:hAnsi="Arial" w:cs="Arial"/>
                <w:sz w:val="22"/>
                <w:szCs w:val="22"/>
              </w:rPr>
              <w:t>82</w:t>
            </w:r>
            <w:r>
              <w:rPr>
                <w:rFonts w:ascii="Arial" w:hAnsi="宋体" w:cs="Arial"/>
                <w:sz w:val="22"/>
                <w:szCs w:val="22"/>
              </w:rPr>
              <w:t>～</w:t>
            </w:r>
            <w:r>
              <w:rPr>
                <w:rFonts w:ascii="Arial" w:hAnsi="Arial" w:cs="Arial"/>
                <w:sz w:val="22"/>
                <w:szCs w:val="22"/>
              </w:rPr>
              <w:t>90</w:t>
            </w:r>
          </w:p>
        </w:tc>
      </w:tr>
      <w:tr w14:paraId="673904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77" w:type="dxa"/>
            <w:vMerge w:val="continue"/>
            <w:tcBorders>
              <w:tl2br w:val="nil"/>
              <w:tr2bl w:val="nil"/>
            </w:tcBorders>
            <w:noWrap w:val="0"/>
            <w:vAlign w:val="center"/>
          </w:tcPr>
          <w:p w14:paraId="595A66B4">
            <w:pPr>
              <w:widowControl/>
              <w:jc w:val="left"/>
              <w:rPr>
                <w:rFonts w:ascii="Arial" w:hAnsi="Arial" w:cs="Arial"/>
                <w:sz w:val="22"/>
                <w:szCs w:val="22"/>
              </w:rPr>
            </w:pPr>
          </w:p>
        </w:tc>
        <w:tc>
          <w:tcPr>
            <w:tcW w:w="3041" w:type="dxa"/>
            <w:tcBorders>
              <w:tl2br w:val="nil"/>
              <w:tr2bl w:val="nil"/>
            </w:tcBorders>
            <w:noWrap w:val="0"/>
            <w:vAlign w:val="center"/>
          </w:tcPr>
          <w:p w14:paraId="61752CFC">
            <w:pPr>
              <w:jc w:val="center"/>
              <w:rPr>
                <w:rFonts w:ascii="Arial" w:hAnsi="Arial" w:cs="Arial"/>
                <w:sz w:val="22"/>
                <w:szCs w:val="22"/>
              </w:rPr>
            </w:pPr>
            <w:r>
              <w:rPr>
                <w:rFonts w:ascii="Arial" w:hAnsi="宋体" w:cs="Arial"/>
                <w:sz w:val="22"/>
                <w:szCs w:val="22"/>
              </w:rPr>
              <w:t>推土机</w:t>
            </w:r>
          </w:p>
        </w:tc>
        <w:tc>
          <w:tcPr>
            <w:tcW w:w="2902" w:type="dxa"/>
            <w:tcBorders>
              <w:tl2br w:val="nil"/>
              <w:tr2bl w:val="nil"/>
            </w:tcBorders>
            <w:noWrap w:val="0"/>
            <w:vAlign w:val="center"/>
          </w:tcPr>
          <w:p w14:paraId="44BE9DCC">
            <w:pPr>
              <w:jc w:val="center"/>
              <w:rPr>
                <w:rFonts w:ascii="Arial" w:hAnsi="Arial" w:cs="Arial"/>
                <w:sz w:val="22"/>
                <w:szCs w:val="22"/>
              </w:rPr>
            </w:pPr>
            <w:r>
              <w:rPr>
                <w:rFonts w:ascii="Arial" w:hAnsi="Arial" w:cs="Arial"/>
                <w:sz w:val="22"/>
                <w:szCs w:val="22"/>
              </w:rPr>
              <w:t>78</w:t>
            </w:r>
            <w:r>
              <w:rPr>
                <w:rFonts w:ascii="Arial" w:hAnsi="宋体" w:cs="Arial"/>
                <w:sz w:val="22"/>
                <w:szCs w:val="22"/>
              </w:rPr>
              <w:t>～</w:t>
            </w:r>
            <w:r>
              <w:rPr>
                <w:rFonts w:ascii="Arial" w:hAnsi="Arial" w:cs="Arial"/>
                <w:sz w:val="22"/>
                <w:szCs w:val="22"/>
              </w:rPr>
              <w:t>96</w:t>
            </w:r>
          </w:p>
        </w:tc>
      </w:tr>
    </w:tbl>
    <w:p w14:paraId="6F4C55BB">
      <w:pPr>
        <w:keepNext w:val="0"/>
        <w:keepLines w:val="0"/>
        <w:pageBreakBefore w:val="0"/>
        <w:widowControl w:val="0"/>
        <w:kinsoku/>
        <w:wordWrap/>
        <w:overflowPunct/>
        <w:topLinePunct w:val="0"/>
        <w:autoSpaceDE/>
        <w:autoSpaceDN/>
        <w:bidi w:val="0"/>
        <w:adjustRightInd/>
        <w:snapToGrid/>
        <w:spacing w:line="240" w:lineRule="exact"/>
        <w:ind w:left="0" w:right="0" w:firstLine="520" w:firstLineChars="200"/>
        <w:jc w:val="both"/>
        <w:textAlignment w:val="auto"/>
        <w:rPr>
          <w:rFonts w:hint="default" w:ascii="Arial" w:hAnsi="Arial" w:cs="Arial"/>
          <w:bCs/>
          <w:color w:val="auto"/>
          <w:sz w:val="26"/>
          <w:szCs w:val="26"/>
          <w:lang w:val="en-US" w:eastAsia="zh-CN"/>
        </w:rPr>
      </w:pPr>
    </w:p>
    <w:p w14:paraId="41F6E7A3">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bCs/>
          <w:color w:val="auto"/>
          <w:sz w:val="26"/>
          <w:szCs w:val="26"/>
          <w:lang w:eastAsia="zh-CN"/>
        </w:rPr>
      </w:pPr>
      <w:r>
        <w:rPr>
          <w:rFonts w:hint="eastAsia" w:ascii="Arial" w:hAnsi="Arial" w:cs="Arial"/>
          <w:bCs/>
          <w:color w:val="auto"/>
          <w:sz w:val="26"/>
          <w:szCs w:val="26"/>
          <w:lang w:eastAsia="zh-CN"/>
        </w:rPr>
        <w:t>施工期噪声主要通过做好施工组织、合理安排施工时间；采用噪声小的设备车辆，并加强维护；固定高噪声加装临时隔声罩或置于专用房间内，利用墙体隔声等措施进行处理。</w:t>
      </w:r>
    </w:p>
    <w:p w14:paraId="150FDA50">
      <w:pPr>
        <w:keepNext w:val="0"/>
        <w:keepLines w:val="0"/>
        <w:pageBreakBefore w:val="0"/>
        <w:widowControl w:val="0"/>
        <w:kinsoku/>
        <w:wordWrap/>
        <w:overflowPunct/>
        <w:topLinePunct w:val="0"/>
        <w:autoSpaceDE/>
        <w:autoSpaceDN/>
        <w:bidi w:val="0"/>
        <w:adjustRightInd/>
        <w:snapToGrid/>
        <w:spacing w:line="460" w:lineRule="exact"/>
        <w:ind w:left="0" w:right="0" w:firstLine="392" w:firstLineChars="150"/>
        <w:jc w:val="both"/>
        <w:textAlignment w:val="auto"/>
        <w:outlineLvl w:val="3"/>
        <w:rPr>
          <w:rFonts w:hint="eastAsia" w:ascii="Arial" w:hAnsi="宋体" w:cs="Arial"/>
          <w:b/>
          <w:sz w:val="26"/>
          <w:szCs w:val="26"/>
        </w:rPr>
      </w:pPr>
      <w:r>
        <w:rPr>
          <w:rFonts w:hint="eastAsia" w:ascii="Arial" w:hAnsi="宋体" w:cs="Arial"/>
          <w:b/>
          <w:sz w:val="26"/>
          <w:szCs w:val="26"/>
        </w:rPr>
        <w:t>（</w:t>
      </w:r>
      <w:r>
        <w:rPr>
          <w:rFonts w:hint="eastAsia" w:ascii="Arial" w:hAnsi="宋体" w:cs="Arial"/>
          <w:b/>
          <w:sz w:val="26"/>
          <w:szCs w:val="26"/>
          <w:lang w:val="en-US" w:eastAsia="zh-CN"/>
        </w:rPr>
        <w:t>4</w:t>
      </w:r>
      <w:r>
        <w:rPr>
          <w:rFonts w:hint="eastAsia" w:ascii="Arial" w:hAnsi="宋体" w:cs="Arial"/>
          <w:b/>
          <w:sz w:val="26"/>
          <w:szCs w:val="26"/>
        </w:rPr>
        <w:t>）</w:t>
      </w:r>
      <w:r>
        <w:rPr>
          <w:rFonts w:hint="eastAsia" w:ascii="Arial" w:hAnsi="宋体" w:cs="Arial"/>
          <w:b/>
          <w:sz w:val="26"/>
          <w:szCs w:val="26"/>
          <w:lang w:eastAsia="zh-CN"/>
        </w:rPr>
        <w:t>固体废物</w:t>
      </w:r>
    </w:p>
    <w:p w14:paraId="7FAB49FB">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宋体" w:hAnsi="宋体" w:cs="宋体"/>
          <w:bCs/>
          <w:color w:val="auto"/>
          <w:sz w:val="26"/>
          <w:szCs w:val="26"/>
        </w:rPr>
      </w:pPr>
      <w:r>
        <w:rPr>
          <w:rFonts w:hint="eastAsia" w:ascii="Arial" w:hAnsi="宋体" w:cs="Arial"/>
          <w:bCs/>
          <w:sz w:val="26"/>
          <w:szCs w:val="26"/>
        </w:rPr>
        <w:t>施工期固体废物来自场地清理出的表土、开挖产生的</w:t>
      </w:r>
      <w:r>
        <w:rPr>
          <w:rFonts w:hint="eastAsia" w:ascii="Arial" w:hAnsi="宋体" w:cs="Arial"/>
          <w:bCs/>
          <w:sz w:val="26"/>
          <w:szCs w:val="26"/>
          <w:lang w:eastAsia="zh-CN"/>
        </w:rPr>
        <w:t>弃渣</w:t>
      </w:r>
      <w:r>
        <w:rPr>
          <w:rFonts w:hint="eastAsia" w:ascii="Arial" w:hAnsi="宋体" w:cs="Arial"/>
          <w:bCs/>
          <w:sz w:val="26"/>
          <w:szCs w:val="26"/>
        </w:rPr>
        <w:t>、施工机械及运</w:t>
      </w:r>
      <w:r>
        <w:rPr>
          <w:rFonts w:hint="eastAsia" w:ascii="Arial" w:hAnsi="宋体" w:cs="Arial"/>
          <w:bCs/>
          <w:color w:val="auto"/>
          <w:sz w:val="26"/>
          <w:szCs w:val="26"/>
        </w:rPr>
        <w:t>输车辆维修废油、施工人员产生的生活垃圾和餐厨垃圾，以及库区清理出的林木。</w:t>
      </w:r>
    </w:p>
    <w:p w14:paraId="1D620A80">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Arial" w:eastAsia="宋体" w:cs="Arial"/>
          <w:b/>
          <w:bCs/>
          <w:color w:val="auto"/>
          <w:sz w:val="26"/>
          <w:szCs w:val="26"/>
          <w:lang w:eastAsia="zh-CN"/>
        </w:rPr>
      </w:pPr>
      <w:r>
        <w:rPr>
          <w:rFonts w:ascii="Arial" w:hAnsi="Arial" w:cs="Arial"/>
          <w:b/>
          <w:bCs/>
          <w:color w:val="auto"/>
          <w:sz w:val="26"/>
          <w:szCs w:val="26"/>
        </w:rPr>
        <w:t xml:space="preserve">① </w:t>
      </w:r>
      <w:r>
        <w:rPr>
          <w:rFonts w:hint="eastAsia" w:ascii="Arial" w:hAnsi="Arial" w:cs="Arial"/>
          <w:b/>
          <w:bCs/>
          <w:color w:val="auto"/>
          <w:sz w:val="26"/>
          <w:szCs w:val="26"/>
          <w:lang w:eastAsia="zh-CN"/>
        </w:rPr>
        <w:t>表土</w:t>
      </w:r>
    </w:p>
    <w:p w14:paraId="7897BD02">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bCs/>
          <w:color w:val="auto"/>
          <w:sz w:val="26"/>
          <w:szCs w:val="26"/>
          <w:lang w:val="en-US" w:eastAsia="zh-CN"/>
        </w:rPr>
      </w:pPr>
      <w:r>
        <w:rPr>
          <w:rFonts w:hint="eastAsia" w:ascii="Arial" w:hAnsi="Arial" w:cs="Arial"/>
          <w:bCs/>
          <w:color w:val="auto"/>
          <w:sz w:val="26"/>
          <w:szCs w:val="26"/>
          <w:lang w:eastAsia="zh-CN"/>
        </w:rPr>
        <w:t>根据项目初设报告，本项目施工期清表产生的表土约</w:t>
      </w:r>
      <w:r>
        <w:rPr>
          <w:rFonts w:hint="eastAsia" w:ascii="Arial" w:hAnsi="Arial" w:cs="Arial"/>
          <w:bCs/>
          <w:color w:val="auto"/>
          <w:sz w:val="26"/>
          <w:szCs w:val="26"/>
          <w:lang w:val="en-US" w:eastAsia="zh-CN"/>
        </w:rPr>
        <w:t>2.51万m</w:t>
      </w:r>
      <w:r>
        <w:rPr>
          <w:rFonts w:hint="eastAsia" w:ascii="Arial" w:hAnsi="Arial" w:cs="Arial"/>
          <w:bCs/>
          <w:color w:val="auto"/>
          <w:sz w:val="26"/>
          <w:szCs w:val="26"/>
          <w:vertAlign w:val="superscript"/>
          <w:lang w:val="en-US" w:eastAsia="zh-CN"/>
        </w:rPr>
        <w:t>3</w:t>
      </w:r>
      <w:r>
        <w:rPr>
          <w:rFonts w:hint="eastAsia" w:ascii="Arial" w:hAnsi="Arial" w:cs="Arial"/>
          <w:bCs/>
          <w:color w:val="auto"/>
          <w:sz w:val="26"/>
          <w:szCs w:val="26"/>
          <w:lang w:val="en-US" w:eastAsia="zh-CN"/>
        </w:rPr>
        <w:t>，集中收集后，分区暂存于项目所设弃渣场内，后期全部用作绿化覆土，不外排。</w:t>
      </w:r>
    </w:p>
    <w:p w14:paraId="303FC522">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cs="Arial"/>
          <w:b/>
          <w:bCs/>
          <w:color w:val="auto"/>
          <w:sz w:val="26"/>
          <w:szCs w:val="26"/>
          <w:lang w:val="en-US" w:eastAsia="zh-CN"/>
        </w:rPr>
      </w:pPr>
      <w:r>
        <w:rPr>
          <w:rFonts w:hint="default" w:ascii="Arial" w:hAnsi="Arial" w:cs="Arial"/>
          <w:b/>
          <w:bCs/>
          <w:color w:val="auto"/>
          <w:sz w:val="26"/>
          <w:szCs w:val="26"/>
          <w:lang w:val="en-US" w:eastAsia="zh-CN"/>
        </w:rPr>
        <w:t>②</w:t>
      </w:r>
      <w:r>
        <w:rPr>
          <w:rFonts w:hint="eastAsia" w:ascii="Arial" w:hAnsi="Arial" w:cs="Arial"/>
          <w:b/>
          <w:bCs/>
          <w:color w:val="auto"/>
          <w:sz w:val="26"/>
          <w:szCs w:val="26"/>
          <w:lang w:val="en-US" w:eastAsia="zh-CN"/>
        </w:rPr>
        <w:t xml:space="preserve"> 弃渣</w:t>
      </w:r>
    </w:p>
    <w:p w14:paraId="3897590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cs="Arial"/>
          <w:bCs/>
          <w:color w:val="auto"/>
          <w:sz w:val="26"/>
        </w:rPr>
      </w:pPr>
      <w:r>
        <w:rPr>
          <w:rFonts w:hint="eastAsia" w:ascii="Arial" w:hAnsi="Arial" w:cs="Arial"/>
          <w:bCs/>
          <w:color w:val="auto"/>
          <w:sz w:val="26"/>
          <w:szCs w:val="26"/>
          <w:lang w:eastAsia="zh-CN"/>
        </w:rPr>
        <w:t>根据项目初设报告，本项目枢纽工程、输水工程土石方开挖量合计为</w:t>
      </w:r>
      <w:r>
        <w:rPr>
          <w:rFonts w:hint="eastAsia" w:ascii="Arial" w:hAnsi="Arial" w:cs="Arial"/>
          <w:bCs/>
          <w:color w:val="auto"/>
          <w:sz w:val="26"/>
          <w:szCs w:val="26"/>
          <w:lang w:val="en-US" w:eastAsia="zh-CN"/>
        </w:rPr>
        <w:t>11.84万m</w:t>
      </w:r>
      <w:r>
        <w:rPr>
          <w:rFonts w:hint="eastAsia" w:ascii="Arial" w:hAnsi="Arial" w:cs="Arial"/>
          <w:bCs/>
          <w:color w:val="auto"/>
          <w:sz w:val="26"/>
          <w:szCs w:val="26"/>
          <w:vertAlign w:val="superscript"/>
          <w:lang w:val="en-US" w:eastAsia="zh-CN"/>
        </w:rPr>
        <w:t>3</w:t>
      </w:r>
      <w:r>
        <w:rPr>
          <w:rFonts w:hint="eastAsia" w:ascii="Arial" w:hAnsi="Arial" w:cs="Arial"/>
          <w:bCs/>
          <w:color w:val="auto"/>
          <w:sz w:val="26"/>
          <w:szCs w:val="26"/>
          <w:lang w:val="en-US" w:eastAsia="zh-CN"/>
        </w:rPr>
        <w:t>，回填利用量为5.03万m</w:t>
      </w:r>
      <w:r>
        <w:rPr>
          <w:rFonts w:hint="eastAsia" w:ascii="Arial" w:hAnsi="Arial" w:cs="Arial"/>
          <w:bCs/>
          <w:color w:val="auto"/>
          <w:sz w:val="26"/>
          <w:szCs w:val="26"/>
          <w:vertAlign w:val="superscript"/>
          <w:lang w:val="en-US" w:eastAsia="zh-CN"/>
        </w:rPr>
        <w:t>3</w:t>
      </w:r>
      <w:r>
        <w:rPr>
          <w:rFonts w:hint="eastAsia" w:ascii="Arial" w:hAnsi="Arial" w:cs="Arial"/>
          <w:bCs/>
          <w:color w:val="auto"/>
          <w:sz w:val="26"/>
          <w:szCs w:val="26"/>
          <w:lang w:val="en-US" w:eastAsia="zh-CN"/>
        </w:rPr>
        <w:t>，则弃渣产生量为6.81万m</w:t>
      </w:r>
      <w:r>
        <w:rPr>
          <w:rFonts w:hint="eastAsia" w:ascii="Arial" w:hAnsi="Arial" w:cs="Arial"/>
          <w:bCs/>
          <w:color w:val="auto"/>
          <w:sz w:val="26"/>
          <w:szCs w:val="26"/>
          <w:vertAlign w:val="superscript"/>
          <w:lang w:val="en-US" w:eastAsia="zh-CN"/>
        </w:rPr>
        <w:t>3</w:t>
      </w:r>
      <w:r>
        <w:rPr>
          <w:rFonts w:hint="eastAsia" w:ascii="Arial" w:hAnsi="Arial" w:cs="Arial"/>
          <w:bCs/>
          <w:color w:val="auto"/>
          <w:sz w:val="26"/>
          <w:szCs w:val="26"/>
          <w:lang w:val="en-US" w:eastAsia="zh-CN"/>
        </w:rPr>
        <w:t>。</w:t>
      </w:r>
      <w:r>
        <w:rPr>
          <w:rFonts w:hint="eastAsia" w:ascii="Arial" w:cs="Arial"/>
          <w:color w:val="auto"/>
          <w:sz w:val="26"/>
          <w:szCs w:val="26"/>
        </w:rPr>
        <w:t>本项目施工期共设1处渣场，位于</w:t>
      </w:r>
      <w:r>
        <w:rPr>
          <w:rFonts w:hint="eastAsia" w:ascii="Arial" w:cs="Arial"/>
          <w:color w:val="auto"/>
          <w:sz w:val="26"/>
          <w:szCs w:val="26"/>
          <w:lang w:eastAsia="zh-CN"/>
        </w:rPr>
        <w:t>田家山村村委会附近</w:t>
      </w:r>
      <w:r>
        <w:rPr>
          <w:rFonts w:hint="eastAsia" w:ascii="Arial" w:cs="Arial"/>
          <w:color w:val="auto"/>
          <w:sz w:val="26"/>
          <w:szCs w:val="26"/>
        </w:rPr>
        <w:t>，占地面积约为</w:t>
      </w:r>
      <w:r>
        <w:rPr>
          <w:rFonts w:hint="eastAsia" w:ascii="Arial" w:cs="Arial"/>
          <w:color w:val="auto"/>
          <w:sz w:val="26"/>
          <w:szCs w:val="26"/>
          <w:lang w:val="en-US" w:eastAsia="zh-CN"/>
        </w:rPr>
        <w:t>49.47亩</w:t>
      </w:r>
      <w:r>
        <w:rPr>
          <w:rFonts w:hint="eastAsia" w:ascii="Arial" w:cs="Arial"/>
          <w:color w:val="auto"/>
          <w:sz w:val="26"/>
          <w:szCs w:val="26"/>
        </w:rPr>
        <w:t>，</w:t>
      </w:r>
      <w:r>
        <w:rPr>
          <w:rFonts w:hint="eastAsia" w:ascii="Arial" w:cs="Arial"/>
          <w:bCs/>
          <w:color w:val="auto"/>
          <w:sz w:val="26"/>
        </w:rPr>
        <w:t>堆渣量</w:t>
      </w:r>
      <w:r>
        <w:rPr>
          <w:rFonts w:hint="eastAsia" w:ascii="Arial" w:cs="Arial"/>
          <w:bCs/>
          <w:color w:val="auto"/>
          <w:sz w:val="26"/>
          <w:lang w:val="en-US" w:eastAsia="zh-CN"/>
        </w:rPr>
        <w:t>1</w:t>
      </w:r>
      <w:r>
        <w:rPr>
          <w:rFonts w:hint="eastAsia" w:ascii="Arial" w:cs="Arial"/>
          <w:bCs/>
          <w:color w:val="auto"/>
          <w:sz w:val="26"/>
        </w:rPr>
        <w:t>2万</w:t>
      </w:r>
      <w:r>
        <w:rPr>
          <w:rFonts w:ascii="Arial" w:cs="Arial"/>
          <w:bCs/>
          <w:color w:val="auto"/>
          <w:sz w:val="26"/>
        </w:rPr>
        <w:t>m</w:t>
      </w:r>
      <w:r>
        <w:rPr>
          <w:rFonts w:ascii="Arial" w:cs="Arial"/>
          <w:bCs/>
          <w:color w:val="auto"/>
          <w:sz w:val="26"/>
          <w:vertAlign w:val="superscript"/>
        </w:rPr>
        <w:t>3</w:t>
      </w:r>
      <w:r>
        <w:rPr>
          <w:rFonts w:hint="eastAsia" w:ascii="Arial" w:cs="Arial"/>
          <w:bCs/>
          <w:color w:val="auto"/>
          <w:sz w:val="26"/>
        </w:rPr>
        <w:t>，用于堆存</w:t>
      </w:r>
      <w:r>
        <w:rPr>
          <w:rFonts w:hint="eastAsia" w:ascii="Arial" w:cs="Arial"/>
          <w:bCs/>
          <w:color w:val="auto"/>
          <w:sz w:val="26"/>
          <w:lang w:eastAsia="zh-CN"/>
        </w:rPr>
        <w:t>施工过程中</w:t>
      </w:r>
      <w:r>
        <w:rPr>
          <w:rFonts w:hint="eastAsia" w:ascii="Arial" w:cs="Arial"/>
          <w:bCs/>
          <w:color w:val="auto"/>
          <w:sz w:val="26"/>
        </w:rPr>
        <w:t>产生的</w:t>
      </w:r>
      <w:r>
        <w:rPr>
          <w:rFonts w:hint="eastAsia" w:ascii="Arial" w:cs="Arial"/>
          <w:bCs/>
          <w:color w:val="auto"/>
          <w:sz w:val="26"/>
          <w:lang w:eastAsia="zh-CN"/>
        </w:rPr>
        <w:t>弃渣</w:t>
      </w:r>
      <w:r>
        <w:rPr>
          <w:rFonts w:hint="eastAsia" w:ascii="Arial" w:cs="Arial"/>
          <w:bCs/>
          <w:color w:val="auto"/>
          <w:sz w:val="26"/>
        </w:rPr>
        <w:t>。同时，输水管线施工段应设置临时围挡，严格控制施工活动，做好废弃土石方的暂存、清运工作，严禁向河道内倾倒废渣，减轻对流域</w:t>
      </w:r>
      <w:r>
        <w:rPr>
          <w:rFonts w:hint="eastAsia" w:ascii="Arial" w:cs="Arial"/>
          <w:bCs/>
          <w:color w:val="auto"/>
          <w:sz w:val="26"/>
          <w:lang w:eastAsia="zh-CN"/>
        </w:rPr>
        <w:t>水生生态、水质</w:t>
      </w:r>
      <w:r>
        <w:rPr>
          <w:rFonts w:hint="eastAsia" w:ascii="Arial" w:cs="Arial"/>
          <w:bCs/>
          <w:color w:val="auto"/>
          <w:sz w:val="26"/>
        </w:rPr>
        <w:t>的影响。</w:t>
      </w:r>
    </w:p>
    <w:p w14:paraId="7D085E79">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③ 废油</w:t>
      </w:r>
    </w:p>
    <w:p w14:paraId="30023A59">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bCs/>
          <w:color w:val="auto"/>
          <w:sz w:val="26"/>
          <w:szCs w:val="26"/>
          <w:lang w:eastAsia="zh-CN"/>
        </w:rPr>
      </w:pPr>
      <w:r>
        <w:rPr>
          <w:rFonts w:hint="eastAsia" w:ascii="Arial" w:hAnsi="Arial" w:cs="Arial"/>
          <w:bCs/>
          <w:color w:val="auto"/>
          <w:sz w:val="26"/>
          <w:szCs w:val="26"/>
          <w:lang w:eastAsia="zh-CN"/>
        </w:rPr>
        <w:t>本项目枢纽工程施工区内设置有机械停放区，会对施工机械进行简易的维护和保养，该工序会产生废矿物油，属于危废废物。桶装收集后，暂存于施工场地内所设的危废贮存间内，定期交有资质的单位统一收运处置。</w:t>
      </w:r>
    </w:p>
    <w:p w14:paraId="66392ADB">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④ 生活垃圾</w:t>
      </w:r>
    </w:p>
    <w:p w14:paraId="15562306">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sz w:val="26"/>
          <w:szCs w:val="26"/>
          <w:lang w:eastAsia="zh-CN"/>
        </w:rPr>
      </w:pPr>
      <w:r>
        <w:rPr>
          <w:rFonts w:hint="eastAsia" w:ascii="Arial" w:hAnsi="Arial" w:cs="Arial"/>
          <w:bCs/>
          <w:color w:val="auto"/>
          <w:sz w:val="26"/>
          <w:szCs w:val="26"/>
          <w:lang w:eastAsia="zh-CN"/>
        </w:rPr>
        <w:t>本项目枢纽工程、输水工程施工期高峰劳动定员合计约</w:t>
      </w:r>
      <w:r>
        <w:rPr>
          <w:rFonts w:hint="eastAsia" w:ascii="Arial" w:hAnsi="Arial" w:cs="Arial"/>
          <w:bCs/>
          <w:color w:val="auto"/>
          <w:sz w:val="26"/>
          <w:szCs w:val="26"/>
          <w:lang w:val="en-US" w:eastAsia="zh-CN"/>
        </w:rPr>
        <w:t>130人，生活垃圾产生量按</w:t>
      </w:r>
      <w:r>
        <w:rPr>
          <w:rFonts w:ascii="Arial" w:hAnsi="Arial" w:cs="Arial"/>
          <w:sz w:val="26"/>
          <w:szCs w:val="26"/>
        </w:rPr>
        <w:t>0.5kg/</w:t>
      </w:r>
      <w:r>
        <w:rPr>
          <w:rFonts w:hint="eastAsia" w:ascii="Arial" w:hAnsi="Arial" w:cs="Arial"/>
          <w:sz w:val="26"/>
          <w:szCs w:val="26"/>
        </w:rPr>
        <w:t>（人</w:t>
      </w:r>
      <w:r>
        <w:rPr>
          <w:rFonts w:ascii="Arial" w:hAnsi="Arial" w:cs="Arial"/>
          <w:sz w:val="26"/>
          <w:szCs w:val="26"/>
        </w:rPr>
        <w:t>.d</w:t>
      </w:r>
      <w:r>
        <w:rPr>
          <w:rFonts w:hint="eastAsia" w:ascii="Arial" w:hAnsi="Arial" w:cs="Arial"/>
          <w:sz w:val="26"/>
          <w:szCs w:val="26"/>
        </w:rPr>
        <w:t>）</w:t>
      </w:r>
      <w:r>
        <w:rPr>
          <w:rFonts w:hint="eastAsia" w:ascii="Arial" w:hAnsi="Arial" w:cs="Arial"/>
          <w:sz w:val="26"/>
          <w:szCs w:val="26"/>
          <w:lang w:eastAsia="zh-CN"/>
        </w:rPr>
        <w:t>计，则生活垃圾产生量为</w:t>
      </w:r>
      <w:r>
        <w:rPr>
          <w:rFonts w:hint="eastAsia" w:ascii="Arial" w:hAnsi="Arial" w:cs="Arial"/>
          <w:sz w:val="26"/>
          <w:szCs w:val="26"/>
          <w:lang w:val="en-US" w:eastAsia="zh-CN"/>
        </w:rPr>
        <w:t>26kg/d。经各施工区设置的垃圾桶</w:t>
      </w:r>
      <w:r>
        <w:rPr>
          <w:rFonts w:hint="eastAsia" w:ascii="Arial" w:hAnsi="Arial" w:cs="Arial"/>
          <w:sz w:val="26"/>
          <w:szCs w:val="26"/>
        </w:rPr>
        <w:t>收集后，交当地环卫部门统一清运处置</w:t>
      </w:r>
      <w:r>
        <w:rPr>
          <w:rFonts w:hint="eastAsia" w:ascii="Arial" w:hAnsi="Arial" w:cs="Arial"/>
          <w:sz w:val="26"/>
          <w:szCs w:val="26"/>
          <w:lang w:eastAsia="zh-CN"/>
        </w:rPr>
        <w:t>。</w:t>
      </w:r>
    </w:p>
    <w:p w14:paraId="3D0C387E">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⑤ 餐厨垃圾</w:t>
      </w:r>
    </w:p>
    <w:p w14:paraId="3A2C12E2">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default" w:ascii="Arial" w:hAnsi="Arial" w:cs="Arial"/>
          <w:bCs/>
          <w:color w:val="auto"/>
          <w:sz w:val="26"/>
          <w:szCs w:val="26"/>
          <w:lang w:val="en-US" w:eastAsia="zh-CN"/>
        </w:rPr>
      </w:pPr>
      <w:r>
        <w:rPr>
          <w:rFonts w:hint="eastAsia" w:ascii="Arial" w:hAnsi="Arial" w:cs="Arial"/>
          <w:bCs/>
          <w:color w:val="auto"/>
          <w:sz w:val="26"/>
          <w:szCs w:val="26"/>
          <w:lang w:eastAsia="zh-CN"/>
        </w:rPr>
        <w:t>本项目租赁项目区已有居民房屋作施工营地，施工人员大多就近招用，仅少量管理、施工人员合计约</w:t>
      </w:r>
      <w:r>
        <w:rPr>
          <w:rFonts w:hint="eastAsia" w:ascii="Arial" w:hAnsi="Arial" w:cs="Arial"/>
          <w:bCs/>
          <w:color w:val="auto"/>
          <w:sz w:val="26"/>
          <w:szCs w:val="26"/>
          <w:lang w:val="en-US" w:eastAsia="zh-CN"/>
        </w:rPr>
        <w:t>80人</w:t>
      </w:r>
      <w:r>
        <w:rPr>
          <w:rFonts w:hint="eastAsia" w:ascii="Arial" w:hAnsi="Arial" w:cs="Arial"/>
          <w:bCs/>
          <w:color w:val="auto"/>
          <w:sz w:val="26"/>
          <w:szCs w:val="26"/>
          <w:lang w:eastAsia="zh-CN"/>
        </w:rPr>
        <w:t>在施工营地内食宿，餐厨垃圾产生量按</w:t>
      </w:r>
      <w:r>
        <w:rPr>
          <w:rFonts w:hint="eastAsia" w:ascii="Arial" w:hAnsi="Arial" w:cs="Arial"/>
          <w:bCs/>
          <w:color w:val="auto"/>
          <w:sz w:val="26"/>
          <w:szCs w:val="26"/>
          <w:lang w:val="en-US" w:eastAsia="zh-CN"/>
        </w:rPr>
        <w:t>0.2</w:t>
      </w:r>
      <w:r>
        <w:rPr>
          <w:rFonts w:ascii="Arial" w:hAnsi="Arial" w:cs="Arial"/>
          <w:sz w:val="26"/>
          <w:szCs w:val="26"/>
        </w:rPr>
        <w:t>kg/</w:t>
      </w:r>
      <w:r>
        <w:rPr>
          <w:rFonts w:hint="eastAsia" w:ascii="Arial" w:hAnsi="Arial" w:cs="Arial"/>
          <w:sz w:val="26"/>
          <w:szCs w:val="26"/>
        </w:rPr>
        <w:t>（人</w:t>
      </w:r>
      <w:r>
        <w:rPr>
          <w:rFonts w:ascii="Arial" w:hAnsi="Arial" w:cs="Arial"/>
          <w:sz w:val="26"/>
          <w:szCs w:val="26"/>
        </w:rPr>
        <w:t>.d</w:t>
      </w:r>
      <w:r>
        <w:rPr>
          <w:rFonts w:hint="eastAsia" w:ascii="Arial" w:hAnsi="Arial" w:cs="Arial"/>
          <w:sz w:val="26"/>
          <w:szCs w:val="26"/>
        </w:rPr>
        <w:t>）</w:t>
      </w:r>
      <w:r>
        <w:rPr>
          <w:rFonts w:hint="eastAsia" w:ascii="Arial" w:hAnsi="Arial" w:cs="Arial"/>
          <w:sz w:val="26"/>
          <w:szCs w:val="26"/>
          <w:lang w:eastAsia="zh-CN"/>
        </w:rPr>
        <w:t>计，则餐厨垃圾产生量为</w:t>
      </w:r>
      <w:r>
        <w:rPr>
          <w:rFonts w:hint="eastAsia" w:ascii="Arial" w:hAnsi="Arial" w:cs="Arial"/>
          <w:sz w:val="26"/>
          <w:szCs w:val="26"/>
          <w:lang w:val="en-US" w:eastAsia="zh-CN"/>
        </w:rPr>
        <w:t>16kg/d。</w:t>
      </w:r>
      <w:r>
        <w:rPr>
          <w:rFonts w:hint="eastAsia" w:ascii="Arial" w:hAnsi="Arial" w:cs="Arial"/>
          <w:sz w:val="26"/>
          <w:szCs w:val="26"/>
        </w:rPr>
        <w:t>桶装收集后，交有资质的单位清运处置。</w:t>
      </w:r>
    </w:p>
    <w:p w14:paraId="284194E4">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⑥ 清库废物</w:t>
      </w:r>
    </w:p>
    <w:p w14:paraId="30333C58">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bCs/>
          <w:color w:val="auto"/>
          <w:sz w:val="26"/>
          <w:szCs w:val="26"/>
          <w:lang w:eastAsia="zh-CN"/>
        </w:rPr>
      </w:pPr>
      <w:r>
        <w:rPr>
          <w:rFonts w:hint="eastAsia" w:ascii="Arial" w:hAnsi="Arial" w:cs="Arial"/>
          <w:bCs/>
          <w:color w:val="auto"/>
          <w:sz w:val="26"/>
          <w:szCs w:val="26"/>
          <w:lang w:eastAsia="zh-CN"/>
        </w:rPr>
        <w:t>项目库底清理包括淹没区内林木清理、卫生清理等，约</w:t>
      </w:r>
      <w:r>
        <w:rPr>
          <w:rFonts w:hint="eastAsia" w:ascii="Arial" w:hAnsi="Arial" w:cs="Arial"/>
          <w:bCs/>
          <w:color w:val="auto"/>
          <w:sz w:val="26"/>
          <w:szCs w:val="26"/>
          <w:lang w:val="en-US" w:eastAsia="zh-CN"/>
        </w:rPr>
        <w:t>850t，</w:t>
      </w:r>
      <w:r>
        <w:rPr>
          <w:rFonts w:hint="eastAsia" w:ascii="Arial" w:hAnsi="Arial" w:cs="Arial"/>
          <w:bCs/>
          <w:color w:val="auto"/>
          <w:sz w:val="26"/>
          <w:szCs w:val="26"/>
          <w:lang w:eastAsia="zh-CN"/>
        </w:rPr>
        <w:t>清理出来的废物按要求进行分类收集处置。生活垃圾等交当地市政环卫部门统一清运处置，木材可外卖进行综合再利用，运输过程中需加盖、遮挡，避免二次污染。</w:t>
      </w:r>
    </w:p>
    <w:p w14:paraId="0C622E63">
      <w:pPr>
        <w:keepNext w:val="0"/>
        <w:keepLines w:val="0"/>
        <w:pageBreakBefore w:val="0"/>
        <w:widowControl w:val="0"/>
        <w:kinsoku/>
        <w:wordWrap/>
        <w:overflowPunct/>
        <w:topLinePunct w:val="0"/>
        <w:autoSpaceDE/>
        <w:autoSpaceDN/>
        <w:bidi w:val="0"/>
        <w:adjustRightInd/>
        <w:snapToGrid/>
        <w:spacing w:line="460" w:lineRule="exact"/>
        <w:ind w:left="0" w:right="0" w:firstLine="392" w:firstLineChars="150"/>
        <w:jc w:val="both"/>
        <w:textAlignment w:val="auto"/>
        <w:outlineLvl w:val="3"/>
        <w:rPr>
          <w:rFonts w:hint="eastAsia" w:ascii="Arial" w:hAnsi="宋体" w:eastAsia="宋体" w:cs="Arial"/>
          <w:b/>
          <w:sz w:val="26"/>
          <w:szCs w:val="26"/>
          <w:lang w:val="en-US" w:eastAsia="zh-CN"/>
        </w:rPr>
      </w:pPr>
      <w:r>
        <w:rPr>
          <w:rFonts w:hint="eastAsia" w:ascii="Arial" w:hAnsi="宋体" w:cs="Arial"/>
          <w:b/>
          <w:sz w:val="26"/>
          <w:szCs w:val="26"/>
        </w:rPr>
        <w:t>（</w:t>
      </w:r>
      <w:r>
        <w:rPr>
          <w:rFonts w:hint="eastAsia" w:ascii="Arial" w:hAnsi="宋体" w:cs="Arial"/>
          <w:b/>
          <w:sz w:val="26"/>
          <w:szCs w:val="26"/>
          <w:lang w:val="en-US" w:eastAsia="zh-CN"/>
        </w:rPr>
        <w:t>5</w:t>
      </w:r>
      <w:r>
        <w:rPr>
          <w:rFonts w:hint="eastAsia" w:ascii="Arial" w:hAnsi="宋体" w:cs="Arial"/>
          <w:b/>
          <w:sz w:val="26"/>
          <w:szCs w:val="26"/>
        </w:rPr>
        <w:t>）</w:t>
      </w:r>
      <w:r>
        <w:rPr>
          <w:rFonts w:hint="eastAsia" w:ascii="Arial" w:hAnsi="宋体" w:cs="Arial"/>
          <w:b/>
          <w:sz w:val="26"/>
          <w:szCs w:val="26"/>
          <w:lang w:eastAsia="zh-CN"/>
        </w:rPr>
        <w:t>生态环境</w:t>
      </w:r>
    </w:p>
    <w:p w14:paraId="0CC2C8A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cs="Arial"/>
          <w:sz w:val="26"/>
          <w:szCs w:val="26"/>
        </w:rPr>
      </w:pPr>
      <w:r>
        <w:rPr>
          <w:rFonts w:hint="eastAsia" w:ascii="Arial" w:cs="Arial"/>
          <w:sz w:val="26"/>
          <w:szCs w:val="26"/>
        </w:rPr>
        <w:t>施工期工程施工对生态环境的影响表现为：工程占地造成区域土地利用格局的变化，对土地资源的影响；施工占地区域的植被破坏，导致对陆生动、植物的影响；工程施工扰动地表导致原地貌的破坏并造成水土流失。</w:t>
      </w:r>
    </w:p>
    <w:p w14:paraId="724095D3">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Arial" w:cs="Arial"/>
          <w:b/>
          <w:bCs/>
          <w:color w:val="auto"/>
          <w:sz w:val="26"/>
          <w:szCs w:val="26"/>
          <w:lang w:val="en-US" w:eastAsia="zh-CN"/>
        </w:rPr>
      </w:pPr>
      <w:r>
        <w:rPr>
          <w:rFonts w:hint="eastAsia" w:ascii="Arial" w:hAnsi="Arial" w:cs="Arial"/>
          <w:b/>
          <w:bCs/>
          <w:color w:val="auto"/>
          <w:sz w:val="26"/>
          <w:szCs w:val="26"/>
          <w:lang w:val="en-US" w:eastAsia="zh-CN"/>
        </w:rPr>
        <w:t>① 工程占地造成区域土地利用格局变化</w:t>
      </w:r>
    </w:p>
    <w:p w14:paraId="55475E84">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color w:val="auto"/>
          <w:sz w:val="26"/>
          <w:szCs w:val="26"/>
          <w:lang w:val="en-US" w:eastAsia="zh-CN"/>
        </w:rPr>
      </w:pPr>
      <w:r>
        <w:rPr>
          <w:rFonts w:hint="eastAsia" w:ascii="Arial" w:hAnsi="Arial" w:cs="Arial"/>
          <w:color w:val="auto"/>
          <w:sz w:val="26"/>
          <w:szCs w:val="26"/>
          <w:lang w:eastAsia="zh-CN"/>
        </w:rPr>
        <w:t>本项目总占地面积为</w:t>
      </w:r>
      <w:r>
        <w:rPr>
          <w:rFonts w:hint="eastAsia" w:ascii="Arial" w:hAnsi="Arial" w:cs="Arial"/>
          <w:color w:val="auto"/>
          <w:sz w:val="26"/>
          <w:szCs w:val="26"/>
          <w:lang w:val="en-US" w:eastAsia="zh-CN"/>
        </w:rPr>
        <w:t>24.1126</w:t>
      </w:r>
      <w:r>
        <w:rPr>
          <w:rFonts w:ascii="Arial" w:hAnsi="Arial" w:cs="Arial"/>
          <w:color w:val="auto"/>
          <w:sz w:val="26"/>
          <w:szCs w:val="26"/>
        </w:rPr>
        <w:t>hm</w:t>
      </w:r>
      <w:r>
        <w:rPr>
          <w:rFonts w:ascii="Arial" w:hAnsi="Arial" w:cs="Arial"/>
          <w:color w:val="auto"/>
          <w:sz w:val="26"/>
          <w:szCs w:val="26"/>
          <w:vertAlign w:val="superscript"/>
        </w:rPr>
        <w:t>2</w:t>
      </w:r>
      <w:r>
        <w:rPr>
          <w:rFonts w:ascii="Arial" w:cs="Arial"/>
          <w:color w:val="auto"/>
          <w:sz w:val="26"/>
          <w:szCs w:val="26"/>
        </w:rPr>
        <w:t>，</w:t>
      </w:r>
      <w:r>
        <w:rPr>
          <w:rFonts w:hint="eastAsia" w:ascii="Arial" w:cs="Arial"/>
          <w:color w:val="auto"/>
          <w:sz w:val="26"/>
          <w:szCs w:val="26"/>
          <w:lang w:eastAsia="zh-CN"/>
        </w:rPr>
        <w:t>其中</w:t>
      </w:r>
      <w:r>
        <w:rPr>
          <w:rFonts w:hint="eastAsia" w:ascii="Arial" w:cs="Arial"/>
          <w:color w:val="auto"/>
          <w:sz w:val="26"/>
          <w:szCs w:val="26"/>
          <w:lang w:val="en-US" w:eastAsia="zh-CN"/>
        </w:rPr>
        <w:t>11.3182hm</w:t>
      </w:r>
      <w:r>
        <w:rPr>
          <w:rFonts w:hint="eastAsia" w:ascii="Arial" w:cs="Arial"/>
          <w:color w:val="auto"/>
          <w:sz w:val="26"/>
          <w:szCs w:val="26"/>
          <w:vertAlign w:val="superscript"/>
          <w:lang w:val="en-US" w:eastAsia="zh-CN"/>
        </w:rPr>
        <w:t>2</w:t>
      </w:r>
      <w:r>
        <w:rPr>
          <w:rFonts w:hint="eastAsia" w:ascii="Arial" w:cs="Arial"/>
          <w:color w:val="auto"/>
          <w:sz w:val="26"/>
          <w:szCs w:val="26"/>
          <w:lang w:val="en-US" w:eastAsia="zh-CN"/>
        </w:rPr>
        <w:t>为永久占地、12.7944</w:t>
      </w:r>
      <w:r>
        <w:rPr>
          <w:rFonts w:ascii="Arial" w:hAnsi="Arial" w:cs="Arial"/>
          <w:color w:val="auto"/>
          <w:sz w:val="26"/>
          <w:szCs w:val="26"/>
        </w:rPr>
        <w:t>hm</w:t>
      </w:r>
      <w:r>
        <w:rPr>
          <w:rFonts w:ascii="Arial" w:hAnsi="Arial" w:cs="Arial"/>
          <w:color w:val="auto"/>
          <w:sz w:val="26"/>
          <w:szCs w:val="26"/>
          <w:vertAlign w:val="superscript"/>
        </w:rPr>
        <w:t>2</w:t>
      </w:r>
      <w:r>
        <w:rPr>
          <w:rFonts w:hint="eastAsia" w:ascii="Arial" w:cs="Arial"/>
          <w:color w:val="auto"/>
          <w:sz w:val="26"/>
          <w:szCs w:val="26"/>
          <w:lang w:eastAsia="zh-CN"/>
        </w:rPr>
        <w:t>为临时占地；占地类型主要为耕地、林地。</w:t>
      </w:r>
    </w:p>
    <w:p w14:paraId="55375F6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cs="Arial"/>
          <w:color w:val="auto"/>
          <w:sz w:val="26"/>
          <w:szCs w:val="26"/>
        </w:rPr>
      </w:pPr>
      <w:r>
        <w:rPr>
          <w:rFonts w:hint="eastAsia" w:ascii="Arial" w:cs="Arial"/>
          <w:color w:val="auto"/>
          <w:sz w:val="26"/>
          <w:szCs w:val="26"/>
          <w:lang w:eastAsia="zh-CN"/>
        </w:rPr>
        <w:t>工程永久占用的土地均将转变为水利设施用地，</w:t>
      </w:r>
      <w:r>
        <w:rPr>
          <w:rFonts w:ascii="Arial" w:cs="Arial"/>
          <w:color w:val="auto"/>
          <w:sz w:val="26"/>
          <w:szCs w:val="26"/>
        </w:rPr>
        <w:t>将使占地范围内的土地利用的结构和类型发生改变，工程建设</w:t>
      </w:r>
      <w:r>
        <w:rPr>
          <w:rFonts w:hint="eastAsia" w:ascii="Arial" w:cs="Arial"/>
          <w:color w:val="auto"/>
          <w:sz w:val="26"/>
          <w:szCs w:val="26"/>
        </w:rPr>
        <w:t>使区域自然体系的生产能力受到一定程度影响，也使生物组分自身的异质性构成发生改变。</w:t>
      </w:r>
    </w:p>
    <w:p w14:paraId="5A1F929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工程临时占地仅在施工期间临时改变原土地类型，施工结束后通过迹地恢复、复垦等措施消除不利影响，对当地土地利用格局影响轻微。</w:t>
      </w:r>
    </w:p>
    <w:p w14:paraId="0AB42A19">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cs="Arial"/>
          <w:b/>
          <w:bCs/>
          <w:color w:val="auto"/>
          <w:sz w:val="26"/>
          <w:szCs w:val="26"/>
          <w:lang w:val="en-US" w:eastAsia="zh-CN"/>
        </w:rPr>
      </w:pPr>
      <w:r>
        <w:rPr>
          <w:rFonts w:hint="default" w:ascii="Arial" w:hAnsi="Arial" w:cs="Arial"/>
          <w:b/>
          <w:bCs/>
          <w:color w:val="auto"/>
          <w:sz w:val="26"/>
          <w:szCs w:val="26"/>
          <w:lang w:val="en-US" w:eastAsia="zh-CN"/>
        </w:rPr>
        <w:t>②</w:t>
      </w:r>
      <w:r>
        <w:rPr>
          <w:rFonts w:hint="eastAsia" w:ascii="Arial" w:hAnsi="Arial" w:cs="Arial"/>
          <w:b/>
          <w:bCs/>
          <w:color w:val="auto"/>
          <w:sz w:val="26"/>
          <w:szCs w:val="26"/>
          <w:lang w:val="en-US" w:eastAsia="zh-CN"/>
        </w:rPr>
        <w:t xml:space="preserve"> 工程扰动对动植物的影响</w:t>
      </w:r>
    </w:p>
    <w:p w14:paraId="69F5A08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本项目施工将破坏占地范围内的植被，造成一定生物量的损失，对植被造成直接破坏；同时将对占地及周边评价范围野生动物的生境造成间接破坏，动物将迁移远离施工区，造成动物资源减少。</w:t>
      </w:r>
    </w:p>
    <w:p w14:paraId="44C66804">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待施工结束后，随若永久占地绿化和临时占地迹地恢复，整体植被覆盖度有所恢复，部分动物也将回迁，但整体上工程区范围的动植物资源数量和分布较施工前均有所变化。</w:t>
      </w:r>
    </w:p>
    <w:p w14:paraId="04B60669">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③ 工程扰动造成水土流失</w:t>
      </w:r>
    </w:p>
    <w:p w14:paraId="63D28A7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项目施工期场地开挖平整、物料堆放等均将造成地表扰动，破坏了地表稳定的覆盖层，造成土壤裸露，在降雨冲刷、地势自然坡度等作用下，极易造成施工区的水土流失。开挖产生的土石方比较松散，在临时堆存、运输和填埋处置过程中，如不加以防护，将产生明显的水土流失；且弃渣量较大，如控制不当，弃渣场的水土流失将对场地下游的生态环境造成极大破坏。</w:t>
      </w:r>
    </w:p>
    <w:p w14:paraId="61079FB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工程建设中采用拦挡、遮盖、及时硬化等措施治理后，可有效减少开挖扰动造成的水土流失。弃渣及时全部清运至弃渣场内夯实、分台阶堆场，并在弃渣前做好拦挡、截排水沟、沉砂池等设施的建设，可有效减少弃渣造成的水土流失。</w:t>
      </w:r>
    </w:p>
    <w:p w14:paraId="14DC8F09">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④ 涉水施工对水生生态的影响</w:t>
      </w:r>
    </w:p>
    <w:p w14:paraId="16D9B2B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本项目枢纽工程设计采用围堰导流的方式施工，导流涵管的宽度要小于原始河面宽度，将造成流速等水文参数变化，同时施工开挖等作业也将造成水体悬浮物增加，水生动物的生存空间受到一-定影响。受影响的水生生物将向下游水量充足区域迁移，总体上枢纽工程施工对水生生态不利影响不大。</w:t>
      </w:r>
    </w:p>
    <w:p w14:paraId="6A74B30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eastAsia" w:ascii="Arial" w:hAnsi="Arial" w:cs="Arial"/>
          <w:sz w:val="26"/>
          <w:szCs w:val="26"/>
          <w:lang w:eastAsia="zh-CN"/>
        </w:rPr>
        <w:t>输水管线跨河段设计采用定向钻、顶管等不涉水施工工艺，同时做好废弃土石方的收集处理工作，严格控制施工活动，严禁向河道内倾倒废渣、废渣，避免对河道水生生态产生直接影响。</w:t>
      </w:r>
    </w:p>
    <w:p w14:paraId="08242153">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Arial" w:cs="Arial"/>
          <w:b/>
          <w:bCs/>
          <w:color w:val="auto"/>
          <w:sz w:val="26"/>
          <w:szCs w:val="26"/>
          <w:lang w:val="en-US" w:eastAsia="zh-CN"/>
        </w:rPr>
      </w:pPr>
      <w:r>
        <w:rPr>
          <w:rFonts w:hint="eastAsia" w:ascii="Arial" w:hAnsi="Arial" w:cs="Arial"/>
          <w:b/>
          <w:bCs/>
          <w:color w:val="auto"/>
          <w:sz w:val="26"/>
          <w:szCs w:val="26"/>
          <w:lang w:val="en-US" w:eastAsia="zh-CN"/>
        </w:rPr>
        <w:t>⑤ 施工活动对生态环境的影响</w:t>
      </w:r>
    </w:p>
    <w:p w14:paraId="759893F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rPr>
      </w:pPr>
      <w:r>
        <w:rPr>
          <w:rFonts w:hint="eastAsia" w:ascii="Arial" w:hAnsi="Arial" w:cs="Arial"/>
          <w:sz w:val="26"/>
          <w:szCs w:val="26"/>
        </w:rPr>
        <w:t>施工队伍进驻带来的人类活动频繁，以及各类施工活动产生的噪声、扬尘、废气等，都将对施工区及其附近的野生动物产生惊吓和干扰，使该区域动物的栖息适宜度降低。工程建设区域占地以林草地为主，施工场地等临建设施的建设，以及施工活动的进行，将破坏林草地景观的整体协调性。</w:t>
      </w:r>
    </w:p>
    <w:p w14:paraId="18BA6BA8">
      <w:pPr>
        <w:keepNext w:val="0"/>
        <w:keepLines w:val="0"/>
        <w:pageBreakBefore w:val="0"/>
        <w:widowControl w:val="0"/>
        <w:kinsoku/>
        <w:wordWrap/>
        <w:overflowPunct/>
        <w:topLinePunct w:val="0"/>
        <w:autoSpaceDE/>
        <w:autoSpaceDN/>
        <w:bidi w:val="0"/>
        <w:adjustRightInd/>
        <w:snapToGrid/>
        <w:spacing w:line="460" w:lineRule="exact"/>
        <w:ind w:left="0" w:right="0" w:firstLine="392" w:firstLineChars="150"/>
        <w:jc w:val="both"/>
        <w:textAlignment w:val="auto"/>
        <w:outlineLvl w:val="3"/>
        <w:rPr>
          <w:rFonts w:hint="eastAsia" w:ascii="Arial" w:hAnsi="宋体" w:cs="Arial"/>
          <w:b/>
          <w:sz w:val="26"/>
          <w:szCs w:val="26"/>
        </w:rPr>
      </w:pPr>
      <w:r>
        <w:rPr>
          <w:rFonts w:hint="eastAsia" w:ascii="Arial" w:hAnsi="宋体" w:cs="Arial"/>
          <w:b/>
          <w:sz w:val="26"/>
          <w:szCs w:val="26"/>
          <w:lang w:eastAsia="zh-CN"/>
        </w:rPr>
        <w:t>（</w:t>
      </w:r>
      <w:r>
        <w:rPr>
          <w:rFonts w:hint="eastAsia" w:ascii="Arial" w:hAnsi="宋体" w:cs="Arial"/>
          <w:b/>
          <w:sz w:val="26"/>
          <w:szCs w:val="26"/>
          <w:lang w:val="en-US" w:eastAsia="zh-CN"/>
        </w:rPr>
        <w:t>6）</w:t>
      </w:r>
      <w:r>
        <w:rPr>
          <w:rFonts w:hint="eastAsia" w:ascii="Arial" w:hAnsi="宋体" w:cs="Arial"/>
          <w:b/>
          <w:sz w:val="26"/>
          <w:szCs w:val="26"/>
        </w:rPr>
        <w:t>人群健康</w:t>
      </w:r>
    </w:p>
    <w:p w14:paraId="5F95694D">
      <w:pPr>
        <w:spacing w:line="440" w:lineRule="exact"/>
        <w:ind w:firstLine="520" w:firstLineChars="200"/>
        <w:rPr>
          <w:rFonts w:hint="eastAsia" w:ascii="Arial" w:hAnsi="宋体" w:cs="Arial"/>
          <w:bCs/>
          <w:sz w:val="26"/>
          <w:szCs w:val="26"/>
        </w:rPr>
      </w:pPr>
      <w:r>
        <w:rPr>
          <w:rFonts w:hint="eastAsia" w:ascii="Arial" w:hAnsi="宋体" w:cs="Arial"/>
          <w:bCs/>
          <w:sz w:val="26"/>
          <w:szCs w:val="26"/>
        </w:rPr>
        <w:t>本工程施工期长达2</w:t>
      </w:r>
      <w:r>
        <w:rPr>
          <w:rFonts w:hint="eastAsia" w:ascii="Arial" w:hAnsi="宋体" w:cs="Arial"/>
          <w:bCs/>
          <w:sz w:val="26"/>
          <w:szCs w:val="26"/>
          <w:lang w:val="en-US" w:eastAsia="zh-CN"/>
        </w:rPr>
        <w:t>4</w:t>
      </w:r>
      <w:r>
        <w:rPr>
          <w:rFonts w:hint="eastAsia" w:ascii="Arial" w:hAnsi="宋体" w:cs="Arial"/>
          <w:bCs/>
          <w:sz w:val="26"/>
          <w:szCs w:val="26"/>
        </w:rPr>
        <w:t>个月，高峰期施工人数达到</w:t>
      </w:r>
      <w:r>
        <w:rPr>
          <w:rFonts w:hint="eastAsia" w:ascii="Arial" w:hAnsi="宋体" w:cs="Arial"/>
          <w:bCs/>
          <w:sz w:val="26"/>
          <w:szCs w:val="26"/>
          <w:lang w:val="en-US" w:eastAsia="zh-CN"/>
        </w:rPr>
        <w:t>13</w:t>
      </w:r>
      <w:r>
        <w:rPr>
          <w:rFonts w:ascii="Arial" w:hAnsi="宋体" w:cs="Arial"/>
          <w:bCs/>
          <w:sz w:val="26"/>
          <w:szCs w:val="26"/>
        </w:rPr>
        <w:t>0</w:t>
      </w:r>
      <w:r>
        <w:rPr>
          <w:rFonts w:hint="eastAsia" w:ascii="Arial" w:hAnsi="宋体" w:cs="Arial"/>
          <w:bCs/>
          <w:sz w:val="26"/>
          <w:szCs w:val="26"/>
        </w:rPr>
        <w:t>人。由于施工人员</w:t>
      </w:r>
      <w:r>
        <w:rPr>
          <w:rFonts w:hint="eastAsia" w:ascii="Arial" w:hAnsi="宋体" w:cs="Arial"/>
          <w:bCs/>
          <w:sz w:val="26"/>
          <w:szCs w:val="26"/>
          <w:lang w:eastAsia="zh-CN"/>
        </w:rPr>
        <w:t>可能</w:t>
      </w:r>
      <w:r>
        <w:rPr>
          <w:rFonts w:hint="eastAsia" w:ascii="Arial" w:hAnsi="宋体" w:cs="Arial"/>
          <w:bCs/>
          <w:sz w:val="26"/>
          <w:szCs w:val="26"/>
        </w:rPr>
        <w:t>来自不同地区，大批施工人员集中生活在施工区，使区域人口密度升高，增大了施工人员之间，施工人员与本地人员之间的传染病相互传染的可能性，对地区人群健康带来影响。</w:t>
      </w:r>
    </w:p>
    <w:p w14:paraId="28B60B87">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Arial" w:eastAsia="宋体" w:cs="Arial"/>
          <w:b/>
          <w:bCs w:val="0"/>
          <w:sz w:val="26"/>
          <w:szCs w:val="26"/>
          <w:lang w:val="en-US" w:eastAsia="zh-CN"/>
        </w:rPr>
      </w:pPr>
      <w:r>
        <w:rPr>
          <w:rFonts w:hint="eastAsia" w:ascii="Arial" w:hAnsi="Arial" w:cs="Arial"/>
          <w:b/>
          <w:bCs w:val="0"/>
          <w:sz w:val="26"/>
          <w:szCs w:val="26"/>
          <w:lang w:val="en-US" w:eastAsia="zh-CN"/>
        </w:rPr>
        <w:t>3.1.3施工期主要污染物产生排放汇总表</w:t>
      </w:r>
    </w:p>
    <w:p w14:paraId="77F583AD">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bCs/>
          <w:color w:val="auto"/>
          <w:sz w:val="26"/>
          <w:szCs w:val="26"/>
          <w:lang w:eastAsia="zh-CN"/>
        </w:rPr>
      </w:pPr>
      <w:r>
        <w:rPr>
          <w:rFonts w:hint="eastAsia" w:ascii="Arial" w:hAnsi="宋体" w:cs="Arial"/>
          <w:bCs/>
          <w:sz w:val="26"/>
          <w:szCs w:val="26"/>
        </w:rPr>
        <w:t>本工程施工期的污染源及污染物产生和排放情况见表</w:t>
      </w:r>
      <w:r>
        <w:rPr>
          <w:rFonts w:ascii="Arial" w:hAnsi="宋体" w:cs="Arial"/>
          <w:bCs/>
          <w:sz w:val="26"/>
          <w:szCs w:val="26"/>
        </w:rPr>
        <w:t>3.</w:t>
      </w:r>
      <w:r>
        <w:rPr>
          <w:rFonts w:hint="eastAsia" w:ascii="Arial" w:hAnsi="宋体" w:cs="Arial"/>
          <w:bCs/>
          <w:sz w:val="26"/>
          <w:szCs w:val="26"/>
          <w:lang w:val="en-US" w:eastAsia="zh-CN"/>
        </w:rPr>
        <w:t>1</w:t>
      </w:r>
      <w:r>
        <w:rPr>
          <w:rFonts w:ascii="Arial" w:hAnsi="宋体" w:cs="Arial"/>
          <w:bCs/>
          <w:sz w:val="26"/>
          <w:szCs w:val="26"/>
        </w:rPr>
        <w:t>-</w:t>
      </w:r>
      <w:r>
        <w:rPr>
          <w:rFonts w:hint="eastAsia" w:ascii="Arial" w:hAnsi="宋体" w:cs="Arial"/>
          <w:bCs/>
          <w:sz w:val="26"/>
          <w:szCs w:val="26"/>
          <w:lang w:val="en-US" w:eastAsia="zh-CN"/>
        </w:rPr>
        <w:t>5所示，生态环境影响因素详见表3.1-6所设。</w:t>
      </w:r>
    </w:p>
    <w:p w14:paraId="6B72C6B0">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bCs/>
          <w:color w:val="auto"/>
          <w:sz w:val="26"/>
          <w:szCs w:val="26"/>
          <w:lang w:eastAsia="zh-CN"/>
        </w:rPr>
      </w:pPr>
    </w:p>
    <w:p w14:paraId="2F962FC2">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bCs/>
          <w:color w:val="auto"/>
          <w:sz w:val="26"/>
          <w:szCs w:val="26"/>
          <w:lang w:eastAsia="zh-CN"/>
        </w:rPr>
        <w:sectPr>
          <w:pgSz w:w="12240" w:h="15840"/>
          <w:pgMar w:top="1440" w:right="1701" w:bottom="1440" w:left="1701" w:header="794" w:footer="794" w:gutter="0"/>
          <w:pgBorders>
            <w:top w:val="none" w:sz="0" w:space="0"/>
            <w:left w:val="none" w:sz="0" w:space="0"/>
            <w:bottom w:val="none" w:sz="0" w:space="0"/>
            <w:right w:val="none" w:sz="0" w:space="0"/>
          </w:pgBorders>
          <w:pgNumType w:fmt="decimal"/>
          <w:cols w:space="0" w:num="1"/>
          <w:rtlGutter w:val="0"/>
          <w:docGrid w:linePitch="0" w:charSpace="0"/>
        </w:sectPr>
      </w:pPr>
    </w:p>
    <w:p w14:paraId="0FFBA50F">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cs="Arial"/>
          <w:b/>
          <w:kern w:val="28"/>
          <w:sz w:val="26"/>
          <w:szCs w:val="26"/>
          <w:lang w:eastAsia="zh-CN"/>
        </w:rPr>
      </w:pPr>
      <w:r>
        <w:rPr>
          <w:rFonts w:hint="eastAsia" w:ascii="Arial" w:cs="Arial"/>
          <w:b/>
          <w:kern w:val="28"/>
          <w:sz w:val="26"/>
          <w:szCs w:val="26"/>
        </w:rPr>
        <w:t>表3.</w:t>
      </w:r>
      <w:r>
        <w:rPr>
          <w:rFonts w:hint="eastAsia" w:ascii="Arial" w:cs="Arial"/>
          <w:b/>
          <w:kern w:val="28"/>
          <w:sz w:val="26"/>
          <w:szCs w:val="26"/>
          <w:lang w:val="en-US" w:eastAsia="zh-CN"/>
        </w:rPr>
        <w:t>1</w:t>
      </w:r>
      <w:r>
        <w:rPr>
          <w:rFonts w:hint="eastAsia" w:ascii="Arial" w:cs="Arial"/>
          <w:b/>
          <w:kern w:val="28"/>
          <w:sz w:val="26"/>
          <w:szCs w:val="26"/>
        </w:rPr>
        <w:t>-</w:t>
      </w:r>
      <w:r>
        <w:rPr>
          <w:rFonts w:hint="eastAsia" w:ascii="Arial" w:cs="Arial"/>
          <w:b/>
          <w:kern w:val="28"/>
          <w:sz w:val="26"/>
          <w:szCs w:val="26"/>
          <w:lang w:val="en-US" w:eastAsia="zh-CN"/>
        </w:rPr>
        <w:t>5</w:t>
      </w:r>
      <w:r>
        <w:rPr>
          <w:rFonts w:hint="eastAsia" w:ascii="Arial" w:cs="Arial"/>
          <w:b/>
          <w:kern w:val="28"/>
          <w:sz w:val="26"/>
          <w:szCs w:val="26"/>
        </w:rPr>
        <w:t xml:space="preserve"> </w:t>
      </w:r>
      <w:r>
        <w:rPr>
          <w:rFonts w:hint="eastAsia" w:ascii="Arial" w:cs="Arial"/>
          <w:b/>
          <w:kern w:val="28"/>
          <w:sz w:val="26"/>
          <w:szCs w:val="26"/>
          <w:lang w:val="en-US" w:eastAsia="zh-CN"/>
        </w:rPr>
        <w:t xml:space="preserve"> </w:t>
      </w:r>
      <w:r>
        <w:rPr>
          <w:rFonts w:hint="eastAsia" w:ascii="Arial" w:cs="Arial"/>
          <w:b/>
          <w:kern w:val="28"/>
          <w:sz w:val="26"/>
          <w:szCs w:val="26"/>
        </w:rPr>
        <w:t>施工期</w:t>
      </w:r>
      <w:r>
        <w:rPr>
          <w:rFonts w:hint="eastAsia" w:ascii="Arial" w:cs="Arial"/>
          <w:b/>
          <w:kern w:val="28"/>
          <w:sz w:val="26"/>
          <w:szCs w:val="26"/>
          <w:lang w:eastAsia="zh-CN"/>
        </w:rPr>
        <w:t>污染源及污染物产排情况汇总表</w:t>
      </w:r>
    </w:p>
    <w:tbl>
      <w:tblPr>
        <w:tblStyle w:val="77"/>
        <w:tblW w:w="132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9"/>
        <w:gridCol w:w="592"/>
        <w:gridCol w:w="617"/>
        <w:gridCol w:w="730"/>
        <w:gridCol w:w="1213"/>
        <w:gridCol w:w="1035"/>
        <w:gridCol w:w="1276"/>
        <w:gridCol w:w="1275"/>
        <w:gridCol w:w="2734"/>
        <w:gridCol w:w="1247"/>
        <w:gridCol w:w="915"/>
        <w:gridCol w:w="1019"/>
      </w:tblGrid>
      <w:tr w14:paraId="17A9A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201" w:type="dxa"/>
            <w:gridSpan w:val="2"/>
            <w:tcBorders>
              <w:tl2br w:val="nil"/>
              <w:tr2bl w:val="nil"/>
            </w:tcBorders>
            <w:noWrap w:val="0"/>
            <w:vAlign w:val="center"/>
          </w:tcPr>
          <w:p w14:paraId="789E725C">
            <w:pPr>
              <w:pStyle w:val="946"/>
              <w:spacing w:line="300" w:lineRule="exact"/>
              <w:rPr>
                <w:rFonts w:ascii="Arial" w:hAnsi="Arial" w:cs="Arial"/>
                <w:sz w:val="22"/>
                <w:szCs w:val="22"/>
              </w:rPr>
            </w:pPr>
            <w:r>
              <w:rPr>
                <w:rFonts w:ascii="Arial" w:hAnsi="Arial" w:cs="Arial"/>
                <w:sz w:val="22"/>
                <w:szCs w:val="22"/>
              </w:rPr>
              <w:t>工程阶段</w:t>
            </w:r>
          </w:p>
        </w:tc>
        <w:tc>
          <w:tcPr>
            <w:tcW w:w="1347" w:type="dxa"/>
            <w:gridSpan w:val="2"/>
            <w:tcBorders>
              <w:tl2br w:val="nil"/>
              <w:tr2bl w:val="nil"/>
            </w:tcBorders>
            <w:noWrap w:val="0"/>
            <w:vAlign w:val="center"/>
          </w:tcPr>
          <w:p w14:paraId="6938413E">
            <w:pPr>
              <w:pStyle w:val="946"/>
              <w:spacing w:line="300" w:lineRule="exact"/>
              <w:rPr>
                <w:rFonts w:ascii="Arial" w:hAnsi="Arial" w:cs="Arial"/>
                <w:sz w:val="22"/>
                <w:szCs w:val="22"/>
              </w:rPr>
            </w:pPr>
            <w:r>
              <w:rPr>
                <w:rFonts w:ascii="Arial" w:hAnsi="Arial" w:cs="Arial"/>
                <w:sz w:val="22"/>
                <w:szCs w:val="22"/>
              </w:rPr>
              <w:t>污染源</w:t>
            </w:r>
          </w:p>
        </w:tc>
        <w:tc>
          <w:tcPr>
            <w:tcW w:w="1213" w:type="dxa"/>
            <w:tcBorders>
              <w:tl2br w:val="nil"/>
              <w:tr2bl w:val="nil"/>
            </w:tcBorders>
            <w:noWrap w:val="0"/>
            <w:vAlign w:val="center"/>
          </w:tcPr>
          <w:p w14:paraId="332655CE">
            <w:pPr>
              <w:pStyle w:val="946"/>
              <w:spacing w:line="300" w:lineRule="exact"/>
              <w:rPr>
                <w:rFonts w:ascii="Arial" w:hAnsi="Arial" w:cs="Arial"/>
                <w:sz w:val="22"/>
                <w:szCs w:val="22"/>
              </w:rPr>
            </w:pPr>
            <w:r>
              <w:rPr>
                <w:rFonts w:ascii="Arial" w:hAnsi="Arial" w:cs="Arial"/>
                <w:sz w:val="22"/>
                <w:szCs w:val="22"/>
              </w:rPr>
              <w:t>产生量</w:t>
            </w:r>
          </w:p>
        </w:tc>
        <w:tc>
          <w:tcPr>
            <w:tcW w:w="1035" w:type="dxa"/>
            <w:tcBorders>
              <w:tl2br w:val="nil"/>
              <w:tr2bl w:val="nil"/>
            </w:tcBorders>
            <w:noWrap w:val="0"/>
            <w:vAlign w:val="center"/>
          </w:tcPr>
          <w:p w14:paraId="5E315BF9">
            <w:pPr>
              <w:pStyle w:val="946"/>
              <w:spacing w:line="300" w:lineRule="exact"/>
              <w:rPr>
                <w:rFonts w:ascii="Arial" w:hAnsi="Arial" w:cs="Arial"/>
                <w:sz w:val="22"/>
                <w:szCs w:val="22"/>
              </w:rPr>
            </w:pPr>
            <w:r>
              <w:rPr>
                <w:rFonts w:ascii="Arial" w:hAnsi="Arial" w:cs="Arial"/>
                <w:sz w:val="22"/>
                <w:szCs w:val="22"/>
              </w:rPr>
              <w:t>污染物</w:t>
            </w:r>
          </w:p>
        </w:tc>
        <w:tc>
          <w:tcPr>
            <w:tcW w:w="1276" w:type="dxa"/>
            <w:tcBorders>
              <w:tl2br w:val="nil"/>
              <w:tr2bl w:val="nil"/>
            </w:tcBorders>
            <w:noWrap w:val="0"/>
            <w:vAlign w:val="center"/>
          </w:tcPr>
          <w:p w14:paraId="086D5083">
            <w:pPr>
              <w:pStyle w:val="946"/>
              <w:spacing w:line="300" w:lineRule="exact"/>
              <w:rPr>
                <w:rFonts w:ascii="Arial" w:hAnsi="Arial" w:cs="Arial"/>
                <w:sz w:val="22"/>
                <w:szCs w:val="22"/>
              </w:rPr>
            </w:pPr>
            <w:r>
              <w:rPr>
                <w:rFonts w:ascii="Arial" w:hAnsi="Arial" w:cs="Arial"/>
                <w:sz w:val="22"/>
                <w:szCs w:val="22"/>
              </w:rPr>
              <w:t>产生浓度</w:t>
            </w:r>
          </w:p>
        </w:tc>
        <w:tc>
          <w:tcPr>
            <w:tcW w:w="1275" w:type="dxa"/>
            <w:tcBorders>
              <w:tl2br w:val="nil"/>
              <w:tr2bl w:val="nil"/>
            </w:tcBorders>
            <w:noWrap w:val="0"/>
            <w:vAlign w:val="center"/>
          </w:tcPr>
          <w:p w14:paraId="743FE420">
            <w:pPr>
              <w:pStyle w:val="946"/>
              <w:spacing w:line="300" w:lineRule="exact"/>
              <w:rPr>
                <w:rFonts w:ascii="Arial" w:hAnsi="Arial" w:cs="Arial"/>
                <w:sz w:val="22"/>
                <w:szCs w:val="22"/>
              </w:rPr>
            </w:pPr>
            <w:r>
              <w:rPr>
                <w:rFonts w:ascii="Arial" w:hAnsi="Arial" w:cs="Arial"/>
                <w:sz w:val="22"/>
                <w:szCs w:val="22"/>
              </w:rPr>
              <w:t>污染物</w:t>
            </w:r>
          </w:p>
          <w:p w14:paraId="3C720E52">
            <w:pPr>
              <w:pStyle w:val="946"/>
              <w:spacing w:line="300" w:lineRule="exact"/>
              <w:rPr>
                <w:rFonts w:ascii="Arial" w:hAnsi="Arial" w:cs="Arial"/>
                <w:sz w:val="22"/>
                <w:szCs w:val="22"/>
              </w:rPr>
            </w:pPr>
            <w:r>
              <w:rPr>
                <w:rFonts w:ascii="Arial" w:hAnsi="Arial" w:cs="Arial"/>
                <w:sz w:val="22"/>
                <w:szCs w:val="22"/>
              </w:rPr>
              <w:t>产生量</w:t>
            </w:r>
          </w:p>
        </w:tc>
        <w:tc>
          <w:tcPr>
            <w:tcW w:w="2734" w:type="dxa"/>
            <w:tcBorders>
              <w:tl2br w:val="nil"/>
              <w:tr2bl w:val="nil"/>
            </w:tcBorders>
            <w:noWrap w:val="0"/>
            <w:vAlign w:val="center"/>
          </w:tcPr>
          <w:p w14:paraId="2BA5FCE0">
            <w:pPr>
              <w:pStyle w:val="946"/>
              <w:spacing w:line="300" w:lineRule="exact"/>
              <w:rPr>
                <w:rFonts w:ascii="Arial" w:hAnsi="Arial" w:cs="Arial"/>
                <w:sz w:val="22"/>
                <w:szCs w:val="22"/>
              </w:rPr>
            </w:pPr>
            <w:r>
              <w:rPr>
                <w:rFonts w:ascii="Arial" w:hAnsi="Arial" w:cs="Arial"/>
                <w:sz w:val="22"/>
                <w:szCs w:val="22"/>
              </w:rPr>
              <w:t>环保措施</w:t>
            </w:r>
          </w:p>
        </w:tc>
        <w:tc>
          <w:tcPr>
            <w:tcW w:w="1247" w:type="dxa"/>
            <w:tcBorders>
              <w:tl2br w:val="nil"/>
              <w:tr2bl w:val="nil"/>
            </w:tcBorders>
            <w:noWrap w:val="0"/>
            <w:vAlign w:val="center"/>
          </w:tcPr>
          <w:p w14:paraId="11545476">
            <w:pPr>
              <w:pStyle w:val="946"/>
              <w:spacing w:line="300" w:lineRule="exact"/>
              <w:rPr>
                <w:rFonts w:ascii="Arial" w:hAnsi="Arial" w:cs="Arial"/>
                <w:sz w:val="22"/>
                <w:szCs w:val="22"/>
              </w:rPr>
            </w:pPr>
            <w:r>
              <w:rPr>
                <w:rFonts w:ascii="Arial" w:hAnsi="Arial" w:cs="Arial"/>
                <w:sz w:val="22"/>
                <w:szCs w:val="22"/>
              </w:rPr>
              <w:t>排放量</w:t>
            </w:r>
          </w:p>
        </w:tc>
        <w:tc>
          <w:tcPr>
            <w:tcW w:w="915" w:type="dxa"/>
            <w:tcBorders>
              <w:tl2br w:val="nil"/>
              <w:tr2bl w:val="nil"/>
            </w:tcBorders>
            <w:noWrap w:val="0"/>
            <w:vAlign w:val="center"/>
          </w:tcPr>
          <w:p w14:paraId="0DCAC802">
            <w:pPr>
              <w:pStyle w:val="946"/>
              <w:spacing w:line="300" w:lineRule="exact"/>
              <w:rPr>
                <w:rFonts w:ascii="Arial" w:hAnsi="Arial" w:cs="Arial"/>
                <w:sz w:val="22"/>
                <w:szCs w:val="22"/>
              </w:rPr>
            </w:pPr>
            <w:r>
              <w:rPr>
                <w:rFonts w:ascii="Arial" w:hAnsi="Arial" w:cs="Arial"/>
                <w:sz w:val="22"/>
                <w:szCs w:val="22"/>
              </w:rPr>
              <w:t>排放</w:t>
            </w:r>
          </w:p>
          <w:p w14:paraId="3D04E692">
            <w:pPr>
              <w:pStyle w:val="946"/>
              <w:spacing w:line="300" w:lineRule="exact"/>
              <w:rPr>
                <w:rFonts w:ascii="Arial" w:hAnsi="Arial" w:cs="Arial"/>
                <w:sz w:val="22"/>
                <w:szCs w:val="22"/>
              </w:rPr>
            </w:pPr>
            <w:r>
              <w:rPr>
                <w:rFonts w:ascii="Arial" w:hAnsi="Arial" w:cs="Arial"/>
                <w:sz w:val="22"/>
                <w:szCs w:val="22"/>
              </w:rPr>
              <w:t>浓度</w:t>
            </w:r>
          </w:p>
        </w:tc>
        <w:tc>
          <w:tcPr>
            <w:tcW w:w="1019" w:type="dxa"/>
            <w:tcBorders>
              <w:tl2br w:val="nil"/>
              <w:tr2bl w:val="nil"/>
            </w:tcBorders>
            <w:noWrap w:val="0"/>
            <w:vAlign w:val="center"/>
          </w:tcPr>
          <w:p w14:paraId="3D81F74B">
            <w:pPr>
              <w:pStyle w:val="946"/>
              <w:spacing w:line="300" w:lineRule="exact"/>
              <w:rPr>
                <w:rFonts w:ascii="Arial" w:hAnsi="Arial" w:cs="Arial"/>
                <w:sz w:val="22"/>
                <w:szCs w:val="22"/>
              </w:rPr>
            </w:pPr>
            <w:r>
              <w:rPr>
                <w:rFonts w:ascii="Arial" w:hAnsi="Arial" w:cs="Arial"/>
                <w:sz w:val="22"/>
                <w:szCs w:val="22"/>
              </w:rPr>
              <w:t>污染物</w:t>
            </w:r>
          </w:p>
          <w:p w14:paraId="53295F85">
            <w:pPr>
              <w:pStyle w:val="946"/>
              <w:spacing w:line="300" w:lineRule="exact"/>
              <w:rPr>
                <w:rFonts w:ascii="Arial" w:hAnsi="Arial" w:cs="Arial"/>
                <w:sz w:val="22"/>
                <w:szCs w:val="22"/>
              </w:rPr>
            </w:pPr>
            <w:r>
              <w:rPr>
                <w:rFonts w:ascii="Arial" w:hAnsi="Arial" w:cs="Arial"/>
                <w:sz w:val="22"/>
                <w:szCs w:val="22"/>
              </w:rPr>
              <w:t>排放量</w:t>
            </w:r>
          </w:p>
        </w:tc>
      </w:tr>
      <w:tr w14:paraId="007C6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09" w:type="dxa"/>
            <w:vMerge w:val="restart"/>
            <w:tcBorders>
              <w:tl2br w:val="nil"/>
              <w:tr2bl w:val="nil"/>
            </w:tcBorders>
            <w:noWrap w:val="0"/>
            <w:vAlign w:val="center"/>
          </w:tcPr>
          <w:p w14:paraId="6F1F9962">
            <w:pPr>
              <w:pStyle w:val="946"/>
              <w:spacing w:line="300" w:lineRule="exact"/>
              <w:rPr>
                <w:rFonts w:ascii="Arial" w:hAnsi="Arial" w:cs="Arial"/>
                <w:sz w:val="22"/>
                <w:szCs w:val="22"/>
              </w:rPr>
            </w:pPr>
            <w:r>
              <w:rPr>
                <w:rFonts w:ascii="Arial" w:hAnsi="Arial" w:cs="Arial"/>
                <w:sz w:val="22"/>
                <w:szCs w:val="22"/>
              </w:rPr>
              <w:t>施工期</w:t>
            </w:r>
          </w:p>
        </w:tc>
        <w:tc>
          <w:tcPr>
            <w:tcW w:w="592" w:type="dxa"/>
            <w:vMerge w:val="restart"/>
            <w:tcBorders>
              <w:tl2br w:val="nil"/>
              <w:tr2bl w:val="nil"/>
            </w:tcBorders>
            <w:noWrap w:val="0"/>
            <w:vAlign w:val="center"/>
          </w:tcPr>
          <w:p w14:paraId="4A5B551A">
            <w:pPr>
              <w:pStyle w:val="946"/>
              <w:spacing w:line="300" w:lineRule="exact"/>
              <w:rPr>
                <w:rFonts w:ascii="Arial" w:hAnsi="Arial" w:cs="Arial"/>
                <w:sz w:val="22"/>
                <w:szCs w:val="22"/>
              </w:rPr>
            </w:pPr>
            <w:r>
              <w:rPr>
                <w:rFonts w:ascii="Arial" w:hAnsi="Arial" w:cs="Arial"/>
                <w:sz w:val="22"/>
                <w:szCs w:val="22"/>
              </w:rPr>
              <w:t>废水</w:t>
            </w:r>
          </w:p>
        </w:tc>
        <w:tc>
          <w:tcPr>
            <w:tcW w:w="1347" w:type="dxa"/>
            <w:gridSpan w:val="2"/>
            <w:vMerge w:val="restart"/>
            <w:tcBorders>
              <w:tl2br w:val="nil"/>
              <w:tr2bl w:val="nil"/>
            </w:tcBorders>
            <w:noWrap w:val="0"/>
            <w:vAlign w:val="center"/>
          </w:tcPr>
          <w:p w14:paraId="7BFEE04E">
            <w:pPr>
              <w:widowControl/>
              <w:spacing w:line="300" w:lineRule="exact"/>
              <w:jc w:val="center"/>
              <w:rPr>
                <w:rFonts w:hint="eastAsia" w:ascii="Arial" w:hAnsi="Arial" w:eastAsia="宋体" w:cs="Arial"/>
                <w:sz w:val="22"/>
                <w:szCs w:val="22"/>
                <w:lang w:eastAsia="zh-CN"/>
              </w:rPr>
            </w:pPr>
            <w:r>
              <w:rPr>
                <w:rFonts w:hint="eastAsia" w:ascii="Arial" w:hAnsi="Arial" w:cs="Arial"/>
                <w:sz w:val="22"/>
                <w:szCs w:val="22"/>
              </w:rPr>
              <w:t>混凝土</w:t>
            </w:r>
            <w:r>
              <w:rPr>
                <w:rFonts w:hint="eastAsia" w:ascii="Arial" w:hAnsi="Arial" w:cs="Arial"/>
                <w:sz w:val="22"/>
                <w:szCs w:val="22"/>
                <w:lang w:eastAsia="zh-CN"/>
              </w:rPr>
              <w:t>拌合系统废水</w:t>
            </w:r>
          </w:p>
        </w:tc>
        <w:tc>
          <w:tcPr>
            <w:tcW w:w="1213" w:type="dxa"/>
            <w:vMerge w:val="restart"/>
            <w:tcBorders>
              <w:tl2br w:val="nil"/>
              <w:tr2bl w:val="nil"/>
            </w:tcBorders>
            <w:noWrap w:val="0"/>
            <w:vAlign w:val="center"/>
          </w:tcPr>
          <w:p w14:paraId="3E156FA6">
            <w:pPr>
              <w:widowControl/>
              <w:spacing w:line="300" w:lineRule="exact"/>
              <w:jc w:val="center"/>
              <w:rPr>
                <w:rFonts w:ascii="Arial" w:hAnsi="Arial" w:cs="Arial"/>
                <w:sz w:val="22"/>
                <w:szCs w:val="22"/>
              </w:rPr>
            </w:pPr>
            <w:r>
              <w:rPr>
                <w:rFonts w:hint="eastAsia" w:ascii="Arial" w:hAnsi="Arial" w:cs="Arial"/>
                <w:sz w:val="22"/>
                <w:szCs w:val="22"/>
                <w:lang w:val="en-US" w:eastAsia="zh-CN"/>
              </w:rPr>
              <w:t>23.27</w:t>
            </w:r>
            <w:r>
              <w:rPr>
                <w:rFonts w:ascii="Arial" w:hAnsi="Arial" w:cs="Arial"/>
                <w:sz w:val="22"/>
                <w:szCs w:val="22"/>
              </w:rPr>
              <w:t>m</w:t>
            </w:r>
            <w:r>
              <w:rPr>
                <w:rFonts w:ascii="Arial" w:hAnsi="Arial" w:cs="Arial"/>
                <w:sz w:val="22"/>
                <w:szCs w:val="22"/>
                <w:vertAlign w:val="superscript"/>
              </w:rPr>
              <w:t>3</w:t>
            </w:r>
            <w:r>
              <w:rPr>
                <w:rFonts w:ascii="Arial" w:hAnsi="Arial" w:cs="Arial"/>
                <w:sz w:val="22"/>
                <w:szCs w:val="22"/>
              </w:rPr>
              <w:t>/d</w:t>
            </w:r>
          </w:p>
        </w:tc>
        <w:tc>
          <w:tcPr>
            <w:tcW w:w="1035" w:type="dxa"/>
            <w:tcBorders>
              <w:tl2br w:val="nil"/>
              <w:tr2bl w:val="nil"/>
            </w:tcBorders>
            <w:noWrap w:val="0"/>
            <w:vAlign w:val="center"/>
          </w:tcPr>
          <w:p w14:paraId="60A37B0F">
            <w:pPr>
              <w:pStyle w:val="946"/>
              <w:spacing w:line="300" w:lineRule="exact"/>
              <w:rPr>
                <w:rFonts w:hint="default" w:ascii="Arial" w:hAnsi="Arial" w:eastAsia="宋体" w:cs="Arial"/>
                <w:sz w:val="22"/>
                <w:szCs w:val="22"/>
                <w:lang w:val="en-US" w:eastAsia="zh-CN"/>
              </w:rPr>
            </w:pPr>
            <w:r>
              <w:rPr>
                <w:rFonts w:hint="eastAsia" w:ascii="Arial" w:hAnsi="Arial" w:cs="Arial"/>
                <w:sz w:val="22"/>
                <w:szCs w:val="22"/>
                <w:lang w:val="en-US" w:eastAsia="zh-CN"/>
              </w:rPr>
              <w:t>pH</w:t>
            </w:r>
          </w:p>
        </w:tc>
        <w:tc>
          <w:tcPr>
            <w:tcW w:w="1276" w:type="dxa"/>
            <w:tcBorders>
              <w:tl2br w:val="nil"/>
              <w:tr2bl w:val="nil"/>
            </w:tcBorders>
            <w:noWrap w:val="0"/>
            <w:vAlign w:val="center"/>
          </w:tcPr>
          <w:p w14:paraId="03338D01">
            <w:pPr>
              <w:pStyle w:val="946"/>
              <w:spacing w:line="300" w:lineRule="exact"/>
              <w:rPr>
                <w:rFonts w:hint="default" w:ascii="Arial" w:hAnsi="Arial" w:eastAsia="宋体" w:cs="Arial"/>
                <w:sz w:val="22"/>
                <w:szCs w:val="22"/>
                <w:lang w:val="en-US" w:eastAsia="zh-CN"/>
              </w:rPr>
            </w:pPr>
            <w:r>
              <w:rPr>
                <w:rFonts w:hint="eastAsia" w:ascii="Arial" w:hAnsi="Arial" w:cs="Arial"/>
                <w:sz w:val="22"/>
                <w:szCs w:val="22"/>
                <w:lang w:val="en-US" w:eastAsia="zh-CN"/>
              </w:rPr>
              <w:t>12</w:t>
            </w:r>
          </w:p>
        </w:tc>
        <w:tc>
          <w:tcPr>
            <w:tcW w:w="1275" w:type="dxa"/>
            <w:tcBorders>
              <w:tl2br w:val="nil"/>
              <w:tr2bl w:val="nil"/>
            </w:tcBorders>
            <w:noWrap w:val="0"/>
            <w:vAlign w:val="center"/>
          </w:tcPr>
          <w:p w14:paraId="413C7E01">
            <w:pPr>
              <w:pStyle w:val="946"/>
              <w:spacing w:line="300" w:lineRule="exact"/>
              <w:rPr>
                <w:rFonts w:hint="eastAsia" w:ascii="Arial" w:hAnsi="Arial" w:cs="Arial"/>
                <w:sz w:val="22"/>
                <w:szCs w:val="22"/>
                <w:lang w:eastAsia="zh-CN"/>
              </w:rPr>
            </w:pPr>
            <w:r>
              <w:rPr>
                <w:rFonts w:hint="eastAsia" w:ascii="Arial" w:hAnsi="Arial" w:cs="Arial"/>
                <w:sz w:val="22"/>
                <w:szCs w:val="22"/>
                <w:lang w:val="en-US" w:eastAsia="zh-CN"/>
              </w:rPr>
              <w:t>/</w:t>
            </w:r>
          </w:p>
        </w:tc>
        <w:tc>
          <w:tcPr>
            <w:tcW w:w="2734" w:type="dxa"/>
            <w:vMerge w:val="restart"/>
            <w:tcBorders>
              <w:tl2br w:val="nil"/>
              <w:tr2bl w:val="nil"/>
            </w:tcBorders>
            <w:noWrap w:val="0"/>
            <w:vAlign w:val="center"/>
          </w:tcPr>
          <w:p w14:paraId="0452DA60">
            <w:pPr>
              <w:widowControl/>
              <w:spacing w:line="300" w:lineRule="exact"/>
              <w:jc w:val="center"/>
              <w:rPr>
                <w:rFonts w:ascii="Arial" w:hAnsi="Arial" w:cs="Arial"/>
                <w:sz w:val="22"/>
                <w:szCs w:val="22"/>
              </w:rPr>
            </w:pPr>
            <w:r>
              <w:rPr>
                <w:rFonts w:hint="eastAsia" w:ascii="Arial" w:cs="Arial"/>
                <w:color w:val="auto"/>
                <w:sz w:val="22"/>
                <w:szCs w:val="22"/>
                <w:lang w:val="en-US" w:eastAsia="zh-CN"/>
              </w:rPr>
              <w:t>经pH调节+隔油沉淀池处理后，上清液循环使用或回用作抑尘洒水，不外排。</w:t>
            </w:r>
          </w:p>
        </w:tc>
        <w:tc>
          <w:tcPr>
            <w:tcW w:w="1247" w:type="dxa"/>
            <w:tcBorders>
              <w:tl2br w:val="nil"/>
              <w:tr2bl w:val="nil"/>
            </w:tcBorders>
            <w:noWrap w:val="0"/>
            <w:vAlign w:val="center"/>
          </w:tcPr>
          <w:p w14:paraId="3D48957D">
            <w:pPr>
              <w:pStyle w:val="946"/>
              <w:spacing w:line="300" w:lineRule="exact"/>
              <w:rPr>
                <w:rFonts w:ascii="Arial" w:hAnsi="Arial" w:cs="Arial"/>
                <w:sz w:val="22"/>
                <w:szCs w:val="22"/>
              </w:rPr>
            </w:pPr>
            <w:r>
              <w:rPr>
                <w:rFonts w:ascii="Arial" w:hAnsi="Arial" w:cs="Arial"/>
                <w:sz w:val="22"/>
                <w:szCs w:val="22"/>
              </w:rPr>
              <w:t>0</w:t>
            </w:r>
          </w:p>
        </w:tc>
        <w:tc>
          <w:tcPr>
            <w:tcW w:w="915" w:type="dxa"/>
            <w:tcBorders>
              <w:tl2br w:val="nil"/>
              <w:tr2bl w:val="nil"/>
            </w:tcBorders>
            <w:noWrap w:val="0"/>
            <w:vAlign w:val="center"/>
          </w:tcPr>
          <w:p w14:paraId="4548AD60">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61779356">
            <w:pPr>
              <w:pStyle w:val="946"/>
              <w:spacing w:line="300" w:lineRule="exact"/>
              <w:rPr>
                <w:rFonts w:ascii="Arial" w:hAnsi="Arial" w:cs="Arial"/>
                <w:sz w:val="22"/>
                <w:szCs w:val="22"/>
              </w:rPr>
            </w:pPr>
            <w:r>
              <w:rPr>
                <w:rFonts w:ascii="Arial" w:hAnsi="Arial" w:cs="Arial"/>
                <w:sz w:val="22"/>
                <w:szCs w:val="22"/>
              </w:rPr>
              <w:t>/</w:t>
            </w:r>
          </w:p>
        </w:tc>
      </w:tr>
      <w:tr w14:paraId="4A23B4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09" w:type="dxa"/>
            <w:vMerge w:val="continue"/>
            <w:tcBorders>
              <w:tl2br w:val="nil"/>
              <w:tr2bl w:val="nil"/>
            </w:tcBorders>
            <w:noWrap w:val="0"/>
            <w:vAlign w:val="center"/>
          </w:tcPr>
          <w:p w14:paraId="5B5062E8">
            <w:pPr>
              <w:pStyle w:val="946"/>
              <w:spacing w:line="300" w:lineRule="exact"/>
              <w:rPr>
                <w:rFonts w:ascii="Arial" w:hAnsi="Arial" w:cs="Arial"/>
                <w:sz w:val="22"/>
                <w:szCs w:val="22"/>
              </w:rPr>
            </w:pPr>
          </w:p>
        </w:tc>
        <w:tc>
          <w:tcPr>
            <w:tcW w:w="592" w:type="dxa"/>
            <w:vMerge w:val="continue"/>
            <w:tcBorders>
              <w:tl2br w:val="nil"/>
              <w:tr2bl w:val="nil"/>
            </w:tcBorders>
            <w:noWrap w:val="0"/>
            <w:vAlign w:val="center"/>
          </w:tcPr>
          <w:p w14:paraId="397BEE23">
            <w:pPr>
              <w:pStyle w:val="946"/>
              <w:spacing w:line="300" w:lineRule="exact"/>
              <w:rPr>
                <w:rFonts w:ascii="Arial" w:hAnsi="Arial" w:cs="Arial"/>
                <w:sz w:val="22"/>
                <w:szCs w:val="22"/>
              </w:rPr>
            </w:pPr>
          </w:p>
        </w:tc>
        <w:tc>
          <w:tcPr>
            <w:tcW w:w="1347" w:type="dxa"/>
            <w:gridSpan w:val="2"/>
            <w:vMerge w:val="continue"/>
            <w:tcBorders>
              <w:tl2br w:val="nil"/>
              <w:tr2bl w:val="nil"/>
            </w:tcBorders>
            <w:noWrap w:val="0"/>
            <w:vAlign w:val="center"/>
          </w:tcPr>
          <w:p w14:paraId="5605054F">
            <w:pPr>
              <w:widowControl/>
              <w:spacing w:line="300" w:lineRule="exact"/>
              <w:jc w:val="center"/>
              <w:rPr>
                <w:rFonts w:hint="eastAsia" w:ascii="Arial" w:hAnsi="Arial" w:cs="Arial"/>
                <w:sz w:val="22"/>
                <w:szCs w:val="22"/>
              </w:rPr>
            </w:pPr>
          </w:p>
        </w:tc>
        <w:tc>
          <w:tcPr>
            <w:tcW w:w="1213" w:type="dxa"/>
            <w:vMerge w:val="continue"/>
            <w:tcBorders>
              <w:tl2br w:val="nil"/>
              <w:tr2bl w:val="nil"/>
            </w:tcBorders>
            <w:noWrap w:val="0"/>
            <w:vAlign w:val="center"/>
          </w:tcPr>
          <w:p w14:paraId="70119307">
            <w:pPr>
              <w:widowControl/>
              <w:spacing w:line="300" w:lineRule="exact"/>
              <w:jc w:val="center"/>
              <w:rPr>
                <w:rFonts w:hint="eastAsia" w:ascii="Arial" w:hAnsi="Arial" w:cs="Arial"/>
                <w:sz w:val="22"/>
                <w:szCs w:val="22"/>
                <w:lang w:val="en-US" w:eastAsia="zh-CN"/>
              </w:rPr>
            </w:pPr>
          </w:p>
        </w:tc>
        <w:tc>
          <w:tcPr>
            <w:tcW w:w="1035" w:type="dxa"/>
            <w:tcBorders>
              <w:tl2br w:val="nil"/>
              <w:tr2bl w:val="nil"/>
            </w:tcBorders>
            <w:noWrap w:val="0"/>
            <w:vAlign w:val="center"/>
          </w:tcPr>
          <w:p w14:paraId="0E832F7F">
            <w:pPr>
              <w:pStyle w:val="946"/>
              <w:spacing w:line="300" w:lineRule="exact"/>
              <w:rPr>
                <w:rFonts w:ascii="Arial" w:hAnsi="Arial" w:cs="Arial"/>
                <w:sz w:val="22"/>
                <w:szCs w:val="22"/>
              </w:rPr>
            </w:pPr>
            <w:r>
              <w:rPr>
                <w:rFonts w:ascii="Arial" w:hAnsi="Arial" w:cs="Arial"/>
                <w:sz w:val="22"/>
                <w:szCs w:val="22"/>
              </w:rPr>
              <w:t>SS</w:t>
            </w:r>
          </w:p>
        </w:tc>
        <w:tc>
          <w:tcPr>
            <w:tcW w:w="1276" w:type="dxa"/>
            <w:tcBorders>
              <w:tl2br w:val="nil"/>
              <w:tr2bl w:val="nil"/>
            </w:tcBorders>
            <w:noWrap w:val="0"/>
            <w:vAlign w:val="center"/>
          </w:tcPr>
          <w:p w14:paraId="59C6D08C">
            <w:pPr>
              <w:pStyle w:val="946"/>
              <w:spacing w:line="300" w:lineRule="exact"/>
              <w:rPr>
                <w:rFonts w:hint="eastAsia" w:ascii="Arial" w:hAnsi="Arial" w:cs="Arial"/>
                <w:sz w:val="22"/>
                <w:szCs w:val="22"/>
              </w:rPr>
            </w:pPr>
            <w:r>
              <w:rPr>
                <w:rFonts w:hint="eastAsia" w:ascii="Arial" w:hAnsi="Arial" w:cs="Arial"/>
                <w:sz w:val="22"/>
                <w:szCs w:val="22"/>
                <w:lang w:val="en-US" w:eastAsia="zh-CN"/>
              </w:rPr>
              <w:t>20</w:t>
            </w:r>
            <w:r>
              <w:rPr>
                <w:rFonts w:ascii="Arial" w:hAnsi="Arial" w:cs="Arial"/>
                <w:sz w:val="22"/>
                <w:szCs w:val="22"/>
              </w:rPr>
              <w:t>00mg/L</w:t>
            </w:r>
          </w:p>
        </w:tc>
        <w:tc>
          <w:tcPr>
            <w:tcW w:w="1275" w:type="dxa"/>
            <w:tcBorders>
              <w:tl2br w:val="nil"/>
              <w:tr2bl w:val="nil"/>
            </w:tcBorders>
            <w:noWrap w:val="0"/>
            <w:vAlign w:val="center"/>
          </w:tcPr>
          <w:p w14:paraId="064A12F5">
            <w:pPr>
              <w:pStyle w:val="946"/>
              <w:spacing w:line="300" w:lineRule="exact"/>
              <w:rPr>
                <w:rFonts w:hint="default" w:ascii="Arial" w:hAnsi="Arial" w:cs="Arial"/>
                <w:sz w:val="22"/>
                <w:szCs w:val="22"/>
                <w:lang w:val="en-US" w:eastAsia="zh-CN"/>
              </w:rPr>
            </w:pPr>
            <w:r>
              <w:rPr>
                <w:rFonts w:hint="eastAsia" w:ascii="Arial" w:hAnsi="Arial" w:cs="Arial"/>
                <w:sz w:val="22"/>
                <w:szCs w:val="22"/>
                <w:lang w:val="en-US" w:eastAsia="zh-CN"/>
              </w:rPr>
              <w:t>0.0465t/d</w:t>
            </w:r>
          </w:p>
        </w:tc>
        <w:tc>
          <w:tcPr>
            <w:tcW w:w="2734" w:type="dxa"/>
            <w:vMerge w:val="continue"/>
            <w:tcBorders>
              <w:tl2br w:val="nil"/>
              <w:tr2bl w:val="nil"/>
            </w:tcBorders>
            <w:noWrap w:val="0"/>
            <w:vAlign w:val="center"/>
          </w:tcPr>
          <w:p w14:paraId="52518D4A">
            <w:pPr>
              <w:widowControl/>
              <w:spacing w:line="300" w:lineRule="exact"/>
              <w:jc w:val="center"/>
              <w:rPr>
                <w:rFonts w:hint="eastAsia" w:ascii="Arial" w:hAnsi="Arial" w:cs="Arial"/>
                <w:sz w:val="22"/>
                <w:szCs w:val="22"/>
              </w:rPr>
            </w:pPr>
          </w:p>
        </w:tc>
        <w:tc>
          <w:tcPr>
            <w:tcW w:w="1247" w:type="dxa"/>
            <w:tcBorders>
              <w:tl2br w:val="nil"/>
              <w:tr2bl w:val="nil"/>
            </w:tcBorders>
            <w:shd w:val="clear" w:color="auto" w:fill="auto"/>
            <w:noWrap w:val="0"/>
            <w:vAlign w:val="center"/>
          </w:tcPr>
          <w:p w14:paraId="1DD20983">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0</w:t>
            </w:r>
          </w:p>
        </w:tc>
        <w:tc>
          <w:tcPr>
            <w:tcW w:w="915" w:type="dxa"/>
            <w:tcBorders>
              <w:tl2br w:val="nil"/>
              <w:tr2bl w:val="nil"/>
            </w:tcBorders>
            <w:shd w:val="clear" w:color="auto" w:fill="auto"/>
            <w:noWrap w:val="0"/>
            <w:vAlign w:val="center"/>
          </w:tcPr>
          <w:p w14:paraId="0E7788AA">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1019" w:type="dxa"/>
            <w:tcBorders>
              <w:tl2br w:val="nil"/>
              <w:tr2bl w:val="nil"/>
            </w:tcBorders>
            <w:shd w:val="clear" w:color="auto" w:fill="auto"/>
            <w:noWrap w:val="0"/>
            <w:vAlign w:val="center"/>
          </w:tcPr>
          <w:p w14:paraId="39A24095">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r>
      <w:tr w14:paraId="25F26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3346A160">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079E2206">
            <w:pPr>
              <w:widowControl/>
              <w:spacing w:line="300" w:lineRule="exact"/>
              <w:jc w:val="center"/>
              <w:rPr>
                <w:rFonts w:ascii="Arial" w:hAnsi="Arial" w:cs="Arial"/>
                <w:sz w:val="22"/>
                <w:szCs w:val="22"/>
              </w:rPr>
            </w:pPr>
          </w:p>
        </w:tc>
        <w:tc>
          <w:tcPr>
            <w:tcW w:w="617" w:type="dxa"/>
            <w:vMerge w:val="restart"/>
            <w:tcBorders>
              <w:tl2br w:val="nil"/>
              <w:tr2bl w:val="nil"/>
            </w:tcBorders>
            <w:noWrap w:val="0"/>
            <w:vAlign w:val="center"/>
          </w:tcPr>
          <w:p w14:paraId="35917C11">
            <w:pPr>
              <w:pStyle w:val="946"/>
              <w:spacing w:line="300" w:lineRule="exact"/>
              <w:rPr>
                <w:rFonts w:ascii="Arial" w:hAnsi="Arial" w:cs="Arial"/>
                <w:sz w:val="22"/>
                <w:szCs w:val="22"/>
              </w:rPr>
            </w:pPr>
            <w:r>
              <w:rPr>
                <w:rFonts w:ascii="Arial" w:hAnsi="Arial" w:cs="Arial"/>
                <w:sz w:val="22"/>
                <w:szCs w:val="22"/>
              </w:rPr>
              <w:t>基坑废水</w:t>
            </w:r>
          </w:p>
        </w:tc>
        <w:tc>
          <w:tcPr>
            <w:tcW w:w="730" w:type="dxa"/>
            <w:tcBorders>
              <w:tl2br w:val="nil"/>
              <w:tr2bl w:val="nil"/>
            </w:tcBorders>
            <w:noWrap w:val="0"/>
            <w:vAlign w:val="center"/>
          </w:tcPr>
          <w:p w14:paraId="373726E1">
            <w:pPr>
              <w:pStyle w:val="946"/>
              <w:spacing w:line="300" w:lineRule="exact"/>
              <w:rPr>
                <w:rFonts w:ascii="Arial" w:hAnsi="Arial" w:cs="Arial"/>
                <w:sz w:val="22"/>
                <w:szCs w:val="22"/>
              </w:rPr>
            </w:pPr>
            <w:r>
              <w:rPr>
                <w:rFonts w:ascii="Arial" w:hAnsi="Arial" w:cs="Arial"/>
                <w:sz w:val="22"/>
                <w:szCs w:val="22"/>
              </w:rPr>
              <w:t>初期排水</w:t>
            </w:r>
          </w:p>
        </w:tc>
        <w:tc>
          <w:tcPr>
            <w:tcW w:w="1213" w:type="dxa"/>
            <w:tcBorders>
              <w:tl2br w:val="nil"/>
              <w:tr2bl w:val="nil"/>
            </w:tcBorders>
            <w:noWrap w:val="0"/>
            <w:vAlign w:val="center"/>
          </w:tcPr>
          <w:p w14:paraId="404CC53C">
            <w:pPr>
              <w:pStyle w:val="946"/>
              <w:spacing w:line="300" w:lineRule="exact"/>
              <w:rPr>
                <w:rFonts w:hint="eastAsia" w:ascii="Arial" w:hAnsi="Arial" w:cs="Arial"/>
                <w:color w:val="auto"/>
                <w:sz w:val="22"/>
                <w:szCs w:val="22"/>
                <w:lang w:eastAsia="zh-CN"/>
              </w:rPr>
            </w:pPr>
            <w:r>
              <w:rPr>
                <w:rFonts w:hint="eastAsia" w:ascii="Arial" w:hAnsi="Arial" w:cs="Arial"/>
                <w:color w:val="auto"/>
                <w:sz w:val="22"/>
                <w:szCs w:val="22"/>
                <w:lang w:eastAsia="zh-CN"/>
              </w:rPr>
              <w:t>少量</w:t>
            </w:r>
          </w:p>
        </w:tc>
        <w:tc>
          <w:tcPr>
            <w:tcW w:w="3586" w:type="dxa"/>
            <w:gridSpan w:val="3"/>
            <w:tcBorders>
              <w:tl2br w:val="nil"/>
              <w:tr2bl w:val="nil"/>
            </w:tcBorders>
            <w:noWrap w:val="0"/>
            <w:vAlign w:val="center"/>
          </w:tcPr>
          <w:p w14:paraId="7D1ED0ED">
            <w:pPr>
              <w:pStyle w:val="946"/>
              <w:spacing w:line="300" w:lineRule="exact"/>
              <w:rPr>
                <w:rFonts w:hint="default" w:ascii="Arial" w:hAnsi="Arial" w:eastAsia="宋体" w:cs="Arial"/>
                <w:color w:val="auto"/>
                <w:sz w:val="22"/>
                <w:szCs w:val="22"/>
                <w:lang w:val="en-US" w:eastAsia="zh-CN"/>
              </w:rPr>
            </w:pPr>
            <w:r>
              <w:rPr>
                <w:rFonts w:hint="eastAsia" w:ascii="Arial" w:hAnsi="Arial" w:cs="Arial"/>
                <w:color w:val="auto"/>
                <w:sz w:val="22"/>
                <w:szCs w:val="22"/>
                <w:lang w:val="en-US" w:eastAsia="zh-CN"/>
              </w:rPr>
              <w:t>天然水体</w:t>
            </w:r>
          </w:p>
        </w:tc>
        <w:tc>
          <w:tcPr>
            <w:tcW w:w="2734" w:type="dxa"/>
            <w:tcBorders>
              <w:tl2br w:val="nil"/>
              <w:tr2bl w:val="nil"/>
            </w:tcBorders>
            <w:noWrap w:val="0"/>
            <w:vAlign w:val="center"/>
          </w:tcPr>
          <w:p w14:paraId="128F9181">
            <w:pPr>
              <w:widowControl/>
              <w:spacing w:line="300" w:lineRule="exact"/>
              <w:jc w:val="center"/>
              <w:rPr>
                <w:rFonts w:hint="eastAsia" w:ascii="Arial" w:hAnsi="Arial" w:cs="Arial"/>
                <w:color w:val="C00000"/>
                <w:sz w:val="22"/>
                <w:szCs w:val="22"/>
              </w:rPr>
            </w:pPr>
            <w:r>
              <w:rPr>
                <w:rFonts w:hint="eastAsia" w:ascii="Arial" w:hAnsi="Arial" w:cs="Arial"/>
                <w:color w:val="auto"/>
                <w:sz w:val="22"/>
                <w:szCs w:val="22"/>
                <w:lang w:eastAsia="zh-CN"/>
              </w:rPr>
              <w:t>泵入下游河道</w:t>
            </w:r>
          </w:p>
        </w:tc>
        <w:tc>
          <w:tcPr>
            <w:tcW w:w="1247" w:type="dxa"/>
            <w:tcBorders>
              <w:tl2br w:val="nil"/>
              <w:tr2bl w:val="nil"/>
            </w:tcBorders>
            <w:shd w:val="clear" w:color="auto" w:fill="auto"/>
            <w:noWrap w:val="0"/>
            <w:vAlign w:val="center"/>
          </w:tcPr>
          <w:p w14:paraId="2457B76D">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0</w:t>
            </w:r>
          </w:p>
        </w:tc>
        <w:tc>
          <w:tcPr>
            <w:tcW w:w="915" w:type="dxa"/>
            <w:tcBorders>
              <w:tl2br w:val="nil"/>
              <w:tr2bl w:val="nil"/>
            </w:tcBorders>
            <w:shd w:val="clear" w:color="auto" w:fill="auto"/>
            <w:noWrap w:val="0"/>
            <w:vAlign w:val="center"/>
          </w:tcPr>
          <w:p w14:paraId="65C5082A">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1019" w:type="dxa"/>
            <w:tcBorders>
              <w:tl2br w:val="nil"/>
              <w:tr2bl w:val="nil"/>
            </w:tcBorders>
            <w:shd w:val="clear" w:color="auto" w:fill="auto"/>
            <w:noWrap w:val="0"/>
            <w:vAlign w:val="center"/>
          </w:tcPr>
          <w:p w14:paraId="4D32B04B">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r>
      <w:tr w14:paraId="2CDF4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2FC646A0">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2D00A626">
            <w:pPr>
              <w:widowControl/>
              <w:spacing w:line="300" w:lineRule="exact"/>
              <w:jc w:val="center"/>
              <w:rPr>
                <w:rFonts w:ascii="Arial" w:hAnsi="Arial" w:cs="Arial"/>
                <w:sz w:val="22"/>
                <w:szCs w:val="22"/>
              </w:rPr>
            </w:pPr>
          </w:p>
        </w:tc>
        <w:tc>
          <w:tcPr>
            <w:tcW w:w="617" w:type="dxa"/>
            <w:vMerge w:val="continue"/>
            <w:tcBorders>
              <w:tl2br w:val="nil"/>
              <w:tr2bl w:val="nil"/>
            </w:tcBorders>
            <w:noWrap w:val="0"/>
            <w:vAlign w:val="center"/>
          </w:tcPr>
          <w:p w14:paraId="4C1EB41F">
            <w:pPr>
              <w:widowControl/>
              <w:spacing w:line="300" w:lineRule="exact"/>
              <w:jc w:val="center"/>
              <w:rPr>
                <w:rFonts w:ascii="Arial" w:hAnsi="Arial" w:cs="Arial"/>
                <w:sz w:val="22"/>
                <w:szCs w:val="22"/>
              </w:rPr>
            </w:pPr>
          </w:p>
        </w:tc>
        <w:tc>
          <w:tcPr>
            <w:tcW w:w="730" w:type="dxa"/>
            <w:tcBorders>
              <w:tl2br w:val="nil"/>
              <w:tr2bl w:val="nil"/>
            </w:tcBorders>
            <w:noWrap w:val="0"/>
            <w:vAlign w:val="center"/>
          </w:tcPr>
          <w:p w14:paraId="149BCB32">
            <w:pPr>
              <w:pStyle w:val="946"/>
              <w:spacing w:line="300" w:lineRule="exact"/>
              <w:rPr>
                <w:rFonts w:ascii="Arial" w:hAnsi="Arial" w:cs="Arial"/>
                <w:sz w:val="22"/>
                <w:szCs w:val="22"/>
              </w:rPr>
            </w:pPr>
            <w:r>
              <w:rPr>
                <w:rFonts w:ascii="Arial" w:hAnsi="Arial" w:cs="Arial"/>
                <w:sz w:val="22"/>
                <w:szCs w:val="22"/>
              </w:rPr>
              <w:t>经常性排水</w:t>
            </w:r>
          </w:p>
        </w:tc>
        <w:tc>
          <w:tcPr>
            <w:tcW w:w="1213" w:type="dxa"/>
            <w:tcBorders>
              <w:tl2br w:val="nil"/>
              <w:tr2bl w:val="nil"/>
            </w:tcBorders>
            <w:noWrap w:val="0"/>
            <w:vAlign w:val="center"/>
          </w:tcPr>
          <w:p w14:paraId="7BFC7C50">
            <w:pPr>
              <w:pStyle w:val="946"/>
              <w:spacing w:line="300" w:lineRule="exact"/>
              <w:rPr>
                <w:rFonts w:hint="eastAsia" w:ascii="Arial" w:hAnsi="Arial" w:eastAsia="宋体" w:cs="Arial"/>
                <w:color w:val="auto"/>
                <w:sz w:val="22"/>
                <w:szCs w:val="22"/>
                <w:lang w:eastAsia="zh-CN"/>
              </w:rPr>
            </w:pPr>
            <w:r>
              <w:rPr>
                <w:rFonts w:hint="eastAsia" w:ascii="Arial" w:hAnsi="Arial" w:cs="Arial"/>
                <w:color w:val="auto"/>
                <w:sz w:val="22"/>
                <w:szCs w:val="22"/>
                <w:lang w:val="en-US" w:eastAsia="zh-CN"/>
              </w:rPr>
              <w:t>14</w:t>
            </w:r>
            <w:r>
              <w:rPr>
                <w:rFonts w:ascii="Arial" w:hAnsi="Arial" w:cs="Arial"/>
                <w:color w:val="auto"/>
                <w:sz w:val="22"/>
                <w:szCs w:val="22"/>
              </w:rPr>
              <w:t>m</w:t>
            </w:r>
            <w:r>
              <w:rPr>
                <w:rFonts w:ascii="Arial" w:hAnsi="Arial" w:cs="Arial"/>
                <w:color w:val="auto"/>
                <w:sz w:val="22"/>
                <w:szCs w:val="22"/>
                <w:vertAlign w:val="superscript"/>
              </w:rPr>
              <w:t>3</w:t>
            </w:r>
            <w:r>
              <w:rPr>
                <w:rFonts w:ascii="Arial" w:hAnsi="Arial" w:cs="Arial"/>
                <w:color w:val="auto"/>
                <w:sz w:val="22"/>
                <w:szCs w:val="22"/>
              </w:rPr>
              <w:t>/</w:t>
            </w:r>
            <w:r>
              <w:rPr>
                <w:rFonts w:hint="eastAsia" w:ascii="Arial" w:hAnsi="Arial" w:cs="Arial"/>
                <w:color w:val="auto"/>
                <w:sz w:val="22"/>
                <w:szCs w:val="22"/>
                <w:lang w:val="en-US" w:eastAsia="zh-CN"/>
              </w:rPr>
              <w:t>h</w:t>
            </w:r>
          </w:p>
        </w:tc>
        <w:tc>
          <w:tcPr>
            <w:tcW w:w="1035" w:type="dxa"/>
            <w:tcBorders>
              <w:tl2br w:val="nil"/>
              <w:tr2bl w:val="nil"/>
            </w:tcBorders>
            <w:noWrap w:val="0"/>
            <w:vAlign w:val="center"/>
          </w:tcPr>
          <w:p w14:paraId="1B904A0C">
            <w:pPr>
              <w:pStyle w:val="946"/>
              <w:spacing w:line="300" w:lineRule="exact"/>
              <w:rPr>
                <w:rFonts w:ascii="Arial" w:hAnsi="Arial" w:cs="Arial"/>
                <w:color w:val="auto"/>
                <w:sz w:val="22"/>
                <w:szCs w:val="22"/>
              </w:rPr>
            </w:pPr>
            <w:r>
              <w:rPr>
                <w:rFonts w:ascii="Arial" w:hAnsi="Arial" w:cs="Arial"/>
                <w:color w:val="auto"/>
                <w:sz w:val="22"/>
                <w:szCs w:val="22"/>
              </w:rPr>
              <w:t>SS</w:t>
            </w:r>
          </w:p>
        </w:tc>
        <w:tc>
          <w:tcPr>
            <w:tcW w:w="1276" w:type="dxa"/>
            <w:tcBorders>
              <w:tl2br w:val="nil"/>
              <w:tr2bl w:val="nil"/>
            </w:tcBorders>
            <w:noWrap w:val="0"/>
            <w:vAlign w:val="center"/>
          </w:tcPr>
          <w:p w14:paraId="3FE7842D">
            <w:pPr>
              <w:pStyle w:val="946"/>
              <w:spacing w:line="300" w:lineRule="exact"/>
              <w:rPr>
                <w:rFonts w:ascii="Arial" w:hAnsi="Arial" w:cs="Arial"/>
                <w:color w:val="auto"/>
                <w:sz w:val="22"/>
                <w:szCs w:val="22"/>
              </w:rPr>
            </w:pPr>
            <w:r>
              <w:rPr>
                <w:rFonts w:hint="eastAsia" w:ascii="Arial" w:hAnsi="Arial" w:cs="Arial"/>
                <w:color w:val="auto"/>
                <w:sz w:val="22"/>
                <w:szCs w:val="22"/>
                <w:lang w:val="en-US" w:eastAsia="zh-CN"/>
              </w:rPr>
              <w:t>1</w:t>
            </w:r>
            <w:r>
              <w:rPr>
                <w:rFonts w:ascii="Arial" w:hAnsi="Arial" w:cs="Arial"/>
                <w:color w:val="auto"/>
                <w:sz w:val="22"/>
                <w:szCs w:val="22"/>
              </w:rPr>
              <w:t>000mg/L</w:t>
            </w:r>
          </w:p>
        </w:tc>
        <w:tc>
          <w:tcPr>
            <w:tcW w:w="1275" w:type="dxa"/>
            <w:tcBorders>
              <w:tl2br w:val="nil"/>
              <w:tr2bl w:val="nil"/>
            </w:tcBorders>
            <w:noWrap w:val="0"/>
            <w:vAlign w:val="center"/>
          </w:tcPr>
          <w:p w14:paraId="5B9F79A4">
            <w:pPr>
              <w:pStyle w:val="946"/>
              <w:spacing w:line="300" w:lineRule="exact"/>
              <w:rPr>
                <w:rFonts w:ascii="Arial" w:hAnsi="Arial" w:cs="Arial"/>
                <w:color w:val="auto"/>
                <w:sz w:val="22"/>
                <w:szCs w:val="22"/>
              </w:rPr>
            </w:pPr>
            <w:r>
              <w:rPr>
                <w:rFonts w:hint="eastAsia" w:ascii="Arial" w:hAnsi="Arial" w:cs="Arial"/>
                <w:color w:val="auto"/>
                <w:sz w:val="22"/>
                <w:szCs w:val="22"/>
                <w:lang w:val="en-US" w:eastAsia="zh-CN"/>
              </w:rPr>
              <w:t>0.014</w:t>
            </w:r>
            <w:r>
              <w:rPr>
                <w:rFonts w:ascii="Arial" w:hAnsi="Arial" w:cs="Arial"/>
                <w:color w:val="auto"/>
                <w:sz w:val="22"/>
                <w:szCs w:val="22"/>
              </w:rPr>
              <w:t>t/d</w:t>
            </w:r>
          </w:p>
        </w:tc>
        <w:tc>
          <w:tcPr>
            <w:tcW w:w="2734" w:type="dxa"/>
            <w:tcBorders>
              <w:tl2br w:val="nil"/>
              <w:tr2bl w:val="nil"/>
            </w:tcBorders>
            <w:noWrap w:val="0"/>
            <w:vAlign w:val="center"/>
          </w:tcPr>
          <w:p w14:paraId="72DD8BA9">
            <w:pPr>
              <w:pStyle w:val="946"/>
              <w:spacing w:line="300" w:lineRule="exact"/>
              <w:rPr>
                <w:rFonts w:ascii="Arial" w:hAnsi="Arial" w:cs="Arial"/>
                <w:color w:val="C00000"/>
                <w:sz w:val="22"/>
                <w:szCs w:val="22"/>
              </w:rPr>
            </w:pPr>
            <w:r>
              <w:rPr>
                <w:rFonts w:hint="eastAsia" w:ascii="Arial" w:hAnsi="Times New Roman" w:eastAsia="宋体" w:cs="Arial"/>
                <w:b w:val="0"/>
                <w:color w:val="auto"/>
                <w:kern w:val="2"/>
                <w:sz w:val="22"/>
                <w:szCs w:val="22"/>
                <w:lang w:val="en-US" w:eastAsia="zh-CN" w:bidi="ar-SA"/>
              </w:rPr>
              <w:t>经截水沟、集水坑收集沉淀处理后，上清液可用作施工用水，多余部分泵入下游河道。</w:t>
            </w:r>
          </w:p>
        </w:tc>
        <w:tc>
          <w:tcPr>
            <w:tcW w:w="1247" w:type="dxa"/>
            <w:tcBorders>
              <w:tl2br w:val="nil"/>
              <w:tr2bl w:val="nil"/>
            </w:tcBorders>
            <w:noWrap w:val="0"/>
            <w:vAlign w:val="center"/>
          </w:tcPr>
          <w:p w14:paraId="7B3DC272">
            <w:pPr>
              <w:pStyle w:val="946"/>
              <w:spacing w:line="300" w:lineRule="exact"/>
              <w:rPr>
                <w:rFonts w:hint="eastAsia" w:ascii="Arial" w:hAnsi="Arial" w:eastAsia="宋体" w:cs="Arial"/>
                <w:sz w:val="22"/>
                <w:szCs w:val="22"/>
                <w:lang w:eastAsia="zh-CN"/>
              </w:rPr>
            </w:pPr>
            <w:r>
              <w:rPr>
                <w:rFonts w:hint="eastAsia" w:ascii="Arial" w:hAnsi="Arial" w:cs="Arial"/>
                <w:sz w:val="22"/>
                <w:szCs w:val="22"/>
                <w:lang w:eastAsia="zh-CN"/>
              </w:rPr>
              <w:t>少量</w:t>
            </w:r>
          </w:p>
        </w:tc>
        <w:tc>
          <w:tcPr>
            <w:tcW w:w="915" w:type="dxa"/>
            <w:tcBorders>
              <w:tl2br w:val="nil"/>
              <w:tr2bl w:val="nil"/>
            </w:tcBorders>
            <w:noWrap w:val="0"/>
            <w:vAlign w:val="center"/>
          </w:tcPr>
          <w:p w14:paraId="78C7EEEF">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6BA52CCA">
            <w:pPr>
              <w:pStyle w:val="946"/>
              <w:spacing w:line="300" w:lineRule="exact"/>
              <w:rPr>
                <w:rFonts w:ascii="Arial" w:hAnsi="Arial" w:cs="Arial"/>
                <w:sz w:val="22"/>
                <w:szCs w:val="22"/>
              </w:rPr>
            </w:pPr>
            <w:r>
              <w:rPr>
                <w:rFonts w:ascii="Arial" w:hAnsi="Arial" w:cs="Arial"/>
                <w:sz w:val="22"/>
                <w:szCs w:val="22"/>
              </w:rPr>
              <w:t>/</w:t>
            </w:r>
          </w:p>
        </w:tc>
      </w:tr>
      <w:tr w14:paraId="78FAA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050FE613">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2D93D80E">
            <w:pPr>
              <w:widowControl/>
              <w:spacing w:line="300" w:lineRule="exact"/>
              <w:jc w:val="center"/>
              <w:rPr>
                <w:rFonts w:ascii="Arial" w:hAnsi="Arial" w:cs="Arial"/>
                <w:sz w:val="22"/>
                <w:szCs w:val="22"/>
              </w:rPr>
            </w:pPr>
          </w:p>
        </w:tc>
        <w:tc>
          <w:tcPr>
            <w:tcW w:w="1347" w:type="dxa"/>
            <w:gridSpan w:val="2"/>
            <w:vMerge w:val="restart"/>
            <w:tcBorders>
              <w:tl2br w:val="nil"/>
              <w:tr2bl w:val="nil"/>
            </w:tcBorders>
            <w:noWrap w:val="0"/>
            <w:vAlign w:val="center"/>
          </w:tcPr>
          <w:p w14:paraId="32A532E3">
            <w:pPr>
              <w:pStyle w:val="946"/>
              <w:spacing w:line="300" w:lineRule="exact"/>
              <w:rPr>
                <w:rFonts w:hint="eastAsia" w:ascii="Arial" w:hAnsi="Arial" w:eastAsia="宋体" w:cs="Arial"/>
                <w:sz w:val="22"/>
                <w:szCs w:val="22"/>
                <w:lang w:eastAsia="zh-CN"/>
              </w:rPr>
            </w:pPr>
            <w:r>
              <w:rPr>
                <w:rFonts w:hint="eastAsia" w:ascii="Arial" w:hAnsi="Arial" w:cs="Arial"/>
                <w:sz w:val="22"/>
                <w:szCs w:val="22"/>
                <w:lang w:eastAsia="zh-CN"/>
              </w:rPr>
              <w:t>含油废水</w:t>
            </w:r>
          </w:p>
        </w:tc>
        <w:tc>
          <w:tcPr>
            <w:tcW w:w="1213" w:type="dxa"/>
            <w:vMerge w:val="restart"/>
            <w:tcBorders>
              <w:tl2br w:val="nil"/>
              <w:tr2bl w:val="nil"/>
            </w:tcBorders>
            <w:noWrap w:val="0"/>
            <w:vAlign w:val="center"/>
          </w:tcPr>
          <w:p w14:paraId="2D2B4537">
            <w:pPr>
              <w:pStyle w:val="946"/>
              <w:spacing w:line="300" w:lineRule="exact"/>
              <w:rPr>
                <w:rFonts w:ascii="Arial" w:hAnsi="Arial" w:cs="Arial"/>
                <w:sz w:val="22"/>
                <w:szCs w:val="22"/>
              </w:rPr>
            </w:pPr>
            <w:r>
              <w:rPr>
                <w:rFonts w:ascii="Arial" w:hAnsi="Arial" w:cs="Arial"/>
                <w:sz w:val="22"/>
                <w:szCs w:val="22"/>
              </w:rPr>
              <w:t>3.0m</w:t>
            </w:r>
            <w:r>
              <w:rPr>
                <w:rFonts w:ascii="Arial" w:hAnsi="Arial" w:cs="Arial"/>
                <w:sz w:val="22"/>
                <w:szCs w:val="22"/>
                <w:vertAlign w:val="superscript"/>
              </w:rPr>
              <w:t>3</w:t>
            </w:r>
            <w:r>
              <w:rPr>
                <w:rFonts w:ascii="Arial" w:hAnsi="Arial" w:cs="Arial"/>
                <w:sz w:val="22"/>
                <w:szCs w:val="22"/>
              </w:rPr>
              <w:t>/d</w:t>
            </w:r>
          </w:p>
        </w:tc>
        <w:tc>
          <w:tcPr>
            <w:tcW w:w="1035" w:type="dxa"/>
            <w:tcBorders>
              <w:tl2br w:val="nil"/>
              <w:tr2bl w:val="nil"/>
            </w:tcBorders>
            <w:noWrap w:val="0"/>
            <w:vAlign w:val="center"/>
          </w:tcPr>
          <w:p w14:paraId="16A39B84">
            <w:pPr>
              <w:pStyle w:val="946"/>
              <w:spacing w:line="300" w:lineRule="exact"/>
              <w:rPr>
                <w:rFonts w:ascii="Arial" w:hAnsi="Arial" w:cs="Arial"/>
                <w:sz w:val="22"/>
                <w:szCs w:val="22"/>
              </w:rPr>
            </w:pPr>
            <w:r>
              <w:rPr>
                <w:rFonts w:ascii="Arial" w:hAnsi="Arial" w:cs="Arial"/>
                <w:sz w:val="22"/>
                <w:szCs w:val="22"/>
              </w:rPr>
              <w:t>石油类</w:t>
            </w:r>
          </w:p>
        </w:tc>
        <w:tc>
          <w:tcPr>
            <w:tcW w:w="1276" w:type="dxa"/>
            <w:tcBorders>
              <w:tl2br w:val="nil"/>
              <w:tr2bl w:val="nil"/>
            </w:tcBorders>
            <w:noWrap w:val="0"/>
            <w:vAlign w:val="center"/>
          </w:tcPr>
          <w:p w14:paraId="7F12B5C9">
            <w:pPr>
              <w:pStyle w:val="946"/>
              <w:spacing w:line="300" w:lineRule="exact"/>
              <w:rPr>
                <w:rFonts w:ascii="Arial" w:hAnsi="Arial" w:cs="Arial"/>
                <w:sz w:val="22"/>
                <w:szCs w:val="22"/>
              </w:rPr>
            </w:pPr>
            <w:r>
              <w:rPr>
                <w:rFonts w:hint="eastAsia" w:ascii="Arial" w:hAnsi="Arial" w:cs="Arial"/>
                <w:sz w:val="22"/>
                <w:szCs w:val="22"/>
                <w:lang w:val="en-US" w:eastAsia="zh-CN"/>
              </w:rPr>
              <w:t>12</w:t>
            </w:r>
            <w:r>
              <w:rPr>
                <w:rFonts w:ascii="Arial" w:hAnsi="Arial" w:cs="Arial"/>
                <w:sz w:val="22"/>
                <w:szCs w:val="22"/>
              </w:rPr>
              <w:t>0mg/L</w:t>
            </w:r>
          </w:p>
        </w:tc>
        <w:tc>
          <w:tcPr>
            <w:tcW w:w="1275" w:type="dxa"/>
            <w:tcBorders>
              <w:tl2br w:val="nil"/>
              <w:tr2bl w:val="nil"/>
            </w:tcBorders>
            <w:noWrap w:val="0"/>
            <w:vAlign w:val="center"/>
          </w:tcPr>
          <w:p w14:paraId="3388365C">
            <w:pPr>
              <w:pStyle w:val="946"/>
              <w:spacing w:line="300" w:lineRule="exact"/>
              <w:rPr>
                <w:rFonts w:ascii="Arial" w:hAnsi="Arial" w:cs="Arial"/>
                <w:sz w:val="22"/>
                <w:szCs w:val="22"/>
              </w:rPr>
            </w:pPr>
            <w:r>
              <w:rPr>
                <w:rFonts w:hint="eastAsia" w:ascii="Arial" w:hAnsi="Arial" w:cs="Arial"/>
                <w:sz w:val="22"/>
                <w:szCs w:val="22"/>
                <w:lang w:val="en-US" w:eastAsia="zh-CN"/>
              </w:rPr>
              <w:t>0.36</w:t>
            </w:r>
            <w:r>
              <w:rPr>
                <w:rFonts w:ascii="Arial" w:hAnsi="Arial" w:cs="Arial"/>
                <w:sz w:val="22"/>
                <w:szCs w:val="22"/>
              </w:rPr>
              <w:t>kg/d</w:t>
            </w:r>
          </w:p>
        </w:tc>
        <w:tc>
          <w:tcPr>
            <w:tcW w:w="2734" w:type="dxa"/>
            <w:vMerge w:val="restart"/>
            <w:tcBorders>
              <w:tl2br w:val="nil"/>
              <w:tr2bl w:val="nil"/>
            </w:tcBorders>
            <w:noWrap w:val="0"/>
            <w:vAlign w:val="center"/>
          </w:tcPr>
          <w:p w14:paraId="289B2F53">
            <w:pPr>
              <w:pStyle w:val="946"/>
              <w:spacing w:line="300" w:lineRule="exact"/>
              <w:rPr>
                <w:rFonts w:ascii="Arial" w:hAnsi="Arial" w:cs="Arial"/>
                <w:sz w:val="22"/>
                <w:szCs w:val="22"/>
              </w:rPr>
            </w:pPr>
            <w:r>
              <w:rPr>
                <w:rFonts w:ascii="Arial" w:hAnsi="Arial" w:cs="Arial"/>
                <w:color w:val="auto"/>
                <w:sz w:val="22"/>
                <w:szCs w:val="22"/>
              </w:rPr>
              <w:t>经施工</w:t>
            </w:r>
            <w:r>
              <w:rPr>
                <w:rFonts w:hint="eastAsia" w:ascii="Arial" w:hAnsi="Arial" w:cs="Arial"/>
                <w:color w:val="auto"/>
                <w:sz w:val="22"/>
                <w:szCs w:val="22"/>
              </w:rPr>
              <w:t>区内</w:t>
            </w:r>
            <w:r>
              <w:rPr>
                <w:rFonts w:ascii="Arial" w:hAnsi="Arial" w:cs="Arial"/>
                <w:color w:val="auto"/>
                <w:sz w:val="22"/>
                <w:szCs w:val="22"/>
              </w:rPr>
              <w:t>设置的隔油池处理后全部回用</w:t>
            </w:r>
            <w:r>
              <w:rPr>
                <w:rFonts w:hint="eastAsia" w:ascii="Arial" w:hAnsi="Arial" w:cs="Arial"/>
                <w:color w:val="auto"/>
                <w:sz w:val="22"/>
                <w:szCs w:val="22"/>
                <w:lang w:eastAsia="zh-CN"/>
              </w:rPr>
              <w:t>，</w:t>
            </w:r>
            <w:r>
              <w:rPr>
                <w:rFonts w:ascii="Arial" w:hAnsi="Arial" w:cs="Arial"/>
                <w:color w:val="auto"/>
                <w:sz w:val="22"/>
                <w:szCs w:val="22"/>
              </w:rPr>
              <w:t>不外排</w:t>
            </w:r>
            <w:r>
              <w:rPr>
                <w:rFonts w:hint="eastAsia" w:ascii="Arial" w:hAnsi="Arial" w:cs="Arial"/>
                <w:color w:val="auto"/>
                <w:sz w:val="22"/>
                <w:szCs w:val="22"/>
                <w:lang w:eastAsia="zh-CN"/>
              </w:rPr>
              <w:t>。</w:t>
            </w:r>
          </w:p>
        </w:tc>
        <w:tc>
          <w:tcPr>
            <w:tcW w:w="1247" w:type="dxa"/>
            <w:tcBorders>
              <w:tl2br w:val="nil"/>
              <w:tr2bl w:val="nil"/>
            </w:tcBorders>
            <w:noWrap w:val="0"/>
            <w:vAlign w:val="center"/>
          </w:tcPr>
          <w:p w14:paraId="3AABB26C">
            <w:pPr>
              <w:pStyle w:val="946"/>
              <w:spacing w:line="300" w:lineRule="exact"/>
              <w:rPr>
                <w:rFonts w:ascii="Arial" w:hAnsi="Arial" w:cs="Arial"/>
                <w:sz w:val="22"/>
                <w:szCs w:val="22"/>
              </w:rPr>
            </w:pPr>
            <w:r>
              <w:rPr>
                <w:rFonts w:ascii="Arial" w:hAnsi="Arial" w:cs="Arial"/>
                <w:sz w:val="22"/>
                <w:szCs w:val="22"/>
              </w:rPr>
              <w:t>0</w:t>
            </w:r>
          </w:p>
        </w:tc>
        <w:tc>
          <w:tcPr>
            <w:tcW w:w="915" w:type="dxa"/>
            <w:tcBorders>
              <w:tl2br w:val="nil"/>
              <w:tr2bl w:val="nil"/>
            </w:tcBorders>
            <w:noWrap w:val="0"/>
            <w:vAlign w:val="center"/>
          </w:tcPr>
          <w:p w14:paraId="43FC3EB0">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4FCAEBBE">
            <w:pPr>
              <w:pStyle w:val="946"/>
              <w:spacing w:line="300" w:lineRule="exact"/>
              <w:rPr>
                <w:rFonts w:ascii="Arial" w:hAnsi="Arial" w:cs="Arial"/>
                <w:sz w:val="22"/>
                <w:szCs w:val="22"/>
              </w:rPr>
            </w:pPr>
            <w:r>
              <w:rPr>
                <w:rFonts w:ascii="Arial" w:hAnsi="Arial" w:cs="Arial"/>
                <w:sz w:val="22"/>
                <w:szCs w:val="22"/>
              </w:rPr>
              <w:t>/</w:t>
            </w:r>
          </w:p>
        </w:tc>
      </w:tr>
      <w:tr w14:paraId="2846B7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2F40C65E">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68709F46">
            <w:pPr>
              <w:widowControl/>
              <w:spacing w:line="300" w:lineRule="exact"/>
              <w:jc w:val="center"/>
              <w:rPr>
                <w:rFonts w:ascii="Arial" w:hAnsi="Arial" w:cs="Arial"/>
                <w:sz w:val="22"/>
                <w:szCs w:val="22"/>
              </w:rPr>
            </w:pPr>
          </w:p>
        </w:tc>
        <w:tc>
          <w:tcPr>
            <w:tcW w:w="1347" w:type="dxa"/>
            <w:gridSpan w:val="2"/>
            <w:vMerge w:val="continue"/>
            <w:tcBorders>
              <w:tl2br w:val="nil"/>
              <w:tr2bl w:val="nil"/>
            </w:tcBorders>
            <w:noWrap w:val="0"/>
            <w:vAlign w:val="center"/>
          </w:tcPr>
          <w:p w14:paraId="762686FB">
            <w:pPr>
              <w:widowControl/>
              <w:spacing w:line="300" w:lineRule="exact"/>
              <w:jc w:val="center"/>
              <w:rPr>
                <w:rFonts w:ascii="Arial" w:hAnsi="Arial" w:cs="Arial"/>
                <w:sz w:val="22"/>
                <w:szCs w:val="22"/>
              </w:rPr>
            </w:pPr>
          </w:p>
        </w:tc>
        <w:tc>
          <w:tcPr>
            <w:tcW w:w="1213" w:type="dxa"/>
            <w:vMerge w:val="continue"/>
            <w:tcBorders>
              <w:tl2br w:val="nil"/>
              <w:tr2bl w:val="nil"/>
            </w:tcBorders>
            <w:noWrap w:val="0"/>
            <w:vAlign w:val="center"/>
          </w:tcPr>
          <w:p w14:paraId="56A936E7">
            <w:pPr>
              <w:widowControl/>
              <w:spacing w:line="300" w:lineRule="exact"/>
              <w:jc w:val="center"/>
              <w:rPr>
                <w:rFonts w:ascii="Arial" w:hAnsi="Arial" w:cs="Arial"/>
                <w:sz w:val="22"/>
                <w:szCs w:val="22"/>
              </w:rPr>
            </w:pPr>
          </w:p>
        </w:tc>
        <w:tc>
          <w:tcPr>
            <w:tcW w:w="1035" w:type="dxa"/>
            <w:tcBorders>
              <w:tl2br w:val="nil"/>
              <w:tr2bl w:val="nil"/>
            </w:tcBorders>
            <w:noWrap w:val="0"/>
            <w:vAlign w:val="center"/>
          </w:tcPr>
          <w:p w14:paraId="44104F4D">
            <w:pPr>
              <w:pStyle w:val="946"/>
              <w:spacing w:line="300" w:lineRule="exact"/>
              <w:rPr>
                <w:rFonts w:ascii="Arial" w:hAnsi="Arial" w:cs="Arial"/>
                <w:sz w:val="22"/>
                <w:szCs w:val="22"/>
              </w:rPr>
            </w:pPr>
            <w:r>
              <w:rPr>
                <w:rFonts w:ascii="Arial" w:hAnsi="Arial" w:cs="Arial"/>
                <w:sz w:val="22"/>
                <w:szCs w:val="22"/>
              </w:rPr>
              <w:t>SS</w:t>
            </w:r>
          </w:p>
        </w:tc>
        <w:tc>
          <w:tcPr>
            <w:tcW w:w="1276" w:type="dxa"/>
            <w:tcBorders>
              <w:tl2br w:val="nil"/>
              <w:tr2bl w:val="nil"/>
            </w:tcBorders>
            <w:noWrap w:val="0"/>
            <w:vAlign w:val="center"/>
          </w:tcPr>
          <w:p w14:paraId="742CDEBD">
            <w:pPr>
              <w:pStyle w:val="946"/>
              <w:spacing w:line="300" w:lineRule="exact"/>
              <w:rPr>
                <w:rFonts w:ascii="Arial" w:hAnsi="Arial" w:cs="Arial"/>
                <w:sz w:val="22"/>
                <w:szCs w:val="22"/>
              </w:rPr>
            </w:pPr>
            <w:r>
              <w:rPr>
                <w:rFonts w:ascii="Arial" w:hAnsi="Arial" w:cs="Arial"/>
                <w:sz w:val="22"/>
                <w:szCs w:val="22"/>
              </w:rPr>
              <w:t>1</w:t>
            </w:r>
            <w:r>
              <w:rPr>
                <w:rFonts w:hint="eastAsia" w:ascii="Arial" w:hAnsi="Arial" w:cs="Arial"/>
                <w:sz w:val="22"/>
                <w:szCs w:val="22"/>
                <w:lang w:val="en-US" w:eastAsia="zh-CN"/>
              </w:rPr>
              <w:t>0</w:t>
            </w:r>
            <w:r>
              <w:rPr>
                <w:rFonts w:ascii="Arial" w:hAnsi="Arial" w:cs="Arial"/>
                <w:sz w:val="22"/>
                <w:szCs w:val="22"/>
              </w:rPr>
              <w:t>00mg/L</w:t>
            </w:r>
          </w:p>
        </w:tc>
        <w:tc>
          <w:tcPr>
            <w:tcW w:w="1275" w:type="dxa"/>
            <w:tcBorders>
              <w:tl2br w:val="nil"/>
              <w:tr2bl w:val="nil"/>
            </w:tcBorders>
            <w:noWrap w:val="0"/>
            <w:vAlign w:val="center"/>
          </w:tcPr>
          <w:p w14:paraId="1FA7A3B2">
            <w:pPr>
              <w:pStyle w:val="946"/>
              <w:spacing w:line="300" w:lineRule="exact"/>
              <w:rPr>
                <w:rFonts w:ascii="Arial" w:hAnsi="Arial" w:cs="Arial"/>
                <w:sz w:val="22"/>
                <w:szCs w:val="22"/>
              </w:rPr>
            </w:pPr>
            <w:r>
              <w:rPr>
                <w:rFonts w:hint="eastAsia" w:ascii="Arial" w:hAnsi="Arial" w:cs="Arial"/>
                <w:sz w:val="22"/>
                <w:szCs w:val="22"/>
                <w:lang w:val="en-US" w:eastAsia="zh-CN"/>
              </w:rPr>
              <w:t>3</w:t>
            </w:r>
            <w:r>
              <w:rPr>
                <w:rFonts w:ascii="Arial" w:hAnsi="Arial" w:cs="Arial"/>
                <w:sz w:val="22"/>
                <w:szCs w:val="22"/>
              </w:rPr>
              <w:t>kg/d</w:t>
            </w:r>
          </w:p>
        </w:tc>
        <w:tc>
          <w:tcPr>
            <w:tcW w:w="2734" w:type="dxa"/>
            <w:vMerge w:val="continue"/>
            <w:tcBorders>
              <w:tl2br w:val="nil"/>
              <w:tr2bl w:val="nil"/>
            </w:tcBorders>
            <w:noWrap w:val="0"/>
            <w:vAlign w:val="center"/>
          </w:tcPr>
          <w:p w14:paraId="68C97FC2">
            <w:pPr>
              <w:pStyle w:val="946"/>
              <w:spacing w:line="300" w:lineRule="exact"/>
              <w:rPr>
                <w:rFonts w:ascii="Arial" w:hAnsi="Arial" w:cs="Arial"/>
                <w:sz w:val="22"/>
                <w:szCs w:val="22"/>
              </w:rPr>
            </w:pPr>
          </w:p>
        </w:tc>
        <w:tc>
          <w:tcPr>
            <w:tcW w:w="1247" w:type="dxa"/>
            <w:tcBorders>
              <w:tl2br w:val="nil"/>
              <w:tr2bl w:val="nil"/>
            </w:tcBorders>
            <w:noWrap w:val="0"/>
            <w:vAlign w:val="center"/>
          </w:tcPr>
          <w:p w14:paraId="63685ECB">
            <w:pPr>
              <w:pStyle w:val="946"/>
              <w:spacing w:line="300" w:lineRule="exact"/>
              <w:rPr>
                <w:rFonts w:ascii="Arial" w:hAnsi="Arial" w:cs="Arial"/>
                <w:sz w:val="22"/>
                <w:szCs w:val="22"/>
              </w:rPr>
            </w:pPr>
            <w:r>
              <w:rPr>
                <w:rFonts w:ascii="Arial" w:hAnsi="Arial" w:cs="Arial"/>
                <w:sz w:val="22"/>
                <w:szCs w:val="22"/>
              </w:rPr>
              <w:t>0</w:t>
            </w:r>
          </w:p>
        </w:tc>
        <w:tc>
          <w:tcPr>
            <w:tcW w:w="915" w:type="dxa"/>
            <w:tcBorders>
              <w:tl2br w:val="nil"/>
              <w:tr2bl w:val="nil"/>
            </w:tcBorders>
            <w:noWrap w:val="0"/>
            <w:vAlign w:val="center"/>
          </w:tcPr>
          <w:p w14:paraId="58B2580D">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0DAC34BA">
            <w:pPr>
              <w:pStyle w:val="946"/>
              <w:spacing w:line="300" w:lineRule="exact"/>
              <w:rPr>
                <w:rFonts w:ascii="Arial" w:hAnsi="Arial" w:cs="Arial"/>
                <w:sz w:val="22"/>
                <w:szCs w:val="22"/>
              </w:rPr>
            </w:pPr>
            <w:r>
              <w:rPr>
                <w:rFonts w:ascii="Arial" w:hAnsi="Arial" w:cs="Arial"/>
                <w:sz w:val="22"/>
                <w:szCs w:val="22"/>
              </w:rPr>
              <w:t>/</w:t>
            </w:r>
          </w:p>
        </w:tc>
      </w:tr>
      <w:tr w14:paraId="11E45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1AD91D9D">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765D6AD2">
            <w:pPr>
              <w:widowControl/>
              <w:spacing w:line="300" w:lineRule="exact"/>
              <w:jc w:val="center"/>
              <w:rPr>
                <w:rFonts w:ascii="Arial" w:hAnsi="Arial" w:cs="Arial"/>
                <w:sz w:val="22"/>
                <w:szCs w:val="22"/>
              </w:rPr>
            </w:pPr>
          </w:p>
        </w:tc>
        <w:tc>
          <w:tcPr>
            <w:tcW w:w="1347" w:type="dxa"/>
            <w:gridSpan w:val="2"/>
            <w:tcBorders>
              <w:tl2br w:val="nil"/>
              <w:tr2bl w:val="nil"/>
            </w:tcBorders>
            <w:noWrap w:val="0"/>
            <w:vAlign w:val="center"/>
          </w:tcPr>
          <w:p w14:paraId="651E829A">
            <w:pPr>
              <w:widowControl/>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初期雨水</w:t>
            </w:r>
          </w:p>
        </w:tc>
        <w:tc>
          <w:tcPr>
            <w:tcW w:w="1213" w:type="dxa"/>
            <w:tcBorders>
              <w:tl2br w:val="nil"/>
              <w:tr2bl w:val="nil"/>
            </w:tcBorders>
            <w:noWrap w:val="0"/>
            <w:vAlign w:val="center"/>
          </w:tcPr>
          <w:p w14:paraId="0037500C">
            <w:pPr>
              <w:widowControl/>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w:t>
            </w:r>
          </w:p>
        </w:tc>
        <w:tc>
          <w:tcPr>
            <w:tcW w:w="1035" w:type="dxa"/>
            <w:tcBorders>
              <w:tl2br w:val="nil"/>
              <w:tr2bl w:val="nil"/>
            </w:tcBorders>
            <w:noWrap w:val="0"/>
            <w:vAlign w:val="center"/>
          </w:tcPr>
          <w:p w14:paraId="6CA98CA7">
            <w:pPr>
              <w:pStyle w:val="946"/>
              <w:spacing w:line="300" w:lineRule="exact"/>
              <w:rPr>
                <w:rFonts w:hint="default" w:ascii="Arial" w:hAnsi="Arial" w:eastAsia="宋体" w:cs="Arial"/>
                <w:sz w:val="22"/>
                <w:szCs w:val="22"/>
                <w:lang w:val="en-US" w:eastAsia="zh-CN"/>
              </w:rPr>
            </w:pPr>
            <w:r>
              <w:rPr>
                <w:rFonts w:hint="eastAsia" w:ascii="Arial" w:hAnsi="Arial" w:cs="Arial"/>
                <w:sz w:val="22"/>
                <w:szCs w:val="22"/>
                <w:lang w:val="en-US" w:eastAsia="zh-CN"/>
              </w:rPr>
              <w:t>SS</w:t>
            </w:r>
          </w:p>
        </w:tc>
        <w:tc>
          <w:tcPr>
            <w:tcW w:w="1276" w:type="dxa"/>
            <w:tcBorders>
              <w:tl2br w:val="nil"/>
              <w:tr2bl w:val="nil"/>
            </w:tcBorders>
            <w:shd w:val="clear" w:color="auto" w:fill="auto"/>
            <w:noWrap w:val="0"/>
            <w:vAlign w:val="center"/>
          </w:tcPr>
          <w:p w14:paraId="48BA3482">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1275" w:type="dxa"/>
            <w:tcBorders>
              <w:tl2br w:val="nil"/>
              <w:tr2bl w:val="nil"/>
            </w:tcBorders>
            <w:shd w:val="clear" w:color="auto" w:fill="auto"/>
            <w:noWrap w:val="0"/>
            <w:vAlign w:val="center"/>
          </w:tcPr>
          <w:p w14:paraId="7C793CF0">
            <w:pPr>
              <w:pStyle w:val="946"/>
              <w:spacing w:line="300" w:lineRule="exact"/>
              <w:rPr>
                <w:rFonts w:hint="eastAsia" w:ascii="Arial" w:hAnsi="Arial" w:eastAsia="宋体" w:cs="Arial"/>
                <w:kern w:val="2"/>
                <w:sz w:val="22"/>
                <w:szCs w:val="22"/>
                <w:lang w:val="en-US" w:eastAsia="zh-CN" w:bidi="ar-SA"/>
              </w:rPr>
            </w:pPr>
            <w:r>
              <w:rPr>
                <w:rFonts w:ascii="Arial" w:hAnsi="Arial" w:cs="Arial"/>
                <w:sz w:val="22"/>
                <w:szCs w:val="22"/>
              </w:rPr>
              <w:t>/</w:t>
            </w:r>
          </w:p>
        </w:tc>
        <w:tc>
          <w:tcPr>
            <w:tcW w:w="2734" w:type="dxa"/>
            <w:tcBorders>
              <w:tl2br w:val="nil"/>
              <w:tr2bl w:val="nil"/>
            </w:tcBorders>
            <w:noWrap w:val="0"/>
            <w:vAlign w:val="center"/>
          </w:tcPr>
          <w:p w14:paraId="0545259A">
            <w:pPr>
              <w:pStyle w:val="946"/>
              <w:spacing w:line="300" w:lineRule="exact"/>
              <w:rPr>
                <w:rFonts w:ascii="Arial" w:hAnsi="Arial" w:cs="Arial"/>
                <w:sz w:val="22"/>
                <w:szCs w:val="22"/>
              </w:rPr>
            </w:pPr>
            <w:r>
              <w:rPr>
                <w:rFonts w:hint="eastAsia" w:ascii="Arial" w:hAnsi="Arial" w:cs="Arial"/>
                <w:color w:val="auto"/>
                <w:sz w:val="22"/>
                <w:szCs w:val="22"/>
                <w:lang w:eastAsia="zh-CN"/>
              </w:rPr>
              <w:t>经截排水沟、沉砂池收集处处理后，作施工用水。</w:t>
            </w:r>
          </w:p>
        </w:tc>
        <w:tc>
          <w:tcPr>
            <w:tcW w:w="1247" w:type="dxa"/>
            <w:tcBorders>
              <w:tl2br w:val="nil"/>
              <w:tr2bl w:val="nil"/>
            </w:tcBorders>
            <w:shd w:val="clear" w:color="auto" w:fill="auto"/>
            <w:noWrap w:val="0"/>
            <w:vAlign w:val="center"/>
          </w:tcPr>
          <w:p w14:paraId="61C2D695">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0</w:t>
            </w:r>
          </w:p>
        </w:tc>
        <w:tc>
          <w:tcPr>
            <w:tcW w:w="915" w:type="dxa"/>
            <w:tcBorders>
              <w:tl2br w:val="nil"/>
              <w:tr2bl w:val="nil"/>
            </w:tcBorders>
            <w:shd w:val="clear" w:color="auto" w:fill="auto"/>
            <w:noWrap w:val="0"/>
            <w:vAlign w:val="center"/>
          </w:tcPr>
          <w:p w14:paraId="6C5EBCE5">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1019" w:type="dxa"/>
            <w:tcBorders>
              <w:tl2br w:val="nil"/>
              <w:tr2bl w:val="nil"/>
            </w:tcBorders>
            <w:shd w:val="clear" w:color="auto" w:fill="auto"/>
            <w:noWrap w:val="0"/>
            <w:vAlign w:val="center"/>
          </w:tcPr>
          <w:p w14:paraId="4278E5D8">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r>
      <w:tr w14:paraId="6C516E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609" w:type="dxa"/>
            <w:vMerge w:val="continue"/>
            <w:tcBorders>
              <w:tl2br w:val="nil"/>
              <w:tr2bl w:val="nil"/>
            </w:tcBorders>
            <w:noWrap w:val="0"/>
            <w:vAlign w:val="center"/>
          </w:tcPr>
          <w:p w14:paraId="42530F14">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51BF1CB8">
            <w:pPr>
              <w:widowControl/>
              <w:spacing w:line="300" w:lineRule="exact"/>
              <w:jc w:val="center"/>
              <w:rPr>
                <w:rFonts w:ascii="Arial" w:hAnsi="Arial" w:cs="Arial"/>
                <w:sz w:val="22"/>
                <w:szCs w:val="22"/>
              </w:rPr>
            </w:pPr>
          </w:p>
        </w:tc>
        <w:tc>
          <w:tcPr>
            <w:tcW w:w="617" w:type="dxa"/>
            <w:vMerge w:val="restart"/>
            <w:tcBorders>
              <w:tl2br w:val="nil"/>
              <w:tr2bl w:val="nil"/>
            </w:tcBorders>
            <w:noWrap w:val="0"/>
            <w:vAlign w:val="center"/>
          </w:tcPr>
          <w:p w14:paraId="77BEA3B2">
            <w:pPr>
              <w:pStyle w:val="946"/>
              <w:spacing w:line="300" w:lineRule="exact"/>
              <w:rPr>
                <w:rFonts w:ascii="Arial" w:hAnsi="Arial" w:cs="Arial"/>
                <w:sz w:val="22"/>
                <w:szCs w:val="22"/>
              </w:rPr>
            </w:pPr>
            <w:r>
              <w:rPr>
                <w:rFonts w:ascii="Arial" w:hAnsi="Arial" w:cs="Arial"/>
                <w:sz w:val="22"/>
                <w:szCs w:val="22"/>
              </w:rPr>
              <w:t>施工人员生活废水</w:t>
            </w:r>
          </w:p>
        </w:tc>
        <w:tc>
          <w:tcPr>
            <w:tcW w:w="730" w:type="dxa"/>
            <w:tcBorders>
              <w:tl2br w:val="nil"/>
              <w:tr2bl w:val="nil"/>
            </w:tcBorders>
            <w:noWrap w:val="0"/>
            <w:vAlign w:val="center"/>
          </w:tcPr>
          <w:p w14:paraId="3EFCEEA1">
            <w:pPr>
              <w:pStyle w:val="946"/>
              <w:spacing w:line="300" w:lineRule="exact"/>
              <w:rPr>
                <w:rFonts w:ascii="Arial" w:hAnsi="Arial" w:cs="Arial"/>
                <w:sz w:val="22"/>
                <w:szCs w:val="22"/>
              </w:rPr>
            </w:pPr>
            <w:r>
              <w:rPr>
                <w:rFonts w:ascii="Arial" w:hAnsi="Arial" w:cs="Arial"/>
                <w:sz w:val="22"/>
                <w:szCs w:val="22"/>
              </w:rPr>
              <w:t>枢纽工程</w:t>
            </w:r>
          </w:p>
        </w:tc>
        <w:tc>
          <w:tcPr>
            <w:tcW w:w="1213" w:type="dxa"/>
            <w:tcBorders>
              <w:tl2br w:val="nil"/>
              <w:tr2bl w:val="nil"/>
            </w:tcBorders>
            <w:noWrap w:val="0"/>
            <w:vAlign w:val="center"/>
          </w:tcPr>
          <w:p w14:paraId="7648C1B0">
            <w:pPr>
              <w:spacing w:line="300" w:lineRule="exact"/>
              <w:jc w:val="center"/>
              <w:rPr>
                <w:rFonts w:ascii="Arial" w:hAnsi="Arial" w:cs="Arial"/>
                <w:sz w:val="22"/>
                <w:szCs w:val="22"/>
              </w:rPr>
            </w:pPr>
            <w:r>
              <w:rPr>
                <w:rFonts w:hint="eastAsia" w:ascii="Arial" w:hAnsi="Arial" w:cs="Arial"/>
                <w:sz w:val="22"/>
                <w:szCs w:val="22"/>
                <w:lang w:val="en-US" w:eastAsia="zh-CN"/>
              </w:rPr>
              <w:t>8.1</w:t>
            </w:r>
            <w:r>
              <w:rPr>
                <w:rFonts w:ascii="Arial" w:hAnsi="Arial" w:cs="Arial"/>
                <w:sz w:val="22"/>
                <w:szCs w:val="22"/>
              </w:rPr>
              <w:t>m</w:t>
            </w:r>
            <w:r>
              <w:rPr>
                <w:rFonts w:ascii="Arial" w:hAnsi="Arial" w:cs="Arial"/>
                <w:sz w:val="22"/>
                <w:szCs w:val="22"/>
                <w:vertAlign w:val="superscript"/>
              </w:rPr>
              <w:t>3</w:t>
            </w:r>
            <w:r>
              <w:rPr>
                <w:rFonts w:ascii="Arial" w:hAnsi="Arial" w:cs="Arial"/>
                <w:sz w:val="22"/>
                <w:szCs w:val="22"/>
              </w:rPr>
              <w:t>/d</w:t>
            </w:r>
          </w:p>
        </w:tc>
        <w:tc>
          <w:tcPr>
            <w:tcW w:w="1035" w:type="dxa"/>
            <w:tcBorders>
              <w:tl2br w:val="nil"/>
              <w:tr2bl w:val="nil"/>
            </w:tcBorders>
            <w:noWrap w:val="0"/>
            <w:vAlign w:val="center"/>
          </w:tcPr>
          <w:p w14:paraId="6E396C6B">
            <w:pPr>
              <w:pStyle w:val="946"/>
              <w:spacing w:line="300" w:lineRule="exact"/>
              <w:rPr>
                <w:rFonts w:ascii="Arial" w:hAnsi="Arial" w:cs="Arial"/>
                <w:sz w:val="22"/>
                <w:szCs w:val="22"/>
              </w:rPr>
            </w:pPr>
            <w:r>
              <w:rPr>
                <w:rFonts w:ascii="Arial" w:hAnsi="Arial" w:cs="Arial"/>
                <w:sz w:val="22"/>
                <w:szCs w:val="22"/>
              </w:rPr>
              <w:t>COD</w:t>
            </w:r>
          </w:p>
          <w:p w14:paraId="3AA5FA9A">
            <w:pPr>
              <w:pStyle w:val="946"/>
              <w:spacing w:line="300" w:lineRule="exact"/>
              <w:rPr>
                <w:rFonts w:ascii="Arial" w:hAnsi="Arial" w:cs="Arial"/>
                <w:sz w:val="22"/>
                <w:szCs w:val="22"/>
              </w:rPr>
            </w:pPr>
            <w:r>
              <w:rPr>
                <w:rFonts w:ascii="Arial" w:hAnsi="Arial" w:cs="Arial"/>
                <w:sz w:val="22"/>
                <w:szCs w:val="22"/>
              </w:rPr>
              <w:t>BOD</w:t>
            </w:r>
            <w:r>
              <w:rPr>
                <w:rFonts w:ascii="Arial" w:hAnsi="Arial" w:cs="Arial"/>
                <w:sz w:val="22"/>
                <w:szCs w:val="22"/>
                <w:vertAlign w:val="subscript"/>
              </w:rPr>
              <w:t>5</w:t>
            </w:r>
          </w:p>
          <w:p w14:paraId="54F63010">
            <w:pPr>
              <w:pStyle w:val="946"/>
              <w:spacing w:line="300" w:lineRule="exact"/>
              <w:rPr>
                <w:rFonts w:ascii="Arial" w:hAnsi="Arial" w:cs="Arial"/>
                <w:sz w:val="22"/>
                <w:szCs w:val="22"/>
              </w:rPr>
            </w:pPr>
            <w:r>
              <w:rPr>
                <w:rFonts w:ascii="Arial" w:hAnsi="Arial" w:cs="Arial"/>
                <w:sz w:val="22"/>
                <w:szCs w:val="22"/>
              </w:rPr>
              <w:t>SS</w:t>
            </w:r>
          </w:p>
          <w:p w14:paraId="4A3C4A0B">
            <w:pPr>
              <w:pStyle w:val="946"/>
              <w:spacing w:line="300" w:lineRule="exact"/>
              <w:rPr>
                <w:rFonts w:ascii="Arial" w:hAnsi="Arial" w:cs="Arial"/>
                <w:sz w:val="22"/>
                <w:szCs w:val="22"/>
              </w:rPr>
            </w:pPr>
            <w:r>
              <w:rPr>
                <w:rFonts w:ascii="Arial" w:hAnsi="Arial" w:cs="Arial"/>
                <w:sz w:val="22"/>
                <w:szCs w:val="22"/>
              </w:rPr>
              <w:t>氨氮</w:t>
            </w:r>
          </w:p>
        </w:tc>
        <w:tc>
          <w:tcPr>
            <w:tcW w:w="1276" w:type="dxa"/>
            <w:tcBorders>
              <w:tl2br w:val="nil"/>
              <w:tr2bl w:val="nil"/>
            </w:tcBorders>
            <w:noWrap w:val="0"/>
            <w:vAlign w:val="center"/>
          </w:tcPr>
          <w:p w14:paraId="6380129D">
            <w:pPr>
              <w:pStyle w:val="946"/>
              <w:spacing w:line="300" w:lineRule="exact"/>
              <w:rPr>
                <w:rFonts w:ascii="Arial" w:hAnsi="Arial" w:cs="Arial"/>
                <w:sz w:val="22"/>
                <w:szCs w:val="22"/>
              </w:rPr>
            </w:pPr>
            <w:r>
              <w:rPr>
                <w:rFonts w:ascii="Arial" w:hAnsi="Arial" w:cs="Arial"/>
                <w:sz w:val="22"/>
                <w:szCs w:val="22"/>
              </w:rPr>
              <w:t>450mg/L</w:t>
            </w:r>
          </w:p>
          <w:p w14:paraId="7BD618F0">
            <w:pPr>
              <w:pStyle w:val="946"/>
              <w:spacing w:line="300" w:lineRule="exact"/>
              <w:rPr>
                <w:rFonts w:ascii="Arial" w:hAnsi="Arial" w:cs="Arial"/>
                <w:sz w:val="22"/>
                <w:szCs w:val="22"/>
              </w:rPr>
            </w:pPr>
            <w:r>
              <w:rPr>
                <w:rFonts w:ascii="Arial" w:hAnsi="Arial" w:cs="Arial"/>
                <w:sz w:val="22"/>
                <w:szCs w:val="22"/>
              </w:rPr>
              <w:t>250mg/L</w:t>
            </w:r>
          </w:p>
          <w:p w14:paraId="596B3E5D">
            <w:pPr>
              <w:pStyle w:val="946"/>
              <w:spacing w:line="300" w:lineRule="exact"/>
              <w:rPr>
                <w:rFonts w:ascii="Arial" w:hAnsi="Arial" w:cs="Arial"/>
                <w:sz w:val="22"/>
                <w:szCs w:val="22"/>
              </w:rPr>
            </w:pPr>
            <w:r>
              <w:rPr>
                <w:rFonts w:ascii="Arial" w:hAnsi="Arial" w:cs="Arial"/>
                <w:sz w:val="22"/>
                <w:szCs w:val="22"/>
              </w:rPr>
              <w:t>250mg/L</w:t>
            </w:r>
          </w:p>
          <w:p w14:paraId="41319439">
            <w:pPr>
              <w:pStyle w:val="946"/>
              <w:spacing w:line="300" w:lineRule="exact"/>
              <w:rPr>
                <w:rFonts w:ascii="Arial" w:hAnsi="Arial" w:cs="Arial"/>
                <w:sz w:val="22"/>
                <w:szCs w:val="22"/>
              </w:rPr>
            </w:pPr>
            <w:r>
              <w:rPr>
                <w:rFonts w:ascii="Arial" w:hAnsi="Arial" w:cs="Arial"/>
                <w:sz w:val="22"/>
                <w:szCs w:val="22"/>
              </w:rPr>
              <w:t>30mg/L</w:t>
            </w:r>
          </w:p>
        </w:tc>
        <w:tc>
          <w:tcPr>
            <w:tcW w:w="1275" w:type="dxa"/>
            <w:tcBorders>
              <w:tl2br w:val="nil"/>
              <w:tr2bl w:val="nil"/>
            </w:tcBorders>
            <w:noWrap w:val="0"/>
            <w:vAlign w:val="center"/>
          </w:tcPr>
          <w:p w14:paraId="1154974E">
            <w:pPr>
              <w:pStyle w:val="946"/>
              <w:spacing w:line="300" w:lineRule="exact"/>
              <w:rPr>
                <w:rFonts w:ascii="Arial" w:hAnsi="Arial" w:cs="Arial"/>
                <w:sz w:val="22"/>
                <w:szCs w:val="22"/>
              </w:rPr>
            </w:pPr>
            <w:r>
              <w:rPr>
                <w:rFonts w:hint="eastAsia" w:ascii="Arial" w:hAnsi="Arial" w:cs="Arial"/>
                <w:sz w:val="22"/>
                <w:szCs w:val="22"/>
                <w:lang w:val="en-US" w:eastAsia="zh-CN"/>
              </w:rPr>
              <w:t>3.645</w:t>
            </w:r>
            <w:r>
              <w:rPr>
                <w:rFonts w:ascii="Arial" w:hAnsi="Arial" w:cs="Arial"/>
                <w:sz w:val="22"/>
                <w:szCs w:val="22"/>
              </w:rPr>
              <w:t>kg/d</w:t>
            </w:r>
          </w:p>
          <w:p w14:paraId="47958708">
            <w:pPr>
              <w:pStyle w:val="946"/>
              <w:spacing w:line="300" w:lineRule="exact"/>
              <w:rPr>
                <w:rFonts w:ascii="Arial" w:hAnsi="Arial" w:cs="Arial"/>
                <w:sz w:val="22"/>
                <w:szCs w:val="22"/>
              </w:rPr>
            </w:pPr>
            <w:r>
              <w:rPr>
                <w:rFonts w:hint="eastAsia" w:ascii="Arial" w:hAnsi="Arial" w:cs="Arial"/>
                <w:sz w:val="22"/>
                <w:szCs w:val="22"/>
                <w:lang w:val="en-US" w:eastAsia="zh-CN"/>
              </w:rPr>
              <w:t>2.025</w:t>
            </w:r>
            <w:r>
              <w:rPr>
                <w:rFonts w:ascii="Arial" w:hAnsi="Arial" w:cs="Arial"/>
                <w:sz w:val="22"/>
                <w:szCs w:val="22"/>
              </w:rPr>
              <w:t>kg/d</w:t>
            </w:r>
          </w:p>
          <w:p w14:paraId="03A3607F">
            <w:pPr>
              <w:pStyle w:val="946"/>
              <w:spacing w:line="300" w:lineRule="exact"/>
              <w:rPr>
                <w:rFonts w:ascii="Arial" w:hAnsi="Arial" w:cs="Arial"/>
                <w:sz w:val="22"/>
                <w:szCs w:val="22"/>
              </w:rPr>
            </w:pPr>
            <w:r>
              <w:rPr>
                <w:rFonts w:hint="eastAsia" w:ascii="Arial" w:hAnsi="Arial" w:cs="Arial"/>
                <w:sz w:val="22"/>
                <w:szCs w:val="22"/>
                <w:lang w:val="en-US" w:eastAsia="zh-CN"/>
              </w:rPr>
              <w:t>2.025</w:t>
            </w:r>
            <w:r>
              <w:rPr>
                <w:rFonts w:ascii="Arial" w:hAnsi="Arial" w:cs="Arial"/>
                <w:sz w:val="22"/>
                <w:szCs w:val="22"/>
              </w:rPr>
              <w:t>kg/d</w:t>
            </w:r>
          </w:p>
          <w:p w14:paraId="15454E4A">
            <w:pPr>
              <w:pStyle w:val="946"/>
              <w:spacing w:line="300" w:lineRule="exact"/>
              <w:rPr>
                <w:rFonts w:ascii="Arial" w:hAnsi="Arial" w:cs="Arial"/>
                <w:sz w:val="22"/>
                <w:szCs w:val="22"/>
              </w:rPr>
            </w:pPr>
            <w:r>
              <w:rPr>
                <w:rFonts w:hint="eastAsia" w:ascii="Arial" w:hAnsi="Arial" w:cs="Arial"/>
                <w:sz w:val="22"/>
                <w:szCs w:val="22"/>
                <w:lang w:val="en-US" w:eastAsia="zh-CN"/>
              </w:rPr>
              <w:t>0.243</w:t>
            </w:r>
            <w:r>
              <w:rPr>
                <w:rFonts w:ascii="Arial" w:hAnsi="Arial" w:cs="Arial"/>
                <w:sz w:val="22"/>
                <w:szCs w:val="22"/>
              </w:rPr>
              <w:t>kg/d</w:t>
            </w:r>
          </w:p>
        </w:tc>
        <w:tc>
          <w:tcPr>
            <w:tcW w:w="2734" w:type="dxa"/>
            <w:vMerge w:val="restart"/>
            <w:tcBorders>
              <w:tl2br w:val="nil"/>
              <w:tr2bl w:val="nil"/>
            </w:tcBorders>
            <w:noWrap w:val="0"/>
            <w:vAlign w:val="center"/>
          </w:tcPr>
          <w:p w14:paraId="787D0283">
            <w:pPr>
              <w:pStyle w:val="946"/>
              <w:spacing w:line="300" w:lineRule="exact"/>
              <w:rPr>
                <w:rFonts w:hint="eastAsia" w:ascii="Arial" w:hAnsi="Arial" w:cs="Arial"/>
                <w:sz w:val="22"/>
                <w:szCs w:val="22"/>
                <w:lang w:eastAsia="zh-CN"/>
              </w:rPr>
            </w:pPr>
            <w:r>
              <w:rPr>
                <w:rFonts w:hint="eastAsia" w:ascii="Arial" w:cs="Arial"/>
                <w:color w:val="auto"/>
                <w:sz w:val="22"/>
                <w:szCs w:val="22"/>
                <w:lang w:eastAsia="zh-CN"/>
              </w:rPr>
              <w:t>经租赁居民房屋内已有的旱厕收集处理后，全部回用作农肥，不外排。</w:t>
            </w:r>
          </w:p>
        </w:tc>
        <w:tc>
          <w:tcPr>
            <w:tcW w:w="1247" w:type="dxa"/>
            <w:vMerge w:val="restart"/>
            <w:tcBorders>
              <w:tl2br w:val="nil"/>
              <w:tr2bl w:val="nil"/>
            </w:tcBorders>
            <w:shd w:val="clear" w:color="auto" w:fill="auto"/>
            <w:noWrap w:val="0"/>
            <w:vAlign w:val="center"/>
          </w:tcPr>
          <w:p w14:paraId="6149B26A">
            <w:pPr>
              <w:pStyle w:val="946"/>
              <w:spacing w:line="300" w:lineRule="exact"/>
              <w:rPr>
                <w:rFonts w:hint="eastAsia" w:ascii="Arial" w:hAnsi="Arial" w:eastAsia="宋体" w:cs="Arial"/>
                <w:kern w:val="2"/>
                <w:sz w:val="22"/>
                <w:szCs w:val="22"/>
                <w:lang w:val="en-US" w:eastAsia="zh-CN" w:bidi="ar-SA"/>
              </w:rPr>
            </w:pPr>
            <w:r>
              <w:rPr>
                <w:rFonts w:ascii="Arial" w:hAnsi="Arial" w:cs="Arial"/>
                <w:sz w:val="22"/>
                <w:szCs w:val="22"/>
              </w:rPr>
              <w:t>0</w:t>
            </w:r>
          </w:p>
        </w:tc>
        <w:tc>
          <w:tcPr>
            <w:tcW w:w="915" w:type="dxa"/>
            <w:vMerge w:val="restart"/>
            <w:tcBorders>
              <w:tl2br w:val="nil"/>
              <w:tr2bl w:val="nil"/>
            </w:tcBorders>
            <w:shd w:val="clear" w:color="auto" w:fill="auto"/>
            <w:noWrap w:val="0"/>
            <w:vAlign w:val="center"/>
          </w:tcPr>
          <w:p w14:paraId="081F3031">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1019" w:type="dxa"/>
            <w:vMerge w:val="restart"/>
            <w:tcBorders>
              <w:tl2br w:val="nil"/>
              <w:tr2bl w:val="nil"/>
            </w:tcBorders>
            <w:shd w:val="clear" w:color="auto" w:fill="auto"/>
            <w:noWrap w:val="0"/>
            <w:vAlign w:val="center"/>
          </w:tcPr>
          <w:p w14:paraId="40FD3BB5">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r>
      <w:tr w14:paraId="43F82C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609" w:type="dxa"/>
            <w:vMerge w:val="continue"/>
            <w:tcBorders>
              <w:tl2br w:val="nil"/>
              <w:tr2bl w:val="nil"/>
            </w:tcBorders>
            <w:noWrap w:val="0"/>
            <w:vAlign w:val="center"/>
          </w:tcPr>
          <w:p w14:paraId="6158B843">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5BBC3EE9">
            <w:pPr>
              <w:widowControl/>
              <w:spacing w:line="300" w:lineRule="exact"/>
              <w:jc w:val="center"/>
              <w:rPr>
                <w:rFonts w:ascii="Arial" w:hAnsi="Arial" w:cs="Arial"/>
                <w:sz w:val="22"/>
                <w:szCs w:val="22"/>
              </w:rPr>
            </w:pPr>
          </w:p>
        </w:tc>
        <w:tc>
          <w:tcPr>
            <w:tcW w:w="617" w:type="dxa"/>
            <w:vMerge w:val="continue"/>
            <w:tcBorders>
              <w:tl2br w:val="nil"/>
              <w:tr2bl w:val="nil"/>
            </w:tcBorders>
            <w:noWrap w:val="0"/>
            <w:vAlign w:val="center"/>
          </w:tcPr>
          <w:p w14:paraId="14C7C645">
            <w:pPr>
              <w:widowControl/>
              <w:spacing w:line="300" w:lineRule="exact"/>
              <w:jc w:val="center"/>
              <w:rPr>
                <w:rFonts w:ascii="Arial" w:hAnsi="Arial" w:cs="Arial"/>
                <w:sz w:val="22"/>
                <w:szCs w:val="22"/>
              </w:rPr>
            </w:pPr>
          </w:p>
        </w:tc>
        <w:tc>
          <w:tcPr>
            <w:tcW w:w="730" w:type="dxa"/>
            <w:tcBorders>
              <w:tl2br w:val="nil"/>
              <w:tr2bl w:val="nil"/>
            </w:tcBorders>
            <w:noWrap w:val="0"/>
            <w:vAlign w:val="center"/>
          </w:tcPr>
          <w:p w14:paraId="3F26EF06">
            <w:pPr>
              <w:pStyle w:val="946"/>
              <w:spacing w:line="300" w:lineRule="exact"/>
              <w:rPr>
                <w:rFonts w:ascii="Arial" w:hAnsi="Arial" w:cs="Arial"/>
                <w:sz w:val="22"/>
                <w:szCs w:val="22"/>
              </w:rPr>
            </w:pPr>
            <w:r>
              <w:rPr>
                <w:rFonts w:ascii="Arial" w:hAnsi="Arial" w:cs="Arial"/>
                <w:sz w:val="22"/>
                <w:szCs w:val="22"/>
              </w:rPr>
              <w:t>灌区工程</w:t>
            </w:r>
          </w:p>
        </w:tc>
        <w:tc>
          <w:tcPr>
            <w:tcW w:w="1213" w:type="dxa"/>
            <w:tcBorders>
              <w:tl2br w:val="nil"/>
              <w:tr2bl w:val="nil"/>
            </w:tcBorders>
            <w:noWrap w:val="0"/>
            <w:vAlign w:val="center"/>
          </w:tcPr>
          <w:p w14:paraId="423F6100">
            <w:pPr>
              <w:spacing w:line="300" w:lineRule="exact"/>
              <w:jc w:val="center"/>
              <w:rPr>
                <w:rFonts w:ascii="Arial" w:hAnsi="Arial" w:cs="Arial"/>
                <w:sz w:val="22"/>
                <w:szCs w:val="22"/>
              </w:rPr>
            </w:pPr>
            <w:r>
              <w:rPr>
                <w:rFonts w:hint="eastAsia" w:ascii="Arial" w:hAnsi="Arial" w:cs="Arial"/>
                <w:sz w:val="22"/>
                <w:szCs w:val="22"/>
                <w:lang w:val="en-US" w:eastAsia="zh-CN"/>
              </w:rPr>
              <w:t>3.6</w:t>
            </w:r>
            <w:r>
              <w:rPr>
                <w:rFonts w:ascii="Arial" w:hAnsi="Arial" w:cs="Arial"/>
                <w:sz w:val="22"/>
                <w:szCs w:val="22"/>
              </w:rPr>
              <w:t>m</w:t>
            </w:r>
            <w:r>
              <w:rPr>
                <w:rFonts w:ascii="Arial" w:hAnsi="Arial" w:cs="Arial"/>
                <w:sz w:val="22"/>
                <w:szCs w:val="22"/>
                <w:vertAlign w:val="superscript"/>
              </w:rPr>
              <w:t>3</w:t>
            </w:r>
            <w:r>
              <w:rPr>
                <w:rFonts w:ascii="Arial" w:hAnsi="Arial" w:cs="Arial"/>
                <w:sz w:val="22"/>
                <w:szCs w:val="22"/>
              </w:rPr>
              <w:t>/d</w:t>
            </w:r>
          </w:p>
        </w:tc>
        <w:tc>
          <w:tcPr>
            <w:tcW w:w="1035" w:type="dxa"/>
            <w:tcBorders>
              <w:tl2br w:val="nil"/>
              <w:tr2bl w:val="nil"/>
            </w:tcBorders>
            <w:noWrap w:val="0"/>
            <w:vAlign w:val="center"/>
          </w:tcPr>
          <w:p w14:paraId="0CC6284A">
            <w:pPr>
              <w:pStyle w:val="946"/>
              <w:spacing w:line="300" w:lineRule="exact"/>
              <w:rPr>
                <w:rFonts w:ascii="Arial" w:hAnsi="Arial" w:cs="Arial"/>
                <w:sz w:val="22"/>
                <w:szCs w:val="22"/>
              </w:rPr>
            </w:pPr>
            <w:r>
              <w:rPr>
                <w:rFonts w:ascii="Arial" w:hAnsi="Arial" w:cs="Arial"/>
                <w:sz w:val="22"/>
                <w:szCs w:val="22"/>
              </w:rPr>
              <w:t>COD</w:t>
            </w:r>
          </w:p>
          <w:p w14:paraId="2222FBBD">
            <w:pPr>
              <w:pStyle w:val="946"/>
              <w:spacing w:line="300" w:lineRule="exact"/>
              <w:rPr>
                <w:rFonts w:ascii="Arial" w:hAnsi="Arial" w:cs="Arial"/>
                <w:sz w:val="22"/>
                <w:szCs w:val="22"/>
              </w:rPr>
            </w:pPr>
            <w:r>
              <w:rPr>
                <w:rFonts w:ascii="Arial" w:hAnsi="Arial" w:cs="Arial"/>
                <w:sz w:val="22"/>
                <w:szCs w:val="22"/>
              </w:rPr>
              <w:t>BOD</w:t>
            </w:r>
            <w:r>
              <w:rPr>
                <w:rFonts w:ascii="Arial" w:hAnsi="Arial" w:cs="Arial"/>
                <w:sz w:val="22"/>
                <w:szCs w:val="22"/>
                <w:vertAlign w:val="subscript"/>
              </w:rPr>
              <w:t>5</w:t>
            </w:r>
          </w:p>
          <w:p w14:paraId="1A7699F5">
            <w:pPr>
              <w:pStyle w:val="946"/>
              <w:spacing w:line="300" w:lineRule="exact"/>
              <w:rPr>
                <w:rFonts w:ascii="Arial" w:hAnsi="Arial" w:cs="Arial"/>
                <w:sz w:val="22"/>
                <w:szCs w:val="22"/>
              </w:rPr>
            </w:pPr>
            <w:r>
              <w:rPr>
                <w:rFonts w:ascii="Arial" w:hAnsi="Arial" w:cs="Arial"/>
                <w:sz w:val="22"/>
                <w:szCs w:val="22"/>
              </w:rPr>
              <w:t>SS</w:t>
            </w:r>
          </w:p>
          <w:p w14:paraId="783E682B">
            <w:pPr>
              <w:pStyle w:val="946"/>
              <w:spacing w:line="300" w:lineRule="exact"/>
              <w:rPr>
                <w:rFonts w:ascii="Arial" w:hAnsi="Arial" w:cs="Arial"/>
                <w:sz w:val="22"/>
                <w:szCs w:val="22"/>
              </w:rPr>
            </w:pPr>
            <w:r>
              <w:rPr>
                <w:rFonts w:ascii="Arial" w:hAnsi="Arial" w:cs="Arial"/>
                <w:sz w:val="22"/>
                <w:szCs w:val="22"/>
              </w:rPr>
              <w:t>氨氮</w:t>
            </w:r>
          </w:p>
        </w:tc>
        <w:tc>
          <w:tcPr>
            <w:tcW w:w="1276" w:type="dxa"/>
            <w:tcBorders>
              <w:tl2br w:val="nil"/>
              <w:tr2bl w:val="nil"/>
            </w:tcBorders>
            <w:noWrap w:val="0"/>
            <w:vAlign w:val="center"/>
          </w:tcPr>
          <w:p w14:paraId="52F4402F">
            <w:pPr>
              <w:pStyle w:val="946"/>
              <w:spacing w:line="300" w:lineRule="exact"/>
              <w:rPr>
                <w:rFonts w:ascii="Arial" w:hAnsi="Arial" w:cs="Arial"/>
                <w:sz w:val="22"/>
                <w:szCs w:val="22"/>
              </w:rPr>
            </w:pPr>
            <w:r>
              <w:rPr>
                <w:rFonts w:ascii="Arial" w:hAnsi="Arial" w:cs="Arial"/>
                <w:sz w:val="22"/>
                <w:szCs w:val="22"/>
              </w:rPr>
              <w:t>450mg/L</w:t>
            </w:r>
          </w:p>
          <w:p w14:paraId="41EEAC88">
            <w:pPr>
              <w:pStyle w:val="946"/>
              <w:spacing w:line="300" w:lineRule="exact"/>
              <w:rPr>
                <w:rFonts w:ascii="Arial" w:hAnsi="Arial" w:cs="Arial"/>
                <w:sz w:val="22"/>
                <w:szCs w:val="22"/>
              </w:rPr>
            </w:pPr>
            <w:r>
              <w:rPr>
                <w:rFonts w:ascii="Arial" w:hAnsi="Arial" w:cs="Arial"/>
                <w:sz w:val="22"/>
                <w:szCs w:val="22"/>
              </w:rPr>
              <w:t>250mg/L</w:t>
            </w:r>
          </w:p>
          <w:p w14:paraId="2DDAB91E">
            <w:pPr>
              <w:pStyle w:val="946"/>
              <w:spacing w:line="300" w:lineRule="exact"/>
              <w:rPr>
                <w:rFonts w:ascii="Arial" w:hAnsi="Arial" w:cs="Arial"/>
                <w:sz w:val="22"/>
                <w:szCs w:val="22"/>
              </w:rPr>
            </w:pPr>
            <w:r>
              <w:rPr>
                <w:rFonts w:ascii="Arial" w:hAnsi="Arial" w:cs="Arial"/>
                <w:sz w:val="22"/>
                <w:szCs w:val="22"/>
              </w:rPr>
              <w:t>250mg/L</w:t>
            </w:r>
          </w:p>
          <w:p w14:paraId="721497A8">
            <w:pPr>
              <w:pStyle w:val="946"/>
              <w:spacing w:line="300" w:lineRule="exact"/>
              <w:rPr>
                <w:rFonts w:ascii="Arial" w:hAnsi="Arial" w:cs="Arial"/>
                <w:sz w:val="22"/>
                <w:szCs w:val="22"/>
              </w:rPr>
            </w:pPr>
            <w:r>
              <w:rPr>
                <w:rFonts w:ascii="Arial" w:hAnsi="Arial" w:cs="Arial"/>
                <w:sz w:val="22"/>
                <w:szCs w:val="22"/>
              </w:rPr>
              <w:t>30mg/L</w:t>
            </w:r>
          </w:p>
        </w:tc>
        <w:tc>
          <w:tcPr>
            <w:tcW w:w="1275" w:type="dxa"/>
            <w:tcBorders>
              <w:tl2br w:val="nil"/>
              <w:tr2bl w:val="nil"/>
            </w:tcBorders>
            <w:noWrap w:val="0"/>
            <w:vAlign w:val="center"/>
          </w:tcPr>
          <w:p w14:paraId="2A0F4922">
            <w:pPr>
              <w:pStyle w:val="946"/>
              <w:spacing w:line="300" w:lineRule="exact"/>
              <w:rPr>
                <w:rFonts w:ascii="Arial" w:hAnsi="Arial" w:cs="Arial"/>
                <w:sz w:val="22"/>
                <w:szCs w:val="22"/>
              </w:rPr>
            </w:pPr>
            <w:r>
              <w:rPr>
                <w:rFonts w:hint="eastAsia" w:ascii="Arial" w:hAnsi="Arial" w:cs="Arial"/>
                <w:sz w:val="22"/>
                <w:szCs w:val="22"/>
                <w:lang w:val="en-US" w:eastAsia="zh-CN"/>
              </w:rPr>
              <w:t>1.62</w:t>
            </w:r>
            <w:r>
              <w:rPr>
                <w:rFonts w:ascii="Arial" w:hAnsi="Arial" w:cs="Arial"/>
                <w:sz w:val="22"/>
                <w:szCs w:val="22"/>
              </w:rPr>
              <w:t>kg/d</w:t>
            </w:r>
          </w:p>
          <w:p w14:paraId="78CB01BE">
            <w:pPr>
              <w:pStyle w:val="946"/>
              <w:spacing w:line="300" w:lineRule="exact"/>
              <w:rPr>
                <w:rFonts w:ascii="Arial" w:hAnsi="Arial" w:cs="Arial"/>
                <w:sz w:val="22"/>
                <w:szCs w:val="22"/>
              </w:rPr>
            </w:pPr>
            <w:r>
              <w:rPr>
                <w:rFonts w:hint="eastAsia" w:ascii="Arial" w:hAnsi="Arial" w:cs="Arial"/>
                <w:sz w:val="22"/>
                <w:szCs w:val="22"/>
                <w:lang w:val="en-US" w:eastAsia="zh-CN"/>
              </w:rPr>
              <w:t>0.9</w:t>
            </w:r>
            <w:r>
              <w:rPr>
                <w:rFonts w:ascii="Arial" w:hAnsi="Arial" w:cs="Arial"/>
                <w:sz w:val="22"/>
                <w:szCs w:val="22"/>
              </w:rPr>
              <w:t>kg/d</w:t>
            </w:r>
          </w:p>
          <w:p w14:paraId="72927800">
            <w:pPr>
              <w:pStyle w:val="946"/>
              <w:spacing w:line="300" w:lineRule="exact"/>
              <w:rPr>
                <w:rFonts w:ascii="Arial" w:hAnsi="Arial" w:cs="Arial"/>
                <w:sz w:val="22"/>
                <w:szCs w:val="22"/>
              </w:rPr>
            </w:pPr>
            <w:r>
              <w:rPr>
                <w:rFonts w:hint="eastAsia" w:ascii="Arial" w:hAnsi="Arial" w:cs="Arial"/>
                <w:sz w:val="22"/>
                <w:szCs w:val="22"/>
                <w:lang w:val="en-US" w:eastAsia="zh-CN"/>
              </w:rPr>
              <w:t>0.9</w:t>
            </w:r>
            <w:r>
              <w:rPr>
                <w:rFonts w:ascii="Arial" w:hAnsi="Arial" w:cs="Arial"/>
                <w:sz w:val="22"/>
                <w:szCs w:val="22"/>
              </w:rPr>
              <w:t>kg/d</w:t>
            </w:r>
          </w:p>
          <w:p w14:paraId="35931650">
            <w:pPr>
              <w:pStyle w:val="946"/>
              <w:spacing w:line="300" w:lineRule="exact"/>
              <w:rPr>
                <w:rFonts w:ascii="Arial" w:hAnsi="Arial" w:cs="Arial"/>
                <w:sz w:val="22"/>
                <w:szCs w:val="22"/>
              </w:rPr>
            </w:pPr>
            <w:r>
              <w:rPr>
                <w:rFonts w:hint="eastAsia" w:ascii="Arial" w:hAnsi="Arial" w:cs="Arial"/>
                <w:sz w:val="22"/>
                <w:szCs w:val="22"/>
                <w:lang w:val="en-US" w:eastAsia="zh-CN"/>
              </w:rPr>
              <w:t>0.108</w:t>
            </w:r>
            <w:r>
              <w:rPr>
                <w:rFonts w:ascii="Arial" w:hAnsi="Arial" w:cs="Arial"/>
                <w:sz w:val="22"/>
                <w:szCs w:val="22"/>
              </w:rPr>
              <w:t>kg/d</w:t>
            </w:r>
          </w:p>
        </w:tc>
        <w:tc>
          <w:tcPr>
            <w:tcW w:w="2734" w:type="dxa"/>
            <w:vMerge w:val="continue"/>
            <w:tcBorders>
              <w:tl2br w:val="nil"/>
              <w:tr2bl w:val="nil"/>
            </w:tcBorders>
            <w:noWrap w:val="0"/>
            <w:vAlign w:val="center"/>
          </w:tcPr>
          <w:p w14:paraId="22771F85">
            <w:pPr>
              <w:widowControl/>
              <w:spacing w:line="300" w:lineRule="exact"/>
              <w:jc w:val="center"/>
              <w:rPr>
                <w:rFonts w:ascii="Arial" w:hAnsi="Arial" w:cs="Arial"/>
                <w:sz w:val="22"/>
                <w:szCs w:val="22"/>
              </w:rPr>
            </w:pPr>
          </w:p>
        </w:tc>
        <w:tc>
          <w:tcPr>
            <w:tcW w:w="1247" w:type="dxa"/>
            <w:vMerge w:val="continue"/>
            <w:tcBorders>
              <w:tl2br w:val="nil"/>
              <w:tr2bl w:val="nil"/>
            </w:tcBorders>
            <w:noWrap w:val="0"/>
            <w:vAlign w:val="center"/>
          </w:tcPr>
          <w:p w14:paraId="1AE94D07">
            <w:pPr>
              <w:widowControl/>
              <w:spacing w:line="300" w:lineRule="exact"/>
              <w:jc w:val="center"/>
              <w:rPr>
                <w:rFonts w:ascii="Arial" w:hAnsi="Arial" w:cs="Arial"/>
                <w:sz w:val="22"/>
                <w:szCs w:val="22"/>
              </w:rPr>
            </w:pPr>
          </w:p>
        </w:tc>
        <w:tc>
          <w:tcPr>
            <w:tcW w:w="915" w:type="dxa"/>
            <w:vMerge w:val="continue"/>
            <w:tcBorders>
              <w:tl2br w:val="nil"/>
              <w:tr2bl w:val="nil"/>
            </w:tcBorders>
            <w:noWrap w:val="0"/>
            <w:vAlign w:val="center"/>
          </w:tcPr>
          <w:p w14:paraId="50D16468">
            <w:pPr>
              <w:widowControl/>
              <w:spacing w:line="300" w:lineRule="exact"/>
              <w:jc w:val="center"/>
              <w:rPr>
                <w:rFonts w:ascii="Arial" w:hAnsi="Arial" w:cs="Arial"/>
                <w:sz w:val="22"/>
                <w:szCs w:val="22"/>
              </w:rPr>
            </w:pPr>
          </w:p>
        </w:tc>
        <w:tc>
          <w:tcPr>
            <w:tcW w:w="1019" w:type="dxa"/>
            <w:vMerge w:val="continue"/>
            <w:tcBorders>
              <w:tl2br w:val="nil"/>
              <w:tr2bl w:val="nil"/>
            </w:tcBorders>
            <w:noWrap w:val="0"/>
            <w:vAlign w:val="center"/>
          </w:tcPr>
          <w:p w14:paraId="07B3B3B8">
            <w:pPr>
              <w:widowControl/>
              <w:spacing w:line="300" w:lineRule="exact"/>
              <w:jc w:val="center"/>
              <w:rPr>
                <w:rFonts w:ascii="Arial" w:hAnsi="Arial" w:cs="Arial"/>
                <w:sz w:val="22"/>
                <w:szCs w:val="22"/>
              </w:rPr>
            </w:pPr>
          </w:p>
        </w:tc>
      </w:tr>
      <w:tr w14:paraId="24D1A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6927AB42">
            <w:pPr>
              <w:widowControl/>
              <w:spacing w:line="300" w:lineRule="exact"/>
              <w:jc w:val="center"/>
              <w:rPr>
                <w:rFonts w:ascii="Arial" w:hAnsi="Arial" w:cs="Arial"/>
                <w:sz w:val="22"/>
                <w:szCs w:val="22"/>
              </w:rPr>
            </w:pPr>
          </w:p>
        </w:tc>
        <w:tc>
          <w:tcPr>
            <w:tcW w:w="592" w:type="dxa"/>
            <w:vMerge w:val="restart"/>
            <w:tcBorders>
              <w:tl2br w:val="nil"/>
              <w:tr2bl w:val="nil"/>
            </w:tcBorders>
            <w:noWrap w:val="0"/>
            <w:vAlign w:val="center"/>
          </w:tcPr>
          <w:p w14:paraId="645FE861">
            <w:pPr>
              <w:pStyle w:val="946"/>
              <w:spacing w:line="300" w:lineRule="exact"/>
              <w:rPr>
                <w:rFonts w:ascii="Arial" w:hAnsi="Arial" w:cs="Arial"/>
                <w:sz w:val="22"/>
                <w:szCs w:val="22"/>
              </w:rPr>
            </w:pPr>
            <w:r>
              <w:rPr>
                <w:rFonts w:ascii="Arial" w:hAnsi="Arial" w:cs="Arial"/>
                <w:sz w:val="22"/>
                <w:szCs w:val="22"/>
              </w:rPr>
              <w:t>废气</w:t>
            </w:r>
          </w:p>
        </w:tc>
        <w:tc>
          <w:tcPr>
            <w:tcW w:w="1347" w:type="dxa"/>
            <w:gridSpan w:val="2"/>
            <w:tcBorders>
              <w:tl2br w:val="nil"/>
              <w:tr2bl w:val="nil"/>
            </w:tcBorders>
            <w:noWrap w:val="0"/>
            <w:vAlign w:val="center"/>
          </w:tcPr>
          <w:p w14:paraId="4234641B">
            <w:pPr>
              <w:pStyle w:val="946"/>
              <w:spacing w:line="300" w:lineRule="exact"/>
              <w:rPr>
                <w:rFonts w:hint="eastAsia" w:ascii="Arial" w:hAnsi="Arial" w:eastAsia="宋体" w:cs="Arial"/>
                <w:sz w:val="22"/>
                <w:szCs w:val="22"/>
                <w:lang w:eastAsia="zh-CN"/>
              </w:rPr>
            </w:pPr>
            <w:r>
              <w:rPr>
                <w:rFonts w:hint="eastAsia" w:ascii="Arial" w:hAnsi="Arial" w:cs="Arial"/>
                <w:sz w:val="22"/>
                <w:szCs w:val="22"/>
                <w:lang w:eastAsia="zh-CN"/>
              </w:rPr>
              <w:t>施工抑尘</w:t>
            </w:r>
          </w:p>
        </w:tc>
        <w:tc>
          <w:tcPr>
            <w:tcW w:w="1213" w:type="dxa"/>
            <w:tcBorders>
              <w:tl2br w:val="nil"/>
              <w:tr2bl w:val="nil"/>
            </w:tcBorders>
            <w:noWrap w:val="0"/>
            <w:vAlign w:val="center"/>
          </w:tcPr>
          <w:p w14:paraId="188A19DA">
            <w:pPr>
              <w:pStyle w:val="946"/>
              <w:spacing w:line="300" w:lineRule="exact"/>
              <w:rPr>
                <w:rFonts w:hint="default" w:ascii="Arial" w:hAnsi="Arial" w:eastAsia="宋体" w:cs="Arial"/>
                <w:sz w:val="22"/>
                <w:szCs w:val="22"/>
                <w:lang w:val="en-US" w:eastAsia="zh-CN"/>
              </w:rPr>
            </w:pPr>
            <w:r>
              <w:rPr>
                <w:rFonts w:hint="eastAsia" w:ascii="Arial" w:hAnsi="Arial" w:cs="Arial"/>
                <w:sz w:val="22"/>
                <w:szCs w:val="22"/>
                <w:lang w:val="en-US" w:eastAsia="zh-CN"/>
              </w:rPr>
              <w:t>7.78t</w:t>
            </w:r>
          </w:p>
        </w:tc>
        <w:tc>
          <w:tcPr>
            <w:tcW w:w="1035" w:type="dxa"/>
            <w:tcBorders>
              <w:tl2br w:val="nil"/>
              <w:tr2bl w:val="nil"/>
            </w:tcBorders>
            <w:noWrap w:val="0"/>
            <w:vAlign w:val="center"/>
          </w:tcPr>
          <w:p w14:paraId="4034C826">
            <w:pPr>
              <w:pStyle w:val="946"/>
              <w:spacing w:line="300" w:lineRule="exact"/>
              <w:rPr>
                <w:rFonts w:ascii="Arial" w:hAnsi="Arial" w:cs="Arial"/>
                <w:sz w:val="22"/>
                <w:szCs w:val="22"/>
              </w:rPr>
            </w:pPr>
            <w:r>
              <w:rPr>
                <w:rFonts w:ascii="Arial" w:hAnsi="Arial" w:cs="Arial"/>
                <w:sz w:val="22"/>
                <w:szCs w:val="22"/>
              </w:rPr>
              <w:t>TSP</w:t>
            </w:r>
          </w:p>
        </w:tc>
        <w:tc>
          <w:tcPr>
            <w:tcW w:w="1276" w:type="dxa"/>
            <w:tcBorders>
              <w:tl2br w:val="nil"/>
              <w:tr2bl w:val="nil"/>
            </w:tcBorders>
            <w:noWrap w:val="0"/>
            <w:vAlign w:val="center"/>
          </w:tcPr>
          <w:p w14:paraId="0AA1DC9D">
            <w:pPr>
              <w:pStyle w:val="946"/>
              <w:spacing w:line="300" w:lineRule="exact"/>
              <w:rPr>
                <w:rFonts w:hint="eastAsia" w:ascii="Arial" w:hAnsi="Arial" w:eastAsia="宋体" w:cs="Arial"/>
                <w:sz w:val="22"/>
                <w:szCs w:val="22"/>
                <w:lang w:eastAsia="zh-CN"/>
              </w:rPr>
            </w:pPr>
            <w:r>
              <w:rPr>
                <w:rFonts w:hint="eastAsia" w:ascii="Arial" w:hAnsi="Arial" w:cs="Arial"/>
                <w:sz w:val="22"/>
                <w:szCs w:val="22"/>
                <w:lang w:val="en-US" w:eastAsia="zh-CN"/>
              </w:rPr>
              <w:t>/</w:t>
            </w:r>
          </w:p>
        </w:tc>
        <w:tc>
          <w:tcPr>
            <w:tcW w:w="1275" w:type="dxa"/>
            <w:tcBorders>
              <w:tl2br w:val="nil"/>
              <w:tr2bl w:val="nil"/>
            </w:tcBorders>
            <w:noWrap w:val="0"/>
            <w:vAlign w:val="center"/>
          </w:tcPr>
          <w:p w14:paraId="5C2F4522">
            <w:pPr>
              <w:pStyle w:val="946"/>
              <w:spacing w:line="300" w:lineRule="exact"/>
              <w:rPr>
                <w:rFonts w:ascii="Arial" w:hAnsi="Arial" w:cs="Arial"/>
                <w:sz w:val="22"/>
                <w:szCs w:val="22"/>
              </w:rPr>
            </w:pPr>
            <w:r>
              <w:rPr>
                <w:rFonts w:ascii="Arial" w:hAnsi="Arial" w:cs="Arial"/>
                <w:sz w:val="22"/>
                <w:szCs w:val="22"/>
              </w:rPr>
              <w:t>/</w:t>
            </w:r>
          </w:p>
        </w:tc>
        <w:tc>
          <w:tcPr>
            <w:tcW w:w="2734" w:type="dxa"/>
            <w:tcBorders>
              <w:tl2br w:val="nil"/>
              <w:tr2bl w:val="nil"/>
            </w:tcBorders>
            <w:noWrap w:val="0"/>
            <w:vAlign w:val="center"/>
          </w:tcPr>
          <w:p w14:paraId="2E86B566">
            <w:pPr>
              <w:pStyle w:val="946"/>
              <w:spacing w:line="300" w:lineRule="exact"/>
              <w:rPr>
                <w:rFonts w:ascii="Arial" w:hAnsi="Arial" w:cs="Arial"/>
                <w:sz w:val="22"/>
                <w:szCs w:val="22"/>
              </w:rPr>
            </w:pPr>
            <w:r>
              <w:rPr>
                <w:rFonts w:hint="eastAsia" w:ascii="Arial" w:hAnsi="Arial" w:cs="Arial"/>
                <w:bCs/>
                <w:color w:val="auto"/>
                <w:sz w:val="22"/>
                <w:szCs w:val="22"/>
                <w:vertAlign w:val="baseline"/>
                <w:lang w:val="en-US" w:eastAsia="zh-CN"/>
              </w:rPr>
              <w:t>采取湿法作业，洒水抑尘，大风天气对开挖边坡、裸露地面等进行遮盖。</w:t>
            </w:r>
          </w:p>
        </w:tc>
        <w:tc>
          <w:tcPr>
            <w:tcW w:w="1247" w:type="dxa"/>
            <w:tcBorders>
              <w:tl2br w:val="nil"/>
              <w:tr2bl w:val="nil"/>
            </w:tcBorders>
            <w:noWrap w:val="0"/>
            <w:vAlign w:val="center"/>
          </w:tcPr>
          <w:p w14:paraId="59C58D5C">
            <w:pPr>
              <w:pStyle w:val="946"/>
              <w:spacing w:line="300" w:lineRule="exact"/>
              <w:rPr>
                <w:rFonts w:ascii="Arial" w:hAnsi="Arial" w:cs="Arial"/>
                <w:sz w:val="22"/>
                <w:szCs w:val="22"/>
              </w:rPr>
            </w:pPr>
            <w:r>
              <w:rPr>
                <w:rFonts w:hint="eastAsia" w:ascii="Arial" w:hAnsi="Arial" w:cs="Arial"/>
                <w:bCs/>
                <w:color w:val="auto"/>
                <w:sz w:val="22"/>
                <w:szCs w:val="22"/>
                <w:vertAlign w:val="baseline"/>
                <w:lang w:val="en-US" w:eastAsia="zh-CN"/>
              </w:rPr>
              <w:t>1.56t</w:t>
            </w:r>
          </w:p>
        </w:tc>
        <w:tc>
          <w:tcPr>
            <w:tcW w:w="915" w:type="dxa"/>
            <w:tcBorders>
              <w:tl2br w:val="nil"/>
              <w:tr2bl w:val="nil"/>
            </w:tcBorders>
            <w:noWrap w:val="0"/>
            <w:vAlign w:val="center"/>
          </w:tcPr>
          <w:p w14:paraId="0DA96C3D">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00B0DA7E">
            <w:pPr>
              <w:pStyle w:val="946"/>
              <w:spacing w:line="300" w:lineRule="exact"/>
              <w:rPr>
                <w:rFonts w:hint="default" w:ascii="Arial" w:hAnsi="Arial" w:cs="Arial"/>
                <w:sz w:val="22"/>
                <w:szCs w:val="22"/>
                <w:lang w:val="en-US" w:eastAsia="zh-CN"/>
              </w:rPr>
            </w:pPr>
            <w:r>
              <w:rPr>
                <w:rFonts w:hint="eastAsia" w:ascii="Arial" w:hAnsi="Arial" w:cs="Arial"/>
                <w:sz w:val="22"/>
                <w:szCs w:val="22"/>
                <w:lang w:val="en-US" w:eastAsia="zh-CN"/>
              </w:rPr>
              <w:t>/</w:t>
            </w:r>
          </w:p>
        </w:tc>
      </w:tr>
      <w:tr w14:paraId="75C6F6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389B1CEB">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497BF940">
            <w:pPr>
              <w:pStyle w:val="946"/>
              <w:spacing w:line="300" w:lineRule="exact"/>
              <w:rPr>
                <w:rFonts w:ascii="Arial" w:hAnsi="Arial" w:cs="Arial"/>
                <w:sz w:val="22"/>
                <w:szCs w:val="22"/>
              </w:rPr>
            </w:pPr>
          </w:p>
        </w:tc>
        <w:tc>
          <w:tcPr>
            <w:tcW w:w="1347" w:type="dxa"/>
            <w:gridSpan w:val="2"/>
            <w:tcBorders>
              <w:tl2br w:val="nil"/>
              <w:tr2bl w:val="nil"/>
            </w:tcBorders>
            <w:noWrap w:val="0"/>
            <w:vAlign w:val="center"/>
          </w:tcPr>
          <w:p w14:paraId="2CB4B644">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装卸粉尘</w:t>
            </w:r>
          </w:p>
        </w:tc>
        <w:tc>
          <w:tcPr>
            <w:tcW w:w="1213" w:type="dxa"/>
            <w:tcBorders>
              <w:tl2br w:val="nil"/>
              <w:tr2bl w:val="nil"/>
            </w:tcBorders>
            <w:noWrap w:val="0"/>
            <w:vAlign w:val="center"/>
          </w:tcPr>
          <w:p w14:paraId="48CB6F6B">
            <w:pPr>
              <w:pStyle w:val="946"/>
              <w:spacing w:line="300" w:lineRule="exact"/>
              <w:rPr>
                <w:rFonts w:hint="default" w:ascii="Arial" w:hAnsi="Arial" w:cs="Arial"/>
                <w:sz w:val="22"/>
                <w:szCs w:val="22"/>
                <w:lang w:val="en-US" w:eastAsia="zh-CN"/>
              </w:rPr>
            </w:pPr>
            <w:r>
              <w:rPr>
                <w:rFonts w:hint="eastAsia" w:ascii="Arial" w:hAnsi="Arial" w:cs="Arial"/>
                <w:sz w:val="22"/>
                <w:szCs w:val="22"/>
                <w:lang w:val="en-US" w:eastAsia="zh-CN"/>
              </w:rPr>
              <w:t>14.2932t</w:t>
            </w:r>
          </w:p>
        </w:tc>
        <w:tc>
          <w:tcPr>
            <w:tcW w:w="1035" w:type="dxa"/>
            <w:tcBorders>
              <w:tl2br w:val="nil"/>
              <w:tr2bl w:val="nil"/>
            </w:tcBorders>
            <w:noWrap w:val="0"/>
            <w:vAlign w:val="center"/>
          </w:tcPr>
          <w:p w14:paraId="17CA63AE">
            <w:pPr>
              <w:pStyle w:val="946"/>
              <w:spacing w:line="300" w:lineRule="exact"/>
              <w:rPr>
                <w:rFonts w:ascii="Arial" w:hAnsi="Arial" w:cs="Arial"/>
                <w:sz w:val="22"/>
                <w:szCs w:val="22"/>
              </w:rPr>
            </w:pPr>
            <w:r>
              <w:rPr>
                <w:rFonts w:ascii="Arial" w:hAnsi="Arial" w:cs="Arial"/>
                <w:sz w:val="22"/>
                <w:szCs w:val="22"/>
              </w:rPr>
              <w:t>TSP</w:t>
            </w:r>
          </w:p>
        </w:tc>
        <w:tc>
          <w:tcPr>
            <w:tcW w:w="1276" w:type="dxa"/>
            <w:tcBorders>
              <w:tl2br w:val="nil"/>
              <w:tr2bl w:val="nil"/>
            </w:tcBorders>
            <w:noWrap w:val="0"/>
            <w:vAlign w:val="center"/>
          </w:tcPr>
          <w:p w14:paraId="68D7A2FB">
            <w:pPr>
              <w:pStyle w:val="946"/>
              <w:spacing w:line="300" w:lineRule="exact"/>
              <w:rPr>
                <w:rFonts w:hint="eastAsia" w:ascii="Arial" w:hAnsi="Arial" w:cs="Arial"/>
                <w:sz w:val="22"/>
                <w:szCs w:val="22"/>
                <w:lang w:val="en-US" w:eastAsia="zh-CN"/>
              </w:rPr>
            </w:pPr>
            <w:r>
              <w:rPr>
                <w:rFonts w:hint="eastAsia" w:ascii="Arial" w:hAnsi="Arial" w:cs="Arial"/>
                <w:sz w:val="22"/>
                <w:szCs w:val="22"/>
                <w:lang w:val="en-US" w:eastAsia="zh-CN"/>
              </w:rPr>
              <w:t>/</w:t>
            </w:r>
          </w:p>
        </w:tc>
        <w:tc>
          <w:tcPr>
            <w:tcW w:w="1275" w:type="dxa"/>
            <w:tcBorders>
              <w:tl2br w:val="nil"/>
              <w:tr2bl w:val="nil"/>
            </w:tcBorders>
            <w:noWrap w:val="0"/>
            <w:vAlign w:val="center"/>
          </w:tcPr>
          <w:p w14:paraId="60309B86">
            <w:pPr>
              <w:pStyle w:val="946"/>
              <w:spacing w:line="300" w:lineRule="exact"/>
              <w:rPr>
                <w:rFonts w:ascii="Arial" w:hAnsi="Arial" w:cs="Arial"/>
                <w:sz w:val="22"/>
                <w:szCs w:val="22"/>
              </w:rPr>
            </w:pPr>
            <w:r>
              <w:rPr>
                <w:rFonts w:ascii="Arial" w:hAnsi="Arial" w:cs="Arial"/>
                <w:sz w:val="22"/>
                <w:szCs w:val="22"/>
              </w:rPr>
              <w:t>/</w:t>
            </w:r>
          </w:p>
        </w:tc>
        <w:tc>
          <w:tcPr>
            <w:tcW w:w="2734" w:type="dxa"/>
            <w:tcBorders>
              <w:tl2br w:val="nil"/>
              <w:tr2bl w:val="nil"/>
            </w:tcBorders>
            <w:noWrap w:val="0"/>
            <w:vAlign w:val="center"/>
          </w:tcPr>
          <w:p w14:paraId="395268BE">
            <w:pPr>
              <w:pStyle w:val="946"/>
              <w:spacing w:line="300" w:lineRule="exact"/>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洒水抑尘、严格控制落料高度、密闭运输。</w:t>
            </w:r>
          </w:p>
        </w:tc>
        <w:tc>
          <w:tcPr>
            <w:tcW w:w="1247" w:type="dxa"/>
            <w:tcBorders>
              <w:tl2br w:val="nil"/>
              <w:tr2bl w:val="nil"/>
            </w:tcBorders>
            <w:noWrap w:val="0"/>
            <w:vAlign w:val="center"/>
          </w:tcPr>
          <w:p w14:paraId="6F510E14">
            <w:pPr>
              <w:pStyle w:val="946"/>
              <w:spacing w:line="300" w:lineRule="exact"/>
              <w:rPr>
                <w:rFonts w:hint="default"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2.8586t</w:t>
            </w:r>
          </w:p>
        </w:tc>
        <w:tc>
          <w:tcPr>
            <w:tcW w:w="915" w:type="dxa"/>
            <w:tcBorders>
              <w:tl2br w:val="nil"/>
              <w:tr2bl w:val="nil"/>
            </w:tcBorders>
            <w:shd w:val="clear" w:color="auto" w:fill="auto"/>
            <w:noWrap w:val="0"/>
            <w:vAlign w:val="center"/>
          </w:tcPr>
          <w:p w14:paraId="36C5A32E">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1019" w:type="dxa"/>
            <w:tcBorders>
              <w:tl2br w:val="nil"/>
              <w:tr2bl w:val="nil"/>
            </w:tcBorders>
            <w:shd w:val="clear" w:color="auto" w:fill="auto"/>
            <w:noWrap w:val="0"/>
            <w:vAlign w:val="center"/>
          </w:tcPr>
          <w:p w14:paraId="60A75C05">
            <w:pPr>
              <w:pStyle w:val="946"/>
              <w:spacing w:line="300" w:lineRule="exact"/>
              <w:rPr>
                <w:rFonts w:hint="eastAsia" w:ascii="Arial" w:hAnsi="Arial" w:eastAsia="宋体" w:cs="Arial"/>
                <w:kern w:val="2"/>
                <w:sz w:val="22"/>
                <w:szCs w:val="22"/>
                <w:lang w:val="en-US" w:eastAsia="zh-CN" w:bidi="ar-SA"/>
              </w:rPr>
            </w:pPr>
            <w:r>
              <w:rPr>
                <w:rFonts w:hint="eastAsia" w:ascii="Arial" w:hAnsi="Arial" w:cs="Arial"/>
                <w:sz w:val="22"/>
                <w:szCs w:val="22"/>
                <w:lang w:val="en-US" w:eastAsia="zh-CN"/>
              </w:rPr>
              <w:t>/</w:t>
            </w:r>
          </w:p>
        </w:tc>
      </w:tr>
      <w:tr w14:paraId="069959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38C77093">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74440BCE">
            <w:pPr>
              <w:pStyle w:val="946"/>
              <w:spacing w:line="300" w:lineRule="exact"/>
              <w:rPr>
                <w:rFonts w:ascii="Arial" w:hAnsi="Arial" w:cs="Arial"/>
                <w:sz w:val="22"/>
                <w:szCs w:val="22"/>
              </w:rPr>
            </w:pPr>
          </w:p>
        </w:tc>
        <w:tc>
          <w:tcPr>
            <w:tcW w:w="1347" w:type="dxa"/>
            <w:gridSpan w:val="2"/>
            <w:tcBorders>
              <w:tl2br w:val="nil"/>
              <w:tr2bl w:val="nil"/>
            </w:tcBorders>
            <w:noWrap w:val="0"/>
            <w:vAlign w:val="center"/>
          </w:tcPr>
          <w:p w14:paraId="1C32777D">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运输扬尘</w:t>
            </w:r>
          </w:p>
        </w:tc>
        <w:tc>
          <w:tcPr>
            <w:tcW w:w="1213" w:type="dxa"/>
            <w:tcBorders>
              <w:tl2br w:val="nil"/>
              <w:tr2bl w:val="nil"/>
            </w:tcBorders>
            <w:noWrap w:val="0"/>
            <w:vAlign w:val="center"/>
          </w:tcPr>
          <w:p w14:paraId="0D4DA39D">
            <w:pPr>
              <w:pStyle w:val="946"/>
              <w:spacing w:line="300" w:lineRule="exact"/>
              <w:rPr>
                <w:rFonts w:hint="default" w:ascii="Arial" w:hAnsi="Arial" w:cs="Arial"/>
                <w:sz w:val="22"/>
                <w:szCs w:val="22"/>
                <w:lang w:val="en-US" w:eastAsia="zh-CN"/>
              </w:rPr>
            </w:pPr>
            <w:r>
              <w:rPr>
                <w:rFonts w:hint="eastAsia" w:ascii="Arial" w:hAnsi="Arial" w:cs="Arial"/>
                <w:sz w:val="22"/>
                <w:szCs w:val="22"/>
                <w:lang w:val="en-US" w:eastAsia="zh-CN"/>
              </w:rPr>
              <w:t>15.388t</w:t>
            </w:r>
          </w:p>
        </w:tc>
        <w:tc>
          <w:tcPr>
            <w:tcW w:w="1035" w:type="dxa"/>
            <w:tcBorders>
              <w:tl2br w:val="nil"/>
              <w:tr2bl w:val="nil"/>
            </w:tcBorders>
            <w:shd w:val="clear" w:color="auto" w:fill="auto"/>
            <w:noWrap w:val="0"/>
            <w:vAlign w:val="center"/>
          </w:tcPr>
          <w:p w14:paraId="5802A7DB">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TSP</w:t>
            </w:r>
          </w:p>
        </w:tc>
        <w:tc>
          <w:tcPr>
            <w:tcW w:w="1276" w:type="dxa"/>
            <w:tcBorders>
              <w:tl2br w:val="nil"/>
              <w:tr2bl w:val="nil"/>
            </w:tcBorders>
            <w:shd w:val="clear" w:color="auto" w:fill="auto"/>
            <w:noWrap w:val="0"/>
            <w:vAlign w:val="center"/>
          </w:tcPr>
          <w:p w14:paraId="2C49A699">
            <w:pPr>
              <w:pStyle w:val="946"/>
              <w:spacing w:line="300" w:lineRule="exact"/>
              <w:rPr>
                <w:rFonts w:hint="eastAsia" w:ascii="Arial" w:hAnsi="Arial" w:eastAsia="宋体" w:cs="Arial"/>
                <w:kern w:val="2"/>
                <w:sz w:val="22"/>
                <w:szCs w:val="22"/>
                <w:lang w:val="en-US" w:eastAsia="zh-CN" w:bidi="ar-SA"/>
              </w:rPr>
            </w:pPr>
            <w:r>
              <w:rPr>
                <w:rFonts w:hint="eastAsia" w:ascii="Arial" w:hAnsi="Arial" w:cs="Arial"/>
                <w:sz w:val="22"/>
                <w:szCs w:val="22"/>
                <w:lang w:val="en-US" w:eastAsia="zh-CN"/>
              </w:rPr>
              <w:t>/</w:t>
            </w:r>
          </w:p>
        </w:tc>
        <w:tc>
          <w:tcPr>
            <w:tcW w:w="1275" w:type="dxa"/>
            <w:tcBorders>
              <w:tl2br w:val="nil"/>
              <w:tr2bl w:val="nil"/>
            </w:tcBorders>
            <w:shd w:val="clear" w:color="auto" w:fill="auto"/>
            <w:noWrap w:val="0"/>
            <w:vAlign w:val="center"/>
          </w:tcPr>
          <w:p w14:paraId="4881E5C0">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2734" w:type="dxa"/>
            <w:tcBorders>
              <w:tl2br w:val="nil"/>
              <w:tr2bl w:val="nil"/>
            </w:tcBorders>
            <w:noWrap w:val="0"/>
            <w:vAlign w:val="center"/>
          </w:tcPr>
          <w:p w14:paraId="25D7657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宋体" w:hAnsi="宋体" w:eastAsia="宋体" w:cs="宋体"/>
                <w:bCs/>
                <w:color w:val="auto"/>
                <w:sz w:val="22"/>
                <w:szCs w:val="22"/>
                <w:lang w:eastAsia="zh-CN"/>
              </w:rPr>
              <w:t>硬化运输道路、安排专人清扫、洒水抑尘、限速限载、冲洗运输车辆等</w:t>
            </w:r>
          </w:p>
        </w:tc>
        <w:tc>
          <w:tcPr>
            <w:tcW w:w="1247" w:type="dxa"/>
            <w:tcBorders>
              <w:tl2br w:val="nil"/>
              <w:tr2bl w:val="nil"/>
            </w:tcBorders>
            <w:noWrap w:val="0"/>
            <w:vAlign w:val="center"/>
          </w:tcPr>
          <w:p w14:paraId="11EE90A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3.0776t</w:t>
            </w:r>
          </w:p>
        </w:tc>
        <w:tc>
          <w:tcPr>
            <w:tcW w:w="915" w:type="dxa"/>
            <w:tcBorders>
              <w:tl2br w:val="nil"/>
              <w:tr2bl w:val="nil"/>
            </w:tcBorders>
            <w:shd w:val="clear" w:color="auto" w:fill="auto"/>
            <w:noWrap w:val="0"/>
            <w:vAlign w:val="center"/>
          </w:tcPr>
          <w:p w14:paraId="5A8481DB">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1019" w:type="dxa"/>
            <w:tcBorders>
              <w:tl2br w:val="nil"/>
              <w:tr2bl w:val="nil"/>
            </w:tcBorders>
            <w:shd w:val="clear" w:color="auto" w:fill="auto"/>
            <w:noWrap w:val="0"/>
            <w:vAlign w:val="center"/>
          </w:tcPr>
          <w:p w14:paraId="36083819">
            <w:pPr>
              <w:pStyle w:val="946"/>
              <w:spacing w:line="300" w:lineRule="exact"/>
              <w:rPr>
                <w:rFonts w:hint="eastAsia" w:ascii="Arial" w:hAnsi="Arial" w:eastAsia="宋体" w:cs="Arial"/>
                <w:kern w:val="2"/>
                <w:sz w:val="22"/>
                <w:szCs w:val="22"/>
                <w:lang w:val="en-US" w:eastAsia="zh-CN" w:bidi="ar-SA"/>
              </w:rPr>
            </w:pPr>
            <w:r>
              <w:rPr>
                <w:rFonts w:hint="eastAsia" w:ascii="Arial" w:hAnsi="Arial" w:cs="Arial"/>
                <w:sz w:val="22"/>
                <w:szCs w:val="22"/>
                <w:lang w:val="en-US" w:eastAsia="zh-CN"/>
              </w:rPr>
              <w:t>/</w:t>
            </w:r>
          </w:p>
        </w:tc>
      </w:tr>
      <w:tr w14:paraId="1AF34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2394A017">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7AC55BC0">
            <w:pPr>
              <w:pStyle w:val="946"/>
              <w:spacing w:line="300" w:lineRule="exact"/>
              <w:rPr>
                <w:rFonts w:ascii="Arial" w:hAnsi="Arial" w:cs="Arial"/>
                <w:sz w:val="22"/>
                <w:szCs w:val="22"/>
              </w:rPr>
            </w:pPr>
          </w:p>
        </w:tc>
        <w:tc>
          <w:tcPr>
            <w:tcW w:w="1347" w:type="dxa"/>
            <w:gridSpan w:val="2"/>
            <w:tcBorders>
              <w:tl2br w:val="nil"/>
              <w:tr2bl w:val="nil"/>
            </w:tcBorders>
            <w:noWrap w:val="0"/>
            <w:vAlign w:val="center"/>
          </w:tcPr>
          <w:p w14:paraId="186C23FC">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混凝土拌合粉尘</w:t>
            </w:r>
          </w:p>
        </w:tc>
        <w:tc>
          <w:tcPr>
            <w:tcW w:w="1213" w:type="dxa"/>
            <w:tcBorders>
              <w:tl2br w:val="nil"/>
              <w:tr2bl w:val="nil"/>
            </w:tcBorders>
            <w:noWrap w:val="0"/>
            <w:vAlign w:val="center"/>
          </w:tcPr>
          <w:p w14:paraId="3E7D47D2">
            <w:pPr>
              <w:pStyle w:val="946"/>
              <w:spacing w:line="300" w:lineRule="exact"/>
              <w:rPr>
                <w:rFonts w:hint="default" w:ascii="Arial" w:hAnsi="Arial" w:cs="Arial"/>
                <w:sz w:val="22"/>
                <w:szCs w:val="22"/>
                <w:lang w:val="en-US" w:eastAsia="zh-CN"/>
              </w:rPr>
            </w:pPr>
            <w:r>
              <w:rPr>
                <w:rFonts w:hint="eastAsia" w:ascii="Arial" w:hAnsi="Arial" w:cs="Arial"/>
                <w:sz w:val="22"/>
                <w:szCs w:val="22"/>
                <w:lang w:val="en-US" w:eastAsia="zh-CN"/>
              </w:rPr>
              <w:t>1.8288t</w:t>
            </w:r>
          </w:p>
        </w:tc>
        <w:tc>
          <w:tcPr>
            <w:tcW w:w="1035" w:type="dxa"/>
            <w:tcBorders>
              <w:tl2br w:val="nil"/>
              <w:tr2bl w:val="nil"/>
            </w:tcBorders>
            <w:shd w:val="clear" w:color="auto" w:fill="auto"/>
            <w:noWrap w:val="0"/>
            <w:vAlign w:val="center"/>
          </w:tcPr>
          <w:p w14:paraId="7381F4EE">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TSP</w:t>
            </w:r>
          </w:p>
        </w:tc>
        <w:tc>
          <w:tcPr>
            <w:tcW w:w="1276" w:type="dxa"/>
            <w:tcBorders>
              <w:tl2br w:val="nil"/>
              <w:tr2bl w:val="nil"/>
            </w:tcBorders>
            <w:shd w:val="clear" w:color="auto" w:fill="auto"/>
            <w:noWrap w:val="0"/>
            <w:vAlign w:val="center"/>
          </w:tcPr>
          <w:p w14:paraId="475F9018">
            <w:pPr>
              <w:pStyle w:val="946"/>
              <w:spacing w:line="300" w:lineRule="exact"/>
              <w:rPr>
                <w:rFonts w:hint="eastAsia" w:ascii="Arial" w:hAnsi="Arial" w:eastAsia="宋体" w:cs="Arial"/>
                <w:kern w:val="2"/>
                <w:sz w:val="22"/>
                <w:szCs w:val="22"/>
                <w:lang w:val="en-US" w:eastAsia="zh-CN" w:bidi="ar-SA"/>
              </w:rPr>
            </w:pPr>
            <w:r>
              <w:rPr>
                <w:rFonts w:hint="eastAsia" w:ascii="Arial" w:hAnsi="Arial" w:cs="Arial"/>
                <w:sz w:val="22"/>
                <w:szCs w:val="22"/>
                <w:lang w:val="en-US" w:eastAsia="zh-CN"/>
              </w:rPr>
              <w:t>/</w:t>
            </w:r>
          </w:p>
        </w:tc>
        <w:tc>
          <w:tcPr>
            <w:tcW w:w="1275" w:type="dxa"/>
            <w:tcBorders>
              <w:tl2br w:val="nil"/>
              <w:tr2bl w:val="nil"/>
            </w:tcBorders>
            <w:shd w:val="clear" w:color="auto" w:fill="auto"/>
            <w:noWrap w:val="0"/>
            <w:vAlign w:val="center"/>
          </w:tcPr>
          <w:p w14:paraId="00D6DC68">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2734" w:type="dxa"/>
            <w:tcBorders>
              <w:tl2br w:val="nil"/>
              <w:tr2bl w:val="nil"/>
            </w:tcBorders>
            <w:noWrap w:val="0"/>
            <w:vAlign w:val="center"/>
          </w:tcPr>
          <w:p w14:paraId="60C6BD8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color w:val="auto"/>
                <w:sz w:val="22"/>
                <w:szCs w:val="22"/>
                <w:lang w:eastAsia="zh-CN"/>
              </w:rPr>
            </w:pPr>
            <w:r>
              <w:rPr>
                <w:rFonts w:hint="eastAsia" w:ascii="Arial" w:hAnsi="Arial" w:cs="Arial"/>
                <w:bCs/>
                <w:color w:val="auto"/>
                <w:sz w:val="22"/>
                <w:szCs w:val="22"/>
                <w:vertAlign w:val="baseline"/>
                <w:lang w:val="en-US" w:eastAsia="zh-CN"/>
              </w:rPr>
              <w:t>水泥、粉煤灰等粉质物料采取筒仓储存，并配置仓顶除尘器；碎石骨料堆存区设围挡和顶棚，对</w:t>
            </w:r>
            <w:r>
              <w:rPr>
                <w:rFonts w:hint="eastAsia" w:ascii="Arial" w:hAnsi="Arial" w:eastAsia="宋体" w:cs="Arial"/>
                <w:b w:val="0"/>
                <w:bCs/>
                <w:kern w:val="0"/>
                <w:sz w:val="22"/>
                <w:szCs w:val="22"/>
                <w:lang w:val="en-US" w:eastAsia="zh-CN" w:bidi="ar-SA"/>
              </w:rPr>
              <w:t>搅拌机、料斗、输送皮带及转载点设施等产尘点进行洒水降尘</w:t>
            </w:r>
          </w:p>
        </w:tc>
        <w:tc>
          <w:tcPr>
            <w:tcW w:w="1247" w:type="dxa"/>
            <w:tcBorders>
              <w:tl2br w:val="nil"/>
              <w:tr2bl w:val="nil"/>
            </w:tcBorders>
            <w:noWrap w:val="0"/>
            <w:vAlign w:val="center"/>
          </w:tcPr>
          <w:p w14:paraId="6E4D742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0.1829t</w:t>
            </w:r>
          </w:p>
        </w:tc>
        <w:tc>
          <w:tcPr>
            <w:tcW w:w="915" w:type="dxa"/>
            <w:tcBorders>
              <w:tl2br w:val="nil"/>
              <w:tr2bl w:val="nil"/>
            </w:tcBorders>
            <w:shd w:val="clear" w:color="auto" w:fill="auto"/>
            <w:noWrap w:val="0"/>
            <w:vAlign w:val="center"/>
          </w:tcPr>
          <w:p w14:paraId="3FADE497">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1019" w:type="dxa"/>
            <w:tcBorders>
              <w:tl2br w:val="nil"/>
              <w:tr2bl w:val="nil"/>
            </w:tcBorders>
            <w:shd w:val="clear" w:color="auto" w:fill="auto"/>
            <w:noWrap w:val="0"/>
            <w:vAlign w:val="center"/>
          </w:tcPr>
          <w:p w14:paraId="389EEC81">
            <w:pPr>
              <w:pStyle w:val="946"/>
              <w:spacing w:line="300" w:lineRule="exact"/>
              <w:rPr>
                <w:rFonts w:hint="eastAsia" w:ascii="Arial" w:hAnsi="Arial" w:eastAsia="宋体" w:cs="Arial"/>
                <w:kern w:val="2"/>
                <w:sz w:val="22"/>
                <w:szCs w:val="22"/>
                <w:lang w:val="en-US" w:eastAsia="zh-CN" w:bidi="ar-SA"/>
              </w:rPr>
            </w:pPr>
            <w:r>
              <w:rPr>
                <w:rFonts w:hint="eastAsia" w:ascii="Arial" w:hAnsi="Arial" w:cs="Arial"/>
                <w:sz w:val="22"/>
                <w:szCs w:val="22"/>
                <w:lang w:val="en-US" w:eastAsia="zh-CN"/>
              </w:rPr>
              <w:t>/</w:t>
            </w:r>
          </w:p>
        </w:tc>
      </w:tr>
      <w:tr w14:paraId="01855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1539E2EE">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36C07416">
            <w:pPr>
              <w:pStyle w:val="946"/>
              <w:spacing w:line="300" w:lineRule="exact"/>
              <w:rPr>
                <w:rFonts w:ascii="Arial" w:hAnsi="Arial" w:cs="Arial"/>
                <w:sz w:val="22"/>
                <w:szCs w:val="22"/>
              </w:rPr>
            </w:pPr>
          </w:p>
        </w:tc>
        <w:tc>
          <w:tcPr>
            <w:tcW w:w="1347" w:type="dxa"/>
            <w:gridSpan w:val="2"/>
            <w:tcBorders>
              <w:tl2br w:val="nil"/>
              <w:tr2bl w:val="nil"/>
            </w:tcBorders>
            <w:noWrap w:val="0"/>
            <w:vAlign w:val="center"/>
          </w:tcPr>
          <w:p w14:paraId="203DA629">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堆场扬尘</w:t>
            </w:r>
          </w:p>
        </w:tc>
        <w:tc>
          <w:tcPr>
            <w:tcW w:w="1213" w:type="dxa"/>
            <w:tcBorders>
              <w:tl2br w:val="nil"/>
              <w:tr2bl w:val="nil"/>
            </w:tcBorders>
            <w:noWrap w:val="0"/>
            <w:vAlign w:val="center"/>
          </w:tcPr>
          <w:p w14:paraId="176510AB">
            <w:pPr>
              <w:pStyle w:val="946"/>
              <w:spacing w:line="300" w:lineRule="exact"/>
              <w:rPr>
                <w:rFonts w:hint="eastAsia" w:ascii="Arial" w:hAnsi="Arial" w:cs="Arial"/>
                <w:sz w:val="22"/>
                <w:szCs w:val="22"/>
                <w:lang w:val="en-US" w:eastAsia="zh-CN"/>
              </w:rPr>
            </w:pPr>
            <w:r>
              <w:rPr>
                <w:rFonts w:hint="eastAsia" w:ascii="Arial" w:hAnsi="Arial" w:cs="Arial"/>
                <w:sz w:val="22"/>
                <w:szCs w:val="22"/>
                <w:lang w:val="en-US" w:eastAsia="zh-CN"/>
              </w:rPr>
              <w:t>少量</w:t>
            </w:r>
          </w:p>
        </w:tc>
        <w:tc>
          <w:tcPr>
            <w:tcW w:w="1035" w:type="dxa"/>
            <w:tcBorders>
              <w:tl2br w:val="nil"/>
              <w:tr2bl w:val="nil"/>
            </w:tcBorders>
            <w:shd w:val="clear" w:color="auto" w:fill="auto"/>
            <w:noWrap w:val="0"/>
            <w:vAlign w:val="center"/>
          </w:tcPr>
          <w:p w14:paraId="13722482">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TSP</w:t>
            </w:r>
          </w:p>
        </w:tc>
        <w:tc>
          <w:tcPr>
            <w:tcW w:w="1276" w:type="dxa"/>
            <w:tcBorders>
              <w:tl2br w:val="nil"/>
              <w:tr2bl w:val="nil"/>
            </w:tcBorders>
            <w:shd w:val="clear" w:color="auto" w:fill="auto"/>
            <w:noWrap w:val="0"/>
            <w:vAlign w:val="center"/>
          </w:tcPr>
          <w:p w14:paraId="49DF4D46">
            <w:pPr>
              <w:pStyle w:val="946"/>
              <w:spacing w:line="300" w:lineRule="exact"/>
              <w:rPr>
                <w:rFonts w:hint="eastAsia" w:ascii="Arial" w:hAnsi="Arial" w:eastAsia="宋体" w:cs="Arial"/>
                <w:kern w:val="2"/>
                <w:sz w:val="22"/>
                <w:szCs w:val="22"/>
                <w:lang w:val="en-US" w:eastAsia="zh-CN" w:bidi="ar-SA"/>
              </w:rPr>
            </w:pPr>
            <w:r>
              <w:rPr>
                <w:rFonts w:hint="eastAsia" w:ascii="Arial" w:hAnsi="Arial" w:cs="Arial"/>
                <w:sz w:val="22"/>
                <w:szCs w:val="22"/>
                <w:lang w:val="en-US" w:eastAsia="zh-CN"/>
              </w:rPr>
              <w:t>/</w:t>
            </w:r>
          </w:p>
        </w:tc>
        <w:tc>
          <w:tcPr>
            <w:tcW w:w="1275" w:type="dxa"/>
            <w:tcBorders>
              <w:tl2br w:val="nil"/>
              <w:tr2bl w:val="nil"/>
            </w:tcBorders>
            <w:shd w:val="clear" w:color="auto" w:fill="auto"/>
            <w:noWrap w:val="0"/>
            <w:vAlign w:val="center"/>
          </w:tcPr>
          <w:p w14:paraId="3312BDD2">
            <w:pPr>
              <w:pStyle w:val="946"/>
              <w:spacing w:line="300" w:lineRule="exact"/>
              <w:rPr>
                <w:rFonts w:ascii="Arial" w:hAnsi="Arial" w:eastAsia="宋体" w:cs="Arial"/>
                <w:kern w:val="2"/>
                <w:sz w:val="22"/>
                <w:szCs w:val="22"/>
                <w:lang w:val="en-US" w:eastAsia="zh-CN" w:bidi="ar-SA"/>
              </w:rPr>
            </w:pPr>
            <w:r>
              <w:rPr>
                <w:rFonts w:ascii="Arial" w:hAnsi="Arial" w:cs="Arial"/>
                <w:sz w:val="22"/>
                <w:szCs w:val="22"/>
              </w:rPr>
              <w:t>/</w:t>
            </w:r>
          </w:p>
        </w:tc>
        <w:tc>
          <w:tcPr>
            <w:tcW w:w="2734" w:type="dxa"/>
            <w:tcBorders>
              <w:tl2br w:val="nil"/>
              <w:tr2bl w:val="nil"/>
            </w:tcBorders>
            <w:noWrap w:val="0"/>
            <w:vAlign w:val="center"/>
          </w:tcPr>
          <w:p w14:paraId="6FF8F05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 w:val="0"/>
                <w:bCs/>
                <w:sz w:val="22"/>
                <w:szCs w:val="22"/>
                <w:lang w:val="en-US" w:eastAsia="zh-CN"/>
              </w:rPr>
              <w:t>水泥等粉质物料均集中堆存，并采取篷布或围挡、顶棚进行遮盖；弃渣场夯实堆存，并洒水抑尘。</w:t>
            </w:r>
          </w:p>
        </w:tc>
        <w:tc>
          <w:tcPr>
            <w:tcW w:w="1247" w:type="dxa"/>
            <w:tcBorders>
              <w:tl2br w:val="nil"/>
              <w:tr2bl w:val="nil"/>
            </w:tcBorders>
            <w:noWrap w:val="0"/>
            <w:vAlign w:val="center"/>
          </w:tcPr>
          <w:p w14:paraId="315DD37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少量</w:t>
            </w:r>
          </w:p>
        </w:tc>
        <w:tc>
          <w:tcPr>
            <w:tcW w:w="915" w:type="dxa"/>
            <w:tcBorders>
              <w:tl2br w:val="nil"/>
              <w:tr2bl w:val="nil"/>
            </w:tcBorders>
            <w:shd w:val="clear" w:color="auto" w:fill="auto"/>
            <w:noWrap w:val="0"/>
            <w:vAlign w:val="center"/>
          </w:tcPr>
          <w:p w14:paraId="5EA4D890">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shd w:val="clear" w:color="auto" w:fill="auto"/>
            <w:noWrap w:val="0"/>
            <w:vAlign w:val="center"/>
          </w:tcPr>
          <w:p w14:paraId="4AE90D81">
            <w:pPr>
              <w:pStyle w:val="946"/>
              <w:spacing w:line="300" w:lineRule="exact"/>
              <w:rPr>
                <w:rFonts w:hint="eastAsia" w:ascii="Arial" w:hAnsi="Arial" w:cs="Arial"/>
                <w:sz w:val="22"/>
                <w:szCs w:val="22"/>
                <w:lang w:val="en-US" w:eastAsia="zh-CN"/>
              </w:rPr>
            </w:pPr>
            <w:r>
              <w:rPr>
                <w:rFonts w:hint="eastAsia" w:ascii="Arial" w:hAnsi="Arial" w:cs="Arial"/>
                <w:sz w:val="22"/>
                <w:szCs w:val="22"/>
                <w:lang w:val="en-US" w:eastAsia="zh-CN"/>
              </w:rPr>
              <w:t>/</w:t>
            </w:r>
          </w:p>
        </w:tc>
      </w:tr>
      <w:tr w14:paraId="6BDE5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688942A3">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56A69685">
            <w:pPr>
              <w:pStyle w:val="946"/>
              <w:spacing w:line="300" w:lineRule="exact"/>
              <w:rPr>
                <w:rFonts w:ascii="Arial" w:hAnsi="Arial" w:cs="Arial"/>
                <w:sz w:val="22"/>
                <w:szCs w:val="22"/>
              </w:rPr>
            </w:pPr>
          </w:p>
        </w:tc>
        <w:tc>
          <w:tcPr>
            <w:tcW w:w="1347" w:type="dxa"/>
            <w:gridSpan w:val="2"/>
            <w:tcBorders>
              <w:tl2br w:val="nil"/>
              <w:tr2bl w:val="nil"/>
            </w:tcBorders>
            <w:noWrap w:val="0"/>
            <w:vAlign w:val="center"/>
          </w:tcPr>
          <w:p w14:paraId="0BFAA602">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燃油废气</w:t>
            </w:r>
          </w:p>
        </w:tc>
        <w:tc>
          <w:tcPr>
            <w:tcW w:w="1213" w:type="dxa"/>
            <w:tcBorders>
              <w:tl2br w:val="nil"/>
              <w:tr2bl w:val="nil"/>
            </w:tcBorders>
            <w:noWrap w:val="0"/>
            <w:vAlign w:val="center"/>
          </w:tcPr>
          <w:p w14:paraId="4F299868">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w:t>
            </w:r>
          </w:p>
        </w:tc>
        <w:tc>
          <w:tcPr>
            <w:tcW w:w="1035" w:type="dxa"/>
            <w:tcBorders>
              <w:tl2br w:val="nil"/>
              <w:tr2bl w:val="nil"/>
            </w:tcBorders>
            <w:noWrap w:val="0"/>
            <w:vAlign w:val="center"/>
          </w:tcPr>
          <w:p w14:paraId="48ECE114">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CO、NOx、THC</w:t>
            </w:r>
          </w:p>
        </w:tc>
        <w:tc>
          <w:tcPr>
            <w:tcW w:w="1276" w:type="dxa"/>
            <w:tcBorders>
              <w:tl2br w:val="nil"/>
              <w:tr2bl w:val="nil"/>
            </w:tcBorders>
            <w:noWrap w:val="0"/>
            <w:vAlign w:val="center"/>
          </w:tcPr>
          <w:p w14:paraId="541A64D4">
            <w:pPr>
              <w:pStyle w:val="946"/>
              <w:spacing w:line="300" w:lineRule="exact"/>
              <w:rPr>
                <w:rFonts w:ascii="Arial" w:hAnsi="Arial" w:cs="Arial"/>
                <w:sz w:val="22"/>
                <w:szCs w:val="22"/>
              </w:rPr>
            </w:pPr>
            <w:r>
              <w:rPr>
                <w:rFonts w:ascii="Arial" w:hAnsi="Arial" w:cs="Arial"/>
                <w:sz w:val="22"/>
                <w:szCs w:val="22"/>
              </w:rPr>
              <w:t>/</w:t>
            </w:r>
          </w:p>
        </w:tc>
        <w:tc>
          <w:tcPr>
            <w:tcW w:w="1275" w:type="dxa"/>
            <w:tcBorders>
              <w:tl2br w:val="nil"/>
              <w:tr2bl w:val="nil"/>
            </w:tcBorders>
            <w:noWrap w:val="0"/>
            <w:vAlign w:val="center"/>
          </w:tcPr>
          <w:p w14:paraId="3F36E4B7">
            <w:pPr>
              <w:pStyle w:val="946"/>
              <w:spacing w:line="300" w:lineRule="exact"/>
              <w:rPr>
                <w:rFonts w:ascii="Arial" w:hAnsi="Arial" w:cs="Arial"/>
                <w:sz w:val="22"/>
                <w:szCs w:val="22"/>
              </w:rPr>
            </w:pPr>
            <w:r>
              <w:rPr>
                <w:rFonts w:ascii="Arial" w:hAnsi="Arial" w:cs="Arial"/>
                <w:sz w:val="22"/>
                <w:szCs w:val="22"/>
              </w:rPr>
              <w:t>/</w:t>
            </w:r>
          </w:p>
        </w:tc>
        <w:tc>
          <w:tcPr>
            <w:tcW w:w="2734" w:type="dxa"/>
            <w:tcBorders>
              <w:tl2br w:val="nil"/>
              <w:tr2bl w:val="nil"/>
            </w:tcBorders>
            <w:noWrap w:val="0"/>
            <w:vAlign w:val="center"/>
          </w:tcPr>
          <w:p w14:paraId="17481C8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sz w:val="22"/>
                <w:szCs w:val="22"/>
                <w:lang w:eastAsia="zh-CN"/>
              </w:rPr>
            </w:pPr>
            <w:r>
              <w:rPr>
                <w:rFonts w:hint="eastAsia" w:ascii="Arial" w:hAnsi="Arial" w:cs="Arial"/>
                <w:b w:val="0"/>
                <w:bCs/>
                <w:sz w:val="22"/>
                <w:szCs w:val="22"/>
                <w:lang w:val="en-US" w:eastAsia="zh-CN"/>
              </w:rPr>
              <w:t>以柴油、汽油为燃料，加强对施工机械的维护、保养，使其处于良好的工作状态。</w:t>
            </w:r>
          </w:p>
        </w:tc>
        <w:tc>
          <w:tcPr>
            <w:tcW w:w="1247" w:type="dxa"/>
            <w:tcBorders>
              <w:tl2br w:val="nil"/>
              <w:tr2bl w:val="nil"/>
            </w:tcBorders>
            <w:noWrap w:val="0"/>
            <w:vAlign w:val="center"/>
          </w:tcPr>
          <w:p w14:paraId="681D97E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sz w:val="22"/>
                <w:szCs w:val="22"/>
              </w:rPr>
            </w:pPr>
            <w:r>
              <w:rPr>
                <w:rFonts w:hint="eastAsia" w:ascii="Arial" w:hAnsi="Arial" w:cs="Arial"/>
                <w:bCs/>
                <w:color w:val="auto"/>
                <w:sz w:val="22"/>
                <w:szCs w:val="22"/>
                <w:vertAlign w:val="baseline"/>
                <w:lang w:val="en-US" w:eastAsia="zh-CN"/>
              </w:rPr>
              <w:t>少量</w:t>
            </w:r>
          </w:p>
        </w:tc>
        <w:tc>
          <w:tcPr>
            <w:tcW w:w="915" w:type="dxa"/>
            <w:tcBorders>
              <w:tl2br w:val="nil"/>
              <w:tr2bl w:val="nil"/>
            </w:tcBorders>
            <w:noWrap w:val="0"/>
            <w:vAlign w:val="center"/>
          </w:tcPr>
          <w:p w14:paraId="167EB7BC">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35403963">
            <w:pPr>
              <w:pStyle w:val="946"/>
              <w:spacing w:line="300" w:lineRule="exact"/>
              <w:rPr>
                <w:rFonts w:hint="eastAsia" w:ascii="Arial" w:hAnsi="Arial" w:cs="Arial"/>
                <w:sz w:val="22"/>
                <w:szCs w:val="22"/>
                <w:lang w:eastAsia="zh-CN"/>
              </w:rPr>
            </w:pPr>
            <w:r>
              <w:rPr>
                <w:rFonts w:hint="eastAsia" w:ascii="Arial" w:hAnsi="Arial" w:cs="Arial"/>
                <w:sz w:val="22"/>
                <w:szCs w:val="22"/>
                <w:lang w:val="en-US" w:eastAsia="zh-CN"/>
              </w:rPr>
              <w:t>/</w:t>
            </w:r>
          </w:p>
        </w:tc>
      </w:tr>
      <w:tr w14:paraId="2CA8C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7034B4B1">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44587D6D">
            <w:pPr>
              <w:widowControl/>
              <w:spacing w:line="300" w:lineRule="exact"/>
              <w:jc w:val="center"/>
              <w:rPr>
                <w:rFonts w:ascii="Arial" w:hAnsi="Arial" w:cs="Arial"/>
                <w:sz w:val="22"/>
                <w:szCs w:val="22"/>
              </w:rPr>
            </w:pPr>
          </w:p>
        </w:tc>
        <w:tc>
          <w:tcPr>
            <w:tcW w:w="1347" w:type="dxa"/>
            <w:gridSpan w:val="2"/>
            <w:tcBorders>
              <w:tl2br w:val="nil"/>
              <w:tr2bl w:val="nil"/>
            </w:tcBorders>
            <w:noWrap w:val="0"/>
            <w:vAlign w:val="center"/>
          </w:tcPr>
          <w:p w14:paraId="29FE40BE">
            <w:pPr>
              <w:pStyle w:val="946"/>
              <w:spacing w:line="300" w:lineRule="exact"/>
              <w:rPr>
                <w:rFonts w:hint="eastAsia" w:ascii="Arial" w:hAnsi="Arial" w:eastAsia="宋体" w:cs="Arial"/>
                <w:sz w:val="22"/>
                <w:szCs w:val="22"/>
                <w:lang w:eastAsia="zh-CN"/>
              </w:rPr>
            </w:pPr>
            <w:r>
              <w:rPr>
                <w:rFonts w:hint="eastAsia" w:ascii="Arial" w:hAnsi="Arial" w:cs="Arial"/>
                <w:sz w:val="22"/>
                <w:szCs w:val="22"/>
                <w:lang w:eastAsia="zh-CN"/>
              </w:rPr>
              <w:t>生活燃料废气</w:t>
            </w:r>
          </w:p>
        </w:tc>
        <w:tc>
          <w:tcPr>
            <w:tcW w:w="1213" w:type="dxa"/>
            <w:tcBorders>
              <w:tl2br w:val="nil"/>
              <w:tr2bl w:val="nil"/>
            </w:tcBorders>
            <w:noWrap w:val="0"/>
            <w:vAlign w:val="center"/>
          </w:tcPr>
          <w:p w14:paraId="60F38D5F">
            <w:pPr>
              <w:pStyle w:val="946"/>
              <w:spacing w:line="300" w:lineRule="exact"/>
              <w:rPr>
                <w:rFonts w:hint="eastAsia" w:ascii="Arial" w:hAnsi="Arial" w:eastAsia="宋体" w:cs="Arial"/>
                <w:sz w:val="22"/>
                <w:szCs w:val="22"/>
                <w:lang w:eastAsia="zh-CN"/>
              </w:rPr>
            </w:pPr>
            <w:r>
              <w:rPr>
                <w:rFonts w:hint="eastAsia" w:ascii="Arial" w:hAnsi="Arial" w:cs="Arial"/>
                <w:sz w:val="22"/>
                <w:szCs w:val="22"/>
                <w:lang w:eastAsia="zh-CN"/>
              </w:rPr>
              <w:t>少量</w:t>
            </w:r>
          </w:p>
        </w:tc>
        <w:tc>
          <w:tcPr>
            <w:tcW w:w="1035" w:type="dxa"/>
            <w:tcBorders>
              <w:tl2br w:val="nil"/>
              <w:tr2bl w:val="nil"/>
            </w:tcBorders>
            <w:noWrap w:val="0"/>
            <w:vAlign w:val="center"/>
          </w:tcPr>
          <w:p w14:paraId="45090F7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SO</w:t>
            </w:r>
            <w:r>
              <w:rPr>
                <w:rFonts w:hint="eastAsia" w:ascii="Arial" w:hAnsi="Arial" w:cs="Arial"/>
                <w:bCs/>
                <w:color w:val="auto"/>
                <w:sz w:val="22"/>
                <w:szCs w:val="22"/>
                <w:vertAlign w:val="subscript"/>
                <w:lang w:val="en-US" w:eastAsia="zh-CN"/>
              </w:rPr>
              <w:t>2</w:t>
            </w:r>
          </w:p>
          <w:p w14:paraId="0D4DA50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cs="Arial"/>
                <w:bCs/>
                <w:color w:val="auto"/>
                <w:sz w:val="22"/>
                <w:szCs w:val="22"/>
                <w:vertAlign w:val="baseline"/>
                <w:lang w:val="en-US" w:eastAsia="zh-CN"/>
              </w:rPr>
            </w:pPr>
            <w:r>
              <w:rPr>
                <w:rFonts w:hint="eastAsia" w:ascii="Arial" w:hAnsi="Arial" w:cs="Arial"/>
                <w:bCs/>
                <w:color w:val="auto"/>
                <w:sz w:val="22"/>
                <w:szCs w:val="22"/>
                <w:vertAlign w:val="baseline"/>
                <w:lang w:val="en-US" w:eastAsia="zh-CN"/>
              </w:rPr>
              <w:t>NO</w:t>
            </w:r>
            <w:r>
              <w:rPr>
                <w:rFonts w:hint="eastAsia" w:ascii="Arial" w:hAnsi="Arial" w:cs="Arial"/>
                <w:bCs/>
                <w:color w:val="auto"/>
                <w:sz w:val="22"/>
                <w:szCs w:val="22"/>
                <w:vertAlign w:val="subscript"/>
                <w:lang w:val="en-US" w:eastAsia="zh-CN"/>
              </w:rPr>
              <w:t>2</w:t>
            </w:r>
          </w:p>
          <w:p w14:paraId="03A189C8">
            <w:pPr>
              <w:pStyle w:val="946"/>
              <w:spacing w:line="300" w:lineRule="exact"/>
              <w:rPr>
                <w:rFonts w:ascii="Arial" w:hAnsi="Arial" w:cs="Arial"/>
                <w:sz w:val="22"/>
                <w:szCs w:val="22"/>
              </w:rPr>
            </w:pPr>
            <w:r>
              <w:rPr>
                <w:rFonts w:hint="eastAsia" w:ascii="Arial" w:hAnsi="Arial" w:cs="Arial"/>
                <w:bCs/>
                <w:color w:val="auto"/>
                <w:sz w:val="22"/>
                <w:szCs w:val="22"/>
                <w:vertAlign w:val="baseline"/>
                <w:lang w:val="en-US" w:eastAsia="zh-CN"/>
              </w:rPr>
              <w:t>烟尘</w:t>
            </w:r>
          </w:p>
        </w:tc>
        <w:tc>
          <w:tcPr>
            <w:tcW w:w="1276" w:type="dxa"/>
            <w:tcBorders>
              <w:tl2br w:val="nil"/>
              <w:tr2bl w:val="nil"/>
            </w:tcBorders>
            <w:noWrap w:val="0"/>
            <w:vAlign w:val="center"/>
          </w:tcPr>
          <w:p w14:paraId="6229C8E4">
            <w:pPr>
              <w:pStyle w:val="946"/>
              <w:spacing w:line="300" w:lineRule="exact"/>
              <w:rPr>
                <w:rFonts w:ascii="Arial" w:hAnsi="Arial" w:cs="Arial"/>
                <w:sz w:val="22"/>
                <w:szCs w:val="22"/>
              </w:rPr>
            </w:pPr>
            <w:r>
              <w:rPr>
                <w:rFonts w:ascii="Arial" w:hAnsi="Arial" w:cs="Arial"/>
                <w:sz w:val="22"/>
                <w:szCs w:val="22"/>
              </w:rPr>
              <w:t>/</w:t>
            </w:r>
          </w:p>
        </w:tc>
        <w:tc>
          <w:tcPr>
            <w:tcW w:w="1275" w:type="dxa"/>
            <w:tcBorders>
              <w:tl2br w:val="nil"/>
              <w:tr2bl w:val="nil"/>
            </w:tcBorders>
            <w:noWrap w:val="0"/>
            <w:vAlign w:val="center"/>
          </w:tcPr>
          <w:p w14:paraId="04F886E2">
            <w:pPr>
              <w:pStyle w:val="946"/>
              <w:spacing w:line="300" w:lineRule="exact"/>
              <w:rPr>
                <w:rFonts w:ascii="Arial" w:hAnsi="Arial" w:cs="Arial"/>
                <w:sz w:val="22"/>
                <w:szCs w:val="22"/>
              </w:rPr>
            </w:pPr>
            <w:r>
              <w:rPr>
                <w:rFonts w:ascii="Arial" w:hAnsi="Arial" w:cs="Arial"/>
                <w:sz w:val="22"/>
                <w:szCs w:val="22"/>
              </w:rPr>
              <w:t>/</w:t>
            </w:r>
          </w:p>
        </w:tc>
        <w:tc>
          <w:tcPr>
            <w:tcW w:w="2734" w:type="dxa"/>
            <w:tcBorders>
              <w:tl2br w:val="nil"/>
              <w:tr2bl w:val="nil"/>
            </w:tcBorders>
            <w:noWrap w:val="0"/>
            <w:vAlign w:val="center"/>
          </w:tcPr>
          <w:p w14:paraId="1D661C4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sz w:val="22"/>
                <w:szCs w:val="22"/>
              </w:rPr>
            </w:pPr>
            <w:r>
              <w:rPr>
                <w:rFonts w:hint="eastAsia" w:ascii="Arial" w:hAnsi="Arial" w:cs="Arial"/>
                <w:b w:val="0"/>
                <w:bCs/>
                <w:sz w:val="22"/>
                <w:szCs w:val="22"/>
                <w:lang w:val="en-US" w:eastAsia="zh-CN"/>
              </w:rPr>
              <w:t>供热及生活主要采取电、液化石油气等清洁能源</w:t>
            </w:r>
          </w:p>
        </w:tc>
        <w:tc>
          <w:tcPr>
            <w:tcW w:w="1247" w:type="dxa"/>
            <w:tcBorders>
              <w:tl2br w:val="nil"/>
              <w:tr2bl w:val="nil"/>
            </w:tcBorders>
            <w:noWrap w:val="0"/>
            <w:vAlign w:val="center"/>
          </w:tcPr>
          <w:p w14:paraId="2FDEB9B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Arial" w:hAnsi="Arial" w:cs="Arial"/>
                <w:sz w:val="22"/>
                <w:szCs w:val="22"/>
              </w:rPr>
            </w:pPr>
            <w:r>
              <w:rPr>
                <w:rFonts w:hint="eastAsia" w:ascii="Arial" w:hAnsi="Arial" w:cs="Arial"/>
                <w:bCs/>
                <w:color w:val="auto"/>
                <w:sz w:val="22"/>
                <w:szCs w:val="22"/>
                <w:vertAlign w:val="baseline"/>
                <w:lang w:val="en-US" w:eastAsia="zh-CN"/>
              </w:rPr>
              <w:t>少量</w:t>
            </w:r>
          </w:p>
        </w:tc>
        <w:tc>
          <w:tcPr>
            <w:tcW w:w="915" w:type="dxa"/>
            <w:tcBorders>
              <w:tl2br w:val="nil"/>
              <w:tr2bl w:val="nil"/>
            </w:tcBorders>
            <w:noWrap w:val="0"/>
            <w:vAlign w:val="center"/>
          </w:tcPr>
          <w:p w14:paraId="096AF82B">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3864A092">
            <w:pPr>
              <w:pStyle w:val="946"/>
              <w:spacing w:line="300" w:lineRule="exact"/>
              <w:rPr>
                <w:rFonts w:ascii="Arial" w:hAnsi="Arial" w:cs="Arial"/>
                <w:sz w:val="22"/>
                <w:szCs w:val="22"/>
              </w:rPr>
            </w:pPr>
            <w:r>
              <w:rPr>
                <w:rFonts w:ascii="Arial" w:hAnsi="Arial" w:cs="Arial"/>
                <w:sz w:val="22"/>
                <w:szCs w:val="22"/>
              </w:rPr>
              <w:t>/</w:t>
            </w:r>
          </w:p>
        </w:tc>
      </w:tr>
      <w:tr w14:paraId="38FAE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shd w:val="clear" w:color="auto" w:fill="auto"/>
            <w:noWrap w:val="0"/>
            <w:vAlign w:val="center"/>
          </w:tcPr>
          <w:p w14:paraId="00E820BC">
            <w:pPr>
              <w:widowControl/>
              <w:spacing w:line="300" w:lineRule="exact"/>
              <w:jc w:val="center"/>
              <w:rPr>
                <w:rFonts w:ascii="Arial" w:hAnsi="Arial" w:cs="Arial"/>
                <w:sz w:val="22"/>
                <w:szCs w:val="22"/>
              </w:rPr>
            </w:pPr>
          </w:p>
        </w:tc>
        <w:tc>
          <w:tcPr>
            <w:tcW w:w="592" w:type="dxa"/>
            <w:vMerge w:val="restart"/>
            <w:tcBorders>
              <w:tl2br w:val="nil"/>
              <w:tr2bl w:val="nil"/>
            </w:tcBorders>
            <w:shd w:val="clear" w:color="auto" w:fill="auto"/>
            <w:noWrap w:val="0"/>
            <w:vAlign w:val="center"/>
          </w:tcPr>
          <w:p w14:paraId="04A05655">
            <w:pPr>
              <w:pStyle w:val="946"/>
              <w:spacing w:line="300" w:lineRule="exact"/>
              <w:rPr>
                <w:rFonts w:ascii="Arial" w:hAnsi="Arial" w:cs="Arial"/>
                <w:sz w:val="22"/>
                <w:szCs w:val="22"/>
              </w:rPr>
            </w:pPr>
            <w:r>
              <w:rPr>
                <w:rFonts w:ascii="Arial" w:hAnsi="Arial" w:cs="Arial"/>
                <w:sz w:val="22"/>
                <w:szCs w:val="22"/>
              </w:rPr>
              <w:t>固体废物</w:t>
            </w:r>
          </w:p>
        </w:tc>
        <w:tc>
          <w:tcPr>
            <w:tcW w:w="617" w:type="dxa"/>
            <w:vMerge w:val="restart"/>
            <w:tcBorders>
              <w:tl2br w:val="nil"/>
              <w:tr2bl w:val="nil"/>
            </w:tcBorders>
            <w:shd w:val="clear" w:color="auto" w:fill="auto"/>
            <w:noWrap w:val="0"/>
            <w:vAlign w:val="center"/>
          </w:tcPr>
          <w:p w14:paraId="4773B932">
            <w:pPr>
              <w:pStyle w:val="946"/>
              <w:spacing w:line="300" w:lineRule="exact"/>
              <w:rPr>
                <w:rFonts w:hint="eastAsia" w:ascii="Arial" w:hAnsi="Arial" w:eastAsia="宋体" w:cs="Arial"/>
                <w:color w:val="auto"/>
                <w:sz w:val="22"/>
                <w:szCs w:val="22"/>
                <w:lang w:eastAsia="zh-CN"/>
              </w:rPr>
            </w:pPr>
            <w:r>
              <w:rPr>
                <w:rFonts w:hint="eastAsia" w:ascii="Arial" w:hAnsi="Arial" w:cs="Arial"/>
                <w:color w:val="auto"/>
                <w:sz w:val="22"/>
                <w:szCs w:val="22"/>
                <w:lang w:eastAsia="zh-CN"/>
              </w:rPr>
              <w:t>弃渣</w:t>
            </w:r>
          </w:p>
        </w:tc>
        <w:tc>
          <w:tcPr>
            <w:tcW w:w="730" w:type="dxa"/>
            <w:tcBorders>
              <w:tl2br w:val="nil"/>
              <w:tr2bl w:val="nil"/>
            </w:tcBorders>
            <w:shd w:val="clear" w:color="auto" w:fill="auto"/>
            <w:noWrap w:val="0"/>
            <w:vAlign w:val="center"/>
          </w:tcPr>
          <w:p w14:paraId="397122DB">
            <w:pPr>
              <w:pStyle w:val="946"/>
              <w:spacing w:line="300" w:lineRule="exact"/>
              <w:rPr>
                <w:rFonts w:hint="eastAsia" w:ascii="Arial" w:hAnsi="Arial" w:cs="Arial"/>
                <w:color w:val="auto"/>
                <w:sz w:val="22"/>
                <w:szCs w:val="22"/>
                <w:lang w:eastAsia="zh-CN"/>
              </w:rPr>
            </w:pPr>
            <w:r>
              <w:rPr>
                <w:rFonts w:hint="eastAsia" w:ascii="Arial" w:hAnsi="Arial" w:cs="Arial"/>
                <w:color w:val="auto"/>
                <w:sz w:val="22"/>
                <w:szCs w:val="22"/>
                <w:lang w:eastAsia="zh-CN"/>
              </w:rPr>
              <w:t>枢纽工程</w:t>
            </w:r>
          </w:p>
        </w:tc>
        <w:tc>
          <w:tcPr>
            <w:tcW w:w="1213" w:type="dxa"/>
            <w:tcBorders>
              <w:tl2br w:val="nil"/>
              <w:tr2bl w:val="nil"/>
            </w:tcBorders>
            <w:noWrap w:val="0"/>
            <w:vAlign w:val="center"/>
          </w:tcPr>
          <w:p w14:paraId="6CE016FC">
            <w:pPr>
              <w:pStyle w:val="946"/>
              <w:spacing w:line="300" w:lineRule="exact"/>
              <w:rPr>
                <w:rFonts w:ascii="Arial" w:hAnsi="Arial" w:cs="Arial"/>
                <w:color w:val="auto"/>
                <w:sz w:val="22"/>
                <w:szCs w:val="22"/>
              </w:rPr>
            </w:pPr>
            <w:r>
              <w:rPr>
                <w:rFonts w:hint="eastAsia" w:ascii="Arial" w:hAnsi="Arial" w:cs="Arial"/>
                <w:color w:val="auto"/>
                <w:sz w:val="22"/>
                <w:szCs w:val="22"/>
                <w:lang w:val="en-US" w:eastAsia="zh-CN" w:bidi="he-IL"/>
              </w:rPr>
              <w:t>6.6</w:t>
            </w:r>
            <w:r>
              <w:rPr>
                <w:rFonts w:ascii="Arial" w:hAnsi="Arial" w:cs="Arial"/>
                <w:color w:val="auto"/>
                <w:sz w:val="22"/>
                <w:szCs w:val="22"/>
                <w:lang w:bidi="he-IL"/>
              </w:rPr>
              <w:t>万</w:t>
            </w:r>
            <w:r>
              <w:rPr>
                <w:rFonts w:ascii="Arial" w:hAnsi="Arial" w:cs="Arial"/>
                <w:color w:val="auto"/>
                <w:sz w:val="22"/>
                <w:szCs w:val="22"/>
                <w:lang w:val="zh-CN" w:bidi="he-IL"/>
              </w:rPr>
              <w:t>m</w:t>
            </w:r>
            <w:r>
              <w:rPr>
                <w:rFonts w:ascii="Arial" w:hAnsi="Arial" w:cs="Arial"/>
                <w:color w:val="auto"/>
                <w:sz w:val="22"/>
                <w:szCs w:val="22"/>
                <w:vertAlign w:val="superscript"/>
                <w:lang w:val="zh-CN" w:bidi="he-IL"/>
              </w:rPr>
              <w:t>3</w:t>
            </w:r>
          </w:p>
        </w:tc>
        <w:tc>
          <w:tcPr>
            <w:tcW w:w="1035" w:type="dxa"/>
            <w:tcBorders>
              <w:tl2br w:val="nil"/>
              <w:tr2bl w:val="nil"/>
            </w:tcBorders>
            <w:noWrap w:val="0"/>
            <w:vAlign w:val="center"/>
          </w:tcPr>
          <w:p w14:paraId="44168BA4">
            <w:pPr>
              <w:pStyle w:val="946"/>
              <w:spacing w:line="300" w:lineRule="exact"/>
              <w:rPr>
                <w:rFonts w:ascii="Arial" w:hAnsi="Arial" w:cs="Arial"/>
                <w:sz w:val="22"/>
                <w:szCs w:val="22"/>
              </w:rPr>
            </w:pPr>
            <w:r>
              <w:rPr>
                <w:rFonts w:ascii="Arial" w:hAnsi="Arial" w:cs="Arial"/>
                <w:sz w:val="22"/>
                <w:szCs w:val="22"/>
              </w:rPr>
              <w:t>/</w:t>
            </w:r>
          </w:p>
        </w:tc>
        <w:tc>
          <w:tcPr>
            <w:tcW w:w="1276" w:type="dxa"/>
            <w:tcBorders>
              <w:tl2br w:val="nil"/>
              <w:tr2bl w:val="nil"/>
            </w:tcBorders>
            <w:noWrap w:val="0"/>
            <w:vAlign w:val="center"/>
          </w:tcPr>
          <w:p w14:paraId="74AF8EA7">
            <w:pPr>
              <w:pStyle w:val="946"/>
              <w:spacing w:line="300" w:lineRule="exact"/>
              <w:rPr>
                <w:rFonts w:ascii="Arial" w:hAnsi="Arial" w:cs="Arial"/>
                <w:sz w:val="22"/>
                <w:szCs w:val="22"/>
              </w:rPr>
            </w:pPr>
            <w:r>
              <w:rPr>
                <w:rFonts w:ascii="Arial" w:hAnsi="Arial" w:cs="Arial"/>
                <w:sz w:val="22"/>
                <w:szCs w:val="22"/>
              </w:rPr>
              <w:t>/</w:t>
            </w:r>
          </w:p>
        </w:tc>
        <w:tc>
          <w:tcPr>
            <w:tcW w:w="1275" w:type="dxa"/>
            <w:tcBorders>
              <w:tl2br w:val="nil"/>
              <w:tr2bl w:val="nil"/>
            </w:tcBorders>
            <w:noWrap w:val="0"/>
            <w:vAlign w:val="center"/>
          </w:tcPr>
          <w:p w14:paraId="78941A51">
            <w:pPr>
              <w:pStyle w:val="946"/>
              <w:spacing w:line="300" w:lineRule="exact"/>
              <w:rPr>
                <w:rFonts w:ascii="Arial" w:hAnsi="Arial" w:cs="Arial"/>
                <w:sz w:val="22"/>
                <w:szCs w:val="22"/>
              </w:rPr>
            </w:pPr>
            <w:r>
              <w:rPr>
                <w:rFonts w:ascii="Arial" w:hAnsi="Arial" w:cs="Arial"/>
                <w:sz w:val="22"/>
                <w:szCs w:val="22"/>
              </w:rPr>
              <w:t>/</w:t>
            </w:r>
          </w:p>
        </w:tc>
        <w:tc>
          <w:tcPr>
            <w:tcW w:w="2734" w:type="dxa"/>
            <w:vMerge w:val="restart"/>
            <w:tcBorders>
              <w:tl2br w:val="nil"/>
              <w:tr2bl w:val="nil"/>
            </w:tcBorders>
            <w:noWrap w:val="0"/>
            <w:vAlign w:val="center"/>
          </w:tcPr>
          <w:p w14:paraId="3E282419">
            <w:pPr>
              <w:pStyle w:val="946"/>
              <w:spacing w:line="300" w:lineRule="exact"/>
              <w:rPr>
                <w:rFonts w:hint="eastAsia" w:ascii="Arial" w:hAnsi="Arial" w:cs="Arial"/>
                <w:color w:val="00B0F0"/>
                <w:sz w:val="22"/>
                <w:szCs w:val="22"/>
                <w:lang w:eastAsia="zh-CN"/>
              </w:rPr>
            </w:pPr>
            <w:r>
              <w:rPr>
                <w:rFonts w:hint="eastAsia" w:ascii="Arial" w:hAnsi="Arial" w:cs="Arial"/>
                <w:color w:val="auto"/>
                <w:sz w:val="22"/>
                <w:szCs w:val="22"/>
                <w:lang w:eastAsia="zh-CN"/>
              </w:rPr>
              <w:t>及时清运至项目于田家山村村委会附近所设弃渣场内夯实填埋处置。</w:t>
            </w:r>
          </w:p>
        </w:tc>
        <w:tc>
          <w:tcPr>
            <w:tcW w:w="1247" w:type="dxa"/>
            <w:tcBorders>
              <w:tl2br w:val="nil"/>
              <w:tr2bl w:val="nil"/>
            </w:tcBorders>
            <w:noWrap w:val="0"/>
            <w:vAlign w:val="center"/>
          </w:tcPr>
          <w:p w14:paraId="34122715">
            <w:pPr>
              <w:pStyle w:val="946"/>
              <w:spacing w:line="300" w:lineRule="exact"/>
              <w:rPr>
                <w:rFonts w:ascii="Arial" w:hAnsi="Arial" w:cs="Arial"/>
                <w:sz w:val="22"/>
                <w:szCs w:val="22"/>
              </w:rPr>
            </w:pPr>
            <w:r>
              <w:rPr>
                <w:rFonts w:ascii="Arial" w:hAnsi="Arial" w:cs="Arial"/>
                <w:sz w:val="22"/>
                <w:szCs w:val="22"/>
              </w:rPr>
              <w:t>/</w:t>
            </w:r>
          </w:p>
        </w:tc>
        <w:tc>
          <w:tcPr>
            <w:tcW w:w="915" w:type="dxa"/>
            <w:tcBorders>
              <w:tl2br w:val="nil"/>
              <w:tr2bl w:val="nil"/>
            </w:tcBorders>
            <w:noWrap w:val="0"/>
            <w:vAlign w:val="center"/>
          </w:tcPr>
          <w:p w14:paraId="378D614D">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54F83E49">
            <w:pPr>
              <w:pStyle w:val="946"/>
              <w:spacing w:line="300" w:lineRule="exact"/>
              <w:rPr>
                <w:rFonts w:ascii="Arial" w:hAnsi="Arial" w:cs="Arial"/>
                <w:sz w:val="22"/>
                <w:szCs w:val="22"/>
              </w:rPr>
            </w:pPr>
            <w:r>
              <w:rPr>
                <w:rFonts w:ascii="Arial" w:hAnsi="Arial" w:cs="Arial"/>
                <w:sz w:val="22"/>
                <w:szCs w:val="22"/>
              </w:rPr>
              <w:t>/</w:t>
            </w:r>
          </w:p>
        </w:tc>
      </w:tr>
      <w:tr w14:paraId="536DD5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shd w:val="clear" w:color="auto" w:fill="auto"/>
            <w:noWrap w:val="0"/>
            <w:vAlign w:val="center"/>
          </w:tcPr>
          <w:p w14:paraId="249EC573">
            <w:pPr>
              <w:widowControl/>
              <w:spacing w:line="300" w:lineRule="exact"/>
              <w:jc w:val="center"/>
              <w:rPr>
                <w:rFonts w:ascii="Arial" w:hAnsi="Arial" w:cs="Arial"/>
                <w:sz w:val="22"/>
                <w:szCs w:val="22"/>
              </w:rPr>
            </w:pPr>
          </w:p>
        </w:tc>
        <w:tc>
          <w:tcPr>
            <w:tcW w:w="592" w:type="dxa"/>
            <w:vMerge w:val="continue"/>
            <w:tcBorders>
              <w:tl2br w:val="nil"/>
              <w:tr2bl w:val="nil"/>
            </w:tcBorders>
            <w:shd w:val="clear" w:color="auto" w:fill="auto"/>
            <w:noWrap w:val="0"/>
            <w:vAlign w:val="center"/>
          </w:tcPr>
          <w:p w14:paraId="23067303">
            <w:pPr>
              <w:pStyle w:val="946"/>
              <w:spacing w:line="300" w:lineRule="exact"/>
              <w:rPr>
                <w:rFonts w:ascii="Arial" w:hAnsi="Arial" w:cs="Arial"/>
                <w:sz w:val="22"/>
                <w:szCs w:val="22"/>
              </w:rPr>
            </w:pPr>
          </w:p>
        </w:tc>
        <w:tc>
          <w:tcPr>
            <w:tcW w:w="617" w:type="dxa"/>
            <w:vMerge w:val="continue"/>
            <w:tcBorders>
              <w:tl2br w:val="nil"/>
              <w:tr2bl w:val="nil"/>
            </w:tcBorders>
            <w:shd w:val="clear" w:color="auto" w:fill="auto"/>
            <w:noWrap w:val="0"/>
            <w:vAlign w:val="center"/>
          </w:tcPr>
          <w:p w14:paraId="62D484E2">
            <w:pPr>
              <w:pStyle w:val="946"/>
              <w:spacing w:line="300" w:lineRule="exact"/>
              <w:rPr>
                <w:rFonts w:ascii="Arial" w:hAnsi="Arial" w:cs="Arial"/>
                <w:color w:val="auto"/>
                <w:sz w:val="22"/>
                <w:szCs w:val="22"/>
              </w:rPr>
            </w:pPr>
          </w:p>
        </w:tc>
        <w:tc>
          <w:tcPr>
            <w:tcW w:w="730" w:type="dxa"/>
            <w:tcBorders>
              <w:tl2br w:val="nil"/>
              <w:tr2bl w:val="nil"/>
            </w:tcBorders>
            <w:shd w:val="clear" w:color="auto" w:fill="auto"/>
            <w:noWrap w:val="0"/>
            <w:vAlign w:val="center"/>
          </w:tcPr>
          <w:p w14:paraId="16634FE2">
            <w:pPr>
              <w:pStyle w:val="946"/>
              <w:spacing w:line="300" w:lineRule="exact"/>
              <w:rPr>
                <w:rFonts w:hint="eastAsia" w:ascii="Arial" w:hAnsi="Arial" w:cs="Arial"/>
                <w:color w:val="auto"/>
                <w:sz w:val="22"/>
                <w:szCs w:val="22"/>
                <w:lang w:eastAsia="zh-CN"/>
              </w:rPr>
            </w:pPr>
            <w:r>
              <w:rPr>
                <w:rFonts w:hint="eastAsia" w:ascii="Arial" w:hAnsi="Arial" w:cs="Arial"/>
                <w:color w:val="auto"/>
                <w:sz w:val="22"/>
                <w:szCs w:val="22"/>
                <w:lang w:eastAsia="zh-CN"/>
              </w:rPr>
              <w:t>输水工程</w:t>
            </w:r>
          </w:p>
        </w:tc>
        <w:tc>
          <w:tcPr>
            <w:tcW w:w="1213" w:type="dxa"/>
            <w:tcBorders>
              <w:tl2br w:val="nil"/>
              <w:tr2bl w:val="nil"/>
            </w:tcBorders>
            <w:noWrap w:val="0"/>
            <w:vAlign w:val="center"/>
          </w:tcPr>
          <w:p w14:paraId="1123D174">
            <w:pPr>
              <w:pStyle w:val="946"/>
              <w:spacing w:line="300" w:lineRule="exact"/>
              <w:rPr>
                <w:rFonts w:hint="eastAsia" w:ascii="Arial" w:hAnsi="Arial" w:cs="Arial"/>
                <w:color w:val="auto"/>
                <w:sz w:val="22"/>
                <w:szCs w:val="22"/>
                <w:lang w:eastAsia="zh-CN" w:bidi="he-IL"/>
              </w:rPr>
            </w:pPr>
            <w:r>
              <w:rPr>
                <w:rFonts w:hint="eastAsia" w:ascii="Arial" w:hAnsi="Arial" w:cs="Arial"/>
                <w:color w:val="auto"/>
                <w:sz w:val="22"/>
                <w:szCs w:val="22"/>
                <w:lang w:val="en-US" w:eastAsia="zh-CN" w:bidi="he-IL"/>
              </w:rPr>
              <w:t>0.21</w:t>
            </w:r>
            <w:r>
              <w:rPr>
                <w:rFonts w:ascii="Arial" w:hAnsi="Arial" w:cs="Arial"/>
                <w:color w:val="auto"/>
                <w:sz w:val="22"/>
                <w:szCs w:val="22"/>
                <w:lang w:bidi="he-IL"/>
              </w:rPr>
              <w:t>万</w:t>
            </w:r>
            <w:r>
              <w:rPr>
                <w:rFonts w:ascii="Arial" w:hAnsi="Arial" w:cs="Arial"/>
                <w:color w:val="auto"/>
                <w:sz w:val="22"/>
                <w:szCs w:val="22"/>
                <w:lang w:val="zh-CN" w:bidi="he-IL"/>
              </w:rPr>
              <w:t>m</w:t>
            </w:r>
            <w:r>
              <w:rPr>
                <w:rFonts w:ascii="Arial" w:hAnsi="Arial" w:cs="Arial"/>
                <w:color w:val="auto"/>
                <w:sz w:val="22"/>
                <w:szCs w:val="22"/>
                <w:vertAlign w:val="superscript"/>
                <w:lang w:val="zh-CN" w:bidi="he-IL"/>
              </w:rPr>
              <w:t>3</w:t>
            </w:r>
          </w:p>
        </w:tc>
        <w:tc>
          <w:tcPr>
            <w:tcW w:w="1035" w:type="dxa"/>
            <w:tcBorders>
              <w:tl2br w:val="nil"/>
              <w:tr2bl w:val="nil"/>
            </w:tcBorders>
            <w:noWrap w:val="0"/>
            <w:vAlign w:val="center"/>
          </w:tcPr>
          <w:p w14:paraId="7AF2A8B9">
            <w:pPr>
              <w:pStyle w:val="946"/>
              <w:spacing w:line="300" w:lineRule="exact"/>
              <w:rPr>
                <w:rFonts w:ascii="Arial" w:hAnsi="Arial" w:cs="Arial"/>
                <w:sz w:val="22"/>
                <w:szCs w:val="22"/>
              </w:rPr>
            </w:pPr>
            <w:r>
              <w:rPr>
                <w:rFonts w:ascii="Arial" w:hAnsi="Arial" w:cs="Arial"/>
                <w:sz w:val="22"/>
                <w:szCs w:val="22"/>
              </w:rPr>
              <w:t>/</w:t>
            </w:r>
          </w:p>
        </w:tc>
        <w:tc>
          <w:tcPr>
            <w:tcW w:w="1276" w:type="dxa"/>
            <w:tcBorders>
              <w:tl2br w:val="nil"/>
              <w:tr2bl w:val="nil"/>
            </w:tcBorders>
            <w:noWrap w:val="0"/>
            <w:vAlign w:val="center"/>
          </w:tcPr>
          <w:p w14:paraId="3D8DEBCC">
            <w:pPr>
              <w:pStyle w:val="946"/>
              <w:spacing w:line="300" w:lineRule="exact"/>
              <w:rPr>
                <w:rFonts w:ascii="Arial" w:hAnsi="Arial" w:cs="Arial"/>
                <w:sz w:val="22"/>
                <w:szCs w:val="22"/>
              </w:rPr>
            </w:pPr>
            <w:r>
              <w:rPr>
                <w:rFonts w:ascii="Arial" w:hAnsi="Arial" w:cs="Arial"/>
                <w:sz w:val="22"/>
                <w:szCs w:val="22"/>
              </w:rPr>
              <w:t>/</w:t>
            </w:r>
          </w:p>
        </w:tc>
        <w:tc>
          <w:tcPr>
            <w:tcW w:w="1275" w:type="dxa"/>
            <w:tcBorders>
              <w:tl2br w:val="nil"/>
              <w:tr2bl w:val="nil"/>
            </w:tcBorders>
            <w:noWrap w:val="0"/>
            <w:vAlign w:val="center"/>
          </w:tcPr>
          <w:p w14:paraId="20339A50">
            <w:pPr>
              <w:pStyle w:val="946"/>
              <w:spacing w:line="300" w:lineRule="exact"/>
              <w:rPr>
                <w:rFonts w:ascii="Arial" w:hAnsi="Arial" w:cs="Arial"/>
                <w:sz w:val="22"/>
                <w:szCs w:val="22"/>
              </w:rPr>
            </w:pPr>
            <w:r>
              <w:rPr>
                <w:rFonts w:ascii="Arial" w:hAnsi="Arial" w:cs="Arial"/>
                <w:sz w:val="22"/>
                <w:szCs w:val="22"/>
              </w:rPr>
              <w:t>/</w:t>
            </w:r>
          </w:p>
        </w:tc>
        <w:tc>
          <w:tcPr>
            <w:tcW w:w="2734" w:type="dxa"/>
            <w:vMerge w:val="continue"/>
            <w:tcBorders>
              <w:tl2br w:val="nil"/>
              <w:tr2bl w:val="nil"/>
            </w:tcBorders>
            <w:noWrap w:val="0"/>
            <w:vAlign w:val="center"/>
          </w:tcPr>
          <w:p w14:paraId="51D76D70">
            <w:pPr>
              <w:pStyle w:val="946"/>
              <w:spacing w:line="300" w:lineRule="exact"/>
              <w:rPr>
                <w:rFonts w:hint="eastAsia" w:ascii="Arial" w:hAnsi="Arial" w:cs="Arial"/>
                <w:sz w:val="22"/>
                <w:szCs w:val="22"/>
                <w:lang w:eastAsia="zh-CN" w:bidi="he-IL"/>
              </w:rPr>
            </w:pPr>
          </w:p>
        </w:tc>
        <w:tc>
          <w:tcPr>
            <w:tcW w:w="1247" w:type="dxa"/>
            <w:tcBorders>
              <w:tl2br w:val="nil"/>
              <w:tr2bl w:val="nil"/>
            </w:tcBorders>
            <w:noWrap w:val="0"/>
            <w:vAlign w:val="center"/>
          </w:tcPr>
          <w:p w14:paraId="2C3D1DD0">
            <w:pPr>
              <w:pStyle w:val="946"/>
              <w:spacing w:line="300" w:lineRule="exact"/>
              <w:rPr>
                <w:rFonts w:ascii="Arial" w:hAnsi="Arial" w:cs="Arial"/>
                <w:sz w:val="22"/>
                <w:szCs w:val="22"/>
              </w:rPr>
            </w:pPr>
            <w:r>
              <w:rPr>
                <w:rFonts w:ascii="Arial" w:hAnsi="Arial" w:cs="Arial"/>
                <w:sz w:val="22"/>
                <w:szCs w:val="22"/>
              </w:rPr>
              <w:t>/</w:t>
            </w:r>
          </w:p>
        </w:tc>
        <w:tc>
          <w:tcPr>
            <w:tcW w:w="915" w:type="dxa"/>
            <w:tcBorders>
              <w:tl2br w:val="nil"/>
              <w:tr2bl w:val="nil"/>
            </w:tcBorders>
            <w:noWrap w:val="0"/>
            <w:vAlign w:val="center"/>
          </w:tcPr>
          <w:p w14:paraId="6466CDE6">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14B279DE">
            <w:pPr>
              <w:pStyle w:val="946"/>
              <w:spacing w:line="300" w:lineRule="exact"/>
              <w:rPr>
                <w:rFonts w:ascii="Arial" w:hAnsi="Arial" w:cs="Arial"/>
                <w:sz w:val="22"/>
                <w:szCs w:val="22"/>
              </w:rPr>
            </w:pPr>
            <w:r>
              <w:rPr>
                <w:rFonts w:ascii="Arial" w:hAnsi="Arial" w:cs="Arial"/>
                <w:sz w:val="22"/>
                <w:szCs w:val="22"/>
              </w:rPr>
              <w:t>/</w:t>
            </w:r>
          </w:p>
        </w:tc>
      </w:tr>
      <w:tr w14:paraId="12C6E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7B3E7949">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212EC9A1">
            <w:pPr>
              <w:widowControl/>
              <w:spacing w:line="300" w:lineRule="exact"/>
              <w:jc w:val="center"/>
              <w:rPr>
                <w:rFonts w:ascii="Arial" w:hAnsi="Arial" w:cs="Arial"/>
                <w:sz w:val="22"/>
                <w:szCs w:val="22"/>
              </w:rPr>
            </w:pPr>
          </w:p>
        </w:tc>
        <w:tc>
          <w:tcPr>
            <w:tcW w:w="1347" w:type="dxa"/>
            <w:gridSpan w:val="2"/>
            <w:tcBorders>
              <w:tl2br w:val="nil"/>
              <w:tr2bl w:val="nil"/>
            </w:tcBorders>
            <w:noWrap w:val="0"/>
            <w:vAlign w:val="center"/>
          </w:tcPr>
          <w:p w14:paraId="76110822">
            <w:pPr>
              <w:pStyle w:val="946"/>
              <w:spacing w:line="300" w:lineRule="exact"/>
              <w:rPr>
                <w:rFonts w:ascii="Arial" w:hAnsi="Arial" w:cs="Arial"/>
                <w:sz w:val="22"/>
                <w:szCs w:val="22"/>
              </w:rPr>
            </w:pPr>
            <w:r>
              <w:rPr>
                <w:rFonts w:ascii="Arial" w:hAnsi="Arial" w:cs="Arial"/>
                <w:sz w:val="22"/>
                <w:szCs w:val="22"/>
              </w:rPr>
              <w:t>表土</w:t>
            </w:r>
          </w:p>
        </w:tc>
        <w:tc>
          <w:tcPr>
            <w:tcW w:w="1213" w:type="dxa"/>
            <w:tcBorders>
              <w:tl2br w:val="nil"/>
              <w:tr2bl w:val="nil"/>
            </w:tcBorders>
            <w:noWrap w:val="0"/>
            <w:vAlign w:val="center"/>
          </w:tcPr>
          <w:p w14:paraId="76A91972">
            <w:pPr>
              <w:pStyle w:val="946"/>
              <w:spacing w:line="300" w:lineRule="exact"/>
              <w:rPr>
                <w:rFonts w:ascii="Arial" w:hAnsi="Arial" w:cs="Arial"/>
                <w:sz w:val="22"/>
                <w:szCs w:val="22"/>
                <w:lang w:bidi="he-IL"/>
              </w:rPr>
            </w:pPr>
            <w:r>
              <w:rPr>
                <w:rFonts w:hint="eastAsia" w:ascii="Arial" w:hAnsi="Arial" w:cs="Arial"/>
                <w:sz w:val="22"/>
                <w:szCs w:val="22"/>
                <w:lang w:eastAsia="zh-CN"/>
              </w:rPr>
              <w:t>6.36</w:t>
            </w:r>
            <w:r>
              <w:rPr>
                <w:rFonts w:ascii="Arial" w:hAnsi="Arial" w:cs="Arial"/>
                <w:sz w:val="22"/>
                <w:szCs w:val="22"/>
              </w:rPr>
              <w:t>万m</w:t>
            </w:r>
            <w:r>
              <w:rPr>
                <w:rFonts w:ascii="Arial" w:hAnsi="Arial" w:cs="Arial"/>
                <w:sz w:val="22"/>
                <w:szCs w:val="22"/>
                <w:vertAlign w:val="superscript"/>
              </w:rPr>
              <w:t>3</w:t>
            </w:r>
          </w:p>
        </w:tc>
        <w:tc>
          <w:tcPr>
            <w:tcW w:w="1035" w:type="dxa"/>
            <w:tcBorders>
              <w:tl2br w:val="nil"/>
              <w:tr2bl w:val="nil"/>
            </w:tcBorders>
            <w:noWrap w:val="0"/>
            <w:vAlign w:val="center"/>
          </w:tcPr>
          <w:p w14:paraId="43BA179C">
            <w:pPr>
              <w:pStyle w:val="946"/>
              <w:spacing w:line="300" w:lineRule="exact"/>
              <w:rPr>
                <w:rFonts w:ascii="Arial" w:hAnsi="Arial" w:cs="Arial"/>
                <w:sz w:val="22"/>
                <w:szCs w:val="22"/>
              </w:rPr>
            </w:pPr>
            <w:r>
              <w:rPr>
                <w:rFonts w:ascii="Arial" w:hAnsi="Arial" w:cs="Arial"/>
                <w:sz w:val="22"/>
                <w:szCs w:val="22"/>
              </w:rPr>
              <w:t>/</w:t>
            </w:r>
          </w:p>
        </w:tc>
        <w:tc>
          <w:tcPr>
            <w:tcW w:w="1276" w:type="dxa"/>
            <w:tcBorders>
              <w:tl2br w:val="nil"/>
              <w:tr2bl w:val="nil"/>
            </w:tcBorders>
            <w:noWrap w:val="0"/>
            <w:vAlign w:val="center"/>
          </w:tcPr>
          <w:p w14:paraId="11C89628">
            <w:pPr>
              <w:pStyle w:val="946"/>
              <w:spacing w:line="300" w:lineRule="exact"/>
              <w:rPr>
                <w:rFonts w:ascii="Arial" w:hAnsi="Arial" w:cs="Arial"/>
                <w:sz w:val="22"/>
                <w:szCs w:val="22"/>
              </w:rPr>
            </w:pPr>
            <w:r>
              <w:rPr>
                <w:rFonts w:ascii="Arial" w:hAnsi="Arial" w:cs="Arial"/>
                <w:sz w:val="22"/>
                <w:szCs w:val="22"/>
              </w:rPr>
              <w:t>/</w:t>
            </w:r>
          </w:p>
        </w:tc>
        <w:tc>
          <w:tcPr>
            <w:tcW w:w="1275" w:type="dxa"/>
            <w:tcBorders>
              <w:tl2br w:val="nil"/>
              <w:tr2bl w:val="nil"/>
            </w:tcBorders>
            <w:noWrap w:val="0"/>
            <w:vAlign w:val="center"/>
          </w:tcPr>
          <w:p w14:paraId="101843B8">
            <w:pPr>
              <w:pStyle w:val="946"/>
              <w:spacing w:line="300" w:lineRule="exact"/>
              <w:rPr>
                <w:rFonts w:ascii="Arial" w:hAnsi="Arial" w:cs="Arial"/>
                <w:sz w:val="22"/>
                <w:szCs w:val="22"/>
              </w:rPr>
            </w:pPr>
            <w:r>
              <w:rPr>
                <w:rFonts w:ascii="Arial" w:hAnsi="Arial" w:cs="Arial"/>
                <w:sz w:val="22"/>
                <w:szCs w:val="22"/>
              </w:rPr>
              <w:t>/</w:t>
            </w:r>
          </w:p>
        </w:tc>
        <w:tc>
          <w:tcPr>
            <w:tcW w:w="2734" w:type="dxa"/>
            <w:tcBorders>
              <w:tl2br w:val="nil"/>
              <w:tr2bl w:val="nil"/>
            </w:tcBorders>
            <w:noWrap w:val="0"/>
            <w:vAlign w:val="center"/>
          </w:tcPr>
          <w:p w14:paraId="7BF34016">
            <w:pPr>
              <w:pStyle w:val="946"/>
              <w:spacing w:line="300" w:lineRule="exact"/>
              <w:rPr>
                <w:rFonts w:ascii="Arial" w:hAnsi="Arial" w:cs="Arial"/>
                <w:sz w:val="22"/>
                <w:szCs w:val="22"/>
                <w:lang w:bidi="he-IL"/>
              </w:rPr>
            </w:pPr>
            <w:r>
              <w:rPr>
                <w:rFonts w:hint="eastAsia" w:ascii="Arial" w:hAnsi="Arial" w:cs="Arial"/>
                <w:sz w:val="22"/>
                <w:szCs w:val="22"/>
                <w:lang w:val="en-US" w:eastAsia="zh-CN" w:bidi="he-IL"/>
              </w:rPr>
              <w:t>集中收集后，分区暂存于项目所设弃渣场内，后期全部用作绿化覆土，不外排。</w:t>
            </w:r>
          </w:p>
        </w:tc>
        <w:tc>
          <w:tcPr>
            <w:tcW w:w="1247" w:type="dxa"/>
            <w:tcBorders>
              <w:tl2br w:val="nil"/>
              <w:tr2bl w:val="nil"/>
            </w:tcBorders>
            <w:noWrap w:val="0"/>
            <w:vAlign w:val="center"/>
          </w:tcPr>
          <w:p w14:paraId="39E42123">
            <w:pPr>
              <w:pStyle w:val="946"/>
              <w:spacing w:line="300" w:lineRule="exact"/>
              <w:rPr>
                <w:rFonts w:ascii="Arial" w:hAnsi="Arial" w:cs="Arial"/>
                <w:sz w:val="22"/>
                <w:szCs w:val="22"/>
              </w:rPr>
            </w:pPr>
            <w:r>
              <w:rPr>
                <w:rFonts w:ascii="Arial" w:hAnsi="Arial" w:cs="Arial"/>
                <w:sz w:val="22"/>
                <w:szCs w:val="22"/>
              </w:rPr>
              <w:t>/</w:t>
            </w:r>
          </w:p>
        </w:tc>
        <w:tc>
          <w:tcPr>
            <w:tcW w:w="915" w:type="dxa"/>
            <w:tcBorders>
              <w:tl2br w:val="nil"/>
              <w:tr2bl w:val="nil"/>
            </w:tcBorders>
            <w:noWrap w:val="0"/>
            <w:vAlign w:val="center"/>
          </w:tcPr>
          <w:p w14:paraId="47A57743">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67735CC7">
            <w:pPr>
              <w:pStyle w:val="946"/>
              <w:spacing w:line="300" w:lineRule="exact"/>
              <w:rPr>
                <w:rFonts w:ascii="Arial" w:hAnsi="Arial" w:cs="Arial"/>
                <w:sz w:val="22"/>
                <w:szCs w:val="22"/>
              </w:rPr>
            </w:pPr>
            <w:r>
              <w:rPr>
                <w:rFonts w:ascii="Arial" w:hAnsi="Arial" w:cs="Arial"/>
                <w:sz w:val="22"/>
                <w:szCs w:val="22"/>
              </w:rPr>
              <w:t>/</w:t>
            </w:r>
          </w:p>
        </w:tc>
      </w:tr>
      <w:tr w14:paraId="53F370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1B63DA7B">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1364EC5C">
            <w:pPr>
              <w:widowControl/>
              <w:spacing w:line="300" w:lineRule="exact"/>
              <w:jc w:val="center"/>
              <w:rPr>
                <w:rFonts w:ascii="Arial" w:hAnsi="Arial" w:cs="Arial"/>
                <w:sz w:val="22"/>
                <w:szCs w:val="22"/>
              </w:rPr>
            </w:pPr>
          </w:p>
        </w:tc>
        <w:tc>
          <w:tcPr>
            <w:tcW w:w="1347" w:type="dxa"/>
            <w:gridSpan w:val="2"/>
            <w:tcBorders>
              <w:tl2br w:val="nil"/>
              <w:tr2bl w:val="nil"/>
            </w:tcBorders>
            <w:noWrap w:val="0"/>
            <w:vAlign w:val="center"/>
          </w:tcPr>
          <w:p w14:paraId="5E8836B0">
            <w:pPr>
              <w:pStyle w:val="946"/>
              <w:spacing w:line="300" w:lineRule="exact"/>
              <w:rPr>
                <w:rFonts w:ascii="Arial" w:hAnsi="Arial" w:cs="Arial"/>
                <w:sz w:val="22"/>
                <w:szCs w:val="22"/>
              </w:rPr>
            </w:pPr>
            <w:r>
              <w:rPr>
                <w:rFonts w:ascii="Arial" w:hAnsi="Arial" w:cs="Arial"/>
                <w:sz w:val="22"/>
                <w:szCs w:val="22"/>
              </w:rPr>
              <w:t>施工机械、车辆</w:t>
            </w:r>
            <w:r>
              <w:rPr>
                <w:rFonts w:hint="eastAsia" w:ascii="Arial" w:hAnsi="Arial" w:cs="Arial"/>
                <w:sz w:val="22"/>
                <w:szCs w:val="22"/>
                <w:lang w:eastAsia="zh-CN"/>
              </w:rPr>
              <w:t>维护和保养</w:t>
            </w:r>
            <w:r>
              <w:rPr>
                <w:rFonts w:ascii="Arial" w:hAnsi="Arial" w:cs="Arial"/>
                <w:sz w:val="22"/>
                <w:szCs w:val="22"/>
              </w:rPr>
              <w:t>废油</w:t>
            </w:r>
          </w:p>
        </w:tc>
        <w:tc>
          <w:tcPr>
            <w:tcW w:w="1213" w:type="dxa"/>
            <w:tcBorders>
              <w:tl2br w:val="nil"/>
              <w:tr2bl w:val="nil"/>
            </w:tcBorders>
            <w:noWrap w:val="0"/>
            <w:vAlign w:val="center"/>
          </w:tcPr>
          <w:p w14:paraId="627B7511">
            <w:pPr>
              <w:pStyle w:val="946"/>
              <w:spacing w:line="300" w:lineRule="exact"/>
              <w:rPr>
                <w:rFonts w:ascii="Arial" w:hAnsi="Arial" w:cs="Arial"/>
                <w:sz w:val="22"/>
                <w:szCs w:val="22"/>
                <w:lang w:bidi="he-IL"/>
              </w:rPr>
            </w:pPr>
            <w:r>
              <w:rPr>
                <w:rFonts w:ascii="Arial" w:hAnsi="Arial" w:cs="Arial"/>
                <w:sz w:val="22"/>
                <w:szCs w:val="22"/>
                <w:lang w:bidi="he-IL"/>
              </w:rPr>
              <w:t>少量</w:t>
            </w:r>
          </w:p>
        </w:tc>
        <w:tc>
          <w:tcPr>
            <w:tcW w:w="1035" w:type="dxa"/>
            <w:tcBorders>
              <w:tl2br w:val="nil"/>
              <w:tr2bl w:val="nil"/>
            </w:tcBorders>
            <w:noWrap w:val="0"/>
            <w:vAlign w:val="center"/>
          </w:tcPr>
          <w:p w14:paraId="1C74197C">
            <w:pPr>
              <w:pStyle w:val="946"/>
              <w:spacing w:line="300" w:lineRule="exact"/>
              <w:rPr>
                <w:rFonts w:ascii="Arial" w:hAnsi="Arial" w:cs="Arial"/>
                <w:sz w:val="22"/>
                <w:szCs w:val="22"/>
              </w:rPr>
            </w:pPr>
            <w:r>
              <w:rPr>
                <w:rFonts w:ascii="Arial" w:hAnsi="Arial" w:cs="Arial"/>
                <w:sz w:val="22"/>
                <w:szCs w:val="22"/>
              </w:rPr>
              <w:t>废油</w:t>
            </w:r>
          </w:p>
        </w:tc>
        <w:tc>
          <w:tcPr>
            <w:tcW w:w="1276" w:type="dxa"/>
            <w:tcBorders>
              <w:tl2br w:val="nil"/>
              <w:tr2bl w:val="nil"/>
            </w:tcBorders>
            <w:noWrap w:val="0"/>
            <w:vAlign w:val="center"/>
          </w:tcPr>
          <w:p w14:paraId="7D72CD45">
            <w:pPr>
              <w:pStyle w:val="946"/>
              <w:spacing w:line="300" w:lineRule="exact"/>
              <w:rPr>
                <w:rFonts w:ascii="Arial" w:hAnsi="Arial" w:cs="Arial"/>
                <w:sz w:val="22"/>
                <w:szCs w:val="22"/>
              </w:rPr>
            </w:pPr>
            <w:r>
              <w:rPr>
                <w:rFonts w:ascii="Arial" w:hAnsi="Arial" w:cs="Arial"/>
                <w:sz w:val="22"/>
                <w:szCs w:val="22"/>
              </w:rPr>
              <w:t>/</w:t>
            </w:r>
          </w:p>
        </w:tc>
        <w:tc>
          <w:tcPr>
            <w:tcW w:w="1275" w:type="dxa"/>
            <w:tcBorders>
              <w:tl2br w:val="nil"/>
              <w:tr2bl w:val="nil"/>
            </w:tcBorders>
            <w:noWrap w:val="0"/>
            <w:vAlign w:val="center"/>
          </w:tcPr>
          <w:p w14:paraId="202E1064">
            <w:pPr>
              <w:pStyle w:val="946"/>
              <w:spacing w:line="300" w:lineRule="exact"/>
              <w:rPr>
                <w:rFonts w:ascii="Arial" w:hAnsi="Arial" w:cs="Arial"/>
                <w:sz w:val="22"/>
                <w:szCs w:val="22"/>
              </w:rPr>
            </w:pPr>
            <w:r>
              <w:rPr>
                <w:rFonts w:ascii="Arial" w:hAnsi="Arial" w:cs="Arial"/>
                <w:sz w:val="22"/>
                <w:szCs w:val="22"/>
              </w:rPr>
              <w:t>/</w:t>
            </w:r>
          </w:p>
        </w:tc>
        <w:tc>
          <w:tcPr>
            <w:tcW w:w="2734" w:type="dxa"/>
            <w:tcBorders>
              <w:tl2br w:val="nil"/>
              <w:tr2bl w:val="nil"/>
            </w:tcBorders>
            <w:noWrap w:val="0"/>
            <w:vAlign w:val="center"/>
          </w:tcPr>
          <w:p w14:paraId="5F313987">
            <w:pPr>
              <w:pStyle w:val="946"/>
              <w:spacing w:line="300" w:lineRule="exact"/>
              <w:rPr>
                <w:rFonts w:ascii="Arial" w:hAnsi="Arial" w:cs="Arial"/>
                <w:sz w:val="22"/>
                <w:szCs w:val="22"/>
                <w:lang w:bidi="he-IL"/>
              </w:rPr>
            </w:pPr>
            <w:r>
              <w:rPr>
                <w:rFonts w:hint="eastAsia" w:ascii="Arial" w:hAnsi="Arial" w:cs="Arial"/>
                <w:sz w:val="22"/>
                <w:szCs w:val="22"/>
                <w:lang w:eastAsia="zh-CN" w:bidi="he-IL"/>
              </w:rPr>
              <w:t>桶装收集后，暂存于施工场地内所设的危废贮存间内，定期交有资质的单位统一收运处置。</w:t>
            </w:r>
          </w:p>
        </w:tc>
        <w:tc>
          <w:tcPr>
            <w:tcW w:w="1247" w:type="dxa"/>
            <w:tcBorders>
              <w:tl2br w:val="nil"/>
              <w:tr2bl w:val="nil"/>
            </w:tcBorders>
            <w:noWrap w:val="0"/>
            <w:vAlign w:val="center"/>
          </w:tcPr>
          <w:p w14:paraId="141A8838">
            <w:pPr>
              <w:pStyle w:val="946"/>
              <w:spacing w:line="300" w:lineRule="exact"/>
              <w:rPr>
                <w:rFonts w:ascii="Arial" w:hAnsi="Arial" w:cs="Arial"/>
                <w:sz w:val="22"/>
                <w:szCs w:val="22"/>
              </w:rPr>
            </w:pPr>
            <w:r>
              <w:rPr>
                <w:rFonts w:ascii="Arial" w:hAnsi="Arial" w:cs="Arial"/>
                <w:sz w:val="22"/>
                <w:szCs w:val="22"/>
              </w:rPr>
              <w:t>/</w:t>
            </w:r>
          </w:p>
        </w:tc>
        <w:tc>
          <w:tcPr>
            <w:tcW w:w="915" w:type="dxa"/>
            <w:tcBorders>
              <w:tl2br w:val="nil"/>
              <w:tr2bl w:val="nil"/>
            </w:tcBorders>
            <w:noWrap w:val="0"/>
            <w:vAlign w:val="center"/>
          </w:tcPr>
          <w:p w14:paraId="3363551C">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0375D28B">
            <w:pPr>
              <w:pStyle w:val="946"/>
              <w:spacing w:line="300" w:lineRule="exact"/>
              <w:rPr>
                <w:rFonts w:ascii="Arial" w:hAnsi="Arial" w:cs="Arial"/>
                <w:sz w:val="22"/>
                <w:szCs w:val="22"/>
              </w:rPr>
            </w:pPr>
            <w:r>
              <w:rPr>
                <w:rFonts w:ascii="Arial" w:hAnsi="Arial" w:cs="Arial"/>
                <w:sz w:val="22"/>
                <w:szCs w:val="22"/>
              </w:rPr>
              <w:t>/</w:t>
            </w:r>
          </w:p>
        </w:tc>
      </w:tr>
      <w:tr w14:paraId="45D473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shd w:val="clear" w:color="auto" w:fill="auto"/>
            <w:noWrap w:val="0"/>
            <w:vAlign w:val="center"/>
          </w:tcPr>
          <w:p w14:paraId="472A022A">
            <w:pPr>
              <w:widowControl/>
              <w:spacing w:line="300" w:lineRule="exact"/>
              <w:jc w:val="center"/>
              <w:rPr>
                <w:rFonts w:ascii="Arial" w:hAnsi="Arial" w:cs="Arial"/>
                <w:sz w:val="22"/>
                <w:szCs w:val="22"/>
              </w:rPr>
            </w:pPr>
          </w:p>
        </w:tc>
        <w:tc>
          <w:tcPr>
            <w:tcW w:w="592" w:type="dxa"/>
            <w:vMerge w:val="continue"/>
            <w:tcBorders>
              <w:tl2br w:val="nil"/>
              <w:tr2bl w:val="nil"/>
            </w:tcBorders>
            <w:shd w:val="clear" w:color="auto" w:fill="auto"/>
            <w:noWrap w:val="0"/>
            <w:vAlign w:val="center"/>
          </w:tcPr>
          <w:p w14:paraId="3006F14C">
            <w:pPr>
              <w:widowControl/>
              <w:spacing w:line="300" w:lineRule="exact"/>
              <w:jc w:val="center"/>
              <w:rPr>
                <w:rFonts w:ascii="Arial" w:hAnsi="Arial" w:cs="Arial"/>
                <w:sz w:val="22"/>
                <w:szCs w:val="22"/>
              </w:rPr>
            </w:pPr>
          </w:p>
        </w:tc>
        <w:tc>
          <w:tcPr>
            <w:tcW w:w="1347" w:type="dxa"/>
            <w:gridSpan w:val="2"/>
            <w:tcBorders>
              <w:tl2br w:val="nil"/>
              <w:tr2bl w:val="nil"/>
            </w:tcBorders>
            <w:shd w:val="clear" w:color="auto" w:fill="auto"/>
            <w:noWrap w:val="0"/>
            <w:vAlign w:val="center"/>
          </w:tcPr>
          <w:p w14:paraId="0E382EAD">
            <w:pPr>
              <w:pStyle w:val="946"/>
              <w:spacing w:line="300" w:lineRule="exact"/>
              <w:rPr>
                <w:rFonts w:ascii="Arial" w:hAnsi="Arial" w:cs="Arial"/>
                <w:sz w:val="22"/>
                <w:szCs w:val="22"/>
              </w:rPr>
            </w:pPr>
            <w:r>
              <w:rPr>
                <w:rFonts w:ascii="Arial" w:hAnsi="Arial" w:cs="Arial"/>
                <w:sz w:val="22"/>
                <w:szCs w:val="22"/>
              </w:rPr>
              <w:t>施工人员生活垃圾</w:t>
            </w:r>
          </w:p>
        </w:tc>
        <w:tc>
          <w:tcPr>
            <w:tcW w:w="1213" w:type="dxa"/>
            <w:tcBorders>
              <w:tl2br w:val="nil"/>
              <w:tr2bl w:val="nil"/>
            </w:tcBorders>
            <w:shd w:val="clear" w:color="auto" w:fill="auto"/>
            <w:noWrap w:val="0"/>
            <w:vAlign w:val="center"/>
          </w:tcPr>
          <w:p w14:paraId="7DA011E3">
            <w:pPr>
              <w:pStyle w:val="946"/>
              <w:spacing w:line="300" w:lineRule="exact"/>
              <w:rPr>
                <w:rFonts w:ascii="Arial" w:hAnsi="Arial" w:cs="Arial"/>
                <w:sz w:val="22"/>
                <w:szCs w:val="22"/>
              </w:rPr>
            </w:pPr>
            <w:r>
              <w:rPr>
                <w:rFonts w:hint="eastAsia" w:ascii="Arial" w:hAnsi="Arial" w:cs="Arial"/>
                <w:sz w:val="22"/>
                <w:szCs w:val="22"/>
                <w:lang w:val="en-US" w:eastAsia="zh-CN"/>
              </w:rPr>
              <w:t>26</w:t>
            </w:r>
            <w:r>
              <w:rPr>
                <w:rFonts w:ascii="Arial" w:hAnsi="Arial" w:cs="Arial"/>
                <w:sz w:val="22"/>
                <w:szCs w:val="22"/>
              </w:rPr>
              <w:t>kg/d</w:t>
            </w:r>
          </w:p>
        </w:tc>
        <w:tc>
          <w:tcPr>
            <w:tcW w:w="1035" w:type="dxa"/>
            <w:tcBorders>
              <w:tl2br w:val="nil"/>
              <w:tr2bl w:val="nil"/>
            </w:tcBorders>
            <w:shd w:val="clear" w:color="auto" w:fill="auto"/>
            <w:noWrap w:val="0"/>
            <w:vAlign w:val="center"/>
          </w:tcPr>
          <w:p w14:paraId="070A3DD3">
            <w:pPr>
              <w:pStyle w:val="946"/>
              <w:spacing w:line="300" w:lineRule="exact"/>
              <w:rPr>
                <w:rFonts w:ascii="Arial" w:hAnsi="Arial" w:cs="Arial"/>
                <w:sz w:val="22"/>
                <w:szCs w:val="22"/>
              </w:rPr>
            </w:pPr>
            <w:r>
              <w:rPr>
                <w:rFonts w:ascii="Arial" w:hAnsi="Arial" w:cs="Arial"/>
                <w:sz w:val="22"/>
                <w:szCs w:val="22"/>
              </w:rPr>
              <w:t>/</w:t>
            </w:r>
          </w:p>
        </w:tc>
        <w:tc>
          <w:tcPr>
            <w:tcW w:w="1276" w:type="dxa"/>
            <w:tcBorders>
              <w:tl2br w:val="nil"/>
              <w:tr2bl w:val="nil"/>
            </w:tcBorders>
            <w:shd w:val="clear" w:color="auto" w:fill="auto"/>
            <w:noWrap w:val="0"/>
            <w:vAlign w:val="center"/>
          </w:tcPr>
          <w:p w14:paraId="112F9C5D">
            <w:pPr>
              <w:pStyle w:val="946"/>
              <w:spacing w:line="300" w:lineRule="exact"/>
              <w:rPr>
                <w:rFonts w:ascii="Arial" w:hAnsi="Arial" w:cs="Arial"/>
                <w:sz w:val="22"/>
                <w:szCs w:val="22"/>
              </w:rPr>
            </w:pPr>
            <w:r>
              <w:rPr>
                <w:rFonts w:ascii="Arial" w:hAnsi="Arial" w:cs="Arial"/>
                <w:sz w:val="22"/>
                <w:szCs w:val="22"/>
              </w:rPr>
              <w:t>/</w:t>
            </w:r>
          </w:p>
        </w:tc>
        <w:tc>
          <w:tcPr>
            <w:tcW w:w="1275" w:type="dxa"/>
            <w:tcBorders>
              <w:tl2br w:val="nil"/>
              <w:tr2bl w:val="nil"/>
            </w:tcBorders>
            <w:shd w:val="clear" w:color="auto" w:fill="auto"/>
            <w:noWrap w:val="0"/>
            <w:vAlign w:val="center"/>
          </w:tcPr>
          <w:p w14:paraId="41242964">
            <w:pPr>
              <w:pStyle w:val="946"/>
              <w:spacing w:line="300" w:lineRule="exact"/>
              <w:rPr>
                <w:rFonts w:ascii="Arial" w:hAnsi="Arial" w:cs="Arial"/>
                <w:sz w:val="22"/>
                <w:szCs w:val="22"/>
              </w:rPr>
            </w:pPr>
            <w:r>
              <w:rPr>
                <w:rFonts w:ascii="Arial" w:hAnsi="Arial" w:cs="Arial"/>
                <w:sz w:val="22"/>
                <w:szCs w:val="22"/>
              </w:rPr>
              <w:t>/</w:t>
            </w:r>
          </w:p>
        </w:tc>
        <w:tc>
          <w:tcPr>
            <w:tcW w:w="2734" w:type="dxa"/>
            <w:tcBorders>
              <w:tl2br w:val="nil"/>
              <w:tr2bl w:val="nil"/>
            </w:tcBorders>
            <w:shd w:val="clear" w:color="auto" w:fill="auto"/>
            <w:noWrap w:val="0"/>
            <w:vAlign w:val="center"/>
          </w:tcPr>
          <w:p w14:paraId="6DD1B713">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统一收集后，交当地市政环卫部门清运处置</w:t>
            </w:r>
          </w:p>
        </w:tc>
        <w:tc>
          <w:tcPr>
            <w:tcW w:w="1247" w:type="dxa"/>
            <w:tcBorders>
              <w:tl2br w:val="nil"/>
              <w:tr2bl w:val="nil"/>
            </w:tcBorders>
            <w:noWrap w:val="0"/>
            <w:vAlign w:val="center"/>
          </w:tcPr>
          <w:p w14:paraId="3B8DBFED">
            <w:pPr>
              <w:pStyle w:val="946"/>
              <w:spacing w:line="300" w:lineRule="exact"/>
              <w:rPr>
                <w:rFonts w:ascii="Arial" w:hAnsi="Arial" w:cs="Arial"/>
                <w:sz w:val="22"/>
                <w:szCs w:val="22"/>
              </w:rPr>
            </w:pPr>
            <w:r>
              <w:rPr>
                <w:rFonts w:ascii="Arial" w:hAnsi="Arial" w:cs="Arial"/>
                <w:sz w:val="22"/>
                <w:szCs w:val="22"/>
              </w:rPr>
              <w:t>/</w:t>
            </w:r>
          </w:p>
        </w:tc>
        <w:tc>
          <w:tcPr>
            <w:tcW w:w="915" w:type="dxa"/>
            <w:tcBorders>
              <w:tl2br w:val="nil"/>
              <w:tr2bl w:val="nil"/>
            </w:tcBorders>
            <w:noWrap w:val="0"/>
            <w:vAlign w:val="center"/>
          </w:tcPr>
          <w:p w14:paraId="0019E0E1">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7EBB7AA2">
            <w:pPr>
              <w:pStyle w:val="946"/>
              <w:spacing w:line="300" w:lineRule="exact"/>
              <w:rPr>
                <w:rFonts w:ascii="Arial" w:hAnsi="Arial" w:cs="Arial"/>
                <w:sz w:val="22"/>
                <w:szCs w:val="22"/>
              </w:rPr>
            </w:pPr>
            <w:r>
              <w:rPr>
                <w:rFonts w:ascii="Arial" w:hAnsi="Arial" w:cs="Arial"/>
                <w:sz w:val="22"/>
                <w:szCs w:val="22"/>
              </w:rPr>
              <w:t>/</w:t>
            </w:r>
          </w:p>
        </w:tc>
      </w:tr>
      <w:tr w14:paraId="706C7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shd w:val="clear" w:color="auto" w:fill="auto"/>
            <w:noWrap w:val="0"/>
            <w:vAlign w:val="center"/>
          </w:tcPr>
          <w:p w14:paraId="312A2B89">
            <w:pPr>
              <w:widowControl/>
              <w:spacing w:line="300" w:lineRule="exact"/>
              <w:jc w:val="center"/>
              <w:rPr>
                <w:rFonts w:ascii="Arial" w:hAnsi="Arial" w:cs="Arial"/>
                <w:sz w:val="22"/>
                <w:szCs w:val="22"/>
              </w:rPr>
            </w:pPr>
          </w:p>
        </w:tc>
        <w:tc>
          <w:tcPr>
            <w:tcW w:w="592" w:type="dxa"/>
            <w:vMerge w:val="continue"/>
            <w:tcBorders>
              <w:tl2br w:val="nil"/>
              <w:tr2bl w:val="nil"/>
            </w:tcBorders>
            <w:shd w:val="clear" w:color="auto" w:fill="auto"/>
            <w:noWrap w:val="0"/>
            <w:vAlign w:val="center"/>
          </w:tcPr>
          <w:p w14:paraId="1B564CAD">
            <w:pPr>
              <w:widowControl/>
              <w:spacing w:line="300" w:lineRule="exact"/>
              <w:jc w:val="center"/>
              <w:rPr>
                <w:rFonts w:ascii="Arial" w:hAnsi="Arial" w:cs="Arial"/>
                <w:sz w:val="22"/>
                <w:szCs w:val="22"/>
              </w:rPr>
            </w:pPr>
          </w:p>
        </w:tc>
        <w:tc>
          <w:tcPr>
            <w:tcW w:w="1347" w:type="dxa"/>
            <w:gridSpan w:val="2"/>
            <w:tcBorders>
              <w:tl2br w:val="nil"/>
              <w:tr2bl w:val="nil"/>
            </w:tcBorders>
            <w:shd w:val="clear" w:color="auto" w:fill="auto"/>
            <w:noWrap w:val="0"/>
            <w:vAlign w:val="center"/>
          </w:tcPr>
          <w:p w14:paraId="357DA902">
            <w:pPr>
              <w:pStyle w:val="946"/>
              <w:spacing w:line="300" w:lineRule="exact"/>
              <w:rPr>
                <w:rFonts w:ascii="Arial" w:hAnsi="Arial" w:cs="Arial"/>
                <w:sz w:val="22"/>
                <w:szCs w:val="22"/>
              </w:rPr>
            </w:pPr>
            <w:r>
              <w:rPr>
                <w:rFonts w:ascii="Arial" w:hAnsi="Arial" w:cs="Arial"/>
                <w:sz w:val="22"/>
                <w:szCs w:val="22"/>
              </w:rPr>
              <w:t>餐厨垃圾</w:t>
            </w:r>
          </w:p>
        </w:tc>
        <w:tc>
          <w:tcPr>
            <w:tcW w:w="1213" w:type="dxa"/>
            <w:tcBorders>
              <w:tl2br w:val="nil"/>
              <w:tr2bl w:val="nil"/>
            </w:tcBorders>
            <w:shd w:val="clear" w:color="auto" w:fill="auto"/>
            <w:noWrap w:val="0"/>
            <w:vAlign w:val="center"/>
          </w:tcPr>
          <w:p w14:paraId="664C2961">
            <w:pPr>
              <w:pStyle w:val="946"/>
              <w:spacing w:line="300" w:lineRule="exact"/>
              <w:rPr>
                <w:rFonts w:ascii="Arial" w:hAnsi="Arial" w:cs="Arial"/>
                <w:sz w:val="22"/>
                <w:szCs w:val="22"/>
              </w:rPr>
            </w:pPr>
            <w:r>
              <w:rPr>
                <w:rFonts w:hint="eastAsia" w:ascii="Arial" w:hAnsi="Arial" w:cs="Arial"/>
                <w:sz w:val="22"/>
                <w:szCs w:val="22"/>
                <w:lang w:val="en-US" w:eastAsia="zh-CN"/>
              </w:rPr>
              <w:t>16</w:t>
            </w:r>
            <w:r>
              <w:rPr>
                <w:rFonts w:ascii="Arial" w:hAnsi="Arial" w:cs="Arial"/>
                <w:sz w:val="22"/>
                <w:szCs w:val="22"/>
              </w:rPr>
              <w:t>kg/d</w:t>
            </w:r>
          </w:p>
        </w:tc>
        <w:tc>
          <w:tcPr>
            <w:tcW w:w="1035" w:type="dxa"/>
            <w:tcBorders>
              <w:tl2br w:val="nil"/>
              <w:tr2bl w:val="nil"/>
            </w:tcBorders>
            <w:shd w:val="clear" w:color="auto" w:fill="auto"/>
            <w:noWrap w:val="0"/>
            <w:vAlign w:val="center"/>
          </w:tcPr>
          <w:p w14:paraId="79A1BF5D">
            <w:pPr>
              <w:pStyle w:val="946"/>
              <w:spacing w:line="300" w:lineRule="exact"/>
              <w:rPr>
                <w:rFonts w:ascii="Arial" w:hAnsi="Arial" w:cs="Arial"/>
                <w:sz w:val="22"/>
                <w:szCs w:val="22"/>
              </w:rPr>
            </w:pPr>
            <w:r>
              <w:rPr>
                <w:rFonts w:ascii="Arial" w:hAnsi="Arial" w:cs="Arial"/>
                <w:sz w:val="22"/>
                <w:szCs w:val="22"/>
              </w:rPr>
              <w:t>/</w:t>
            </w:r>
          </w:p>
        </w:tc>
        <w:tc>
          <w:tcPr>
            <w:tcW w:w="1276" w:type="dxa"/>
            <w:tcBorders>
              <w:tl2br w:val="nil"/>
              <w:tr2bl w:val="nil"/>
            </w:tcBorders>
            <w:shd w:val="clear" w:color="auto" w:fill="auto"/>
            <w:noWrap w:val="0"/>
            <w:vAlign w:val="center"/>
          </w:tcPr>
          <w:p w14:paraId="541FD4D7">
            <w:pPr>
              <w:pStyle w:val="946"/>
              <w:spacing w:line="300" w:lineRule="exact"/>
              <w:rPr>
                <w:rFonts w:ascii="Arial" w:hAnsi="Arial" w:cs="Arial"/>
                <w:sz w:val="22"/>
                <w:szCs w:val="22"/>
              </w:rPr>
            </w:pPr>
            <w:r>
              <w:rPr>
                <w:rFonts w:ascii="Arial" w:hAnsi="Arial" w:cs="Arial"/>
                <w:sz w:val="22"/>
                <w:szCs w:val="22"/>
              </w:rPr>
              <w:t>/</w:t>
            </w:r>
          </w:p>
        </w:tc>
        <w:tc>
          <w:tcPr>
            <w:tcW w:w="1275" w:type="dxa"/>
            <w:tcBorders>
              <w:tl2br w:val="nil"/>
              <w:tr2bl w:val="nil"/>
            </w:tcBorders>
            <w:shd w:val="clear" w:color="auto" w:fill="auto"/>
            <w:noWrap w:val="0"/>
            <w:vAlign w:val="center"/>
          </w:tcPr>
          <w:p w14:paraId="7B04079C">
            <w:pPr>
              <w:pStyle w:val="946"/>
              <w:spacing w:line="300" w:lineRule="exact"/>
              <w:rPr>
                <w:rFonts w:ascii="Arial" w:hAnsi="Arial" w:cs="Arial"/>
                <w:sz w:val="22"/>
                <w:szCs w:val="22"/>
              </w:rPr>
            </w:pPr>
            <w:r>
              <w:rPr>
                <w:rFonts w:ascii="Arial" w:hAnsi="Arial" w:cs="Arial"/>
                <w:sz w:val="22"/>
                <w:szCs w:val="22"/>
              </w:rPr>
              <w:t>/</w:t>
            </w:r>
          </w:p>
        </w:tc>
        <w:tc>
          <w:tcPr>
            <w:tcW w:w="2734" w:type="dxa"/>
            <w:tcBorders>
              <w:tl2br w:val="nil"/>
              <w:tr2bl w:val="nil"/>
            </w:tcBorders>
            <w:shd w:val="clear" w:color="auto" w:fill="auto"/>
            <w:noWrap w:val="0"/>
            <w:vAlign w:val="center"/>
          </w:tcPr>
          <w:p w14:paraId="6DF14874">
            <w:pPr>
              <w:widowControl/>
              <w:spacing w:line="300" w:lineRule="exact"/>
              <w:jc w:val="center"/>
              <w:rPr>
                <w:rFonts w:hint="eastAsia" w:ascii="Arial" w:hAnsi="Arial" w:cs="Arial"/>
                <w:sz w:val="22"/>
                <w:szCs w:val="22"/>
              </w:rPr>
            </w:pPr>
            <w:r>
              <w:rPr>
                <w:rFonts w:hint="eastAsia" w:ascii="Arial" w:hAnsi="Arial" w:cs="Arial"/>
                <w:sz w:val="22"/>
                <w:szCs w:val="22"/>
              </w:rPr>
              <w:t>桶装收集后，交有资质单位收运处置</w:t>
            </w:r>
          </w:p>
        </w:tc>
        <w:tc>
          <w:tcPr>
            <w:tcW w:w="1247" w:type="dxa"/>
            <w:tcBorders>
              <w:tl2br w:val="nil"/>
              <w:tr2bl w:val="nil"/>
            </w:tcBorders>
            <w:noWrap w:val="0"/>
            <w:vAlign w:val="center"/>
          </w:tcPr>
          <w:p w14:paraId="307F5A9A">
            <w:pPr>
              <w:pStyle w:val="946"/>
              <w:spacing w:line="300" w:lineRule="exact"/>
              <w:rPr>
                <w:rFonts w:ascii="Arial" w:hAnsi="Arial" w:cs="Arial"/>
                <w:sz w:val="22"/>
                <w:szCs w:val="22"/>
              </w:rPr>
            </w:pPr>
            <w:r>
              <w:rPr>
                <w:rFonts w:ascii="Arial" w:hAnsi="Arial" w:cs="Arial"/>
                <w:sz w:val="22"/>
                <w:szCs w:val="22"/>
              </w:rPr>
              <w:t>/</w:t>
            </w:r>
          </w:p>
        </w:tc>
        <w:tc>
          <w:tcPr>
            <w:tcW w:w="915" w:type="dxa"/>
            <w:tcBorders>
              <w:tl2br w:val="nil"/>
              <w:tr2bl w:val="nil"/>
            </w:tcBorders>
            <w:noWrap w:val="0"/>
            <w:vAlign w:val="center"/>
          </w:tcPr>
          <w:p w14:paraId="0C57A29B">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5ECB773C">
            <w:pPr>
              <w:pStyle w:val="946"/>
              <w:spacing w:line="300" w:lineRule="exact"/>
              <w:rPr>
                <w:rFonts w:ascii="Arial" w:hAnsi="Arial" w:cs="Arial"/>
                <w:sz w:val="22"/>
                <w:szCs w:val="22"/>
              </w:rPr>
            </w:pPr>
            <w:r>
              <w:rPr>
                <w:rFonts w:ascii="Arial" w:hAnsi="Arial" w:cs="Arial"/>
                <w:sz w:val="22"/>
                <w:szCs w:val="22"/>
              </w:rPr>
              <w:t>/</w:t>
            </w:r>
          </w:p>
        </w:tc>
      </w:tr>
      <w:tr w14:paraId="0594C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l2br w:val="nil"/>
              <w:tr2bl w:val="nil"/>
            </w:tcBorders>
            <w:noWrap w:val="0"/>
            <w:vAlign w:val="center"/>
          </w:tcPr>
          <w:p w14:paraId="4A79322F">
            <w:pPr>
              <w:widowControl/>
              <w:spacing w:line="300" w:lineRule="exact"/>
              <w:jc w:val="center"/>
              <w:rPr>
                <w:rFonts w:ascii="Arial" w:hAnsi="Arial" w:cs="Arial"/>
                <w:sz w:val="22"/>
                <w:szCs w:val="22"/>
              </w:rPr>
            </w:pPr>
          </w:p>
        </w:tc>
        <w:tc>
          <w:tcPr>
            <w:tcW w:w="592" w:type="dxa"/>
            <w:vMerge w:val="continue"/>
            <w:tcBorders>
              <w:tl2br w:val="nil"/>
              <w:tr2bl w:val="nil"/>
            </w:tcBorders>
            <w:noWrap w:val="0"/>
            <w:vAlign w:val="center"/>
          </w:tcPr>
          <w:p w14:paraId="3229C729">
            <w:pPr>
              <w:widowControl/>
              <w:spacing w:line="300" w:lineRule="exact"/>
              <w:jc w:val="center"/>
              <w:rPr>
                <w:rFonts w:ascii="Arial" w:hAnsi="Arial" w:cs="Arial"/>
                <w:sz w:val="22"/>
                <w:szCs w:val="22"/>
              </w:rPr>
            </w:pPr>
          </w:p>
        </w:tc>
        <w:tc>
          <w:tcPr>
            <w:tcW w:w="1347" w:type="dxa"/>
            <w:gridSpan w:val="2"/>
            <w:tcBorders>
              <w:tl2br w:val="nil"/>
              <w:tr2bl w:val="nil"/>
            </w:tcBorders>
            <w:noWrap w:val="0"/>
            <w:vAlign w:val="center"/>
          </w:tcPr>
          <w:p w14:paraId="6ECCCFE8">
            <w:pPr>
              <w:pStyle w:val="946"/>
              <w:spacing w:line="300" w:lineRule="exact"/>
              <w:rPr>
                <w:rFonts w:ascii="Arial" w:hAnsi="Arial" w:cs="Arial"/>
                <w:sz w:val="22"/>
                <w:szCs w:val="22"/>
              </w:rPr>
            </w:pPr>
            <w:r>
              <w:rPr>
                <w:rFonts w:ascii="Arial" w:hAnsi="Arial" w:cs="Arial"/>
                <w:sz w:val="22"/>
                <w:szCs w:val="22"/>
              </w:rPr>
              <w:t>库区清理林、草木</w:t>
            </w:r>
          </w:p>
        </w:tc>
        <w:tc>
          <w:tcPr>
            <w:tcW w:w="1213" w:type="dxa"/>
            <w:tcBorders>
              <w:tl2br w:val="nil"/>
              <w:tr2bl w:val="nil"/>
            </w:tcBorders>
            <w:noWrap w:val="0"/>
            <w:vAlign w:val="center"/>
          </w:tcPr>
          <w:p w14:paraId="5C2765B1">
            <w:pPr>
              <w:pStyle w:val="946"/>
              <w:spacing w:line="300" w:lineRule="exact"/>
              <w:rPr>
                <w:rFonts w:ascii="Arial" w:hAnsi="Arial" w:cs="Arial"/>
                <w:sz w:val="22"/>
                <w:szCs w:val="22"/>
              </w:rPr>
            </w:pPr>
            <w:r>
              <w:rPr>
                <w:rFonts w:hint="eastAsia" w:ascii="Arial" w:hAnsi="Arial" w:cs="Arial"/>
                <w:sz w:val="22"/>
                <w:szCs w:val="22"/>
                <w:lang w:val="en-US" w:eastAsia="zh-CN"/>
              </w:rPr>
              <w:t>85</w:t>
            </w:r>
            <w:r>
              <w:rPr>
                <w:rFonts w:hint="eastAsia" w:ascii="Arial" w:hAnsi="Arial" w:cs="Arial"/>
                <w:sz w:val="22"/>
                <w:szCs w:val="22"/>
                <w:lang w:eastAsia="zh-CN"/>
              </w:rPr>
              <w:t>0</w:t>
            </w:r>
            <w:r>
              <w:rPr>
                <w:rFonts w:ascii="Arial" w:hAnsi="Arial" w:cs="Arial"/>
                <w:sz w:val="22"/>
                <w:szCs w:val="22"/>
              </w:rPr>
              <w:t>t</w:t>
            </w:r>
          </w:p>
        </w:tc>
        <w:tc>
          <w:tcPr>
            <w:tcW w:w="1035" w:type="dxa"/>
            <w:tcBorders>
              <w:tl2br w:val="nil"/>
              <w:tr2bl w:val="nil"/>
            </w:tcBorders>
            <w:noWrap w:val="0"/>
            <w:vAlign w:val="center"/>
          </w:tcPr>
          <w:p w14:paraId="649E3F17">
            <w:pPr>
              <w:pStyle w:val="946"/>
              <w:spacing w:line="300" w:lineRule="exact"/>
              <w:rPr>
                <w:rFonts w:ascii="Arial" w:hAnsi="Arial" w:cs="Arial"/>
                <w:sz w:val="22"/>
                <w:szCs w:val="22"/>
              </w:rPr>
            </w:pPr>
            <w:r>
              <w:rPr>
                <w:rFonts w:ascii="Arial" w:hAnsi="Arial" w:cs="Arial"/>
                <w:sz w:val="22"/>
                <w:szCs w:val="22"/>
              </w:rPr>
              <w:t>林、草木</w:t>
            </w:r>
          </w:p>
        </w:tc>
        <w:tc>
          <w:tcPr>
            <w:tcW w:w="1276" w:type="dxa"/>
            <w:tcBorders>
              <w:tl2br w:val="nil"/>
              <w:tr2bl w:val="nil"/>
            </w:tcBorders>
            <w:noWrap w:val="0"/>
            <w:vAlign w:val="center"/>
          </w:tcPr>
          <w:p w14:paraId="559A89D6">
            <w:pPr>
              <w:pStyle w:val="946"/>
              <w:spacing w:line="300" w:lineRule="exact"/>
              <w:rPr>
                <w:rFonts w:ascii="Arial" w:hAnsi="Arial" w:cs="Arial"/>
                <w:sz w:val="22"/>
                <w:szCs w:val="22"/>
              </w:rPr>
            </w:pPr>
            <w:r>
              <w:rPr>
                <w:rFonts w:ascii="Arial" w:hAnsi="Arial" w:cs="Arial"/>
                <w:sz w:val="22"/>
                <w:szCs w:val="22"/>
              </w:rPr>
              <w:t>/</w:t>
            </w:r>
          </w:p>
        </w:tc>
        <w:tc>
          <w:tcPr>
            <w:tcW w:w="1275" w:type="dxa"/>
            <w:tcBorders>
              <w:tl2br w:val="nil"/>
              <w:tr2bl w:val="nil"/>
            </w:tcBorders>
            <w:noWrap w:val="0"/>
            <w:vAlign w:val="center"/>
          </w:tcPr>
          <w:p w14:paraId="7F5A6369">
            <w:pPr>
              <w:pStyle w:val="946"/>
              <w:spacing w:line="300" w:lineRule="exact"/>
              <w:rPr>
                <w:rFonts w:ascii="Arial" w:hAnsi="Arial" w:cs="Arial"/>
                <w:sz w:val="22"/>
                <w:szCs w:val="22"/>
              </w:rPr>
            </w:pPr>
            <w:r>
              <w:rPr>
                <w:rFonts w:ascii="Arial" w:hAnsi="Arial" w:cs="Arial"/>
                <w:sz w:val="22"/>
                <w:szCs w:val="22"/>
              </w:rPr>
              <w:t>/</w:t>
            </w:r>
          </w:p>
        </w:tc>
        <w:tc>
          <w:tcPr>
            <w:tcW w:w="2734" w:type="dxa"/>
            <w:tcBorders>
              <w:tl2br w:val="nil"/>
              <w:tr2bl w:val="nil"/>
            </w:tcBorders>
            <w:noWrap w:val="0"/>
            <w:vAlign w:val="center"/>
          </w:tcPr>
          <w:p w14:paraId="68DE3144">
            <w:pPr>
              <w:pStyle w:val="946"/>
              <w:spacing w:line="300" w:lineRule="exact"/>
              <w:rPr>
                <w:rFonts w:ascii="Arial" w:hAnsi="Arial" w:cs="Arial"/>
                <w:sz w:val="22"/>
                <w:szCs w:val="22"/>
              </w:rPr>
            </w:pPr>
            <w:r>
              <w:rPr>
                <w:rFonts w:ascii="Arial" w:hAnsi="Arial" w:cs="Arial"/>
                <w:sz w:val="22"/>
                <w:szCs w:val="22"/>
              </w:rPr>
              <w:t>分类收集</w:t>
            </w:r>
            <w:r>
              <w:rPr>
                <w:rFonts w:hint="eastAsia" w:ascii="Arial" w:hAnsi="Arial" w:cs="Arial"/>
                <w:sz w:val="22"/>
                <w:szCs w:val="22"/>
                <w:lang w:eastAsia="zh-CN"/>
              </w:rPr>
              <w:t>，</w:t>
            </w:r>
            <w:r>
              <w:rPr>
                <w:rFonts w:hint="eastAsia" w:ascii="Arial" w:hAnsi="Arial" w:cs="Arial"/>
                <w:bCs/>
                <w:color w:val="auto"/>
                <w:sz w:val="22"/>
                <w:szCs w:val="22"/>
                <w:lang w:eastAsia="zh-CN"/>
              </w:rPr>
              <w:t>生活垃圾等交当地市政环卫部门统一清运处置，木材可外卖进行综合再利用。</w:t>
            </w:r>
          </w:p>
        </w:tc>
        <w:tc>
          <w:tcPr>
            <w:tcW w:w="1247" w:type="dxa"/>
            <w:tcBorders>
              <w:tl2br w:val="nil"/>
              <w:tr2bl w:val="nil"/>
            </w:tcBorders>
            <w:noWrap w:val="0"/>
            <w:vAlign w:val="center"/>
          </w:tcPr>
          <w:p w14:paraId="7F4CC537">
            <w:pPr>
              <w:pStyle w:val="946"/>
              <w:spacing w:line="300" w:lineRule="exact"/>
              <w:rPr>
                <w:rFonts w:ascii="Arial" w:hAnsi="Arial" w:cs="Arial"/>
                <w:sz w:val="22"/>
                <w:szCs w:val="22"/>
              </w:rPr>
            </w:pPr>
            <w:r>
              <w:rPr>
                <w:rFonts w:ascii="Arial" w:hAnsi="Arial" w:cs="Arial"/>
                <w:sz w:val="22"/>
                <w:szCs w:val="22"/>
              </w:rPr>
              <w:t>/</w:t>
            </w:r>
          </w:p>
        </w:tc>
        <w:tc>
          <w:tcPr>
            <w:tcW w:w="915" w:type="dxa"/>
            <w:tcBorders>
              <w:tl2br w:val="nil"/>
              <w:tr2bl w:val="nil"/>
            </w:tcBorders>
            <w:noWrap w:val="0"/>
            <w:vAlign w:val="center"/>
          </w:tcPr>
          <w:p w14:paraId="4ACB70BF">
            <w:pPr>
              <w:pStyle w:val="946"/>
              <w:spacing w:line="300" w:lineRule="exact"/>
              <w:rPr>
                <w:rFonts w:ascii="Arial" w:hAnsi="Arial" w:cs="Arial"/>
                <w:sz w:val="22"/>
                <w:szCs w:val="22"/>
              </w:rPr>
            </w:pPr>
            <w:r>
              <w:rPr>
                <w:rFonts w:ascii="Arial" w:hAnsi="Arial" w:cs="Arial"/>
                <w:sz w:val="22"/>
                <w:szCs w:val="22"/>
              </w:rPr>
              <w:t>/</w:t>
            </w:r>
          </w:p>
        </w:tc>
        <w:tc>
          <w:tcPr>
            <w:tcW w:w="1019" w:type="dxa"/>
            <w:tcBorders>
              <w:tl2br w:val="nil"/>
              <w:tr2bl w:val="nil"/>
            </w:tcBorders>
            <w:noWrap w:val="0"/>
            <w:vAlign w:val="center"/>
          </w:tcPr>
          <w:p w14:paraId="6E86C498">
            <w:pPr>
              <w:pStyle w:val="946"/>
              <w:spacing w:line="300" w:lineRule="exact"/>
              <w:rPr>
                <w:rFonts w:ascii="Arial" w:hAnsi="Arial" w:cs="Arial"/>
                <w:sz w:val="22"/>
                <w:szCs w:val="22"/>
              </w:rPr>
            </w:pPr>
            <w:r>
              <w:rPr>
                <w:rFonts w:ascii="Arial" w:hAnsi="Arial" w:cs="Arial"/>
                <w:sz w:val="22"/>
                <w:szCs w:val="22"/>
              </w:rPr>
              <w:t>/</w:t>
            </w:r>
          </w:p>
        </w:tc>
      </w:tr>
    </w:tbl>
    <w:p w14:paraId="501828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Arial" w:cs="Arial"/>
          <w:b/>
          <w:kern w:val="28"/>
          <w:sz w:val="26"/>
          <w:szCs w:val="26"/>
        </w:rPr>
      </w:pPr>
    </w:p>
    <w:p w14:paraId="43A8D2B3">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cs="Arial"/>
          <w:b/>
          <w:kern w:val="28"/>
          <w:sz w:val="26"/>
          <w:szCs w:val="26"/>
          <w:lang w:eastAsia="zh-CN"/>
        </w:rPr>
      </w:pPr>
      <w:r>
        <w:rPr>
          <w:rFonts w:hint="eastAsia" w:ascii="Arial" w:cs="Arial"/>
          <w:b/>
          <w:kern w:val="28"/>
          <w:sz w:val="26"/>
          <w:szCs w:val="26"/>
        </w:rPr>
        <w:t>表3.</w:t>
      </w:r>
      <w:r>
        <w:rPr>
          <w:rFonts w:hint="eastAsia" w:ascii="Arial" w:cs="Arial"/>
          <w:b/>
          <w:kern w:val="28"/>
          <w:sz w:val="26"/>
          <w:szCs w:val="26"/>
          <w:lang w:val="en-US" w:eastAsia="zh-CN"/>
        </w:rPr>
        <w:t>1</w:t>
      </w:r>
      <w:r>
        <w:rPr>
          <w:rFonts w:hint="eastAsia" w:ascii="Arial" w:cs="Arial"/>
          <w:b/>
          <w:kern w:val="28"/>
          <w:sz w:val="26"/>
          <w:szCs w:val="26"/>
        </w:rPr>
        <w:t>-</w:t>
      </w:r>
      <w:r>
        <w:rPr>
          <w:rFonts w:hint="eastAsia" w:ascii="Arial" w:cs="Arial"/>
          <w:b/>
          <w:kern w:val="28"/>
          <w:sz w:val="26"/>
          <w:szCs w:val="26"/>
          <w:lang w:val="en-US" w:eastAsia="zh-CN"/>
        </w:rPr>
        <w:t>6</w:t>
      </w:r>
      <w:r>
        <w:rPr>
          <w:rFonts w:hint="eastAsia" w:ascii="Arial" w:cs="Arial"/>
          <w:b/>
          <w:kern w:val="28"/>
          <w:sz w:val="26"/>
          <w:szCs w:val="26"/>
        </w:rPr>
        <w:t xml:space="preserve"> </w:t>
      </w:r>
      <w:r>
        <w:rPr>
          <w:rFonts w:hint="eastAsia" w:ascii="Arial" w:cs="Arial"/>
          <w:b/>
          <w:kern w:val="28"/>
          <w:sz w:val="26"/>
          <w:szCs w:val="26"/>
          <w:lang w:val="en-US" w:eastAsia="zh-CN"/>
        </w:rPr>
        <w:t xml:space="preserve"> </w:t>
      </w:r>
      <w:r>
        <w:rPr>
          <w:rFonts w:hint="eastAsia" w:ascii="Arial" w:cs="Arial"/>
          <w:b/>
          <w:kern w:val="28"/>
          <w:sz w:val="26"/>
          <w:szCs w:val="26"/>
        </w:rPr>
        <w:t>施工期</w:t>
      </w:r>
      <w:r>
        <w:rPr>
          <w:rFonts w:hint="eastAsia" w:ascii="Arial" w:cs="Arial"/>
          <w:b/>
          <w:kern w:val="28"/>
          <w:sz w:val="26"/>
          <w:szCs w:val="26"/>
          <w:lang w:eastAsia="zh-CN"/>
        </w:rPr>
        <w:t>生态环境影响因素汇总表</w:t>
      </w:r>
    </w:p>
    <w:tbl>
      <w:tblPr>
        <w:tblStyle w:val="77"/>
        <w:tblW w:w="136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9"/>
        <w:gridCol w:w="1555"/>
        <w:gridCol w:w="3265"/>
        <w:gridCol w:w="2405"/>
        <w:gridCol w:w="5291"/>
      </w:tblGrid>
      <w:tr w14:paraId="41E16D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1109" w:type="dxa"/>
            <w:noWrap w:val="0"/>
            <w:vAlign w:val="center"/>
          </w:tcPr>
          <w:p w14:paraId="2EDDC28C">
            <w:pPr>
              <w:pStyle w:val="946"/>
              <w:spacing w:line="300" w:lineRule="exact"/>
              <w:rPr>
                <w:rFonts w:ascii="Arial" w:hAnsi="Arial" w:cs="Arial"/>
                <w:color w:val="auto"/>
                <w:sz w:val="22"/>
                <w:szCs w:val="22"/>
              </w:rPr>
            </w:pPr>
            <w:r>
              <w:rPr>
                <w:rFonts w:ascii="Arial" w:hAnsi="Arial" w:cs="Arial"/>
                <w:color w:val="auto"/>
                <w:sz w:val="22"/>
                <w:szCs w:val="22"/>
              </w:rPr>
              <w:t>工程阶段</w:t>
            </w:r>
          </w:p>
        </w:tc>
        <w:tc>
          <w:tcPr>
            <w:tcW w:w="1555" w:type="dxa"/>
            <w:noWrap w:val="0"/>
            <w:vAlign w:val="center"/>
          </w:tcPr>
          <w:p w14:paraId="0EFD27DA">
            <w:pPr>
              <w:pStyle w:val="946"/>
              <w:spacing w:line="300" w:lineRule="exact"/>
              <w:rPr>
                <w:rFonts w:ascii="Arial" w:hAnsi="Arial" w:cs="Arial"/>
                <w:color w:val="auto"/>
                <w:sz w:val="22"/>
                <w:szCs w:val="22"/>
              </w:rPr>
            </w:pPr>
            <w:r>
              <w:rPr>
                <w:rFonts w:ascii="Arial" w:hAnsi="Arial" w:cs="Arial"/>
                <w:color w:val="auto"/>
                <w:sz w:val="22"/>
                <w:szCs w:val="22"/>
              </w:rPr>
              <w:t>工程行为</w:t>
            </w:r>
          </w:p>
        </w:tc>
        <w:tc>
          <w:tcPr>
            <w:tcW w:w="3265" w:type="dxa"/>
            <w:noWrap w:val="0"/>
            <w:vAlign w:val="center"/>
          </w:tcPr>
          <w:p w14:paraId="04B4057D">
            <w:pPr>
              <w:pStyle w:val="946"/>
              <w:spacing w:line="300" w:lineRule="exact"/>
              <w:rPr>
                <w:rFonts w:ascii="Arial" w:hAnsi="Arial" w:cs="Arial"/>
                <w:color w:val="auto"/>
                <w:sz w:val="22"/>
                <w:szCs w:val="22"/>
              </w:rPr>
            </w:pPr>
            <w:r>
              <w:rPr>
                <w:rFonts w:ascii="Arial" w:hAnsi="Arial" w:cs="Arial"/>
                <w:color w:val="auto"/>
                <w:sz w:val="22"/>
                <w:szCs w:val="22"/>
              </w:rPr>
              <w:t>生态影响因素</w:t>
            </w:r>
          </w:p>
        </w:tc>
        <w:tc>
          <w:tcPr>
            <w:tcW w:w="2405" w:type="dxa"/>
            <w:noWrap w:val="0"/>
            <w:vAlign w:val="center"/>
          </w:tcPr>
          <w:p w14:paraId="5B4F6113">
            <w:pPr>
              <w:pStyle w:val="946"/>
              <w:spacing w:line="300" w:lineRule="exact"/>
              <w:rPr>
                <w:rFonts w:ascii="Arial" w:hAnsi="Arial" w:cs="Arial"/>
                <w:color w:val="auto"/>
                <w:sz w:val="22"/>
                <w:szCs w:val="22"/>
              </w:rPr>
            </w:pPr>
            <w:r>
              <w:rPr>
                <w:rFonts w:ascii="Arial" w:hAnsi="Arial" w:cs="Arial"/>
                <w:color w:val="auto"/>
                <w:sz w:val="22"/>
                <w:szCs w:val="22"/>
              </w:rPr>
              <w:t>影响对象</w:t>
            </w:r>
          </w:p>
        </w:tc>
        <w:tc>
          <w:tcPr>
            <w:tcW w:w="5291" w:type="dxa"/>
            <w:noWrap w:val="0"/>
            <w:vAlign w:val="center"/>
          </w:tcPr>
          <w:p w14:paraId="753508E6">
            <w:pPr>
              <w:pStyle w:val="946"/>
              <w:spacing w:line="300" w:lineRule="exact"/>
              <w:rPr>
                <w:rFonts w:ascii="Arial" w:hAnsi="Arial" w:cs="Arial"/>
                <w:color w:val="auto"/>
                <w:sz w:val="22"/>
                <w:szCs w:val="22"/>
              </w:rPr>
            </w:pPr>
            <w:r>
              <w:rPr>
                <w:rFonts w:ascii="Arial" w:hAnsi="Arial" w:cs="Arial"/>
                <w:color w:val="auto"/>
                <w:sz w:val="22"/>
                <w:szCs w:val="22"/>
              </w:rPr>
              <w:t>影响程度</w:t>
            </w:r>
          </w:p>
        </w:tc>
      </w:tr>
      <w:tr w14:paraId="282B2B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1109" w:type="dxa"/>
            <w:vMerge w:val="restart"/>
            <w:noWrap w:val="0"/>
            <w:vAlign w:val="center"/>
          </w:tcPr>
          <w:p w14:paraId="47879FB4">
            <w:pPr>
              <w:pStyle w:val="946"/>
              <w:spacing w:line="300" w:lineRule="exact"/>
              <w:rPr>
                <w:rFonts w:ascii="Arial" w:hAnsi="Arial" w:cs="Arial"/>
                <w:color w:val="auto"/>
                <w:sz w:val="22"/>
                <w:szCs w:val="22"/>
              </w:rPr>
            </w:pPr>
            <w:r>
              <w:rPr>
                <w:rFonts w:ascii="Arial" w:hAnsi="Arial" w:cs="Arial"/>
                <w:color w:val="auto"/>
                <w:sz w:val="22"/>
                <w:szCs w:val="22"/>
              </w:rPr>
              <w:t>施工期</w:t>
            </w:r>
          </w:p>
        </w:tc>
        <w:tc>
          <w:tcPr>
            <w:tcW w:w="1555" w:type="dxa"/>
            <w:vMerge w:val="restart"/>
            <w:noWrap w:val="0"/>
            <w:vAlign w:val="center"/>
          </w:tcPr>
          <w:p w14:paraId="2C3896E7">
            <w:pPr>
              <w:pStyle w:val="946"/>
              <w:spacing w:line="300" w:lineRule="exact"/>
              <w:rPr>
                <w:rFonts w:ascii="Arial" w:hAnsi="Arial" w:cs="Arial"/>
                <w:color w:val="auto"/>
                <w:sz w:val="22"/>
                <w:szCs w:val="22"/>
              </w:rPr>
            </w:pPr>
            <w:r>
              <w:rPr>
                <w:rFonts w:ascii="Arial" w:hAnsi="Arial" w:cs="Arial"/>
                <w:color w:val="auto"/>
                <w:sz w:val="22"/>
                <w:szCs w:val="22"/>
              </w:rPr>
              <w:t>工程占地</w:t>
            </w:r>
          </w:p>
        </w:tc>
        <w:tc>
          <w:tcPr>
            <w:tcW w:w="3265" w:type="dxa"/>
            <w:vMerge w:val="restart"/>
            <w:noWrap w:val="0"/>
            <w:vAlign w:val="center"/>
          </w:tcPr>
          <w:p w14:paraId="468CAF39">
            <w:pPr>
              <w:pStyle w:val="946"/>
              <w:spacing w:line="300" w:lineRule="exact"/>
              <w:rPr>
                <w:rFonts w:ascii="Arial" w:hAnsi="Arial" w:cs="Arial"/>
                <w:color w:val="auto"/>
                <w:sz w:val="22"/>
                <w:szCs w:val="22"/>
              </w:rPr>
            </w:pPr>
            <w:r>
              <w:rPr>
                <w:rFonts w:ascii="Arial" w:hAnsi="Arial" w:cs="Arial"/>
                <w:color w:val="auto"/>
                <w:sz w:val="22"/>
                <w:szCs w:val="22"/>
              </w:rPr>
              <w:t>永久占地、临时占地</w:t>
            </w:r>
          </w:p>
        </w:tc>
        <w:tc>
          <w:tcPr>
            <w:tcW w:w="2405" w:type="dxa"/>
            <w:noWrap w:val="0"/>
            <w:vAlign w:val="center"/>
          </w:tcPr>
          <w:p w14:paraId="1B842179">
            <w:pPr>
              <w:pStyle w:val="946"/>
              <w:spacing w:line="300" w:lineRule="exact"/>
              <w:rPr>
                <w:rFonts w:ascii="Arial" w:hAnsi="Arial" w:cs="Arial"/>
                <w:color w:val="auto"/>
                <w:sz w:val="22"/>
                <w:szCs w:val="22"/>
              </w:rPr>
            </w:pPr>
            <w:r>
              <w:rPr>
                <w:rFonts w:ascii="Arial" w:hAnsi="Arial" w:cs="Arial"/>
                <w:color w:val="auto"/>
                <w:sz w:val="22"/>
                <w:szCs w:val="22"/>
              </w:rPr>
              <w:t>林地</w:t>
            </w:r>
          </w:p>
        </w:tc>
        <w:tc>
          <w:tcPr>
            <w:tcW w:w="5291" w:type="dxa"/>
            <w:vMerge w:val="restart"/>
            <w:noWrap w:val="0"/>
            <w:vAlign w:val="center"/>
          </w:tcPr>
          <w:p w14:paraId="5F87A0C6">
            <w:pPr>
              <w:pStyle w:val="946"/>
              <w:spacing w:line="300" w:lineRule="exact"/>
              <w:rPr>
                <w:rFonts w:hint="eastAsia" w:ascii="Arial" w:hAnsi="Arial" w:cs="Arial"/>
                <w:color w:val="auto"/>
                <w:sz w:val="22"/>
                <w:szCs w:val="22"/>
                <w:lang w:eastAsia="zh-CN"/>
              </w:rPr>
            </w:pPr>
            <w:r>
              <w:rPr>
                <w:rFonts w:ascii="Arial" w:hAnsi="Arial" w:cs="Arial"/>
                <w:color w:val="auto"/>
                <w:sz w:val="22"/>
                <w:szCs w:val="22"/>
                <w:lang w:val="zh-CN"/>
              </w:rPr>
              <w:t>改变土地利用结构和类型</w:t>
            </w:r>
            <w:r>
              <w:rPr>
                <w:rFonts w:hint="eastAsia" w:ascii="Arial" w:hAnsi="Arial" w:cs="Arial"/>
                <w:color w:val="auto"/>
                <w:sz w:val="22"/>
                <w:szCs w:val="22"/>
                <w:lang w:val="zh-CN" w:eastAsia="zh-CN"/>
              </w:rPr>
              <w:t>，</w:t>
            </w:r>
            <w:r>
              <w:rPr>
                <w:rFonts w:ascii="Arial" w:hAnsi="Arial" w:cs="Arial"/>
                <w:color w:val="auto"/>
                <w:spacing w:val="14"/>
                <w:sz w:val="22"/>
                <w:szCs w:val="22"/>
              </w:rPr>
              <w:t>陆生生物量损失</w:t>
            </w:r>
            <w:r>
              <w:rPr>
                <w:rFonts w:hint="eastAsia" w:ascii="Arial" w:hAnsi="Arial" w:cs="Arial"/>
                <w:color w:val="auto"/>
                <w:spacing w:val="14"/>
                <w:sz w:val="22"/>
                <w:szCs w:val="22"/>
                <w:lang w:eastAsia="zh-CN"/>
              </w:rPr>
              <w:t>，</w:t>
            </w:r>
            <w:r>
              <w:rPr>
                <w:rFonts w:ascii="Arial" w:hAnsi="Arial" w:cs="Arial"/>
                <w:color w:val="auto"/>
                <w:sz w:val="22"/>
                <w:szCs w:val="22"/>
                <w:lang w:val="zh-CN"/>
              </w:rPr>
              <w:t>降低周区的动物栖息适宜度</w:t>
            </w:r>
            <w:r>
              <w:rPr>
                <w:rFonts w:hint="eastAsia" w:ascii="Arial" w:hAnsi="Arial" w:cs="Arial"/>
                <w:color w:val="auto"/>
                <w:sz w:val="22"/>
                <w:szCs w:val="22"/>
                <w:lang w:val="zh-CN" w:eastAsia="zh-CN"/>
              </w:rPr>
              <w:t>，</w:t>
            </w:r>
            <w:r>
              <w:rPr>
                <w:rFonts w:ascii="Arial" w:hAnsi="Arial" w:cs="Arial"/>
                <w:color w:val="auto"/>
                <w:sz w:val="22"/>
                <w:szCs w:val="22"/>
                <w:lang w:val="zh-CN"/>
              </w:rPr>
              <w:t>影响范围内水土保持功能将迅速降低或丧失</w:t>
            </w:r>
            <w:r>
              <w:rPr>
                <w:rFonts w:hint="eastAsia" w:ascii="Arial" w:hAnsi="Arial" w:cs="Arial"/>
                <w:color w:val="auto"/>
                <w:sz w:val="22"/>
                <w:szCs w:val="22"/>
                <w:lang w:val="zh-CN" w:eastAsia="zh-CN"/>
              </w:rPr>
              <w:t>；</w:t>
            </w:r>
            <w:r>
              <w:rPr>
                <w:rFonts w:hint="eastAsia" w:ascii="Arial" w:hAnsi="Arial" w:cs="Arial"/>
                <w:bCs/>
                <w:color w:val="auto"/>
                <w:sz w:val="22"/>
                <w:szCs w:val="22"/>
                <w:lang w:val="en-US"/>
              </w:rPr>
              <w:t>施工期枢纽工程由于大坝拦蓄作用，使河道内水量、水流速度和水道</w:t>
            </w:r>
            <w:r>
              <w:rPr>
                <w:rFonts w:hint="eastAsia" w:ascii="Arial" w:hAnsi="Arial" w:cs="Arial"/>
                <w:bCs/>
                <w:color w:val="auto"/>
                <w:sz w:val="22"/>
                <w:szCs w:val="22"/>
                <w:lang w:val="en-US" w:eastAsia="zh-CN"/>
              </w:rPr>
              <w:t>理化</w:t>
            </w:r>
            <w:r>
              <w:rPr>
                <w:rFonts w:hint="eastAsia" w:ascii="Arial" w:hAnsi="Arial" w:cs="Arial"/>
                <w:bCs/>
                <w:color w:val="auto"/>
                <w:sz w:val="22"/>
                <w:szCs w:val="22"/>
                <w:lang w:val="en-US"/>
              </w:rPr>
              <w:t>性质发生变化</w:t>
            </w:r>
            <w:r>
              <w:rPr>
                <w:rFonts w:hint="eastAsia" w:ascii="Arial" w:hAnsi="Arial" w:cs="Arial"/>
                <w:bCs/>
                <w:color w:val="auto"/>
                <w:sz w:val="22"/>
                <w:szCs w:val="22"/>
                <w:lang w:val="en-US" w:eastAsia="zh-CN"/>
              </w:rPr>
              <w:t>；同时若未做好基坑废水、废弃土石方的收集处理工作，会污染流域水质，</w:t>
            </w:r>
            <w:r>
              <w:rPr>
                <w:rFonts w:hint="eastAsia" w:ascii="Arial" w:hAnsi="Arial" w:cs="Arial"/>
                <w:bCs/>
                <w:color w:val="auto"/>
                <w:sz w:val="22"/>
                <w:szCs w:val="22"/>
                <w:lang w:val="en-US"/>
              </w:rPr>
              <w:t>因而会对水生生物产生一定的影响。</w:t>
            </w:r>
          </w:p>
        </w:tc>
      </w:tr>
      <w:tr w14:paraId="230525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2" w:hRule="atLeast"/>
          <w:jc w:val="center"/>
        </w:trPr>
        <w:tc>
          <w:tcPr>
            <w:tcW w:w="1109" w:type="dxa"/>
            <w:vMerge w:val="continue"/>
            <w:noWrap w:val="0"/>
            <w:vAlign w:val="center"/>
          </w:tcPr>
          <w:p w14:paraId="4062AEDA">
            <w:pPr>
              <w:widowControl/>
              <w:spacing w:line="300" w:lineRule="exact"/>
              <w:jc w:val="center"/>
              <w:rPr>
                <w:rFonts w:ascii="Arial" w:hAnsi="Arial" w:cs="Arial"/>
                <w:color w:val="auto"/>
                <w:sz w:val="22"/>
                <w:szCs w:val="22"/>
              </w:rPr>
            </w:pPr>
          </w:p>
        </w:tc>
        <w:tc>
          <w:tcPr>
            <w:tcW w:w="1555" w:type="dxa"/>
            <w:vMerge w:val="continue"/>
            <w:noWrap w:val="0"/>
            <w:vAlign w:val="center"/>
          </w:tcPr>
          <w:p w14:paraId="21C5579B">
            <w:pPr>
              <w:widowControl/>
              <w:spacing w:line="300" w:lineRule="exact"/>
              <w:jc w:val="center"/>
              <w:rPr>
                <w:rFonts w:ascii="Arial" w:hAnsi="Arial" w:cs="Arial"/>
                <w:color w:val="auto"/>
                <w:sz w:val="22"/>
                <w:szCs w:val="22"/>
              </w:rPr>
            </w:pPr>
          </w:p>
        </w:tc>
        <w:tc>
          <w:tcPr>
            <w:tcW w:w="3265" w:type="dxa"/>
            <w:vMerge w:val="continue"/>
            <w:noWrap w:val="0"/>
            <w:vAlign w:val="center"/>
          </w:tcPr>
          <w:p w14:paraId="272402E6">
            <w:pPr>
              <w:widowControl/>
              <w:spacing w:line="300" w:lineRule="exact"/>
              <w:jc w:val="center"/>
              <w:rPr>
                <w:rFonts w:ascii="Arial" w:hAnsi="Arial" w:cs="Arial"/>
                <w:color w:val="auto"/>
                <w:sz w:val="22"/>
                <w:szCs w:val="22"/>
              </w:rPr>
            </w:pPr>
          </w:p>
        </w:tc>
        <w:tc>
          <w:tcPr>
            <w:tcW w:w="2405" w:type="dxa"/>
            <w:noWrap w:val="0"/>
            <w:vAlign w:val="center"/>
          </w:tcPr>
          <w:p w14:paraId="7DAEE25A">
            <w:pPr>
              <w:pStyle w:val="946"/>
              <w:spacing w:line="300" w:lineRule="exact"/>
              <w:rPr>
                <w:rFonts w:ascii="Arial" w:hAnsi="Arial" w:cs="Arial"/>
                <w:color w:val="auto"/>
                <w:sz w:val="22"/>
                <w:szCs w:val="22"/>
              </w:rPr>
            </w:pPr>
            <w:r>
              <w:rPr>
                <w:rFonts w:ascii="Arial" w:hAnsi="Arial" w:cs="Arial"/>
                <w:color w:val="auto"/>
                <w:sz w:val="22"/>
                <w:szCs w:val="22"/>
                <w:lang w:val="zh-CN"/>
              </w:rPr>
              <w:t>植被</w:t>
            </w:r>
          </w:p>
        </w:tc>
        <w:tc>
          <w:tcPr>
            <w:tcW w:w="5291" w:type="dxa"/>
            <w:vMerge w:val="continue"/>
            <w:noWrap w:val="0"/>
            <w:vAlign w:val="center"/>
          </w:tcPr>
          <w:p w14:paraId="2947F8CF">
            <w:pPr>
              <w:pStyle w:val="946"/>
              <w:spacing w:line="300" w:lineRule="exact"/>
              <w:rPr>
                <w:rFonts w:ascii="Arial" w:hAnsi="Arial" w:cs="Arial"/>
                <w:color w:val="auto"/>
                <w:sz w:val="22"/>
                <w:szCs w:val="22"/>
              </w:rPr>
            </w:pPr>
          </w:p>
        </w:tc>
      </w:tr>
      <w:tr w14:paraId="60FE7D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2" w:hRule="atLeast"/>
          <w:jc w:val="center"/>
        </w:trPr>
        <w:tc>
          <w:tcPr>
            <w:tcW w:w="1109" w:type="dxa"/>
            <w:vMerge w:val="continue"/>
            <w:noWrap w:val="0"/>
            <w:vAlign w:val="center"/>
          </w:tcPr>
          <w:p w14:paraId="2F7C230F">
            <w:pPr>
              <w:widowControl/>
              <w:spacing w:line="300" w:lineRule="exact"/>
              <w:jc w:val="center"/>
              <w:rPr>
                <w:rFonts w:ascii="Arial" w:hAnsi="Arial" w:cs="Arial"/>
                <w:color w:val="auto"/>
                <w:sz w:val="22"/>
                <w:szCs w:val="22"/>
              </w:rPr>
            </w:pPr>
          </w:p>
        </w:tc>
        <w:tc>
          <w:tcPr>
            <w:tcW w:w="1555" w:type="dxa"/>
            <w:vMerge w:val="restart"/>
            <w:noWrap w:val="0"/>
            <w:vAlign w:val="center"/>
          </w:tcPr>
          <w:p w14:paraId="794F2A4E">
            <w:pPr>
              <w:pStyle w:val="946"/>
              <w:spacing w:line="300" w:lineRule="exact"/>
              <w:rPr>
                <w:rFonts w:ascii="Arial" w:hAnsi="Arial" w:cs="Arial"/>
                <w:color w:val="auto"/>
                <w:sz w:val="22"/>
                <w:szCs w:val="22"/>
              </w:rPr>
            </w:pPr>
            <w:r>
              <w:rPr>
                <w:rFonts w:ascii="Arial" w:hAnsi="Arial" w:cs="Arial"/>
                <w:color w:val="auto"/>
                <w:sz w:val="22"/>
                <w:szCs w:val="22"/>
                <w:lang w:val="zh-CN"/>
              </w:rPr>
              <w:t>施工活动</w:t>
            </w:r>
          </w:p>
        </w:tc>
        <w:tc>
          <w:tcPr>
            <w:tcW w:w="3265" w:type="dxa"/>
            <w:noWrap w:val="0"/>
            <w:vAlign w:val="center"/>
          </w:tcPr>
          <w:p w14:paraId="5B388EFC">
            <w:pPr>
              <w:pStyle w:val="946"/>
              <w:spacing w:line="300" w:lineRule="exact"/>
              <w:rPr>
                <w:rFonts w:ascii="Arial" w:hAnsi="Arial" w:cs="Arial"/>
                <w:color w:val="auto"/>
                <w:sz w:val="22"/>
                <w:szCs w:val="22"/>
              </w:rPr>
            </w:pPr>
            <w:r>
              <w:rPr>
                <w:rFonts w:ascii="Arial" w:hAnsi="Arial" w:cs="Arial"/>
                <w:color w:val="auto"/>
                <w:sz w:val="22"/>
                <w:szCs w:val="22"/>
                <w:lang w:val="zh-CN"/>
              </w:rPr>
              <w:t>施工噪声、扬尘、废气</w:t>
            </w:r>
          </w:p>
        </w:tc>
        <w:tc>
          <w:tcPr>
            <w:tcW w:w="2405" w:type="dxa"/>
            <w:noWrap w:val="0"/>
            <w:vAlign w:val="center"/>
          </w:tcPr>
          <w:p w14:paraId="6F3A3F0B">
            <w:pPr>
              <w:pStyle w:val="946"/>
              <w:spacing w:line="300" w:lineRule="exact"/>
              <w:rPr>
                <w:rFonts w:ascii="Arial" w:hAnsi="Arial" w:cs="Arial"/>
                <w:color w:val="auto"/>
                <w:sz w:val="22"/>
                <w:szCs w:val="22"/>
              </w:rPr>
            </w:pPr>
            <w:r>
              <w:rPr>
                <w:rFonts w:ascii="Arial" w:hAnsi="Arial" w:cs="Arial"/>
                <w:color w:val="auto"/>
                <w:sz w:val="22"/>
                <w:szCs w:val="22"/>
                <w:lang w:val="zh-CN"/>
              </w:rPr>
              <w:t>野生动物</w:t>
            </w:r>
          </w:p>
        </w:tc>
        <w:tc>
          <w:tcPr>
            <w:tcW w:w="5291" w:type="dxa"/>
            <w:vMerge w:val="continue"/>
            <w:noWrap w:val="0"/>
            <w:vAlign w:val="center"/>
          </w:tcPr>
          <w:p w14:paraId="3E75D3FE">
            <w:pPr>
              <w:pStyle w:val="946"/>
              <w:spacing w:line="300" w:lineRule="exact"/>
              <w:rPr>
                <w:rFonts w:ascii="Arial" w:hAnsi="Arial" w:cs="Arial"/>
                <w:color w:val="auto"/>
                <w:sz w:val="22"/>
                <w:szCs w:val="22"/>
              </w:rPr>
            </w:pPr>
          </w:p>
        </w:tc>
      </w:tr>
      <w:tr w14:paraId="29936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2" w:hRule="atLeast"/>
          <w:jc w:val="center"/>
        </w:trPr>
        <w:tc>
          <w:tcPr>
            <w:tcW w:w="1109" w:type="dxa"/>
            <w:vMerge w:val="continue"/>
            <w:noWrap w:val="0"/>
            <w:vAlign w:val="center"/>
          </w:tcPr>
          <w:p w14:paraId="7F7D1961">
            <w:pPr>
              <w:widowControl/>
              <w:spacing w:line="300" w:lineRule="exact"/>
              <w:jc w:val="center"/>
              <w:rPr>
                <w:rFonts w:ascii="Arial" w:hAnsi="Arial" w:cs="Arial"/>
                <w:color w:val="auto"/>
                <w:sz w:val="22"/>
                <w:szCs w:val="22"/>
              </w:rPr>
            </w:pPr>
          </w:p>
        </w:tc>
        <w:tc>
          <w:tcPr>
            <w:tcW w:w="1555" w:type="dxa"/>
            <w:vMerge w:val="continue"/>
            <w:noWrap w:val="0"/>
            <w:vAlign w:val="center"/>
          </w:tcPr>
          <w:p w14:paraId="6C2EA535">
            <w:pPr>
              <w:pStyle w:val="946"/>
              <w:spacing w:line="300" w:lineRule="exact"/>
              <w:rPr>
                <w:rFonts w:ascii="Arial" w:hAnsi="Arial" w:cs="Arial"/>
                <w:color w:val="auto"/>
                <w:sz w:val="22"/>
                <w:szCs w:val="22"/>
                <w:lang w:val="zh-CN"/>
              </w:rPr>
            </w:pPr>
          </w:p>
        </w:tc>
        <w:tc>
          <w:tcPr>
            <w:tcW w:w="3265" w:type="dxa"/>
            <w:noWrap w:val="0"/>
            <w:vAlign w:val="center"/>
          </w:tcPr>
          <w:p w14:paraId="0993DAC0">
            <w:pPr>
              <w:pStyle w:val="946"/>
              <w:spacing w:line="300" w:lineRule="exact"/>
              <w:rPr>
                <w:rFonts w:hint="eastAsia" w:ascii="Arial" w:hAnsi="Arial" w:cs="Arial"/>
                <w:color w:val="auto"/>
                <w:sz w:val="22"/>
                <w:szCs w:val="22"/>
                <w:lang w:val="zh-CN" w:eastAsia="zh-CN"/>
              </w:rPr>
            </w:pPr>
            <w:r>
              <w:rPr>
                <w:rFonts w:hint="eastAsia" w:ascii="Arial" w:hAnsi="Arial" w:cs="Arial"/>
                <w:color w:val="auto"/>
                <w:sz w:val="22"/>
                <w:szCs w:val="22"/>
                <w:lang w:val="zh-CN" w:eastAsia="zh-CN"/>
              </w:rPr>
              <w:t>拦河、涉水施工</w:t>
            </w:r>
          </w:p>
        </w:tc>
        <w:tc>
          <w:tcPr>
            <w:tcW w:w="2405" w:type="dxa"/>
            <w:noWrap w:val="0"/>
            <w:vAlign w:val="center"/>
          </w:tcPr>
          <w:p w14:paraId="1F2096BF">
            <w:pPr>
              <w:pStyle w:val="946"/>
              <w:spacing w:line="300" w:lineRule="exact"/>
              <w:rPr>
                <w:rFonts w:hint="eastAsia" w:ascii="Arial" w:hAnsi="Arial" w:cs="Arial"/>
                <w:color w:val="auto"/>
                <w:sz w:val="22"/>
                <w:szCs w:val="22"/>
                <w:lang w:val="zh-CN" w:eastAsia="zh-CN"/>
              </w:rPr>
            </w:pPr>
            <w:r>
              <w:rPr>
                <w:rFonts w:hint="eastAsia" w:ascii="Arial" w:hAnsi="Arial" w:cs="Arial"/>
                <w:color w:val="auto"/>
                <w:sz w:val="22"/>
                <w:szCs w:val="22"/>
                <w:lang w:val="zh-CN" w:eastAsia="zh-CN"/>
              </w:rPr>
              <w:t>水生生态环境</w:t>
            </w:r>
          </w:p>
        </w:tc>
        <w:tc>
          <w:tcPr>
            <w:tcW w:w="5291" w:type="dxa"/>
            <w:vMerge w:val="continue"/>
            <w:noWrap w:val="0"/>
            <w:vAlign w:val="center"/>
          </w:tcPr>
          <w:p w14:paraId="5FCD3690">
            <w:pPr>
              <w:pStyle w:val="946"/>
              <w:spacing w:line="300" w:lineRule="exact"/>
              <w:rPr>
                <w:rFonts w:ascii="Arial" w:hAnsi="Arial" w:cs="Arial"/>
                <w:color w:val="auto"/>
                <w:sz w:val="22"/>
                <w:szCs w:val="22"/>
              </w:rPr>
            </w:pPr>
          </w:p>
        </w:tc>
      </w:tr>
      <w:tr w14:paraId="5A233E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2" w:hRule="atLeast"/>
          <w:jc w:val="center"/>
        </w:trPr>
        <w:tc>
          <w:tcPr>
            <w:tcW w:w="1109" w:type="dxa"/>
            <w:vMerge w:val="continue"/>
            <w:noWrap w:val="0"/>
            <w:vAlign w:val="center"/>
          </w:tcPr>
          <w:p w14:paraId="1EF83A1A">
            <w:pPr>
              <w:widowControl/>
              <w:spacing w:line="300" w:lineRule="exact"/>
              <w:jc w:val="center"/>
              <w:rPr>
                <w:rFonts w:ascii="Arial" w:hAnsi="Arial" w:cs="Arial"/>
                <w:color w:val="auto"/>
                <w:sz w:val="22"/>
                <w:szCs w:val="22"/>
              </w:rPr>
            </w:pPr>
          </w:p>
        </w:tc>
        <w:tc>
          <w:tcPr>
            <w:tcW w:w="1555" w:type="dxa"/>
            <w:vMerge w:val="continue"/>
            <w:noWrap w:val="0"/>
            <w:vAlign w:val="center"/>
          </w:tcPr>
          <w:p w14:paraId="35340EA3">
            <w:pPr>
              <w:widowControl/>
              <w:spacing w:line="300" w:lineRule="exact"/>
              <w:jc w:val="center"/>
              <w:rPr>
                <w:rFonts w:ascii="Arial" w:hAnsi="Arial" w:cs="Arial"/>
                <w:color w:val="auto"/>
                <w:sz w:val="22"/>
                <w:szCs w:val="22"/>
              </w:rPr>
            </w:pPr>
          </w:p>
        </w:tc>
        <w:tc>
          <w:tcPr>
            <w:tcW w:w="3265" w:type="dxa"/>
            <w:noWrap w:val="0"/>
            <w:vAlign w:val="center"/>
          </w:tcPr>
          <w:p w14:paraId="6DA704FB">
            <w:pPr>
              <w:pStyle w:val="946"/>
              <w:spacing w:line="300" w:lineRule="exact"/>
              <w:rPr>
                <w:rFonts w:ascii="Arial" w:hAnsi="Arial" w:cs="Arial"/>
                <w:color w:val="auto"/>
                <w:sz w:val="22"/>
                <w:szCs w:val="22"/>
                <w:lang w:val="zh-CN"/>
              </w:rPr>
            </w:pPr>
            <w:r>
              <w:rPr>
                <w:rFonts w:ascii="Arial" w:hAnsi="Arial" w:cs="Arial"/>
                <w:color w:val="auto"/>
                <w:sz w:val="22"/>
                <w:szCs w:val="22"/>
                <w:lang w:val="zh-CN"/>
              </w:rPr>
              <w:t>损坏原有地貌植被、堆放弃土石</w:t>
            </w:r>
          </w:p>
        </w:tc>
        <w:tc>
          <w:tcPr>
            <w:tcW w:w="2405" w:type="dxa"/>
            <w:noWrap w:val="0"/>
            <w:vAlign w:val="center"/>
          </w:tcPr>
          <w:p w14:paraId="40C65CAE">
            <w:pPr>
              <w:pStyle w:val="946"/>
              <w:spacing w:line="300" w:lineRule="exact"/>
              <w:rPr>
                <w:rFonts w:ascii="Arial" w:hAnsi="Arial" w:cs="Arial"/>
                <w:color w:val="auto"/>
                <w:sz w:val="22"/>
                <w:szCs w:val="22"/>
                <w:lang w:val="zh-CN"/>
              </w:rPr>
            </w:pPr>
            <w:r>
              <w:rPr>
                <w:rFonts w:ascii="Arial" w:hAnsi="Arial" w:cs="Arial"/>
                <w:color w:val="auto"/>
                <w:sz w:val="22"/>
                <w:szCs w:val="22"/>
                <w:lang w:val="zh-CN"/>
              </w:rPr>
              <w:t>水土流失</w:t>
            </w:r>
          </w:p>
        </w:tc>
        <w:tc>
          <w:tcPr>
            <w:tcW w:w="5291" w:type="dxa"/>
            <w:vMerge w:val="continue"/>
            <w:noWrap w:val="0"/>
            <w:vAlign w:val="center"/>
          </w:tcPr>
          <w:p w14:paraId="131DB93A">
            <w:pPr>
              <w:pStyle w:val="946"/>
              <w:spacing w:line="300" w:lineRule="exact"/>
              <w:rPr>
                <w:rFonts w:ascii="Arial" w:hAnsi="Arial" w:cs="Arial"/>
                <w:color w:val="auto"/>
                <w:sz w:val="22"/>
                <w:szCs w:val="22"/>
                <w:lang w:val="zh-CN"/>
              </w:rPr>
            </w:pPr>
          </w:p>
        </w:tc>
      </w:tr>
    </w:tbl>
    <w:p w14:paraId="483B8DD8">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bCs/>
          <w:color w:val="auto"/>
          <w:sz w:val="26"/>
          <w:szCs w:val="26"/>
          <w:lang w:eastAsia="zh-CN"/>
        </w:rPr>
        <w:sectPr>
          <w:pgSz w:w="15840" w:h="12240" w:orient="landscape"/>
          <w:pgMar w:top="1701" w:right="1440" w:bottom="1701" w:left="1440" w:header="1077" w:footer="794" w:gutter="0"/>
          <w:pgBorders>
            <w:top w:val="none" w:sz="0" w:space="0"/>
            <w:left w:val="none" w:sz="0" w:space="0"/>
            <w:bottom w:val="none" w:sz="0" w:space="0"/>
            <w:right w:val="none" w:sz="0" w:space="0"/>
          </w:pgBorders>
          <w:pgNumType w:fmt="decimal"/>
          <w:cols w:space="0" w:num="1"/>
          <w:rtlGutter w:val="0"/>
          <w:docGrid w:linePitch="0" w:charSpace="0"/>
        </w:sectPr>
      </w:pPr>
    </w:p>
    <w:p w14:paraId="056F1629">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3.2</w:t>
      </w:r>
      <w:r>
        <w:rPr>
          <w:rFonts w:hint="eastAsia" w:ascii="Arial" w:hAnsi="Arial" w:cs="Arial"/>
          <w:sz w:val="26"/>
          <w:szCs w:val="26"/>
          <w:lang w:val="en-US" w:eastAsia="zh-CN"/>
        </w:rPr>
        <w:t>运营期环境影响因素分析</w:t>
      </w:r>
    </w:p>
    <w:p w14:paraId="03A15A2B">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default" w:ascii="Arial" w:cs="Arial"/>
          <w:b/>
          <w:bCs w:val="0"/>
          <w:color w:val="auto"/>
          <w:sz w:val="26"/>
          <w:szCs w:val="26"/>
          <w:lang w:val="en-US"/>
        </w:rPr>
      </w:pPr>
      <w:r>
        <w:rPr>
          <w:rFonts w:hint="eastAsia" w:ascii="Arial" w:hAnsi="Arial" w:cs="Arial"/>
          <w:b/>
          <w:bCs w:val="0"/>
          <w:color w:val="auto"/>
          <w:sz w:val="26"/>
          <w:szCs w:val="26"/>
          <w:lang w:val="en-US" w:eastAsia="zh-CN"/>
        </w:rPr>
        <w:t>3.2.1退水</w:t>
      </w:r>
    </w:p>
    <w:p w14:paraId="440D5BA6">
      <w:pPr>
        <w:spacing w:line="440" w:lineRule="exact"/>
        <w:ind w:firstLine="520" w:firstLineChars="200"/>
        <w:rPr>
          <w:rFonts w:ascii="Arial" w:hAnsi="Arial" w:cs="Arial"/>
          <w:bCs/>
          <w:sz w:val="26"/>
          <w:szCs w:val="26"/>
        </w:rPr>
      </w:pPr>
      <w:r>
        <w:rPr>
          <w:rFonts w:ascii="Arial" w:cs="Arial"/>
          <w:sz w:val="26"/>
          <w:szCs w:val="26"/>
        </w:rPr>
        <w:t>水库运行过程中的退水可能对地表水质造成影响，退水主要包括管理人员生活用水退水和灌溉回归水。</w:t>
      </w:r>
    </w:p>
    <w:p w14:paraId="0372B344">
      <w:pPr>
        <w:tabs>
          <w:tab w:val="right" w:pos="8730"/>
        </w:tabs>
        <w:adjustRightInd w:val="0"/>
        <w:snapToGrid w:val="0"/>
        <w:spacing w:line="440" w:lineRule="exact"/>
        <w:ind w:firstLine="520" w:firstLineChars="200"/>
        <w:rPr>
          <w:rFonts w:ascii="Arial" w:hAnsi="Arial" w:cs="Arial"/>
          <w:sz w:val="26"/>
          <w:szCs w:val="26"/>
        </w:rPr>
      </w:pPr>
      <w:r>
        <w:rPr>
          <w:rFonts w:ascii="Arial" w:cs="Arial"/>
          <w:sz w:val="26"/>
          <w:szCs w:val="26"/>
        </w:rPr>
        <w:t>营运期本工程管理人员</w:t>
      </w:r>
      <w:r>
        <w:rPr>
          <w:rFonts w:hint="eastAsia" w:ascii="Arial" w:cs="Arial"/>
          <w:sz w:val="26"/>
          <w:szCs w:val="26"/>
        </w:rPr>
        <w:t>共计</w:t>
      </w:r>
      <w:r>
        <w:rPr>
          <w:rFonts w:hint="eastAsia" w:ascii="Arial" w:hAnsi="Arial" w:cs="Arial"/>
          <w:sz w:val="26"/>
          <w:szCs w:val="26"/>
          <w:lang w:val="en-US" w:eastAsia="zh-CN"/>
        </w:rPr>
        <w:t>4</w:t>
      </w:r>
      <w:r>
        <w:rPr>
          <w:rFonts w:ascii="Arial" w:cs="Arial"/>
          <w:sz w:val="26"/>
          <w:szCs w:val="26"/>
        </w:rPr>
        <w:t>人，主要负责水库管理，工程运行、工程维修及水费征收</w:t>
      </w:r>
      <w:r>
        <w:rPr>
          <w:rFonts w:hint="eastAsia" w:ascii="Arial" w:cs="Arial"/>
          <w:sz w:val="26"/>
          <w:szCs w:val="26"/>
          <w:lang w:val="en-US" w:eastAsia="zh-CN"/>
        </w:rPr>
        <w:t>。</w:t>
      </w:r>
      <w:r>
        <w:rPr>
          <w:rFonts w:ascii="Arial" w:cs="Arial"/>
          <w:sz w:val="26"/>
          <w:szCs w:val="26"/>
        </w:rPr>
        <w:t>每人每天用水量按</w:t>
      </w:r>
      <w:r>
        <w:rPr>
          <w:rFonts w:ascii="Arial" w:hAnsi="Arial" w:cs="Arial"/>
          <w:sz w:val="26"/>
          <w:szCs w:val="26"/>
        </w:rPr>
        <w:t>1</w:t>
      </w:r>
      <w:r>
        <w:rPr>
          <w:rFonts w:hint="eastAsia" w:ascii="Arial" w:hAnsi="Arial" w:cs="Arial"/>
          <w:sz w:val="26"/>
          <w:szCs w:val="26"/>
        </w:rPr>
        <w:t>5</w:t>
      </w:r>
      <w:r>
        <w:rPr>
          <w:rFonts w:ascii="Arial" w:hAnsi="Arial" w:cs="Arial"/>
          <w:sz w:val="26"/>
          <w:szCs w:val="26"/>
        </w:rPr>
        <w:t>0L</w:t>
      </w:r>
      <w:r>
        <w:rPr>
          <w:rFonts w:ascii="Arial" w:cs="Arial"/>
          <w:sz w:val="26"/>
          <w:szCs w:val="26"/>
        </w:rPr>
        <w:t>计，则</w:t>
      </w:r>
      <w:r>
        <w:rPr>
          <w:rFonts w:ascii="Arial" w:cs="Arial"/>
          <w:snapToGrid w:val="0"/>
          <w:sz w:val="26"/>
          <w:szCs w:val="26"/>
        </w:rPr>
        <w:t>生活用水量约</w:t>
      </w:r>
      <w:r>
        <w:rPr>
          <w:rFonts w:hint="eastAsia" w:ascii="Arial" w:hAnsi="Arial" w:cs="Arial"/>
          <w:snapToGrid w:val="0"/>
          <w:sz w:val="26"/>
          <w:szCs w:val="26"/>
          <w:lang w:val="en-US" w:eastAsia="zh-CN"/>
        </w:rPr>
        <w:t>0.6</w:t>
      </w:r>
      <w:r>
        <w:rPr>
          <w:rFonts w:ascii="Arial" w:hAnsi="Arial" w:cs="Arial"/>
          <w:snapToGrid w:val="0"/>
          <w:sz w:val="26"/>
          <w:szCs w:val="26"/>
        </w:rPr>
        <w:t>m</w:t>
      </w:r>
      <w:r>
        <w:rPr>
          <w:rFonts w:ascii="Arial" w:hAnsi="Arial" w:cs="Arial"/>
          <w:snapToGrid w:val="0"/>
          <w:sz w:val="26"/>
          <w:szCs w:val="26"/>
          <w:vertAlign w:val="superscript"/>
        </w:rPr>
        <w:t>3</w:t>
      </w:r>
      <w:r>
        <w:rPr>
          <w:rFonts w:ascii="Arial" w:hAnsi="Arial" w:cs="Arial"/>
          <w:snapToGrid w:val="0"/>
          <w:sz w:val="26"/>
          <w:szCs w:val="26"/>
        </w:rPr>
        <w:t>/d</w:t>
      </w:r>
      <w:r>
        <w:rPr>
          <w:rFonts w:ascii="Arial" w:cs="Arial"/>
          <w:snapToGrid w:val="0"/>
          <w:sz w:val="26"/>
          <w:szCs w:val="26"/>
        </w:rPr>
        <w:t>，</w:t>
      </w:r>
      <w:r>
        <w:rPr>
          <w:rFonts w:ascii="Arial" w:hAnsi="Arial" w:cs="Arial"/>
          <w:snapToGrid w:val="0"/>
          <w:sz w:val="26"/>
          <w:szCs w:val="26"/>
        </w:rPr>
        <w:t>排污系数取0.9，则生活污水产生量为</w:t>
      </w:r>
      <w:r>
        <w:rPr>
          <w:rFonts w:hint="eastAsia" w:ascii="Arial" w:hAnsi="Arial" w:cs="Arial"/>
          <w:snapToGrid w:val="0"/>
          <w:sz w:val="26"/>
          <w:szCs w:val="26"/>
          <w:lang w:val="en-US" w:eastAsia="zh-CN"/>
        </w:rPr>
        <w:t>0.54</w:t>
      </w:r>
      <w:r>
        <w:rPr>
          <w:rFonts w:ascii="Arial" w:hAnsi="Arial" w:cs="Arial"/>
          <w:snapToGrid w:val="0"/>
          <w:sz w:val="26"/>
          <w:szCs w:val="26"/>
        </w:rPr>
        <w:t>m</w:t>
      </w:r>
      <w:r>
        <w:rPr>
          <w:rFonts w:ascii="Arial" w:hAnsi="Arial" w:cs="Arial"/>
          <w:snapToGrid w:val="0"/>
          <w:sz w:val="26"/>
          <w:szCs w:val="26"/>
          <w:vertAlign w:val="superscript"/>
        </w:rPr>
        <w:t>3</w:t>
      </w:r>
      <w:r>
        <w:rPr>
          <w:rFonts w:ascii="Arial" w:hAnsi="Arial" w:cs="Arial"/>
          <w:snapToGrid w:val="0"/>
          <w:sz w:val="26"/>
          <w:szCs w:val="26"/>
        </w:rPr>
        <w:t>/d，</w:t>
      </w:r>
      <w:r>
        <w:rPr>
          <w:rFonts w:ascii="Arial" w:cs="Arial"/>
          <w:snapToGrid w:val="0"/>
          <w:sz w:val="26"/>
          <w:szCs w:val="26"/>
        </w:rPr>
        <w:t>主要污染物为</w:t>
      </w:r>
      <w:r>
        <w:rPr>
          <w:rFonts w:ascii="Arial" w:hAnsi="Arial" w:cs="Arial"/>
          <w:snapToGrid w:val="0"/>
          <w:sz w:val="26"/>
          <w:szCs w:val="26"/>
        </w:rPr>
        <w:t>COD</w:t>
      </w:r>
      <w:r>
        <w:rPr>
          <w:rFonts w:ascii="Arial" w:cs="Arial"/>
          <w:snapToGrid w:val="0"/>
          <w:sz w:val="26"/>
          <w:szCs w:val="26"/>
        </w:rPr>
        <w:t>、</w:t>
      </w:r>
      <w:r>
        <w:rPr>
          <w:rFonts w:ascii="Arial" w:hAnsi="Arial" w:cs="Arial"/>
          <w:snapToGrid w:val="0"/>
          <w:sz w:val="26"/>
          <w:szCs w:val="26"/>
        </w:rPr>
        <w:t>BOD</w:t>
      </w:r>
      <w:r>
        <w:rPr>
          <w:rFonts w:ascii="Arial" w:hAnsi="Arial" w:cs="Arial"/>
          <w:snapToGrid w:val="0"/>
          <w:sz w:val="26"/>
          <w:szCs w:val="26"/>
          <w:vertAlign w:val="subscript"/>
        </w:rPr>
        <w:t>5</w:t>
      </w:r>
      <w:r>
        <w:rPr>
          <w:rFonts w:ascii="Arial" w:cs="Arial"/>
          <w:snapToGrid w:val="0"/>
          <w:sz w:val="26"/>
          <w:szCs w:val="26"/>
        </w:rPr>
        <w:t>、</w:t>
      </w:r>
      <w:r>
        <w:rPr>
          <w:rFonts w:ascii="Arial" w:hAnsi="Arial" w:cs="Arial"/>
          <w:snapToGrid w:val="0"/>
          <w:sz w:val="26"/>
          <w:szCs w:val="26"/>
        </w:rPr>
        <w:t>SS</w:t>
      </w:r>
      <w:r>
        <w:rPr>
          <w:rFonts w:ascii="Arial" w:cs="Arial"/>
          <w:snapToGrid w:val="0"/>
          <w:sz w:val="26"/>
          <w:szCs w:val="26"/>
        </w:rPr>
        <w:t>、</w:t>
      </w:r>
      <w:r>
        <w:rPr>
          <w:rFonts w:ascii="Arial" w:hAnsi="Arial" w:cs="Arial"/>
          <w:snapToGrid w:val="0"/>
          <w:sz w:val="26"/>
          <w:szCs w:val="26"/>
        </w:rPr>
        <w:t>NH</w:t>
      </w:r>
      <w:r>
        <w:rPr>
          <w:rFonts w:ascii="Arial" w:hAnsi="Arial" w:cs="Arial"/>
          <w:snapToGrid w:val="0"/>
          <w:sz w:val="26"/>
          <w:szCs w:val="26"/>
          <w:vertAlign w:val="subscript"/>
        </w:rPr>
        <w:t>3</w:t>
      </w:r>
      <w:r>
        <w:rPr>
          <w:rFonts w:ascii="Arial" w:hAnsi="Arial" w:cs="Arial"/>
          <w:snapToGrid w:val="0"/>
          <w:sz w:val="26"/>
          <w:szCs w:val="26"/>
        </w:rPr>
        <w:t>-N</w:t>
      </w:r>
      <w:r>
        <w:rPr>
          <w:rFonts w:ascii="Arial" w:cs="Arial"/>
          <w:snapToGrid w:val="0"/>
          <w:sz w:val="26"/>
          <w:szCs w:val="26"/>
        </w:rPr>
        <w:t>，浓度</w:t>
      </w:r>
      <w:r>
        <w:rPr>
          <w:rFonts w:hint="eastAsia" w:ascii="Arial" w:cs="Arial"/>
          <w:snapToGrid w:val="0"/>
          <w:sz w:val="26"/>
          <w:szCs w:val="26"/>
          <w:lang w:eastAsia="zh-CN"/>
        </w:rPr>
        <w:t>分别约</w:t>
      </w:r>
      <w:r>
        <w:rPr>
          <w:rFonts w:ascii="Arial" w:hAnsi="Arial" w:cs="Arial"/>
          <w:snapToGrid w:val="0"/>
          <w:sz w:val="26"/>
          <w:szCs w:val="26"/>
        </w:rPr>
        <w:t>450mg/L</w:t>
      </w:r>
      <w:r>
        <w:rPr>
          <w:rFonts w:ascii="Arial" w:cs="Arial"/>
          <w:snapToGrid w:val="0"/>
          <w:sz w:val="26"/>
          <w:szCs w:val="26"/>
        </w:rPr>
        <w:t>、</w:t>
      </w:r>
      <w:r>
        <w:rPr>
          <w:rFonts w:ascii="Arial" w:hAnsi="Arial" w:cs="Arial"/>
          <w:snapToGrid w:val="0"/>
          <w:sz w:val="26"/>
          <w:szCs w:val="26"/>
        </w:rPr>
        <w:t>550mg/L</w:t>
      </w:r>
      <w:r>
        <w:rPr>
          <w:rFonts w:ascii="Arial" w:cs="Arial"/>
          <w:snapToGrid w:val="0"/>
          <w:sz w:val="26"/>
          <w:szCs w:val="26"/>
        </w:rPr>
        <w:t>、</w:t>
      </w:r>
      <w:r>
        <w:rPr>
          <w:rFonts w:ascii="Arial" w:hAnsi="Arial" w:cs="Arial"/>
          <w:snapToGrid w:val="0"/>
          <w:sz w:val="26"/>
          <w:szCs w:val="26"/>
        </w:rPr>
        <w:t>250mg/L</w:t>
      </w:r>
      <w:r>
        <w:rPr>
          <w:rFonts w:ascii="Arial" w:cs="Arial"/>
          <w:snapToGrid w:val="0"/>
          <w:sz w:val="26"/>
          <w:szCs w:val="26"/>
        </w:rPr>
        <w:t>、</w:t>
      </w:r>
      <w:r>
        <w:rPr>
          <w:rFonts w:ascii="Arial" w:hAnsi="Arial" w:cs="Arial"/>
          <w:snapToGrid w:val="0"/>
          <w:sz w:val="26"/>
          <w:szCs w:val="26"/>
        </w:rPr>
        <w:t>30mg/L</w:t>
      </w:r>
      <w:r>
        <w:rPr>
          <w:rFonts w:ascii="Arial" w:cs="Arial"/>
          <w:snapToGrid w:val="0"/>
          <w:sz w:val="26"/>
          <w:szCs w:val="26"/>
        </w:rPr>
        <w:t>。</w:t>
      </w:r>
      <w:r>
        <w:rPr>
          <w:rFonts w:ascii="Arial" w:cs="Arial"/>
          <w:sz w:val="26"/>
          <w:szCs w:val="26"/>
        </w:rPr>
        <w:t>水库管理</w:t>
      </w:r>
      <w:r>
        <w:rPr>
          <w:rFonts w:hint="eastAsia" w:ascii="Arial" w:cs="Arial"/>
          <w:sz w:val="26"/>
          <w:szCs w:val="26"/>
          <w:lang w:eastAsia="zh-CN"/>
        </w:rPr>
        <w:t>房</w:t>
      </w:r>
      <w:r>
        <w:rPr>
          <w:rFonts w:ascii="Arial" w:cs="Arial"/>
          <w:sz w:val="26"/>
          <w:szCs w:val="26"/>
        </w:rPr>
        <w:t>设</w:t>
      </w:r>
      <w:r>
        <w:rPr>
          <w:rFonts w:ascii="Arial" w:hAnsi="Arial" w:cs="Arial"/>
          <w:sz w:val="26"/>
          <w:szCs w:val="26"/>
        </w:rPr>
        <w:t>1</w:t>
      </w:r>
      <w:r>
        <w:rPr>
          <w:rFonts w:ascii="Arial" w:cs="Arial"/>
          <w:sz w:val="26"/>
          <w:szCs w:val="26"/>
        </w:rPr>
        <w:t>座</w:t>
      </w:r>
      <w:r>
        <w:rPr>
          <w:rFonts w:hint="eastAsia" w:ascii="Arial" w:cs="Arial"/>
          <w:sz w:val="26"/>
          <w:szCs w:val="26"/>
        </w:rPr>
        <w:t>化粪池</w:t>
      </w:r>
      <w:r>
        <w:rPr>
          <w:rFonts w:ascii="Arial" w:cs="Arial"/>
          <w:sz w:val="26"/>
          <w:szCs w:val="26"/>
        </w:rPr>
        <w:t>，生活污水经</w:t>
      </w:r>
      <w:r>
        <w:rPr>
          <w:rFonts w:hint="eastAsia" w:ascii="Arial" w:cs="Arial"/>
          <w:sz w:val="26"/>
          <w:szCs w:val="26"/>
        </w:rPr>
        <w:t>化粪池</w:t>
      </w:r>
      <w:r>
        <w:rPr>
          <w:rFonts w:ascii="Arial" w:cs="Arial"/>
          <w:sz w:val="26"/>
          <w:szCs w:val="26"/>
        </w:rPr>
        <w:t>统一收集</w:t>
      </w:r>
      <w:r>
        <w:rPr>
          <w:rFonts w:hint="eastAsia" w:ascii="Arial" w:cs="Arial"/>
          <w:sz w:val="26"/>
          <w:szCs w:val="26"/>
        </w:rPr>
        <w:t>，交附近居民</w:t>
      </w:r>
      <w:r>
        <w:rPr>
          <w:rFonts w:hint="eastAsia" w:ascii="Arial" w:cs="Arial"/>
          <w:sz w:val="26"/>
          <w:szCs w:val="26"/>
          <w:lang w:eastAsia="zh-CN"/>
        </w:rPr>
        <w:t>作农肥</w:t>
      </w:r>
      <w:r>
        <w:rPr>
          <w:rFonts w:hint="eastAsia" w:ascii="Arial" w:cs="Arial"/>
          <w:sz w:val="26"/>
          <w:szCs w:val="26"/>
        </w:rPr>
        <w:t>，不外排</w:t>
      </w:r>
      <w:r>
        <w:rPr>
          <w:rFonts w:ascii="Arial" w:cs="Arial"/>
          <w:sz w:val="26"/>
          <w:szCs w:val="26"/>
        </w:rPr>
        <w:t>。</w:t>
      </w:r>
    </w:p>
    <w:p w14:paraId="296E07A2">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cs="Arial"/>
          <w:bCs/>
          <w:color w:val="auto"/>
          <w:sz w:val="26"/>
          <w:szCs w:val="26"/>
        </w:rPr>
      </w:pPr>
      <w:r>
        <w:rPr>
          <w:rFonts w:hint="eastAsia" w:ascii="Arial" w:hAnsi="宋体" w:cs="Arial"/>
          <w:bCs/>
          <w:sz w:val="26"/>
          <w:szCs w:val="26"/>
        </w:rPr>
        <w:t>根据调查，</w:t>
      </w:r>
      <w:r>
        <w:rPr>
          <w:rFonts w:hint="eastAsia" w:ascii="Arial" w:hAnsi="宋体" w:cs="Arial"/>
          <w:bCs/>
          <w:sz w:val="26"/>
          <w:szCs w:val="26"/>
          <w:lang w:eastAsia="zh-CN"/>
        </w:rPr>
        <w:t>海螺沟水库向双龙社区所供生活用水产生的污废水，经双龙镇污水处理厂集中深度处理达标后，进入双龙河；向回龙场村所供生活用水产生的污废水，主要由各农村居民家自建旱厕收集处理后，循序用作农肥，未直接进入河道。海螺沟水库灌区主要分布在双龙社区、回龙场村，</w:t>
      </w:r>
      <w:r>
        <w:rPr>
          <w:rFonts w:hint="eastAsia" w:ascii="Arial" w:hAnsi="Arial" w:cs="Arial"/>
          <w:sz w:val="26"/>
          <w:szCs w:val="26"/>
        </w:rPr>
        <w:t>为流域退水主要来源，</w:t>
      </w:r>
      <w:r>
        <w:rPr>
          <w:rFonts w:hint="eastAsia" w:ascii="Arial" w:hAnsi="宋体" w:cs="Arial"/>
          <w:bCs/>
          <w:sz w:val="26"/>
          <w:szCs w:val="26"/>
        </w:rPr>
        <w:t>灌溉回归水主要来源于管道输水损失、田间渗漏以及作物成熟期的落干排水。根据相关资料，灌溉回归水按灌溉水量的</w:t>
      </w:r>
      <w:r>
        <w:rPr>
          <w:rFonts w:ascii="Arial" w:hAnsi="宋体" w:cs="Arial"/>
          <w:bCs/>
          <w:sz w:val="26"/>
          <w:szCs w:val="26"/>
        </w:rPr>
        <w:t>25%</w:t>
      </w:r>
      <w:r>
        <w:rPr>
          <w:rFonts w:hint="eastAsia" w:ascii="Arial" w:hAnsi="宋体" w:cs="Arial"/>
          <w:bCs/>
          <w:sz w:val="26"/>
          <w:szCs w:val="26"/>
        </w:rPr>
        <w:t>计，则多年平均回归水量为</w:t>
      </w:r>
      <w:r>
        <w:rPr>
          <w:rFonts w:hint="eastAsia" w:ascii="Arial" w:hAnsi="宋体" w:cs="Arial"/>
          <w:bCs/>
          <w:sz w:val="26"/>
          <w:szCs w:val="26"/>
          <w:lang w:val="en-US" w:eastAsia="zh-CN"/>
        </w:rPr>
        <w:t>14.375</w:t>
      </w:r>
      <w:r>
        <w:rPr>
          <w:rFonts w:hint="eastAsia" w:ascii="Arial" w:hAnsi="宋体" w:cs="Arial"/>
          <w:bCs/>
          <w:sz w:val="26"/>
          <w:szCs w:val="26"/>
        </w:rPr>
        <w:t>万</w:t>
      </w:r>
      <w:r>
        <w:rPr>
          <w:rFonts w:ascii="Arial" w:hAnsi="宋体" w:cs="Arial"/>
          <w:bCs/>
          <w:color w:val="auto"/>
          <w:sz w:val="26"/>
          <w:szCs w:val="26"/>
        </w:rPr>
        <w:t>m</w:t>
      </w:r>
      <w:r>
        <w:rPr>
          <w:rFonts w:hint="eastAsia" w:ascii="Arial" w:hAnsi="宋体" w:cs="Arial"/>
          <w:bCs/>
          <w:color w:val="auto"/>
          <w:sz w:val="26"/>
          <w:szCs w:val="26"/>
          <w:vertAlign w:val="superscript"/>
        </w:rPr>
        <w:t>3</w:t>
      </w:r>
      <w:r>
        <w:rPr>
          <w:rFonts w:hint="eastAsia" w:ascii="Arial" w:hAnsi="宋体" w:cs="Arial"/>
          <w:bCs/>
          <w:color w:val="auto"/>
          <w:sz w:val="26"/>
          <w:szCs w:val="26"/>
        </w:rPr>
        <w:t>，灌区退水进入</w:t>
      </w:r>
      <w:r>
        <w:rPr>
          <w:rFonts w:hint="eastAsia" w:ascii="Arial" w:hAnsi="宋体" w:cs="Arial"/>
          <w:bCs/>
          <w:color w:val="auto"/>
          <w:sz w:val="26"/>
          <w:szCs w:val="26"/>
          <w:lang w:eastAsia="zh-CN"/>
        </w:rPr>
        <w:t>海螺沟</w:t>
      </w:r>
      <w:r>
        <w:rPr>
          <w:rFonts w:hint="eastAsia" w:ascii="Arial" w:hAnsi="宋体" w:cs="Arial"/>
          <w:bCs/>
          <w:color w:val="auto"/>
          <w:sz w:val="26"/>
          <w:szCs w:val="26"/>
        </w:rPr>
        <w:t>水库坝后减水河段</w:t>
      </w:r>
      <w:r>
        <w:rPr>
          <w:rFonts w:hint="eastAsia" w:ascii="Arial" w:hAnsi="宋体" w:cs="Arial"/>
          <w:bCs/>
          <w:color w:val="auto"/>
          <w:sz w:val="26"/>
          <w:szCs w:val="26"/>
          <w:lang w:eastAsia="zh-CN"/>
        </w:rPr>
        <w:t>及高洞桥河河段</w:t>
      </w:r>
      <w:r>
        <w:rPr>
          <w:rFonts w:hint="eastAsia" w:ascii="Arial" w:hAnsi="宋体" w:cs="Arial"/>
          <w:bCs/>
          <w:color w:val="auto"/>
          <w:sz w:val="26"/>
          <w:szCs w:val="26"/>
        </w:rPr>
        <w:t>内。</w:t>
      </w:r>
      <w:r>
        <w:rPr>
          <w:rFonts w:hint="eastAsia" w:ascii="Arial" w:hAnsi="宋体" w:cs="Arial"/>
          <w:bCs/>
          <w:sz w:val="26"/>
          <w:szCs w:val="26"/>
        </w:rPr>
        <w:t>由于田间施肥及使用农药，使灌溉水中含总氮、总磷等化肥成分及其它农药成分，从而随回归水带入河道，直接排入河道可能对下游河段水质产生不利影响。</w:t>
      </w:r>
    </w:p>
    <w:p w14:paraId="34175998">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宋体" w:eastAsia="宋体" w:cs="Arial"/>
          <w:bCs/>
          <w:sz w:val="26"/>
          <w:szCs w:val="26"/>
          <w:lang w:eastAsia="zh-CN"/>
        </w:rPr>
      </w:pPr>
      <w:r>
        <w:rPr>
          <w:rFonts w:hint="eastAsia" w:ascii="Arial" w:hAnsi="Arial" w:cs="Arial"/>
          <w:b/>
          <w:bCs w:val="0"/>
          <w:color w:val="auto"/>
          <w:sz w:val="26"/>
          <w:szCs w:val="26"/>
          <w:lang w:val="en-US" w:eastAsia="zh-CN"/>
        </w:rPr>
        <w:t>3.2.2废气</w:t>
      </w:r>
    </w:p>
    <w:p w14:paraId="0549C187">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宋体" w:cs="Arial"/>
          <w:bCs/>
          <w:sz w:val="26"/>
          <w:szCs w:val="26"/>
        </w:rPr>
      </w:pPr>
      <w:r>
        <w:rPr>
          <w:rFonts w:hint="eastAsia"/>
          <w:sz w:val="26"/>
          <w:szCs w:val="26"/>
        </w:rPr>
        <w:t>项目营运期间，工作人员生活用能源采用电能和液化石油天然气，属于清洁能源，产生的大气污染物极少，对环境空气影响较小。</w:t>
      </w:r>
      <w:r>
        <w:rPr>
          <w:rFonts w:hint="eastAsia"/>
          <w:sz w:val="26"/>
          <w:szCs w:val="26"/>
          <w:lang w:eastAsia="zh-CN"/>
        </w:rPr>
        <w:t>职工</w:t>
      </w:r>
      <w:r>
        <w:rPr>
          <w:rFonts w:hint="eastAsia"/>
          <w:sz w:val="26"/>
          <w:szCs w:val="26"/>
        </w:rPr>
        <w:t>食堂</w:t>
      </w:r>
      <w:r>
        <w:rPr>
          <w:rFonts w:hint="eastAsia"/>
          <w:sz w:val="26"/>
          <w:szCs w:val="26"/>
          <w:lang w:eastAsia="zh-CN"/>
        </w:rPr>
        <w:t>仅提供</w:t>
      </w:r>
      <w:r>
        <w:rPr>
          <w:rFonts w:hint="eastAsia"/>
          <w:sz w:val="26"/>
          <w:szCs w:val="26"/>
          <w:lang w:val="en-US" w:eastAsia="zh-CN"/>
        </w:rPr>
        <w:t>4人的工作餐，</w:t>
      </w:r>
      <w:r>
        <w:rPr>
          <w:rFonts w:hint="eastAsia"/>
          <w:sz w:val="26"/>
          <w:szCs w:val="26"/>
        </w:rPr>
        <w:t>产生的油烟</w:t>
      </w:r>
      <w:r>
        <w:rPr>
          <w:rFonts w:hint="eastAsia"/>
          <w:sz w:val="26"/>
          <w:szCs w:val="26"/>
          <w:lang w:eastAsia="zh-CN"/>
        </w:rPr>
        <w:t>量少，引至超屋顶排放</w:t>
      </w:r>
      <w:r>
        <w:rPr>
          <w:rFonts w:hint="eastAsia"/>
          <w:sz w:val="26"/>
          <w:szCs w:val="26"/>
        </w:rPr>
        <w:t>。</w:t>
      </w:r>
    </w:p>
    <w:p w14:paraId="6AF06BFB">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宋体" w:eastAsia="宋体" w:cs="Arial"/>
          <w:bCs/>
          <w:sz w:val="26"/>
          <w:szCs w:val="26"/>
          <w:lang w:eastAsia="zh-CN"/>
        </w:rPr>
      </w:pPr>
      <w:r>
        <w:rPr>
          <w:rFonts w:hint="eastAsia" w:ascii="Arial" w:hAnsi="Arial" w:cs="Arial"/>
          <w:b/>
          <w:bCs w:val="0"/>
          <w:color w:val="auto"/>
          <w:sz w:val="26"/>
          <w:szCs w:val="26"/>
          <w:lang w:val="en-US" w:eastAsia="zh-CN"/>
        </w:rPr>
        <w:t>3.2.3固体废物</w:t>
      </w:r>
    </w:p>
    <w:p w14:paraId="1CCE52B9">
      <w:pPr>
        <w:spacing w:line="440" w:lineRule="exact"/>
        <w:ind w:firstLine="520" w:firstLineChars="200"/>
        <w:rPr>
          <w:rFonts w:ascii="Arial" w:hAnsi="Arial" w:cs="Arial"/>
          <w:sz w:val="26"/>
          <w:szCs w:val="26"/>
        </w:rPr>
      </w:pPr>
      <w:r>
        <w:rPr>
          <w:rFonts w:ascii="Arial" w:cs="Arial"/>
          <w:sz w:val="26"/>
          <w:szCs w:val="26"/>
        </w:rPr>
        <w:t>营运期固体废物以管理人员生活垃圾、餐厨垃圾和库内漂浮物为主。</w:t>
      </w:r>
    </w:p>
    <w:p w14:paraId="00D823DC">
      <w:pPr>
        <w:spacing w:line="440" w:lineRule="exact"/>
        <w:ind w:firstLine="520" w:firstLineChars="200"/>
        <w:rPr>
          <w:rFonts w:ascii="Arial" w:hAnsi="Arial" w:cs="Arial"/>
          <w:sz w:val="26"/>
          <w:szCs w:val="26"/>
        </w:rPr>
      </w:pPr>
      <w:r>
        <w:rPr>
          <w:rFonts w:ascii="Arial" w:cs="Arial"/>
          <w:sz w:val="26"/>
          <w:szCs w:val="26"/>
        </w:rPr>
        <w:t>生活垃圾、餐厨垃圾产生量</w:t>
      </w:r>
      <w:r>
        <w:rPr>
          <w:rFonts w:hint="eastAsia" w:ascii="Arial" w:cs="Arial"/>
          <w:sz w:val="26"/>
          <w:szCs w:val="26"/>
        </w:rPr>
        <w:t>分别</w:t>
      </w:r>
      <w:r>
        <w:rPr>
          <w:rFonts w:ascii="Arial" w:cs="Arial"/>
          <w:sz w:val="26"/>
          <w:szCs w:val="26"/>
        </w:rPr>
        <w:t>按</w:t>
      </w:r>
      <w:r>
        <w:rPr>
          <w:rFonts w:ascii="Arial" w:hAnsi="Arial" w:cs="Arial"/>
          <w:sz w:val="26"/>
          <w:szCs w:val="26"/>
        </w:rPr>
        <w:t>0.5kg/</w:t>
      </w:r>
      <w:r>
        <w:rPr>
          <w:rFonts w:ascii="Arial" w:cs="Arial"/>
          <w:sz w:val="26"/>
          <w:szCs w:val="26"/>
        </w:rPr>
        <w:t>人</w:t>
      </w:r>
      <w:r>
        <w:rPr>
          <w:rFonts w:ascii="Arial" w:hAnsi="Arial" w:cs="Arial"/>
          <w:sz w:val="26"/>
          <w:szCs w:val="26"/>
        </w:rPr>
        <w:t>·d</w:t>
      </w:r>
      <w:r>
        <w:rPr>
          <w:rFonts w:hint="eastAsia" w:ascii="Arial" w:hAnsi="Arial" w:cs="Arial"/>
          <w:sz w:val="26"/>
          <w:szCs w:val="26"/>
        </w:rPr>
        <w:t>、</w:t>
      </w:r>
      <w:r>
        <w:rPr>
          <w:rFonts w:ascii="Arial" w:hAnsi="Arial" w:cs="Arial"/>
          <w:sz w:val="26"/>
          <w:szCs w:val="26"/>
        </w:rPr>
        <w:t>0.</w:t>
      </w:r>
      <w:r>
        <w:rPr>
          <w:rFonts w:hint="eastAsia" w:ascii="Arial" w:hAnsi="Arial" w:cs="Arial"/>
          <w:sz w:val="26"/>
          <w:szCs w:val="26"/>
        </w:rPr>
        <w:t>2</w:t>
      </w:r>
      <w:r>
        <w:rPr>
          <w:rFonts w:ascii="Arial" w:hAnsi="Arial" w:cs="Arial"/>
          <w:sz w:val="26"/>
          <w:szCs w:val="26"/>
        </w:rPr>
        <w:t>kg/</w:t>
      </w:r>
      <w:r>
        <w:rPr>
          <w:rFonts w:ascii="Arial" w:cs="Arial"/>
          <w:sz w:val="26"/>
          <w:szCs w:val="26"/>
        </w:rPr>
        <w:t>人</w:t>
      </w:r>
      <w:r>
        <w:rPr>
          <w:rFonts w:ascii="Arial" w:hAnsi="Arial" w:cs="Arial"/>
          <w:sz w:val="26"/>
          <w:szCs w:val="26"/>
        </w:rPr>
        <w:t>·d</w:t>
      </w:r>
      <w:r>
        <w:rPr>
          <w:rFonts w:ascii="Arial" w:cs="Arial"/>
          <w:sz w:val="26"/>
          <w:szCs w:val="26"/>
        </w:rPr>
        <w:t>计，则产生量</w:t>
      </w:r>
      <w:r>
        <w:rPr>
          <w:rFonts w:hint="eastAsia" w:ascii="Arial" w:cs="Arial"/>
          <w:sz w:val="26"/>
          <w:szCs w:val="26"/>
        </w:rPr>
        <w:t>分别</w:t>
      </w:r>
      <w:r>
        <w:rPr>
          <w:rFonts w:ascii="Arial" w:cs="Arial"/>
          <w:sz w:val="26"/>
          <w:szCs w:val="26"/>
        </w:rPr>
        <w:t>为</w:t>
      </w:r>
      <w:r>
        <w:rPr>
          <w:rFonts w:hint="eastAsia" w:ascii="Arial" w:hAnsi="Arial" w:cs="Arial"/>
          <w:sz w:val="26"/>
          <w:szCs w:val="26"/>
          <w:lang w:val="en-US" w:eastAsia="zh-CN"/>
        </w:rPr>
        <w:t>2</w:t>
      </w:r>
      <w:r>
        <w:rPr>
          <w:rFonts w:ascii="Arial" w:hAnsi="Arial" w:cs="Arial"/>
          <w:sz w:val="26"/>
          <w:szCs w:val="26"/>
        </w:rPr>
        <w:t>kg/d</w:t>
      </w:r>
      <w:r>
        <w:rPr>
          <w:rFonts w:hint="eastAsia" w:ascii="Arial" w:hAnsi="Arial" w:cs="Arial"/>
          <w:sz w:val="26"/>
          <w:szCs w:val="26"/>
        </w:rPr>
        <w:t>（</w:t>
      </w:r>
      <w:r>
        <w:rPr>
          <w:rFonts w:hint="eastAsia" w:ascii="Arial" w:hAnsi="Arial" w:cs="Arial"/>
          <w:sz w:val="26"/>
          <w:szCs w:val="26"/>
          <w:lang w:val="en-US" w:eastAsia="zh-CN"/>
        </w:rPr>
        <w:t>0.73</w:t>
      </w:r>
      <w:r>
        <w:rPr>
          <w:rFonts w:ascii="Arial" w:hAnsi="Arial" w:cs="Arial"/>
          <w:sz w:val="26"/>
          <w:szCs w:val="26"/>
        </w:rPr>
        <w:t>t/a</w:t>
      </w:r>
      <w:r>
        <w:rPr>
          <w:rFonts w:hint="eastAsia" w:ascii="Arial" w:hAnsi="Arial" w:cs="Arial"/>
          <w:sz w:val="26"/>
          <w:szCs w:val="26"/>
        </w:rPr>
        <w:t>）</w:t>
      </w:r>
      <w:r>
        <w:rPr>
          <w:rFonts w:ascii="Arial" w:cs="Arial"/>
          <w:sz w:val="26"/>
          <w:szCs w:val="26"/>
        </w:rPr>
        <w:t>、</w:t>
      </w:r>
      <w:r>
        <w:rPr>
          <w:rFonts w:hint="eastAsia" w:ascii="Arial" w:hAnsi="Arial" w:cs="Arial"/>
          <w:sz w:val="26"/>
          <w:szCs w:val="26"/>
          <w:lang w:val="en-US" w:eastAsia="zh-CN"/>
        </w:rPr>
        <w:t>0.8</w:t>
      </w:r>
      <w:r>
        <w:rPr>
          <w:rFonts w:ascii="Arial" w:hAnsi="Arial" w:cs="Arial"/>
          <w:sz w:val="26"/>
          <w:szCs w:val="26"/>
        </w:rPr>
        <w:t>kg/d</w:t>
      </w:r>
      <w:r>
        <w:rPr>
          <w:rFonts w:hint="eastAsia" w:ascii="Arial" w:hAnsi="Arial" w:cs="Arial"/>
          <w:sz w:val="26"/>
          <w:szCs w:val="26"/>
        </w:rPr>
        <w:t>（</w:t>
      </w:r>
      <w:r>
        <w:rPr>
          <w:rFonts w:hint="eastAsia" w:ascii="Arial" w:hAnsi="Arial" w:cs="Arial"/>
          <w:sz w:val="26"/>
          <w:szCs w:val="26"/>
          <w:lang w:val="en-US" w:eastAsia="zh-CN"/>
        </w:rPr>
        <w:t>0.292</w:t>
      </w:r>
      <w:r>
        <w:rPr>
          <w:rFonts w:ascii="Arial" w:hAnsi="Arial" w:cs="Arial"/>
          <w:sz w:val="26"/>
          <w:szCs w:val="26"/>
        </w:rPr>
        <w:t>t/a</w:t>
      </w:r>
      <w:r>
        <w:rPr>
          <w:rFonts w:hint="eastAsia" w:ascii="Arial" w:hAnsi="Arial" w:cs="Arial"/>
          <w:sz w:val="26"/>
          <w:szCs w:val="26"/>
        </w:rPr>
        <w:t>）</w:t>
      </w:r>
      <w:r>
        <w:rPr>
          <w:rFonts w:ascii="Arial" w:cs="Arial"/>
          <w:sz w:val="26"/>
          <w:szCs w:val="26"/>
        </w:rPr>
        <w:t>。库区内漂浮物主要以木、草为主，产生量约为</w:t>
      </w:r>
      <w:r>
        <w:rPr>
          <w:rFonts w:hint="eastAsia" w:ascii="Arial" w:hAnsi="Arial" w:cs="Arial"/>
          <w:sz w:val="26"/>
          <w:szCs w:val="26"/>
          <w:lang w:val="en-US" w:eastAsia="zh-CN"/>
        </w:rPr>
        <w:t>18</w:t>
      </w:r>
      <w:r>
        <w:rPr>
          <w:rFonts w:ascii="Arial" w:hAnsi="Arial" w:cs="Arial"/>
          <w:sz w:val="26"/>
          <w:szCs w:val="26"/>
        </w:rPr>
        <w:t>0t/a</w:t>
      </w:r>
      <w:r>
        <w:rPr>
          <w:rFonts w:ascii="Arial" w:cs="Arial"/>
          <w:sz w:val="26"/>
          <w:szCs w:val="26"/>
        </w:rPr>
        <w:t>。</w:t>
      </w:r>
    </w:p>
    <w:p w14:paraId="405C9AE8">
      <w:pPr>
        <w:spacing w:line="440" w:lineRule="exact"/>
        <w:ind w:firstLine="520" w:firstLineChars="200"/>
        <w:rPr>
          <w:rFonts w:ascii="Arial" w:hAnsi="Arial" w:cs="Arial"/>
          <w:sz w:val="26"/>
          <w:szCs w:val="26"/>
        </w:rPr>
      </w:pPr>
      <w:r>
        <w:rPr>
          <w:rFonts w:ascii="Arial" w:cs="Arial"/>
          <w:sz w:val="26"/>
          <w:szCs w:val="26"/>
        </w:rPr>
        <w:t>生活垃圾</w:t>
      </w:r>
      <w:r>
        <w:rPr>
          <w:rFonts w:hint="eastAsia" w:ascii="Arial" w:cs="Arial"/>
          <w:sz w:val="26"/>
          <w:szCs w:val="26"/>
        </w:rPr>
        <w:t>集中收集后，交当地环卫部门统一清运处置；餐厨垃圾桶装收集后，交有资质单位清运处置；</w:t>
      </w:r>
      <w:r>
        <w:rPr>
          <w:rFonts w:ascii="Arial" w:cs="Arial"/>
          <w:sz w:val="26"/>
          <w:szCs w:val="26"/>
        </w:rPr>
        <w:t>打捞出的漂浮物</w:t>
      </w:r>
      <w:r>
        <w:rPr>
          <w:rFonts w:hint="eastAsia" w:ascii="Arial" w:cs="Arial"/>
          <w:sz w:val="26"/>
          <w:szCs w:val="26"/>
        </w:rPr>
        <w:t>交当地环卫部门统一清运处置</w:t>
      </w:r>
      <w:r>
        <w:rPr>
          <w:rFonts w:ascii="Arial" w:cs="Arial"/>
          <w:sz w:val="26"/>
          <w:szCs w:val="26"/>
        </w:rPr>
        <w:t>。</w:t>
      </w:r>
    </w:p>
    <w:p w14:paraId="356D4B23">
      <w:pPr>
        <w:keepNext w:val="0"/>
        <w:keepLines w:val="0"/>
        <w:pageBreakBefore w:val="0"/>
        <w:widowControl w:val="0"/>
        <w:kinsoku/>
        <w:wordWrap/>
        <w:overflowPunct/>
        <w:topLinePunct w:val="0"/>
        <w:autoSpaceDE/>
        <w:autoSpaceDN/>
        <w:bidi w:val="0"/>
        <w:adjustRightInd/>
        <w:snapToGrid/>
        <w:spacing w:line="440" w:lineRule="exact"/>
        <w:ind w:firstLine="522" w:firstLineChars="200"/>
        <w:textAlignment w:val="auto"/>
        <w:rPr>
          <w:rFonts w:hint="eastAsia" w:ascii="Arial" w:hAnsi="Arial" w:cs="Arial"/>
          <w:b/>
          <w:bCs/>
          <w:sz w:val="26"/>
          <w:szCs w:val="26"/>
        </w:rPr>
      </w:pPr>
      <w:r>
        <w:rPr>
          <w:rFonts w:hint="eastAsia" w:ascii="Arial" w:hAnsi="宋体" w:cs="Arial"/>
          <w:b/>
          <w:bCs/>
          <w:sz w:val="26"/>
          <w:szCs w:val="26"/>
          <w:lang w:val="en-US" w:eastAsia="zh-CN"/>
        </w:rPr>
        <w:t>3.2.4</w:t>
      </w:r>
      <w:r>
        <w:rPr>
          <w:rFonts w:hint="eastAsia" w:ascii="Arial" w:hAnsi="Arial" w:cs="Arial"/>
          <w:b/>
          <w:bCs/>
          <w:sz w:val="26"/>
          <w:szCs w:val="26"/>
        </w:rPr>
        <w:t>噪声</w:t>
      </w:r>
    </w:p>
    <w:p w14:paraId="7DDDE66D">
      <w:pPr>
        <w:spacing w:line="440" w:lineRule="exact"/>
        <w:ind w:firstLine="520" w:firstLineChars="200"/>
        <w:rPr>
          <w:rFonts w:hint="eastAsia" w:ascii="Arial" w:hAnsi="Arial" w:eastAsia="宋体" w:cs="Arial"/>
          <w:bCs/>
          <w:sz w:val="26"/>
          <w:szCs w:val="26"/>
          <w:lang w:eastAsia="zh-CN"/>
        </w:rPr>
      </w:pPr>
      <w:r>
        <w:rPr>
          <w:rFonts w:ascii="Arial" w:hAnsi="Arial" w:cs="Arial"/>
          <w:bCs/>
          <w:sz w:val="26"/>
          <w:szCs w:val="26"/>
        </w:rPr>
        <w:t>本项目营运期噪声主要来源于</w:t>
      </w:r>
      <w:r>
        <w:rPr>
          <w:rFonts w:hint="eastAsia" w:ascii="Arial" w:hAnsi="Arial" w:cs="Arial"/>
          <w:bCs/>
          <w:sz w:val="26"/>
          <w:szCs w:val="26"/>
          <w:lang w:eastAsia="zh-CN"/>
        </w:rPr>
        <w:t>闸阀房内设备运行、溢洪道泄洪、上坝道路运行等，闸阀房密闭设置，运行期环境噪声影响有限。对外交通与对内交通的车流量非常少，同时与周边住户距离较远，运行期车辆噪声对敏感点影响轻微。溢洪道泄流时声音较大，但仅在洪水季出现，影响持续时间不长， 且居民点距离较远，影响不大。</w:t>
      </w:r>
    </w:p>
    <w:p w14:paraId="42404D51">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宋体" w:eastAsia="宋体" w:cs="Arial"/>
          <w:bCs/>
          <w:sz w:val="26"/>
          <w:szCs w:val="26"/>
          <w:lang w:eastAsia="zh-CN"/>
        </w:rPr>
      </w:pPr>
      <w:r>
        <w:rPr>
          <w:rFonts w:hint="eastAsia" w:ascii="Arial" w:hAnsi="宋体" w:cs="Arial"/>
          <w:b/>
          <w:bCs/>
          <w:sz w:val="26"/>
          <w:szCs w:val="26"/>
          <w:lang w:val="en-US" w:eastAsia="zh-CN"/>
        </w:rPr>
        <w:t>3.2.5</w:t>
      </w:r>
      <w:r>
        <w:rPr>
          <w:rFonts w:hint="eastAsia" w:ascii="Arial" w:hAnsi="Arial" w:cs="Arial"/>
          <w:b/>
          <w:bCs/>
          <w:sz w:val="26"/>
          <w:szCs w:val="26"/>
          <w:lang w:eastAsia="zh-CN"/>
        </w:rPr>
        <w:t>生态环境</w:t>
      </w:r>
    </w:p>
    <w:p w14:paraId="7B5BD126">
      <w:pPr>
        <w:spacing w:line="440" w:lineRule="exact"/>
        <w:ind w:firstLine="392" w:firstLineChars="150"/>
        <w:rPr>
          <w:rFonts w:hint="eastAsia" w:ascii="Arial" w:hAnsi="Arial" w:eastAsia="宋体" w:cs="Arial"/>
          <w:b/>
          <w:bCs/>
          <w:sz w:val="26"/>
          <w:szCs w:val="26"/>
          <w:lang w:eastAsia="zh-CN"/>
        </w:rPr>
      </w:pPr>
      <w:r>
        <w:rPr>
          <w:rFonts w:ascii="Arial" w:hAnsi="宋体" w:cs="Arial"/>
          <w:b/>
          <w:bCs/>
          <w:sz w:val="26"/>
          <w:szCs w:val="26"/>
        </w:rPr>
        <w:t>（</w:t>
      </w:r>
      <w:r>
        <w:rPr>
          <w:rFonts w:hint="eastAsia" w:ascii="Arial" w:hAnsi="Arial" w:cs="Arial"/>
          <w:b/>
          <w:bCs/>
          <w:sz w:val="26"/>
          <w:szCs w:val="26"/>
          <w:lang w:val="en-US" w:eastAsia="zh-CN"/>
        </w:rPr>
        <w:t>1</w:t>
      </w:r>
      <w:r>
        <w:rPr>
          <w:rFonts w:ascii="Arial" w:hAnsi="宋体" w:cs="Arial"/>
          <w:b/>
          <w:bCs/>
          <w:sz w:val="26"/>
          <w:szCs w:val="26"/>
        </w:rPr>
        <w:t>）</w:t>
      </w:r>
      <w:r>
        <w:rPr>
          <w:rFonts w:hint="eastAsia" w:ascii="Arial" w:hAnsi="Arial" w:cs="Arial"/>
          <w:b/>
          <w:bCs/>
          <w:sz w:val="26"/>
          <w:szCs w:val="26"/>
          <w:lang w:eastAsia="zh-CN"/>
        </w:rPr>
        <w:t>水库蓄水</w:t>
      </w:r>
    </w:p>
    <w:p w14:paraId="6177D359">
      <w:pPr>
        <w:spacing w:line="440" w:lineRule="exact"/>
        <w:ind w:firstLine="520" w:firstLineChars="200"/>
        <w:rPr>
          <w:rFonts w:ascii="Arial" w:hAnsi="Arial" w:cs="Arial"/>
          <w:sz w:val="26"/>
          <w:szCs w:val="26"/>
        </w:rPr>
      </w:pPr>
      <w:r>
        <w:rPr>
          <w:rFonts w:ascii="Arial" w:cs="Arial"/>
          <w:sz w:val="26"/>
          <w:szCs w:val="26"/>
        </w:rPr>
        <w:t>水库蓄水淹没总面积</w:t>
      </w:r>
      <w:r>
        <w:rPr>
          <w:rFonts w:hint="eastAsia" w:ascii="Arial" w:hAnsi="Arial" w:cs="Arial"/>
          <w:sz w:val="26"/>
          <w:szCs w:val="26"/>
          <w:lang w:val="en-US" w:eastAsia="zh-CN"/>
        </w:rPr>
        <w:t>8.3026</w:t>
      </w:r>
      <w:r>
        <w:rPr>
          <w:rFonts w:ascii="Arial" w:hAnsi="Arial" w:cs="Arial"/>
          <w:sz w:val="26"/>
          <w:szCs w:val="26"/>
        </w:rPr>
        <w:t>hm</w:t>
      </w:r>
      <w:r>
        <w:rPr>
          <w:rFonts w:ascii="Arial" w:hAnsi="Arial" w:cs="Arial"/>
          <w:sz w:val="26"/>
          <w:szCs w:val="26"/>
          <w:vertAlign w:val="superscript"/>
        </w:rPr>
        <w:t>2</w:t>
      </w:r>
      <w:r>
        <w:rPr>
          <w:rFonts w:ascii="Arial" w:cs="Arial"/>
          <w:sz w:val="26"/>
          <w:szCs w:val="26"/>
        </w:rPr>
        <w:t>，</w:t>
      </w:r>
      <w:r>
        <w:rPr>
          <w:rFonts w:hint="eastAsia" w:ascii="Arial" w:cs="Arial"/>
          <w:sz w:val="26"/>
          <w:szCs w:val="26"/>
          <w:lang w:eastAsia="zh-CN"/>
        </w:rPr>
        <w:t>淹没区内主要为林地、耕地</w:t>
      </w:r>
      <w:r>
        <w:rPr>
          <w:rFonts w:ascii="Arial" w:cs="Arial"/>
          <w:sz w:val="26"/>
          <w:szCs w:val="26"/>
        </w:rPr>
        <w:t>，将一定程度减少项目建设区域内的植被生物量。</w:t>
      </w:r>
    </w:p>
    <w:p w14:paraId="400EC243">
      <w:pPr>
        <w:spacing w:line="440" w:lineRule="exact"/>
        <w:ind w:firstLine="520" w:firstLineChars="200"/>
        <w:rPr>
          <w:rFonts w:hint="eastAsia" w:ascii="Arial" w:cs="Arial"/>
          <w:sz w:val="26"/>
          <w:szCs w:val="26"/>
        </w:rPr>
      </w:pPr>
      <w:r>
        <w:rPr>
          <w:rFonts w:ascii="Arial" w:cs="Arial"/>
          <w:sz w:val="26"/>
          <w:szCs w:val="26"/>
        </w:rPr>
        <w:t>水库蓄水后，</w:t>
      </w:r>
      <w:r>
        <w:rPr>
          <w:rFonts w:hint="eastAsia" w:ascii="Arial" w:cs="Arial"/>
          <w:sz w:val="26"/>
          <w:szCs w:val="26"/>
        </w:rPr>
        <w:t>库区内水流变缓、水深增加、急流生境萎缩，河流的水动力学过程将发生较大的变化，水库库尾区域接近原天然河流，具有河流水文水动力学特征；坝前水域水深、面阔、水流缓，呈现湖泊水动力学特征；水库中间河段水域介于河流和湖泊之间，属于过渡段。水文情势的改变，将对库区内的水生生境、浮游动植物和底栖动物带来影响，</w:t>
      </w:r>
      <w:r>
        <w:rPr>
          <w:rFonts w:hint="eastAsia" w:ascii="Arial" w:hAnsi="Arial" w:cs="Arial"/>
          <w:bCs/>
          <w:sz w:val="26"/>
          <w:szCs w:val="26"/>
        </w:rPr>
        <w:t>生态系统中底栖动物群落组成将发生改变，原有生态食物链将被打破。</w:t>
      </w:r>
      <w:r>
        <w:rPr>
          <w:rFonts w:hint="eastAsia" w:ascii="Arial" w:cs="Arial"/>
          <w:sz w:val="26"/>
          <w:szCs w:val="26"/>
        </w:rPr>
        <w:t>且</w:t>
      </w:r>
      <w:r>
        <w:rPr>
          <w:rFonts w:ascii="Arial" w:cs="Arial"/>
          <w:sz w:val="26"/>
          <w:szCs w:val="26"/>
        </w:rPr>
        <w:t>当地下水位低于水库正常高水位时，如果岩层具有一定的透水性时，水库会发生渗漏，使地下水水位升高造成坝后浸没。水位升高还会导致次生盐渍化、砂土液化、地面不均匀沉降等问题。</w:t>
      </w:r>
    </w:p>
    <w:p w14:paraId="5F6748BA">
      <w:pPr>
        <w:spacing w:line="440" w:lineRule="exact"/>
        <w:ind w:firstLine="392" w:firstLineChars="150"/>
        <w:rPr>
          <w:rFonts w:hint="eastAsia" w:ascii="Arial" w:hAnsi="宋体" w:cs="Arial"/>
          <w:b/>
          <w:bCs/>
          <w:sz w:val="26"/>
          <w:szCs w:val="26"/>
        </w:rPr>
      </w:pPr>
      <w:r>
        <w:rPr>
          <w:rFonts w:hint="eastAsia" w:ascii="Arial" w:hAnsi="宋体" w:cs="Arial"/>
          <w:b/>
          <w:bCs/>
          <w:sz w:val="26"/>
          <w:szCs w:val="26"/>
          <w:lang w:eastAsia="zh-CN"/>
        </w:rPr>
        <w:t>（</w:t>
      </w:r>
      <w:r>
        <w:rPr>
          <w:rFonts w:hint="eastAsia" w:ascii="Arial" w:hAnsi="宋体" w:cs="Arial"/>
          <w:b/>
          <w:bCs/>
          <w:sz w:val="26"/>
          <w:szCs w:val="26"/>
          <w:lang w:val="en-US" w:eastAsia="zh-CN"/>
        </w:rPr>
        <w:t>2）</w:t>
      </w:r>
      <w:r>
        <w:rPr>
          <w:rFonts w:hint="eastAsia" w:ascii="Arial" w:hAnsi="宋体" w:cs="Arial"/>
          <w:b/>
          <w:bCs/>
          <w:sz w:val="26"/>
          <w:szCs w:val="26"/>
        </w:rPr>
        <w:t>大坝阻隔</w:t>
      </w:r>
    </w:p>
    <w:p w14:paraId="4ECBA0B8">
      <w:pPr>
        <w:spacing w:line="440" w:lineRule="exact"/>
        <w:ind w:firstLine="520" w:firstLineChars="200"/>
        <w:rPr>
          <w:rFonts w:ascii="Arial" w:cs="Arial"/>
          <w:sz w:val="26"/>
          <w:szCs w:val="26"/>
        </w:rPr>
      </w:pPr>
      <w:r>
        <w:rPr>
          <w:rFonts w:hint="eastAsia" w:ascii="Arial" w:cs="Arial"/>
          <w:sz w:val="26"/>
          <w:szCs w:val="26"/>
        </w:rPr>
        <w:t>水库库区形成后，库区水位明显增高，库内流速将明显减缓，水域环境从急流河道型转为缓流型。坝前、坝后水生生物生境的变化，将引起水生生物种类和分布的变化。</w:t>
      </w:r>
    </w:p>
    <w:p w14:paraId="6ACDA14A">
      <w:pPr>
        <w:spacing w:line="440" w:lineRule="exact"/>
        <w:ind w:firstLine="520" w:firstLineChars="200"/>
        <w:rPr>
          <w:rFonts w:ascii="Arial" w:cs="Arial"/>
          <w:sz w:val="26"/>
          <w:szCs w:val="26"/>
        </w:rPr>
      </w:pPr>
      <w:r>
        <w:rPr>
          <w:rFonts w:hint="eastAsia" w:ascii="Arial" w:cs="Arial"/>
          <w:sz w:val="26"/>
          <w:szCs w:val="26"/>
        </w:rPr>
        <w:t>水库通过修建拦河坝将河道中的水蓄入水库，以满足灌区灌溉用水、居民生活用水，由于拦河坝的修建，将导致坝下河道中的水量减小，形成坝后长约</w:t>
      </w:r>
      <w:r>
        <w:rPr>
          <w:rFonts w:hint="eastAsia" w:ascii="Arial" w:cs="Arial"/>
          <w:sz w:val="26"/>
          <w:szCs w:val="26"/>
          <w:lang w:val="en-US" w:eastAsia="zh-CN"/>
        </w:rPr>
        <w:t>1.54</w:t>
      </w:r>
      <w:r>
        <w:rPr>
          <w:rFonts w:ascii="Arial" w:cs="Arial"/>
          <w:sz w:val="26"/>
          <w:szCs w:val="26"/>
        </w:rPr>
        <w:t>km</w:t>
      </w:r>
      <w:r>
        <w:rPr>
          <w:rFonts w:hint="eastAsia" w:ascii="Arial" w:cs="Arial"/>
          <w:sz w:val="26"/>
          <w:szCs w:val="26"/>
        </w:rPr>
        <w:t>的减水河段。</w:t>
      </w:r>
    </w:p>
    <w:p w14:paraId="3FEEB68A">
      <w:pPr>
        <w:spacing w:line="440" w:lineRule="exact"/>
        <w:ind w:firstLine="520" w:firstLineChars="200"/>
        <w:rPr>
          <w:rFonts w:ascii="Arial" w:cs="Arial"/>
          <w:sz w:val="26"/>
          <w:szCs w:val="26"/>
        </w:rPr>
      </w:pPr>
      <w:r>
        <w:rPr>
          <w:rFonts w:hint="eastAsia" w:ascii="Arial" w:cs="Arial"/>
          <w:sz w:val="26"/>
          <w:szCs w:val="26"/>
        </w:rPr>
        <w:t>在水库正常运行期间，坝址以上入库的全部推移质及大部分悬移质泥沙均被拦蓄在水库内，改变了河道原始输沙能力和输沙量。</w:t>
      </w:r>
    </w:p>
    <w:p w14:paraId="7D918A57">
      <w:pPr>
        <w:spacing w:line="440" w:lineRule="exact"/>
        <w:ind w:firstLine="520" w:firstLineChars="200"/>
        <w:rPr>
          <w:rFonts w:ascii="Arial" w:cs="Arial"/>
          <w:sz w:val="26"/>
          <w:szCs w:val="26"/>
        </w:rPr>
      </w:pPr>
      <w:r>
        <w:rPr>
          <w:rFonts w:hint="eastAsia" w:ascii="Arial" w:cs="Arial"/>
          <w:sz w:val="26"/>
          <w:szCs w:val="26"/>
        </w:rPr>
        <w:t>水库蓄水后，水温作为表征热状况的一个水文要素将发生变化。水库的水温分布受太阳辐射、水库容积、入出库水量和水温、水库形状、水库调度运用方式等多种因素影响，库内水温可能因河水滞留而分层。</w:t>
      </w:r>
    </w:p>
    <w:p w14:paraId="252E1DE1">
      <w:pPr>
        <w:spacing w:line="440" w:lineRule="exact"/>
        <w:ind w:firstLine="392" w:firstLineChars="150"/>
        <w:rPr>
          <w:rFonts w:hint="eastAsia" w:ascii="Arial" w:hAnsi="宋体" w:cs="Arial"/>
          <w:b/>
          <w:bCs/>
          <w:sz w:val="26"/>
          <w:szCs w:val="26"/>
        </w:rPr>
      </w:pPr>
      <w:r>
        <w:rPr>
          <w:rFonts w:hint="eastAsia" w:ascii="Arial" w:hAnsi="宋体" w:cs="Arial"/>
          <w:b/>
          <w:bCs/>
          <w:sz w:val="26"/>
          <w:szCs w:val="26"/>
          <w:lang w:eastAsia="zh-CN"/>
        </w:rPr>
        <w:t>（</w:t>
      </w:r>
      <w:r>
        <w:rPr>
          <w:rFonts w:hint="eastAsia" w:ascii="Arial" w:hAnsi="宋体" w:cs="Arial"/>
          <w:b/>
          <w:bCs/>
          <w:sz w:val="26"/>
          <w:szCs w:val="26"/>
          <w:lang w:val="en-US" w:eastAsia="zh-CN"/>
        </w:rPr>
        <w:t>3）</w:t>
      </w:r>
      <w:r>
        <w:rPr>
          <w:rFonts w:hint="eastAsia" w:ascii="Arial" w:hAnsi="宋体" w:cs="Arial"/>
          <w:b/>
          <w:bCs/>
          <w:sz w:val="26"/>
          <w:szCs w:val="26"/>
        </w:rPr>
        <w:t>低温水下泄</w:t>
      </w:r>
    </w:p>
    <w:p w14:paraId="269E3659">
      <w:pPr>
        <w:spacing w:line="440" w:lineRule="exact"/>
        <w:ind w:firstLine="520" w:firstLineChars="200"/>
        <w:rPr>
          <w:rFonts w:hint="eastAsia" w:ascii="Arial" w:hAnsi="宋体" w:cs="Arial"/>
          <w:bCs/>
          <w:color w:val="auto"/>
          <w:sz w:val="26"/>
          <w:szCs w:val="26"/>
        </w:rPr>
      </w:pPr>
      <w:r>
        <w:rPr>
          <w:rFonts w:hint="eastAsia" w:ascii="Arial" w:hAnsi="宋体" w:cs="Arial"/>
          <w:bCs/>
          <w:color w:val="auto"/>
          <w:sz w:val="26"/>
          <w:szCs w:val="26"/>
        </w:rPr>
        <w:t>水库运行后，河流流动水体转变为流速缓慢的静水水体，由于水库具有</w:t>
      </w:r>
      <w:r>
        <w:rPr>
          <w:rFonts w:hint="eastAsia" w:ascii="Arial" w:hAnsi="宋体" w:cs="Arial"/>
          <w:bCs/>
          <w:color w:val="auto"/>
          <w:sz w:val="26"/>
          <w:szCs w:val="26"/>
          <w:lang w:eastAsia="zh-CN"/>
        </w:rPr>
        <w:t>多</w:t>
      </w:r>
      <w:r>
        <w:rPr>
          <w:rFonts w:hint="eastAsia" w:ascii="Arial" w:hAnsi="宋体" w:cs="Arial"/>
          <w:bCs/>
          <w:color w:val="auto"/>
          <w:sz w:val="26"/>
          <w:szCs w:val="26"/>
        </w:rPr>
        <w:t>年调节特性，蓄水后可能出现水温分层现象，水越深，温度越低，若直接输送、下泄最底层低温水有可能对灌区农作物的生长、坝后减水段内水生生态环境造成不利影响。</w:t>
      </w:r>
    </w:p>
    <w:p w14:paraId="507BEB46">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宋体" w:eastAsia="宋体" w:cs="Arial"/>
          <w:b/>
          <w:bCs/>
          <w:sz w:val="26"/>
          <w:szCs w:val="26"/>
          <w:lang w:val="en-US" w:eastAsia="zh-CN"/>
        </w:rPr>
      </w:pPr>
      <w:r>
        <w:rPr>
          <w:rFonts w:hint="eastAsia" w:ascii="Arial" w:hAnsi="宋体" w:eastAsia="宋体" w:cs="Arial"/>
          <w:b/>
          <w:bCs/>
          <w:sz w:val="26"/>
          <w:szCs w:val="26"/>
          <w:lang w:val="en-US" w:eastAsia="zh-CN"/>
        </w:rPr>
        <w:t>3.2.6水文情势</w:t>
      </w:r>
    </w:p>
    <w:p w14:paraId="28BCD931">
      <w:pPr>
        <w:spacing w:line="440" w:lineRule="exact"/>
        <w:ind w:firstLine="520" w:firstLineChars="200"/>
        <w:rPr>
          <w:rFonts w:hint="eastAsia" w:ascii="Arial" w:hAnsi="宋体" w:cs="Arial"/>
          <w:bCs/>
          <w:sz w:val="26"/>
          <w:szCs w:val="26"/>
        </w:rPr>
      </w:pPr>
      <w:r>
        <w:rPr>
          <w:rFonts w:hint="eastAsia" w:ascii="Arial" w:hAnsi="宋体" w:cs="Arial"/>
          <w:bCs/>
          <w:sz w:val="26"/>
          <w:szCs w:val="26"/>
          <w:lang w:eastAsia="zh-CN"/>
        </w:rPr>
        <w:t>海螺沟</w:t>
      </w:r>
      <w:r>
        <w:rPr>
          <w:rFonts w:hint="eastAsia" w:ascii="Arial" w:hAnsi="宋体" w:cs="Arial"/>
          <w:bCs/>
          <w:sz w:val="26"/>
          <w:szCs w:val="26"/>
        </w:rPr>
        <w:t>水库营运期正常蓄水位为</w:t>
      </w:r>
      <w:r>
        <w:rPr>
          <w:rFonts w:hint="eastAsia" w:ascii="Arial" w:hAnsi="宋体" w:cs="Arial"/>
          <w:bCs/>
          <w:sz w:val="26"/>
          <w:szCs w:val="26"/>
          <w:lang w:val="en-US" w:eastAsia="zh-CN"/>
        </w:rPr>
        <w:t>420</w:t>
      </w:r>
      <w:r>
        <w:rPr>
          <w:rFonts w:hint="eastAsia" w:ascii="Arial" w:hAnsi="宋体" w:cs="Arial"/>
          <w:bCs/>
          <w:sz w:val="26"/>
          <w:szCs w:val="26"/>
        </w:rPr>
        <w:t>m，水库回水长度为</w:t>
      </w:r>
      <w:r>
        <w:rPr>
          <w:rFonts w:hint="eastAsia" w:ascii="Arial" w:hAnsi="宋体" w:cs="Arial"/>
          <w:bCs/>
          <w:sz w:val="26"/>
          <w:szCs w:val="26"/>
          <w:lang w:val="en-US" w:eastAsia="zh-CN"/>
        </w:rPr>
        <w:t>0.55</w:t>
      </w:r>
      <w:r>
        <w:rPr>
          <w:rFonts w:hint="eastAsia" w:ascii="Arial" w:hAnsi="宋体" w:cs="Arial"/>
          <w:bCs/>
          <w:sz w:val="26"/>
          <w:szCs w:val="26"/>
        </w:rPr>
        <w:t>km，库区水深较天然状态下显著增加，且自上而下水深逐渐加深。库区水流将由流水河流转变为静水水库水体，将形成</w:t>
      </w:r>
      <w:r>
        <w:rPr>
          <w:rFonts w:hint="eastAsia" w:ascii="Arial" w:hAnsi="宋体" w:cs="Arial"/>
          <w:bCs/>
          <w:sz w:val="26"/>
          <w:szCs w:val="26"/>
          <w:lang w:val="en-US" w:eastAsia="zh-CN"/>
        </w:rPr>
        <w:t>8.3028h</w:t>
      </w:r>
      <w:r>
        <w:rPr>
          <w:rFonts w:hint="eastAsia" w:ascii="Arial" w:hAnsi="宋体" w:cs="Arial"/>
          <w:bCs/>
          <w:sz w:val="26"/>
          <w:szCs w:val="26"/>
        </w:rPr>
        <w:t>m</w:t>
      </w:r>
      <w:r>
        <w:rPr>
          <w:rFonts w:hint="eastAsia" w:ascii="Arial" w:hAnsi="宋体" w:cs="Arial"/>
          <w:bCs/>
          <w:sz w:val="26"/>
          <w:szCs w:val="26"/>
          <w:vertAlign w:val="superscript"/>
        </w:rPr>
        <w:t>2</w:t>
      </w:r>
      <w:r>
        <w:rPr>
          <w:rFonts w:hint="eastAsia" w:ascii="Arial" w:hAnsi="宋体" w:cs="Arial"/>
          <w:bCs/>
          <w:sz w:val="26"/>
          <w:szCs w:val="26"/>
        </w:rPr>
        <w:t>的库区水面，库区水面面积增大，水深增加，流速变缓，库区流速整体上将呈自上而下流速逐渐减小的趋势。刘家河水库属于年调节水库，在水位年内将具有一定的变化幅度，使得在库尾处一定范围的河段内将出现一定长度的消落区。</w:t>
      </w:r>
    </w:p>
    <w:p w14:paraId="6DA96581">
      <w:pPr>
        <w:keepNext w:val="0"/>
        <w:keepLines w:val="0"/>
        <w:pageBreakBefore w:val="0"/>
        <w:widowControl w:val="0"/>
        <w:kinsoku/>
        <w:wordWrap/>
        <w:overflowPunct/>
        <w:topLinePunct w:val="0"/>
        <w:autoSpaceDE/>
        <w:autoSpaceDN/>
        <w:bidi w:val="0"/>
        <w:adjustRightInd/>
        <w:snapToGrid/>
        <w:spacing w:line="460" w:lineRule="exact"/>
        <w:ind w:left="0" w:right="0" w:firstLine="522" w:firstLineChars="200"/>
        <w:jc w:val="both"/>
        <w:textAlignment w:val="auto"/>
        <w:rPr>
          <w:rFonts w:hint="eastAsia" w:ascii="Arial" w:hAnsi="宋体" w:eastAsia="宋体" w:cs="Arial"/>
          <w:b/>
          <w:bCs/>
          <w:sz w:val="26"/>
          <w:szCs w:val="26"/>
          <w:lang w:val="en-US" w:eastAsia="zh-CN"/>
        </w:rPr>
      </w:pPr>
      <w:r>
        <w:rPr>
          <w:rFonts w:hint="eastAsia" w:ascii="Arial" w:hAnsi="宋体" w:eastAsia="宋体" w:cs="Arial"/>
          <w:b/>
          <w:bCs/>
          <w:sz w:val="26"/>
          <w:szCs w:val="26"/>
          <w:lang w:val="en-US" w:eastAsia="zh-CN"/>
        </w:rPr>
        <w:t>3.2.7小结</w:t>
      </w:r>
    </w:p>
    <w:p w14:paraId="6760EAA2">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宋体" w:cs="Arial"/>
          <w:bCs/>
          <w:sz w:val="26"/>
          <w:szCs w:val="26"/>
        </w:rPr>
      </w:pPr>
      <w:r>
        <w:rPr>
          <w:rFonts w:hint="eastAsia" w:ascii="Arial" w:hAnsi="宋体" w:cs="Arial"/>
          <w:bCs/>
          <w:sz w:val="26"/>
          <w:szCs w:val="26"/>
        </w:rPr>
        <w:t>本工程</w:t>
      </w:r>
      <w:r>
        <w:rPr>
          <w:rFonts w:hint="eastAsia" w:ascii="Arial" w:hAnsi="宋体" w:cs="Arial"/>
          <w:bCs/>
          <w:sz w:val="26"/>
          <w:szCs w:val="26"/>
          <w:lang w:eastAsia="zh-CN"/>
        </w:rPr>
        <w:t>运营期</w:t>
      </w:r>
      <w:r>
        <w:rPr>
          <w:rFonts w:hint="eastAsia" w:ascii="Arial" w:hAnsi="宋体" w:cs="Arial"/>
          <w:bCs/>
          <w:sz w:val="26"/>
          <w:szCs w:val="26"/>
        </w:rPr>
        <w:t>的污染源及污染物产生和排放情况见表</w:t>
      </w:r>
      <w:r>
        <w:rPr>
          <w:rFonts w:ascii="Arial" w:hAnsi="宋体" w:cs="Arial"/>
          <w:bCs/>
          <w:sz w:val="26"/>
          <w:szCs w:val="26"/>
        </w:rPr>
        <w:t>3.</w:t>
      </w:r>
      <w:r>
        <w:rPr>
          <w:rFonts w:hint="eastAsia" w:ascii="Arial" w:hAnsi="宋体" w:cs="Arial"/>
          <w:bCs/>
          <w:sz w:val="26"/>
          <w:szCs w:val="26"/>
          <w:lang w:val="en-US" w:eastAsia="zh-CN"/>
        </w:rPr>
        <w:t>2</w:t>
      </w:r>
      <w:r>
        <w:rPr>
          <w:rFonts w:ascii="Arial" w:hAnsi="宋体" w:cs="Arial"/>
          <w:bCs/>
          <w:sz w:val="26"/>
          <w:szCs w:val="26"/>
        </w:rPr>
        <w:t>-</w:t>
      </w:r>
      <w:r>
        <w:rPr>
          <w:rFonts w:hint="eastAsia" w:ascii="Arial" w:hAnsi="宋体" w:cs="Arial"/>
          <w:bCs/>
          <w:sz w:val="26"/>
          <w:szCs w:val="26"/>
          <w:lang w:val="en-US" w:eastAsia="zh-CN"/>
        </w:rPr>
        <w:t>1所示，生态环境影响因素详见表3.2-2所设。</w:t>
      </w:r>
    </w:p>
    <w:p w14:paraId="61C29477">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宋体" w:cs="Arial"/>
          <w:bCs/>
          <w:sz w:val="26"/>
          <w:szCs w:val="26"/>
        </w:rPr>
      </w:pPr>
    </w:p>
    <w:p w14:paraId="6D0852E3">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宋体" w:cs="Arial"/>
          <w:bCs/>
          <w:sz w:val="26"/>
          <w:szCs w:val="26"/>
        </w:rPr>
        <w:sectPr>
          <w:pgSz w:w="12240" w:h="15840"/>
          <w:pgMar w:top="1440" w:right="1701" w:bottom="1440" w:left="1701" w:header="794" w:footer="794" w:gutter="0"/>
          <w:pgBorders>
            <w:top w:val="none" w:sz="0" w:space="0"/>
            <w:left w:val="none" w:sz="0" w:space="0"/>
            <w:bottom w:val="none" w:sz="0" w:space="0"/>
            <w:right w:val="none" w:sz="0" w:space="0"/>
          </w:pgBorders>
          <w:pgNumType w:fmt="decimal"/>
          <w:cols w:space="0" w:num="1"/>
          <w:rtlGutter w:val="0"/>
          <w:docGrid w:linePitch="0" w:charSpace="0"/>
        </w:sectPr>
      </w:pPr>
    </w:p>
    <w:p w14:paraId="644C1EC0">
      <w:pPr>
        <w:spacing w:line="440" w:lineRule="exact"/>
        <w:jc w:val="center"/>
        <w:rPr>
          <w:rFonts w:hint="eastAsia" w:ascii="Arial" w:hAnsi="宋体" w:cs="Arial"/>
          <w:b/>
          <w:bCs/>
          <w:sz w:val="26"/>
          <w:szCs w:val="26"/>
        </w:rPr>
      </w:pPr>
      <w:r>
        <w:rPr>
          <w:rFonts w:hint="eastAsia" w:ascii="Arial" w:hAnsi="宋体" w:cs="Arial"/>
          <w:b/>
          <w:bCs/>
          <w:sz w:val="26"/>
          <w:szCs w:val="26"/>
        </w:rPr>
        <w:t>表3.</w:t>
      </w:r>
      <w:r>
        <w:rPr>
          <w:rFonts w:hint="eastAsia" w:ascii="Arial" w:hAnsi="宋体" w:cs="Arial"/>
          <w:b/>
          <w:bCs/>
          <w:sz w:val="26"/>
          <w:szCs w:val="26"/>
          <w:lang w:val="en-US" w:eastAsia="zh-CN"/>
        </w:rPr>
        <w:t>2</w:t>
      </w:r>
      <w:r>
        <w:rPr>
          <w:rFonts w:hint="eastAsia" w:ascii="Arial" w:hAnsi="宋体" w:cs="Arial"/>
          <w:b/>
          <w:bCs/>
          <w:sz w:val="26"/>
          <w:szCs w:val="26"/>
        </w:rPr>
        <w:t>-</w:t>
      </w:r>
      <w:r>
        <w:rPr>
          <w:rFonts w:hint="eastAsia" w:ascii="Arial" w:hAnsi="宋体" w:cs="Arial"/>
          <w:b/>
          <w:bCs/>
          <w:sz w:val="26"/>
          <w:szCs w:val="26"/>
          <w:lang w:val="en-US" w:eastAsia="zh-CN"/>
        </w:rPr>
        <w:t>1</w:t>
      </w:r>
      <w:r>
        <w:rPr>
          <w:rFonts w:hint="eastAsia" w:ascii="Arial" w:hAnsi="宋体" w:cs="Arial"/>
          <w:b/>
          <w:bCs/>
          <w:sz w:val="26"/>
          <w:szCs w:val="26"/>
        </w:rPr>
        <w:t xml:space="preserve"> 工程</w:t>
      </w:r>
      <w:r>
        <w:rPr>
          <w:rFonts w:hint="eastAsia" w:ascii="Arial" w:hAnsi="宋体" w:cs="Arial"/>
          <w:b/>
          <w:bCs/>
          <w:sz w:val="26"/>
          <w:szCs w:val="26"/>
          <w:lang w:eastAsia="zh-CN"/>
        </w:rPr>
        <w:t>运营期</w:t>
      </w:r>
      <w:r>
        <w:rPr>
          <w:rFonts w:hint="eastAsia" w:ascii="Arial" w:hAnsi="宋体" w:cs="Arial"/>
          <w:b/>
          <w:bCs/>
          <w:sz w:val="26"/>
          <w:szCs w:val="26"/>
        </w:rPr>
        <w:t>污染源及污染物</w:t>
      </w:r>
      <w:r>
        <w:rPr>
          <w:rFonts w:hint="eastAsia" w:ascii="Arial" w:hAnsi="宋体" w:cs="Arial"/>
          <w:b/>
          <w:bCs/>
          <w:sz w:val="26"/>
          <w:szCs w:val="26"/>
          <w:lang w:eastAsia="zh-CN"/>
        </w:rPr>
        <w:t>产排</w:t>
      </w:r>
      <w:r>
        <w:rPr>
          <w:rFonts w:hint="eastAsia" w:ascii="Arial" w:hAnsi="宋体" w:cs="Arial"/>
          <w:b/>
          <w:bCs/>
          <w:sz w:val="26"/>
          <w:szCs w:val="26"/>
        </w:rPr>
        <w:t>情况汇总表</w:t>
      </w:r>
    </w:p>
    <w:tbl>
      <w:tblPr>
        <w:tblStyle w:val="77"/>
        <w:tblW w:w="141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9"/>
        <w:gridCol w:w="592"/>
        <w:gridCol w:w="1235"/>
        <w:gridCol w:w="1325"/>
        <w:gridCol w:w="1035"/>
        <w:gridCol w:w="1187"/>
        <w:gridCol w:w="1364"/>
        <w:gridCol w:w="2226"/>
        <w:gridCol w:w="1275"/>
        <w:gridCol w:w="851"/>
        <w:gridCol w:w="1177"/>
        <w:gridCol w:w="1275"/>
      </w:tblGrid>
      <w:tr w14:paraId="04358E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201" w:type="dxa"/>
            <w:gridSpan w:val="2"/>
            <w:tcBorders>
              <w:top w:val="single" w:color="auto" w:sz="12" w:space="0"/>
              <w:left w:val="single" w:color="auto" w:sz="12" w:space="0"/>
              <w:bottom w:val="single" w:color="auto" w:sz="6" w:space="0"/>
              <w:right w:val="single" w:color="auto" w:sz="6" w:space="0"/>
            </w:tcBorders>
            <w:noWrap w:val="0"/>
            <w:vAlign w:val="center"/>
          </w:tcPr>
          <w:p w14:paraId="7C274FA8">
            <w:pPr>
              <w:pStyle w:val="946"/>
              <w:spacing w:line="300" w:lineRule="exact"/>
              <w:rPr>
                <w:rFonts w:ascii="Arial" w:hAnsi="Arial" w:cs="Arial"/>
                <w:sz w:val="22"/>
                <w:szCs w:val="22"/>
              </w:rPr>
            </w:pPr>
            <w:r>
              <w:rPr>
                <w:rFonts w:ascii="Arial" w:hAnsi="Arial" w:cs="Arial"/>
                <w:sz w:val="22"/>
                <w:szCs w:val="22"/>
              </w:rPr>
              <w:t>工程阶段</w:t>
            </w:r>
          </w:p>
        </w:tc>
        <w:tc>
          <w:tcPr>
            <w:tcW w:w="1235" w:type="dxa"/>
            <w:tcBorders>
              <w:top w:val="single" w:color="auto" w:sz="12" w:space="0"/>
              <w:left w:val="single" w:color="auto" w:sz="6" w:space="0"/>
              <w:bottom w:val="single" w:color="auto" w:sz="6" w:space="0"/>
              <w:right w:val="single" w:color="auto" w:sz="6" w:space="0"/>
            </w:tcBorders>
            <w:noWrap w:val="0"/>
            <w:vAlign w:val="center"/>
          </w:tcPr>
          <w:p w14:paraId="483B04D8">
            <w:pPr>
              <w:pStyle w:val="946"/>
              <w:spacing w:line="300" w:lineRule="exact"/>
              <w:rPr>
                <w:rFonts w:ascii="Arial" w:hAnsi="Arial" w:cs="Arial"/>
                <w:sz w:val="22"/>
                <w:szCs w:val="22"/>
              </w:rPr>
            </w:pPr>
            <w:r>
              <w:rPr>
                <w:rFonts w:ascii="Arial" w:hAnsi="Arial" w:cs="Arial"/>
                <w:sz w:val="22"/>
                <w:szCs w:val="22"/>
              </w:rPr>
              <w:t>污染源</w:t>
            </w:r>
          </w:p>
        </w:tc>
        <w:tc>
          <w:tcPr>
            <w:tcW w:w="1325" w:type="dxa"/>
            <w:tcBorders>
              <w:top w:val="single" w:color="auto" w:sz="12" w:space="0"/>
              <w:left w:val="single" w:color="auto" w:sz="6" w:space="0"/>
              <w:bottom w:val="single" w:color="auto" w:sz="6" w:space="0"/>
              <w:right w:val="single" w:color="auto" w:sz="6" w:space="0"/>
            </w:tcBorders>
            <w:noWrap w:val="0"/>
            <w:vAlign w:val="center"/>
          </w:tcPr>
          <w:p w14:paraId="352C8079">
            <w:pPr>
              <w:pStyle w:val="946"/>
              <w:spacing w:line="300" w:lineRule="exact"/>
              <w:rPr>
                <w:rFonts w:ascii="Arial" w:hAnsi="Arial" w:cs="Arial"/>
                <w:sz w:val="22"/>
                <w:szCs w:val="22"/>
              </w:rPr>
            </w:pPr>
            <w:r>
              <w:rPr>
                <w:rFonts w:ascii="Arial" w:hAnsi="Arial" w:cs="Arial"/>
                <w:sz w:val="22"/>
                <w:szCs w:val="22"/>
              </w:rPr>
              <w:t>产生量</w:t>
            </w:r>
          </w:p>
        </w:tc>
        <w:tc>
          <w:tcPr>
            <w:tcW w:w="1035" w:type="dxa"/>
            <w:tcBorders>
              <w:top w:val="single" w:color="auto" w:sz="12" w:space="0"/>
              <w:left w:val="single" w:color="auto" w:sz="6" w:space="0"/>
              <w:bottom w:val="single" w:color="auto" w:sz="6" w:space="0"/>
              <w:right w:val="single" w:color="auto" w:sz="6" w:space="0"/>
            </w:tcBorders>
            <w:noWrap w:val="0"/>
            <w:vAlign w:val="center"/>
          </w:tcPr>
          <w:p w14:paraId="3D4E2F69">
            <w:pPr>
              <w:pStyle w:val="946"/>
              <w:spacing w:line="300" w:lineRule="exact"/>
              <w:rPr>
                <w:rFonts w:ascii="Arial" w:hAnsi="Arial" w:cs="Arial"/>
                <w:sz w:val="22"/>
                <w:szCs w:val="22"/>
              </w:rPr>
            </w:pPr>
            <w:r>
              <w:rPr>
                <w:rFonts w:ascii="Arial" w:hAnsi="Arial" w:cs="Arial"/>
                <w:sz w:val="22"/>
                <w:szCs w:val="22"/>
              </w:rPr>
              <w:t>污染物</w:t>
            </w:r>
          </w:p>
        </w:tc>
        <w:tc>
          <w:tcPr>
            <w:tcW w:w="1187" w:type="dxa"/>
            <w:tcBorders>
              <w:top w:val="single" w:color="auto" w:sz="12" w:space="0"/>
              <w:left w:val="single" w:color="auto" w:sz="6" w:space="0"/>
              <w:bottom w:val="single" w:color="auto" w:sz="6" w:space="0"/>
              <w:right w:val="single" w:color="auto" w:sz="6" w:space="0"/>
            </w:tcBorders>
            <w:noWrap w:val="0"/>
            <w:vAlign w:val="center"/>
          </w:tcPr>
          <w:p w14:paraId="11F67C13">
            <w:pPr>
              <w:pStyle w:val="946"/>
              <w:spacing w:line="300" w:lineRule="exact"/>
              <w:rPr>
                <w:rFonts w:ascii="Arial" w:hAnsi="Arial" w:cs="Arial"/>
                <w:sz w:val="22"/>
                <w:szCs w:val="22"/>
              </w:rPr>
            </w:pPr>
            <w:r>
              <w:rPr>
                <w:rFonts w:ascii="Arial" w:hAnsi="Arial" w:cs="Arial"/>
                <w:sz w:val="22"/>
                <w:szCs w:val="22"/>
              </w:rPr>
              <w:t>产生浓度</w:t>
            </w:r>
          </w:p>
        </w:tc>
        <w:tc>
          <w:tcPr>
            <w:tcW w:w="1364" w:type="dxa"/>
            <w:tcBorders>
              <w:top w:val="single" w:color="auto" w:sz="12" w:space="0"/>
              <w:left w:val="single" w:color="auto" w:sz="6" w:space="0"/>
              <w:bottom w:val="single" w:color="auto" w:sz="6" w:space="0"/>
              <w:right w:val="single" w:color="auto" w:sz="6" w:space="0"/>
            </w:tcBorders>
            <w:noWrap w:val="0"/>
            <w:vAlign w:val="center"/>
          </w:tcPr>
          <w:p w14:paraId="0FEC292E">
            <w:pPr>
              <w:pStyle w:val="946"/>
              <w:spacing w:line="300" w:lineRule="exact"/>
              <w:rPr>
                <w:rFonts w:ascii="Arial" w:hAnsi="Arial" w:cs="Arial"/>
                <w:sz w:val="22"/>
                <w:szCs w:val="22"/>
              </w:rPr>
            </w:pPr>
            <w:r>
              <w:rPr>
                <w:rFonts w:ascii="Arial" w:hAnsi="Arial" w:cs="Arial"/>
                <w:sz w:val="22"/>
                <w:szCs w:val="22"/>
              </w:rPr>
              <w:t>污染物</w:t>
            </w:r>
          </w:p>
          <w:p w14:paraId="6A91CB1E">
            <w:pPr>
              <w:pStyle w:val="946"/>
              <w:spacing w:line="300" w:lineRule="exact"/>
              <w:rPr>
                <w:rFonts w:ascii="Arial" w:hAnsi="Arial" w:cs="Arial"/>
                <w:sz w:val="22"/>
                <w:szCs w:val="22"/>
              </w:rPr>
            </w:pPr>
            <w:r>
              <w:rPr>
                <w:rFonts w:ascii="Arial" w:hAnsi="Arial" w:cs="Arial"/>
                <w:sz w:val="22"/>
                <w:szCs w:val="22"/>
              </w:rPr>
              <w:t>产生量</w:t>
            </w:r>
          </w:p>
        </w:tc>
        <w:tc>
          <w:tcPr>
            <w:tcW w:w="2226" w:type="dxa"/>
            <w:tcBorders>
              <w:top w:val="single" w:color="auto" w:sz="12" w:space="0"/>
              <w:left w:val="single" w:color="auto" w:sz="6" w:space="0"/>
              <w:bottom w:val="single" w:color="auto" w:sz="6" w:space="0"/>
              <w:right w:val="single" w:color="auto" w:sz="6" w:space="0"/>
            </w:tcBorders>
            <w:noWrap w:val="0"/>
            <w:vAlign w:val="center"/>
          </w:tcPr>
          <w:p w14:paraId="2BC600B4">
            <w:pPr>
              <w:pStyle w:val="946"/>
              <w:spacing w:line="300" w:lineRule="exact"/>
              <w:rPr>
                <w:rFonts w:ascii="Arial" w:hAnsi="Arial" w:cs="Arial"/>
                <w:sz w:val="22"/>
                <w:szCs w:val="22"/>
              </w:rPr>
            </w:pPr>
            <w:r>
              <w:rPr>
                <w:rFonts w:ascii="Arial" w:hAnsi="Arial" w:cs="Arial"/>
                <w:sz w:val="22"/>
                <w:szCs w:val="22"/>
              </w:rPr>
              <w:t>环保措施</w:t>
            </w:r>
          </w:p>
        </w:tc>
        <w:tc>
          <w:tcPr>
            <w:tcW w:w="1275" w:type="dxa"/>
            <w:tcBorders>
              <w:top w:val="single" w:color="auto" w:sz="12" w:space="0"/>
              <w:left w:val="single" w:color="auto" w:sz="6" w:space="0"/>
              <w:bottom w:val="single" w:color="auto" w:sz="6" w:space="0"/>
              <w:right w:val="single" w:color="auto" w:sz="6" w:space="0"/>
            </w:tcBorders>
            <w:noWrap w:val="0"/>
            <w:vAlign w:val="center"/>
          </w:tcPr>
          <w:p w14:paraId="7B5F13DA">
            <w:pPr>
              <w:pStyle w:val="946"/>
              <w:spacing w:line="300" w:lineRule="exact"/>
              <w:rPr>
                <w:rFonts w:ascii="Arial" w:hAnsi="Arial" w:cs="Arial"/>
                <w:sz w:val="22"/>
                <w:szCs w:val="22"/>
              </w:rPr>
            </w:pPr>
            <w:r>
              <w:rPr>
                <w:rFonts w:ascii="Arial" w:hAnsi="Arial" w:cs="Arial"/>
                <w:sz w:val="22"/>
                <w:szCs w:val="22"/>
              </w:rPr>
              <w:t>排放量</w:t>
            </w:r>
          </w:p>
        </w:tc>
        <w:tc>
          <w:tcPr>
            <w:tcW w:w="851" w:type="dxa"/>
            <w:tcBorders>
              <w:top w:val="single" w:color="auto" w:sz="12" w:space="0"/>
              <w:left w:val="single" w:color="auto" w:sz="6" w:space="0"/>
              <w:bottom w:val="single" w:color="auto" w:sz="6" w:space="0"/>
              <w:right w:val="single" w:color="auto" w:sz="6" w:space="0"/>
            </w:tcBorders>
            <w:noWrap w:val="0"/>
            <w:vAlign w:val="center"/>
          </w:tcPr>
          <w:p w14:paraId="30686BB6">
            <w:pPr>
              <w:pStyle w:val="946"/>
              <w:spacing w:line="300" w:lineRule="exact"/>
              <w:rPr>
                <w:rFonts w:hint="eastAsia" w:ascii="Arial" w:hAnsi="Arial" w:cs="Arial"/>
                <w:sz w:val="22"/>
                <w:szCs w:val="22"/>
                <w:lang w:eastAsia="zh-CN"/>
              </w:rPr>
            </w:pPr>
            <w:r>
              <w:rPr>
                <w:rFonts w:ascii="Arial" w:hAnsi="Arial" w:cs="Arial"/>
                <w:sz w:val="22"/>
                <w:szCs w:val="22"/>
              </w:rPr>
              <w:t>排放</w:t>
            </w:r>
          </w:p>
          <w:p w14:paraId="05F6B696">
            <w:pPr>
              <w:pStyle w:val="946"/>
              <w:spacing w:line="300" w:lineRule="exact"/>
              <w:rPr>
                <w:rFonts w:ascii="Arial" w:hAnsi="Arial" w:cs="Arial"/>
                <w:sz w:val="22"/>
                <w:szCs w:val="22"/>
              </w:rPr>
            </w:pPr>
            <w:r>
              <w:rPr>
                <w:rFonts w:ascii="Arial" w:hAnsi="Arial" w:cs="Arial"/>
                <w:sz w:val="22"/>
                <w:szCs w:val="22"/>
              </w:rPr>
              <w:t>浓度</w:t>
            </w:r>
          </w:p>
        </w:tc>
        <w:tc>
          <w:tcPr>
            <w:tcW w:w="1177" w:type="dxa"/>
            <w:tcBorders>
              <w:top w:val="single" w:color="auto" w:sz="12" w:space="0"/>
              <w:left w:val="single" w:color="auto" w:sz="6" w:space="0"/>
              <w:bottom w:val="single" w:color="auto" w:sz="6" w:space="0"/>
              <w:right w:val="single" w:color="auto" w:sz="6" w:space="0"/>
            </w:tcBorders>
            <w:noWrap w:val="0"/>
            <w:vAlign w:val="center"/>
          </w:tcPr>
          <w:p w14:paraId="1D4DD955">
            <w:pPr>
              <w:pStyle w:val="946"/>
              <w:spacing w:line="300" w:lineRule="exact"/>
              <w:rPr>
                <w:rFonts w:ascii="Arial" w:hAnsi="Arial" w:cs="Arial"/>
                <w:sz w:val="22"/>
                <w:szCs w:val="22"/>
              </w:rPr>
            </w:pPr>
            <w:r>
              <w:rPr>
                <w:rFonts w:ascii="Arial" w:hAnsi="Arial" w:cs="Arial"/>
                <w:sz w:val="22"/>
                <w:szCs w:val="22"/>
              </w:rPr>
              <w:t>污染物</w:t>
            </w:r>
          </w:p>
          <w:p w14:paraId="4F87BF2F">
            <w:pPr>
              <w:pStyle w:val="946"/>
              <w:spacing w:line="300" w:lineRule="exact"/>
              <w:rPr>
                <w:rFonts w:ascii="Arial" w:hAnsi="Arial" w:cs="Arial"/>
                <w:sz w:val="22"/>
                <w:szCs w:val="22"/>
              </w:rPr>
            </w:pPr>
            <w:r>
              <w:rPr>
                <w:rFonts w:ascii="Arial" w:hAnsi="Arial" w:cs="Arial"/>
                <w:sz w:val="22"/>
                <w:szCs w:val="22"/>
              </w:rPr>
              <w:t>排放量</w:t>
            </w:r>
          </w:p>
        </w:tc>
        <w:tc>
          <w:tcPr>
            <w:tcW w:w="1275" w:type="dxa"/>
            <w:tcBorders>
              <w:top w:val="single" w:color="auto" w:sz="12" w:space="0"/>
              <w:left w:val="single" w:color="auto" w:sz="6" w:space="0"/>
              <w:bottom w:val="single" w:color="auto" w:sz="6" w:space="0"/>
              <w:right w:val="single" w:color="auto" w:sz="12" w:space="0"/>
            </w:tcBorders>
            <w:noWrap w:val="0"/>
            <w:vAlign w:val="center"/>
          </w:tcPr>
          <w:p w14:paraId="2EA071F1">
            <w:pPr>
              <w:pStyle w:val="946"/>
              <w:spacing w:line="300" w:lineRule="exact"/>
              <w:rPr>
                <w:rFonts w:ascii="Arial" w:hAnsi="Arial" w:cs="Arial"/>
                <w:sz w:val="22"/>
                <w:szCs w:val="22"/>
              </w:rPr>
            </w:pPr>
            <w:r>
              <w:rPr>
                <w:rFonts w:ascii="Arial" w:hAnsi="Arial" w:cs="Arial"/>
                <w:sz w:val="22"/>
                <w:szCs w:val="22"/>
              </w:rPr>
              <w:t>最终去向</w:t>
            </w:r>
          </w:p>
        </w:tc>
      </w:tr>
      <w:tr w14:paraId="27F02F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restart"/>
            <w:tcBorders>
              <w:top w:val="single" w:color="auto" w:sz="6" w:space="0"/>
              <w:left w:val="single" w:color="auto" w:sz="12" w:space="0"/>
              <w:bottom w:val="single" w:color="auto" w:sz="6" w:space="0"/>
              <w:right w:val="single" w:color="auto" w:sz="6" w:space="0"/>
            </w:tcBorders>
            <w:noWrap w:val="0"/>
            <w:vAlign w:val="center"/>
          </w:tcPr>
          <w:p w14:paraId="6087A882">
            <w:pPr>
              <w:pStyle w:val="946"/>
              <w:spacing w:line="300" w:lineRule="exact"/>
              <w:rPr>
                <w:rFonts w:ascii="Arial" w:hAnsi="Arial" w:cs="Arial"/>
                <w:sz w:val="22"/>
                <w:szCs w:val="22"/>
              </w:rPr>
            </w:pPr>
            <w:r>
              <w:rPr>
                <w:rFonts w:ascii="Arial" w:hAnsi="Arial" w:cs="Arial"/>
                <w:sz w:val="22"/>
                <w:szCs w:val="22"/>
              </w:rPr>
              <w:t>营运期</w:t>
            </w:r>
          </w:p>
        </w:tc>
        <w:tc>
          <w:tcPr>
            <w:tcW w:w="592" w:type="dxa"/>
            <w:vMerge w:val="restart"/>
            <w:tcBorders>
              <w:top w:val="single" w:color="auto" w:sz="6" w:space="0"/>
              <w:left w:val="single" w:color="auto" w:sz="6" w:space="0"/>
              <w:bottom w:val="single" w:color="auto" w:sz="6" w:space="0"/>
              <w:right w:val="single" w:color="auto" w:sz="6" w:space="0"/>
            </w:tcBorders>
            <w:noWrap w:val="0"/>
            <w:vAlign w:val="center"/>
          </w:tcPr>
          <w:p w14:paraId="730495BD">
            <w:pPr>
              <w:pStyle w:val="946"/>
              <w:spacing w:line="300" w:lineRule="exact"/>
              <w:rPr>
                <w:rFonts w:ascii="Arial" w:hAnsi="Arial" w:cs="Arial"/>
                <w:sz w:val="22"/>
                <w:szCs w:val="22"/>
              </w:rPr>
            </w:pPr>
            <w:r>
              <w:rPr>
                <w:rFonts w:ascii="Arial" w:hAnsi="Arial" w:cs="Arial"/>
                <w:sz w:val="22"/>
                <w:szCs w:val="22"/>
              </w:rPr>
              <w:t>废水</w:t>
            </w:r>
          </w:p>
        </w:tc>
        <w:tc>
          <w:tcPr>
            <w:tcW w:w="1235" w:type="dxa"/>
            <w:vMerge w:val="restart"/>
            <w:tcBorders>
              <w:top w:val="single" w:color="auto" w:sz="6" w:space="0"/>
              <w:left w:val="single" w:color="auto" w:sz="6" w:space="0"/>
              <w:bottom w:val="single" w:color="auto" w:sz="6" w:space="0"/>
              <w:right w:val="single" w:color="auto" w:sz="6" w:space="0"/>
            </w:tcBorders>
            <w:noWrap w:val="0"/>
            <w:vAlign w:val="center"/>
          </w:tcPr>
          <w:p w14:paraId="2D5BDB2A">
            <w:pPr>
              <w:pStyle w:val="946"/>
              <w:spacing w:line="300" w:lineRule="exact"/>
              <w:rPr>
                <w:rFonts w:ascii="Arial" w:hAnsi="Arial" w:cs="Arial"/>
                <w:sz w:val="22"/>
                <w:szCs w:val="22"/>
              </w:rPr>
            </w:pPr>
            <w:r>
              <w:rPr>
                <w:rFonts w:ascii="Arial" w:hAnsi="Arial" w:cs="Arial"/>
                <w:sz w:val="22"/>
                <w:szCs w:val="22"/>
              </w:rPr>
              <w:t>管理人员生活污水</w:t>
            </w:r>
          </w:p>
        </w:tc>
        <w:tc>
          <w:tcPr>
            <w:tcW w:w="1325" w:type="dxa"/>
            <w:vMerge w:val="restart"/>
            <w:tcBorders>
              <w:top w:val="single" w:color="auto" w:sz="6" w:space="0"/>
              <w:left w:val="single" w:color="auto" w:sz="6" w:space="0"/>
              <w:bottom w:val="single" w:color="auto" w:sz="6" w:space="0"/>
              <w:right w:val="single" w:color="auto" w:sz="6" w:space="0"/>
            </w:tcBorders>
            <w:noWrap w:val="0"/>
            <w:vAlign w:val="center"/>
          </w:tcPr>
          <w:p w14:paraId="5118AD19">
            <w:pPr>
              <w:pStyle w:val="946"/>
              <w:spacing w:line="300" w:lineRule="exact"/>
              <w:rPr>
                <w:rFonts w:ascii="Arial" w:hAnsi="Arial" w:cs="Arial"/>
                <w:sz w:val="22"/>
                <w:szCs w:val="22"/>
              </w:rPr>
            </w:pPr>
            <w:r>
              <w:rPr>
                <w:rFonts w:hint="eastAsia" w:ascii="Arial" w:hAnsi="Arial" w:cs="Arial"/>
                <w:sz w:val="22"/>
                <w:szCs w:val="22"/>
                <w:lang w:val="en-US" w:eastAsia="zh-CN"/>
              </w:rPr>
              <w:t>0.54</w:t>
            </w:r>
            <w:r>
              <w:rPr>
                <w:rFonts w:ascii="Arial" w:hAnsi="Arial" w:cs="Arial"/>
                <w:sz w:val="22"/>
                <w:szCs w:val="22"/>
              </w:rPr>
              <w:t>m</w:t>
            </w:r>
            <w:r>
              <w:rPr>
                <w:rFonts w:ascii="Arial" w:hAnsi="Arial" w:cs="Arial"/>
                <w:sz w:val="22"/>
                <w:szCs w:val="22"/>
                <w:vertAlign w:val="superscript"/>
              </w:rPr>
              <w:t>3</w:t>
            </w:r>
            <w:r>
              <w:rPr>
                <w:rFonts w:ascii="Arial" w:hAnsi="Arial" w:cs="Arial"/>
                <w:sz w:val="22"/>
                <w:szCs w:val="22"/>
              </w:rPr>
              <w:t>/d</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4A0F67F0">
            <w:pPr>
              <w:pStyle w:val="946"/>
              <w:spacing w:line="300" w:lineRule="exact"/>
              <w:rPr>
                <w:rFonts w:ascii="Arial" w:hAnsi="Arial" w:cs="Arial"/>
                <w:sz w:val="22"/>
                <w:szCs w:val="22"/>
              </w:rPr>
            </w:pPr>
            <w:r>
              <w:rPr>
                <w:rFonts w:ascii="Arial" w:hAnsi="Arial" w:cs="Arial"/>
                <w:sz w:val="22"/>
                <w:szCs w:val="22"/>
              </w:rPr>
              <w:t>COD</w:t>
            </w:r>
          </w:p>
        </w:tc>
        <w:tc>
          <w:tcPr>
            <w:tcW w:w="1187" w:type="dxa"/>
            <w:tcBorders>
              <w:top w:val="single" w:color="auto" w:sz="6" w:space="0"/>
              <w:left w:val="single" w:color="auto" w:sz="6" w:space="0"/>
              <w:bottom w:val="single" w:color="auto" w:sz="6" w:space="0"/>
              <w:right w:val="single" w:color="auto" w:sz="6" w:space="0"/>
            </w:tcBorders>
            <w:noWrap w:val="0"/>
            <w:vAlign w:val="center"/>
          </w:tcPr>
          <w:p w14:paraId="3CB840FF">
            <w:pPr>
              <w:pStyle w:val="946"/>
              <w:spacing w:line="300" w:lineRule="exact"/>
              <w:rPr>
                <w:rFonts w:ascii="Arial" w:hAnsi="Arial" w:cs="Arial"/>
                <w:sz w:val="22"/>
                <w:szCs w:val="22"/>
              </w:rPr>
            </w:pPr>
            <w:r>
              <w:rPr>
                <w:rFonts w:ascii="Arial" w:hAnsi="Arial" w:cs="Arial"/>
                <w:sz w:val="22"/>
                <w:szCs w:val="22"/>
              </w:rPr>
              <w:t>450mg/L</w:t>
            </w:r>
          </w:p>
        </w:tc>
        <w:tc>
          <w:tcPr>
            <w:tcW w:w="1364" w:type="dxa"/>
            <w:tcBorders>
              <w:top w:val="single" w:color="auto" w:sz="6" w:space="0"/>
              <w:left w:val="single" w:color="auto" w:sz="6" w:space="0"/>
              <w:bottom w:val="single" w:color="auto" w:sz="6" w:space="0"/>
              <w:right w:val="single" w:color="auto" w:sz="6" w:space="0"/>
            </w:tcBorders>
            <w:noWrap w:val="0"/>
            <w:vAlign w:val="center"/>
          </w:tcPr>
          <w:p w14:paraId="706EB7E0">
            <w:pPr>
              <w:pStyle w:val="946"/>
              <w:spacing w:line="300" w:lineRule="exact"/>
              <w:rPr>
                <w:rFonts w:ascii="Arial" w:hAnsi="Arial" w:cs="Arial"/>
                <w:sz w:val="22"/>
                <w:szCs w:val="22"/>
              </w:rPr>
            </w:pPr>
            <w:r>
              <w:rPr>
                <w:rFonts w:hint="eastAsia" w:ascii="Arial" w:hAnsi="Arial" w:cs="Arial"/>
                <w:sz w:val="22"/>
                <w:szCs w:val="22"/>
                <w:lang w:val="en-US" w:eastAsia="zh-CN"/>
              </w:rPr>
              <w:t>0.243</w:t>
            </w:r>
            <w:r>
              <w:rPr>
                <w:rFonts w:ascii="Arial" w:hAnsi="Arial" w:cs="Arial"/>
                <w:sz w:val="22"/>
                <w:szCs w:val="22"/>
              </w:rPr>
              <w:t>kg/d</w:t>
            </w:r>
          </w:p>
        </w:tc>
        <w:tc>
          <w:tcPr>
            <w:tcW w:w="2226" w:type="dxa"/>
            <w:vMerge w:val="restart"/>
            <w:tcBorders>
              <w:top w:val="single" w:color="auto" w:sz="6" w:space="0"/>
              <w:left w:val="single" w:color="auto" w:sz="6" w:space="0"/>
              <w:bottom w:val="single" w:color="auto" w:sz="6" w:space="0"/>
              <w:right w:val="single" w:color="auto" w:sz="6" w:space="0"/>
            </w:tcBorders>
            <w:noWrap w:val="0"/>
            <w:vAlign w:val="center"/>
          </w:tcPr>
          <w:p w14:paraId="0E673DD6">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经管理区化粪池收集后，交附近居民</w:t>
            </w:r>
            <w:r>
              <w:rPr>
                <w:rFonts w:hint="eastAsia" w:ascii="Arial" w:hAnsi="Arial" w:cs="Arial"/>
                <w:sz w:val="22"/>
                <w:szCs w:val="22"/>
                <w:lang w:val="en-US" w:eastAsia="zh-CN"/>
              </w:rPr>
              <w:t xml:space="preserve"> </w:t>
            </w:r>
            <w:r>
              <w:rPr>
                <w:rFonts w:hint="eastAsia" w:ascii="Arial" w:hAnsi="Arial" w:cs="Arial"/>
                <w:sz w:val="22"/>
                <w:szCs w:val="22"/>
                <w:lang w:eastAsia="zh-CN"/>
              </w:rPr>
              <w:t>做农肥，不外排。</w:t>
            </w:r>
          </w:p>
        </w:tc>
        <w:tc>
          <w:tcPr>
            <w:tcW w:w="1275" w:type="dxa"/>
            <w:vMerge w:val="restart"/>
            <w:tcBorders>
              <w:top w:val="single" w:color="auto" w:sz="6" w:space="0"/>
              <w:left w:val="single" w:color="auto" w:sz="6" w:space="0"/>
              <w:bottom w:val="single" w:color="auto" w:sz="6" w:space="0"/>
              <w:right w:val="single" w:color="auto" w:sz="6" w:space="0"/>
            </w:tcBorders>
            <w:noWrap w:val="0"/>
            <w:vAlign w:val="center"/>
          </w:tcPr>
          <w:p w14:paraId="7C79CBBA">
            <w:pPr>
              <w:pStyle w:val="946"/>
              <w:spacing w:line="300" w:lineRule="exact"/>
              <w:rPr>
                <w:rFonts w:ascii="Arial" w:hAnsi="Arial" w:cs="Arial"/>
                <w:sz w:val="22"/>
                <w:szCs w:val="22"/>
              </w:rPr>
            </w:pPr>
            <w:r>
              <w:rPr>
                <w:rFonts w:ascii="Arial" w:hAnsi="Arial" w:cs="Arial"/>
                <w:sz w:val="22"/>
                <w:szCs w:val="22"/>
              </w:rPr>
              <w:t>0</w:t>
            </w:r>
          </w:p>
        </w:tc>
        <w:tc>
          <w:tcPr>
            <w:tcW w:w="851" w:type="dxa"/>
            <w:vMerge w:val="restart"/>
            <w:tcBorders>
              <w:top w:val="single" w:color="auto" w:sz="6" w:space="0"/>
              <w:left w:val="single" w:color="auto" w:sz="6" w:space="0"/>
              <w:bottom w:val="single" w:color="auto" w:sz="6" w:space="0"/>
              <w:right w:val="single" w:color="auto" w:sz="6" w:space="0"/>
            </w:tcBorders>
            <w:noWrap w:val="0"/>
            <w:vAlign w:val="center"/>
          </w:tcPr>
          <w:p w14:paraId="389025C5">
            <w:pPr>
              <w:pStyle w:val="946"/>
              <w:spacing w:line="300" w:lineRule="exact"/>
              <w:rPr>
                <w:rFonts w:ascii="Arial" w:hAnsi="Arial" w:cs="Arial"/>
                <w:sz w:val="22"/>
                <w:szCs w:val="22"/>
              </w:rPr>
            </w:pPr>
            <w:r>
              <w:rPr>
                <w:rFonts w:ascii="Arial" w:hAnsi="Arial" w:cs="Arial"/>
                <w:sz w:val="22"/>
                <w:szCs w:val="22"/>
              </w:rPr>
              <w:t>/</w:t>
            </w:r>
          </w:p>
        </w:tc>
        <w:tc>
          <w:tcPr>
            <w:tcW w:w="1177" w:type="dxa"/>
            <w:vMerge w:val="restart"/>
            <w:tcBorders>
              <w:top w:val="single" w:color="auto" w:sz="6" w:space="0"/>
              <w:left w:val="single" w:color="auto" w:sz="6" w:space="0"/>
              <w:bottom w:val="single" w:color="auto" w:sz="6" w:space="0"/>
              <w:right w:val="single" w:color="auto" w:sz="6" w:space="0"/>
            </w:tcBorders>
            <w:noWrap w:val="0"/>
            <w:vAlign w:val="center"/>
          </w:tcPr>
          <w:p w14:paraId="33388030">
            <w:pPr>
              <w:pStyle w:val="946"/>
              <w:spacing w:line="300" w:lineRule="exact"/>
              <w:rPr>
                <w:rFonts w:ascii="Arial" w:hAnsi="Arial" w:cs="Arial"/>
                <w:sz w:val="22"/>
                <w:szCs w:val="22"/>
              </w:rPr>
            </w:pPr>
            <w:r>
              <w:rPr>
                <w:rFonts w:ascii="Arial" w:hAnsi="Arial" w:cs="Arial"/>
                <w:sz w:val="22"/>
                <w:szCs w:val="22"/>
              </w:rPr>
              <w:t>/</w:t>
            </w:r>
          </w:p>
        </w:tc>
        <w:tc>
          <w:tcPr>
            <w:tcW w:w="1275" w:type="dxa"/>
            <w:vMerge w:val="restart"/>
            <w:tcBorders>
              <w:top w:val="single" w:color="auto" w:sz="6" w:space="0"/>
              <w:left w:val="single" w:color="auto" w:sz="6" w:space="0"/>
              <w:bottom w:val="single" w:color="auto" w:sz="6" w:space="0"/>
              <w:right w:val="single" w:color="auto" w:sz="12" w:space="0"/>
            </w:tcBorders>
            <w:noWrap w:val="0"/>
            <w:vAlign w:val="center"/>
          </w:tcPr>
          <w:p w14:paraId="1B7EBBEC">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周边</w:t>
            </w:r>
          </w:p>
          <w:p w14:paraId="14CC8007">
            <w:pPr>
              <w:pStyle w:val="946"/>
              <w:spacing w:line="300" w:lineRule="exact"/>
              <w:rPr>
                <w:rFonts w:ascii="Arial" w:hAnsi="Arial" w:cs="Arial"/>
                <w:sz w:val="22"/>
                <w:szCs w:val="22"/>
              </w:rPr>
            </w:pPr>
            <w:r>
              <w:rPr>
                <w:rFonts w:hint="eastAsia" w:ascii="Arial" w:hAnsi="Arial" w:cs="Arial"/>
                <w:sz w:val="22"/>
                <w:szCs w:val="22"/>
                <w:lang w:eastAsia="zh-CN"/>
              </w:rPr>
              <w:t>农耕地</w:t>
            </w:r>
          </w:p>
        </w:tc>
      </w:tr>
      <w:tr w14:paraId="76A54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op w:val="single" w:color="auto" w:sz="6" w:space="0"/>
              <w:left w:val="single" w:color="auto" w:sz="12" w:space="0"/>
              <w:bottom w:val="single" w:color="auto" w:sz="6" w:space="0"/>
              <w:right w:val="single" w:color="auto" w:sz="6" w:space="0"/>
            </w:tcBorders>
            <w:noWrap w:val="0"/>
            <w:vAlign w:val="center"/>
          </w:tcPr>
          <w:p w14:paraId="281A3E80">
            <w:pPr>
              <w:widowControl/>
              <w:spacing w:line="300" w:lineRule="exact"/>
              <w:jc w:val="center"/>
              <w:rPr>
                <w:rFonts w:ascii="Arial" w:hAnsi="Arial" w:cs="Arial"/>
                <w:sz w:val="22"/>
                <w:szCs w:val="22"/>
              </w:rPr>
            </w:pPr>
          </w:p>
        </w:tc>
        <w:tc>
          <w:tcPr>
            <w:tcW w:w="592" w:type="dxa"/>
            <w:vMerge w:val="continue"/>
            <w:tcBorders>
              <w:top w:val="single" w:color="auto" w:sz="6" w:space="0"/>
              <w:left w:val="single" w:color="auto" w:sz="6" w:space="0"/>
              <w:bottom w:val="single" w:color="auto" w:sz="6" w:space="0"/>
              <w:right w:val="single" w:color="auto" w:sz="6" w:space="0"/>
            </w:tcBorders>
            <w:noWrap w:val="0"/>
            <w:vAlign w:val="center"/>
          </w:tcPr>
          <w:p w14:paraId="7572EA45">
            <w:pPr>
              <w:widowControl/>
              <w:spacing w:line="300" w:lineRule="exact"/>
              <w:jc w:val="center"/>
              <w:rPr>
                <w:rFonts w:ascii="Arial" w:hAnsi="Arial" w:cs="Arial"/>
                <w:sz w:val="22"/>
                <w:szCs w:val="22"/>
              </w:rPr>
            </w:pPr>
          </w:p>
        </w:tc>
        <w:tc>
          <w:tcPr>
            <w:tcW w:w="1235" w:type="dxa"/>
            <w:vMerge w:val="continue"/>
            <w:tcBorders>
              <w:top w:val="single" w:color="auto" w:sz="6" w:space="0"/>
              <w:left w:val="single" w:color="auto" w:sz="6" w:space="0"/>
              <w:bottom w:val="single" w:color="auto" w:sz="6" w:space="0"/>
              <w:right w:val="single" w:color="auto" w:sz="6" w:space="0"/>
            </w:tcBorders>
            <w:noWrap w:val="0"/>
            <w:vAlign w:val="center"/>
          </w:tcPr>
          <w:p w14:paraId="4E96D79F">
            <w:pPr>
              <w:widowControl/>
              <w:spacing w:line="300" w:lineRule="exact"/>
              <w:jc w:val="center"/>
              <w:rPr>
                <w:rFonts w:ascii="Arial" w:hAnsi="Arial" w:cs="Arial"/>
                <w:sz w:val="22"/>
                <w:szCs w:val="22"/>
              </w:rPr>
            </w:pPr>
          </w:p>
        </w:tc>
        <w:tc>
          <w:tcPr>
            <w:tcW w:w="1325" w:type="dxa"/>
            <w:vMerge w:val="continue"/>
            <w:tcBorders>
              <w:top w:val="single" w:color="auto" w:sz="6" w:space="0"/>
              <w:left w:val="single" w:color="auto" w:sz="6" w:space="0"/>
              <w:bottom w:val="single" w:color="auto" w:sz="6" w:space="0"/>
              <w:right w:val="single" w:color="auto" w:sz="6" w:space="0"/>
            </w:tcBorders>
            <w:noWrap w:val="0"/>
            <w:vAlign w:val="center"/>
          </w:tcPr>
          <w:p w14:paraId="02975718">
            <w:pPr>
              <w:widowControl/>
              <w:spacing w:line="300" w:lineRule="exact"/>
              <w:jc w:val="center"/>
              <w:rPr>
                <w:rFonts w:ascii="Arial" w:hAnsi="Arial" w:cs="Arial"/>
                <w:sz w:val="22"/>
                <w:szCs w:val="22"/>
              </w:rPr>
            </w:pPr>
          </w:p>
        </w:tc>
        <w:tc>
          <w:tcPr>
            <w:tcW w:w="1035" w:type="dxa"/>
            <w:tcBorders>
              <w:top w:val="single" w:color="auto" w:sz="6" w:space="0"/>
              <w:left w:val="single" w:color="auto" w:sz="6" w:space="0"/>
              <w:bottom w:val="single" w:color="auto" w:sz="6" w:space="0"/>
              <w:right w:val="single" w:color="auto" w:sz="6" w:space="0"/>
            </w:tcBorders>
            <w:noWrap w:val="0"/>
            <w:vAlign w:val="center"/>
          </w:tcPr>
          <w:p w14:paraId="32737CB7">
            <w:pPr>
              <w:pStyle w:val="946"/>
              <w:spacing w:line="300" w:lineRule="exact"/>
              <w:rPr>
                <w:rFonts w:ascii="Arial" w:hAnsi="Arial" w:cs="Arial"/>
                <w:sz w:val="22"/>
                <w:szCs w:val="22"/>
              </w:rPr>
            </w:pPr>
            <w:r>
              <w:rPr>
                <w:rFonts w:ascii="Arial" w:hAnsi="Arial" w:cs="Arial"/>
                <w:sz w:val="22"/>
                <w:szCs w:val="22"/>
              </w:rPr>
              <w:t>BOD</w:t>
            </w:r>
            <w:r>
              <w:rPr>
                <w:rFonts w:ascii="Arial" w:hAnsi="Arial" w:cs="Arial"/>
                <w:sz w:val="22"/>
                <w:szCs w:val="22"/>
                <w:vertAlign w:val="subscript"/>
              </w:rPr>
              <w:t>5</w:t>
            </w:r>
          </w:p>
        </w:tc>
        <w:tc>
          <w:tcPr>
            <w:tcW w:w="1187" w:type="dxa"/>
            <w:tcBorders>
              <w:top w:val="single" w:color="auto" w:sz="6" w:space="0"/>
              <w:left w:val="single" w:color="auto" w:sz="6" w:space="0"/>
              <w:bottom w:val="single" w:color="auto" w:sz="6" w:space="0"/>
              <w:right w:val="single" w:color="auto" w:sz="6" w:space="0"/>
            </w:tcBorders>
            <w:noWrap w:val="0"/>
            <w:vAlign w:val="center"/>
          </w:tcPr>
          <w:p w14:paraId="3F22F397">
            <w:pPr>
              <w:pStyle w:val="946"/>
              <w:spacing w:line="300" w:lineRule="exact"/>
              <w:rPr>
                <w:rFonts w:ascii="Arial" w:hAnsi="Arial" w:cs="Arial"/>
                <w:sz w:val="22"/>
                <w:szCs w:val="22"/>
              </w:rPr>
            </w:pPr>
            <w:r>
              <w:rPr>
                <w:rFonts w:ascii="Arial" w:hAnsi="Arial" w:cs="Arial"/>
                <w:sz w:val="22"/>
                <w:szCs w:val="22"/>
              </w:rPr>
              <w:t>250mg/L</w:t>
            </w:r>
          </w:p>
        </w:tc>
        <w:tc>
          <w:tcPr>
            <w:tcW w:w="1364" w:type="dxa"/>
            <w:tcBorders>
              <w:top w:val="single" w:color="auto" w:sz="6" w:space="0"/>
              <w:left w:val="single" w:color="auto" w:sz="6" w:space="0"/>
              <w:bottom w:val="single" w:color="auto" w:sz="6" w:space="0"/>
              <w:right w:val="single" w:color="auto" w:sz="6" w:space="0"/>
            </w:tcBorders>
            <w:noWrap w:val="0"/>
            <w:vAlign w:val="center"/>
          </w:tcPr>
          <w:p w14:paraId="25FF55D6">
            <w:pPr>
              <w:pStyle w:val="946"/>
              <w:spacing w:line="300" w:lineRule="exact"/>
              <w:rPr>
                <w:rFonts w:ascii="Arial" w:hAnsi="Arial" w:cs="Arial"/>
                <w:sz w:val="22"/>
                <w:szCs w:val="22"/>
              </w:rPr>
            </w:pPr>
            <w:r>
              <w:rPr>
                <w:rFonts w:hint="eastAsia" w:ascii="Arial" w:hAnsi="Arial" w:cs="Arial"/>
                <w:sz w:val="22"/>
                <w:szCs w:val="22"/>
                <w:lang w:val="en-US" w:eastAsia="zh-CN"/>
              </w:rPr>
              <w:t>0.135</w:t>
            </w:r>
            <w:r>
              <w:rPr>
                <w:rFonts w:ascii="Arial" w:hAnsi="Arial" w:cs="Arial"/>
                <w:sz w:val="22"/>
                <w:szCs w:val="22"/>
              </w:rPr>
              <w:t>kg/d</w:t>
            </w:r>
          </w:p>
        </w:tc>
        <w:tc>
          <w:tcPr>
            <w:tcW w:w="2226" w:type="dxa"/>
            <w:vMerge w:val="continue"/>
            <w:tcBorders>
              <w:top w:val="single" w:color="auto" w:sz="6" w:space="0"/>
              <w:left w:val="single" w:color="auto" w:sz="6" w:space="0"/>
              <w:bottom w:val="single" w:color="auto" w:sz="6" w:space="0"/>
              <w:right w:val="single" w:color="auto" w:sz="6" w:space="0"/>
            </w:tcBorders>
            <w:noWrap w:val="0"/>
            <w:vAlign w:val="center"/>
          </w:tcPr>
          <w:p w14:paraId="276A4213">
            <w:pPr>
              <w:widowControl/>
              <w:spacing w:line="300" w:lineRule="exact"/>
              <w:jc w:val="center"/>
              <w:rPr>
                <w:rFonts w:ascii="Arial" w:hAnsi="Arial" w:cs="Arial"/>
                <w:sz w:val="22"/>
                <w:szCs w:val="22"/>
              </w:rPr>
            </w:pPr>
          </w:p>
        </w:tc>
        <w:tc>
          <w:tcPr>
            <w:tcW w:w="1275" w:type="dxa"/>
            <w:vMerge w:val="continue"/>
            <w:tcBorders>
              <w:top w:val="single" w:color="auto" w:sz="6" w:space="0"/>
              <w:left w:val="single" w:color="auto" w:sz="6" w:space="0"/>
              <w:bottom w:val="single" w:color="auto" w:sz="6" w:space="0"/>
              <w:right w:val="single" w:color="auto" w:sz="6" w:space="0"/>
            </w:tcBorders>
            <w:noWrap w:val="0"/>
            <w:vAlign w:val="center"/>
          </w:tcPr>
          <w:p w14:paraId="62166067">
            <w:pPr>
              <w:widowControl/>
              <w:spacing w:line="300" w:lineRule="exact"/>
              <w:jc w:val="center"/>
              <w:rPr>
                <w:rFonts w:ascii="Arial" w:hAnsi="Arial" w:cs="Arial"/>
                <w:sz w:val="22"/>
                <w:szCs w:val="22"/>
              </w:rPr>
            </w:pPr>
          </w:p>
        </w:tc>
        <w:tc>
          <w:tcPr>
            <w:tcW w:w="851" w:type="dxa"/>
            <w:vMerge w:val="continue"/>
            <w:tcBorders>
              <w:top w:val="single" w:color="auto" w:sz="6" w:space="0"/>
              <w:left w:val="single" w:color="auto" w:sz="6" w:space="0"/>
              <w:bottom w:val="single" w:color="auto" w:sz="6" w:space="0"/>
              <w:right w:val="single" w:color="auto" w:sz="6" w:space="0"/>
            </w:tcBorders>
            <w:noWrap w:val="0"/>
            <w:vAlign w:val="center"/>
          </w:tcPr>
          <w:p w14:paraId="4DBE4F42">
            <w:pPr>
              <w:widowControl/>
              <w:spacing w:line="300" w:lineRule="exact"/>
              <w:jc w:val="center"/>
              <w:rPr>
                <w:rFonts w:ascii="Arial" w:hAnsi="Arial" w:cs="Arial"/>
                <w:sz w:val="22"/>
                <w:szCs w:val="22"/>
              </w:rPr>
            </w:pPr>
          </w:p>
        </w:tc>
        <w:tc>
          <w:tcPr>
            <w:tcW w:w="1177" w:type="dxa"/>
            <w:vMerge w:val="continue"/>
            <w:tcBorders>
              <w:top w:val="single" w:color="auto" w:sz="6" w:space="0"/>
              <w:left w:val="single" w:color="auto" w:sz="6" w:space="0"/>
              <w:bottom w:val="single" w:color="auto" w:sz="6" w:space="0"/>
              <w:right w:val="single" w:color="auto" w:sz="6" w:space="0"/>
            </w:tcBorders>
            <w:noWrap w:val="0"/>
            <w:vAlign w:val="center"/>
          </w:tcPr>
          <w:p w14:paraId="788C42BE">
            <w:pPr>
              <w:widowControl/>
              <w:spacing w:line="300" w:lineRule="exact"/>
              <w:jc w:val="center"/>
              <w:rPr>
                <w:rFonts w:ascii="Arial" w:hAnsi="Arial" w:cs="Arial"/>
                <w:sz w:val="22"/>
                <w:szCs w:val="22"/>
              </w:rPr>
            </w:pPr>
          </w:p>
        </w:tc>
        <w:tc>
          <w:tcPr>
            <w:tcW w:w="1275" w:type="dxa"/>
            <w:vMerge w:val="continue"/>
            <w:tcBorders>
              <w:top w:val="single" w:color="auto" w:sz="6" w:space="0"/>
              <w:left w:val="single" w:color="auto" w:sz="6" w:space="0"/>
              <w:bottom w:val="single" w:color="auto" w:sz="6" w:space="0"/>
              <w:right w:val="single" w:color="auto" w:sz="12" w:space="0"/>
            </w:tcBorders>
            <w:noWrap w:val="0"/>
            <w:vAlign w:val="center"/>
          </w:tcPr>
          <w:p w14:paraId="6EB50065">
            <w:pPr>
              <w:widowControl/>
              <w:spacing w:line="300" w:lineRule="exact"/>
              <w:jc w:val="center"/>
              <w:rPr>
                <w:rFonts w:ascii="Arial" w:hAnsi="Arial" w:cs="Arial"/>
                <w:sz w:val="22"/>
                <w:szCs w:val="22"/>
              </w:rPr>
            </w:pPr>
          </w:p>
        </w:tc>
      </w:tr>
      <w:tr w14:paraId="1AFA56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op w:val="single" w:color="auto" w:sz="6" w:space="0"/>
              <w:left w:val="single" w:color="auto" w:sz="12" w:space="0"/>
              <w:bottom w:val="single" w:color="auto" w:sz="6" w:space="0"/>
              <w:right w:val="single" w:color="auto" w:sz="6" w:space="0"/>
            </w:tcBorders>
            <w:noWrap w:val="0"/>
            <w:vAlign w:val="center"/>
          </w:tcPr>
          <w:p w14:paraId="1BFD5501">
            <w:pPr>
              <w:widowControl/>
              <w:spacing w:line="300" w:lineRule="exact"/>
              <w:jc w:val="center"/>
              <w:rPr>
                <w:rFonts w:ascii="Arial" w:hAnsi="Arial" w:cs="Arial"/>
                <w:sz w:val="22"/>
                <w:szCs w:val="22"/>
              </w:rPr>
            </w:pPr>
          </w:p>
        </w:tc>
        <w:tc>
          <w:tcPr>
            <w:tcW w:w="592" w:type="dxa"/>
            <w:vMerge w:val="continue"/>
            <w:tcBorders>
              <w:top w:val="single" w:color="auto" w:sz="6" w:space="0"/>
              <w:left w:val="single" w:color="auto" w:sz="6" w:space="0"/>
              <w:bottom w:val="single" w:color="auto" w:sz="6" w:space="0"/>
              <w:right w:val="single" w:color="auto" w:sz="6" w:space="0"/>
            </w:tcBorders>
            <w:noWrap w:val="0"/>
            <w:vAlign w:val="center"/>
          </w:tcPr>
          <w:p w14:paraId="2B53DE08">
            <w:pPr>
              <w:widowControl/>
              <w:spacing w:line="300" w:lineRule="exact"/>
              <w:jc w:val="center"/>
              <w:rPr>
                <w:rFonts w:ascii="Arial" w:hAnsi="Arial" w:cs="Arial"/>
                <w:sz w:val="22"/>
                <w:szCs w:val="22"/>
              </w:rPr>
            </w:pPr>
          </w:p>
        </w:tc>
        <w:tc>
          <w:tcPr>
            <w:tcW w:w="1235" w:type="dxa"/>
            <w:vMerge w:val="continue"/>
            <w:tcBorders>
              <w:top w:val="single" w:color="auto" w:sz="6" w:space="0"/>
              <w:left w:val="single" w:color="auto" w:sz="6" w:space="0"/>
              <w:bottom w:val="single" w:color="auto" w:sz="6" w:space="0"/>
              <w:right w:val="single" w:color="auto" w:sz="6" w:space="0"/>
            </w:tcBorders>
            <w:noWrap w:val="0"/>
            <w:vAlign w:val="center"/>
          </w:tcPr>
          <w:p w14:paraId="6C3E3C41">
            <w:pPr>
              <w:widowControl/>
              <w:spacing w:line="300" w:lineRule="exact"/>
              <w:jc w:val="center"/>
              <w:rPr>
                <w:rFonts w:ascii="Arial" w:hAnsi="Arial" w:cs="Arial"/>
                <w:sz w:val="22"/>
                <w:szCs w:val="22"/>
              </w:rPr>
            </w:pPr>
          </w:p>
        </w:tc>
        <w:tc>
          <w:tcPr>
            <w:tcW w:w="1325" w:type="dxa"/>
            <w:vMerge w:val="continue"/>
            <w:tcBorders>
              <w:top w:val="single" w:color="auto" w:sz="6" w:space="0"/>
              <w:left w:val="single" w:color="auto" w:sz="6" w:space="0"/>
              <w:bottom w:val="single" w:color="auto" w:sz="6" w:space="0"/>
              <w:right w:val="single" w:color="auto" w:sz="6" w:space="0"/>
            </w:tcBorders>
            <w:noWrap w:val="0"/>
            <w:vAlign w:val="center"/>
          </w:tcPr>
          <w:p w14:paraId="18CA8A37">
            <w:pPr>
              <w:widowControl/>
              <w:spacing w:line="300" w:lineRule="exact"/>
              <w:jc w:val="center"/>
              <w:rPr>
                <w:rFonts w:ascii="Arial" w:hAnsi="Arial" w:cs="Arial"/>
                <w:sz w:val="22"/>
                <w:szCs w:val="22"/>
              </w:rPr>
            </w:pPr>
          </w:p>
        </w:tc>
        <w:tc>
          <w:tcPr>
            <w:tcW w:w="1035" w:type="dxa"/>
            <w:tcBorders>
              <w:top w:val="single" w:color="auto" w:sz="6" w:space="0"/>
              <w:left w:val="single" w:color="auto" w:sz="6" w:space="0"/>
              <w:bottom w:val="single" w:color="auto" w:sz="6" w:space="0"/>
              <w:right w:val="single" w:color="auto" w:sz="6" w:space="0"/>
            </w:tcBorders>
            <w:noWrap w:val="0"/>
            <w:vAlign w:val="center"/>
          </w:tcPr>
          <w:p w14:paraId="58A147A1">
            <w:pPr>
              <w:pStyle w:val="946"/>
              <w:spacing w:line="300" w:lineRule="exact"/>
              <w:rPr>
                <w:rFonts w:ascii="Arial" w:hAnsi="Arial" w:cs="Arial"/>
                <w:sz w:val="22"/>
                <w:szCs w:val="22"/>
              </w:rPr>
            </w:pPr>
            <w:r>
              <w:rPr>
                <w:rFonts w:ascii="Arial" w:hAnsi="Arial" w:cs="Arial"/>
                <w:sz w:val="22"/>
                <w:szCs w:val="22"/>
              </w:rPr>
              <w:t>SS</w:t>
            </w:r>
          </w:p>
        </w:tc>
        <w:tc>
          <w:tcPr>
            <w:tcW w:w="1187" w:type="dxa"/>
            <w:tcBorders>
              <w:top w:val="single" w:color="auto" w:sz="6" w:space="0"/>
              <w:left w:val="single" w:color="auto" w:sz="6" w:space="0"/>
              <w:bottom w:val="single" w:color="auto" w:sz="6" w:space="0"/>
              <w:right w:val="single" w:color="auto" w:sz="6" w:space="0"/>
            </w:tcBorders>
            <w:noWrap w:val="0"/>
            <w:vAlign w:val="center"/>
          </w:tcPr>
          <w:p w14:paraId="43FC414B">
            <w:pPr>
              <w:pStyle w:val="946"/>
              <w:spacing w:line="300" w:lineRule="exact"/>
              <w:rPr>
                <w:rFonts w:ascii="Arial" w:hAnsi="Arial" w:cs="Arial"/>
                <w:sz w:val="22"/>
                <w:szCs w:val="22"/>
              </w:rPr>
            </w:pPr>
            <w:r>
              <w:rPr>
                <w:rFonts w:ascii="Arial" w:hAnsi="Arial" w:cs="Arial"/>
                <w:sz w:val="22"/>
                <w:szCs w:val="22"/>
              </w:rPr>
              <w:t>250mg/L</w:t>
            </w:r>
          </w:p>
        </w:tc>
        <w:tc>
          <w:tcPr>
            <w:tcW w:w="1364" w:type="dxa"/>
            <w:tcBorders>
              <w:top w:val="single" w:color="auto" w:sz="6" w:space="0"/>
              <w:left w:val="single" w:color="auto" w:sz="6" w:space="0"/>
              <w:bottom w:val="single" w:color="auto" w:sz="6" w:space="0"/>
              <w:right w:val="single" w:color="auto" w:sz="6" w:space="0"/>
            </w:tcBorders>
            <w:noWrap w:val="0"/>
            <w:vAlign w:val="center"/>
          </w:tcPr>
          <w:p w14:paraId="45590697">
            <w:pPr>
              <w:pStyle w:val="946"/>
              <w:spacing w:line="300" w:lineRule="exact"/>
              <w:rPr>
                <w:rFonts w:ascii="Arial" w:hAnsi="Arial" w:cs="Arial"/>
                <w:sz w:val="22"/>
                <w:szCs w:val="22"/>
              </w:rPr>
            </w:pPr>
            <w:r>
              <w:rPr>
                <w:rFonts w:hint="eastAsia" w:ascii="Arial" w:hAnsi="Arial" w:cs="Arial"/>
                <w:sz w:val="22"/>
                <w:szCs w:val="22"/>
                <w:lang w:eastAsia="zh-CN"/>
              </w:rPr>
              <w:t>0.</w:t>
            </w:r>
            <w:r>
              <w:rPr>
                <w:rFonts w:hint="eastAsia" w:ascii="Arial" w:hAnsi="Arial" w:cs="Arial"/>
                <w:sz w:val="22"/>
                <w:szCs w:val="22"/>
                <w:lang w:val="en-US" w:eastAsia="zh-CN"/>
              </w:rPr>
              <w:t>135</w:t>
            </w:r>
            <w:r>
              <w:rPr>
                <w:rFonts w:ascii="Arial" w:hAnsi="Arial" w:cs="Arial"/>
                <w:sz w:val="22"/>
                <w:szCs w:val="22"/>
              </w:rPr>
              <w:t>kg/d</w:t>
            </w:r>
          </w:p>
        </w:tc>
        <w:tc>
          <w:tcPr>
            <w:tcW w:w="2226" w:type="dxa"/>
            <w:vMerge w:val="continue"/>
            <w:tcBorders>
              <w:top w:val="single" w:color="auto" w:sz="6" w:space="0"/>
              <w:left w:val="single" w:color="auto" w:sz="6" w:space="0"/>
              <w:bottom w:val="single" w:color="auto" w:sz="6" w:space="0"/>
              <w:right w:val="single" w:color="auto" w:sz="6" w:space="0"/>
            </w:tcBorders>
            <w:noWrap w:val="0"/>
            <w:vAlign w:val="center"/>
          </w:tcPr>
          <w:p w14:paraId="4668BCBC">
            <w:pPr>
              <w:widowControl/>
              <w:spacing w:line="300" w:lineRule="exact"/>
              <w:jc w:val="center"/>
              <w:rPr>
                <w:rFonts w:ascii="Arial" w:hAnsi="Arial" w:cs="Arial"/>
                <w:sz w:val="22"/>
                <w:szCs w:val="22"/>
              </w:rPr>
            </w:pPr>
          </w:p>
        </w:tc>
        <w:tc>
          <w:tcPr>
            <w:tcW w:w="1275" w:type="dxa"/>
            <w:vMerge w:val="continue"/>
            <w:tcBorders>
              <w:top w:val="single" w:color="auto" w:sz="6" w:space="0"/>
              <w:left w:val="single" w:color="auto" w:sz="6" w:space="0"/>
              <w:bottom w:val="single" w:color="auto" w:sz="6" w:space="0"/>
              <w:right w:val="single" w:color="auto" w:sz="6" w:space="0"/>
            </w:tcBorders>
            <w:noWrap w:val="0"/>
            <w:vAlign w:val="center"/>
          </w:tcPr>
          <w:p w14:paraId="31E9FD3F">
            <w:pPr>
              <w:widowControl/>
              <w:spacing w:line="300" w:lineRule="exact"/>
              <w:jc w:val="center"/>
              <w:rPr>
                <w:rFonts w:ascii="Arial" w:hAnsi="Arial" w:cs="Arial"/>
                <w:sz w:val="22"/>
                <w:szCs w:val="22"/>
              </w:rPr>
            </w:pPr>
          </w:p>
        </w:tc>
        <w:tc>
          <w:tcPr>
            <w:tcW w:w="851" w:type="dxa"/>
            <w:vMerge w:val="continue"/>
            <w:tcBorders>
              <w:top w:val="single" w:color="auto" w:sz="6" w:space="0"/>
              <w:left w:val="single" w:color="auto" w:sz="6" w:space="0"/>
              <w:bottom w:val="single" w:color="auto" w:sz="6" w:space="0"/>
              <w:right w:val="single" w:color="auto" w:sz="6" w:space="0"/>
            </w:tcBorders>
            <w:noWrap w:val="0"/>
            <w:vAlign w:val="center"/>
          </w:tcPr>
          <w:p w14:paraId="6947F75D">
            <w:pPr>
              <w:widowControl/>
              <w:spacing w:line="300" w:lineRule="exact"/>
              <w:jc w:val="center"/>
              <w:rPr>
                <w:rFonts w:ascii="Arial" w:hAnsi="Arial" w:cs="Arial"/>
                <w:sz w:val="22"/>
                <w:szCs w:val="22"/>
              </w:rPr>
            </w:pPr>
          </w:p>
        </w:tc>
        <w:tc>
          <w:tcPr>
            <w:tcW w:w="1177" w:type="dxa"/>
            <w:vMerge w:val="continue"/>
            <w:tcBorders>
              <w:top w:val="single" w:color="auto" w:sz="6" w:space="0"/>
              <w:left w:val="single" w:color="auto" w:sz="6" w:space="0"/>
              <w:bottom w:val="single" w:color="auto" w:sz="6" w:space="0"/>
              <w:right w:val="single" w:color="auto" w:sz="6" w:space="0"/>
            </w:tcBorders>
            <w:noWrap w:val="0"/>
            <w:vAlign w:val="center"/>
          </w:tcPr>
          <w:p w14:paraId="77F5629F">
            <w:pPr>
              <w:widowControl/>
              <w:spacing w:line="300" w:lineRule="exact"/>
              <w:jc w:val="center"/>
              <w:rPr>
                <w:rFonts w:ascii="Arial" w:hAnsi="Arial" w:cs="Arial"/>
                <w:sz w:val="22"/>
                <w:szCs w:val="22"/>
              </w:rPr>
            </w:pPr>
          </w:p>
        </w:tc>
        <w:tc>
          <w:tcPr>
            <w:tcW w:w="1275" w:type="dxa"/>
            <w:vMerge w:val="continue"/>
            <w:tcBorders>
              <w:top w:val="single" w:color="auto" w:sz="6" w:space="0"/>
              <w:left w:val="single" w:color="auto" w:sz="6" w:space="0"/>
              <w:bottom w:val="single" w:color="auto" w:sz="6" w:space="0"/>
              <w:right w:val="single" w:color="auto" w:sz="12" w:space="0"/>
            </w:tcBorders>
            <w:noWrap w:val="0"/>
            <w:vAlign w:val="center"/>
          </w:tcPr>
          <w:p w14:paraId="421A7289">
            <w:pPr>
              <w:widowControl/>
              <w:spacing w:line="300" w:lineRule="exact"/>
              <w:jc w:val="center"/>
              <w:rPr>
                <w:rFonts w:ascii="Arial" w:hAnsi="Arial" w:cs="Arial"/>
                <w:sz w:val="22"/>
                <w:szCs w:val="22"/>
              </w:rPr>
            </w:pPr>
          </w:p>
        </w:tc>
      </w:tr>
      <w:tr w14:paraId="14F9A2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op w:val="single" w:color="auto" w:sz="6" w:space="0"/>
              <w:left w:val="single" w:color="auto" w:sz="12" w:space="0"/>
              <w:bottom w:val="single" w:color="auto" w:sz="6" w:space="0"/>
              <w:right w:val="single" w:color="auto" w:sz="6" w:space="0"/>
            </w:tcBorders>
            <w:noWrap w:val="0"/>
            <w:vAlign w:val="center"/>
          </w:tcPr>
          <w:p w14:paraId="07AC9B89">
            <w:pPr>
              <w:widowControl/>
              <w:spacing w:line="300" w:lineRule="exact"/>
              <w:jc w:val="center"/>
              <w:rPr>
                <w:rFonts w:ascii="Arial" w:hAnsi="Arial" w:cs="Arial"/>
                <w:sz w:val="22"/>
                <w:szCs w:val="22"/>
              </w:rPr>
            </w:pPr>
          </w:p>
        </w:tc>
        <w:tc>
          <w:tcPr>
            <w:tcW w:w="592" w:type="dxa"/>
            <w:vMerge w:val="continue"/>
            <w:tcBorders>
              <w:top w:val="single" w:color="auto" w:sz="6" w:space="0"/>
              <w:left w:val="single" w:color="auto" w:sz="6" w:space="0"/>
              <w:bottom w:val="single" w:color="auto" w:sz="6" w:space="0"/>
              <w:right w:val="single" w:color="auto" w:sz="6" w:space="0"/>
            </w:tcBorders>
            <w:noWrap w:val="0"/>
            <w:vAlign w:val="center"/>
          </w:tcPr>
          <w:p w14:paraId="2DD970C9">
            <w:pPr>
              <w:widowControl/>
              <w:spacing w:line="300" w:lineRule="exact"/>
              <w:jc w:val="center"/>
              <w:rPr>
                <w:rFonts w:ascii="Arial" w:hAnsi="Arial" w:cs="Arial"/>
                <w:sz w:val="22"/>
                <w:szCs w:val="22"/>
              </w:rPr>
            </w:pPr>
          </w:p>
        </w:tc>
        <w:tc>
          <w:tcPr>
            <w:tcW w:w="1235" w:type="dxa"/>
            <w:vMerge w:val="continue"/>
            <w:tcBorders>
              <w:top w:val="single" w:color="auto" w:sz="6" w:space="0"/>
              <w:left w:val="single" w:color="auto" w:sz="6" w:space="0"/>
              <w:bottom w:val="single" w:color="auto" w:sz="6" w:space="0"/>
              <w:right w:val="single" w:color="auto" w:sz="6" w:space="0"/>
            </w:tcBorders>
            <w:noWrap w:val="0"/>
            <w:vAlign w:val="center"/>
          </w:tcPr>
          <w:p w14:paraId="5340B21F">
            <w:pPr>
              <w:widowControl/>
              <w:spacing w:line="300" w:lineRule="exact"/>
              <w:jc w:val="center"/>
              <w:rPr>
                <w:rFonts w:ascii="Arial" w:hAnsi="Arial" w:cs="Arial"/>
                <w:sz w:val="22"/>
                <w:szCs w:val="22"/>
              </w:rPr>
            </w:pPr>
          </w:p>
        </w:tc>
        <w:tc>
          <w:tcPr>
            <w:tcW w:w="1325" w:type="dxa"/>
            <w:vMerge w:val="continue"/>
            <w:tcBorders>
              <w:top w:val="single" w:color="auto" w:sz="6" w:space="0"/>
              <w:left w:val="single" w:color="auto" w:sz="6" w:space="0"/>
              <w:bottom w:val="single" w:color="auto" w:sz="6" w:space="0"/>
              <w:right w:val="single" w:color="auto" w:sz="6" w:space="0"/>
            </w:tcBorders>
            <w:noWrap w:val="0"/>
            <w:vAlign w:val="center"/>
          </w:tcPr>
          <w:p w14:paraId="1038503E">
            <w:pPr>
              <w:widowControl/>
              <w:spacing w:line="300" w:lineRule="exact"/>
              <w:jc w:val="center"/>
              <w:rPr>
                <w:rFonts w:ascii="Arial" w:hAnsi="Arial" w:cs="Arial"/>
                <w:sz w:val="22"/>
                <w:szCs w:val="22"/>
              </w:rPr>
            </w:pPr>
          </w:p>
        </w:tc>
        <w:tc>
          <w:tcPr>
            <w:tcW w:w="1035" w:type="dxa"/>
            <w:tcBorders>
              <w:top w:val="single" w:color="auto" w:sz="6" w:space="0"/>
              <w:left w:val="single" w:color="auto" w:sz="6" w:space="0"/>
              <w:bottom w:val="single" w:color="auto" w:sz="6" w:space="0"/>
              <w:right w:val="single" w:color="auto" w:sz="6" w:space="0"/>
            </w:tcBorders>
            <w:noWrap w:val="0"/>
            <w:vAlign w:val="center"/>
          </w:tcPr>
          <w:p w14:paraId="33481104">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动植</w:t>
            </w:r>
          </w:p>
          <w:p w14:paraId="691BB264">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物油</w:t>
            </w:r>
          </w:p>
        </w:tc>
        <w:tc>
          <w:tcPr>
            <w:tcW w:w="1187" w:type="dxa"/>
            <w:tcBorders>
              <w:top w:val="single" w:color="auto" w:sz="6" w:space="0"/>
              <w:left w:val="single" w:color="auto" w:sz="6" w:space="0"/>
              <w:bottom w:val="single" w:color="auto" w:sz="6" w:space="0"/>
              <w:right w:val="single" w:color="auto" w:sz="6" w:space="0"/>
            </w:tcBorders>
            <w:noWrap w:val="0"/>
            <w:vAlign w:val="center"/>
          </w:tcPr>
          <w:p w14:paraId="4DF76784">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35</w:t>
            </w:r>
            <w:r>
              <w:rPr>
                <w:rFonts w:ascii="Arial" w:hAnsi="Arial" w:cs="Arial"/>
                <w:sz w:val="22"/>
                <w:szCs w:val="22"/>
              </w:rPr>
              <w:t>mg/L</w:t>
            </w:r>
          </w:p>
        </w:tc>
        <w:tc>
          <w:tcPr>
            <w:tcW w:w="1364" w:type="dxa"/>
            <w:tcBorders>
              <w:top w:val="single" w:color="auto" w:sz="6" w:space="0"/>
              <w:left w:val="single" w:color="auto" w:sz="6" w:space="0"/>
              <w:bottom w:val="single" w:color="auto" w:sz="6" w:space="0"/>
              <w:right w:val="single" w:color="auto" w:sz="6" w:space="0"/>
            </w:tcBorders>
            <w:noWrap w:val="0"/>
            <w:vAlign w:val="center"/>
          </w:tcPr>
          <w:p w14:paraId="4087787C">
            <w:pPr>
              <w:pStyle w:val="946"/>
              <w:spacing w:line="300" w:lineRule="exact"/>
              <w:rPr>
                <w:rFonts w:hint="eastAsia" w:ascii="Arial" w:hAnsi="Arial" w:cs="Arial"/>
                <w:sz w:val="22"/>
                <w:szCs w:val="22"/>
                <w:lang w:eastAsia="zh-CN"/>
              </w:rPr>
            </w:pPr>
            <w:r>
              <w:rPr>
                <w:rFonts w:hint="eastAsia" w:ascii="Arial" w:hAnsi="Arial" w:cs="Arial"/>
                <w:sz w:val="22"/>
                <w:szCs w:val="22"/>
                <w:lang w:val="en-US" w:eastAsia="zh-CN"/>
              </w:rPr>
              <w:t>0.0189</w:t>
            </w:r>
            <w:r>
              <w:rPr>
                <w:rFonts w:ascii="Arial" w:hAnsi="Arial" w:cs="Arial"/>
                <w:sz w:val="22"/>
                <w:szCs w:val="22"/>
              </w:rPr>
              <w:t>kg/d</w:t>
            </w:r>
          </w:p>
        </w:tc>
        <w:tc>
          <w:tcPr>
            <w:tcW w:w="2226" w:type="dxa"/>
            <w:vMerge w:val="continue"/>
            <w:tcBorders>
              <w:top w:val="single" w:color="auto" w:sz="6" w:space="0"/>
              <w:left w:val="single" w:color="auto" w:sz="6" w:space="0"/>
              <w:bottom w:val="single" w:color="auto" w:sz="6" w:space="0"/>
              <w:right w:val="single" w:color="auto" w:sz="6" w:space="0"/>
            </w:tcBorders>
            <w:noWrap w:val="0"/>
            <w:vAlign w:val="center"/>
          </w:tcPr>
          <w:p w14:paraId="7ED8A77D">
            <w:pPr>
              <w:widowControl/>
              <w:spacing w:line="300" w:lineRule="exact"/>
              <w:jc w:val="center"/>
              <w:rPr>
                <w:rFonts w:ascii="Arial" w:hAnsi="Arial" w:cs="Arial"/>
                <w:sz w:val="22"/>
                <w:szCs w:val="22"/>
              </w:rPr>
            </w:pPr>
          </w:p>
        </w:tc>
        <w:tc>
          <w:tcPr>
            <w:tcW w:w="1275" w:type="dxa"/>
            <w:vMerge w:val="continue"/>
            <w:tcBorders>
              <w:top w:val="single" w:color="auto" w:sz="6" w:space="0"/>
              <w:left w:val="single" w:color="auto" w:sz="6" w:space="0"/>
              <w:bottom w:val="single" w:color="auto" w:sz="6" w:space="0"/>
              <w:right w:val="single" w:color="auto" w:sz="6" w:space="0"/>
            </w:tcBorders>
            <w:noWrap w:val="0"/>
            <w:vAlign w:val="center"/>
          </w:tcPr>
          <w:p w14:paraId="0D333C5D">
            <w:pPr>
              <w:widowControl/>
              <w:spacing w:line="300" w:lineRule="exact"/>
              <w:jc w:val="center"/>
              <w:rPr>
                <w:rFonts w:ascii="Arial" w:hAnsi="Arial" w:cs="Arial"/>
                <w:sz w:val="22"/>
                <w:szCs w:val="22"/>
              </w:rPr>
            </w:pPr>
          </w:p>
        </w:tc>
        <w:tc>
          <w:tcPr>
            <w:tcW w:w="851" w:type="dxa"/>
            <w:vMerge w:val="continue"/>
            <w:tcBorders>
              <w:top w:val="single" w:color="auto" w:sz="6" w:space="0"/>
              <w:left w:val="single" w:color="auto" w:sz="6" w:space="0"/>
              <w:bottom w:val="single" w:color="auto" w:sz="6" w:space="0"/>
              <w:right w:val="single" w:color="auto" w:sz="6" w:space="0"/>
            </w:tcBorders>
            <w:noWrap w:val="0"/>
            <w:vAlign w:val="center"/>
          </w:tcPr>
          <w:p w14:paraId="0C49BB1F">
            <w:pPr>
              <w:widowControl/>
              <w:spacing w:line="300" w:lineRule="exact"/>
              <w:jc w:val="center"/>
              <w:rPr>
                <w:rFonts w:ascii="Arial" w:hAnsi="Arial" w:cs="Arial"/>
                <w:sz w:val="22"/>
                <w:szCs w:val="22"/>
              </w:rPr>
            </w:pPr>
          </w:p>
        </w:tc>
        <w:tc>
          <w:tcPr>
            <w:tcW w:w="1177" w:type="dxa"/>
            <w:vMerge w:val="continue"/>
            <w:tcBorders>
              <w:top w:val="single" w:color="auto" w:sz="6" w:space="0"/>
              <w:left w:val="single" w:color="auto" w:sz="6" w:space="0"/>
              <w:bottom w:val="single" w:color="auto" w:sz="6" w:space="0"/>
              <w:right w:val="single" w:color="auto" w:sz="6" w:space="0"/>
            </w:tcBorders>
            <w:noWrap w:val="0"/>
            <w:vAlign w:val="center"/>
          </w:tcPr>
          <w:p w14:paraId="5414AAC4">
            <w:pPr>
              <w:widowControl/>
              <w:spacing w:line="300" w:lineRule="exact"/>
              <w:jc w:val="center"/>
              <w:rPr>
                <w:rFonts w:ascii="Arial" w:hAnsi="Arial" w:cs="Arial"/>
                <w:sz w:val="22"/>
                <w:szCs w:val="22"/>
              </w:rPr>
            </w:pPr>
          </w:p>
        </w:tc>
        <w:tc>
          <w:tcPr>
            <w:tcW w:w="1275" w:type="dxa"/>
            <w:vMerge w:val="continue"/>
            <w:tcBorders>
              <w:top w:val="single" w:color="auto" w:sz="6" w:space="0"/>
              <w:left w:val="single" w:color="auto" w:sz="6" w:space="0"/>
              <w:bottom w:val="single" w:color="auto" w:sz="6" w:space="0"/>
              <w:right w:val="single" w:color="auto" w:sz="12" w:space="0"/>
            </w:tcBorders>
            <w:noWrap w:val="0"/>
            <w:vAlign w:val="center"/>
          </w:tcPr>
          <w:p w14:paraId="4231076E">
            <w:pPr>
              <w:widowControl/>
              <w:spacing w:line="300" w:lineRule="exact"/>
              <w:jc w:val="center"/>
              <w:rPr>
                <w:rFonts w:ascii="Arial" w:hAnsi="Arial" w:cs="Arial"/>
                <w:sz w:val="22"/>
                <w:szCs w:val="22"/>
              </w:rPr>
            </w:pPr>
          </w:p>
        </w:tc>
      </w:tr>
      <w:tr w14:paraId="65CC65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op w:val="single" w:color="auto" w:sz="6" w:space="0"/>
              <w:left w:val="single" w:color="auto" w:sz="12" w:space="0"/>
              <w:bottom w:val="single" w:color="auto" w:sz="6" w:space="0"/>
              <w:right w:val="single" w:color="auto" w:sz="6" w:space="0"/>
            </w:tcBorders>
            <w:noWrap w:val="0"/>
            <w:vAlign w:val="center"/>
          </w:tcPr>
          <w:p w14:paraId="27600A0F">
            <w:pPr>
              <w:widowControl/>
              <w:spacing w:line="300" w:lineRule="exact"/>
              <w:jc w:val="center"/>
              <w:rPr>
                <w:rFonts w:ascii="Arial" w:hAnsi="Arial" w:cs="Arial"/>
                <w:sz w:val="22"/>
                <w:szCs w:val="22"/>
              </w:rPr>
            </w:pPr>
          </w:p>
        </w:tc>
        <w:tc>
          <w:tcPr>
            <w:tcW w:w="592" w:type="dxa"/>
            <w:vMerge w:val="continue"/>
            <w:tcBorders>
              <w:top w:val="single" w:color="auto" w:sz="6" w:space="0"/>
              <w:left w:val="single" w:color="auto" w:sz="6" w:space="0"/>
              <w:bottom w:val="single" w:color="auto" w:sz="6" w:space="0"/>
              <w:right w:val="single" w:color="auto" w:sz="6" w:space="0"/>
            </w:tcBorders>
            <w:noWrap w:val="0"/>
            <w:vAlign w:val="center"/>
          </w:tcPr>
          <w:p w14:paraId="4357C3A0">
            <w:pPr>
              <w:widowControl/>
              <w:spacing w:line="300" w:lineRule="exact"/>
              <w:jc w:val="center"/>
              <w:rPr>
                <w:rFonts w:ascii="Arial" w:hAnsi="Arial" w:cs="Arial"/>
                <w:sz w:val="22"/>
                <w:szCs w:val="22"/>
              </w:rPr>
            </w:pPr>
          </w:p>
        </w:tc>
        <w:tc>
          <w:tcPr>
            <w:tcW w:w="1235" w:type="dxa"/>
            <w:vMerge w:val="continue"/>
            <w:tcBorders>
              <w:top w:val="single" w:color="auto" w:sz="6" w:space="0"/>
              <w:left w:val="single" w:color="auto" w:sz="6" w:space="0"/>
              <w:bottom w:val="single" w:color="auto" w:sz="6" w:space="0"/>
              <w:right w:val="single" w:color="auto" w:sz="6" w:space="0"/>
            </w:tcBorders>
            <w:noWrap w:val="0"/>
            <w:vAlign w:val="center"/>
          </w:tcPr>
          <w:p w14:paraId="5098882E">
            <w:pPr>
              <w:widowControl/>
              <w:spacing w:line="300" w:lineRule="exact"/>
              <w:jc w:val="center"/>
              <w:rPr>
                <w:rFonts w:ascii="Arial" w:hAnsi="Arial" w:cs="Arial"/>
                <w:sz w:val="22"/>
                <w:szCs w:val="22"/>
              </w:rPr>
            </w:pPr>
          </w:p>
        </w:tc>
        <w:tc>
          <w:tcPr>
            <w:tcW w:w="1325" w:type="dxa"/>
            <w:vMerge w:val="continue"/>
            <w:tcBorders>
              <w:top w:val="single" w:color="auto" w:sz="6" w:space="0"/>
              <w:left w:val="single" w:color="auto" w:sz="6" w:space="0"/>
              <w:bottom w:val="single" w:color="auto" w:sz="6" w:space="0"/>
              <w:right w:val="single" w:color="auto" w:sz="6" w:space="0"/>
            </w:tcBorders>
            <w:noWrap w:val="0"/>
            <w:vAlign w:val="center"/>
          </w:tcPr>
          <w:p w14:paraId="7192DC1B">
            <w:pPr>
              <w:widowControl/>
              <w:spacing w:line="300" w:lineRule="exact"/>
              <w:jc w:val="center"/>
              <w:rPr>
                <w:rFonts w:ascii="Arial" w:hAnsi="Arial" w:cs="Arial"/>
                <w:sz w:val="22"/>
                <w:szCs w:val="22"/>
              </w:rPr>
            </w:pPr>
          </w:p>
        </w:tc>
        <w:tc>
          <w:tcPr>
            <w:tcW w:w="1035" w:type="dxa"/>
            <w:tcBorders>
              <w:top w:val="single" w:color="auto" w:sz="6" w:space="0"/>
              <w:left w:val="single" w:color="auto" w:sz="6" w:space="0"/>
              <w:bottom w:val="single" w:color="auto" w:sz="6" w:space="0"/>
              <w:right w:val="single" w:color="auto" w:sz="6" w:space="0"/>
            </w:tcBorders>
            <w:noWrap w:val="0"/>
            <w:vAlign w:val="center"/>
          </w:tcPr>
          <w:p w14:paraId="03A10517">
            <w:pPr>
              <w:pStyle w:val="946"/>
              <w:spacing w:line="300" w:lineRule="exact"/>
              <w:rPr>
                <w:rFonts w:ascii="Arial" w:hAnsi="Arial" w:cs="Arial"/>
                <w:sz w:val="22"/>
                <w:szCs w:val="22"/>
              </w:rPr>
            </w:pPr>
            <w:r>
              <w:rPr>
                <w:rFonts w:ascii="Arial" w:hAnsi="Arial" w:cs="Arial"/>
                <w:sz w:val="22"/>
                <w:szCs w:val="22"/>
              </w:rPr>
              <w:t>NH</w:t>
            </w:r>
            <w:r>
              <w:rPr>
                <w:rFonts w:ascii="Arial" w:hAnsi="Arial" w:cs="Arial"/>
                <w:sz w:val="22"/>
                <w:szCs w:val="22"/>
                <w:vertAlign w:val="subscript"/>
              </w:rPr>
              <w:t>3</w:t>
            </w:r>
            <w:r>
              <w:rPr>
                <w:rFonts w:ascii="Arial" w:hAnsi="Arial" w:cs="Arial"/>
                <w:sz w:val="22"/>
                <w:szCs w:val="22"/>
              </w:rPr>
              <w:t>-N</w:t>
            </w:r>
          </w:p>
        </w:tc>
        <w:tc>
          <w:tcPr>
            <w:tcW w:w="1187" w:type="dxa"/>
            <w:tcBorders>
              <w:top w:val="single" w:color="auto" w:sz="6" w:space="0"/>
              <w:left w:val="single" w:color="auto" w:sz="6" w:space="0"/>
              <w:bottom w:val="single" w:color="auto" w:sz="6" w:space="0"/>
              <w:right w:val="single" w:color="auto" w:sz="6" w:space="0"/>
            </w:tcBorders>
            <w:noWrap w:val="0"/>
            <w:vAlign w:val="center"/>
          </w:tcPr>
          <w:p w14:paraId="38028112">
            <w:pPr>
              <w:pStyle w:val="946"/>
              <w:spacing w:line="300" w:lineRule="exact"/>
              <w:rPr>
                <w:rFonts w:ascii="Arial" w:hAnsi="Arial" w:cs="Arial"/>
                <w:sz w:val="22"/>
                <w:szCs w:val="22"/>
              </w:rPr>
            </w:pPr>
            <w:r>
              <w:rPr>
                <w:rFonts w:ascii="Arial" w:hAnsi="Arial" w:cs="Arial"/>
                <w:sz w:val="22"/>
                <w:szCs w:val="22"/>
              </w:rPr>
              <w:t>30mg/L</w:t>
            </w:r>
          </w:p>
        </w:tc>
        <w:tc>
          <w:tcPr>
            <w:tcW w:w="1364" w:type="dxa"/>
            <w:tcBorders>
              <w:top w:val="single" w:color="auto" w:sz="6" w:space="0"/>
              <w:left w:val="single" w:color="auto" w:sz="6" w:space="0"/>
              <w:bottom w:val="single" w:color="auto" w:sz="6" w:space="0"/>
              <w:right w:val="single" w:color="auto" w:sz="6" w:space="0"/>
            </w:tcBorders>
            <w:noWrap w:val="0"/>
            <w:vAlign w:val="center"/>
          </w:tcPr>
          <w:p w14:paraId="73DDE659">
            <w:pPr>
              <w:pStyle w:val="946"/>
              <w:spacing w:line="300" w:lineRule="exact"/>
              <w:rPr>
                <w:rFonts w:ascii="Arial" w:hAnsi="Arial" w:cs="Arial"/>
                <w:sz w:val="22"/>
                <w:szCs w:val="22"/>
              </w:rPr>
            </w:pPr>
            <w:r>
              <w:rPr>
                <w:rFonts w:hint="eastAsia" w:ascii="Arial" w:hAnsi="Arial" w:cs="Arial"/>
                <w:sz w:val="22"/>
                <w:szCs w:val="22"/>
                <w:lang w:val="en-US" w:eastAsia="zh-CN"/>
              </w:rPr>
              <w:t>0.0162</w:t>
            </w:r>
            <w:r>
              <w:rPr>
                <w:rFonts w:ascii="Arial" w:hAnsi="Arial" w:cs="Arial"/>
                <w:sz w:val="22"/>
                <w:szCs w:val="22"/>
              </w:rPr>
              <w:t>kg/d</w:t>
            </w:r>
          </w:p>
        </w:tc>
        <w:tc>
          <w:tcPr>
            <w:tcW w:w="2226" w:type="dxa"/>
            <w:vMerge w:val="continue"/>
            <w:tcBorders>
              <w:top w:val="single" w:color="auto" w:sz="6" w:space="0"/>
              <w:left w:val="single" w:color="auto" w:sz="6" w:space="0"/>
              <w:bottom w:val="single" w:color="auto" w:sz="6" w:space="0"/>
              <w:right w:val="single" w:color="auto" w:sz="6" w:space="0"/>
            </w:tcBorders>
            <w:noWrap w:val="0"/>
            <w:vAlign w:val="center"/>
          </w:tcPr>
          <w:p w14:paraId="21B79DF9">
            <w:pPr>
              <w:widowControl/>
              <w:spacing w:line="300" w:lineRule="exact"/>
              <w:jc w:val="center"/>
              <w:rPr>
                <w:rFonts w:ascii="Arial" w:hAnsi="Arial" w:cs="Arial"/>
                <w:sz w:val="22"/>
                <w:szCs w:val="22"/>
              </w:rPr>
            </w:pPr>
          </w:p>
        </w:tc>
        <w:tc>
          <w:tcPr>
            <w:tcW w:w="1275" w:type="dxa"/>
            <w:vMerge w:val="continue"/>
            <w:tcBorders>
              <w:top w:val="single" w:color="auto" w:sz="6" w:space="0"/>
              <w:left w:val="single" w:color="auto" w:sz="6" w:space="0"/>
              <w:bottom w:val="single" w:color="auto" w:sz="6" w:space="0"/>
              <w:right w:val="single" w:color="auto" w:sz="6" w:space="0"/>
            </w:tcBorders>
            <w:noWrap w:val="0"/>
            <w:vAlign w:val="center"/>
          </w:tcPr>
          <w:p w14:paraId="78A7A663">
            <w:pPr>
              <w:widowControl/>
              <w:spacing w:line="300" w:lineRule="exact"/>
              <w:jc w:val="center"/>
              <w:rPr>
                <w:rFonts w:ascii="Arial" w:hAnsi="Arial" w:cs="Arial"/>
                <w:sz w:val="22"/>
                <w:szCs w:val="22"/>
              </w:rPr>
            </w:pPr>
          </w:p>
        </w:tc>
        <w:tc>
          <w:tcPr>
            <w:tcW w:w="851" w:type="dxa"/>
            <w:vMerge w:val="continue"/>
            <w:tcBorders>
              <w:top w:val="single" w:color="auto" w:sz="6" w:space="0"/>
              <w:left w:val="single" w:color="auto" w:sz="6" w:space="0"/>
              <w:bottom w:val="single" w:color="auto" w:sz="6" w:space="0"/>
              <w:right w:val="single" w:color="auto" w:sz="6" w:space="0"/>
            </w:tcBorders>
            <w:noWrap w:val="0"/>
            <w:vAlign w:val="center"/>
          </w:tcPr>
          <w:p w14:paraId="23AC4B87">
            <w:pPr>
              <w:widowControl/>
              <w:spacing w:line="300" w:lineRule="exact"/>
              <w:jc w:val="center"/>
              <w:rPr>
                <w:rFonts w:ascii="Arial" w:hAnsi="Arial" w:cs="Arial"/>
                <w:sz w:val="22"/>
                <w:szCs w:val="22"/>
              </w:rPr>
            </w:pPr>
          </w:p>
        </w:tc>
        <w:tc>
          <w:tcPr>
            <w:tcW w:w="1177" w:type="dxa"/>
            <w:vMerge w:val="continue"/>
            <w:tcBorders>
              <w:top w:val="single" w:color="auto" w:sz="6" w:space="0"/>
              <w:left w:val="single" w:color="auto" w:sz="6" w:space="0"/>
              <w:bottom w:val="single" w:color="auto" w:sz="6" w:space="0"/>
              <w:right w:val="single" w:color="auto" w:sz="6" w:space="0"/>
            </w:tcBorders>
            <w:noWrap w:val="0"/>
            <w:vAlign w:val="center"/>
          </w:tcPr>
          <w:p w14:paraId="4DA88A4C">
            <w:pPr>
              <w:widowControl/>
              <w:spacing w:line="300" w:lineRule="exact"/>
              <w:jc w:val="center"/>
              <w:rPr>
                <w:rFonts w:ascii="Arial" w:hAnsi="Arial" w:cs="Arial"/>
                <w:sz w:val="22"/>
                <w:szCs w:val="22"/>
              </w:rPr>
            </w:pPr>
          </w:p>
        </w:tc>
        <w:tc>
          <w:tcPr>
            <w:tcW w:w="1275" w:type="dxa"/>
            <w:vMerge w:val="continue"/>
            <w:tcBorders>
              <w:top w:val="single" w:color="auto" w:sz="6" w:space="0"/>
              <w:left w:val="single" w:color="auto" w:sz="6" w:space="0"/>
              <w:bottom w:val="single" w:color="auto" w:sz="6" w:space="0"/>
              <w:right w:val="single" w:color="auto" w:sz="12" w:space="0"/>
            </w:tcBorders>
            <w:noWrap w:val="0"/>
            <w:vAlign w:val="center"/>
          </w:tcPr>
          <w:p w14:paraId="486E92BF">
            <w:pPr>
              <w:widowControl/>
              <w:spacing w:line="300" w:lineRule="exact"/>
              <w:jc w:val="center"/>
              <w:rPr>
                <w:rFonts w:ascii="Arial" w:hAnsi="Arial" w:cs="Arial"/>
                <w:sz w:val="22"/>
                <w:szCs w:val="22"/>
              </w:rPr>
            </w:pPr>
          </w:p>
        </w:tc>
      </w:tr>
      <w:tr w14:paraId="3860E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op w:val="single" w:color="auto" w:sz="6" w:space="0"/>
              <w:left w:val="single" w:color="auto" w:sz="12" w:space="0"/>
              <w:bottom w:val="single" w:color="auto" w:sz="6" w:space="0"/>
              <w:right w:val="single" w:color="auto" w:sz="6" w:space="0"/>
            </w:tcBorders>
            <w:noWrap w:val="0"/>
            <w:vAlign w:val="center"/>
          </w:tcPr>
          <w:p w14:paraId="3C4F16A4">
            <w:pPr>
              <w:widowControl/>
              <w:spacing w:line="300" w:lineRule="exact"/>
              <w:jc w:val="center"/>
              <w:rPr>
                <w:rFonts w:ascii="Arial" w:hAnsi="Arial" w:cs="Arial"/>
                <w:sz w:val="22"/>
                <w:szCs w:val="22"/>
              </w:rPr>
            </w:pPr>
          </w:p>
        </w:tc>
        <w:tc>
          <w:tcPr>
            <w:tcW w:w="592" w:type="dxa"/>
            <w:vMerge w:val="continue"/>
            <w:tcBorders>
              <w:top w:val="single" w:color="auto" w:sz="6" w:space="0"/>
              <w:left w:val="single" w:color="auto" w:sz="6" w:space="0"/>
              <w:bottom w:val="single" w:color="auto" w:sz="6" w:space="0"/>
              <w:right w:val="single" w:color="auto" w:sz="6" w:space="0"/>
            </w:tcBorders>
            <w:noWrap w:val="0"/>
            <w:vAlign w:val="center"/>
          </w:tcPr>
          <w:p w14:paraId="3E855970">
            <w:pPr>
              <w:widowControl/>
              <w:spacing w:line="300" w:lineRule="exact"/>
              <w:jc w:val="center"/>
              <w:rPr>
                <w:rFonts w:ascii="Arial" w:hAnsi="Arial" w:cs="Arial"/>
                <w:sz w:val="22"/>
                <w:szCs w:val="22"/>
              </w:rPr>
            </w:pPr>
          </w:p>
        </w:tc>
        <w:tc>
          <w:tcPr>
            <w:tcW w:w="1235" w:type="dxa"/>
            <w:vMerge w:val="restart"/>
            <w:tcBorders>
              <w:top w:val="single" w:color="auto" w:sz="6" w:space="0"/>
              <w:left w:val="single" w:color="auto" w:sz="6" w:space="0"/>
              <w:bottom w:val="single" w:color="auto" w:sz="6" w:space="0"/>
              <w:right w:val="single" w:color="auto" w:sz="6" w:space="0"/>
            </w:tcBorders>
            <w:noWrap w:val="0"/>
            <w:vAlign w:val="center"/>
          </w:tcPr>
          <w:p w14:paraId="1AA1ADAE">
            <w:pPr>
              <w:pStyle w:val="946"/>
              <w:spacing w:line="300" w:lineRule="exact"/>
              <w:rPr>
                <w:rFonts w:ascii="Arial" w:hAnsi="Arial" w:cs="Arial"/>
                <w:sz w:val="22"/>
                <w:szCs w:val="22"/>
              </w:rPr>
            </w:pPr>
            <w:r>
              <w:rPr>
                <w:rFonts w:ascii="Arial" w:hAnsi="Arial" w:cs="Arial"/>
                <w:sz w:val="22"/>
                <w:szCs w:val="22"/>
              </w:rPr>
              <w:t>灌溉回</w:t>
            </w:r>
          </w:p>
          <w:p w14:paraId="2A1708E2">
            <w:pPr>
              <w:pStyle w:val="946"/>
              <w:spacing w:line="300" w:lineRule="exact"/>
              <w:rPr>
                <w:rFonts w:ascii="Arial" w:hAnsi="Arial" w:cs="Arial"/>
                <w:sz w:val="22"/>
                <w:szCs w:val="22"/>
              </w:rPr>
            </w:pPr>
            <w:r>
              <w:rPr>
                <w:rFonts w:hint="eastAsia" w:ascii="Arial" w:hAnsi="Arial" w:cs="Arial"/>
                <w:sz w:val="22"/>
                <w:szCs w:val="22"/>
                <w:lang w:val="en-US" w:eastAsia="zh-CN"/>
              </w:rPr>
              <w:t xml:space="preserve"> </w:t>
            </w:r>
            <w:r>
              <w:rPr>
                <w:rFonts w:ascii="Arial" w:hAnsi="Arial" w:cs="Arial"/>
                <w:sz w:val="22"/>
                <w:szCs w:val="22"/>
              </w:rPr>
              <w:t>归水</w:t>
            </w:r>
          </w:p>
        </w:tc>
        <w:tc>
          <w:tcPr>
            <w:tcW w:w="1325" w:type="dxa"/>
            <w:vMerge w:val="restart"/>
            <w:tcBorders>
              <w:top w:val="single" w:color="auto" w:sz="6" w:space="0"/>
              <w:left w:val="single" w:color="auto" w:sz="6" w:space="0"/>
              <w:bottom w:val="single" w:color="auto" w:sz="6" w:space="0"/>
              <w:right w:val="single" w:color="auto" w:sz="6" w:space="0"/>
            </w:tcBorders>
            <w:noWrap w:val="0"/>
            <w:vAlign w:val="center"/>
          </w:tcPr>
          <w:p w14:paraId="58E69418">
            <w:pPr>
              <w:pStyle w:val="946"/>
              <w:spacing w:line="300" w:lineRule="exact"/>
              <w:rPr>
                <w:rFonts w:ascii="Arial" w:hAnsi="Arial" w:cs="Arial"/>
                <w:sz w:val="22"/>
                <w:szCs w:val="22"/>
              </w:rPr>
            </w:pPr>
            <w:r>
              <w:rPr>
                <w:rFonts w:hint="eastAsia" w:ascii="Arial" w:hAnsi="Arial" w:cs="Arial"/>
                <w:sz w:val="22"/>
                <w:szCs w:val="22"/>
                <w:lang w:val="en-US" w:eastAsia="zh-CN"/>
              </w:rPr>
              <w:t>14.375</w:t>
            </w:r>
            <w:r>
              <w:rPr>
                <w:rFonts w:ascii="Arial" w:hAnsi="Arial" w:cs="Arial"/>
                <w:sz w:val="22"/>
                <w:szCs w:val="22"/>
              </w:rPr>
              <w:t>万m³</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13F478C6">
            <w:pPr>
              <w:pStyle w:val="946"/>
              <w:spacing w:line="300" w:lineRule="exact"/>
              <w:rPr>
                <w:rFonts w:ascii="Arial" w:hAnsi="Arial" w:cs="Arial"/>
                <w:sz w:val="22"/>
                <w:szCs w:val="22"/>
              </w:rPr>
            </w:pPr>
            <w:r>
              <w:rPr>
                <w:rFonts w:ascii="Arial" w:hAnsi="Arial" w:cs="Arial"/>
                <w:sz w:val="22"/>
                <w:szCs w:val="22"/>
              </w:rPr>
              <w:t>总氮</w:t>
            </w:r>
          </w:p>
        </w:tc>
        <w:tc>
          <w:tcPr>
            <w:tcW w:w="1187" w:type="dxa"/>
            <w:tcBorders>
              <w:top w:val="single" w:color="auto" w:sz="6" w:space="0"/>
              <w:left w:val="single" w:color="auto" w:sz="6" w:space="0"/>
              <w:bottom w:val="single" w:color="auto" w:sz="6" w:space="0"/>
              <w:right w:val="single" w:color="auto" w:sz="6" w:space="0"/>
            </w:tcBorders>
            <w:noWrap w:val="0"/>
            <w:vAlign w:val="center"/>
          </w:tcPr>
          <w:p w14:paraId="655CCFF3">
            <w:pPr>
              <w:pStyle w:val="946"/>
              <w:spacing w:line="300" w:lineRule="exact"/>
              <w:rPr>
                <w:rFonts w:ascii="Arial" w:hAnsi="Arial" w:cs="Arial"/>
                <w:sz w:val="22"/>
                <w:szCs w:val="22"/>
              </w:rPr>
            </w:pPr>
            <w:r>
              <w:rPr>
                <w:rFonts w:ascii="Arial" w:hAnsi="Arial" w:cs="Arial"/>
                <w:sz w:val="22"/>
                <w:szCs w:val="22"/>
              </w:rPr>
              <w:t>/</w:t>
            </w:r>
          </w:p>
        </w:tc>
        <w:tc>
          <w:tcPr>
            <w:tcW w:w="1364" w:type="dxa"/>
            <w:tcBorders>
              <w:top w:val="single" w:color="auto" w:sz="6" w:space="0"/>
              <w:left w:val="single" w:color="auto" w:sz="6" w:space="0"/>
              <w:bottom w:val="single" w:color="auto" w:sz="6" w:space="0"/>
              <w:right w:val="single" w:color="auto" w:sz="6" w:space="0"/>
            </w:tcBorders>
            <w:noWrap w:val="0"/>
            <w:vAlign w:val="center"/>
          </w:tcPr>
          <w:p w14:paraId="5BCFFF8B">
            <w:pPr>
              <w:pStyle w:val="946"/>
              <w:spacing w:line="300" w:lineRule="exact"/>
              <w:rPr>
                <w:rFonts w:ascii="Arial" w:hAnsi="Arial" w:cs="Arial"/>
                <w:sz w:val="22"/>
                <w:szCs w:val="22"/>
              </w:rPr>
            </w:pPr>
            <w:r>
              <w:rPr>
                <w:rFonts w:ascii="Arial" w:hAnsi="Arial" w:cs="Arial"/>
                <w:sz w:val="22"/>
                <w:szCs w:val="22"/>
              </w:rPr>
              <w:t>/</w:t>
            </w:r>
          </w:p>
        </w:tc>
        <w:tc>
          <w:tcPr>
            <w:tcW w:w="2226" w:type="dxa"/>
            <w:vMerge w:val="restart"/>
            <w:tcBorders>
              <w:top w:val="single" w:color="auto" w:sz="6" w:space="0"/>
              <w:left w:val="single" w:color="auto" w:sz="6" w:space="0"/>
              <w:bottom w:val="single" w:color="auto" w:sz="6" w:space="0"/>
              <w:right w:val="single" w:color="auto" w:sz="6" w:space="0"/>
            </w:tcBorders>
            <w:noWrap w:val="0"/>
            <w:vAlign w:val="center"/>
          </w:tcPr>
          <w:p w14:paraId="420622A2">
            <w:pPr>
              <w:pStyle w:val="946"/>
              <w:spacing w:line="300" w:lineRule="exact"/>
              <w:rPr>
                <w:rFonts w:ascii="Arial" w:hAnsi="Arial" w:cs="Arial"/>
                <w:sz w:val="22"/>
                <w:szCs w:val="22"/>
              </w:rPr>
            </w:pPr>
            <w:r>
              <w:rPr>
                <w:rFonts w:ascii="Arial" w:hAnsi="Arial" w:cs="Arial"/>
                <w:sz w:val="22"/>
                <w:szCs w:val="22"/>
              </w:rPr>
              <w:t>/</w:t>
            </w:r>
          </w:p>
        </w:tc>
        <w:tc>
          <w:tcPr>
            <w:tcW w:w="1275" w:type="dxa"/>
            <w:vMerge w:val="restart"/>
            <w:tcBorders>
              <w:top w:val="single" w:color="auto" w:sz="6" w:space="0"/>
              <w:left w:val="single" w:color="auto" w:sz="6" w:space="0"/>
              <w:bottom w:val="single" w:color="auto" w:sz="6" w:space="0"/>
              <w:right w:val="single" w:color="auto" w:sz="6" w:space="0"/>
            </w:tcBorders>
            <w:noWrap w:val="0"/>
            <w:vAlign w:val="center"/>
          </w:tcPr>
          <w:p w14:paraId="3243271A">
            <w:pPr>
              <w:pStyle w:val="946"/>
              <w:spacing w:line="300" w:lineRule="exact"/>
              <w:rPr>
                <w:rFonts w:hint="eastAsia" w:ascii="Arial" w:hAnsi="Arial" w:cs="Arial"/>
                <w:sz w:val="22"/>
                <w:szCs w:val="22"/>
                <w:lang w:eastAsia="zh-CN"/>
              </w:rPr>
            </w:pPr>
            <w:r>
              <w:rPr>
                <w:rFonts w:hint="eastAsia" w:ascii="Arial" w:hAnsi="Arial" w:cs="Arial"/>
                <w:sz w:val="22"/>
                <w:szCs w:val="22"/>
                <w:lang w:val="en-US" w:eastAsia="zh-CN"/>
              </w:rPr>
              <w:t>14.375</w:t>
            </w:r>
            <w:r>
              <w:rPr>
                <w:rFonts w:ascii="Arial" w:hAnsi="Arial" w:cs="Arial"/>
                <w:sz w:val="22"/>
                <w:szCs w:val="22"/>
              </w:rPr>
              <w:t>万m</w:t>
            </w:r>
            <w:r>
              <w:rPr>
                <w:rFonts w:hint="eastAsia" w:ascii="Arial" w:hAnsi="Arial" w:cs="Arial"/>
                <w:sz w:val="22"/>
                <w:szCs w:val="22"/>
                <w:vertAlign w:val="superscript"/>
                <w:lang w:eastAsia="zh-CN"/>
              </w:rPr>
              <w:t>3</w:t>
            </w:r>
          </w:p>
        </w:tc>
        <w:tc>
          <w:tcPr>
            <w:tcW w:w="851" w:type="dxa"/>
            <w:tcBorders>
              <w:top w:val="single" w:color="auto" w:sz="6" w:space="0"/>
              <w:left w:val="single" w:color="auto" w:sz="6" w:space="0"/>
              <w:bottom w:val="single" w:color="auto" w:sz="6" w:space="0"/>
              <w:right w:val="single" w:color="auto" w:sz="6" w:space="0"/>
            </w:tcBorders>
            <w:noWrap w:val="0"/>
            <w:vAlign w:val="center"/>
          </w:tcPr>
          <w:p w14:paraId="728A43C7">
            <w:pPr>
              <w:pStyle w:val="946"/>
              <w:spacing w:line="300" w:lineRule="exact"/>
              <w:rPr>
                <w:rFonts w:ascii="Arial" w:hAnsi="Arial" w:cs="Arial"/>
                <w:sz w:val="22"/>
                <w:szCs w:val="22"/>
              </w:rPr>
            </w:pPr>
            <w:r>
              <w:rPr>
                <w:rFonts w:ascii="Arial" w:hAnsi="Arial" w:cs="Arial"/>
                <w:sz w:val="22"/>
                <w:szCs w:val="22"/>
              </w:rPr>
              <w:t>/</w:t>
            </w:r>
          </w:p>
        </w:tc>
        <w:tc>
          <w:tcPr>
            <w:tcW w:w="1177" w:type="dxa"/>
            <w:tcBorders>
              <w:top w:val="single" w:color="auto" w:sz="6" w:space="0"/>
              <w:left w:val="single" w:color="auto" w:sz="6" w:space="0"/>
              <w:bottom w:val="single" w:color="auto" w:sz="6" w:space="0"/>
              <w:right w:val="single" w:color="auto" w:sz="6" w:space="0"/>
            </w:tcBorders>
            <w:noWrap w:val="0"/>
            <w:vAlign w:val="center"/>
          </w:tcPr>
          <w:p w14:paraId="63C78CDE">
            <w:pPr>
              <w:pStyle w:val="946"/>
              <w:spacing w:line="300" w:lineRule="exact"/>
              <w:rPr>
                <w:rFonts w:ascii="Arial" w:hAnsi="Arial" w:cs="Arial"/>
                <w:sz w:val="22"/>
                <w:szCs w:val="22"/>
              </w:rPr>
            </w:pPr>
            <w:r>
              <w:rPr>
                <w:rFonts w:ascii="Arial" w:hAnsi="Arial" w:cs="Arial"/>
                <w:sz w:val="22"/>
                <w:szCs w:val="22"/>
              </w:rPr>
              <w:t>/</w:t>
            </w:r>
          </w:p>
        </w:tc>
        <w:tc>
          <w:tcPr>
            <w:tcW w:w="1275" w:type="dxa"/>
            <w:vMerge w:val="restart"/>
            <w:tcBorders>
              <w:top w:val="single" w:color="auto" w:sz="6" w:space="0"/>
              <w:left w:val="single" w:color="auto" w:sz="6" w:space="0"/>
              <w:bottom w:val="single" w:color="auto" w:sz="6" w:space="0"/>
              <w:right w:val="single" w:color="auto" w:sz="12" w:space="0"/>
            </w:tcBorders>
            <w:noWrap w:val="0"/>
            <w:vAlign w:val="center"/>
          </w:tcPr>
          <w:p w14:paraId="41D5D0AA">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海螺沟、高洞桥河、双龙河</w:t>
            </w:r>
          </w:p>
        </w:tc>
      </w:tr>
      <w:tr w14:paraId="0FC567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op w:val="single" w:color="auto" w:sz="6" w:space="0"/>
              <w:left w:val="single" w:color="auto" w:sz="12" w:space="0"/>
              <w:bottom w:val="single" w:color="auto" w:sz="6" w:space="0"/>
              <w:right w:val="single" w:color="auto" w:sz="6" w:space="0"/>
            </w:tcBorders>
            <w:noWrap w:val="0"/>
            <w:vAlign w:val="center"/>
          </w:tcPr>
          <w:p w14:paraId="7638CE10">
            <w:pPr>
              <w:widowControl/>
              <w:spacing w:line="300" w:lineRule="exact"/>
              <w:jc w:val="center"/>
              <w:rPr>
                <w:rFonts w:ascii="Arial" w:hAnsi="Arial" w:cs="Arial"/>
                <w:sz w:val="22"/>
                <w:szCs w:val="22"/>
              </w:rPr>
            </w:pPr>
          </w:p>
        </w:tc>
        <w:tc>
          <w:tcPr>
            <w:tcW w:w="592" w:type="dxa"/>
            <w:vMerge w:val="continue"/>
            <w:tcBorders>
              <w:top w:val="single" w:color="auto" w:sz="6" w:space="0"/>
              <w:left w:val="single" w:color="auto" w:sz="6" w:space="0"/>
              <w:bottom w:val="single" w:color="auto" w:sz="6" w:space="0"/>
              <w:right w:val="single" w:color="auto" w:sz="6" w:space="0"/>
            </w:tcBorders>
            <w:noWrap w:val="0"/>
            <w:vAlign w:val="center"/>
          </w:tcPr>
          <w:p w14:paraId="1327A492">
            <w:pPr>
              <w:widowControl/>
              <w:spacing w:line="300" w:lineRule="exact"/>
              <w:jc w:val="center"/>
              <w:rPr>
                <w:rFonts w:ascii="Arial" w:hAnsi="Arial" w:cs="Arial"/>
                <w:sz w:val="22"/>
                <w:szCs w:val="22"/>
              </w:rPr>
            </w:pPr>
          </w:p>
        </w:tc>
        <w:tc>
          <w:tcPr>
            <w:tcW w:w="1235" w:type="dxa"/>
            <w:vMerge w:val="continue"/>
            <w:tcBorders>
              <w:top w:val="single" w:color="auto" w:sz="6" w:space="0"/>
              <w:left w:val="single" w:color="auto" w:sz="6" w:space="0"/>
              <w:bottom w:val="single" w:color="auto" w:sz="6" w:space="0"/>
              <w:right w:val="single" w:color="auto" w:sz="6" w:space="0"/>
            </w:tcBorders>
            <w:noWrap w:val="0"/>
            <w:vAlign w:val="center"/>
          </w:tcPr>
          <w:p w14:paraId="1930D74D">
            <w:pPr>
              <w:widowControl/>
              <w:spacing w:line="300" w:lineRule="exact"/>
              <w:jc w:val="center"/>
              <w:rPr>
                <w:rFonts w:ascii="Arial" w:hAnsi="Arial" w:cs="Arial"/>
                <w:sz w:val="22"/>
                <w:szCs w:val="22"/>
              </w:rPr>
            </w:pPr>
          </w:p>
        </w:tc>
        <w:tc>
          <w:tcPr>
            <w:tcW w:w="1325" w:type="dxa"/>
            <w:vMerge w:val="continue"/>
            <w:tcBorders>
              <w:top w:val="single" w:color="auto" w:sz="6" w:space="0"/>
              <w:left w:val="single" w:color="auto" w:sz="6" w:space="0"/>
              <w:bottom w:val="single" w:color="auto" w:sz="6" w:space="0"/>
              <w:right w:val="single" w:color="auto" w:sz="6" w:space="0"/>
            </w:tcBorders>
            <w:noWrap w:val="0"/>
            <w:vAlign w:val="center"/>
          </w:tcPr>
          <w:p w14:paraId="7720C400">
            <w:pPr>
              <w:widowControl/>
              <w:spacing w:line="300" w:lineRule="exact"/>
              <w:jc w:val="center"/>
              <w:rPr>
                <w:rFonts w:ascii="Arial" w:hAnsi="Arial" w:cs="Arial"/>
                <w:sz w:val="22"/>
                <w:szCs w:val="22"/>
              </w:rPr>
            </w:pPr>
          </w:p>
        </w:tc>
        <w:tc>
          <w:tcPr>
            <w:tcW w:w="1035" w:type="dxa"/>
            <w:tcBorders>
              <w:top w:val="single" w:color="auto" w:sz="6" w:space="0"/>
              <w:left w:val="single" w:color="auto" w:sz="6" w:space="0"/>
              <w:bottom w:val="single" w:color="auto" w:sz="6" w:space="0"/>
              <w:right w:val="single" w:color="auto" w:sz="6" w:space="0"/>
            </w:tcBorders>
            <w:noWrap w:val="0"/>
            <w:vAlign w:val="center"/>
          </w:tcPr>
          <w:p w14:paraId="4B6C16F9">
            <w:pPr>
              <w:pStyle w:val="946"/>
              <w:spacing w:line="300" w:lineRule="exact"/>
              <w:rPr>
                <w:rFonts w:ascii="Arial" w:hAnsi="Arial" w:cs="Arial"/>
                <w:sz w:val="22"/>
                <w:szCs w:val="22"/>
              </w:rPr>
            </w:pPr>
            <w:r>
              <w:rPr>
                <w:rFonts w:ascii="Arial" w:hAnsi="Arial" w:cs="Arial"/>
                <w:sz w:val="22"/>
                <w:szCs w:val="22"/>
              </w:rPr>
              <w:t>总磷</w:t>
            </w:r>
          </w:p>
        </w:tc>
        <w:tc>
          <w:tcPr>
            <w:tcW w:w="1187" w:type="dxa"/>
            <w:tcBorders>
              <w:top w:val="single" w:color="auto" w:sz="6" w:space="0"/>
              <w:left w:val="single" w:color="auto" w:sz="6" w:space="0"/>
              <w:bottom w:val="single" w:color="auto" w:sz="6" w:space="0"/>
              <w:right w:val="single" w:color="auto" w:sz="6" w:space="0"/>
            </w:tcBorders>
            <w:noWrap w:val="0"/>
            <w:vAlign w:val="center"/>
          </w:tcPr>
          <w:p w14:paraId="6E0AC767">
            <w:pPr>
              <w:pStyle w:val="946"/>
              <w:spacing w:line="300" w:lineRule="exact"/>
              <w:rPr>
                <w:rFonts w:ascii="Arial" w:hAnsi="Arial" w:cs="Arial"/>
                <w:sz w:val="22"/>
                <w:szCs w:val="22"/>
              </w:rPr>
            </w:pPr>
            <w:r>
              <w:rPr>
                <w:rFonts w:ascii="Arial" w:hAnsi="Arial" w:cs="Arial"/>
                <w:sz w:val="22"/>
                <w:szCs w:val="22"/>
              </w:rPr>
              <w:t>/</w:t>
            </w:r>
          </w:p>
        </w:tc>
        <w:tc>
          <w:tcPr>
            <w:tcW w:w="1364" w:type="dxa"/>
            <w:tcBorders>
              <w:top w:val="single" w:color="auto" w:sz="6" w:space="0"/>
              <w:left w:val="single" w:color="auto" w:sz="6" w:space="0"/>
              <w:bottom w:val="single" w:color="auto" w:sz="6" w:space="0"/>
              <w:right w:val="single" w:color="auto" w:sz="6" w:space="0"/>
            </w:tcBorders>
            <w:noWrap w:val="0"/>
            <w:vAlign w:val="center"/>
          </w:tcPr>
          <w:p w14:paraId="27723006">
            <w:pPr>
              <w:pStyle w:val="946"/>
              <w:spacing w:line="300" w:lineRule="exact"/>
              <w:rPr>
                <w:rFonts w:ascii="Arial" w:hAnsi="Arial" w:cs="Arial"/>
                <w:sz w:val="22"/>
                <w:szCs w:val="22"/>
              </w:rPr>
            </w:pPr>
            <w:r>
              <w:rPr>
                <w:rFonts w:ascii="Arial" w:hAnsi="Arial" w:cs="Arial"/>
                <w:sz w:val="22"/>
                <w:szCs w:val="22"/>
              </w:rPr>
              <w:t>/</w:t>
            </w:r>
          </w:p>
        </w:tc>
        <w:tc>
          <w:tcPr>
            <w:tcW w:w="2226" w:type="dxa"/>
            <w:vMerge w:val="continue"/>
            <w:tcBorders>
              <w:top w:val="single" w:color="auto" w:sz="6" w:space="0"/>
              <w:left w:val="single" w:color="auto" w:sz="6" w:space="0"/>
              <w:bottom w:val="single" w:color="auto" w:sz="6" w:space="0"/>
              <w:right w:val="single" w:color="auto" w:sz="6" w:space="0"/>
            </w:tcBorders>
            <w:noWrap w:val="0"/>
            <w:vAlign w:val="center"/>
          </w:tcPr>
          <w:p w14:paraId="19E456DA">
            <w:pPr>
              <w:widowControl/>
              <w:spacing w:line="300" w:lineRule="exact"/>
              <w:jc w:val="center"/>
              <w:rPr>
                <w:rFonts w:ascii="Arial" w:hAnsi="Arial" w:cs="Arial"/>
                <w:sz w:val="22"/>
                <w:szCs w:val="22"/>
              </w:rPr>
            </w:pPr>
          </w:p>
        </w:tc>
        <w:tc>
          <w:tcPr>
            <w:tcW w:w="1275" w:type="dxa"/>
            <w:vMerge w:val="continue"/>
            <w:tcBorders>
              <w:top w:val="single" w:color="auto" w:sz="6" w:space="0"/>
              <w:left w:val="single" w:color="auto" w:sz="6" w:space="0"/>
              <w:bottom w:val="single" w:color="auto" w:sz="6" w:space="0"/>
              <w:right w:val="single" w:color="auto" w:sz="6" w:space="0"/>
            </w:tcBorders>
            <w:noWrap w:val="0"/>
            <w:vAlign w:val="center"/>
          </w:tcPr>
          <w:p w14:paraId="2044EA9D">
            <w:pPr>
              <w:widowControl/>
              <w:spacing w:line="300" w:lineRule="exact"/>
              <w:jc w:val="center"/>
              <w:rPr>
                <w:rFonts w:ascii="Arial" w:hAnsi="Arial" w:cs="Arial"/>
                <w:sz w:val="22"/>
                <w:szCs w:val="22"/>
              </w:rPr>
            </w:pPr>
          </w:p>
        </w:tc>
        <w:tc>
          <w:tcPr>
            <w:tcW w:w="851" w:type="dxa"/>
            <w:tcBorders>
              <w:top w:val="single" w:color="auto" w:sz="6" w:space="0"/>
              <w:left w:val="single" w:color="auto" w:sz="6" w:space="0"/>
              <w:bottom w:val="single" w:color="auto" w:sz="6" w:space="0"/>
              <w:right w:val="single" w:color="auto" w:sz="6" w:space="0"/>
            </w:tcBorders>
            <w:noWrap w:val="0"/>
            <w:vAlign w:val="center"/>
          </w:tcPr>
          <w:p w14:paraId="55AEB23D">
            <w:pPr>
              <w:pStyle w:val="946"/>
              <w:spacing w:line="300" w:lineRule="exact"/>
              <w:rPr>
                <w:rFonts w:ascii="Arial" w:hAnsi="Arial" w:cs="Arial"/>
                <w:sz w:val="22"/>
                <w:szCs w:val="22"/>
              </w:rPr>
            </w:pPr>
            <w:r>
              <w:rPr>
                <w:rFonts w:ascii="Arial" w:hAnsi="Arial" w:cs="Arial"/>
                <w:sz w:val="22"/>
                <w:szCs w:val="22"/>
              </w:rPr>
              <w:t>/</w:t>
            </w:r>
          </w:p>
        </w:tc>
        <w:tc>
          <w:tcPr>
            <w:tcW w:w="1177" w:type="dxa"/>
            <w:tcBorders>
              <w:top w:val="single" w:color="auto" w:sz="6" w:space="0"/>
              <w:left w:val="single" w:color="auto" w:sz="6" w:space="0"/>
              <w:bottom w:val="single" w:color="auto" w:sz="6" w:space="0"/>
              <w:right w:val="single" w:color="auto" w:sz="6" w:space="0"/>
            </w:tcBorders>
            <w:noWrap w:val="0"/>
            <w:vAlign w:val="center"/>
          </w:tcPr>
          <w:p w14:paraId="48F729E9">
            <w:pPr>
              <w:pStyle w:val="946"/>
              <w:spacing w:line="300" w:lineRule="exact"/>
              <w:rPr>
                <w:rFonts w:ascii="Arial" w:hAnsi="Arial" w:cs="Arial"/>
                <w:sz w:val="22"/>
                <w:szCs w:val="22"/>
              </w:rPr>
            </w:pPr>
            <w:r>
              <w:rPr>
                <w:rFonts w:ascii="Arial" w:hAnsi="Arial" w:cs="Arial"/>
                <w:sz w:val="22"/>
                <w:szCs w:val="22"/>
              </w:rPr>
              <w:t>/</w:t>
            </w:r>
          </w:p>
        </w:tc>
        <w:tc>
          <w:tcPr>
            <w:tcW w:w="1275" w:type="dxa"/>
            <w:vMerge w:val="continue"/>
            <w:tcBorders>
              <w:top w:val="single" w:color="auto" w:sz="6" w:space="0"/>
              <w:left w:val="single" w:color="auto" w:sz="6" w:space="0"/>
              <w:bottom w:val="single" w:color="auto" w:sz="6" w:space="0"/>
              <w:right w:val="single" w:color="auto" w:sz="12" w:space="0"/>
            </w:tcBorders>
            <w:noWrap w:val="0"/>
            <w:vAlign w:val="center"/>
          </w:tcPr>
          <w:p w14:paraId="6554C695">
            <w:pPr>
              <w:widowControl/>
              <w:spacing w:line="300" w:lineRule="exact"/>
              <w:jc w:val="center"/>
              <w:rPr>
                <w:rFonts w:ascii="Arial" w:hAnsi="Arial" w:cs="Arial"/>
                <w:sz w:val="22"/>
                <w:szCs w:val="22"/>
              </w:rPr>
            </w:pPr>
          </w:p>
        </w:tc>
      </w:tr>
      <w:tr w14:paraId="73D89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op w:val="single" w:color="auto" w:sz="6" w:space="0"/>
              <w:left w:val="single" w:color="auto" w:sz="12" w:space="0"/>
              <w:bottom w:val="single" w:color="auto" w:sz="6" w:space="0"/>
              <w:right w:val="single" w:color="auto" w:sz="6" w:space="0"/>
            </w:tcBorders>
            <w:noWrap w:val="0"/>
            <w:vAlign w:val="center"/>
          </w:tcPr>
          <w:p w14:paraId="16091BDC">
            <w:pPr>
              <w:widowControl/>
              <w:spacing w:line="300" w:lineRule="exact"/>
              <w:jc w:val="center"/>
              <w:rPr>
                <w:rFonts w:ascii="Arial" w:hAnsi="Arial" w:cs="Arial"/>
                <w:sz w:val="22"/>
                <w:szCs w:val="22"/>
              </w:rPr>
            </w:pPr>
          </w:p>
        </w:tc>
        <w:tc>
          <w:tcPr>
            <w:tcW w:w="592" w:type="dxa"/>
            <w:tcBorders>
              <w:top w:val="single" w:color="auto" w:sz="6" w:space="0"/>
              <w:left w:val="single" w:color="auto" w:sz="6" w:space="0"/>
              <w:bottom w:val="single" w:color="auto" w:sz="6" w:space="0"/>
              <w:right w:val="single" w:color="auto" w:sz="6" w:space="0"/>
            </w:tcBorders>
            <w:noWrap w:val="0"/>
            <w:vAlign w:val="center"/>
          </w:tcPr>
          <w:p w14:paraId="7F71BA9A">
            <w:pPr>
              <w:pStyle w:val="946"/>
              <w:spacing w:line="300" w:lineRule="exact"/>
              <w:rPr>
                <w:rFonts w:ascii="Arial" w:hAnsi="Arial" w:cs="Arial"/>
                <w:sz w:val="22"/>
                <w:szCs w:val="22"/>
              </w:rPr>
            </w:pPr>
            <w:r>
              <w:rPr>
                <w:rFonts w:ascii="Arial" w:hAnsi="Arial" w:cs="Arial"/>
                <w:sz w:val="22"/>
                <w:szCs w:val="22"/>
              </w:rPr>
              <w:t>废气</w:t>
            </w:r>
          </w:p>
        </w:tc>
        <w:tc>
          <w:tcPr>
            <w:tcW w:w="1235" w:type="dxa"/>
            <w:tcBorders>
              <w:top w:val="single" w:color="auto" w:sz="6" w:space="0"/>
              <w:left w:val="single" w:color="auto" w:sz="6" w:space="0"/>
              <w:bottom w:val="single" w:color="auto" w:sz="6" w:space="0"/>
              <w:right w:val="single" w:color="auto" w:sz="6" w:space="0"/>
            </w:tcBorders>
            <w:noWrap w:val="0"/>
            <w:vAlign w:val="center"/>
          </w:tcPr>
          <w:p w14:paraId="000007C0">
            <w:pPr>
              <w:pStyle w:val="946"/>
              <w:spacing w:line="300" w:lineRule="exact"/>
              <w:rPr>
                <w:rFonts w:hint="eastAsia" w:ascii="Arial" w:hAnsi="Arial" w:eastAsia="宋体" w:cs="Arial"/>
                <w:sz w:val="22"/>
                <w:szCs w:val="22"/>
                <w:lang w:eastAsia="zh-CN"/>
              </w:rPr>
            </w:pPr>
            <w:r>
              <w:rPr>
                <w:rFonts w:hint="eastAsia" w:ascii="Arial" w:hAnsi="Arial" w:cs="Arial"/>
                <w:sz w:val="22"/>
                <w:szCs w:val="22"/>
                <w:lang w:eastAsia="zh-CN"/>
              </w:rPr>
              <w:t>管理房内食堂</w:t>
            </w:r>
          </w:p>
        </w:tc>
        <w:tc>
          <w:tcPr>
            <w:tcW w:w="1325" w:type="dxa"/>
            <w:tcBorders>
              <w:top w:val="single" w:color="auto" w:sz="6" w:space="0"/>
              <w:left w:val="single" w:color="auto" w:sz="6" w:space="0"/>
              <w:bottom w:val="single" w:color="auto" w:sz="6" w:space="0"/>
              <w:right w:val="single" w:color="auto" w:sz="6" w:space="0"/>
            </w:tcBorders>
            <w:noWrap w:val="0"/>
            <w:vAlign w:val="center"/>
          </w:tcPr>
          <w:p w14:paraId="3A635A4F">
            <w:pPr>
              <w:pStyle w:val="946"/>
              <w:spacing w:line="300" w:lineRule="exact"/>
              <w:rPr>
                <w:rFonts w:ascii="Arial" w:hAnsi="Arial" w:cs="Arial"/>
                <w:sz w:val="22"/>
                <w:szCs w:val="22"/>
              </w:rPr>
            </w:pPr>
            <w:r>
              <w:rPr>
                <w:rFonts w:ascii="Arial" w:hAnsi="Arial" w:cs="Arial"/>
                <w:sz w:val="22"/>
                <w:szCs w:val="22"/>
              </w:rPr>
              <w:t>/</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6BE50087">
            <w:pPr>
              <w:pStyle w:val="946"/>
              <w:spacing w:line="300" w:lineRule="exact"/>
              <w:rPr>
                <w:rFonts w:ascii="Arial" w:hAnsi="Arial" w:cs="Arial"/>
                <w:sz w:val="22"/>
                <w:szCs w:val="22"/>
              </w:rPr>
            </w:pPr>
            <w:r>
              <w:rPr>
                <w:rFonts w:ascii="Arial" w:hAnsi="Arial" w:cs="Arial"/>
                <w:sz w:val="22"/>
                <w:szCs w:val="22"/>
              </w:rPr>
              <w:t>油烟</w:t>
            </w:r>
          </w:p>
        </w:tc>
        <w:tc>
          <w:tcPr>
            <w:tcW w:w="1187" w:type="dxa"/>
            <w:tcBorders>
              <w:top w:val="single" w:color="auto" w:sz="6" w:space="0"/>
              <w:left w:val="single" w:color="auto" w:sz="6" w:space="0"/>
              <w:bottom w:val="single" w:color="auto" w:sz="6" w:space="0"/>
              <w:right w:val="single" w:color="auto" w:sz="6" w:space="0"/>
            </w:tcBorders>
            <w:noWrap w:val="0"/>
            <w:vAlign w:val="center"/>
          </w:tcPr>
          <w:p w14:paraId="6EB93A62">
            <w:pPr>
              <w:pStyle w:val="946"/>
              <w:spacing w:line="300" w:lineRule="exact"/>
              <w:rPr>
                <w:rFonts w:ascii="Arial" w:hAnsi="Arial" w:cs="Arial"/>
                <w:sz w:val="22"/>
                <w:szCs w:val="22"/>
              </w:rPr>
            </w:pPr>
            <w:r>
              <w:rPr>
                <w:rFonts w:ascii="Arial" w:hAnsi="Arial" w:cs="Arial"/>
                <w:sz w:val="22"/>
                <w:szCs w:val="22"/>
              </w:rPr>
              <w:t>/</w:t>
            </w:r>
          </w:p>
        </w:tc>
        <w:tc>
          <w:tcPr>
            <w:tcW w:w="1364" w:type="dxa"/>
            <w:tcBorders>
              <w:top w:val="single" w:color="auto" w:sz="6" w:space="0"/>
              <w:left w:val="single" w:color="auto" w:sz="6" w:space="0"/>
              <w:bottom w:val="single" w:color="auto" w:sz="6" w:space="0"/>
              <w:right w:val="single" w:color="auto" w:sz="6" w:space="0"/>
            </w:tcBorders>
            <w:noWrap w:val="0"/>
            <w:vAlign w:val="center"/>
          </w:tcPr>
          <w:p w14:paraId="31C74231">
            <w:pPr>
              <w:pStyle w:val="946"/>
              <w:spacing w:line="300" w:lineRule="exact"/>
              <w:rPr>
                <w:rFonts w:ascii="Arial" w:hAnsi="Arial" w:cs="Arial"/>
                <w:sz w:val="22"/>
                <w:szCs w:val="22"/>
              </w:rPr>
            </w:pPr>
            <w:r>
              <w:rPr>
                <w:rFonts w:ascii="Arial" w:hAnsi="Arial" w:cs="Arial"/>
                <w:sz w:val="22"/>
                <w:szCs w:val="22"/>
              </w:rPr>
              <w:t>少量</w:t>
            </w:r>
          </w:p>
        </w:tc>
        <w:tc>
          <w:tcPr>
            <w:tcW w:w="2226" w:type="dxa"/>
            <w:tcBorders>
              <w:top w:val="single" w:color="auto" w:sz="6" w:space="0"/>
              <w:left w:val="single" w:color="auto" w:sz="6" w:space="0"/>
              <w:bottom w:val="single" w:color="auto" w:sz="6" w:space="0"/>
              <w:right w:val="single" w:color="auto" w:sz="6" w:space="0"/>
            </w:tcBorders>
            <w:noWrap w:val="0"/>
            <w:vAlign w:val="center"/>
          </w:tcPr>
          <w:p w14:paraId="442D41BF">
            <w:pPr>
              <w:pStyle w:val="946"/>
              <w:spacing w:line="300" w:lineRule="exact"/>
              <w:rPr>
                <w:rFonts w:ascii="Arial" w:hAnsi="Arial" w:cs="Arial"/>
                <w:sz w:val="22"/>
                <w:szCs w:val="22"/>
              </w:rPr>
            </w:pPr>
            <w:r>
              <w:rPr>
                <w:rFonts w:ascii="Arial" w:hAnsi="Arial" w:cs="Arial"/>
                <w:sz w:val="22"/>
                <w:szCs w:val="22"/>
              </w:rPr>
              <w:t>油烟净化器净化处理后</w:t>
            </w:r>
            <w:r>
              <w:rPr>
                <w:rFonts w:hint="eastAsia" w:ascii="Arial" w:hAnsi="Arial" w:cs="Arial"/>
                <w:sz w:val="22"/>
                <w:szCs w:val="22"/>
                <w:lang w:eastAsia="zh-CN"/>
              </w:rPr>
              <w:t>引至屋顶</w:t>
            </w:r>
            <w:r>
              <w:rPr>
                <w:rFonts w:ascii="Arial" w:hAnsi="Arial" w:cs="Arial"/>
                <w:sz w:val="22"/>
                <w:szCs w:val="22"/>
              </w:rPr>
              <w:t>排放</w:t>
            </w:r>
          </w:p>
        </w:tc>
        <w:tc>
          <w:tcPr>
            <w:tcW w:w="1275" w:type="dxa"/>
            <w:tcBorders>
              <w:top w:val="single" w:color="auto" w:sz="6" w:space="0"/>
              <w:left w:val="single" w:color="auto" w:sz="6" w:space="0"/>
              <w:bottom w:val="single" w:color="auto" w:sz="6" w:space="0"/>
              <w:right w:val="single" w:color="auto" w:sz="6" w:space="0"/>
            </w:tcBorders>
            <w:noWrap w:val="0"/>
            <w:vAlign w:val="center"/>
          </w:tcPr>
          <w:p w14:paraId="55D77E23">
            <w:pPr>
              <w:pStyle w:val="946"/>
              <w:spacing w:line="300" w:lineRule="exact"/>
              <w:rPr>
                <w:rFonts w:ascii="Arial" w:hAnsi="Arial" w:cs="Arial"/>
                <w:sz w:val="22"/>
                <w:szCs w:val="22"/>
              </w:rPr>
            </w:pPr>
            <w:r>
              <w:rPr>
                <w:rFonts w:ascii="Arial" w:hAnsi="Arial" w:cs="Arial"/>
                <w:sz w:val="22"/>
                <w:szCs w:val="22"/>
              </w:rPr>
              <w:t>/</w:t>
            </w:r>
          </w:p>
        </w:tc>
        <w:tc>
          <w:tcPr>
            <w:tcW w:w="851" w:type="dxa"/>
            <w:tcBorders>
              <w:top w:val="single" w:color="auto" w:sz="6" w:space="0"/>
              <w:left w:val="single" w:color="auto" w:sz="6" w:space="0"/>
              <w:bottom w:val="single" w:color="auto" w:sz="6" w:space="0"/>
              <w:right w:val="single" w:color="auto" w:sz="6" w:space="0"/>
            </w:tcBorders>
            <w:noWrap w:val="0"/>
            <w:vAlign w:val="center"/>
          </w:tcPr>
          <w:p w14:paraId="3A6847ED">
            <w:pPr>
              <w:pStyle w:val="946"/>
              <w:spacing w:line="300" w:lineRule="exact"/>
              <w:rPr>
                <w:rFonts w:ascii="Arial" w:hAnsi="Arial" w:cs="Arial"/>
                <w:sz w:val="22"/>
                <w:szCs w:val="22"/>
              </w:rPr>
            </w:pPr>
            <w:r>
              <w:rPr>
                <w:rFonts w:ascii="Arial" w:hAnsi="Arial" w:cs="Arial"/>
                <w:sz w:val="22"/>
                <w:szCs w:val="22"/>
              </w:rPr>
              <w:t>/</w:t>
            </w:r>
          </w:p>
        </w:tc>
        <w:tc>
          <w:tcPr>
            <w:tcW w:w="1177" w:type="dxa"/>
            <w:tcBorders>
              <w:top w:val="single" w:color="auto" w:sz="6" w:space="0"/>
              <w:left w:val="single" w:color="auto" w:sz="6" w:space="0"/>
              <w:bottom w:val="single" w:color="auto" w:sz="6" w:space="0"/>
              <w:right w:val="single" w:color="auto" w:sz="6" w:space="0"/>
            </w:tcBorders>
            <w:noWrap w:val="0"/>
            <w:vAlign w:val="center"/>
          </w:tcPr>
          <w:p w14:paraId="070C49DA">
            <w:pPr>
              <w:pStyle w:val="946"/>
              <w:spacing w:line="300" w:lineRule="exact"/>
              <w:rPr>
                <w:rFonts w:ascii="Arial" w:hAnsi="Arial" w:cs="Arial"/>
                <w:sz w:val="22"/>
                <w:szCs w:val="22"/>
              </w:rPr>
            </w:pPr>
            <w:r>
              <w:rPr>
                <w:rFonts w:ascii="Arial" w:hAnsi="Arial" w:cs="Arial"/>
                <w:sz w:val="22"/>
                <w:szCs w:val="22"/>
              </w:rPr>
              <w:t>/</w:t>
            </w:r>
          </w:p>
        </w:tc>
        <w:tc>
          <w:tcPr>
            <w:tcW w:w="1275" w:type="dxa"/>
            <w:tcBorders>
              <w:top w:val="single" w:color="auto" w:sz="6" w:space="0"/>
              <w:left w:val="single" w:color="auto" w:sz="6" w:space="0"/>
              <w:bottom w:val="single" w:color="auto" w:sz="6" w:space="0"/>
              <w:right w:val="single" w:color="auto" w:sz="12" w:space="0"/>
            </w:tcBorders>
            <w:noWrap w:val="0"/>
            <w:vAlign w:val="center"/>
          </w:tcPr>
          <w:p w14:paraId="4770EC34">
            <w:pPr>
              <w:pStyle w:val="946"/>
              <w:spacing w:line="300" w:lineRule="exact"/>
              <w:rPr>
                <w:rFonts w:ascii="Arial" w:hAnsi="Arial" w:cs="Arial"/>
                <w:sz w:val="22"/>
                <w:szCs w:val="22"/>
              </w:rPr>
            </w:pPr>
            <w:r>
              <w:rPr>
                <w:rFonts w:ascii="Arial" w:hAnsi="Arial" w:cs="Arial"/>
                <w:sz w:val="22"/>
                <w:szCs w:val="22"/>
              </w:rPr>
              <w:t>环境空气</w:t>
            </w:r>
          </w:p>
        </w:tc>
      </w:tr>
      <w:tr w14:paraId="7B0AE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op w:val="single" w:color="auto" w:sz="6" w:space="0"/>
              <w:left w:val="single" w:color="auto" w:sz="12" w:space="0"/>
              <w:bottom w:val="single" w:color="auto" w:sz="6" w:space="0"/>
              <w:right w:val="single" w:color="auto" w:sz="6" w:space="0"/>
            </w:tcBorders>
            <w:noWrap w:val="0"/>
            <w:vAlign w:val="center"/>
          </w:tcPr>
          <w:p w14:paraId="5E14E0FC">
            <w:pPr>
              <w:widowControl/>
              <w:spacing w:line="300" w:lineRule="exact"/>
              <w:jc w:val="center"/>
              <w:rPr>
                <w:rFonts w:ascii="Arial" w:hAnsi="Arial" w:cs="Arial"/>
                <w:sz w:val="22"/>
                <w:szCs w:val="22"/>
              </w:rPr>
            </w:pPr>
          </w:p>
        </w:tc>
        <w:tc>
          <w:tcPr>
            <w:tcW w:w="592" w:type="dxa"/>
            <w:tcBorders>
              <w:top w:val="single" w:color="auto" w:sz="6" w:space="0"/>
              <w:left w:val="single" w:color="auto" w:sz="6" w:space="0"/>
              <w:bottom w:val="single" w:color="auto" w:sz="6" w:space="0"/>
              <w:right w:val="single" w:color="auto" w:sz="6" w:space="0"/>
            </w:tcBorders>
            <w:noWrap w:val="0"/>
            <w:vAlign w:val="center"/>
          </w:tcPr>
          <w:p w14:paraId="19637B4B">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噪声</w:t>
            </w:r>
          </w:p>
        </w:tc>
        <w:tc>
          <w:tcPr>
            <w:tcW w:w="1235" w:type="dxa"/>
            <w:tcBorders>
              <w:top w:val="single" w:color="auto" w:sz="6" w:space="0"/>
              <w:left w:val="single" w:color="auto" w:sz="6" w:space="0"/>
              <w:bottom w:val="single" w:color="auto" w:sz="6" w:space="0"/>
              <w:right w:val="single" w:color="auto" w:sz="6" w:space="0"/>
            </w:tcBorders>
            <w:noWrap w:val="0"/>
            <w:vAlign w:val="center"/>
          </w:tcPr>
          <w:p w14:paraId="25F015DD">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溢洪、阀门、上坝车辆</w:t>
            </w:r>
          </w:p>
        </w:tc>
        <w:tc>
          <w:tcPr>
            <w:tcW w:w="1325" w:type="dxa"/>
            <w:tcBorders>
              <w:top w:val="single" w:color="auto" w:sz="6" w:space="0"/>
              <w:left w:val="single" w:color="auto" w:sz="6" w:space="0"/>
              <w:bottom w:val="single" w:color="auto" w:sz="6" w:space="0"/>
              <w:right w:val="single" w:color="auto" w:sz="6" w:space="0"/>
            </w:tcBorders>
            <w:noWrap w:val="0"/>
            <w:vAlign w:val="center"/>
          </w:tcPr>
          <w:p w14:paraId="1D64FA29">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70~8</w:t>
            </w:r>
            <w:r>
              <w:rPr>
                <w:rFonts w:hint="eastAsia" w:ascii="Arial" w:hAnsi="Arial" w:cs="Arial"/>
                <w:sz w:val="22"/>
                <w:szCs w:val="22"/>
                <w:lang w:val="en-US" w:eastAsia="zh-CN"/>
              </w:rPr>
              <w:t>5</w:t>
            </w:r>
            <w:r>
              <w:rPr>
                <w:rFonts w:hint="eastAsia" w:ascii="Arial" w:hAnsi="Arial" w:cs="Arial"/>
                <w:sz w:val="22"/>
                <w:szCs w:val="22"/>
                <w:lang w:eastAsia="zh-CN"/>
              </w:rPr>
              <w:t>dB（A）</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18A217DD">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噪声</w:t>
            </w:r>
          </w:p>
        </w:tc>
        <w:tc>
          <w:tcPr>
            <w:tcW w:w="1187" w:type="dxa"/>
            <w:tcBorders>
              <w:top w:val="single" w:color="auto" w:sz="6" w:space="0"/>
              <w:left w:val="single" w:color="auto" w:sz="6" w:space="0"/>
              <w:bottom w:val="single" w:color="auto" w:sz="6" w:space="0"/>
              <w:right w:val="single" w:color="auto" w:sz="6" w:space="0"/>
            </w:tcBorders>
            <w:noWrap w:val="0"/>
            <w:vAlign w:val="center"/>
          </w:tcPr>
          <w:p w14:paraId="71945C99">
            <w:pPr>
              <w:pStyle w:val="946"/>
              <w:spacing w:line="300" w:lineRule="exact"/>
              <w:rPr>
                <w:rFonts w:ascii="Arial" w:hAnsi="Arial" w:cs="Arial"/>
                <w:sz w:val="22"/>
                <w:szCs w:val="22"/>
              </w:rPr>
            </w:pPr>
            <w:r>
              <w:rPr>
                <w:rFonts w:ascii="Arial" w:hAnsi="Arial" w:cs="Arial"/>
                <w:sz w:val="22"/>
                <w:szCs w:val="22"/>
              </w:rPr>
              <w:t>/</w:t>
            </w:r>
          </w:p>
        </w:tc>
        <w:tc>
          <w:tcPr>
            <w:tcW w:w="1364" w:type="dxa"/>
            <w:tcBorders>
              <w:top w:val="single" w:color="auto" w:sz="6" w:space="0"/>
              <w:left w:val="single" w:color="auto" w:sz="6" w:space="0"/>
              <w:bottom w:val="single" w:color="auto" w:sz="6" w:space="0"/>
              <w:right w:val="single" w:color="auto" w:sz="6" w:space="0"/>
            </w:tcBorders>
            <w:noWrap w:val="0"/>
            <w:vAlign w:val="center"/>
          </w:tcPr>
          <w:p w14:paraId="30EE9E62">
            <w:pPr>
              <w:pStyle w:val="946"/>
              <w:spacing w:line="300" w:lineRule="exact"/>
              <w:rPr>
                <w:rFonts w:ascii="Arial" w:hAnsi="Arial" w:cs="Arial"/>
                <w:sz w:val="22"/>
                <w:szCs w:val="22"/>
              </w:rPr>
            </w:pPr>
            <w:r>
              <w:rPr>
                <w:rFonts w:ascii="Arial" w:hAnsi="Arial" w:cs="Arial"/>
                <w:sz w:val="22"/>
                <w:szCs w:val="22"/>
              </w:rPr>
              <w:t>/</w:t>
            </w:r>
          </w:p>
        </w:tc>
        <w:tc>
          <w:tcPr>
            <w:tcW w:w="2226" w:type="dxa"/>
            <w:tcBorders>
              <w:top w:val="single" w:color="auto" w:sz="6" w:space="0"/>
              <w:left w:val="single" w:color="auto" w:sz="6" w:space="0"/>
              <w:bottom w:val="single" w:color="auto" w:sz="6" w:space="0"/>
              <w:right w:val="single" w:color="auto" w:sz="6" w:space="0"/>
            </w:tcBorders>
            <w:noWrap w:val="0"/>
            <w:vAlign w:val="center"/>
          </w:tcPr>
          <w:p w14:paraId="6D194087">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建筑隔声、距离衰减</w:t>
            </w:r>
          </w:p>
        </w:tc>
        <w:tc>
          <w:tcPr>
            <w:tcW w:w="1275" w:type="dxa"/>
            <w:tcBorders>
              <w:top w:val="single" w:color="auto" w:sz="6" w:space="0"/>
              <w:left w:val="single" w:color="auto" w:sz="6" w:space="0"/>
              <w:bottom w:val="single" w:color="auto" w:sz="6" w:space="0"/>
              <w:right w:val="single" w:color="auto" w:sz="6" w:space="0"/>
            </w:tcBorders>
            <w:noWrap w:val="0"/>
            <w:vAlign w:val="center"/>
          </w:tcPr>
          <w:p w14:paraId="70CCD90B">
            <w:pPr>
              <w:pStyle w:val="946"/>
              <w:spacing w:line="300" w:lineRule="exact"/>
              <w:rPr>
                <w:rFonts w:ascii="Arial" w:hAnsi="Arial" w:cs="Arial"/>
                <w:sz w:val="22"/>
                <w:szCs w:val="22"/>
              </w:rPr>
            </w:pPr>
            <w:r>
              <w:rPr>
                <w:rFonts w:ascii="Arial" w:hAnsi="Arial" w:cs="Arial"/>
                <w:sz w:val="22"/>
                <w:szCs w:val="22"/>
              </w:rPr>
              <w:t>/</w:t>
            </w:r>
          </w:p>
        </w:tc>
        <w:tc>
          <w:tcPr>
            <w:tcW w:w="851" w:type="dxa"/>
            <w:tcBorders>
              <w:top w:val="single" w:color="auto" w:sz="6" w:space="0"/>
              <w:left w:val="single" w:color="auto" w:sz="6" w:space="0"/>
              <w:bottom w:val="single" w:color="auto" w:sz="6" w:space="0"/>
              <w:right w:val="single" w:color="auto" w:sz="6" w:space="0"/>
            </w:tcBorders>
            <w:noWrap w:val="0"/>
            <w:vAlign w:val="center"/>
          </w:tcPr>
          <w:p w14:paraId="20FFAEAA">
            <w:pPr>
              <w:pStyle w:val="946"/>
              <w:spacing w:line="300" w:lineRule="exact"/>
              <w:rPr>
                <w:rFonts w:ascii="Arial" w:hAnsi="Arial" w:cs="Arial"/>
                <w:sz w:val="22"/>
                <w:szCs w:val="22"/>
              </w:rPr>
            </w:pPr>
            <w:r>
              <w:rPr>
                <w:rFonts w:ascii="Arial" w:hAnsi="Arial" w:cs="Arial"/>
                <w:sz w:val="22"/>
                <w:szCs w:val="22"/>
              </w:rPr>
              <w:t>/</w:t>
            </w:r>
          </w:p>
        </w:tc>
        <w:tc>
          <w:tcPr>
            <w:tcW w:w="1177" w:type="dxa"/>
            <w:tcBorders>
              <w:top w:val="single" w:color="auto" w:sz="6" w:space="0"/>
              <w:left w:val="single" w:color="auto" w:sz="6" w:space="0"/>
              <w:bottom w:val="single" w:color="auto" w:sz="6" w:space="0"/>
              <w:right w:val="single" w:color="auto" w:sz="6" w:space="0"/>
            </w:tcBorders>
            <w:noWrap w:val="0"/>
            <w:vAlign w:val="center"/>
          </w:tcPr>
          <w:p w14:paraId="14C3BA78">
            <w:pPr>
              <w:pStyle w:val="946"/>
              <w:spacing w:line="300" w:lineRule="exact"/>
              <w:rPr>
                <w:rFonts w:ascii="Arial" w:hAnsi="Arial" w:cs="Arial"/>
                <w:sz w:val="22"/>
                <w:szCs w:val="22"/>
              </w:rPr>
            </w:pPr>
            <w:r>
              <w:rPr>
                <w:rFonts w:ascii="Arial" w:hAnsi="Arial" w:cs="Arial"/>
                <w:sz w:val="22"/>
                <w:szCs w:val="22"/>
              </w:rPr>
              <w:t>/</w:t>
            </w:r>
          </w:p>
        </w:tc>
        <w:tc>
          <w:tcPr>
            <w:tcW w:w="1275" w:type="dxa"/>
            <w:tcBorders>
              <w:top w:val="single" w:color="auto" w:sz="6" w:space="0"/>
              <w:left w:val="single" w:color="auto" w:sz="6" w:space="0"/>
              <w:bottom w:val="single" w:color="auto" w:sz="6" w:space="0"/>
              <w:right w:val="single" w:color="auto" w:sz="12" w:space="0"/>
            </w:tcBorders>
            <w:noWrap w:val="0"/>
            <w:vAlign w:val="center"/>
          </w:tcPr>
          <w:p w14:paraId="3A180812">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声环境</w:t>
            </w:r>
          </w:p>
        </w:tc>
      </w:tr>
      <w:tr w14:paraId="06C9F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op w:val="single" w:color="auto" w:sz="6" w:space="0"/>
              <w:left w:val="single" w:color="auto" w:sz="12" w:space="0"/>
              <w:bottom w:val="single" w:color="auto" w:sz="6" w:space="0"/>
              <w:right w:val="single" w:color="auto" w:sz="6" w:space="0"/>
            </w:tcBorders>
            <w:shd w:val="clear" w:color="auto" w:fill="auto"/>
            <w:noWrap w:val="0"/>
            <w:vAlign w:val="center"/>
          </w:tcPr>
          <w:p w14:paraId="56CED393">
            <w:pPr>
              <w:widowControl/>
              <w:spacing w:line="300" w:lineRule="exact"/>
              <w:jc w:val="center"/>
              <w:rPr>
                <w:rFonts w:ascii="Arial" w:hAnsi="Arial" w:cs="Arial"/>
                <w:sz w:val="22"/>
                <w:szCs w:val="22"/>
              </w:rPr>
            </w:pPr>
          </w:p>
        </w:tc>
        <w:tc>
          <w:tcPr>
            <w:tcW w:w="592" w:type="dxa"/>
            <w:vMerge w:val="restart"/>
            <w:tcBorders>
              <w:top w:val="single" w:color="auto" w:sz="6" w:space="0"/>
              <w:left w:val="single" w:color="auto" w:sz="6" w:space="0"/>
              <w:bottom w:val="single" w:color="auto" w:sz="6" w:space="0"/>
              <w:right w:val="single" w:color="auto" w:sz="6" w:space="0"/>
            </w:tcBorders>
            <w:shd w:val="clear" w:color="auto" w:fill="auto"/>
            <w:noWrap w:val="0"/>
            <w:vAlign w:val="center"/>
          </w:tcPr>
          <w:p w14:paraId="5BDC116A">
            <w:pPr>
              <w:pStyle w:val="946"/>
              <w:spacing w:line="300" w:lineRule="exact"/>
              <w:rPr>
                <w:rFonts w:ascii="Arial" w:hAnsi="Arial" w:cs="Arial"/>
                <w:sz w:val="22"/>
                <w:szCs w:val="22"/>
              </w:rPr>
            </w:pPr>
            <w:r>
              <w:rPr>
                <w:rFonts w:ascii="Arial" w:hAnsi="Arial" w:cs="Arial"/>
                <w:sz w:val="22"/>
                <w:szCs w:val="22"/>
              </w:rPr>
              <w:t>固体废物</w:t>
            </w:r>
          </w:p>
        </w:tc>
        <w:tc>
          <w:tcPr>
            <w:tcW w:w="1235" w:type="dxa"/>
            <w:vMerge w:val="restart"/>
            <w:tcBorders>
              <w:top w:val="single" w:color="auto" w:sz="6" w:space="0"/>
              <w:left w:val="single" w:color="auto" w:sz="6" w:space="0"/>
              <w:bottom w:val="single" w:color="auto" w:sz="6" w:space="0"/>
              <w:right w:val="single" w:color="auto" w:sz="6" w:space="0"/>
            </w:tcBorders>
            <w:shd w:val="clear" w:color="auto" w:fill="auto"/>
            <w:noWrap w:val="0"/>
            <w:vAlign w:val="center"/>
          </w:tcPr>
          <w:p w14:paraId="4C379F85">
            <w:pPr>
              <w:pStyle w:val="946"/>
              <w:spacing w:line="300" w:lineRule="exact"/>
              <w:rPr>
                <w:rFonts w:ascii="Arial" w:hAnsi="Arial" w:cs="Arial"/>
                <w:sz w:val="22"/>
                <w:szCs w:val="22"/>
              </w:rPr>
            </w:pPr>
            <w:r>
              <w:rPr>
                <w:rFonts w:ascii="Arial" w:hAnsi="Arial" w:cs="Arial"/>
                <w:sz w:val="22"/>
                <w:szCs w:val="22"/>
              </w:rPr>
              <w:t>管理人员</w:t>
            </w:r>
          </w:p>
        </w:tc>
        <w:tc>
          <w:tcPr>
            <w:tcW w:w="132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ACA9A3F">
            <w:pPr>
              <w:pStyle w:val="946"/>
              <w:spacing w:line="300" w:lineRule="exact"/>
              <w:rPr>
                <w:rFonts w:ascii="Arial" w:hAnsi="Arial" w:cs="Arial"/>
                <w:sz w:val="22"/>
                <w:szCs w:val="22"/>
              </w:rPr>
            </w:pPr>
            <w:r>
              <w:rPr>
                <w:rFonts w:hint="eastAsia" w:ascii="Arial" w:hAnsi="Arial" w:cs="Arial"/>
                <w:sz w:val="22"/>
                <w:szCs w:val="22"/>
                <w:lang w:val="en-US" w:eastAsia="zh-CN"/>
              </w:rPr>
              <w:t>2</w:t>
            </w:r>
            <w:r>
              <w:rPr>
                <w:rFonts w:ascii="Arial" w:hAnsi="Arial" w:cs="Arial"/>
                <w:sz w:val="22"/>
                <w:szCs w:val="22"/>
              </w:rPr>
              <w:t>kg/d</w:t>
            </w:r>
          </w:p>
        </w:tc>
        <w:tc>
          <w:tcPr>
            <w:tcW w:w="103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71E8BE7">
            <w:pPr>
              <w:pStyle w:val="946"/>
              <w:spacing w:line="300" w:lineRule="exact"/>
              <w:rPr>
                <w:rFonts w:hint="eastAsia" w:ascii="Arial" w:hAnsi="Arial" w:cs="Arial"/>
                <w:sz w:val="22"/>
                <w:szCs w:val="22"/>
                <w:lang w:eastAsia="zh-CN"/>
              </w:rPr>
            </w:pPr>
            <w:r>
              <w:rPr>
                <w:rFonts w:ascii="Arial" w:hAnsi="Arial" w:cs="Arial"/>
                <w:sz w:val="22"/>
                <w:szCs w:val="22"/>
              </w:rPr>
              <w:t>生活</w:t>
            </w:r>
          </w:p>
          <w:p w14:paraId="1ED012EE">
            <w:pPr>
              <w:pStyle w:val="946"/>
              <w:spacing w:line="300" w:lineRule="exact"/>
              <w:rPr>
                <w:rFonts w:ascii="Arial" w:hAnsi="Arial" w:cs="Arial"/>
                <w:sz w:val="22"/>
                <w:szCs w:val="22"/>
              </w:rPr>
            </w:pPr>
            <w:r>
              <w:rPr>
                <w:rFonts w:ascii="Arial" w:hAnsi="Arial" w:cs="Arial"/>
                <w:sz w:val="22"/>
                <w:szCs w:val="22"/>
              </w:rPr>
              <w:t>垃圾</w:t>
            </w:r>
          </w:p>
        </w:tc>
        <w:tc>
          <w:tcPr>
            <w:tcW w:w="118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7243B6B">
            <w:pPr>
              <w:pStyle w:val="946"/>
              <w:spacing w:line="300" w:lineRule="exact"/>
              <w:rPr>
                <w:rFonts w:ascii="Arial" w:hAnsi="Arial" w:cs="Arial"/>
                <w:sz w:val="22"/>
                <w:szCs w:val="22"/>
              </w:rPr>
            </w:pPr>
            <w:r>
              <w:rPr>
                <w:rFonts w:ascii="Arial" w:hAnsi="Arial" w:cs="Arial"/>
                <w:sz w:val="22"/>
                <w:szCs w:val="22"/>
              </w:rPr>
              <w:t>/</w:t>
            </w:r>
          </w:p>
        </w:tc>
        <w:tc>
          <w:tcPr>
            <w:tcW w:w="136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5AC9052">
            <w:pPr>
              <w:pStyle w:val="946"/>
              <w:spacing w:line="300" w:lineRule="exact"/>
              <w:rPr>
                <w:rFonts w:ascii="Arial" w:hAnsi="Arial" w:cs="Arial"/>
                <w:sz w:val="22"/>
                <w:szCs w:val="22"/>
              </w:rPr>
            </w:pPr>
            <w:r>
              <w:rPr>
                <w:rFonts w:ascii="Arial" w:hAnsi="Arial" w:cs="Arial"/>
                <w:sz w:val="22"/>
                <w:szCs w:val="22"/>
              </w:rPr>
              <w:t>/</w:t>
            </w:r>
          </w:p>
        </w:tc>
        <w:tc>
          <w:tcPr>
            <w:tcW w:w="222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A1D6C7D">
            <w:pPr>
              <w:pStyle w:val="946"/>
              <w:spacing w:line="300" w:lineRule="exact"/>
              <w:rPr>
                <w:rFonts w:hint="eastAsia" w:ascii="Arial" w:hAnsi="Arial" w:cs="Arial"/>
                <w:sz w:val="22"/>
                <w:szCs w:val="22"/>
                <w:lang w:eastAsia="zh-CN"/>
              </w:rPr>
            </w:pPr>
            <w:r>
              <w:rPr>
                <w:rFonts w:hint="eastAsia" w:ascii="Arial" w:hAnsi="Arial" w:cs="Arial"/>
                <w:sz w:val="22"/>
                <w:szCs w:val="22"/>
                <w:lang w:eastAsia="zh-CN"/>
              </w:rPr>
              <w:t>集中收集后，交当地市政环卫部门统一清运处置</w:t>
            </w:r>
          </w:p>
        </w:tc>
        <w:tc>
          <w:tcPr>
            <w:tcW w:w="1275" w:type="dxa"/>
            <w:tcBorders>
              <w:top w:val="single" w:color="auto" w:sz="6" w:space="0"/>
              <w:left w:val="single" w:color="auto" w:sz="6" w:space="0"/>
              <w:bottom w:val="single" w:color="auto" w:sz="6" w:space="0"/>
              <w:right w:val="single" w:color="auto" w:sz="6" w:space="0"/>
            </w:tcBorders>
            <w:noWrap w:val="0"/>
            <w:vAlign w:val="center"/>
          </w:tcPr>
          <w:p w14:paraId="4766EEB5">
            <w:pPr>
              <w:pStyle w:val="946"/>
              <w:spacing w:line="300" w:lineRule="exact"/>
              <w:rPr>
                <w:rFonts w:ascii="Arial" w:hAnsi="Arial" w:cs="Arial"/>
                <w:sz w:val="22"/>
                <w:szCs w:val="22"/>
              </w:rPr>
            </w:pPr>
            <w:r>
              <w:rPr>
                <w:rFonts w:ascii="Arial" w:hAnsi="Arial" w:cs="Arial"/>
                <w:sz w:val="22"/>
                <w:szCs w:val="22"/>
              </w:rPr>
              <w:t>/</w:t>
            </w:r>
          </w:p>
        </w:tc>
        <w:tc>
          <w:tcPr>
            <w:tcW w:w="851" w:type="dxa"/>
            <w:tcBorders>
              <w:top w:val="single" w:color="auto" w:sz="6" w:space="0"/>
              <w:left w:val="single" w:color="auto" w:sz="6" w:space="0"/>
              <w:bottom w:val="single" w:color="auto" w:sz="6" w:space="0"/>
              <w:right w:val="single" w:color="auto" w:sz="6" w:space="0"/>
            </w:tcBorders>
            <w:noWrap w:val="0"/>
            <w:vAlign w:val="center"/>
          </w:tcPr>
          <w:p w14:paraId="27E9DFE0">
            <w:pPr>
              <w:pStyle w:val="946"/>
              <w:spacing w:line="300" w:lineRule="exact"/>
              <w:rPr>
                <w:rFonts w:ascii="Arial" w:hAnsi="Arial" w:cs="Arial"/>
                <w:sz w:val="22"/>
                <w:szCs w:val="22"/>
              </w:rPr>
            </w:pPr>
            <w:r>
              <w:rPr>
                <w:rFonts w:ascii="Arial" w:hAnsi="Arial" w:cs="Arial"/>
                <w:sz w:val="22"/>
                <w:szCs w:val="22"/>
              </w:rPr>
              <w:t>/</w:t>
            </w:r>
          </w:p>
        </w:tc>
        <w:tc>
          <w:tcPr>
            <w:tcW w:w="1177" w:type="dxa"/>
            <w:tcBorders>
              <w:top w:val="single" w:color="auto" w:sz="6" w:space="0"/>
              <w:left w:val="single" w:color="auto" w:sz="6" w:space="0"/>
              <w:bottom w:val="single" w:color="auto" w:sz="6" w:space="0"/>
              <w:right w:val="single" w:color="auto" w:sz="6" w:space="0"/>
            </w:tcBorders>
            <w:noWrap w:val="0"/>
            <w:vAlign w:val="center"/>
          </w:tcPr>
          <w:p w14:paraId="4101B144">
            <w:pPr>
              <w:pStyle w:val="946"/>
              <w:spacing w:line="300" w:lineRule="exact"/>
              <w:rPr>
                <w:rFonts w:ascii="Arial" w:hAnsi="Arial" w:cs="Arial"/>
                <w:sz w:val="22"/>
                <w:szCs w:val="22"/>
              </w:rPr>
            </w:pPr>
            <w:r>
              <w:rPr>
                <w:rFonts w:ascii="Arial" w:hAnsi="Arial" w:cs="Arial"/>
                <w:sz w:val="22"/>
                <w:szCs w:val="22"/>
              </w:rPr>
              <w:t>/</w:t>
            </w:r>
          </w:p>
        </w:tc>
        <w:tc>
          <w:tcPr>
            <w:tcW w:w="1275" w:type="dxa"/>
            <w:vMerge w:val="restart"/>
            <w:tcBorders>
              <w:top w:val="single" w:color="auto" w:sz="6" w:space="0"/>
              <w:left w:val="single" w:color="auto" w:sz="6" w:space="0"/>
              <w:right w:val="single" w:color="auto" w:sz="12" w:space="0"/>
            </w:tcBorders>
            <w:noWrap w:val="0"/>
            <w:vAlign w:val="center"/>
          </w:tcPr>
          <w:p w14:paraId="434B6686">
            <w:pPr>
              <w:pStyle w:val="946"/>
              <w:spacing w:line="300" w:lineRule="exact"/>
              <w:rPr>
                <w:rFonts w:ascii="Arial" w:hAnsi="Arial" w:cs="Arial"/>
                <w:sz w:val="22"/>
                <w:szCs w:val="22"/>
              </w:rPr>
            </w:pPr>
            <w:r>
              <w:rPr>
                <w:rFonts w:hint="eastAsia" w:ascii="Arial" w:hAnsi="Arial" w:cs="Arial"/>
                <w:sz w:val="22"/>
                <w:szCs w:val="22"/>
                <w:lang w:eastAsia="zh-CN"/>
              </w:rPr>
              <w:t>丰都县</w:t>
            </w:r>
            <w:r>
              <w:rPr>
                <w:rFonts w:ascii="Arial" w:hAnsi="Arial" w:cs="Arial"/>
                <w:sz w:val="22"/>
                <w:szCs w:val="22"/>
              </w:rPr>
              <w:t>生活垃圾填埋场</w:t>
            </w:r>
          </w:p>
        </w:tc>
      </w:tr>
      <w:tr w14:paraId="39AB77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op w:val="single" w:color="auto" w:sz="6" w:space="0"/>
              <w:left w:val="single" w:color="auto" w:sz="12" w:space="0"/>
              <w:bottom w:val="single" w:color="auto" w:sz="6" w:space="0"/>
              <w:right w:val="single" w:color="auto" w:sz="6" w:space="0"/>
            </w:tcBorders>
            <w:shd w:val="clear" w:color="auto" w:fill="auto"/>
            <w:noWrap w:val="0"/>
            <w:vAlign w:val="center"/>
          </w:tcPr>
          <w:p w14:paraId="03BE8FB3">
            <w:pPr>
              <w:widowControl/>
              <w:spacing w:line="300" w:lineRule="exact"/>
              <w:jc w:val="center"/>
              <w:rPr>
                <w:rFonts w:ascii="Arial" w:hAnsi="Arial" w:cs="Arial"/>
                <w:sz w:val="22"/>
                <w:szCs w:val="22"/>
              </w:rPr>
            </w:pPr>
          </w:p>
        </w:tc>
        <w:tc>
          <w:tcPr>
            <w:tcW w:w="592" w:type="dxa"/>
            <w:vMerge w:val="continue"/>
            <w:tcBorders>
              <w:top w:val="single" w:color="auto" w:sz="6" w:space="0"/>
              <w:left w:val="single" w:color="auto" w:sz="6" w:space="0"/>
              <w:bottom w:val="single" w:color="auto" w:sz="6" w:space="0"/>
              <w:right w:val="single" w:color="auto" w:sz="6" w:space="0"/>
            </w:tcBorders>
            <w:shd w:val="clear" w:color="auto" w:fill="auto"/>
            <w:noWrap w:val="0"/>
            <w:vAlign w:val="center"/>
          </w:tcPr>
          <w:p w14:paraId="7876ABA2">
            <w:pPr>
              <w:widowControl/>
              <w:spacing w:line="300" w:lineRule="exact"/>
              <w:jc w:val="center"/>
              <w:rPr>
                <w:rFonts w:ascii="Arial" w:hAnsi="Arial" w:cs="Arial"/>
                <w:sz w:val="22"/>
                <w:szCs w:val="22"/>
              </w:rPr>
            </w:pPr>
          </w:p>
        </w:tc>
        <w:tc>
          <w:tcPr>
            <w:tcW w:w="1235" w:type="dxa"/>
            <w:vMerge w:val="continue"/>
            <w:tcBorders>
              <w:top w:val="single" w:color="auto" w:sz="6" w:space="0"/>
              <w:left w:val="single" w:color="auto" w:sz="6" w:space="0"/>
              <w:bottom w:val="single" w:color="auto" w:sz="6" w:space="0"/>
              <w:right w:val="single" w:color="auto" w:sz="6" w:space="0"/>
            </w:tcBorders>
            <w:shd w:val="clear" w:color="auto" w:fill="auto"/>
            <w:noWrap w:val="0"/>
            <w:vAlign w:val="center"/>
          </w:tcPr>
          <w:p w14:paraId="36A8059E">
            <w:pPr>
              <w:widowControl/>
              <w:spacing w:line="300" w:lineRule="exact"/>
              <w:jc w:val="center"/>
              <w:rPr>
                <w:rFonts w:ascii="Arial" w:hAnsi="Arial" w:cs="Arial"/>
                <w:sz w:val="22"/>
                <w:szCs w:val="22"/>
              </w:rPr>
            </w:pPr>
          </w:p>
        </w:tc>
        <w:tc>
          <w:tcPr>
            <w:tcW w:w="132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D5ABB0B">
            <w:pPr>
              <w:pStyle w:val="946"/>
              <w:spacing w:line="300" w:lineRule="exact"/>
              <w:rPr>
                <w:rFonts w:ascii="Arial" w:hAnsi="Arial" w:cs="Arial"/>
                <w:sz w:val="22"/>
                <w:szCs w:val="22"/>
              </w:rPr>
            </w:pPr>
            <w:r>
              <w:rPr>
                <w:rFonts w:hint="eastAsia" w:ascii="Arial" w:hAnsi="Arial" w:cs="Arial"/>
                <w:sz w:val="22"/>
                <w:szCs w:val="22"/>
                <w:lang w:val="en-US" w:eastAsia="zh-CN"/>
              </w:rPr>
              <w:t>0.8</w:t>
            </w:r>
            <w:r>
              <w:rPr>
                <w:rFonts w:ascii="Arial" w:hAnsi="Arial" w:cs="Arial"/>
                <w:sz w:val="22"/>
                <w:szCs w:val="22"/>
              </w:rPr>
              <w:t>kg/d</w:t>
            </w:r>
          </w:p>
        </w:tc>
        <w:tc>
          <w:tcPr>
            <w:tcW w:w="103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14D81E1">
            <w:pPr>
              <w:pStyle w:val="946"/>
              <w:spacing w:line="300" w:lineRule="exact"/>
              <w:rPr>
                <w:rFonts w:hint="eastAsia" w:ascii="Arial" w:hAnsi="Arial" w:cs="Arial"/>
                <w:sz w:val="22"/>
                <w:szCs w:val="22"/>
                <w:lang w:eastAsia="zh-CN"/>
              </w:rPr>
            </w:pPr>
            <w:r>
              <w:rPr>
                <w:rFonts w:ascii="Arial" w:hAnsi="Arial" w:cs="Arial"/>
                <w:sz w:val="22"/>
                <w:szCs w:val="22"/>
              </w:rPr>
              <w:t>餐厨</w:t>
            </w:r>
          </w:p>
          <w:p w14:paraId="203B965B">
            <w:pPr>
              <w:pStyle w:val="946"/>
              <w:spacing w:line="300" w:lineRule="exact"/>
              <w:rPr>
                <w:rFonts w:ascii="Arial" w:hAnsi="Arial" w:cs="Arial"/>
                <w:sz w:val="22"/>
                <w:szCs w:val="22"/>
              </w:rPr>
            </w:pPr>
            <w:r>
              <w:rPr>
                <w:rFonts w:ascii="Arial" w:hAnsi="Arial" w:cs="Arial"/>
                <w:sz w:val="22"/>
                <w:szCs w:val="22"/>
              </w:rPr>
              <w:t>垃圾</w:t>
            </w:r>
          </w:p>
        </w:tc>
        <w:tc>
          <w:tcPr>
            <w:tcW w:w="118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8E00EFF">
            <w:pPr>
              <w:pStyle w:val="946"/>
              <w:spacing w:line="300" w:lineRule="exact"/>
              <w:rPr>
                <w:rFonts w:ascii="Arial" w:hAnsi="Arial" w:cs="Arial"/>
                <w:sz w:val="22"/>
                <w:szCs w:val="22"/>
              </w:rPr>
            </w:pPr>
            <w:r>
              <w:rPr>
                <w:rFonts w:ascii="Arial" w:hAnsi="Arial" w:cs="Arial"/>
                <w:sz w:val="22"/>
                <w:szCs w:val="22"/>
              </w:rPr>
              <w:t>/</w:t>
            </w:r>
          </w:p>
        </w:tc>
        <w:tc>
          <w:tcPr>
            <w:tcW w:w="136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9E9D114">
            <w:pPr>
              <w:pStyle w:val="946"/>
              <w:spacing w:line="300" w:lineRule="exact"/>
              <w:rPr>
                <w:rFonts w:ascii="Arial" w:hAnsi="Arial" w:cs="Arial"/>
                <w:sz w:val="22"/>
                <w:szCs w:val="22"/>
              </w:rPr>
            </w:pPr>
            <w:r>
              <w:rPr>
                <w:rFonts w:ascii="Arial" w:hAnsi="Arial" w:cs="Arial"/>
                <w:sz w:val="22"/>
                <w:szCs w:val="22"/>
              </w:rPr>
              <w:t>/</w:t>
            </w:r>
          </w:p>
        </w:tc>
        <w:tc>
          <w:tcPr>
            <w:tcW w:w="222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2CEFE8F">
            <w:pPr>
              <w:widowControl/>
              <w:spacing w:line="300" w:lineRule="exact"/>
              <w:jc w:val="center"/>
              <w:rPr>
                <w:rFonts w:hint="eastAsia" w:ascii="Arial" w:hAnsi="Arial" w:cs="Arial"/>
                <w:sz w:val="22"/>
                <w:szCs w:val="22"/>
              </w:rPr>
            </w:pPr>
            <w:r>
              <w:rPr>
                <w:rFonts w:hint="eastAsia" w:ascii="Arial" w:hAnsi="Arial" w:cs="Arial"/>
                <w:sz w:val="22"/>
                <w:szCs w:val="22"/>
                <w:lang w:eastAsia="zh-CN"/>
              </w:rPr>
              <w:t>桶装收集后，</w:t>
            </w:r>
            <w:r>
              <w:rPr>
                <w:rFonts w:hint="eastAsia" w:ascii="Arial" w:hAnsi="Arial" w:cs="Arial"/>
                <w:sz w:val="22"/>
                <w:szCs w:val="22"/>
              </w:rPr>
              <w:t>交有资质单位收运处置</w:t>
            </w:r>
          </w:p>
        </w:tc>
        <w:tc>
          <w:tcPr>
            <w:tcW w:w="1275" w:type="dxa"/>
            <w:tcBorders>
              <w:top w:val="single" w:color="auto" w:sz="6" w:space="0"/>
              <w:left w:val="single" w:color="auto" w:sz="6" w:space="0"/>
              <w:bottom w:val="single" w:color="auto" w:sz="6" w:space="0"/>
              <w:right w:val="single" w:color="auto" w:sz="6" w:space="0"/>
            </w:tcBorders>
            <w:noWrap w:val="0"/>
            <w:vAlign w:val="center"/>
          </w:tcPr>
          <w:p w14:paraId="6570F77B">
            <w:pPr>
              <w:pStyle w:val="946"/>
              <w:spacing w:line="300" w:lineRule="exact"/>
              <w:rPr>
                <w:rFonts w:ascii="Arial" w:hAnsi="Arial" w:cs="Arial"/>
                <w:sz w:val="22"/>
                <w:szCs w:val="22"/>
              </w:rPr>
            </w:pPr>
            <w:r>
              <w:rPr>
                <w:rFonts w:ascii="Arial" w:hAnsi="Arial" w:cs="Arial"/>
                <w:sz w:val="22"/>
                <w:szCs w:val="22"/>
              </w:rPr>
              <w:t>/</w:t>
            </w:r>
          </w:p>
        </w:tc>
        <w:tc>
          <w:tcPr>
            <w:tcW w:w="851" w:type="dxa"/>
            <w:tcBorders>
              <w:top w:val="single" w:color="auto" w:sz="6" w:space="0"/>
              <w:left w:val="single" w:color="auto" w:sz="6" w:space="0"/>
              <w:bottom w:val="single" w:color="auto" w:sz="6" w:space="0"/>
              <w:right w:val="single" w:color="auto" w:sz="6" w:space="0"/>
            </w:tcBorders>
            <w:noWrap w:val="0"/>
            <w:vAlign w:val="center"/>
          </w:tcPr>
          <w:p w14:paraId="594FFD83">
            <w:pPr>
              <w:pStyle w:val="946"/>
              <w:spacing w:line="300" w:lineRule="exact"/>
              <w:rPr>
                <w:rFonts w:ascii="Arial" w:hAnsi="Arial" w:cs="Arial"/>
                <w:sz w:val="22"/>
                <w:szCs w:val="22"/>
              </w:rPr>
            </w:pPr>
            <w:r>
              <w:rPr>
                <w:rFonts w:ascii="Arial" w:hAnsi="Arial" w:cs="Arial"/>
                <w:sz w:val="22"/>
                <w:szCs w:val="22"/>
              </w:rPr>
              <w:t>/</w:t>
            </w:r>
          </w:p>
        </w:tc>
        <w:tc>
          <w:tcPr>
            <w:tcW w:w="1177" w:type="dxa"/>
            <w:tcBorders>
              <w:top w:val="single" w:color="auto" w:sz="6" w:space="0"/>
              <w:left w:val="single" w:color="auto" w:sz="6" w:space="0"/>
              <w:bottom w:val="single" w:color="auto" w:sz="6" w:space="0"/>
              <w:right w:val="single" w:color="auto" w:sz="6" w:space="0"/>
            </w:tcBorders>
            <w:noWrap w:val="0"/>
            <w:vAlign w:val="center"/>
          </w:tcPr>
          <w:p w14:paraId="12E009B6">
            <w:pPr>
              <w:pStyle w:val="946"/>
              <w:spacing w:line="300" w:lineRule="exact"/>
              <w:rPr>
                <w:rFonts w:ascii="Arial" w:hAnsi="Arial" w:cs="Arial"/>
                <w:sz w:val="22"/>
                <w:szCs w:val="22"/>
              </w:rPr>
            </w:pPr>
            <w:r>
              <w:rPr>
                <w:rFonts w:ascii="Arial" w:hAnsi="Arial" w:cs="Arial"/>
                <w:sz w:val="22"/>
                <w:szCs w:val="22"/>
              </w:rPr>
              <w:t>/</w:t>
            </w:r>
          </w:p>
        </w:tc>
        <w:tc>
          <w:tcPr>
            <w:tcW w:w="1275" w:type="dxa"/>
            <w:vMerge w:val="continue"/>
            <w:tcBorders>
              <w:left w:val="single" w:color="auto" w:sz="6" w:space="0"/>
              <w:right w:val="single" w:color="auto" w:sz="12" w:space="0"/>
            </w:tcBorders>
            <w:noWrap w:val="0"/>
            <w:vAlign w:val="center"/>
          </w:tcPr>
          <w:p w14:paraId="68BA5F52">
            <w:pPr>
              <w:widowControl/>
              <w:spacing w:line="300" w:lineRule="exact"/>
              <w:jc w:val="center"/>
              <w:rPr>
                <w:rFonts w:ascii="Arial" w:hAnsi="Arial" w:cs="Arial"/>
                <w:sz w:val="22"/>
                <w:szCs w:val="22"/>
              </w:rPr>
            </w:pPr>
          </w:p>
        </w:tc>
      </w:tr>
      <w:tr w14:paraId="075FE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vMerge w:val="continue"/>
            <w:tcBorders>
              <w:top w:val="single" w:color="auto" w:sz="6" w:space="0"/>
              <w:left w:val="single" w:color="auto" w:sz="12" w:space="0"/>
              <w:bottom w:val="single" w:color="auto" w:sz="12" w:space="0"/>
              <w:right w:val="single" w:color="auto" w:sz="6" w:space="0"/>
            </w:tcBorders>
            <w:noWrap w:val="0"/>
            <w:vAlign w:val="center"/>
          </w:tcPr>
          <w:p w14:paraId="0FCFF66C">
            <w:pPr>
              <w:widowControl/>
              <w:spacing w:line="300" w:lineRule="exact"/>
              <w:jc w:val="center"/>
              <w:rPr>
                <w:rFonts w:ascii="Arial" w:hAnsi="Arial" w:cs="Arial"/>
                <w:sz w:val="22"/>
                <w:szCs w:val="22"/>
              </w:rPr>
            </w:pPr>
          </w:p>
        </w:tc>
        <w:tc>
          <w:tcPr>
            <w:tcW w:w="592" w:type="dxa"/>
            <w:vMerge w:val="continue"/>
            <w:tcBorders>
              <w:top w:val="single" w:color="auto" w:sz="6" w:space="0"/>
              <w:left w:val="single" w:color="auto" w:sz="6" w:space="0"/>
              <w:bottom w:val="single" w:color="auto" w:sz="12" w:space="0"/>
              <w:right w:val="single" w:color="auto" w:sz="6" w:space="0"/>
            </w:tcBorders>
            <w:noWrap w:val="0"/>
            <w:vAlign w:val="center"/>
          </w:tcPr>
          <w:p w14:paraId="3CEAD040">
            <w:pPr>
              <w:widowControl/>
              <w:spacing w:line="300" w:lineRule="exact"/>
              <w:jc w:val="center"/>
              <w:rPr>
                <w:rFonts w:ascii="Arial" w:hAnsi="Arial" w:cs="Arial"/>
                <w:sz w:val="22"/>
                <w:szCs w:val="22"/>
              </w:rPr>
            </w:pPr>
          </w:p>
        </w:tc>
        <w:tc>
          <w:tcPr>
            <w:tcW w:w="1235" w:type="dxa"/>
            <w:tcBorders>
              <w:top w:val="single" w:color="auto" w:sz="6" w:space="0"/>
              <w:left w:val="single" w:color="auto" w:sz="6" w:space="0"/>
              <w:bottom w:val="single" w:color="auto" w:sz="12" w:space="0"/>
              <w:right w:val="single" w:color="auto" w:sz="6" w:space="0"/>
            </w:tcBorders>
            <w:noWrap w:val="0"/>
            <w:vAlign w:val="center"/>
          </w:tcPr>
          <w:p w14:paraId="0D1A99BD">
            <w:pPr>
              <w:pStyle w:val="946"/>
              <w:spacing w:line="300" w:lineRule="exact"/>
              <w:rPr>
                <w:rFonts w:ascii="Arial" w:hAnsi="Arial" w:cs="Arial"/>
                <w:sz w:val="22"/>
                <w:szCs w:val="22"/>
              </w:rPr>
            </w:pPr>
            <w:r>
              <w:rPr>
                <w:rFonts w:ascii="Arial" w:hAnsi="Arial" w:cs="Arial"/>
                <w:sz w:val="22"/>
                <w:szCs w:val="22"/>
              </w:rPr>
              <w:t>库内清漂</w:t>
            </w:r>
          </w:p>
        </w:tc>
        <w:tc>
          <w:tcPr>
            <w:tcW w:w="1325" w:type="dxa"/>
            <w:tcBorders>
              <w:top w:val="single" w:color="auto" w:sz="6" w:space="0"/>
              <w:left w:val="single" w:color="auto" w:sz="6" w:space="0"/>
              <w:bottom w:val="single" w:color="auto" w:sz="12" w:space="0"/>
              <w:right w:val="single" w:color="auto" w:sz="6" w:space="0"/>
            </w:tcBorders>
            <w:noWrap w:val="0"/>
            <w:vAlign w:val="center"/>
          </w:tcPr>
          <w:p w14:paraId="039F8093">
            <w:pPr>
              <w:pStyle w:val="946"/>
              <w:spacing w:line="300" w:lineRule="exact"/>
              <w:rPr>
                <w:rFonts w:ascii="Arial" w:hAnsi="Arial" w:cs="Arial"/>
                <w:sz w:val="22"/>
                <w:szCs w:val="22"/>
              </w:rPr>
            </w:pPr>
            <w:r>
              <w:rPr>
                <w:rFonts w:hint="eastAsia" w:ascii="Arial" w:hAnsi="Arial" w:cs="Arial"/>
                <w:sz w:val="22"/>
                <w:szCs w:val="22"/>
                <w:lang w:val="en-US" w:eastAsia="zh-CN"/>
              </w:rPr>
              <w:t>180</w:t>
            </w:r>
            <w:r>
              <w:rPr>
                <w:rFonts w:ascii="Arial" w:hAnsi="Arial" w:cs="Arial"/>
                <w:sz w:val="22"/>
                <w:szCs w:val="22"/>
              </w:rPr>
              <w:t>t/a</w:t>
            </w:r>
          </w:p>
        </w:tc>
        <w:tc>
          <w:tcPr>
            <w:tcW w:w="1035" w:type="dxa"/>
            <w:tcBorders>
              <w:top w:val="single" w:color="auto" w:sz="6" w:space="0"/>
              <w:left w:val="single" w:color="auto" w:sz="6" w:space="0"/>
              <w:bottom w:val="single" w:color="auto" w:sz="12" w:space="0"/>
              <w:right w:val="single" w:color="auto" w:sz="6" w:space="0"/>
            </w:tcBorders>
            <w:noWrap w:val="0"/>
            <w:vAlign w:val="center"/>
          </w:tcPr>
          <w:p w14:paraId="55B73A59">
            <w:pPr>
              <w:pStyle w:val="946"/>
              <w:spacing w:line="300" w:lineRule="exact"/>
              <w:rPr>
                <w:rFonts w:ascii="Arial" w:hAnsi="Arial" w:cs="Arial"/>
                <w:sz w:val="22"/>
                <w:szCs w:val="22"/>
              </w:rPr>
            </w:pPr>
            <w:r>
              <w:rPr>
                <w:rFonts w:ascii="Arial" w:hAnsi="Arial" w:cs="Arial"/>
                <w:sz w:val="22"/>
                <w:szCs w:val="22"/>
              </w:rPr>
              <w:t>漂浮物</w:t>
            </w:r>
          </w:p>
        </w:tc>
        <w:tc>
          <w:tcPr>
            <w:tcW w:w="1187" w:type="dxa"/>
            <w:tcBorders>
              <w:top w:val="single" w:color="auto" w:sz="6" w:space="0"/>
              <w:left w:val="single" w:color="auto" w:sz="6" w:space="0"/>
              <w:bottom w:val="single" w:color="auto" w:sz="12" w:space="0"/>
              <w:right w:val="single" w:color="auto" w:sz="6" w:space="0"/>
            </w:tcBorders>
            <w:noWrap w:val="0"/>
            <w:vAlign w:val="center"/>
          </w:tcPr>
          <w:p w14:paraId="4D8FD960">
            <w:pPr>
              <w:pStyle w:val="946"/>
              <w:spacing w:line="300" w:lineRule="exact"/>
              <w:rPr>
                <w:rFonts w:ascii="Arial" w:hAnsi="Arial" w:cs="Arial"/>
                <w:sz w:val="22"/>
                <w:szCs w:val="22"/>
              </w:rPr>
            </w:pPr>
            <w:r>
              <w:rPr>
                <w:rFonts w:ascii="Arial" w:hAnsi="Arial" w:cs="Arial"/>
                <w:sz w:val="22"/>
                <w:szCs w:val="22"/>
              </w:rPr>
              <w:t>/</w:t>
            </w:r>
          </w:p>
        </w:tc>
        <w:tc>
          <w:tcPr>
            <w:tcW w:w="1364" w:type="dxa"/>
            <w:tcBorders>
              <w:top w:val="single" w:color="auto" w:sz="6" w:space="0"/>
              <w:left w:val="single" w:color="auto" w:sz="6" w:space="0"/>
              <w:bottom w:val="single" w:color="auto" w:sz="12" w:space="0"/>
              <w:right w:val="single" w:color="auto" w:sz="6" w:space="0"/>
            </w:tcBorders>
            <w:noWrap w:val="0"/>
            <w:vAlign w:val="center"/>
          </w:tcPr>
          <w:p w14:paraId="6544B829">
            <w:pPr>
              <w:pStyle w:val="946"/>
              <w:spacing w:line="300" w:lineRule="exact"/>
              <w:rPr>
                <w:rFonts w:ascii="Arial" w:hAnsi="Arial" w:cs="Arial"/>
                <w:sz w:val="22"/>
                <w:szCs w:val="22"/>
              </w:rPr>
            </w:pPr>
            <w:r>
              <w:rPr>
                <w:rFonts w:ascii="Arial" w:hAnsi="Arial" w:cs="Arial"/>
                <w:sz w:val="22"/>
                <w:szCs w:val="22"/>
              </w:rPr>
              <w:t>/</w:t>
            </w:r>
          </w:p>
        </w:tc>
        <w:tc>
          <w:tcPr>
            <w:tcW w:w="2226" w:type="dxa"/>
            <w:tcBorders>
              <w:top w:val="single" w:color="auto" w:sz="6" w:space="0"/>
              <w:left w:val="single" w:color="auto" w:sz="6" w:space="0"/>
              <w:bottom w:val="single" w:color="auto" w:sz="12" w:space="0"/>
              <w:right w:val="single" w:color="auto" w:sz="6" w:space="0"/>
            </w:tcBorders>
            <w:noWrap w:val="0"/>
            <w:vAlign w:val="center"/>
          </w:tcPr>
          <w:p w14:paraId="328A652E">
            <w:pPr>
              <w:pStyle w:val="946"/>
              <w:spacing w:line="300" w:lineRule="exact"/>
              <w:rPr>
                <w:rFonts w:ascii="Arial" w:hAnsi="Arial" w:cs="Arial"/>
                <w:sz w:val="22"/>
                <w:szCs w:val="22"/>
              </w:rPr>
            </w:pPr>
            <w:r>
              <w:rPr>
                <w:rFonts w:hint="eastAsia" w:ascii="Arial" w:hAnsi="Arial" w:cs="Arial"/>
                <w:sz w:val="22"/>
                <w:szCs w:val="22"/>
                <w:lang w:eastAsia="zh-CN"/>
              </w:rPr>
              <w:t>定期打捞，交当地市政环卫部门统一清运处置</w:t>
            </w:r>
          </w:p>
        </w:tc>
        <w:tc>
          <w:tcPr>
            <w:tcW w:w="1275" w:type="dxa"/>
            <w:tcBorders>
              <w:top w:val="single" w:color="auto" w:sz="6" w:space="0"/>
              <w:left w:val="single" w:color="auto" w:sz="6" w:space="0"/>
              <w:bottom w:val="single" w:color="auto" w:sz="12" w:space="0"/>
              <w:right w:val="single" w:color="auto" w:sz="6" w:space="0"/>
            </w:tcBorders>
            <w:noWrap w:val="0"/>
            <w:vAlign w:val="center"/>
          </w:tcPr>
          <w:p w14:paraId="16DB1976">
            <w:pPr>
              <w:pStyle w:val="946"/>
              <w:spacing w:line="300" w:lineRule="exact"/>
              <w:rPr>
                <w:rFonts w:ascii="Arial" w:hAnsi="Arial" w:cs="Arial"/>
                <w:sz w:val="22"/>
                <w:szCs w:val="22"/>
              </w:rPr>
            </w:pPr>
            <w:r>
              <w:rPr>
                <w:rFonts w:ascii="Arial" w:hAnsi="Arial" w:cs="Arial"/>
                <w:sz w:val="22"/>
                <w:szCs w:val="22"/>
              </w:rPr>
              <w:t>/</w:t>
            </w:r>
          </w:p>
        </w:tc>
        <w:tc>
          <w:tcPr>
            <w:tcW w:w="851" w:type="dxa"/>
            <w:tcBorders>
              <w:top w:val="single" w:color="auto" w:sz="6" w:space="0"/>
              <w:left w:val="single" w:color="auto" w:sz="6" w:space="0"/>
              <w:bottom w:val="single" w:color="auto" w:sz="12" w:space="0"/>
              <w:right w:val="single" w:color="auto" w:sz="6" w:space="0"/>
            </w:tcBorders>
            <w:noWrap w:val="0"/>
            <w:vAlign w:val="center"/>
          </w:tcPr>
          <w:p w14:paraId="14D6B665">
            <w:pPr>
              <w:pStyle w:val="946"/>
              <w:spacing w:line="300" w:lineRule="exact"/>
              <w:rPr>
                <w:rFonts w:ascii="Arial" w:hAnsi="Arial" w:cs="Arial"/>
                <w:sz w:val="22"/>
                <w:szCs w:val="22"/>
              </w:rPr>
            </w:pPr>
            <w:r>
              <w:rPr>
                <w:rFonts w:ascii="Arial" w:hAnsi="Arial" w:cs="Arial"/>
                <w:sz w:val="22"/>
                <w:szCs w:val="22"/>
              </w:rPr>
              <w:t>/</w:t>
            </w:r>
          </w:p>
        </w:tc>
        <w:tc>
          <w:tcPr>
            <w:tcW w:w="1177" w:type="dxa"/>
            <w:tcBorders>
              <w:top w:val="single" w:color="auto" w:sz="6" w:space="0"/>
              <w:left w:val="single" w:color="auto" w:sz="6" w:space="0"/>
              <w:bottom w:val="single" w:color="auto" w:sz="12" w:space="0"/>
              <w:right w:val="single" w:color="auto" w:sz="6" w:space="0"/>
            </w:tcBorders>
            <w:noWrap w:val="0"/>
            <w:vAlign w:val="center"/>
          </w:tcPr>
          <w:p w14:paraId="232A158B">
            <w:pPr>
              <w:pStyle w:val="946"/>
              <w:spacing w:line="300" w:lineRule="exact"/>
              <w:rPr>
                <w:rFonts w:ascii="Arial" w:hAnsi="Arial" w:cs="Arial"/>
                <w:sz w:val="22"/>
                <w:szCs w:val="22"/>
              </w:rPr>
            </w:pPr>
            <w:r>
              <w:rPr>
                <w:rFonts w:ascii="Arial" w:hAnsi="Arial" w:cs="Arial"/>
                <w:sz w:val="22"/>
                <w:szCs w:val="22"/>
              </w:rPr>
              <w:t>/</w:t>
            </w:r>
          </w:p>
        </w:tc>
        <w:tc>
          <w:tcPr>
            <w:tcW w:w="1275" w:type="dxa"/>
            <w:vMerge w:val="continue"/>
            <w:tcBorders>
              <w:left w:val="single" w:color="auto" w:sz="6" w:space="0"/>
              <w:bottom w:val="single" w:color="auto" w:sz="12" w:space="0"/>
              <w:right w:val="single" w:color="auto" w:sz="12" w:space="0"/>
            </w:tcBorders>
            <w:noWrap w:val="0"/>
            <w:vAlign w:val="center"/>
          </w:tcPr>
          <w:p w14:paraId="0FDD8E3E">
            <w:pPr>
              <w:pStyle w:val="946"/>
              <w:spacing w:line="300" w:lineRule="exact"/>
              <w:rPr>
                <w:rFonts w:ascii="Arial" w:hAnsi="Arial" w:cs="Arial"/>
                <w:sz w:val="22"/>
                <w:szCs w:val="22"/>
              </w:rPr>
            </w:pPr>
          </w:p>
        </w:tc>
      </w:tr>
    </w:tbl>
    <w:p w14:paraId="29D3B5E2">
      <w:pPr>
        <w:spacing w:line="440" w:lineRule="exact"/>
        <w:jc w:val="center"/>
        <w:rPr>
          <w:rFonts w:hint="eastAsia" w:ascii="Arial" w:hAnsi="宋体" w:cs="Arial"/>
          <w:b/>
          <w:bCs/>
          <w:sz w:val="26"/>
          <w:szCs w:val="26"/>
        </w:rPr>
      </w:pPr>
    </w:p>
    <w:p w14:paraId="199FBC96">
      <w:pPr>
        <w:spacing w:line="440" w:lineRule="exact"/>
        <w:jc w:val="center"/>
        <w:rPr>
          <w:rFonts w:hint="eastAsia" w:ascii="Arial" w:hAnsi="宋体" w:cs="Arial"/>
          <w:b/>
          <w:bCs/>
          <w:sz w:val="26"/>
          <w:szCs w:val="26"/>
        </w:rPr>
      </w:pPr>
      <w:r>
        <w:rPr>
          <w:rFonts w:hint="eastAsia" w:ascii="Arial" w:hAnsi="宋体" w:cs="Arial"/>
          <w:b/>
          <w:bCs/>
          <w:sz w:val="26"/>
          <w:szCs w:val="26"/>
        </w:rPr>
        <w:t>表3.</w:t>
      </w:r>
      <w:r>
        <w:rPr>
          <w:rFonts w:hint="eastAsia" w:ascii="Arial" w:hAnsi="宋体" w:cs="Arial"/>
          <w:b/>
          <w:bCs/>
          <w:sz w:val="26"/>
          <w:szCs w:val="26"/>
          <w:lang w:val="en-US" w:eastAsia="zh-CN"/>
        </w:rPr>
        <w:t>2</w:t>
      </w:r>
      <w:r>
        <w:rPr>
          <w:rFonts w:hint="eastAsia" w:ascii="Arial" w:hAnsi="宋体" w:cs="Arial"/>
          <w:b/>
          <w:bCs/>
          <w:sz w:val="26"/>
          <w:szCs w:val="26"/>
        </w:rPr>
        <w:t>-</w:t>
      </w:r>
      <w:r>
        <w:rPr>
          <w:rFonts w:hint="eastAsia" w:ascii="Arial" w:hAnsi="宋体" w:cs="Arial"/>
          <w:b/>
          <w:bCs/>
          <w:sz w:val="26"/>
          <w:szCs w:val="26"/>
          <w:lang w:val="en-US" w:eastAsia="zh-CN"/>
        </w:rPr>
        <w:t>2</w:t>
      </w:r>
      <w:r>
        <w:rPr>
          <w:rFonts w:hint="eastAsia" w:ascii="Arial" w:hAnsi="宋体" w:cs="Arial"/>
          <w:b/>
          <w:bCs/>
          <w:sz w:val="26"/>
          <w:szCs w:val="26"/>
        </w:rPr>
        <w:t xml:space="preserve"> 工程</w:t>
      </w:r>
      <w:r>
        <w:rPr>
          <w:rFonts w:hint="eastAsia" w:ascii="Arial" w:hAnsi="宋体" w:cs="Arial"/>
          <w:b/>
          <w:bCs/>
          <w:sz w:val="26"/>
          <w:szCs w:val="26"/>
          <w:lang w:eastAsia="zh-CN"/>
        </w:rPr>
        <w:t>运营期</w:t>
      </w:r>
      <w:r>
        <w:rPr>
          <w:rFonts w:hint="eastAsia" w:ascii="Arial" w:hAnsi="宋体" w:cs="Arial"/>
          <w:b/>
          <w:bCs/>
          <w:sz w:val="26"/>
          <w:szCs w:val="26"/>
        </w:rPr>
        <w:t>生态环境影响因素汇总表</w:t>
      </w:r>
    </w:p>
    <w:tbl>
      <w:tblPr>
        <w:tblStyle w:val="77"/>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1555"/>
        <w:gridCol w:w="3265"/>
        <w:gridCol w:w="2405"/>
        <w:gridCol w:w="5291"/>
      </w:tblGrid>
      <w:tr w14:paraId="2B1289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trPr>
        <w:tc>
          <w:tcPr>
            <w:tcW w:w="1384" w:type="dxa"/>
            <w:noWrap w:val="0"/>
            <w:vAlign w:val="center"/>
          </w:tcPr>
          <w:p w14:paraId="4B3E6219">
            <w:pPr>
              <w:pStyle w:val="946"/>
              <w:spacing w:line="300" w:lineRule="exact"/>
              <w:rPr>
                <w:rFonts w:ascii="Arial" w:hAnsi="Arial" w:cs="Arial"/>
                <w:sz w:val="22"/>
                <w:szCs w:val="22"/>
              </w:rPr>
            </w:pPr>
            <w:r>
              <w:rPr>
                <w:rFonts w:ascii="Arial" w:hAnsi="Arial" w:cs="Arial"/>
                <w:sz w:val="22"/>
                <w:szCs w:val="22"/>
              </w:rPr>
              <w:t>工程阶段</w:t>
            </w:r>
          </w:p>
        </w:tc>
        <w:tc>
          <w:tcPr>
            <w:tcW w:w="1555" w:type="dxa"/>
            <w:noWrap w:val="0"/>
            <w:vAlign w:val="center"/>
          </w:tcPr>
          <w:p w14:paraId="608D4262">
            <w:pPr>
              <w:pStyle w:val="946"/>
              <w:spacing w:line="300" w:lineRule="exact"/>
              <w:rPr>
                <w:rFonts w:ascii="Arial" w:hAnsi="Arial" w:cs="Arial"/>
                <w:sz w:val="22"/>
                <w:szCs w:val="22"/>
              </w:rPr>
            </w:pPr>
            <w:r>
              <w:rPr>
                <w:rFonts w:ascii="Arial" w:hAnsi="Arial" w:cs="Arial"/>
                <w:sz w:val="22"/>
                <w:szCs w:val="22"/>
              </w:rPr>
              <w:t>工程行为</w:t>
            </w:r>
          </w:p>
        </w:tc>
        <w:tc>
          <w:tcPr>
            <w:tcW w:w="3265" w:type="dxa"/>
            <w:noWrap w:val="0"/>
            <w:vAlign w:val="center"/>
          </w:tcPr>
          <w:p w14:paraId="7B9CB8BD">
            <w:pPr>
              <w:pStyle w:val="946"/>
              <w:spacing w:line="300" w:lineRule="exact"/>
              <w:rPr>
                <w:rFonts w:ascii="Arial" w:hAnsi="Arial" w:cs="Arial"/>
                <w:sz w:val="22"/>
                <w:szCs w:val="22"/>
              </w:rPr>
            </w:pPr>
            <w:r>
              <w:rPr>
                <w:rFonts w:ascii="Arial" w:hAnsi="Arial" w:cs="Arial"/>
                <w:sz w:val="22"/>
                <w:szCs w:val="22"/>
              </w:rPr>
              <w:t>生态影响因素</w:t>
            </w:r>
          </w:p>
        </w:tc>
        <w:tc>
          <w:tcPr>
            <w:tcW w:w="2405" w:type="dxa"/>
            <w:noWrap w:val="0"/>
            <w:vAlign w:val="center"/>
          </w:tcPr>
          <w:p w14:paraId="3344ACE4">
            <w:pPr>
              <w:pStyle w:val="946"/>
              <w:spacing w:line="300" w:lineRule="exact"/>
              <w:rPr>
                <w:rFonts w:ascii="Arial" w:hAnsi="Arial" w:cs="Arial"/>
                <w:sz w:val="22"/>
                <w:szCs w:val="22"/>
              </w:rPr>
            </w:pPr>
            <w:r>
              <w:rPr>
                <w:rFonts w:ascii="Arial" w:hAnsi="Arial" w:cs="Arial"/>
                <w:sz w:val="22"/>
                <w:szCs w:val="22"/>
              </w:rPr>
              <w:t>影响对象</w:t>
            </w:r>
          </w:p>
        </w:tc>
        <w:tc>
          <w:tcPr>
            <w:tcW w:w="5291" w:type="dxa"/>
            <w:noWrap w:val="0"/>
            <w:vAlign w:val="center"/>
          </w:tcPr>
          <w:p w14:paraId="70B7BD5A">
            <w:pPr>
              <w:pStyle w:val="946"/>
              <w:spacing w:line="300" w:lineRule="exact"/>
              <w:rPr>
                <w:rFonts w:ascii="Arial" w:hAnsi="Arial" w:cs="Arial"/>
                <w:sz w:val="22"/>
                <w:szCs w:val="22"/>
              </w:rPr>
            </w:pPr>
            <w:r>
              <w:rPr>
                <w:rFonts w:ascii="Arial" w:hAnsi="Arial" w:cs="Arial"/>
                <w:sz w:val="22"/>
                <w:szCs w:val="22"/>
              </w:rPr>
              <w:t>影响程度</w:t>
            </w:r>
          </w:p>
        </w:tc>
      </w:tr>
      <w:tr w14:paraId="678D1F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384" w:type="dxa"/>
            <w:vMerge w:val="restart"/>
            <w:noWrap w:val="0"/>
            <w:vAlign w:val="center"/>
          </w:tcPr>
          <w:p w14:paraId="591A928A">
            <w:pPr>
              <w:pStyle w:val="946"/>
              <w:spacing w:line="300" w:lineRule="exact"/>
              <w:rPr>
                <w:rFonts w:ascii="Arial" w:hAnsi="Arial" w:cs="Arial"/>
                <w:sz w:val="22"/>
                <w:szCs w:val="22"/>
              </w:rPr>
            </w:pPr>
            <w:r>
              <w:rPr>
                <w:rFonts w:ascii="Arial" w:hAnsi="Arial" w:cs="Arial"/>
                <w:sz w:val="22"/>
                <w:szCs w:val="22"/>
              </w:rPr>
              <w:t>营运期</w:t>
            </w:r>
          </w:p>
        </w:tc>
        <w:tc>
          <w:tcPr>
            <w:tcW w:w="1555" w:type="dxa"/>
            <w:vMerge w:val="restart"/>
            <w:noWrap w:val="0"/>
            <w:vAlign w:val="center"/>
          </w:tcPr>
          <w:p w14:paraId="102520F6">
            <w:pPr>
              <w:pStyle w:val="946"/>
              <w:spacing w:line="300" w:lineRule="exact"/>
              <w:rPr>
                <w:rFonts w:ascii="Arial" w:hAnsi="Arial" w:cs="Arial"/>
                <w:sz w:val="22"/>
                <w:szCs w:val="22"/>
                <w:lang w:val="zh-CN"/>
              </w:rPr>
            </w:pPr>
            <w:r>
              <w:rPr>
                <w:rFonts w:ascii="Arial" w:hAnsi="Arial" w:cs="Arial"/>
                <w:sz w:val="22"/>
                <w:szCs w:val="22"/>
              </w:rPr>
              <w:t>水库调度</w:t>
            </w:r>
          </w:p>
        </w:tc>
        <w:tc>
          <w:tcPr>
            <w:tcW w:w="3265" w:type="dxa"/>
            <w:vMerge w:val="restart"/>
            <w:noWrap w:val="0"/>
            <w:vAlign w:val="center"/>
          </w:tcPr>
          <w:p w14:paraId="05D21AA0">
            <w:pPr>
              <w:pStyle w:val="946"/>
              <w:spacing w:line="300" w:lineRule="exact"/>
              <w:rPr>
                <w:rFonts w:ascii="Arial" w:hAnsi="Arial" w:cs="Arial"/>
                <w:sz w:val="22"/>
                <w:szCs w:val="22"/>
                <w:lang w:val="zh-CN"/>
              </w:rPr>
            </w:pPr>
            <w:r>
              <w:rPr>
                <w:rFonts w:ascii="Arial" w:hAnsi="Arial" w:cs="Arial"/>
                <w:sz w:val="22"/>
                <w:szCs w:val="22"/>
              </w:rPr>
              <w:t>水库蓄水</w:t>
            </w:r>
          </w:p>
        </w:tc>
        <w:tc>
          <w:tcPr>
            <w:tcW w:w="2405" w:type="dxa"/>
            <w:noWrap w:val="0"/>
            <w:vAlign w:val="center"/>
          </w:tcPr>
          <w:p w14:paraId="36275065">
            <w:pPr>
              <w:pStyle w:val="946"/>
              <w:spacing w:line="300" w:lineRule="exact"/>
              <w:rPr>
                <w:rFonts w:ascii="Arial" w:hAnsi="Arial" w:cs="Arial"/>
                <w:sz w:val="22"/>
                <w:szCs w:val="22"/>
                <w:lang w:val="zh-CN"/>
              </w:rPr>
            </w:pPr>
            <w:r>
              <w:rPr>
                <w:rFonts w:ascii="Arial" w:hAnsi="Arial" w:cs="Arial"/>
                <w:sz w:val="22"/>
                <w:szCs w:val="22"/>
              </w:rPr>
              <w:t>淹没林地</w:t>
            </w:r>
          </w:p>
        </w:tc>
        <w:tc>
          <w:tcPr>
            <w:tcW w:w="5291" w:type="dxa"/>
            <w:noWrap w:val="0"/>
            <w:vAlign w:val="center"/>
          </w:tcPr>
          <w:p w14:paraId="36A899FE">
            <w:pPr>
              <w:pStyle w:val="946"/>
              <w:spacing w:line="300" w:lineRule="exact"/>
              <w:rPr>
                <w:rFonts w:ascii="Arial" w:hAnsi="Arial" w:cs="Arial"/>
                <w:sz w:val="22"/>
                <w:szCs w:val="22"/>
              </w:rPr>
            </w:pPr>
            <w:r>
              <w:rPr>
                <w:rFonts w:ascii="Arial" w:hAnsi="Arial" w:cs="Arial"/>
                <w:sz w:val="22"/>
                <w:szCs w:val="22"/>
              </w:rPr>
              <w:t>减少项目建设区内的植被生物量</w:t>
            </w:r>
          </w:p>
        </w:tc>
      </w:tr>
      <w:tr w14:paraId="446575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384" w:type="dxa"/>
            <w:vMerge w:val="continue"/>
            <w:noWrap w:val="0"/>
            <w:vAlign w:val="center"/>
          </w:tcPr>
          <w:p w14:paraId="59577554">
            <w:pPr>
              <w:widowControl/>
              <w:spacing w:line="300" w:lineRule="exact"/>
              <w:jc w:val="center"/>
              <w:rPr>
                <w:rFonts w:ascii="Arial" w:hAnsi="Arial" w:cs="Arial"/>
                <w:sz w:val="22"/>
                <w:szCs w:val="22"/>
              </w:rPr>
            </w:pPr>
          </w:p>
        </w:tc>
        <w:tc>
          <w:tcPr>
            <w:tcW w:w="1555" w:type="dxa"/>
            <w:vMerge w:val="continue"/>
            <w:noWrap w:val="0"/>
            <w:vAlign w:val="center"/>
          </w:tcPr>
          <w:p w14:paraId="73909A49">
            <w:pPr>
              <w:widowControl/>
              <w:spacing w:line="300" w:lineRule="exact"/>
              <w:jc w:val="center"/>
              <w:rPr>
                <w:rFonts w:ascii="Arial" w:hAnsi="Arial" w:cs="Arial"/>
                <w:sz w:val="22"/>
                <w:szCs w:val="22"/>
                <w:lang w:val="zh-CN"/>
              </w:rPr>
            </w:pPr>
          </w:p>
        </w:tc>
        <w:tc>
          <w:tcPr>
            <w:tcW w:w="3265" w:type="dxa"/>
            <w:vMerge w:val="continue"/>
            <w:noWrap w:val="0"/>
            <w:vAlign w:val="center"/>
          </w:tcPr>
          <w:p w14:paraId="132906BC">
            <w:pPr>
              <w:widowControl/>
              <w:spacing w:line="300" w:lineRule="exact"/>
              <w:jc w:val="center"/>
              <w:rPr>
                <w:rFonts w:ascii="Arial" w:hAnsi="Arial" w:cs="Arial"/>
                <w:sz w:val="22"/>
                <w:szCs w:val="22"/>
                <w:lang w:val="zh-CN"/>
              </w:rPr>
            </w:pPr>
          </w:p>
        </w:tc>
        <w:tc>
          <w:tcPr>
            <w:tcW w:w="2405" w:type="dxa"/>
            <w:noWrap w:val="0"/>
            <w:vAlign w:val="center"/>
          </w:tcPr>
          <w:p w14:paraId="4AAAF77B">
            <w:pPr>
              <w:pStyle w:val="946"/>
              <w:spacing w:line="300" w:lineRule="exact"/>
              <w:rPr>
                <w:rFonts w:ascii="Arial" w:hAnsi="Arial" w:cs="Arial"/>
                <w:sz w:val="22"/>
                <w:szCs w:val="22"/>
              </w:rPr>
            </w:pPr>
            <w:r>
              <w:rPr>
                <w:rFonts w:ascii="Arial" w:hAnsi="Arial" w:cs="Arial"/>
                <w:sz w:val="22"/>
                <w:szCs w:val="22"/>
              </w:rPr>
              <w:t>地下水环境</w:t>
            </w:r>
          </w:p>
        </w:tc>
        <w:tc>
          <w:tcPr>
            <w:tcW w:w="5291" w:type="dxa"/>
            <w:noWrap w:val="0"/>
            <w:vAlign w:val="center"/>
          </w:tcPr>
          <w:p w14:paraId="33269E48">
            <w:pPr>
              <w:pStyle w:val="946"/>
              <w:spacing w:line="300" w:lineRule="exact"/>
              <w:rPr>
                <w:rFonts w:ascii="Arial" w:hAnsi="Arial" w:cs="Arial"/>
                <w:sz w:val="22"/>
                <w:szCs w:val="22"/>
              </w:rPr>
            </w:pPr>
            <w:r>
              <w:rPr>
                <w:rFonts w:ascii="Arial" w:hAnsi="Arial" w:cs="Arial"/>
                <w:sz w:val="22"/>
                <w:szCs w:val="22"/>
              </w:rPr>
              <w:t>水库可能发生渗漏，使地下水水位升高造成坝后浸没</w:t>
            </w:r>
          </w:p>
        </w:tc>
      </w:tr>
      <w:tr w14:paraId="36D390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384" w:type="dxa"/>
            <w:vMerge w:val="continue"/>
            <w:noWrap w:val="0"/>
            <w:vAlign w:val="center"/>
          </w:tcPr>
          <w:p w14:paraId="0D25A7D0">
            <w:pPr>
              <w:widowControl/>
              <w:spacing w:line="300" w:lineRule="exact"/>
              <w:jc w:val="center"/>
              <w:rPr>
                <w:rFonts w:ascii="Arial" w:hAnsi="Arial" w:cs="Arial"/>
                <w:sz w:val="22"/>
                <w:szCs w:val="22"/>
              </w:rPr>
            </w:pPr>
          </w:p>
        </w:tc>
        <w:tc>
          <w:tcPr>
            <w:tcW w:w="1555" w:type="dxa"/>
            <w:vMerge w:val="continue"/>
            <w:noWrap w:val="0"/>
            <w:vAlign w:val="center"/>
          </w:tcPr>
          <w:p w14:paraId="7FBC7402">
            <w:pPr>
              <w:widowControl/>
              <w:spacing w:line="300" w:lineRule="exact"/>
              <w:jc w:val="center"/>
              <w:rPr>
                <w:rFonts w:ascii="Arial" w:hAnsi="Arial" w:cs="Arial"/>
                <w:sz w:val="22"/>
                <w:szCs w:val="22"/>
                <w:lang w:val="zh-CN"/>
              </w:rPr>
            </w:pPr>
          </w:p>
        </w:tc>
        <w:tc>
          <w:tcPr>
            <w:tcW w:w="3265" w:type="dxa"/>
            <w:vMerge w:val="continue"/>
            <w:noWrap w:val="0"/>
            <w:vAlign w:val="center"/>
          </w:tcPr>
          <w:p w14:paraId="01A60285">
            <w:pPr>
              <w:widowControl/>
              <w:spacing w:line="300" w:lineRule="exact"/>
              <w:jc w:val="center"/>
              <w:rPr>
                <w:rFonts w:ascii="Arial" w:hAnsi="Arial" w:cs="Arial"/>
                <w:sz w:val="22"/>
                <w:szCs w:val="22"/>
                <w:lang w:val="zh-CN"/>
              </w:rPr>
            </w:pPr>
          </w:p>
        </w:tc>
        <w:tc>
          <w:tcPr>
            <w:tcW w:w="2405" w:type="dxa"/>
            <w:noWrap w:val="0"/>
            <w:vAlign w:val="center"/>
          </w:tcPr>
          <w:p w14:paraId="55336314">
            <w:pPr>
              <w:pStyle w:val="946"/>
              <w:spacing w:line="300" w:lineRule="exact"/>
              <w:rPr>
                <w:rFonts w:ascii="Arial" w:hAnsi="Arial" w:cs="Arial"/>
                <w:sz w:val="22"/>
                <w:szCs w:val="22"/>
              </w:rPr>
            </w:pPr>
            <w:r>
              <w:rPr>
                <w:rFonts w:ascii="Arial" w:hAnsi="Arial" w:cs="Arial"/>
                <w:sz w:val="22"/>
                <w:szCs w:val="22"/>
              </w:rPr>
              <w:t>环境地质</w:t>
            </w:r>
          </w:p>
        </w:tc>
        <w:tc>
          <w:tcPr>
            <w:tcW w:w="5291" w:type="dxa"/>
            <w:noWrap w:val="0"/>
            <w:vAlign w:val="center"/>
          </w:tcPr>
          <w:p w14:paraId="52DF2543">
            <w:pPr>
              <w:pStyle w:val="946"/>
              <w:spacing w:line="300" w:lineRule="exact"/>
              <w:rPr>
                <w:rFonts w:ascii="Arial" w:hAnsi="Arial" w:cs="Arial"/>
                <w:sz w:val="22"/>
                <w:szCs w:val="22"/>
              </w:rPr>
            </w:pPr>
            <w:r>
              <w:rPr>
                <w:rFonts w:ascii="Arial" w:hAnsi="Arial" w:cs="Arial"/>
                <w:sz w:val="22"/>
                <w:szCs w:val="22"/>
              </w:rPr>
              <w:t>水位升高可能诱发地震、造成水库渗漏、库区库岸再造、水库淤积等地质问题</w:t>
            </w:r>
          </w:p>
        </w:tc>
      </w:tr>
      <w:tr w14:paraId="2035D5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384" w:type="dxa"/>
            <w:vMerge w:val="continue"/>
            <w:noWrap w:val="0"/>
            <w:vAlign w:val="center"/>
          </w:tcPr>
          <w:p w14:paraId="03BDEAFC">
            <w:pPr>
              <w:widowControl/>
              <w:spacing w:line="300" w:lineRule="exact"/>
              <w:jc w:val="center"/>
              <w:rPr>
                <w:rFonts w:ascii="Arial" w:hAnsi="Arial" w:cs="Arial"/>
                <w:sz w:val="22"/>
                <w:szCs w:val="22"/>
              </w:rPr>
            </w:pPr>
          </w:p>
        </w:tc>
        <w:tc>
          <w:tcPr>
            <w:tcW w:w="1555" w:type="dxa"/>
            <w:vMerge w:val="continue"/>
            <w:noWrap w:val="0"/>
            <w:vAlign w:val="center"/>
          </w:tcPr>
          <w:p w14:paraId="388F45FF">
            <w:pPr>
              <w:widowControl/>
              <w:spacing w:line="300" w:lineRule="exact"/>
              <w:jc w:val="center"/>
              <w:rPr>
                <w:rFonts w:ascii="Arial" w:hAnsi="Arial" w:cs="Arial"/>
                <w:sz w:val="22"/>
                <w:szCs w:val="22"/>
                <w:lang w:val="zh-CN"/>
              </w:rPr>
            </w:pPr>
          </w:p>
        </w:tc>
        <w:tc>
          <w:tcPr>
            <w:tcW w:w="3265" w:type="dxa"/>
            <w:vMerge w:val="restart"/>
            <w:noWrap w:val="0"/>
            <w:vAlign w:val="center"/>
          </w:tcPr>
          <w:p w14:paraId="113EDB0B">
            <w:pPr>
              <w:pStyle w:val="946"/>
              <w:spacing w:line="300" w:lineRule="exact"/>
              <w:rPr>
                <w:rFonts w:ascii="Arial" w:hAnsi="Arial" w:cs="Arial"/>
                <w:sz w:val="22"/>
                <w:szCs w:val="22"/>
                <w:lang w:val="zh-CN"/>
              </w:rPr>
            </w:pPr>
            <w:r>
              <w:rPr>
                <w:rFonts w:ascii="Arial" w:hAnsi="Arial" w:cs="Arial"/>
                <w:sz w:val="22"/>
                <w:szCs w:val="22"/>
                <w:lang w:val="zh-CN"/>
              </w:rPr>
              <w:t>大坝阻隔</w:t>
            </w:r>
          </w:p>
        </w:tc>
        <w:tc>
          <w:tcPr>
            <w:tcW w:w="2405" w:type="dxa"/>
            <w:noWrap w:val="0"/>
            <w:vAlign w:val="center"/>
          </w:tcPr>
          <w:p w14:paraId="6BF8D7B9">
            <w:pPr>
              <w:pStyle w:val="946"/>
              <w:spacing w:line="300" w:lineRule="exact"/>
              <w:rPr>
                <w:rFonts w:ascii="Arial" w:hAnsi="Arial" w:cs="Arial"/>
                <w:sz w:val="22"/>
                <w:szCs w:val="22"/>
                <w:lang w:val="zh-CN"/>
              </w:rPr>
            </w:pPr>
            <w:r>
              <w:rPr>
                <w:rFonts w:ascii="Arial" w:hAnsi="Arial" w:cs="Arial"/>
                <w:sz w:val="22"/>
                <w:szCs w:val="22"/>
              </w:rPr>
              <w:t>水生生物生境</w:t>
            </w:r>
          </w:p>
        </w:tc>
        <w:tc>
          <w:tcPr>
            <w:tcW w:w="5291" w:type="dxa"/>
            <w:noWrap w:val="0"/>
            <w:vAlign w:val="center"/>
          </w:tcPr>
          <w:p w14:paraId="557F04DB">
            <w:pPr>
              <w:pStyle w:val="946"/>
              <w:spacing w:line="300" w:lineRule="exact"/>
              <w:rPr>
                <w:rFonts w:ascii="Arial" w:hAnsi="Arial" w:cs="Arial"/>
                <w:sz w:val="22"/>
                <w:szCs w:val="22"/>
              </w:rPr>
            </w:pPr>
            <w:r>
              <w:rPr>
                <w:rFonts w:ascii="Arial" w:hAnsi="Arial" w:cs="Arial"/>
                <w:sz w:val="22"/>
                <w:szCs w:val="22"/>
              </w:rPr>
              <w:t>引起水生生物种类和分布的变化</w:t>
            </w:r>
          </w:p>
        </w:tc>
      </w:tr>
      <w:tr w14:paraId="7F6262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384" w:type="dxa"/>
            <w:vMerge w:val="continue"/>
            <w:noWrap w:val="0"/>
            <w:vAlign w:val="center"/>
          </w:tcPr>
          <w:p w14:paraId="761AD99A">
            <w:pPr>
              <w:widowControl/>
              <w:spacing w:line="300" w:lineRule="exact"/>
              <w:jc w:val="center"/>
              <w:rPr>
                <w:rFonts w:ascii="Arial" w:hAnsi="Arial" w:cs="Arial"/>
                <w:sz w:val="22"/>
                <w:szCs w:val="22"/>
              </w:rPr>
            </w:pPr>
          </w:p>
        </w:tc>
        <w:tc>
          <w:tcPr>
            <w:tcW w:w="1555" w:type="dxa"/>
            <w:vMerge w:val="continue"/>
            <w:noWrap w:val="0"/>
            <w:vAlign w:val="center"/>
          </w:tcPr>
          <w:p w14:paraId="0DBCC99D">
            <w:pPr>
              <w:widowControl/>
              <w:spacing w:line="300" w:lineRule="exact"/>
              <w:jc w:val="center"/>
              <w:rPr>
                <w:rFonts w:ascii="Arial" w:hAnsi="Arial" w:cs="Arial"/>
                <w:sz w:val="22"/>
                <w:szCs w:val="22"/>
                <w:lang w:val="zh-CN"/>
              </w:rPr>
            </w:pPr>
          </w:p>
        </w:tc>
        <w:tc>
          <w:tcPr>
            <w:tcW w:w="3265" w:type="dxa"/>
            <w:vMerge w:val="continue"/>
            <w:noWrap w:val="0"/>
            <w:vAlign w:val="center"/>
          </w:tcPr>
          <w:p w14:paraId="7FE9FD95">
            <w:pPr>
              <w:widowControl/>
              <w:spacing w:line="300" w:lineRule="exact"/>
              <w:jc w:val="center"/>
              <w:rPr>
                <w:rFonts w:ascii="Arial" w:hAnsi="Arial" w:cs="Arial"/>
                <w:sz w:val="22"/>
                <w:szCs w:val="22"/>
                <w:lang w:val="zh-CN"/>
              </w:rPr>
            </w:pPr>
          </w:p>
        </w:tc>
        <w:tc>
          <w:tcPr>
            <w:tcW w:w="2405" w:type="dxa"/>
            <w:noWrap w:val="0"/>
            <w:vAlign w:val="center"/>
          </w:tcPr>
          <w:p w14:paraId="4416BFE0">
            <w:pPr>
              <w:pStyle w:val="946"/>
              <w:spacing w:line="300" w:lineRule="exact"/>
              <w:rPr>
                <w:rFonts w:ascii="Arial" w:hAnsi="Arial" w:cs="Arial"/>
                <w:color w:val="auto"/>
                <w:sz w:val="22"/>
                <w:szCs w:val="22"/>
              </w:rPr>
            </w:pPr>
            <w:r>
              <w:rPr>
                <w:rFonts w:ascii="Arial" w:hAnsi="Arial" w:cs="Arial"/>
                <w:color w:val="auto"/>
                <w:sz w:val="22"/>
                <w:szCs w:val="22"/>
              </w:rPr>
              <w:t>地表水水文情势</w:t>
            </w:r>
          </w:p>
        </w:tc>
        <w:tc>
          <w:tcPr>
            <w:tcW w:w="5291" w:type="dxa"/>
            <w:noWrap w:val="0"/>
            <w:vAlign w:val="center"/>
          </w:tcPr>
          <w:p w14:paraId="634B5256">
            <w:pPr>
              <w:pStyle w:val="946"/>
              <w:spacing w:line="300" w:lineRule="exact"/>
              <w:rPr>
                <w:rFonts w:ascii="Arial" w:hAnsi="Arial" w:cs="Arial"/>
                <w:color w:val="auto"/>
                <w:sz w:val="22"/>
                <w:szCs w:val="22"/>
              </w:rPr>
            </w:pPr>
            <w:r>
              <w:rPr>
                <w:rFonts w:ascii="Arial" w:hAnsi="Arial" w:cs="Arial"/>
                <w:color w:val="auto"/>
                <w:sz w:val="22"/>
                <w:szCs w:val="22"/>
              </w:rPr>
              <w:t>导致坝下河道中的水量减小，在水库坝址～</w:t>
            </w:r>
            <w:r>
              <w:rPr>
                <w:rFonts w:hint="eastAsia" w:ascii="Arial" w:hAnsi="Arial" w:cs="Arial"/>
                <w:color w:val="auto"/>
                <w:sz w:val="22"/>
                <w:szCs w:val="22"/>
                <w:lang w:eastAsia="zh-CN"/>
              </w:rPr>
              <w:t>高洞桥河</w:t>
            </w:r>
            <w:r>
              <w:rPr>
                <w:rFonts w:ascii="Arial" w:hAnsi="Arial" w:cs="Arial"/>
                <w:color w:val="auto"/>
                <w:sz w:val="22"/>
                <w:szCs w:val="22"/>
              </w:rPr>
              <w:t>河口形成长约</w:t>
            </w:r>
            <w:r>
              <w:rPr>
                <w:rFonts w:hint="eastAsia" w:ascii="Arial" w:hAnsi="Arial" w:cs="Arial"/>
                <w:color w:val="auto"/>
                <w:sz w:val="22"/>
                <w:szCs w:val="22"/>
                <w:lang w:val="en-US" w:eastAsia="zh-CN"/>
              </w:rPr>
              <w:t>1.54</w:t>
            </w:r>
            <w:r>
              <w:rPr>
                <w:rFonts w:ascii="Arial" w:hAnsi="Arial" w:cs="Arial"/>
                <w:color w:val="auto"/>
                <w:sz w:val="22"/>
                <w:szCs w:val="22"/>
              </w:rPr>
              <w:t>km的减水河段</w:t>
            </w:r>
          </w:p>
        </w:tc>
      </w:tr>
      <w:tr w14:paraId="103E00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384" w:type="dxa"/>
            <w:vMerge w:val="continue"/>
            <w:noWrap w:val="0"/>
            <w:vAlign w:val="center"/>
          </w:tcPr>
          <w:p w14:paraId="6B020BCF">
            <w:pPr>
              <w:widowControl/>
              <w:spacing w:line="300" w:lineRule="exact"/>
              <w:jc w:val="center"/>
              <w:rPr>
                <w:rFonts w:ascii="Arial" w:hAnsi="Arial" w:cs="Arial"/>
                <w:sz w:val="22"/>
                <w:szCs w:val="22"/>
              </w:rPr>
            </w:pPr>
          </w:p>
        </w:tc>
        <w:tc>
          <w:tcPr>
            <w:tcW w:w="1555" w:type="dxa"/>
            <w:vMerge w:val="continue"/>
            <w:noWrap w:val="0"/>
            <w:vAlign w:val="center"/>
          </w:tcPr>
          <w:p w14:paraId="6729E286">
            <w:pPr>
              <w:widowControl/>
              <w:spacing w:line="300" w:lineRule="exact"/>
              <w:jc w:val="center"/>
              <w:rPr>
                <w:rFonts w:ascii="Arial" w:hAnsi="Arial" w:cs="Arial"/>
                <w:sz w:val="22"/>
                <w:szCs w:val="22"/>
                <w:lang w:val="zh-CN"/>
              </w:rPr>
            </w:pPr>
          </w:p>
        </w:tc>
        <w:tc>
          <w:tcPr>
            <w:tcW w:w="3265" w:type="dxa"/>
            <w:vMerge w:val="continue"/>
            <w:noWrap w:val="0"/>
            <w:vAlign w:val="center"/>
          </w:tcPr>
          <w:p w14:paraId="29333B41">
            <w:pPr>
              <w:widowControl/>
              <w:spacing w:line="300" w:lineRule="exact"/>
              <w:jc w:val="center"/>
              <w:rPr>
                <w:rFonts w:ascii="Arial" w:hAnsi="Arial" w:cs="Arial"/>
                <w:sz w:val="22"/>
                <w:szCs w:val="22"/>
                <w:lang w:val="zh-CN"/>
              </w:rPr>
            </w:pPr>
          </w:p>
        </w:tc>
        <w:tc>
          <w:tcPr>
            <w:tcW w:w="2405" w:type="dxa"/>
            <w:noWrap w:val="0"/>
            <w:vAlign w:val="center"/>
          </w:tcPr>
          <w:p w14:paraId="27B3F926">
            <w:pPr>
              <w:pStyle w:val="946"/>
              <w:spacing w:line="300" w:lineRule="exact"/>
              <w:rPr>
                <w:rFonts w:ascii="Arial" w:hAnsi="Arial" w:cs="Arial"/>
                <w:color w:val="auto"/>
                <w:sz w:val="22"/>
                <w:szCs w:val="22"/>
              </w:rPr>
            </w:pPr>
            <w:r>
              <w:rPr>
                <w:rFonts w:ascii="Arial" w:hAnsi="Arial" w:cs="Arial"/>
                <w:color w:val="auto"/>
                <w:sz w:val="22"/>
                <w:szCs w:val="22"/>
              </w:rPr>
              <w:t>河道输沙</w:t>
            </w:r>
          </w:p>
        </w:tc>
        <w:tc>
          <w:tcPr>
            <w:tcW w:w="5291" w:type="dxa"/>
            <w:noWrap w:val="0"/>
            <w:vAlign w:val="center"/>
          </w:tcPr>
          <w:p w14:paraId="4FB896F2">
            <w:pPr>
              <w:pStyle w:val="946"/>
              <w:spacing w:line="300" w:lineRule="exact"/>
              <w:rPr>
                <w:rFonts w:ascii="Arial" w:hAnsi="Arial" w:cs="Arial"/>
                <w:color w:val="auto"/>
                <w:sz w:val="22"/>
                <w:szCs w:val="22"/>
              </w:rPr>
            </w:pPr>
            <w:r>
              <w:rPr>
                <w:rFonts w:ascii="Arial" w:hAnsi="Arial" w:cs="Arial"/>
                <w:color w:val="auto"/>
                <w:sz w:val="22"/>
                <w:szCs w:val="22"/>
              </w:rPr>
              <w:t>改变河道原始输沙能力和输沙量</w:t>
            </w:r>
          </w:p>
        </w:tc>
      </w:tr>
      <w:tr w14:paraId="271DBE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384" w:type="dxa"/>
            <w:vMerge w:val="continue"/>
            <w:noWrap w:val="0"/>
            <w:vAlign w:val="center"/>
          </w:tcPr>
          <w:p w14:paraId="647FFE07">
            <w:pPr>
              <w:widowControl/>
              <w:spacing w:line="300" w:lineRule="exact"/>
              <w:jc w:val="center"/>
              <w:rPr>
                <w:rFonts w:ascii="Arial" w:hAnsi="Arial" w:cs="Arial"/>
                <w:sz w:val="22"/>
                <w:szCs w:val="22"/>
              </w:rPr>
            </w:pPr>
          </w:p>
        </w:tc>
        <w:tc>
          <w:tcPr>
            <w:tcW w:w="1555" w:type="dxa"/>
            <w:vMerge w:val="continue"/>
            <w:noWrap w:val="0"/>
            <w:vAlign w:val="center"/>
          </w:tcPr>
          <w:p w14:paraId="57426455">
            <w:pPr>
              <w:widowControl/>
              <w:spacing w:line="300" w:lineRule="exact"/>
              <w:jc w:val="center"/>
              <w:rPr>
                <w:rFonts w:ascii="Arial" w:hAnsi="Arial" w:cs="Arial"/>
                <w:sz w:val="22"/>
                <w:szCs w:val="22"/>
                <w:lang w:val="zh-CN"/>
              </w:rPr>
            </w:pPr>
          </w:p>
        </w:tc>
        <w:tc>
          <w:tcPr>
            <w:tcW w:w="3265" w:type="dxa"/>
            <w:vMerge w:val="continue"/>
            <w:noWrap w:val="0"/>
            <w:vAlign w:val="center"/>
          </w:tcPr>
          <w:p w14:paraId="5EE1B7CA">
            <w:pPr>
              <w:widowControl/>
              <w:spacing w:line="300" w:lineRule="exact"/>
              <w:jc w:val="center"/>
              <w:rPr>
                <w:rFonts w:ascii="Arial" w:hAnsi="Arial" w:cs="Arial"/>
                <w:sz w:val="22"/>
                <w:szCs w:val="22"/>
                <w:lang w:val="zh-CN"/>
              </w:rPr>
            </w:pPr>
          </w:p>
        </w:tc>
        <w:tc>
          <w:tcPr>
            <w:tcW w:w="2405" w:type="dxa"/>
            <w:noWrap w:val="0"/>
            <w:vAlign w:val="center"/>
          </w:tcPr>
          <w:p w14:paraId="08267B6A">
            <w:pPr>
              <w:pStyle w:val="946"/>
              <w:spacing w:line="300" w:lineRule="exact"/>
              <w:rPr>
                <w:rFonts w:ascii="Arial" w:hAnsi="Arial" w:cs="Arial"/>
                <w:color w:val="auto"/>
                <w:sz w:val="22"/>
                <w:szCs w:val="22"/>
              </w:rPr>
            </w:pPr>
            <w:r>
              <w:rPr>
                <w:rFonts w:ascii="Arial" w:hAnsi="Arial" w:cs="Arial"/>
                <w:color w:val="auto"/>
                <w:sz w:val="22"/>
                <w:szCs w:val="22"/>
              </w:rPr>
              <w:t>水温</w:t>
            </w:r>
          </w:p>
        </w:tc>
        <w:tc>
          <w:tcPr>
            <w:tcW w:w="5291" w:type="dxa"/>
            <w:vMerge w:val="restart"/>
            <w:noWrap w:val="0"/>
            <w:vAlign w:val="center"/>
          </w:tcPr>
          <w:p w14:paraId="1C2AC779">
            <w:pPr>
              <w:pStyle w:val="946"/>
              <w:spacing w:line="300" w:lineRule="exact"/>
              <w:rPr>
                <w:rFonts w:hint="eastAsia" w:ascii="Arial" w:hAnsi="Arial" w:cs="Arial"/>
                <w:color w:val="auto"/>
                <w:sz w:val="22"/>
                <w:szCs w:val="22"/>
                <w:lang w:eastAsia="zh-CN"/>
              </w:rPr>
            </w:pPr>
            <w:r>
              <w:rPr>
                <w:rFonts w:ascii="Arial" w:hAnsi="Arial" w:cs="Arial"/>
                <w:color w:val="auto"/>
                <w:sz w:val="22"/>
                <w:szCs w:val="22"/>
              </w:rPr>
              <w:t>库内水温可能因河水滞留而分层</w:t>
            </w:r>
            <w:r>
              <w:rPr>
                <w:rFonts w:hint="eastAsia" w:ascii="Arial" w:hAnsi="Arial" w:cs="Arial"/>
                <w:color w:val="auto"/>
                <w:sz w:val="22"/>
                <w:szCs w:val="22"/>
                <w:lang w:eastAsia="zh-CN"/>
              </w:rPr>
              <w:t>，低温水直接输送、下泄对坝后灌区农作物生长、水生生态环境造成破坏</w:t>
            </w:r>
          </w:p>
        </w:tc>
      </w:tr>
      <w:tr w14:paraId="2AAFBF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384" w:type="dxa"/>
            <w:vMerge w:val="continue"/>
            <w:noWrap w:val="0"/>
            <w:vAlign w:val="center"/>
          </w:tcPr>
          <w:p w14:paraId="5428FE21">
            <w:pPr>
              <w:widowControl/>
              <w:spacing w:line="300" w:lineRule="exact"/>
              <w:jc w:val="center"/>
              <w:rPr>
                <w:rFonts w:ascii="Arial" w:hAnsi="Arial" w:cs="Arial"/>
                <w:sz w:val="22"/>
                <w:szCs w:val="22"/>
              </w:rPr>
            </w:pPr>
          </w:p>
        </w:tc>
        <w:tc>
          <w:tcPr>
            <w:tcW w:w="1555" w:type="dxa"/>
            <w:noWrap w:val="0"/>
            <w:vAlign w:val="center"/>
          </w:tcPr>
          <w:p w14:paraId="17EC9507">
            <w:pPr>
              <w:pStyle w:val="946"/>
              <w:spacing w:line="300" w:lineRule="exact"/>
              <w:rPr>
                <w:rFonts w:ascii="Arial" w:hAnsi="Arial" w:cs="Arial"/>
                <w:sz w:val="22"/>
                <w:szCs w:val="22"/>
                <w:lang w:val="zh-CN"/>
              </w:rPr>
            </w:pPr>
            <w:r>
              <w:rPr>
                <w:rFonts w:ascii="Arial" w:hAnsi="Arial" w:cs="Arial"/>
                <w:sz w:val="22"/>
                <w:szCs w:val="22"/>
                <w:lang w:val="zh-CN"/>
              </w:rPr>
              <w:t>灌区输水</w:t>
            </w:r>
          </w:p>
        </w:tc>
        <w:tc>
          <w:tcPr>
            <w:tcW w:w="3265" w:type="dxa"/>
            <w:noWrap w:val="0"/>
            <w:vAlign w:val="center"/>
          </w:tcPr>
          <w:p w14:paraId="70180D14">
            <w:pPr>
              <w:pStyle w:val="946"/>
              <w:spacing w:line="300" w:lineRule="exact"/>
              <w:rPr>
                <w:rFonts w:ascii="Arial" w:hAnsi="Arial" w:cs="Arial"/>
                <w:sz w:val="22"/>
                <w:szCs w:val="22"/>
                <w:lang w:val="zh-CN"/>
              </w:rPr>
            </w:pPr>
            <w:r>
              <w:rPr>
                <w:rFonts w:ascii="Arial" w:hAnsi="Arial" w:cs="Arial"/>
                <w:sz w:val="22"/>
                <w:szCs w:val="22"/>
                <w:lang w:val="zh-CN"/>
              </w:rPr>
              <w:t>低温水</w:t>
            </w:r>
          </w:p>
        </w:tc>
        <w:tc>
          <w:tcPr>
            <w:tcW w:w="2405" w:type="dxa"/>
            <w:noWrap w:val="0"/>
            <w:vAlign w:val="center"/>
          </w:tcPr>
          <w:p w14:paraId="668994F6">
            <w:pPr>
              <w:pStyle w:val="946"/>
              <w:spacing w:line="300" w:lineRule="exact"/>
              <w:rPr>
                <w:rFonts w:ascii="Arial" w:hAnsi="Arial" w:cs="Arial"/>
                <w:sz w:val="22"/>
                <w:szCs w:val="22"/>
              </w:rPr>
            </w:pPr>
            <w:r>
              <w:rPr>
                <w:rFonts w:hint="eastAsia" w:ascii="Arial" w:hAnsi="Arial" w:cs="Arial"/>
                <w:sz w:val="22"/>
                <w:szCs w:val="22"/>
                <w:lang w:eastAsia="zh-CN"/>
              </w:rPr>
              <w:t>灌区</w:t>
            </w:r>
            <w:r>
              <w:rPr>
                <w:rFonts w:ascii="Arial" w:hAnsi="Arial" w:cs="Arial"/>
                <w:sz w:val="22"/>
                <w:szCs w:val="22"/>
              </w:rPr>
              <w:t>农作物</w:t>
            </w:r>
          </w:p>
        </w:tc>
        <w:tc>
          <w:tcPr>
            <w:tcW w:w="5291" w:type="dxa"/>
            <w:vMerge w:val="continue"/>
            <w:noWrap w:val="0"/>
            <w:vAlign w:val="center"/>
          </w:tcPr>
          <w:p w14:paraId="588CACC7">
            <w:pPr>
              <w:pStyle w:val="946"/>
              <w:spacing w:line="300" w:lineRule="exact"/>
              <w:rPr>
                <w:rFonts w:ascii="Arial" w:hAnsi="Arial" w:cs="Arial"/>
                <w:sz w:val="22"/>
                <w:szCs w:val="22"/>
              </w:rPr>
            </w:pPr>
          </w:p>
        </w:tc>
      </w:tr>
    </w:tbl>
    <w:p w14:paraId="2E743184">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宋体" w:cs="Arial"/>
          <w:bCs/>
          <w:sz w:val="26"/>
          <w:szCs w:val="26"/>
        </w:rPr>
        <w:sectPr>
          <w:pgSz w:w="15840" w:h="12240" w:orient="landscape"/>
          <w:pgMar w:top="1701" w:right="1440" w:bottom="1701" w:left="1440" w:header="1020" w:footer="794" w:gutter="0"/>
          <w:pgBorders>
            <w:top w:val="none" w:sz="0" w:space="0"/>
            <w:left w:val="none" w:sz="0" w:space="0"/>
            <w:bottom w:val="none" w:sz="0" w:space="0"/>
            <w:right w:val="none" w:sz="0" w:space="0"/>
          </w:pgBorders>
          <w:pgNumType w:fmt="decimal"/>
          <w:cols w:space="0" w:num="1"/>
          <w:rtlGutter w:val="0"/>
          <w:docGrid w:linePitch="0" w:charSpace="0"/>
        </w:sectPr>
      </w:pPr>
    </w:p>
    <w:bookmarkEnd w:id="85"/>
    <w:bookmarkEnd w:id="86"/>
    <w:bookmarkEnd w:id="87"/>
    <w:p w14:paraId="348C3EA4">
      <w:pPr>
        <w:keepNext w:val="0"/>
        <w:keepLines w:val="0"/>
        <w:pageBreakBefore w:val="0"/>
        <w:widowControl w:val="0"/>
        <w:kinsoku/>
        <w:wordWrap/>
        <w:overflowPunct/>
        <w:topLinePunct w:val="0"/>
        <w:autoSpaceDE/>
        <w:autoSpaceDN/>
        <w:bidi w:val="0"/>
        <w:adjustRightInd w:val="0"/>
        <w:snapToGrid w:val="0"/>
        <w:spacing w:before="0" w:beforeLines="100" w:after="0" w:afterLines="100" w:line="460" w:lineRule="exact"/>
        <w:jc w:val="center"/>
        <w:textAlignment w:val="auto"/>
        <w:outlineLvl w:val="0"/>
        <w:rPr>
          <w:rFonts w:hint="default" w:ascii="Arial" w:hAnsi="Arial" w:cs="Arial"/>
          <w:b/>
          <w:sz w:val="26"/>
          <w:szCs w:val="26"/>
          <w:highlight w:val="none"/>
        </w:rPr>
      </w:pPr>
      <w:bookmarkStart w:id="88" w:name="_Toc3317"/>
      <w:r>
        <w:rPr>
          <w:rFonts w:hint="default" w:ascii="Arial" w:hAnsi="Arial" w:cs="Arial"/>
          <w:b/>
          <w:sz w:val="26"/>
          <w:szCs w:val="26"/>
          <w:highlight w:val="none"/>
        </w:rPr>
        <w:t>4 区域环境概况</w:t>
      </w:r>
      <w:bookmarkEnd w:id="88"/>
    </w:p>
    <w:p w14:paraId="06DA8E94">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eastAsia="宋体" w:cs="Arial"/>
          <w:sz w:val="26"/>
          <w:szCs w:val="26"/>
        </w:rPr>
      </w:pPr>
      <w:bookmarkStart w:id="89" w:name="_Toc4030"/>
      <w:r>
        <w:rPr>
          <w:rFonts w:hint="default" w:ascii="Arial" w:hAnsi="Arial" w:eastAsia="宋体" w:cs="Arial"/>
          <w:sz w:val="26"/>
          <w:szCs w:val="26"/>
        </w:rPr>
        <w:t>4.1</w:t>
      </w:r>
      <w:r>
        <w:rPr>
          <w:rFonts w:hint="eastAsia" w:ascii="Arial" w:hAnsi="Arial" w:eastAsia="宋体" w:cs="Arial"/>
          <w:sz w:val="26"/>
          <w:szCs w:val="26"/>
        </w:rPr>
        <w:t>自然环境概况</w:t>
      </w:r>
      <w:bookmarkEnd w:id="89"/>
    </w:p>
    <w:p w14:paraId="78C2B52C">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4.1.1地理位置</w:t>
      </w:r>
    </w:p>
    <w:p w14:paraId="44563C79">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default" w:ascii="Arial" w:hAnsi="Arial" w:cs="Arial"/>
          <w:b w:val="0"/>
          <w:color w:val="auto"/>
          <w:kern w:val="2"/>
          <w:sz w:val="26"/>
          <w:szCs w:val="26"/>
          <w:lang w:val="en-US" w:eastAsia="zh-CN" w:bidi="ar-SA"/>
        </w:rPr>
        <w:t>丰都县位于长江上游地区、重庆东部，地处三峡库区腹心，上距重庆主城九区水路172</w:t>
      </w:r>
      <w:r>
        <w:rPr>
          <w:rFonts w:hint="eastAsia" w:ascii="Arial" w:hAnsi="Arial" w:cs="Arial"/>
          <w:b w:val="0"/>
          <w:color w:val="auto"/>
          <w:kern w:val="2"/>
          <w:sz w:val="26"/>
          <w:szCs w:val="26"/>
          <w:lang w:val="en-US" w:eastAsia="zh-CN" w:bidi="ar-SA"/>
        </w:rPr>
        <w:t>km</w:t>
      </w:r>
      <w:r>
        <w:rPr>
          <w:rFonts w:hint="default" w:ascii="Arial" w:hAnsi="Arial" w:cs="Arial"/>
          <w:b w:val="0"/>
          <w:color w:val="auto"/>
          <w:kern w:val="2"/>
          <w:sz w:val="26"/>
          <w:szCs w:val="26"/>
          <w:lang w:val="en-US" w:eastAsia="zh-CN" w:bidi="ar-SA"/>
        </w:rPr>
        <w:t>，下距湖北宜昌476</w:t>
      </w:r>
      <w:r>
        <w:rPr>
          <w:rFonts w:hint="eastAsia" w:ascii="Arial" w:hAnsi="Arial" w:cs="Arial"/>
          <w:b w:val="0"/>
          <w:color w:val="auto"/>
          <w:kern w:val="2"/>
          <w:sz w:val="26"/>
          <w:szCs w:val="26"/>
          <w:lang w:val="en-US" w:eastAsia="zh-CN" w:bidi="ar-SA"/>
        </w:rPr>
        <w:t>km</w:t>
      </w:r>
      <w:r>
        <w:rPr>
          <w:rFonts w:hint="default" w:ascii="Arial" w:hAnsi="Arial" w:cs="Arial"/>
          <w:b w:val="0"/>
          <w:color w:val="auto"/>
          <w:kern w:val="2"/>
          <w:sz w:val="26"/>
          <w:szCs w:val="26"/>
          <w:lang w:val="en-US" w:eastAsia="zh-CN" w:bidi="ar-SA"/>
        </w:rPr>
        <w:t>。东依石柱土家族自治县，南接武隆区、彭水县，西靠涪陵区，北邻忠县、垫江县。县境呈西北</w:t>
      </w:r>
      <w:r>
        <w:rPr>
          <w:rFonts w:hint="eastAsia" w:ascii="Arial" w:hAnsi="Arial" w:cs="Arial"/>
          <w:b w:val="0"/>
          <w:color w:val="auto"/>
          <w:kern w:val="2"/>
          <w:sz w:val="26"/>
          <w:szCs w:val="26"/>
          <w:lang w:val="en-US" w:eastAsia="zh-CN" w:bidi="ar-SA"/>
        </w:rPr>
        <w:t>—</w:t>
      </w:r>
      <w:r>
        <w:rPr>
          <w:rFonts w:hint="default" w:ascii="Arial" w:hAnsi="Arial" w:cs="Arial"/>
          <w:b w:val="0"/>
          <w:color w:val="auto"/>
          <w:kern w:val="2"/>
          <w:sz w:val="26"/>
          <w:szCs w:val="26"/>
          <w:lang w:val="en-US" w:eastAsia="zh-CN" w:bidi="ar-SA"/>
        </w:rPr>
        <w:t>东南走向分布，南北长87</w:t>
      </w:r>
      <w:r>
        <w:rPr>
          <w:rFonts w:hint="eastAsia" w:ascii="Arial" w:hAnsi="Arial" w:cs="Arial"/>
          <w:b w:val="0"/>
          <w:color w:val="auto"/>
          <w:kern w:val="2"/>
          <w:sz w:val="26"/>
          <w:szCs w:val="26"/>
          <w:lang w:val="en-US" w:eastAsia="zh-CN" w:bidi="ar-SA"/>
        </w:rPr>
        <w:t>km</w:t>
      </w:r>
      <w:r>
        <w:rPr>
          <w:rFonts w:hint="default" w:ascii="Arial" w:hAnsi="Arial" w:cs="Arial"/>
          <w:b w:val="0"/>
          <w:color w:val="auto"/>
          <w:kern w:val="2"/>
          <w:sz w:val="26"/>
          <w:szCs w:val="26"/>
          <w:lang w:val="en-US" w:eastAsia="zh-CN" w:bidi="ar-SA"/>
        </w:rPr>
        <w:t>，东西宽54</w:t>
      </w:r>
      <w:r>
        <w:rPr>
          <w:rFonts w:hint="eastAsia" w:ascii="Arial" w:hAnsi="Arial" w:cs="Arial"/>
          <w:b w:val="0"/>
          <w:color w:val="auto"/>
          <w:kern w:val="2"/>
          <w:sz w:val="26"/>
          <w:szCs w:val="26"/>
          <w:lang w:val="en-US" w:eastAsia="zh-CN" w:bidi="ar-SA"/>
        </w:rPr>
        <w:t>km</w:t>
      </w:r>
      <w:r>
        <w:rPr>
          <w:rFonts w:hint="default" w:ascii="Arial" w:hAnsi="Arial" w:cs="Arial"/>
          <w:b w:val="0"/>
          <w:color w:val="auto"/>
          <w:kern w:val="2"/>
          <w:sz w:val="26"/>
          <w:szCs w:val="26"/>
          <w:lang w:val="en-US" w:eastAsia="zh-CN" w:bidi="ar-SA"/>
        </w:rPr>
        <w:t>，辖区面积2901</w:t>
      </w:r>
      <w:r>
        <w:rPr>
          <w:rFonts w:hint="eastAsia" w:ascii="Arial" w:hAnsi="Arial" w:cs="Arial"/>
          <w:b w:val="0"/>
          <w:color w:val="auto"/>
          <w:kern w:val="2"/>
          <w:sz w:val="26"/>
          <w:szCs w:val="26"/>
          <w:lang w:val="en-US" w:eastAsia="zh-CN" w:bidi="ar-SA"/>
        </w:rPr>
        <w:t>km</w:t>
      </w:r>
      <w:r>
        <w:rPr>
          <w:rFonts w:hint="eastAsia" w:ascii="Arial" w:hAnsi="Arial" w:cs="Arial"/>
          <w:b w:val="0"/>
          <w:color w:val="auto"/>
          <w:kern w:val="2"/>
          <w:sz w:val="26"/>
          <w:szCs w:val="26"/>
          <w:vertAlign w:val="superscript"/>
          <w:lang w:val="en-US" w:eastAsia="zh-CN" w:bidi="ar-SA"/>
        </w:rPr>
        <w:t>2</w:t>
      </w:r>
      <w:r>
        <w:rPr>
          <w:rFonts w:hint="default" w:ascii="Arial" w:hAnsi="Arial" w:cs="Arial"/>
          <w:b w:val="0"/>
          <w:color w:val="auto"/>
          <w:kern w:val="2"/>
          <w:sz w:val="26"/>
          <w:szCs w:val="26"/>
          <w:lang w:val="en-US" w:eastAsia="zh-CN" w:bidi="ar-SA"/>
        </w:rPr>
        <w:t>。</w:t>
      </w:r>
    </w:p>
    <w:p w14:paraId="4F3328FE">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本次拟建海螺沟水库工程</w:t>
      </w:r>
      <w:r>
        <w:rPr>
          <w:rFonts w:ascii="Arial" w:hAnsi="宋体" w:cs="Arial"/>
          <w:snapToGrid w:val="0"/>
          <w:spacing w:val="12"/>
          <w:kern w:val="0"/>
          <w:sz w:val="26"/>
          <w:szCs w:val="26"/>
        </w:rPr>
        <w:t>地处</w:t>
      </w:r>
      <w:r>
        <w:rPr>
          <w:rFonts w:hint="eastAsia" w:ascii="Arial" w:hAnsi="宋体" w:cs="Arial"/>
          <w:snapToGrid w:val="0"/>
          <w:spacing w:val="12"/>
          <w:kern w:val="0"/>
          <w:sz w:val="26"/>
          <w:szCs w:val="26"/>
          <w:lang w:eastAsia="zh-CN"/>
        </w:rPr>
        <w:t>渠溪河</w:t>
      </w:r>
      <w:r>
        <w:rPr>
          <w:rFonts w:ascii="Arial" w:hAnsi="宋体" w:cs="Arial"/>
          <w:snapToGrid w:val="0"/>
          <w:spacing w:val="12"/>
          <w:kern w:val="0"/>
          <w:sz w:val="26"/>
          <w:szCs w:val="26"/>
        </w:rPr>
        <w:t>水系</w:t>
      </w:r>
      <w:r>
        <w:rPr>
          <w:rFonts w:hint="eastAsia" w:ascii="Arial" w:hAnsi="宋体" w:cs="Arial"/>
          <w:snapToGrid w:val="0"/>
          <w:spacing w:val="12"/>
          <w:kern w:val="0"/>
          <w:sz w:val="26"/>
          <w:szCs w:val="26"/>
          <w:lang w:eastAsia="zh-CN"/>
        </w:rPr>
        <w:t>—双龙河</w:t>
      </w:r>
      <w:r>
        <w:rPr>
          <w:rFonts w:ascii="Arial" w:hAnsi="宋体" w:cs="Arial"/>
          <w:snapToGrid w:val="0"/>
          <w:spacing w:val="12"/>
          <w:kern w:val="0"/>
          <w:sz w:val="26"/>
          <w:szCs w:val="26"/>
        </w:rPr>
        <w:t>支流</w:t>
      </w:r>
      <w:r>
        <w:rPr>
          <w:rFonts w:hint="eastAsia" w:ascii="Arial" w:hAnsi="宋体" w:cs="Arial"/>
          <w:snapToGrid w:val="0"/>
          <w:spacing w:val="12"/>
          <w:kern w:val="0"/>
          <w:sz w:val="26"/>
          <w:szCs w:val="26"/>
          <w:lang w:eastAsia="zh-CN"/>
        </w:rPr>
        <w:t>—高洞桥河支流—海螺沟</w:t>
      </w:r>
      <w:r>
        <w:rPr>
          <w:rFonts w:hint="eastAsia" w:ascii="Arial" w:hAnsi="宋体" w:cs="Arial"/>
          <w:spacing w:val="12"/>
          <w:sz w:val="26"/>
          <w:szCs w:val="26"/>
          <w:lang w:eastAsia="zh-CN"/>
        </w:rPr>
        <w:t>中游</w:t>
      </w:r>
      <w:r>
        <w:rPr>
          <w:rFonts w:ascii="Arial" w:hAnsi="宋体" w:cs="Arial"/>
          <w:spacing w:val="12"/>
          <w:sz w:val="26"/>
          <w:szCs w:val="26"/>
        </w:rPr>
        <w:t>，</w:t>
      </w:r>
      <w:r>
        <w:rPr>
          <w:rFonts w:hint="eastAsia" w:ascii="Arial" w:hAnsi="宋体" w:cs="Arial"/>
          <w:spacing w:val="12"/>
          <w:sz w:val="26"/>
          <w:szCs w:val="26"/>
          <w:lang w:eastAsia="zh-CN"/>
        </w:rPr>
        <w:t>坝址</w:t>
      </w:r>
      <w:r>
        <w:rPr>
          <w:snapToGrid w:val="0"/>
          <w:sz w:val="26"/>
          <w:szCs w:val="26"/>
        </w:rPr>
        <w:t>位于</w:t>
      </w:r>
      <w:r>
        <w:rPr>
          <w:rFonts w:hint="eastAsia"/>
          <w:snapToGrid w:val="0"/>
          <w:sz w:val="26"/>
          <w:szCs w:val="26"/>
        </w:rPr>
        <w:t>丰都县双龙镇田家山村，</w:t>
      </w:r>
      <w:r>
        <w:rPr>
          <w:rFonts w:hint="eastAsia" w:ascii="Arial" w:hAnsi="Arial" w:cs="Arial"/>
          <w:b w:val="0"/>
          <w:color w:val="auto"/>
          <w:kern w:val="2"/>
          <w:sz w:val="26"/>
          <w:szCs w:val="26"/>
          <w:lang w:val="en-US" w:eastAsia="zh-CN" w:bidi="ar-SA"/>
        </w:rPr>
        <w:t>库尾有机耕道与双龙镇相通，但交通条件较差，枢纽区至双龙镇约12km，距离丰都县城约75km。</w:t>
      </w:r>
    </w:p>
    <w:p w14:paraId="17EA7FB3">
      <w:pPr>
        <w:pStyle w:val="1923"/>
        <w:keepNext w:val="0"/>
        <w:keepLines w:val="0"/>
        <w:pageBreakBefore w:val="0"/>
        <w:widowControl w:val="0"/>
        <w:kinsoku/>
        <w:wordWrap/>
        <w:overflowPunct/>
        <w:topLinePunct w:val="0"/>
        <w:autoSpaceDE/>
        <w:autoSpaceDN/>
        <w:bidi w:val="0"/>
        <w:adjustRightInd w:val="0"/>
        <w:snapToGrid w:val="0"/>
        <w:spacing w:line="460" w:lineRule="exact"/>
        <w:ind w:firstLine="560"/>
        <w:jc w:val="both"/>
        <w:textAlignment w:val="auto"/>
        <w:rPr>
          <w:rFonts w:ascii="Times New Roman" w:hAnsi="Times New Roman"/>
          <w:sz w:val="26"/>
          <w:szCs w:val="26"/>
        </w:rPr>
      </w:pPr>
      <w:r>
        <w:rPr>
          <w:rFonts w:hint="eastAsia" w:ascii="Arial" w:hAnsi="Arial" w:cs="Arial"/>
          <w:b w:val="0"/>
          <w:color w:val="auto"/>
          <w:kern w:val="2"/>
          <w:sz w:val="26"/>
          <w:szCs w:val="26"/>
          <w:lang w:val="en-US" w:eastAsia="zh-CN" w:bidi="ar-SA"/>
        </w:rPr>
        <w:t>拟建项目地理位置详见</w:t>
      </w:r>
      <w:r>
        <w:rPr>
          <w:rFonts w:hint="eastAsia" w:ascii="Arial" w:hAnsi="Arial" w:cs="Arial"/>
          <w:b/>
          <w:bCs/>
          <w:color w:val="auto"/>
          <w:kern w:val="2"/>
          <w:sz w:val="26"/>
          <w:szCs w:val="26"/>
          <w:lang w:val="en-US" w:eastAsia="zh-CN" w:bidi="ar-SA"/>
        </w:rPr>
        <w:t>附图1</w:t>
      </w:r>
      <w:r>
        <w:rPr>
          <w:rFonts w:hint="eastAsia" w:ascii="Arial" w:hAnsi="Arial" w:cs="Arial"/>
          <w:b w:val="0"/>
          <w:color w:val="auto"/>
          <w:kern w:val="2"/>
          <w:sz w:val="26"/>
          <w:szCs w:val="26"/>
          <w:lang w:val="en-US" w:eastAsia="zh-CN" w:bidi="ar-SA"/>
        </w:rPr>
        <w:t>所示。</w:t>
      </w:r>
    </w:p>
    <w:p w14:paraId="42BCEE46">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4.1.2地形</w:t>
      </w:r>
      <w:r>
        <w:rPr>
          <w:rFonts w:hint="eastAsia" w:ascii="Arial" w:hAnsi="Arial" w:cs="Arial"/>
          <w:b/>
          <w:bCs w:val="0"/>
          <w:sz w:val="26"/>
          <w:szCs w:val="26"/>
          <w:lang w:val="en-US" w:eastAsia="zh-CN"/>
        </w:rPr>
        <w:t>、</w:t>
      </w:r>
      <w:r>
        <w:rPr>
          <w:rFonts w:hint="eastAsia" w:ascii="Arial" w:hAnsi="Arial" w:eastAsia="宋体" w:cs="Arial"/>
          <w:b/>
          <w:bCs w:val="0"/>
          <w:sz w:val="26"/>
          <w:szCs w:val="26"/>
          <w:lang w:val="en-US" w:eastAsia="zh-CN"/>
        </w:rPr>
        <w:t>地貌</w:t>
      </w:r>
    </w:p>
    <w:p w14:paraId="77E38374">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工程位于四川盆地东部边缘，区域地形以狭长条带状低山与宽缓谷地相间分布为主要特征，呈平行岭谷地貌景观，属侵蚀</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堆积地貌。山脉分布与构造线方向一致，呈NE</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SW走向，背斜成山，向斜成谷，由西向东主要山脉有：明月山（西山）、精华山（东山）、黄草山、挖断山。山顶高程一般600～1100m；谷地地形呈串珠状圆顶浅丘，一般高程在200～550m之间。</w:t>
      </w:r>
    </w:p>
    <w:p w14:paraId="2B53335E">
      <w:pPr>
        <w:keepNext w:val="0"/>
        <w:keepLines w:val="0"/>
        <w:pageBreakBefore w:val="0"/>
        <w:widowControl/>
        <w:suppressLineNumbers w:val="0"/>
        <w:kinsoku/>
        <w:wordWrap/>
        <w:overflowPunct/>
        <w:topLinePunct w:val="0"/>
        <w:autoSpaceDE/>
        <w:autoSpaceDN/>
        <w:bidi w:val="0"/>
        <w:adjustRightInd/>
        <w:snapToGrid/>
        <w:spacing w:line="460" w:lineRule="exact"/>
        <w:ind w:firstLine="392" w:firstLineChars="150"/>
        <w:jc w:val="both"/>
        <w:textAlignment w:val="auto"/>
        <w:rPr>
          <w:rFonts w:hint="default" w:ascii="Arial" w:hAnsi="Arial" w:eastAsia="宋体" w:cs="Arial"/>
          <w:b/>
          <w:bCs/>
          <w:color w:val="auto"/>
          <w:kern w:val="2"/>
          <w:sz w:val="26"/>
          <w:szCs w:val="26"/>
          <w:lang w:val="en-US" w:eastAsia="zh-CN" w:bidi="ar-SA"/>
        </w:rPr>
      </w:pPr>
      <w:r>
        <w:rPr>
          <w:rFonts w:hint="eastAsia" w:ascii="Arial" w:hAnsi="Arial" w:eastAsia="宋体" w:cs="Arial"/>
          <w:b/>
          <w:bCs/>
          <w:color w:val="auto"/>
          <w:kern w:val="2"/>
          <w:sz w:val="26"/>
          <w:szCs w:val="26"/>
          <w:lang w:val="en-US" w:eastAsia="zh-CN" w:bidi="ar-SA"/>
        </w:rPr>
        <w:t>（1）库区</w:t>
      </w:r>
    </w:p>
    <w:p w14:paraId="0D642A41">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库区属侵蚀剥蚀深丘地貌，地势总体南东高北西低，库区地貌受岩性构造控制。库区沟谷发育，呈三叉树枝状，河谷剖面形态多为底部宽缓不对称“V”型谷。岸坡地形坡度一般15</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25°，大多基岩裸露，局部覆盖层厚度0.5</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3.0m；谷底一般宽15</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25m，堆积冲洪积粘性土。</w:t>
      </w:r>
      <w:r>
        <w:rPr>
          <w:rFonts w:hint="eastAsia" w:ascii="Arial" w:hAnsi="Arial" w:eastAsia="宋体" w:cs="Arial"/>
          <w:b w:val="0"/>
          <w:color w:val="auto"/>
          <w:kern w:val="2"/>
          <w:sz w:val="26"/>
          <w:szCs w:val="26"/>
          <w:lang w:val="en-US" w:eastAsia="zh-CN" w:bidi="ar-SA"/>
        </w:rPr>
        <w:t>因岩层倾北西（即下游），故库区边坡主要为斜向坡，库尾部分有顺向边坡，但地形坡度均小于岩层倾角。库区</w:t>
      </w:r>
      <w:r>
        <w:rPr>
          <w:rFonts w:hint="default" w:ascii="Arial" w:hAnsi="Arial" w:eastAsia="宋体" w:cs="Arial"/>
          <w:b w:val="0"/>
          <w:color w:val="auto"/>
          <w:kern w:val="2"/>
          <w:sz w:val="26"/>
          <w:szCs w:val="26"/>
          <w:lang w:val="en-US" w:eastAsia="zh-CN" w:bidi="ar-SA"/>
        </w:rPr>
        <w:t>主沟流向大致由南东向北西，坝址河床高程在401m左右，正常蓄水位为420m时，坝前水位抬升约19m，</w:t>
      </w:r>
      <w:r>
        <w:rPr>
          <w:rFonts w:hint="eastAsia" w:ascii="Arial" w:hAnsi="Arial" w:eastAsia="宋体" w:cs="Arial"/>
          <w:b w:val="0"/>
          <w:color w:val="auto"/>
          <w:kern w:val="2"/>
          <w:sz w:val="26"/>
          <w:szCs w:val="26"/>
          <w:lang w:val="en-US" w:eastAsia="zh-CN" w:bidi="ar-SA"/>
        </w:rPr>
        <w:t>故库区地形高程在400.00m~422.00m之间，其中</w:t>
      </w:r>
      <w:r>
        <w:rPr>
          <w:rFonts w:hint="default" w:ascii="Arial" w:hAnsi="Arial" w:eastAsia="宋体" w:cs="Arial"/>
          <w:b w:val="0"/>
          <w:color w:val="auto"/>
          <w:kern w:val="2"/>
          <w:sz w:val="26"/>
          <w:szCs w:val="26"/>
          <w:lang w:val="en-US" w:eastAsia="zh-CN" w:bidi="ar-SA"/>
        </w:rPr>
        <w:t>左侧支沟回水约400m、中间支沟回水约320m、右侧主沟洄水约500m。</w:t>
      </w:r>
    </w:p>
    <w:p w14:paraId="7D9E59C4">
      <w:pPr>
        <w:keepNext w:val="0"/>
        <w:keepLines w:val="0"/>
        <w:pageBreakBefore w:val="0"/>
        <w:widowControl/>
        <w:suppressLineNumbers w:val="0"/>
        <w:kinsoku/>
        <w:wordWrap/>
        <w:overflowPunct/>
        <w:topLinePunct w:val="0"/>
        <w:autoSpaceDE/>
        <w:autoSpaceDN/>
        <w:bidi w:val="0"/>
        <w:adjustRightInd/>
        <w:snapToGrid/>
        <w:spacing w:line="460" w:lineRule="exact"/>
        <w:ind w:firstLine="392" w:firstLineChars="150"/>
        <w:jc w:val="both"/>
        <w:textAlignment w:val="auto"/>
        <w:rPr>
          <w:rFonts w:hint="default" w:ascii="Arial" w:hAnsi="Arial" w:eastAsia="宋体" w:cs="Arial"/>
          <w:b/>
          <w:bCs/>
          <w:color w:val="auto"/>
          <w:kern w:val="2"/>
          <w:sz w:val="26"/>
          <w:szCs w:val="26"/>
          <w:lang w:val="en-US" w:eastAsia="zh-CN" w:bidi="ar-SA"/>
        </w:rPr>
      </w:pPr>
      <w:r>
        <w:rPr>
          <w:rFonts w:hint="eastAsia" w:ascii="Arial" w:hAnsi="Arial" w:eastAsia="宋体" w:cs="Arial"/>
          <w:b/>
          <w:bCs/>
          <w:color w:val="auto"/>
          <w:kern w:val="2"/>
          <w:sz w:val="26"/>
          <w:szCs w:val="26"/>
          <w:lang w:val="en-US" w:eastAsia="zh-CN" w:bidi="ar-SA"/>
        </w:rPr>
        <w:t>（2）枢纽工程区</w:t>
      </w:r>
    </w:p>
    <w:p w14:paraId="0B427F75">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坝址区为构造剥蚀深丘地貌，河流在坝址上游呈三叉树枝状汇集至坝址，向下游流向287°流出坝址后转向为243°，再转向316°流向下游。河谷呈底部略宽不对称的</w:t>
      </w:r>
      <w:r>
        <w:rPr>
          <w:rFonts w:hint="eastAsia" w:ascii="宋体" w:hAnsi="宋体" w:eastAsia="宋体" w:cs="宋体"/>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V</w:t>
      </w:r>
      <w:r>
        <w:rPr>
          <w:rFonts w:hint="eastAsia" w:ascii="宋体" w:hAnsi="宋体" w:eastAsia="宋体" w:cs="宋体"/>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型，谷宽20</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25m，谷底高程400</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401m。正常蓄水位420.00m时，谷宽77m。岩层倾向下游偏右岸，为斜向谷。</w:t>
      </w:r>
    </w:p>
    <w:p w14:paraId="5C63C0B4">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左岸山体临河山顶高程453.37m，岸边发育有堆积阶地，宽约10</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16m，高程401.60</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401.80m，地表为水田，阶地后面为山体斜坡，地形坡度一般25</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37°下陡上缓，为切向坡，斜坡中部地表覆盖有第四系残坡积层，其余处基岩裸露。</w:t>
      </w:r>
    </w:p>
    <w:p w14:paraId="1526BD05">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右岸山体临河山顶高程475.21m，岸边为斜坡，地形坡度一般28</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40°，为切向坡，地形较陡部分基岩裸露，较缓坡表面覆盖有第四系残坡积。在上下坝线之间有一条浅切冲沟，冲沟沟底高程较上、下游山脊高差约12</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15m，宽约15m。</w:t>
      </w:r>
    </w:p>
    <w:p w14:paraId="7C2E5CE8">
      <w:pPr>
        <w:keepNext w:val="0"/>
        <w:keepLines w:val="0"/>
        <w:pageBreakBefore w:val="0"/>
        <w:widowControl/>
        <w:suppressLineNumbers w:val="0"/>
        <w:kinsoku/>
        <w:wordWrap/>
        <w:overflowPunct/>
        <w:topLinePunct w:val="0"/>
        <w:autoSpaceDE/>
        <w:autoSpaceDN/>
        <w:bidi w:val="0"/>
        <w:adjustRightInd/>
        <w:snapToGrid/>
        <w:spacing w:line="460" w:lineRule="exact"/>
        <w:ind w:firstLine="392" w:firstLineChars="150"/>
        <w:jc w:val="both"/>
        <w:textAlignment w:val="auto"/>
        <w:rPr>
          <w:rFonts w:hint="default" w:ascii="Arial" w:hAnsi="Arial" w:eastAsia="宋体" w:cs="Arial"/>
          <w:b/>
          <w:bCs/>
          <w:color w:val="auto"/>
          <w:kern w:val="2"/>
          <w:sz w:val="26"/>
          <w:szCs w:val="26"/>
          <w:lang w:val="en-US" w:eastAsia="zh-CN" w:bidi="ar-SA"/>
        </w:rPr>
      </w:pPr>
      <w:r>
        <w:rPr>
          <w:rFonts w:hint="eastAsia" w:ascii="Arial" w:hAnsi="Arial" w:eastAsia="宋体" w:cs="Arial"/>
          <w:b/>
          <w:bCs/>
          <w:color w:val="auto"/>
          <w:kern w:val="2"/>
          <w:sz w:val="26"/>
          <w:szCs w:val="26"/>
          <w:lang w:val="en-US" w:eastAsia="zh-CN" w:bidi="ar-SA"/>
        </w:rPr>
        <w:t>（3）输水工程区</w:t>
      </w:r>
    </w:p>
    <w:p w14:paraId="30B141EF">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灌区渠系沿线以剥蚀条状台状深丘沟谷地貌为主，沟谷发育。地形地貌受区域地质构造和岩性控制，山势走向与构造线基本一致，呈北东</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南西向展布。受忠县背斜控制，区内南东高，北西低，南东部为中山区，山顶高程一般为1000</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1300m，北西部为中低山区，山顶高程一般为300</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500m，河流穿越砂岩层时多形成峡谷，而穿越泥岩、页岩时则形成较宽坦的河谷。</w:t>
      </w:r>
    </w:p>
    <w:p w14:paraId="4BF448E4">
      <w:pPr>
        <w:keepNext w:val="0"/>
        <w:keepLines w:val="0"/>
        <w:pageBreakBefore w:val="0"/>
        <w:widowControl/>
        <w:suppressLineNumbers w:val="0"/>
        <w:kinsoku/>
        <w:wordWrap/>
        <w:overflowPunct/>
        <w:topLinePunct w:val="0"/>
        <w:autoSpaceDE/>
        <w:autoSpaceDN/>
        <w:bidi w:val="0"/>
        <w:spacing w:line="460" w:lineRule="exact"/>
        <w:ind w:firstLine="522" w:firstLineChars="200"/>
        <w:jc w:val="both"/>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4.1.3地质构造和地震</w:t>
      </w:r>
    </w:p>
    <w:p w14:paraId="70F96CFC">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（1）</w:t>
      </w:r>
      <w:r>
        <w:rPr>
          <w:rFonts w:hint="eastAsia" w:ascii="Arial" w:hAnsi="Arial" w:cs="Arial"/>
          <w:b/>
          <w:bCs w:val="0"/>
          <w:sz w:val="26"/>
          <w:szCs w:val="26"/>
          <w:lang w:val="en-US" w:eastAsia="zh-CN"/>
        </w:rPr>
        <w:t>地震</w:t>
      </w:r>
    </w:p>
    <w:p w14:paraId="12DDF100">
      <w:pPr>
        <w:keepNext w:val="0"/>
        <w:keepLines w:val="0"/>
        <w:pageBreakBefore w:val="0"/>
        <w:widowControl w:val="0"/>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工程区属弱震地质环境，区内地震发震构造主要有华蓥山基底断裂带、长寿</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遵义基底断裂、七耀山基底断裂。其中长寿</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遵义基底断裂位于工程区以西，直线距离约50km；七耀山基底断裂位于工程区以东，直线距离约40km。</w:t>
      </w:r>
    </w:p>
    <w:p w14:paraId="0DE5F6D3">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bCs w:val="0"/>
          <w:sz w:val="26"/>
          <w:szCs w:val="26"/>
          <w:lang w:val="en-US" w:eastAsia="zh-CN"/>
        </w:rPr>
      </w:pPr>
      <w:r>
        <w:rPr>
          <w:rFonts w:hint="eastAsia" w:ascii="Arial" w:hAnsi="Arial" w:cs="Arial"/>
          <w:b/>
          <w:bCs w:val="0"/>
          <w:sz w:val="26"/>
          <w:szCs w:val="26"/>
          <w:lang w:val="en-US" w:eastAsia="zh-CN"/>
        </w:rPr>
        <w:t>（2）</w:t>
      </w:r>
      <w:r>
        <w:rPr>
          <w:rFonts w:hint="eastAsia" w:ascii="Arial" w:hAnsi="Arial" w:eastAsia="宋体" w:cs="Arial"/>
          <w:b/>
          <w:bCs w:val="0"/>
          <w:sz w:val="26"/>
          <w:szCs w:val="26"/>
          <w:lang w:val="en-US" w:eastAsia="zh-CN"/>
        </w:rPr>
        <w:t>地质构造</w:t>
      </w:r>
    </w:p>
    <w:p w14:paraId="354EE5BB">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工程区位于七耀山基底断裂北西侧，长寿</w:t>
      </w:r>
      <w:r>
        <w:rPr>
          <w:rFonts w:hint="eastAsia" w:ascii="Arial" w:hAnsi="Arial"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遵义基底断裂南东侧，其大地构造部位属扬子准地台（Ⅰ）重庆台拗（Ⅱ）重庆褶皱束（Ⅲ）万州凹褶束（Ⅳ），构造形迹多定型于燕山运动末期的北东</w:t>
      </w:r>
      <w:r>
        <w:rPr>
          <w:rFonts w:hint="eastAsia" w:ascii="Arial" w:hAnsi="Arial"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南西向褶皱，断裂构造仅发育于背斜核部，但规模较小。构造纲要图见图</w:t>
      </w:r>
      <w:r>
        <w:rPr>
          <w:rFonts w:hint="eastAsia" w:ascii="Arial" w:hAnsi="Arial" w:cs="Arial"/>
          <w:b w:val="0"/>
          <w:color w:val="auto"/>
          <w:kern w:val="2"/>
          <w:sz w:val="26"/>
          <w:szCs w:val="26"/>
          <w:lang w:val="en-US" w:eastAsia="zh-CN" w:bidi="ar-SA"/>
        </w:rPr>
        <w:t>4</w:t>
      </w:r>
      <w:r>
        <w:rPr>
          <w:rFonts w:hint="default" w:ascii="Arial" w:hAnsi="Arial" w:eastAsia="宋体" w:cs="Arial"/>
          <w:b w:val="0"/>
          <w:color w:val="auto"/>
          <w:kern w:val="2"/>
          <w:sz w:val="26"/>
          <w:szCs w:val="26"/>
          <w:lang w:val="en-US" w:eastAsia="zh-CN" w:bidi="ar-SA"/>
        </w:rPr>
        <w:t>.1-1</w:t>
      </w:r>
      <w:r>
        <w:rPr>
          <w:rFonts w:hint="eastAsia" w:ascii="Arial" w:hAnsi="Arial" w:cs="Arial"/>
          <w:b w:val="0"/>
          <w:color w:val="auto"/>
          <w:kern w:val="2"/>
          <w:sz w:val="26"/>
          <w:szCs w:val="26"/>
          <w:lang w:val="en-US" w:eastAsia="zh-CN" w:bidi="ar-SA"/>
        </w:rPr>
        <w:t>所示</w:t>
      </w:r>
      <w:r>
        <w:rPr>
          <w:rFonts w:hint="default" w:ascii="Arial" w:hAnsi="Arial" w:eastAsia="宋体" w:cs="Arial"/>
          <w:b w:val="0"/>
          <w:color w:val="auto"/>
          <w:kern w:val="2"/>
          <w:sz w:val="26"/>
          <w:szCs w:val="26"/>
          <w:lang w:val="en-US" w:eastAsia="zh-CN" w:bidi="ar-SA"/>
        </w:rPr>
        <w:t>。</w:t>
      </w:r>
    </w:p>
    <w:p w14:paraId="4424A75A">
      <w:pPr>
        <w:keepNext w:val="0"/>
        <w:keepLines w:val="0"/>
        <w:pageBreakBefore w:val="0"/>
        <w:widowControl/>
        <w:suppressLineNumbers w:val="0"/>
        <w:kinsoku/>
        <w:wordWrap/>
        <w:overflowPunct/>
        <w:topLinePunct w:val="0"/>
        <w:autoSpaceDE/>
        <w:autoSpaceDN/>
        <w:bidi w:val="0"/>
        <w:spacing w:line="460" w:lineRule="exact"/>
        <w:ind w:firstLine="522" w:firstLineChars="200"/>
        <w:jc w:val="both"/>
        <w:textAlignment w:val="auto"/>
        <w:rPr>
          <w:rFonts w:hint="default"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① 库区</w:t>
      </w:r>
    </w:p>
    <w:p w14:paraId="246F8C7C">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库区处于忠县背斜北西翼（或珍溪场向斜南东翼），岩层为单斜构造，产状N35～45°E/NW∠20～25°，未见次级褶皱，未见断层。库区最主要裂隙为层面裂隙，产状与岩层一致，浅层张开，一般无充填。</w:t>
      </w:r>
    </w:p>
    <w:p w14:paraId="7C10C41A">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此外，在砂岩中还发现二组裂隙：</w:t>
      </w:r>
    </w:p>
    <w:p w14:paraId="78BD3A41">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1</w:t>
      </w:r>
      <w:r>
        <w:rPr>
          <w:rFonts w:hint="default" w:ascii="Arial" w:hAnsi="Arial" w:eastAsia="宋体" w:cs="Arial"/>
          <w:b w:val="0"/>
          <w:color w:val="auto"/>
          <w:kern w:val="2"/>
          <w:sz w:val="26"/>
          <w:szCs w:val="26"/>
          <w:lang w:val="en-US" w:eastAsia="zh-CN" w:bidi="ar-SA"/>
        </w:rPr>
        <w:t>组裂隙：产状205～245°∠50～75°，长0.5～1.5m，宽0～5.0mm，部分充填有粘土。</w:t>
      </w:r>
    </w:p>
    <w:p w14:paraId="617A17BC">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2</w:t>
      </w:r>
      <w:r>
        <w:rPr>
          <w:rFonts w:hint="default" w:ascii="Arial" w:hAnsi="Arial" w:eastAsia="宋体" w:cs="Arial"/>
          <w:b w:val="0"/>
          <w:color w:val="auto"/>
          <w:kern w:val="2"/>
          <w:sz w:val="26"/>
          <w:szCs w:val="26"/>
          <w:lang w:val="en-US" w:eastAsia="zh-CN" w:bidi="ar-SA"/>
        </w:rPr>
        <w:t>组裂隙：产状70～110°∠65～85°，长2～10m，宽0～3.0mm，部分充填有粘土。</w:t>
      </w:r>
    </w:p>
    <w:p w14:paraId="2FAA904D">
      <w:pPr>
        <w:keepNext w:val="0"/>
        <w:keepLines w:val="0"/>
        <w:pageBreakBefore w:val="0"/>
        <w:widowControl/>
        <w:suppressLineNumbers w:val="0"/>
        <w:kinsoku/>
        <w:wordWrap/>
        <w:overflowPunct/>
        <w:topLinePunct w:val="0"/>
        <w:autoSpaceDE/>
        <w:autoSpaceDN/>
        <w:bidi w:val="0"/>
        <w:spacing w:line="460" w:lineRule="exact"/>
        <w:ind w:firstLine="522" w:firstLineChars="200"/>
        <w:jc w:val="both"/>
        <w:textAlignment w:val="auto"/>
        <w:rPr>
          <w:rFonts w:hint="eastAsia" w:ascii="Arial" w:hAnsi="Arial" w:eastAsia="宋体" w:cs="Arial"/>
          <w:b/>
          <w:bCs w:val="0"/>
          <w:sz w:val="26"/>
          <w:szCs w:val="26"/>
          <w:lang w:val="en-US" w:eastAsia="zh-CN"/>
        </w:rPr>
      </w:pPr>
      <w:r>
        <w:rPr>
          <w:rFonts w:hint="default" w:ascii="Arial" w:hAnsi="Arial" w:eastAsia="宋体" w:cs="Arial"/>
          <w:b/>
          <w:bCs w:val="0"/>
          <w:sz w:val="26"/>
          <w:szCs w:val="26"/>
          <w:lang w:val="en-US" w:eastAsia="zh-CN"/>
        </w:rPr>
        <w:t>②</w:t>
      </w:r>
      <w:r>
        <w:rPr>
          <w:rFonts w:hint="eastAsia" w:ascii="Arial" w:hAnsi="Arial" w:eastAsia="宋体" w:cs="Arial"/>
          <w:b/>
          <w:bCs w:val="0"/>
          <w:sz w:val="26"/>
          <w:szCs w:val="26"/>
          <w:lang w:val="en-US" w:eastAsia="zh-CN"/>
        </w:rPr>
        <w:t xml:space="preserve"> 枢纽工程</w:t>
      </w:r>
    </w:p>
    <w:p w14:paraId="44FE06BC">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坝址位于忠县背斜南西段的北西翼，岩层产状N50°E/NW∠25°，岩层倾向下游偏右岸。坝区无断层分布，构造简单，坝址岩体中主要发育三组裂隙：</w:t>
      </w:r>
    </w:p>
    <w:p w14:paraId="72EDFF42">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1）</w:t>
      </w:r>
      <w:r>
        <w:rPr>
          <w:rFonts w:hint="default" w:ascii="Arial" w:hAnsi="Arial" w:eastAsia="宋体" w:cs="Arial"/>
          <w:b w:val="0"/>
          <w:color w:val="auto"/>
          <w:kern w:val="2"/>
          <w:sz w:val="26"/>
          <w:szCs w:val="26"/>
          <w:lang w:val="en-US" w:eastAsia="zh-CN" w:bidi="ar-SA"/>
        </w:rPr>
        <w:t>层面裂隙：320°∠25°，产状与岩层产状一致，部分裂面微张，红色锈染，部分夹钙质、泥膜，裂面平直光滑，无充填或少量岩屑充填。</w:t>
      </w:r>
    </w:p>
    <w:p w14:paraId="03D5F8EC">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2）</w:t>
      </w:r>
      <w:r>
        <w:rPr>
          <w:rFonts w:hint="default" w:ascii="Arial" w:hAnsi="Arial" w:eastAsia="宋体" w:cs="Arial"/>
          <w:b w:val="0"/>
          <w:color w:val="auto"/>
          <w:kern w:val="2"/>
          <w:sz w:val="26"/>
          <w:szCs w:val="26"/>
          <w:lang w:val="en-US" w:eastAsia="zh-CN" w:bidi="ar-SA"/>
        </w:rPr>
        <w:t>裂隙：185</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210°∠75</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79°，裂面一般闭合～微张，红色锈染，部分见钙质、泥膜，裂面平直光滑，少量岩屑夹泥充填，裂隙间距2</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5m，延伸3</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5m。</w:t>
      </w:r>
    </w:p>
    <w:p w14:paraId="478AE666">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3）</w:t>
      </w:r>
      <w:r>
        <w:rPr>
          <w:rFonts w:hint="default" w:ascii="Arial" w:hAnsi="Arial" w:eastAsia="宋体" w:cs="Arial"/>
          <w:b w:val="0"/>
          <w:color w:val="auto"/>
          <w:kern w:val="2"/>
          <w:sz w:val="26"/>
          <w:szCs w:val="26"/>
          <w:lang w:val="en-US" w:eastAsia="zh-CN" w:bidi="ar-SA"/>
        </w:rPr>
        <w:t>裂隙：110</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140°∠65</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76°，裂面一般闭合～微张，红色锈染，裂面有一定起伏，无充填或少量岩屑充填，裂隙间距2</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3m，延伸2</w:t>
      </w:r>
      <w:r>
        <w:rPr>
          <w:rFonts w:hint="eastAsia" w:ascii="Arial" w:hAnsi="Arial" w:eastAsia="宋体" w:cs="Arial"/>
          <w:b w:val="0"/>
          <w:color w:val="auto"/>
          <w:kern w:val="2"/>
          <w:sz w:val="26"/>
          <w:szCs w:val="26"/>
          <w:lang w:val="en-US" w:eastAsia="zh-CN" w:bidi="ar-SA"/>
        </w:rPr>
        <w:t>~</w:t>
      </w:r>
      <w:r>
        <w:rPr>
          <w:rFonts w:hint="default" w:ascii="Arial" w:hAnsi="Arial" w:eastAsia="宋体" w:cs="Arial"/>
          <w:b w:val="0"/>
          <w:color w:val="auto"/>
          <w:kern w:val="2"/>
          <w:sz w:val="26"/>
          <w:szCs w:val="26"/>
          <w:lang w:val="en-US" w:eastAsia="zh-CN" w:bidi="ar-SA"/>
        </w:rPr>
        <w:t>4m。</w:t>
      </w:r>
    </w:p>
    <w:p w14:paraId="62C100E5">
      <w:pPr>
        <w:keepNext w:val="0"/>
        <w:keepLines w:val="0"/>
        <w:pageBreakBefore w:val="0"/>
        <w:widowControl/>
        <w:suppressLineNumbers w:val="0"/>
        <w:kinsoku/>
        <w:wordWrap/>
        <w:overflowPunct/>
        <w:topLinePunct w:val="0"/>
        <w:autoSpaceDE/>
        <w:autoSpaceDN/>
        <w:bidi w:val="0"/>
        <w:spacing w:line="460" w:lineRule="exact"/>
        <w:ind w:firstLine="522" w:firstLineChars="200"/>
        <w:jc w:val="both"/>
        <w:textAlignment w:val="auto"/>
        <w:rPr>
          <w:rFonts w:hint="default"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③ 输水工程</w:t>
      </w:r>
    </w:p>
    <w:p w14:paraId="43E4C1DD">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管线在区域构造上主要经过了忠县背斜与珍溪场向斜，地质构造简单。</w:t>
      </w:r>
    </w:p>
    <w:p w14:paraId="09C8B073">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default" w:ascii="Arial" w:hAnsi="Arial" w:eastAsia="宋体" w:cs="Arial"/>
          <w:b w:val="0"/>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工程区内构造裂隙较发育，受区域构造应力控制，不同的构造部位，其裂隙的产状、力学性质亦不相同；区内普遍发育风化裂隙，多在构造裂隙的基础上经风化演变而来，其分布规律与构造裂隙大体一致。此外，还有在褶皱过程中因层间位移而产生的层间裂隙，在坡面上常与一组垂直层面的裂隙相交成“X”状，把岩层分割成大小不同的块体。</w:t>
      </w:r>
    </w:p>
    <w:p w14:paraId="124BAE9B">
      <w:pPr>
        <w:pStyle w:val="31"/>
        <w:rPr>
          <w:rFonts w:hint="default"/>
          <w:lang w:val="en-US" w:eastAsia="zh-CN"/>
        </w:rPr>
      </w:pPr>
    </w:p>
    <w:p w14:paraId="4004AE04">
      <w:pPr>
        <w:rPr>
          <w:rFonts w:hint="default"/>
          <w:lang w:val="en-US" w:eastAsia="zh-CN"/>
        </w:rPr>
      </w:pPr>
    </w:p>
    <w:p w14:paraId="45DC681E">
      <w:pPr>
        <w:pStyle w:val="31"/>
        <w:rPr>
          <w:rFonts w:hint="default"/>
          <w:lang w:val="en-US" w:eastAsia="zh-CN"/>
        </w:rPr>
      </w:pPr>
    </w:p>
    <w:p w14:paraId="6AF1B1CD">
      <w:pPr>
        <w:rPr>
          <w:rFonts w:hint="default"/>
          <w:lang w:val="en-US" w:eastAsia="zh-CN"/>
        </w:rPr>
      </w:pPr>
    </w:p>
    <w:p w14:paraId="7E0B14FF">
      <w:pPr>
        <w:keepNext w:val="0"/>
        <w:keepLines w:val="0"/>
        <w:pageBreakBefore w:val="0"/>
        <w:widowControl/>
        <w:kinsoku/>
        <w:wordWrap/>
        <w:overflowPunct/>
        <w:topLinePunct w:val="0"/>
        <w:autoSpaceDE/>
        <w:autoSpaceDN/>
        <w:bidi w:val="0"/>
        <w:adjustRightInd w:val="0"/>
        <w:snapToGrid w:val="0"/>
        <w:spacing w:line="348" w:lineRule="auto"/>
        <w:ind w:firstLine="0" w:firstLineChars="0"/>
        <w:jc w:val="center"/>
        <w:textAlignment w:val="auto"/>
        <w:rPr>
          <w:kern w:val="0"/>
          <w:sz w:val="24"/>
          <w:szCs w:val="24"/>
        </w:rPr>
      </w:pPr>
      <w:r>
        <w:rPr>
          <w:sz w:val="21"/>
        </w:rPr>
        <mc:AlternateContent>
          <mc:Choice Requires="wps">
            <w:drawing>
              <wp:anchor distT="0" distB="0" distL="114300" distR="114300" simplePos="0" relativeHeight="251765760" behindDoc="0" locked="0" layoutInCell="1" allowOverlap="1">
                <wp:simplePos x="0" y="0"/>
                <wp:positionH relativeFrom="column">
                  <wp:posOffset>3145790</wp:posOffset>
                </wp:positionH>
                <wp:positionV relativeFrom="paragraph">
                  <wp:posOffset>1584325</wp:posOffset>
                </wp:positionV>
                <wp:extent cx="145415" cy="144780"/>
                <wp:effectExtent l="12700" t="12700" r="13335" b="13970"/>
                <wp:wrapNone/>
                <wp:docPr id="233" name="五角星 233"/>
                <wp:cNvGraphicFramePr/>
                <a:graphic xmlns:a="http://schemas.openxmlformats.org/drawingml/2006/main">
                  <a:graphicData uri="http://schemas.microsoft.com/office/word/2010/wordprocessingShape">
                    <wps:wsp>
                      <wps:cNvSpPr/>
                      <wps:spPr>
                        <a:xfrm>
                          <a:off x="2558415" y="2999105"/>
                          <a:ext cx="145415" cy="14478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7.7pt;margin-top:124.75pt;height:11.4pt;width:11.45pt;z-index:251765760;v-text-anchor:middle;mso-width-relative:page;mso-height-relative:page;" fillcolor="#FF0000" filled="t" stroked="t" coordsize="145415,144780" o:gfxdata="UEsDBAoAAAAAAIdO4kAAAAAAAAAAAAAAAAAEAAAAZHJzL1BLAwQUAAAACACHTuJAIENLFtYAAAAL&#10;AQAADwAAAGRycy9kb3ducmV2LnhtbE2PuVLDMBCGe2Z4B80yQ0ckHzkwllMwQ0Pn4CbdxhK2ibUy&#10;lnK9PUsF3R7f/Pttub26UZztHAZPGpKFAmGp9WagTkPz8fa0AREiksHRk9VwswG21f1diYXxF6rt&#10;eRc7wSEUCtTQxzgVUoa2tw7Dwk+WePfpZ4eR27mTZsYLh7tRpkqtpMOB+EKPk33tbXvcnZyGmlRm&#10;6u/j/l2tY74fsLlNX43Wjw+JegER7TX+wfCrz+pQsdPBn8gEMWrIn5c5oxpSrkAwsUw2GYgDT9Zp&#10;BrIq5f8fqh9QSwMEFAAAAAgAh07iQB+b8m9zAgAA8AQAAA4AAABkcnMvZTJvRG9jLnhtbK1UzW4T&#10;MRC+I/EOlu90s2mWNlE3VdQoCKmilQri7Hi92ZX8h+1kUx4DceDWI+/A8yDEY/DZu/2FQw/k4Mzs&#10;jL+Z+WbGJ6d7JclOON8aXdL8YESJ0NxUrd6U9MP71atjSnxgumLSaFHSa+Hp6fzli5POzsTYNEZW&#10;whGAaD/rbEmbEOwsyzxvhGL+wFihYayNUyxAdZuscqwDupLZeDR6nXXGVdYZLrzH12VvpAOiew6g&#10;qeuWi6XhWyV06FGdkCygJN+01tN5yrauBQ8Xde1FILKkqDSkE0Egr+OZzU/YbOOYbVo+pMCek8KT&#10;mhRrNYLeQS1ZYGTr2r+gVMud8aYOB9yorC8kMYIq8tETbq4aZkWqBVR7e0e6/3+w/N3u0pG2Kun4&#10;8JASzRRa/vPH19/fv/z6dkPiR1DUWT+D55W9dIPmIcZ697VT8R+VkD1AiuJ4kheUXEOeTqf5qOgp&#10;FvtAOBzySZHsHA75ZHJ0nFqQ3QNZ58MbYRSJQkkxia5IzLLduQ+IDt9bnxjYG9lWq1bKpLjN+kw6&#10;smNo92o1wi+Gx5VHblKTLuY6gZlwhiGuMTwQlQURXm8oYXKD7eDBpdiPbvvnBYlJLplv+mQSwpCL&#10;1EgpUtqTGKW1qa7RB2f6AfWWr1rcP2c+XDKHiUSi2NlwgaOWBtmbQaKkMe7zv75HfwwKrJR0mHBU&#10;9mnLnKBEvtUYoSn4jyuRlElxNIbiHlrWDy16q84MWM3xOliexOgf5K1YO6M+YrUXMSpMTHPE7jkc&#10;lLPQbx4eBy4Wi+SGNbAsnOsryyN47KI2i20wdZu6fc/OQBoWIXV0WNq4aQ/15HX/UM3/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BDSxbWAAAACwEAAA8AAAAAAAAAAQAgAAAAIgAAAGRycy9kb3du&#10;cmV2LnhtbFBLAQIUABQAAAAIAIdO4kAfm/JvcwIAAPAEAAAOAAAAAAAAAAEAIAAAACUBAABkcnMv&#10;ZTJvRG9jLnhtbFBLBQYAAAAABgAGAFkBAAAKBgAAAAA=&#10;" path="m0,55300l55543,55301,72707,0,89871,55301,145414,55300,100478,89478,117643,144779,72707,110601,27771,144779,44936,89478xe">
                <v:path o:connectlocs="72707,0;0,55300;27771,144779;117643,144779;145414,55300" o:connectangles="247,164,82,82,0"/>
                <v:fill on="t" focussize="0,0"/>
                <v:stroke weight="2pt" color="#FF0000 [2404]" joinstyle="round"/>
                <v:imagedata o:title=""/>
                <o:lock v:ext="edit" aspectratio="f"/>
              </v:shape>
            </w:pict>
          </mc:Fallback>
        </mc:AlternateContent>
      </w:r>
      <w:r>
        <w:rPr>
          <w:rFonts w:hint="default" w:ascii="Times New Roman" w:hAnsi="Times New Roman" w:eastAsia="宋体" w:cs="Times New Roman"/>
          <w:color w:val="auto"/>
          <w:lang w:eastAsia="zh-CN"/>
        </w:rPr>
        <w:drawing>
          <wp:inline distT="0" distB="0" distL="114300" distR="114300">
            <wp:extent cx="5415915" cy="4182110"/>
            <wp:effectExtent l="0" t="0" r="13335" b="8890"/>
            <wp:docPr id="202" name="图片 26" descr="海螺沟构造纲要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6" descr="海螺沟构造纲要图"/>
                    <pic:cNvPicPr>
                      <a:picLocks noChangeAspect="1"/>
                    </pic:cNvPicPr>
                  </pic:nvPicPr>
                  <pic:blipFill>
                    <a:blip r:embed="rId31"/>
                    <a:stretch>
                      <a:fillRect/>
                    </a:stretch>
                  </pic:blipFill>
                  <pic:spPr>
                    <a:xfrm>
                      <a:off x="0" y="0"/>
                      <a:ext cx="5415915" cy="4182110"/>
                    </a:xfrm>
                    <a:prstGeom prst="rect">
                      <a:avLst/>
                    </a:prstGeom>
                    <a:noFill/>
                    <a:ln>
                      <a:noFill/>
                    </a:ln>
                  </pic:spPr>
                </pic:pic>
              </a:graphicData>
            </a:graphic>
          </wp:inline>
        </w:drawing>
      </w:r>
    </w:p>
    <w:p w14:paraId="2DEEEABB">
      <w:pPr>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center"/>
        <w:textAlignment w:val="auto"/>
        <w:rPr>
          <w:rFonts w:hint="default" w:ascii="Arial" w:hAnsi="Arial" w:cs="Arial"/>
          <w:b/>
          <w:bCs/>
          <w:kern w:val="0"/>
          <w:sz w:val="26"/>
          <w:szCs w:val="26"/>
          <w:lang w:val="en-US" w:eastAsia="zh-CN"/>
        </w:rPr>
      </w:pPr>
      <w:r>
        <w:rPr>
          <w:rFonts w:hint="default" w:ascii="Arial" w:hAnsi="Arial" w:cs="Arial"/>
          <w:b/>
          <w:bCs/>
          <w:kern w:val="0"/>
          <w:sz w:val="26"/>
          <w:szCs w:val="26"/>
          <w:lang w:val="en-US" w:eastAsia="zh-CN"/>
        </w:rPr>
        <w:t>图4.1-1 项目所在地构造纲要图</w:t>
      </w:r>
    </w:p>
    <w:p w14:paraId="086DA957">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4.1.4地层岩性</w:t>
      </w:r>
    </w:p>
    <w:p w14:paraId="16A0E423">
      <w:pPr>
        <w:keepNext w:val="0"/>
        <w:keepLines w:val="0"/>
        <w:pageBreakBefore w:val="0"/>
        <w:widowControl/>
        <w:suppressLineNumbers w:val="0"/>
        <w:kinsoku/>
        <w:wordWrap/>
        <w:overflowPunct/>
        <w:topLinePunct w:val="0"/>
        <w:autoSpaceDE/>
        <w:autoSpaceDN/>
        <w:bidi w:val="0"/>
        <w:spacing w:line="460" w:lineRule="exact"/>
        <w:ind w:firstLine="520" w:firstLineChars="200"/>
        <w:jc w:val="both"/>
        <w:textAlignment w:val="auto"/>
        <w:rPr>
          <w:rFonts w:hint="eastAsia" w:ascii="Arial" w:hAnsi="Arial" w:eastAsia="宋体" w:cs="Arial"/>
          <w:b/>
          <w:bCs/>
          <w:color w:val="auto"/>
          <w:kern w:val="2"/>
          <w:sz w:val="26"/>
          <w:szCs w:val="26"/>
          <w:lang w:val="en-US" w:eastAsia="zh-CN" w:bidi="ar-SA"/>
        </w:rPr>
      </w:pPr>
      <w:r>
        <w:rPr>
          <w:rFonts w:hint="default" w:ascii="Arial" w:hAnsi="Arial" w:eastAsia="宋体" w:cs="Arial"/>
          <w:b w:val="0"/>
          <w:color w:val="auto"/>
          <w:kern w:val="2"/>
          <w:sz w:val="26"/>
          <w:szCs w:val="26"/>
          <w:lang w:val="en-US" w:eastAsia="zh-CN" w:bidi="ar-SA"/>
        </w:rPr>
        <w:t>区域内分布三叠系～侏罗系沉积岩地层。其中三叠系中、下统主要以碳酸盐岩为主，夹少量碎屑岩；三叠系上统及侏罗系以碎屑岩为主，局部夹薄层碳酸盐岩，沉积总厚达4500～5500m。河溪沟谷地带均为第四系覆盖。各地层岩性及厚度见表</w:t>
      </w:r>
      <w:r>
        <w:rPr>
          <w:rFonts w:hint="eastAsia" w:ascii="Arial" w:hAnsi="Arial" w:eastAsia="宋体" w:cs="Arial"/>
          <w:b w:val="0"/>
          <w:color w:val="auto"/>
          <w:kern w:val="2"/>
          <w:sz w:val="26"/>
          <w:szCs w:val="26"/>
          <w:lang w:val="en-US" w:eastAsia="zh-CN" w:bidi="ar-SA"/>
        </w:rPr>
        <w:t>4.1</w:t>
      </w:r>
      <w:r>
        <w:rPr>
          <w:rFonts w:hint="default" w:ascii="Arial" w:hAnsi="Arial" w:eastAsia="宋体" w:cs="Arial"/>
          <w:b w:val="0"/>
          <w:color w:val="auto"/>
          <w:kern w:val="2"/>
          <w:sz w:val="26"/>
          <w:szCs w:val="26"/>
          <w:lang w:val="en-US" w:eastAsia="zh-CN" w:bidi="ar-SA"/>
        </w:rPr>
        <w:t>-1</w:t>
      </w:r>
      <w:r>
        <w:rPr>
          <w:rFonts w:hint="eastAsia" w:ascii="Arial" w:hAnsi="Arial" w:eastAsia="宋体" w:cs="Arial"/>
          <w:b w:val="0"/>
          <w:color w:val="auto"/>
          <w:kern w:val="2"/>
          <w:sz w:val="26"/>
          <w:szCs w:val="26"/>
          <w:lang w:val="en-US" w:eastAsia="zh-CN" w:bidi="ar-SA"/>
        </w:rPr>
        <w:t>所示</w:t>
      </w:r>
      <w:r>
        <w:rPr>
          <w:rFonts w:hint="default" w:ascii="Arial" w:hAnsi="Arial" w:eastAsia="宋体" w:cs="Arial"/>
          <w:b w:val="0"/>
          <w:color w:val="auto"/>
          <w:kern w:val="2"/>
          <w:sz w:val="26"/>
          <w:szCs w:val="26"/>
          <w:lang w:val="en-US" w:eastAsia="zh-CN" w:bidi="ar-SA"/>
        </w:rPr>
        <w:t>。</w:t>
      </w:r>
    </w:p>
    <w:p w14:paraId="6F61D96B">
      <w:pPr>
        <w:keepNext w:val="0"/>
        <w:keepLines w:val="0"/>
        <w:pageBreakBefore w:val="0"/>
        <w:widowControl/>
        <w:suppressLineNumbers w:val="0"/>
        <w:kinsoku/>
        <w:wordWrap/>
        <w:overflowPunct/>
        <w:topLinePunct w:val="0"/>
        <w:autoSpaceDE/>
        <w:autoSpaceDN/>
        <w:bidi w:val="0"/>
        <w:adjustRightInd/>
        <w:snapToGrid/>
        <w:spacing w:line="460" w:lineRule="exact"/>
        <w:ind w:firstLine="0" w:firstLineChars="0"/>
        <w:jc w:val="center"/>
        <w:textAlignment w:val="auto"/>
        <w:rPr>
          <w:rFonts w:hint="default" w:ascii="Arial" w:hAnsi="Arial" w:eastAsia="宋体" w:cs="Arial"/>
          <w:b/>
          <w:bCs/>
          <w:color w:val="auto"/>
          <w:kern w:val="2"/>
          <w:sz w:val="26"/>
          <w:szCs w:val="26"/>
          <w:lang w:val="en-US" w:eastAsia="zh-CN" w:bidi="ar-SA"/>
        </w:rPr>
      </w:pPr>
      <w:r>
        <w:rPr>
          <w:rFonts w:hint="eastAsia" w:ascii="Arial" w:hAnsi="Arial" w:eastAsia="宋体" w:cs="Arial"/>
          <w:b/>
          <w:bCs/>
          <w:color w:val="auto"/>
          <w:kern w:val="2"/>
          <w:sz w:val="26"/>
          <w:szCs w:val="26"/>
          <w:lang w:val="en-US" w:eastAsia="zh-CN" w:bidi="ar-SA"/>
        </w:rPr>
        <w:t>表4.1-1 区域地层岩性简表</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2"/>
        <w:gridCol w:w="562"/>
        <w:gridCol w:w="1360"/>
        <w:gridCol w:w="705"/>
        <w:gridCol w:w="1083"/>
        <w:gridCol w:w="5070"/>
      </w:tblGrid>
      <w:tr w14:paraId="63164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exact"/>
          <w:jc w:val="center"/>
        </w:trPr>
        <w:tc>
          <w:tcPr>
            <w:tcW w:w="3189" w:type="dxa"/>
            <w:gridSpan w:val="4"/>
            <w:tcBorders>
              <w:tl2br w:val="nil"/>
              <w:tr2bl w:val="nil"/>
            </w:tcBorders>
            <w:noWrap w:val="0"/>
            <w:vAlign w:val="center"/>
          </w:tcPr>
          <w:p w14:paraId="669841D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地层时代</w:t>
            </w:r>
          </w:p>
        </w:tc>
        <w:tc>
          <w:tcPr>
            <w:tcW w:w="1083" w:type="dxa"/>
            <w:vMerge w:val="restart"/>
            <w:tcBorders>
              <w:tl2br w:val="nil"/>
              <w:tr2bl w:val="nil"/>
            </w:tcBorders>
            <w:noWrap w:val="0"/>
            <w:vAlign w:val="center"/>
          </w:tcPr>
          <w:p w14:paraId="32F6C8B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厚度（m）</w:t>
            </w:r>
          </w:p>
        </w:tc>
        <w:tc>
          <w:tcPr>
            <w:tcW w:w="5070" w:type="dxa"/>
            <w:vMerge w:val="restart"/>
            <w:tcBorders>
              <w:tl2br w:val="nil"/>
              <w:tr2bl w:val="nil"/>
            </w:tcBorders>
            <w:noWrap w:val="0"/>
            <w:vAlign w:val="center"/>
          </w:tcPr>
          <w:p w14:paraId="18A3FC0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主要岩性</w:t>
            </w:r>
          </w:p>
        </w:tc>
      </w:tr>
      <w:tr w14:paraId="14B5D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562" w:type="dxa"/>
            <w:tcBorders>
              <w:tl2br w:val="nil"/>
              <w:tr2bl w:val="nil"/>
            </w:tcBorders>
            <w:noWrap w:val="0"/>
            <w:vAlign w:val="center"/>
          </w:tcPr>
          <w:p w14:paraId="1399325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系</w:t>
            </w:r>
          </w:p>
        </w:tc>
        <w:tc>
          <w:tcPr>
            <w:tcW w:w="562" w:type="dxa"/>
            <w:tcBorders>
              <w:tl2br w:val="nil"/>
              <w:tr2bl w:val="nil"/>
            </w:tcBorders>
            <w:noWrap w:val="0"/>
            <w:vAlign w:val="center"/>
          </w:tcPr>
          <w:p w14:paraId="0AD3954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统</w:t>
            </w:r>
          </w:p>
        </w:tc>
        <w:tc>
          <w:tcPr>
            <w:tcW w:w="1360" w:type="dxa"/>
            <w:tcBorders>
              <w:tl2br w:val="nil"/>
              <w:tr2bl w:val="nil"/>
            </w:tcBorders>
            <w:noWrap w:val="0"/>
            <w:vAlign w:val="center"/>
          </w:tcPr>
          <w:p w14:paraId="6141C61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组</w:t>
            </w:r>
          </w:p>
        </w:tc>
        <w:tc>
          <w:tcPr>
            <w:tcW w:w="705" w:type="dxa"/>
            <w:tcBorders>
              <w:tl2br w:val="nil"/>
              <w:tr2bl w:val="nil"/>
            </w:tcBorders>
            <w:noWrap w:val="0"/>
            <w:vAlign w:val="center"/>
          </w:tcPr>
          <w:p w14:paraId="3D6DCDB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代号</w:t>
            </w:r>
          </w:p>
        </w:tc>
        <w:tc>
          <w:tcPr>
            <w:tcW w:w="1083" w:type="dxa"/>
            <w:vMerge w:val="continue"/>
            <w:tcBorders>
              <w:tl2br w:val="nil"/>
              <w:tr2bl w:val="nil"/>
            </w:tcBorders>
            <w:noWrap w:val="0"/>
            <w:vAlign w:val="center"/>
          </w:tcPr>
          <w:p w14:paraId="49B25D4B">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070" w:type="dxa"/>
            <w:vMerge w:val="continue"/>
            <w:tcBorders>
              <w:tl2br w:val="nil"/>
              <w:tr2bl w:val="nil"/>
            </w:tcBorders>
            <w:noWrap w:val="0"/>
            <w:vAlign w:val="center"/>
          </w:tcPr>
          <w:p w14:paraId="686C4D6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r>
      <w:tr w14:paraId="4B75C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62" w:type="dxa"/>
            <w:vMerge w:val="restart"/>
            <w:tcBorders>
              <w:tl2br w:val="nil"/>
              <w:tr2bl w:val="nil"/>
            </w:tcBorders>
            <w:noWrap w:val="0"/>
            <w:textDirection w:val="tbRlV"/>
            <w:vAlign w:val="center"/>
          </w:tcPr>
          <w:p w14:paraId="050A21D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第四系</w:t>
            </w:r>
          </w:p>
        </w:tc>
        <w:tc>
          <w:tcPr>
            <w:tcW w:w="562" w:type="dxa"/>
            <w:vMerge w:val="restart"/>
            <w:tcBorders>
              <w:tl2br w:val="nil"/>
              <w:tr2bl w:val="nil"/>
            </w:tcBorders>
            <w:noWrap w:val="0"/>
            <w:textDirection w:val="tbRlV"/>
            <w:vAlign w:val="center"/>
          </w:tcPr>
          <w:p w14:paraId="0D5045E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全新统</w:t>
            </w:r>
          </w:p>
        </w:tc>
        <w:tc>
          <w:tcPr>
            <w:tcW w:w="1360" w:type="dxa"/>
            <w:tcBorders>
              <w:tl2br w:val="nil"/>
              <w:tr2bl w:val="nil"/>
            </w:tcBorders>
            <w:noWrap w:val="0"/>
            <w:vAlign w:val="center"/>
          </w:tcPr>
          <w:p w14:paraId="3CA4DFF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kern w:val="0"/>
                <w:sz w:val="22"/>
                <w:szCs w:val="22"/>
                <w:lang w:val="en-US" w:eastAsia="zh-CN"/>
              </w:rPr>
            </w:pPr>
            <w:r>
              <w:rPr>
                <w:rFonts w:hint="eastAsia" w:ascii="Arial" w:hAnsi="Arial" w:eastAsia="宋体" w:cs="Arial"/>
                <w:color w:val="auto"/>
                <w:kern w:val="0"/>
                <w:sz w:val="22"/>
                <w:szCs w:val="22"/>
                <w:lang w:val="en-US" w:eastAsia="zh-CN"/>
              </w:rPr>
              <w:t>/</w:t>
            </w:r>
          </w:p>
        </w:tc>
        <w:tc>
          <w:tcPr>
            <w:tcW w:w="705" w:type="dxa"/>
            <w:tcBorders>
              <w:tl2br w:val="nil"/>
              <w:tr2bl w:val="nil"/>
            </w:tcBorders>
            <w:noWrap w:val="0"/>
            <w:vAlign w:val="center"/>
          </w:tcPr>
          <w:p w14:paraId="450FCDEF">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Q</w:t>
            </w:r>
            <w:r>
              <w:rPr>
                <w:rFonts w:hint="default" w:ascii="Arial" w:hAnsi="Arial" w:cs="Arial"/>
                <w:color w:val="auto"/>
                <w:kern w:val="2"/>
                <w:sz w:val="22"/>
                <w:szCs w:val="22"/>
                <w:vertAlign w:val="subscript"/>
              </w:rPr>
              <w:t>4</w:t>
            </w:r>
            <w:r>
              <w:rPr>
                <w:rFonts w:hint="default" w:ascii="Arial" w:hAnsi="Arial" w:cs="Arial"/>
                <w:color w:val="auto"/>
                <w:kern w:val="2"/>
                <w:sz w:val="22"/>
                <w:szCs w:val="22"/>
                <w:vertAlign w:val="superscript"/>
              </w:rPr>
              <w:t>al</w:t>
            </w:r>
          </w:p>
        </w:tc>
        <w:tc>
          <w:tcPr>
            <w:tcW w:w="1083" w:type="dxa"/>
            <w:tcBorders>
              <w:tl2br w:val="nil"/>
              <w:tr2bl w:val="nil"/>
            </w:tcBorders>
            <w:noWrap w:val="0"/>
            <w:vAlign w:val="center"/>
          </w:tcPr>
          <w:p w14:paraId="21A923B1">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0～5</w:t>
            </w:r>
          </w:p>
        </w:tc>
        <w:tc>
          <w:tcPr>
            <w:tcW w:w="5070" w:type="dxa"/>
            <w:tcBorders>
              <w:tl2br w:val="nil"/>
              <w:tr2bl w:val="nil"/>
            </w:tcBorders>
            <w:noWrap w:val="0"/>
            <w:vAlign w:val="center"/>
          </w:tcPr>
          <w:p w14:paraId="63B813F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现代河流冲积层、Ⅰ级阶地堆积层：松散砾石、砂、亚粘土。</w:t>
            </w:r>
          </w:p>
        </w:tc>
      </w:tr>
      <w:tr w14:paraId="78D806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Merge w:val="continue"/>
            <w:tcBorders>
              <w:tl2br w:val="nil"/>
              <w:tr2bl w:val="nil"/>
            </w:tcBorders>
            <w:noWrap w:val="0"/>
            <w:vAlign w:val="center"/>
          </w:tcPr>
          <w:p w14:paraId="19592D1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continue"/>
            <w:tcBorders>
              <w:tl2br w:val="nil"/>
              <w:tr2bl w:val="nil"/>
            </w:tcBorders>
            <w:noWrap w:val="0"/>
            <w:vAlign w:val="center"/>
          </w:tcPr>
          <w:p w14:paraId="50EEF19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tcBorders>
              <w:tl2br w:val="nil"/>
              <w:tr2bl w:val="nil"/>
            </w:tcBorders>
            <w:noWrap w:val="0"/>
            <w:vAlign w:val="center"/>
          </w:tcPr>
          <w:p w14:paraId="2681F53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Arial" w:hAnsi="Arial" w:eastAsia="宋体" w:cs="Arial"/>
                <w:color w:val="auto"/>
                <w:kern w:val="0"/>
                <w:sz w:val="22"/>
                <w:szCs w:val="22"/>
                <w:lang w:val="en-US" w:eastAsia="zh-CN"/>
              </w:rPr>
            </w:pPr>
            <w:r>
              <w:rPr>
                <w:rFonts w:hint="eastAsia" w:ascii="Arial" w:hAnsi="Arial" w:eastAsia="宋体" w:cs="Arial"/>
                <w:color w:val="auto"/>
                <w:kern w:val="0"/>
                <w:sz w:val="22"/>
                <w:szCs w:val="22"/>
                <w:lang w:val="en-US" w:eastAsia="zh-CN"/>
              </w:rPr>
              <w:t>/</w:t>
            </w:r>
          </w:p>
        </w:tc>
        <w:tc>
          <w:tcPr>
            <w:tcW w:w="705" w:type="dxa"/>
            <w:tcBorders>
              <w:tl2br w:val="nil"/>
              <w:tr2bl w:val="nil"/>
            </w:tcBorders>
            <w:noWrap w:val="0"/>
            <w:vAlign w:val="center"/>
          </w:tcPr>
          <w:p w14:paraId="13649B82">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Q</w:t>
            </w:r>
            <w:r>
              <w:rPr>
                <w:rFonts w:hint="default" w:ascii="Arial" w:hAnsi="Arial" w:cs="Arial"/>
                <w:color w:val="auto"/>
                <w:kern w:val="2"/>
                <w:sz w:val="22"/>
                <w:szCs w:val="22"/>
                <w:vertAlign w:val="subscript"/>
              </w:rPr>
              <w:t>4</w:t>
            </w:r>
            <w:r>
              <w:rPr>
                <w:rFonts w:hint="default" w:ascii="Arial" w:hAnsi="Arial" w:cs="Arial"/>
                <w:color w:val="auto"/>
                <w:kern w:val="2"/>
                <w:sz w:val="22"/>
                <w:szCs w:val="22"/>
                <w:vertAlign w:val="superscript"/>
              </w:rPr>
              <w:t>edl</w:t>
            </w:r>
          </w:p>
        </w:tc>
        <w:tc>
          <w:tcPr>
            <w:tcW w:w="1083" w:type="dxa"/>
            <w:tcBorders>
              <w:tl2br w:val="nil"/>
              <w:tr2bl w:val="nil"/>
            </w:tcBorders>
            <w:noWrap w:val="0"/>
            <w:vAlign w:val="center"/>
          </w:tcPr>
          <w:p w14:paraId="7C723FDC">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3～7</w:t>
            </w:r>
          </w:p>
        </w:tc>
        <w:tc>
          <w:tcPr>
            <w:tcW w:w="5070" w:type="dxa"/>
            <w:tcBorders>
              <w:tl2br w:val="nil"/>
              <w:tr2bl w:val="nil"/>
            </w:tcBorders>
            <w:noWrap w:val="0"/>
            <w:vAlign w:val="center"/>
          </w:tcPr>
          <w:p w14:paraId="09A5965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残坡积层：黄褐色粉质粘土、粘土夹碎石。</w:t>
            </w:r>
          </w:p>
        </w:tc>
      </w:tr>
      <w:tr w14:paraId="6F42F8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62" w:type="dxa"/>
            <w:vMerge w:val="restart"/>
            <w:tcBorders>
              <w:tl2br w:val="nil"/>
              <w:tr2bl w:val="nil"/>
            </w:tcBorders>
            <w:noWrap w:val="0"/>
            <w:textDirection w:val="tbRlV"/>
            <w:vAlign w:val="center"/>
          </w:tcPr>
          <w:p w14:paraId="2820AD9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侏    罗    系</w:t>
            </w:r>
          </w:p>
        </w:tc>
        <w:tc>
          <w:tcPr>
            <w:tcW w:w="562" w:type="dxa"/>
            <w:vMerge w:val="restart"/>
            <w:tcBorders>
              <w:tl2br w:val="nil"/>
              <w:tr2bl w:val="nil"/>
            </w:tcBorders>
            <w:noWrap w:val="0"/>
            <w:textDirection w:val="tbRlV"/>
            <w:vAlign w:val="center"/>
          </w:tcPr>
          <w:p w14:paraId="007BE7C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上统</w:t>
            </w:r>
          </w:p>
        </w:tc>
        <w:tc>
          <w:tcPr>
            <w:tcW w:w="1360" w:type="dxa"/>
            <w:tcBorders>
              <w:tl2br w:val="nil"/>
              <w:tr2bl w:val="nil"/>
            </w:tcBorders>
            <w:noWrap w:val="0"/>
            <w:vAlign w:val="center"/>
          </w:tcPr>
          <w:p w14:paraId="4628D53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蓬莱镇组</w:t>
            </w:r>
          </w:p>
        </w:tc>
        <w:tc>
          <w:tcPr>
            <w:tcW w:w="705" w:type="dxa"/>
            <w:tcBorders>
              <w:tl2br w:val="nil"/>
              <w:tr2bl w:val="nil"/>
            </w:tcBorders>
            <w:noWrap w:val="0"/>
            <w:vAlign w:val="center"/>
          </w:tcPr>
          <w:p w14:paraId="4B9D46D6">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3</w:t>
            </w:r>
            <w:r>
              <w:rPr>
                <w:rFonts w:hint="default" w:ascii="Arial" w:hAnsi="Arial" w:cs="Arial"/>
                <w:color w:val="auto"/>
                <w:kern w:val="2"/>
                <w:sz w:val="22"/>
                <w:szCs w:val="22"/>
              </w:rPr>
              <w:t>p</w:t>
            </w:r>
          </w:p>
        </w:tc>
        <w:tc>
          <w:tcPr>
            <w:tcW w:w="1083" w:type="dxa"/>
            <w:tcBorders>
              <w:tl2br w:val="nil"/>
              <w:tr2bl w:val="nil"/>
            </w:tcBorders>
            <w:noWrap w:val="0"/>
            <w:vAlign w:val="center"/>
          </w:tcPr>
          <w:p w14:paraId="065AFF80">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469～714</w:t>
            </w:r>
          </w:p>
        </w:tc>
        <w:tc>
          <w:tcPr>
            <w:tcW w:w="5070" w:type="dxa"/>
            <w:tcBorders>
              <w:tl2br w:val="nil"/>
              <w:tr2bl w:val="nil"/>
            </w:tcBorders>
            <w:noWrap w:val="0"/>
            <w:vAlign w:val="center"/>
          </w:tcPr>
          <w:p w14:paraId="34B57331">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灰白、灰黄色长石砂岩、紫红色泥岩。</w:t>
            </w:r>
          </w:p>
        </w:tc>
      </w:tr>
      <w:tr w14:paraId="0EC71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562" w:type="dxa"/>
            <w:vMerge w:val="continue"/>
            <w:tcBorders>
              <w:tl2br w:val="nil"/>
              <w:tr2bl w:val="nil"/>
            </w:tcBorders>
            <w:noWrap w:val="0"/>
            <w:vAlign w:val="center"/>
          </w:tcPr>
          <w:p w14:paraId="40C2CBA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continue"/>
            <w:tcBorders>
              <w:tl2br w:val="nil"/>
              <w:tr2bl w:val="nil"/>
            </w:tcBorders>
            <w:noWrap w:val="0"/>
            <w:vAlign w:val="center"/>
          </w:tcPr>
          <w:p w14:paraId="6BD20BAB">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tcBorders>
              <w:tl2br w:val="nil"/>
              <w:tr2bl w:val="nil"/>
            </w:tcBorders>
            <w:noWrap w:val="0"/>
            <w:vAlign w:val="center"/>
          </w:tcPr>
          <w:p w14:paraId="1DB2F04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遂宁组</w:t>
            </w:r>
          </w:p>
        </w:tc>
        <w:tc>
          <w:tcPr>
            <w:tcW w:w="705" w:type="dxa"/>
            <w:tcBorders>
              <w:tl2br w:val="nil"/>
              <w:tr2bl w:val="nil"/>
            </w:tcBorders>
            <w:noWrap w:val="0"/>
            <w:vAlign w:val="center"/>
          </w:tcPr>
          <w:p w14:paraId="6FDAD2F7">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3</w:t>
            </w:r>
            <w:r>
              <w:rPr>
                <w:rFonts w:hint="default" w:ascii="Arial" w:hAnsi="Arial" w:cs="Arial"/>
                <w:color w:val="auto"/>
                <w:kern w:val="2"/>
                <w:sz w:val="22"/>
                <w:szCs w:val="22"/>
              </w:rPr>
              <w:t>s</w:t>
            </w:r>
          </w:p>
          <w:p w14:paraId="45045CA9">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1083" w:type="dxa"/>
            <w:tcBorders>
              <w:tl2br w:val="nil"/>
              <w:tr2bl w:val="nil"/>
            </w:tcBorders>
            <w:noWrap w:val="0"/>
            <w:vAlign w:val="center"/>
          </w:tcPr>
          <w:p w14:paraId="56A5E240">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337～674</w:t>
            </w:r>
          </w:p>
        </w:tc>
        <w:tc>
          <w:tcPr>
            <w:tcW w:w="5070" w:type="dxa"/>
            <w:tcBorders>
              <w:tl2br w:val="nil"/>
              <w:tr2bl w:val="nil"/>
            </w:tcBorders>
            <w:noWrap w:val="0"/>
            <w:vAlign w:val="center"/>
          </w:tcPr>
          <w:p w14:paraId="3D908A3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灰绿、灰紫、紫红色厚层～块状砂岩与紫红、棕红色泥岩。</w:t>
            </w:r>
          </w:p>
        </w:tc>
      </w:tr>
      <w:tr w14:paraId="7D09D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2" w:type="dxa"/>
            <w:vMerge w:val="continue"/>
            <w:tcBorders>
              <w:tl2br w:val="nil"/>
              <w:tr2bl w:val="nil"/>
            </w:tcBorders>
            <w:noWrap w:val="0"/>
            <w:vAlign w:val="center"/>
          </w:tcPr>
          <w:p w14:paraId="2968C7C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restart"/>
            <w:tcBorders>
              <w:tl2br w:val="nil"/>
              <w:tr2bl w:val="nil"/>
            </w:tcBorders>
            <w:noWrap w:val="0"/>
            <w:textDirection w:val="tbRlV"/>
            <w:vAlign w:val="center"/>
          </w:tcPr>
          <w:p w14:paraId="001758C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中统</w:t>
            </w:r>
          </w:p>
        </w:tc>
        <w:tc>
          <w:tcPr>
            <w:tcW w:w="1360" w:type="dxa"/>
            <w:tcBorders>
              <w:tl2br w:val="nil"/>
              <w:tr2bl w:val="nil"/>
            </w:tcBorders>
            <w:noWrap w:val="0"/>
            <w:vAlign w:val="center"/>
          </w:tcPr>
          <w:p w14:paraId="765610C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上沙溪庙组</w:t>
            </w:r>
          </w:p>
        </w:tc>
        <w:tc>
          <w:tcPr>
            <w:tcW w:w="705" w:type="dxa"/>
            <w:tcBorders>
              <w:tl2br w:val="nil"/>
              <w:tr2bl w:val="nil"/>
            </w:tcBorders>
            <w:noWrap w:val="0"/>
            <w:vAlign w:val="center"/>
          </w:tcPr>
          <w:p w14:paraId="6E77C947">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2</w:t>
            </w:r>
            <w:r>
              <w:rPr>
                <w:rFonts w:hint="default" w:ascii="Arial" w:hAnsi="Arial" w:cs="Arial"/>
                <w:color w:val="auto"/>
                <w:kern w:val="2"/>
                <w:sz w:val="22"/>
                <w:szCs w:val="22"/>
              </w:rPr>
              <w:t>s</w:t>
            </w:r>
          </w:p>
        </w:tc>
        <w:tc>
          <w:tcPr>
            <w:tcW w:w="1083" w:type="dxa"/>
            <w:tcBorders>
              <w:tl2br w:val="nil"/>
              <w:tr2bl w:val="nil"/>
            </w:tcBorders>
            <w:noWrap w:val="0"/>
            <w:vAlign w:val="center"/>
          </w:tcPr>
          <w:p w14:paraId="603EDBEF">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1482～1719</w:t>
            </w:r>
          </w:p>
        </w:tc>
        <w:tc>
          <w:tcPr>
            <w:tcW w:w="5070" w:type="dxa"/>
            <w:tcBorders>
              <w:tl2br w:val="nil"/>
              <w:tr2bl w:val="nil"/>
            </w:tcBorders>
            <w:noWrap w:val="0"/>
            <w:vAlign w:val="center"/>
          </w:tcPr>
          <w:p w14:paraId="27C04A2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砖红、紫红、紫灰色泥岩与块状长石砂岩，岩屑亚长石石英砂岩不等厚互层。</w:t>
            </w:r>
          </w:p>
        </w:tc>
      </w:tr>
      <w:tr w14:paraId="3C3FE0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dxa"/>
            <w:vMerge w:val="continue"/>
            <w:tcBorders>
              <w:tl2br w:val="nil"/>
              <w:tr2bl w:val="nil"/>
            </w:tcBorders>
            <w:noWrap w:val="0"/>
            <w:vAlign w:val="center"/>
          </w:tcPr>
          <w:p w14:paraId="0B2F41D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continue"/>
            <w:tcBorders>
              <w:tl2br w:val="nil"/>
              <w:tr2bl w:val="nil"/>
            </w:tcBorders>
            <w:noWrap w:val="0"/>
            <w:vAlign w:val="center"/>
          </w:tcPr>
          <w:p w14:paraId="24259B18">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tcBorders>
              <w:tl2br w:val="nil"/>
              <w:tr2bl w:val="nil"/>
            </w:tcBorders>
            <w:noWrap w:val="0"/>
            <w:vAlign w:val="center"/>
          </w:tcPr>
          <w:p w14:paraId="15949CC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下沙溪庙组</w:t>
            </w:r>
          </w:p>
        </w:tc>
        <w:tc>
          <w:tcPr>
            <w:tcW w:w="705" w:type="dxa"/>
            <w:tcBorders>
              <w:tl2br w:val="nil"/>
              <w:tr2bl w:val="nil"/>
            </w:tcBorders>
            <w:noWrap w:val="0"/>
            <w:vAlign w:val="center"/>
          </w:tcPr>
          <w:p w14:paraId="26465266">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2</w:t>
            </w:r>
            <w:r>
              <w:rPr>
                <w:rFonts w:hint="default" w:ascii="Arial" w:hAnsi="Arial" w:cs="Arial"/>
                <w:color w:val="auto"/>
                <w:kern w:val="2"/>
                <w:sz w:val="22"/>
                <w:szCs w:val="22"/>
              </w:rPr>
              <w:t>xs</w:t>
            </w:r>
          </w:p>
        </w:tc>
        <w:tc>
          <w:tcPr>
            <w:tcW w:w="1083" w:type="dxa"/>
            <w:tcBorders>
              <w:tl2br w:val="nil"/>
              <w:tr2bl w:val="nil"/>
            </w:tcBorders>
            <w:noWrap w:val="0"/>
            <w:vAlign w:val="center"/>
          </w:tcPr>
          <w:p w14:paraId="00713DBE">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269～4656</w:t>
            </w:r>
          </w:p>
        </w:tc>
        <w:tc>
          <w:tcPr>
            <w:tcW w:w="5070" w:type="dxa"/>
            <w:tcBorders>
              <w:tl2br w:val="nil"/>
              <w:tr2bl w:val="nil"/>
            </w:tcBorders>
            <w:noWrap w:val="0"/>
            <w:vAlign w:val="center"/>
          </w:tcPr>
          <w:p w14:paraId="4D115BF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黄绿、紫红色泥岩夹块状岩屑长石砂岩。</w:t>
            </w:r>
          </w:p>
        </w:tc>
      </w:tr>
      <w:tr w14:paraId="1ACC6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dxa"/>
            <w:vMerge w:val="continue"/>
            <w:tcBorders>
              <w:tl2br w:val="nil"/>
              <w:tr2bl w:val="nil"/>
            </w:tcBorders>
            <w:noWrap w:val="0"/>
            <w:vAlign w:val="center"/>
          </w:tcPr>
          <w:p w14:paraId="5AFB09D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continue"/>
            <w:tcBorders>
              <w:tl2br w:val="nil"/>
              <w:tr2bl w:val="nil"/>
            </w:tcBorders>
            <w:noWrap w:val="0"/>
            <w:vAlign w:val="center"/>
          </w:tcPr>
          <w:p w14:paraId="7ADC498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restart"/>
            <w:tcBorders>
              <w:tl2br w:val="nil"/>
              <w:tr2bl w:val="nil"/>
            </w:tcBorders>
            <w:noWrap w:val="0"/>
            <w:vAlign w:val="center"/>
          </w:tcPr>
          <w:p w14:paraId="55D6427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新田沟组</w:t>
            </w:r>
          </w:p>
        </w:tc>
        <w:tc>
          <w:tcPr>
            <w:tcW w:w="705" w:type="dxa"/>
            <w:tcBorders>
              <w:tl2br w:val="nil"/>
              <w:tr2bl w:val="nil"/>
            </w:tcBorders>
            <w:noWrap w:val="0"/>
            <w:vAlign w:val="center"/>
          </w:tcPr>
          <w:p w14:paraId="31B2D783">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2</w:t>
            </w:r>
            <w:r>
              <w:rPr>
                <w:rFonts w:hint="default" w:ascii="Arial" w:hAnsi="Arial" w:cs="Arial"/>
                <w:color w:val="auto"/>
                <w:kern w:val="2"/>
                <w:sz w:val="22"/>
                <w:szCs w:val="22"/>
              </w:rPr>
              <w:t>x</w:t>
            </w:r>
            <w:r>
              <w:rPr>
                <w:rFonts w:hint="default" w:ascii="Arial" w:hAnsi="Arial" w:cs="Arial"/>
                <w:color w:val="auto"/>
                <w:kern w:val="2"/>
                <w:sz w:val="22"/>
                <w:szCs w:val="22"/>
                <w:vertAlign w:val="superscript"/>
              </w:rPr>
              <w:t>4</w:t>
            </w:r>
          </w:p>
        </w:tc>
        <w:tc>
          <w:tcPr>
            <w:tcW w:w="1083" w:type="dxa"/>
            <w:tcBorders>
              <w:tl2br w:val="nil"/>
              <w:tr2bl w:val="nil"/>
            </w:tcBorders>
            <w:noWrap w:val="0"/>
            <w:vAlign w:val="center"/>
          </w:tcPr>
          <w:p w14:paraId="4481532D">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56</w:t>
            </w:r>
          </w:p>
        </w:tc>
        <w:tc>
          <w:tcPr>
            <w:tcW w:w="5070" w:type="dxa"/>
            <w:tcBorders>
              <w:tl2br w:val="nil"/>
              <w:tr2bl w:val="nil"/>
            </w:tcBorders>
            <w:noWrap w:val="0"/>
            <w:vAlign w:val="center"/>
          </w:tcPr>
          <w:p w14:paraId="50F0436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杂色粉砂质泥岩，夹中厚层状砂岩。</w:t>
            </w:r>
          </w:p>
        </w:tc>
      </w:tr>
      <w:tr w14:paraId="20464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62" w:type="dxa"/>
            <w:vMerge w:val="continue"/>
            <w:tcBorders>
              <w:tl2br w:val="nil"/>
              <w:tr2bl w:val="nil"/>
            </w:tcBorders>
            <w:noWrap w:val="0"/>
            <w:vAlign w:val="center"/>
          </w:tcPr>
          <w:p w14:paraId="253DF52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continue"/>
            <w:tcBorders>
              <w:tl2br w:val="nil"/>
              <w:tr2bl w:val="nil"/>
            </w:tcBorders>
            <w:noWrap w:val="0"/>
            <w:vAlign w:val="center"/>
          </w:tcPr>
          <w:p w14:paraId="4171983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continue"/>
            <w:tcBorders>
              <w:tl2br w:val="nil"/>
              <w:tr2bl w:val="nil"/>
            </w:tcBorders>
            <w:noWrap w:val="0"/>
            <w:vAlign w:val="center"/>
          </w:tcPr>
          <w:p w14:paraId="6F3727F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705" w:type="dxa"/>
            <w:tcBorders>
              <w:tl2br w:val="nil"/>
              <w:tr2bl w:val="nil"/>
            </w:tcBorders>
            <w:noWrap w:val="0"/>
            <w:vAlign w:val="center"/>
          </w:tcPr>
          <w:p w14:paraId="4DE37401">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2</w:t>
            </w:r>
            <w:r>
              <w:rPr>
                <w:rFonts w:hint="default" w:ascii="Arial" w:hAnsi="Arial" w:cs="Arial"/>
                <w:color w:val="auto"/>
                <w:kern w:val="2"/>
                <w:sz w:val="22"/>
                <w:szCs w:val="22"/>
              </w:rPr>
              <w:t>x</w:t>
            </w:r>
            <w:r>
              <w:rPr>
                <w:rFonts w:hint="default" w:ascii="Arial" w:hAnsi="Arial" w:cs="Arial"/>
                <w:color w:val="auto"/>
                <w:kern w:val="2"/>
                <w:sz w:val="22"/>
                <w:szCs w:val="22"/>
                <w:vertAlign w:val="superscript"/>
              </w:rPr>
              <w:t>3</w:t>
            </w:r>
          </w:p>
        </w:tc>
        <w:tc>
          <w:tcPr>
            <w:tcW w:w="1083" w:type="dxa"/>
            <w:tcBorders>
              <w:tl2br w:val="nil"/>
              <w:tr2bl w:val="nil"/>
            </w:tcBorders>
            <w:noWrap w:val="0"/>
            <w:vAlign w:val="center"/>
          </w:tcPr>
          <w:p w14:paraId="3666ACF0">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139～155</w:t>
            </w:r>
          </w:p>
        </w:tc>
        <w:tc>
          <w:tcPr>
            <w:tcW w:w="5070" w:type="dxa"/>
            <w:tcBorders>
              <w:tl2br w:val="nil"/>
              <w:tr2bl w:val="nil"/>
            </w:tcBorders>
            <w:noWrap w:val="0"/>
            <w:vAlign w:val="center"/>
          </w:tcPr>
          <w:p w14:paraId="689DC1C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粉砂质页岩与中厚层状砂岩互层。</w:t>
            </w:r>
          </w:p>
        </w:tc>
      </w:tr>
      <w:tr w14:paraId="4EC382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62" w:type="dxa"/>
            <w:vMerge w:val="continue"/>
            <w:tcBorders>
              <w:tl2br w:val="nil"/>
              <w:tr2bl w:val="nil"/>
            </w:tcBorders>
            <w:noWrap w:val="0"/>
            <w:vAlign w:val="center"/>
          </w:tcPr>
          <w:p w14:paraId="264686E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continue"/>
            <w:tcBorders>
              <w:tl2br w:val="nil"/>
              <w:tr2bl w:val="nil"/>
            </w:tcBorders>
            <w:noWrap w:val="0"/>
            <w:vAlign w:val="center"/>
          </w:tcPr>
          <w:p w14:paraId="0AE158E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continue"/>
            <w:tcBorders>
              <w:tl2br w:val="nil"/>
              <w:tr2bl w:val="nil"/>
            </w:tcBorders>
            <w:noWrap w:val="0"/>
            <w:vAlign w:val="center"/>
          </w:tcPr>
          <w:p w14:paraId="0CE99E9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705" w:type="dxa"/>
            <w:tcBorders>
              <w:tl2br w:val="nil"/>
              <w:tr2bl w:val="nil"/>
            </w:tcBorders>
            <w:noWrap w:val="0"/>
            <w:vAlign w:val="center"/>
          </w:tcPr>
          <w:p w14:paraId="5977C1EA">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2</w:t>
            </w:r>
            <w:r>
              <w:rPr>
                <w:rFonts w:hint="default" w:ascii="Arial" w:hAnsi="Arial" w:cs="Arial"/>
                <w:color w:val="auto"/>
                <w:kern w:val="2"/>
                <w:sz w:val="22"/>
                <w:szCs w:val="22"/>
              </w:rPr>
              <w:t>x</w:t>
            </w:r>
            <w:r>
              <w:rPr>
                <w:rFonts w:hint="default" w:ascii="Arial" w:hAnsi="Arial" w:cs="Arial"/>
                <w:color w:val="auto"/>
                <w:kern w:val="2"/>
                <w:sz w:val="22"/>
                <w:szCs w:val="22"/>
                <w:vertAlign w:val="superscript"/>
              </w:rPr>
              <w:t>2</w:t>
            </w:r>
          </w:p>
        </w:tc>
        <w:tc>
          <w:tcPr>
            <w:tcW w:w="1083" w:type="dxa"/>
            <w:tcBorders>
              <w:tl2br w:val="nil"/>
              <w:tr2bl w:val="nil"/>
            </w:tcBorders>
            <w:noWrap w:val="0"/>
            <w:vAlign w:val="center"/>
          </w:tcPr>
          <w:p w14:paraId="3ABBF218">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68～106</w:t>
            </w:r>
          </w:p>
        </w:tc>
        <w:tc>
          <w:tcPr>
            <w:tcW w:w="5070" w:type="dxa"/>
            <w:tcBorders>
              <w:tl2br w:val="nil"/>
              <w:tr2bl w:val="nil"/>
            </w:tcBorders>
            <w:noWrap w:val="0"/>
            <w:vAlign w:val="center"/>
          </w:tcPr>
          <w:p w14:paraId="638C2F9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水云母页岩与薄至中厚层状的砂岩互层。</w:t>
            </w:r>
          </w:p>
        </w:tc>
      </w:tr>
      <w:tr w14:paraId="6E6DEC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62" w:type="dxa"/>
            <w:vMerge w:val="continue"/>
            <w:tcBorders>
              <w:tl2br w:val="nil"/>
              <w:tr2bl w:val="nil"/>
            </w:tcBorders>
            <w:noWrap w:val="0"/>
            <w:vAlign w:val="center"/>
          </w:tcPr>
          <w:p w14:paraId="7952B3E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continue"/>
            <w:tcBorders>
              <w:tl2br w:val="nil"/>
              <w:tr2bl w:val="nil"/>
            </w:tcBorders>
            <w:noWrap w:val="0"/>
            <w:vAlign w:val="center"/>
          </w:tcPr>
          <w:p w14:paraId="4C61B4D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continue"/>
            <w:tcBorders>
              <w:tl2br w:val="nil"/>
              <w:tr2bl w:val="nil"/>
            </w:tcBorders>
            <w:noWrap w:val="0"/>
            <w:vAlign w:val="center"/>
          </w:tcPr>
          <w:p w14:paraId="437684E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705" w:type="dxa"/>
            <w:tcBorders>
              <w:tl2br w:val="nil"/>
              <w:tr2bl w:val="nil"/>
            </w:tcBorders>
            <w:noWrap w:val="0"/>
            <w:vAlign w:val="center"/>
          </w:tcPr>
          <w:p w14:paraId="2E293481">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2</w:t>
            </w:r>
            <w:r>
              <w:rPr>
                <w:rFonts w:hint="default" w:ascii="Arial" w:hAnsi="Arial" w:cs="Arial"/>
                <w:color w:val="auto"/>
                <w:kern w:val="2"/>
                <w:sz w:val="22"/>
                <w:szCs w:val="22"/>
              </w:rPr>
              <w:t>x</w:t>
            </w:r>
            <w:r>
              <w:rPr>
                <w:rFonts w:hint="default" w:ascii="Arial" w:hAnsi="Arial" w:cs="Arial"/>
                <w:color w:val="auto"/>
                <w:kern w:val="2"/>
                <w:sz w:val="22"/>
                <w:szCs w:val="22"/>
                <w:vertAlign w:val="superscript"/>
              </w:rPr>
              <w:t>1</w:t>
            </w:r>
          </w:p>
        </w:tc>
        <w:tc>
          <w:tcPr>
            <w:tcW w:w="1083" w:type="dxa"/>
            <w:tcBorders>
              <w:tl2br w:val="nil"/>
              <w:tr2bl w:val="nil"/>
            </w:tcBorders>
            <w:noWrap w:val="0"/>
            <w:vAlign w:val="center"/>
          </w:tcPr>
          <w:p w14:paraId="7F03CE70">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0～42</w:t>
            </w:r>
          </w:p>
        </w:tc>
        <w:tc>
          <w:tcPr>
            <w:tcW w:w="5070" w:type="dxa"/>
            <w:tcBorders>
              <w:tl2br w:val="nil"/>
              <w:tr2bl w:val="nil"/>
            </w:tcBorders>
            <w:noWrap w:val="0"/>
            <w:vAlign w:val="center"/>
          </w:tcPr>
          <w:p w14:paraId="12134F7D">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泥岩、页岩与石英砂岩互层，底为含砾岩屑的砂岩或砾岩透镜体。</w:t>
            </w:r>
          </w:p>
        </w:tc>
      </w:tr>
      <w:tr w14:paraId="19972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62" w:type="dxa"/>
            <w:vMerge w:val="continue"/>
            <w:tcBorders>
              <w:tl2br w:val="nil"/>
              <w:tr2bl w:val="nil"/>
            </w:tcBorders>
            <w:noWrap w:val="0"/>
            <w:vAlign w:val="center"/>
          </w:tcPr>
          <w:p w14:paraId="02AA921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restart"/>
            <w:tcBorders>
              <w:tl2br w:val="nil"/>
              <w:tr2bl w:val="nil"/>
            </w:tcBorders>
            <w:noWrap w:val="0"/>
            <w:textDirection w:val="tbRlV"/>
            <w:vAlign w:val="center"/>
          </w:tcPr>
          <w:p w14:paraId="225A4DF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lang w:eastAsia="zh-CN"/>
              </w:rPr>
            </w:pPr>
            <w:r>
              <w:rPr>
                <w:rFonts w:hint="default" w:ascii="Arial" w:hAnsi="Arial" w:eastAsia="宋体" w:cs="Arial"/>
                <w:color w:val="auto"/>
                <w:kern w:val="0"/>
                <w:sz w:val="22"/>
                <w:szCs w:val="22"/>
                <w:lang w:eastAsia="zh-CN"/>
              </w:rPr>
              <w:t>中下统</w:t>
            </w:r>
          </w:p>
        </w:tc>
        <w:tc>
          <w:tcPr>
            <w:tcW w:w="1360" w:type="dxa"/>
            <w:vMerge w:val="restart"/>
            <w:tcBorders>
              <w:tl2br w:val="nil"/>
              <w:tr2bl w:val="nil"/>
            </w:tcBorders>
            <w:noWrap w:val="0"/>
            <w:vAlign w:val="center"/>
          </w:tcPr>
          <w:p w14:paraId="0AAE948B">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自流井组</w:t>
            </w:r>
          </w:p>
        </w:tc>
        <w:tc>
          <w:tcPr>
            <w:tcW w:w="705" w:type="dxa"/>
            <w:tcBorders>
              <w:tl2br w:val="nil"/>
              <w:tr2bl w:val="nil"/>
            </w:tcBorders>
            <w:noWrap w:val="0"/>
            <w:vAlign w:val="center"/>
          </w:tcPr>
          <w:p w14:paraId="382711AD">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1-2</w:t>
            </w:r>
            <w:r>
              <w:rPr>
                <w:rFonts w:hint="default" w:ascii="Arial" w:hAnsi="Arial" w:cs="Arial"/>
                <w:color w:val="auto"/>
                <w:kern w:val="2"/>
                <w:sz w:val="22"/>
                <w:szCs w:val="22"/>
              </w:rPr>
              <w:t>z</w:t>
            </w:r>
            <w:r>
              <w:rPr>
                <w:rFonts w:hint="default" w:ascii="Arial" w:hAnsi="Arial" w:cs="Arial"/>
                <w:color w:val="auto"/>
                <w:kern w:val="2"/>
                <w:sz w:val="22"/>
                <w:szCs w:val="22"/>
                <w:vertAlign w:val="superscript"/>
              </w:rPr>
              <w:t>3</w:t>
            </w:r>
          </w:p>
        </w:tc>
        <w:tc>
          <w:tcPr>
            <w:tcW w:w="1083" w:type="dxa"/>
            <w:tcBorders>
              <w:tl2br w:val="nil"/>
              <w:tr2bl w:val="nil"/>
            </w:tcBorders>
            <w:noWrap w:val="0"/>
            <w:vAlign w:val="center"/>
          </w:tcPr>
          <w:p w14:paraId="57565F8E">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94～204</w:t>
            </w:r>
          </w:p>
        </w:tc>
        <w:tc>
          <w:tcPr>
            <w:tcW w:w="5070" w:type="dxa"/>
            <w:tcBorders>
              <w:tl2br w:val="nil"/>
              <w:tr2bl w:val="nil"/>
            </w:tcBorders>
            <w:noWrap w:val="0"/>
            <w:vAlign w:val="center"/>
          </w:tcPr>
          <w:p w14:paraId="4BCE50C0">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灰、紫灰色灰岩、生物灰岩夹灰绿、紫红、灰黑色泥岩。</w:t>
            </w:r>
          </w:p>
        </w:tc>
      </w:tr>
      <w:tr w14:paraId="30866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62" w:type="dxa"/>
            <w:vMerge w:val="continue"/>
            <w:tcBorders>
              <w:tl2br w:val="nil"/>
              <w:tr2bl w:val="nil"/>
            </w:tcBorders>
            <w:noWrap w:val="0"/>
            <w:vAlign w:val="center"/>
          </w:tcPr>
          <w:p w14:paraId="318E30F8">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62" w:type="dxa"/>
            <w:vMerge w:val="continue"/>
            <w:tcBorders>
              <w:tl2br w:val="nil"/>
              <w:tr2bl w:val="nil"/>
            </w:tcBorders>
            <w:noWrap w:val="0"/>
            <w:vAlign w:val="center"/>
          </w:tcPr>
          <w:p w14:paraId="4FDC091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continue"/>
            <w:tcBorders>
              <w:tl2br w:val="nil"/>
              <w:tr2bl w:val="nil"/>
            </w:tcBorders>
            <w:noWrap w:val="0"/>
            <w:vAlign w:val="center"/>
          </w:tcPr>
          <w:p w14:paraId="544D077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705" w:type="dxa"/>
            <w:tcBorders>
              <w:tl2br w:val="nil"/>
              <w:tr2bl w:val="nil"/>
            </w:tcBorders>
            <w:noWrap w:val="0"/>
            <w:vAlign w:val="center"/>
          </w:tcPr>
          <w:p w14:paraId="12E29E71">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1-2</w:t>
            </w:r>
            <w:r>
              <w:rPr>
                <w:rFonts w:hint="default" w:ascii="Arial" w:hAnsi="Arial" w:cs="Arial"/>
                <w:color w:val="auto"/>
                <w:kern w:val="2"/>
                <w:sz w:val="22"/>
                <w:szCs w:val="22"/>
              </w:rPr>
              <w:t>z</w:t>
            </w:r>
            <w:r>
              <w:rPr>
                <w:rFonts w:hint="default" w:ascii="Arial" w:hAnsi="Arial" w:cs="Arial"/>
                <w:color w:val="auto"/>
                <w:kern w:val="2"/>
                <w:sz w:val="22"/>
                <w:szCs w:val="22"/>
                <w:vertAlign w:val="superscript"/>
              </w:rPr>
              <w:t>2</w:t>
            </w:r>
          </w:p>
        </w:tc>
        <w:tc>
          <w:tcPr>
            <w:tcW w:w="1083" w:type="dxa"/>
            <w:tcBorders>
              <w:tl2br w:val="nil"/>
              <w:tr2bl w:val="nil"/>
            </w:tcBorders>
            <w:noWrap w:val="0"/>
            <w:vAlign w:val="center"/>
          </w:tcPr>
          <w:p w14:paraId="57F4473A">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32～92</w:t>
            </w:r>
          </w:p>
        </w:tc>
        <w:tc>
          <w:tcPr>
            <w:tcW w:w="5070" w:type="dxa"/>
            <w:tcBorders>
              <w:tl2br w:val="nil"/>
              <w:tr2bl w:val="nil"/>
            </w:tcBorders>
            <w:noWrap w:val="0"/>
            <w:vAlign w:val="center"/>
          </w:tcPr>
          <w:p w14:paraId="6DE01F2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页岩、砂质页岩、水云母页岩夹薄层状粉砂岩。</w:t>
            </w:r>
          </w:p>
        </w:tc>
      </w:tr>
      <w:tr w14:paraId="28599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2" w:type="dxa"/>
            <w:vMerge w:val="continue"/>
            <w:tcBorders>
              <w:tl2br w:val="nil"/>
              <w:tr2bl w:val="nil"/>
            </w:tcBorders>
            <w:noWrap w:val="0"/>
            <w:vAlign w:val="center"/>
          </w:tcPr>
          <w:p w14:paraId="3BA9D90F">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62" w:type="dxa"/>
            <w:vMerge w:val="continue"/>
            <w:tcBorders>
              <w:tl2br w:val="nil"/>
              <w:tr2bl w:val="nil"/>
            </w:tcBorders>
            <w:noWrap w:val="0"/>
            <w:vAlign w:val="center"/>
          </w:tcPr>
          <w:p w14:paraId="530BDF9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continue"/>
            <w:tcBorders>
              <w:tl2br w:val="nil"/>
              <w:tr2bl w:val="nil"/>
            </w:tcBorders>
            <w:noWrap w:val="0"/>
            <w:vAlign w:val="center"/>
          </w:tcPr>
          <w:p w14:paraId="56495A0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705" w:type="dxa"/>
            <w:tcBorders>
              <w:tl2br w:val="nil"/>
              <w:tr2bl w:val="nil"/>
            </w:tcBorders>
            <w:noWrap w:val="0"/>
            <w:vAlign w:val="center"/>
          </w:tcPr>
          <w:p w14:paraId="18139D1D">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1-2</w:t>
            </w:r>
            <w:r>
              <w:rPr>
                <w:rFonts w:hint="default" w:ascii="Arial" w:hAnsi="Arial" w:cs="Arial"/>
                <w:color w:val="auto"/>
                <w:kern w:val="2"/>
                <w:sz w:val="22"/>
                <w:szCs w:val="22"/>
              </w:rPr>
              <w:t>z</w:t>
            </w:r>
            <w:r>
              <w:rPr>
                <w:rFonts w:hint="default" w:ascii="Arial" w:hAnsi="Arial" w:cs="Arial"/>
                <w:color w:val="auto"/>
                <w:kern w:val="2"/>
                <w:sz w:val="22"/>
                <w:szCs w:val="22"/>
                <w:vertAlign w:val="superscript"/>
              </w:rPr>
              <w:t>1</w:t>
            </w:r>
          </w:p>
        </w:tc>
        <w:tc>
          <w:tcPr>
            <w:tcW w:w="1083" w:type="dxa"/>
            <w:tcBorders>
              <w:tl2br w:val="nil"/>
              <w:tr2bl w:val="nil"/>
            </w:tcBorders>
            <w:noWrap w:val="0"/>
            <w:vAlign w:val="center"/>
          </w:tcPr>
          <w:p w14:paraId="62592A8C">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28～41</w:t>
            </w:r>
          </w:p>
        </w:tc>
        <w:tc>
          <w:tcPr>
            <w:tcW w:w="5070" w:type="dxa"/>
            <w:tcBorders>
              <w:tl2br w:val="nil"/>
              <w:tr2bl w:val="nil"/>
            </w:tcBorders>
            <w:noWrap w:val="0"/>
            <w:vAlign w:val="center"/>
          </w:tcPr>
          <w:p w14:paraId="42A326F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黄绿、灰黑色泥页岩夹泥岩、粉砂岩、介壳灰岩。</w:t>
            </w:r>
          </w:p>
        </w:tc>
      </w:tr>
      <w:tr w14:paraId="46B9C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562" w:type="dxa"/>
            <w:vMerge w:val="continue"/>
            <w:tcBorders>
              <w:tl2br w:val="nil"/>
              <w:tr2bl w:val="nil"/>
            </w:tcBorders>
            <w:noWrap w:val="0"/>
            <w:vAlign w:val="center"/>
          </w:tcPr>
          <w:p w14:paraId="303E7460">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62" w:type="dxa"/>
            <w:tcBorders>
              <w:tl2br w:val="nil"/>
              <w:tr2bl w:val="nil"/>
            </w:tcBorders>
            <w:noWrap w:val="0"/>
            <w:vAlign w:val="center"/>
          </w:tcPr>
          <w:p w14:paraId="5B2A331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下统</w:t>
            </w:r>
          </w:p>
        </w:tc>
        <w:tc>
          <w:tcPr>
            <w:tcW w:w="1360" w:type="dxa"/>
            <w:tcBorders>
              <w:tl2br w:val="nil"/>
              <w:tr2bl w:val="nil"/>
            </w:tcBorders>
            <w:noWrap w:val="0"/>
            <w:vAlign w:val="center"/>
          </w:tcPr>
          <w:p w14:paraId="72608AB2">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珍珠冲组</w:t>
            </w:r>
          </w:p>
        </w:tc>
        <w:tc>
          <w:tcPr>
            <w:tcW w:w="705" w:type="dxa"/>
            <w:tcBorders>
              <w:tl2br w:val="nil"/>
              <w:tr2bl w:val="nil"/>
            </w:tcBorders>
            <w:noWrap w:val="0"/>
            <w:vAlign w:val="center"/>
          </w:tcPr>
          <w:p w14:paraId="7F56509A">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J</w:t>
            </w:r>
            <w:r>
              <w:rPr>
                <w:rFonts w:hint="default" w:ascii="Arial" w:hAnsi="Arial" w:cs="Arial"/>
                <w:color w:val="auto"/>
                <w:kern w:val="2"/>
                <w:sz w:val="22"/>
                <w:szCs w:val="22"/>
                <w:vertAlign w:val="subscript"/>
              </w:rPr>
              <w:t>1</w:t>
            </w:r>
            <w:r>
              <w:rPr>
                <w:rFonts w:hint="default" w:ascii="Arial" w:hAnsi="Arial" w:cs="Arial"/>
                <w:color w:val="auto"/>
                <w:kern w:val="2"/>
                <w:sz w:val="22"/>
                <w:szCs w:val="22"/>
              </w:rPr>
              <w:t>z</w:t>
            </w:r>
          </w:p>
        </w:tc>
        <w:tc>
          <w:tcPr>
            <w:tcW w:w="1083" w:type="dxa"/>
            <w:tcBorders>
              <w:tl2br w:val="nil"/>
              <w:tr2bl w:val="nil"/>
            </w:tcBorders>
            <w:noWrap w:val="0"/>
            <w:vAlign w:val="center"/>
          </w:tcPr>
          <w:p w14:paraId="04A6E471">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188～232</w:t>
            </w:r>
          </w:p>
        </w:tc>
        <w:tc>
          <w:tcPr>
            <w:tcW w:w="5070" w:type="dxa"/>
            <w:tcBorders>
              <w:tl2br w:val="nil"/>
              <w:tr2bl w:val="nil"/>
            </w:tcBorders>
            <w:noWrap w:val="0"/>
            <w:vAlign w:val="center"/>
          </w:tcPr>
          <w:p w14:paraId="4378672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上部页岩、泥岩、粉砂岩夹岩屑石英砂岩；下部页岩、碳质页岩夹砂岩，含砾石的砂岩。</w:t>
            </w:r>
          </w:p>
        </w:tc>
      </w:tr>
      <w:tr w14:paraId="46C20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562" w:type="dxa"/>
            <w:vMerge w:val="restart"/>
            <w:tcBorders>
              <w:tl2br w:val="nil"/>
              <w:tr2bl w:val="nil"/>
            </w:tcBorders>
            <w:noWrap w:val="0"/>
            <w:textDirection w:val="tbRlV"/>
            <w:vAlign w:val="center"/>
          </w:tcPr>
          <w:p w14:paraId="2326E92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三    　叠　　　系</w:t>
            </w:r>
          </w:p>
        </w:tc>
        <w:tc>
          <w:tcPr>
            <w:tcW w:w="562" w:type="dxa"/>
            <w:vMerge w:val="restart"/>
            <w:tcBorders>
              <w:tl2br w:val="nil"/>
              <w:tr2bl w:val="nil"/>
            </w:tcBorders>
            <w:noWrap w:val="0"/>
            <w:vAlign w:val="center"/>
          </w:tcPr>
          <w:p w14:paraId="3C82D8C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上统</w:t>
            </w:r>
          </w:p>
        </w:tc>
        <w:tc>
          <w:tcPr>
            <w:tcW w:w="1360" w:type="dxa"/>
            <w:vMerge w:val="restart"/>
            <w:tcBorders>
              <w:tl2br w:val="nil"/>
              <w:tr2bl w:val="nil"/>
            </w:tcBorders>
            <w:noWrap w:val="0"/>
            <w:vAlign w:val="center"/>
          </w:tcPr>
          <w:p w14:paraId="5F1C234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须家河组</w:t>
            </w:r>
          </w:p>
        </w:tc>
        <w:tc>
          <w:tcPr>
            <w:tcW w:w="705" w:type="dxa"/>
            <w:tcBorders>
              <w:tl2br w:val="nil"/>
              <w:tr2bl w:val="nil"/>
            </w:tcBorders>
            <w:noWrap w:val="0"/>
            <w:vAlign w:val="center"/>
          </w:tcPr>
          <w:p w14:paraId="1E989325">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3</w:t>
            </w:r>
            <w:r>
              <w:rPr>
                <w:rFonts w:hint="default" w:ascii="Arial" w:hAnsi="Arial" w:cs="Arial"/>
                <w:color w:val="auto"/>
                <w:kern w:val="2"/>
                <w:sz w:val="22"/>
                <w:szCs w:val="22"/>
              </w:rPr>
              <w:t>xj</w:t>
            </w:r>
            <w:r>
              <w:rPr>
                <w:rFonts w:hint="default" w:ascii="Arial" w:hAnsi="Arial" w:cs="Arial"/>
                <w:color w:val="auto"/>
                <w:kern w:val="2"/>
                <w:sz w:val="22"/>
                <w:szCs w:val="22"/>
                <w:vertAlign w:val="superscript"/>
              </w:rPr>
              <w:t>2</w:t>
            </w:r>
          </w:p>
        </w:tc>
        <w:tc>
          <w:tcPr>
            <w:tcW w:w="1083" w:type="dxa"/>
            <w:tcBorders>
              <w:tl2br w:val="nil"/>
              <w:tr2bl w:val="nil"/>
            </w:tcBorders>
            <w:noWrap w:val="0"/>
            <w:vAlign w:val="center"/>
          </w:tcPr>
          <w:p w14:paraId="70F62ABE">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134～337</w:t>
            </w:r>
          </w:p>
        </w:tc>
        <w:tc>
          <w:tcPr>
            <w:tcW w:w="5070" w:type="dxa"/>
            <w:tcBorders>
              <w:tl2br w:val="nil"/>
              <w:tr2bl w:val="nil"/>
            </w:tcBorders>
            <w:noWrap w:val="0"/>
            <w:vAlign w:val="center"/>
          </w:tcPr>
          <w:p w14:paraId="02AB254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灰白～灰色厚层～块状砂岩和灰、灰黑色泥页岩夹砂岩及煤层。</w:t>
            </w:r>
          </w:p>
        </w:tc>
      </w:tr>
      <w:tr w14:paraId="007ED9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62" w:type="dxa"/>
            <w:vMerge w:val="continue"/>
            <w:tcBorders>
              <w:tl2br w:val="nil"/>
              <w:tr2bl w:val="nil"/>
            </w:tcBorders>
            <w:noWrap w:val="0"/>
            <w:vAlign w:val="center"/>
          </w:tcPr>
          <w:p w14:paraId="01FD286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continue"/>
            <w:tcBorders>
              <w:tl2br w:val="nil"/>
              <w:tr2bl w:val="nil"/>
            </w:tcBorders>
            <w:noWrap w:val="0"/>
            <w:vAlign w:val="center"/>
          </w:tcPr>
          <w:p w14:paraId="68EA7E3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continue"/>
            <w:tcBorders>
              <w:tl2br w:val="nil"/>
              <w:tr2bl w:val="nil"/>
            </w:tcBorders>
            <w:noWrap w:val="0"/>
            <w:vAlign w:val="center"/>
          </w:tcPr>
          <w:p w14:paraId="0E1DC0C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705" w:type="dxa"/>
            <w:tcBorders>
              <w:tl2br w:val="nil"/>
              <w:tr2bl w:val="nil"/>
            </w:tcBorders>
            <w:noWrap w:val="0"/>
            <w:vAlign w:val="center"/>
          </w:tcPr>
          <w:p w14:paraId="51FC284A">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3</w:t>
            </w:r>
            <w:r>
              <w:rPr>
                <w:rFonts w:hint="default" w:ascii="Arial" w:hAnsi="Arial" w:cs="Arial"/>
                <w:color w:val="auto"/>
                <w:kern w:val="2"/>
                <w:sz w:val="22"/>
                <w:szCs w:val="22"/>
              </w:rPr>
              <w:t>xj</w:t>
            </w:r>
            <w:r>
              <w:rPr>
                <w:rFonts w:hint="default" w:ascii="Arial" w:hAnsi="Arial" w:cs="Arial"/>
                <w:color w:val="auto"/>
                <w:kern w:val="2"/>
                <w:sz w:val="22"/>
                <w:szCs w:val="22"/>
                <w:vertAlign w:val="superscript"/>
              </w:rPr>
              <w:t>1</w:t>
            </w:r>
          </w:p>
        </w:tc>
        <w:tc>
          <w:tcPr>
            <w:tcW w:w="1083" w:type="dxa"/>
            <w:tcBorders>
              <w:tl2br w:val="nil"/>
              <w:tr2bl w:val="nil"/>
            </w:tcBorders>
            <w:noWrap w:val="0"/>
            <w:vAlign w:val="center"/>
          </w:tcPr>
          <w:p w14:paraId="7D6875C9">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34～162</w:t>
            </w:r>
          </w:p>
        </w:tc>
        <w:tc>
          <w:tcPr>
            <w:tcW w:w="5070" w:type="dxa"/>
            <w:tcBorders>
              <w:tl2br w:val="nil"/>
              <w:tr2bl w:val="nil"/>
            </w:tcBorders>
            <w:noWrap w:val="0"/>
            <w:vAlign w:val="center"/>
          </w:tcPr>
          <w:p w14:paraId="3479A62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灰、灰黑色泥页岩及砂岩、煤层夹灰白～灰色砂岩。</w:t>
            </w:r>
          </w:p>
        </w:tc>
      </w:tr>
      <w:tr w14:paraId="4066F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562" w:type="dxa"/>
            <w:vMerge w:val="continue"/>
            <w:tcBorders>
              <w:tl2br w:val="nil"/>
              <w:tr2bl w:val="nil"/>
            </w:tcBorders>
            <w:noWrap w:val="0"/>
            <w:vAlign w:val="center"/>
          </w:tcPr>
          <w:p w14:paraId="7AD2A7E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restart"/>
            <w:tcBorders>
              <w:tl2br w:val="nil"/>
              <w:tr2bl w:val="nil"/>
            </w:tcBorders>
            <w:noWrap w:val="0"/>
            <w:vAlign w:val="center"/>
          </w:tcPr>
          <w:p w14:paraId="672B13C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中统</w:t>
            </w:r>
          </w:p>
        </w:tc>
        <w:tc>
          <w:tcPr>
            <w:tcW w:w="1360" w:type="dxa"/>
            <w:vMerge w:val="restart"/>
            <w:tcBorders>
              <w:tl2br w:val="nil"/>
              <w:tr2bl w:val="nil"/>
            </w:tcBorders>
            <w:noWrap w:val="0"/>
            <w:vAlign w:val="center"/>
          </w:tcPr>
          <w:p w14:paraId="1F0B46C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雷口坡组</w:t>
            </w:r>
          </w:p>
        </w:tc>
        <w:tc>
          <w:tcPr>
            <w:tcW w:w="705" w:type="dxa"/>
            <w:tcBorders>
              <w:tl2br w:val="nil"/>
              <w:tr2bl w:val="nil"/>
            </w:tcBorders>
            <w:noWrap w:val="0"/>
            <w:vAlign w:val="center"/>
          </w:tcPr>
          <w:p w14:paraId="6E089A7D">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2</w:t>
            </w:r>
            <w:r>
              <w:rPr>
                <w:rFonts w:hint="default" w:ascii="Arial" w:hAnsi="Arial" w:cs="Arial"/>
                <w:color w:val="auto"/>
                <w:kern w:val="2"/>
                <w:sz w:val="22"/>
                <w:szCs w:val="22"/>
              </w:rPr>
              <w:t>l</w:t>
            </w:r>
            <w:r>
              <w:rPr>
                <w:rFonts w:hint="default" w:ascii="Arial" w:hAnsi="Arial" w:cs="Arial"/>
                <w:color w:val="auto"/>
                <w:kern w:val="2"/>
                <w:sz w:val="22"/>
                <w:szCs w:val="22"/>
                <w:vertAlign w:val="superscript"/>
              </w:rPr>
              <w:t>2</w:t>
            </w:r>
          </w:p>
        </w:tc>
        <w:tc>
          <w:tcPr>
            <w:tcW w:w="1083" w:type="dxa"/>
            <w:tcBorders>
              <w:tl2br w:val="nil"/>
              <w:tr2bl w:val="nil"/>
            </w:tcBorders>
            <w:noWrap w:val="0"/>
            <w:vAlign w:val="center"/>
          </w:tcPr>
          <w:p w14:paraId="32B733E9">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60.0</w:t>
            </w:r>
          </w:p>
        </w:tc>
        <w:tc>
          <w:tcPr>
            <w:tcW w:w="5070" w:type="dxa"/>
            <w:tcBorders>
              <w:tl2br w:val="nil"/>
              <w:tr2bl w:val="nil"/>
            </w:tcBorders>
            <w:noWrap w:val="0"/>
            <w:vAlign w:val="center"/>
          </w:tcPr>
          <w:p w14:paraId="2BF2733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水云母页岩夹薄层含泥质灰岩。</w:t>
            </w:r>
          </w:p>
        </w:tc>
      </w:tr>
      <w:tr w14:paraId="5C89D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562" w:type="dxa"/>
            <w:vMerge w:val="continue"/>
            <w:tcBorders>
              <w:tl2br w:val="nil"/>
              <w:tr2bl w:val="nil"/>
            </w:tcBorders>
            <w:noWrap w:val="0"/>
            <w:vAlign w:val="center"/>
          </w:tcPr>
          <w:p w14:paraId="58EFF3F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continue"/>
            <w:tcBorders>
              <w:tl2br w:val="nil"/>
              <w:tr2bl w:val="nil"/>
            </w:tcBorders>
            <w:noWrap w:val="0"/>
            <w:vAlign w:val="center"/>
          </w:tcPr>
          <w:p w14:paraId="4DAFC91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continue"/>
            <w:tcBorders>
              <w:tl2br w:val="nil"/>
              <w:tr2bl w:val="nil"/>
            </w:tcBorders>
            <w:noWrap w:val="0"/>
            <w:vAlign w:val="center"/>
          </w:tcPr>
          <w:p w14:paraId="1E73BA6B">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705" w:type="dxa"/>
            <w:tcBorders>
              <w:tl2br w:val="nil"/>
              <w:tr2bl w:val="nil"/>
            </w:tcBorders>
            <w:noWrap w:val="0"/>
            <w:vAlign w:val="center"/>
          </w:tcPr>
          <w:p w14:paraId="05D9E318">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2</w:t>
            </w:r>
            <w:r>
              <w:rPr>
                <w:rFonts w:hint="default" w:ascii="Arial" w:hAnsi="Arial" w:cs="Arial"/>
                <w:color w:val="auto"/>
                <w:kern w:val="2"/>
                <w:sz w:val="22"/>
                <w:szCs w:val="22"/>
              </w:rPr>
              <w:t>l</w:t>
            </w:r>
            <w:r>
              <w:rPr>
                <w:rFonts w:hint="default" w:ascii="Arial" w:hAnsi="Arial" w:cs="Arial"/>
                <w:color w:val="auto"/>
                <w:kern w:val="2"/>
                <w:sz w:val="22"/>
                <w:szCs w:val="22"/>
                <w:vertAlign w:val="superscript"/>
              </w:rPr>
              <w:t>1</w:t>
            </w:r>
          </w:p>
        </w:tc>
        <w:tc>
          <w:tcPr>
            <w:tcW w:w="1083" w:type="dxa"/>
            <w:tcBorders>
              <w:tl2br w:val="nil"/>
              <w:tr2bl w:val="nil"/>
            </w:tcBorders>
            <w:noWrap w:val="0"/>
            <w:vAlign w:val="center"/>
          </w:tcPr>
          <w:p w14:paraId="4BAE6631">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115～185</w:t>
            </w:r>
          </w:p>
        </w:tc>
        <w:tc>
          <w:tcPr>
            <w:tcW w:w="5070" w:type="dxa"/>
            <w:tcBorders>
              <w:tl2br w:val="nil"/>
              <w:tr2bl w:val="nil"/>
            </w:tcBorders>
            <w:noWrap w:val="0"/>
            <w:vAlign w:val="center"/>
          </w:tcPr>
          <w:p w14:paraId="465130E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上部页岩、泥质灰岩，下部泥质灰岩、白云质灰岩含钙质页岩。</w:t>
            </w:r>
          </w:p>
        </w:tc>
      </w:tr>
      <w:tr w14:paraId="3FAE3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tcBorders>
              <w:tl2br w:val="nil"/>
              <w:tr2bl w:val="nil"/>
            </w:tcBorders>
            <w:noWrap w:val="0"/>
            <w:vAlign w:val="center"/>
          </w:tcPr>
          <w:p w14:paraId="5624EE8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562" w:type="dxa"/>
            <w:vMerge w:val="restart"/>
            <w:tcBorders>
              <w:tl2br w:val="nil"/>
              <w:tr2bl w:val="nil"/>
            </w:tcBorders>
            <w:noWrap w:val="0"/>
            <w:textDirection w:val="tbRlV"/>
            <w:vAlign w:val="center"/>
          </w:tcPr>
          <w:p w14:paraId="1C835F5B">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下统</w:t>
            </w:r>
          </w:p>
        </w:tc>
        <w:tc>
          <w:tcPr>
            <w:tcW w:w="1360" w:type="dxa"/>
            <w:vMerge w:val="restart"/>
            <w:tcBorders>
              <w:tl2br w:val="nil"/>
              <w:tr2bl w:val="nil"/>
            </w:tcBorders>
            <w:noWrap w:val="0"/>
            <w:vAlign w:val="center"/>
          </w:tcPr>
          <w:p w14:paraId="3D0D64C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嘉陵江组</w:t>
            </w:r>
          </w:p>
        </w:tc>
        <w:tc>
          <w:tcPr>
            <w:tcW w:w="705" w:type="dxa"/>
            <w:tcBorders>
              <w:tl2br w:val="nil"/>
              <w:tr2bl w:val="nil"/>
            </w:tcBorders>
            <w:noWrap w:val="0"/>
            <w:vAlign w:val="center"/>
          </w:tcPr>
          <w:p w14:paraId="49473430">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1</w:t>
            </w:r>
            <w:r>
              <w:rPr>
                <w:rFonts w:hint="default" w:ascii="Arial" w:hAnsi="Arial" w:cs="Arial"/>
                <w:color w:val="auto"/>
                <w:kern w:val="2"/>
                <w:sz w:val="22"/>
                <w:szCs w:val="22"/>
              </w:rPr>
              <w:t>j</w:t>
            </w:r>
            <w:r>
              <w:rPr>
                <w:rFonts w:hint="default" w:ascii="Arial" w:hAnsi="Arial" w:cs="Arial"/>
                <w:color w:val="auto"/>
                <w:kern w:val="2"/>
                <w:sz w:val="22"/>
                <w:szCs w:val="22"/>
                <w:vertAlign w:val="superscript"/>
              </w:rPr>
              <w:t>4</w:t>
            </w:r>
          </w:p>
        </w:tc>
        <w:tc>
          <w:tcPr>
            <w:tcW w:w="1083" w:type="dxa"/>
            <w:tcBorders>
              <w:tl2br w:val="nil"/>
              <w:tr2bl w:val="nil"/>
            </w:tcBorders>
            <w:noWrap w:val="0"/>
            <w:vAlign w:val="center"/>
          </w:tcPr>
          <w:p w14:paraId="78A8456F">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91～112</w:t>
            </w:r>
          </w:p>
        </w:tc>
        <w:tc>
          <w:tcPr>
            <w:tcW w:w="5070" w:type="dxa"/>
            <w:tcBorders>
              <w:tl2br w:val="nil"/>
              <w:tr2bl w:val="nil"/>
            </w:tcBorders>
            <w:noWrap w:val="0"/>
            <w:vAlign w:val="center"/>
          </w:tcPr>
          <w:p w14:paraId="379ABBE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灰色中厚层状白云岩、盐溶角砾岩、页岩。</w:t>
            </w:r>
          </w:p>
        </w:tc>
      </w:tr>
      <w:tr w14:paraId="15387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562" w:type="dxa"/>
            <w:vMerge w:val="continue"/>
            <w:tcBorders>
              <w:tl2br w:val="nil"/>
              <w:tr2bl w:val="nil"/>
            </w:tcBorders>
            <w:noWrap w:val="0"/>
            <w:vAlign w:val="center"/>
          </w:tcPr>
          <w:p w14:paraId="2FA012A4">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62" w:type="dxa"/>
            <w:vMerge w:val="continue"/>
            <w:tcBorders>
              <w:tl2br w:val="nil"/>
              <w:tr2bl w:val="nil"/>
            </w:tcBorders>
            <w:noWrap w:val="0"/>
            <w:vAlign w:val="center"/>
          </w:tcPr>
          <w:p w14:paraId="2D2D256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continue"/>
            <w:tcBorders>
              <w:tl2br w:val="nil"/>
              <w:tr2bl w:val="nil"/>
            </w:tcBorders>
            <w:noWrap w:val="0"/>
            <w:vAlign w:val="center"/>
          </w:tcPr>
          <w:p w14:paraId="7DC092CA">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705" w:type="dxa"/>
            <w:tcBorders>
              <w:tl2br w:val="nil"/>
              <w:tr2bl w:val="nil"/>
            </w:tcBorders>
            <w:noWrap w:val="0"/>
            <w:vAlign w:val="center"/>
          </w:tcPr>
          <w:p w14:paraId="7E4E5A1A">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1</w:t>
            </w:r>
            <w:r>
              <w:rPr>
                <w:rFonts w:hint="default" w:ascii="Arial" w:hAnsi="Arial" w:cs="Arial"/>
                <w:color w:val="auto"/>
                <w:kern w:val="2"/>
                <w:sz w:val="22"/>
                <w:szCs w:val="22"/>
              </w:rPr>
              <w:t>j</w:t>
            </w:r>
            <w:r>
              <w:rPr>
                <w:rFonts w:hint="default" w:ascii="Arial" w:hAnsi="Arial" w:cs="Arial"/>
                <w:color w:val="auto"/>
                <w:kern w:val="2"/>
                <w:sz w:val="22"/>
                <w:szCs w:val="22"/>
                <w:vertAlign w:val="superscript"/>
              </w:rPr>
              <w:t>3</w:t>
            </w:r>
          </w:p>
        </w:tc>
        <w:tc>
          <w:tcPr>
            <w:tcW w:w="1083" w:type="dxa"/>
            <w:tcBorders>
              <w:tl2br w:val="nil"/>
              <w:tr2bl w:val="nil"/>
            </w:tcBorders>
            <w:noWrap w:val="0"/>
            <w:vAlign w:val="center"/>
          </w:tcPr>
          <w:p w14:paraId="35EA27F1">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107～133</w:t>
            </w:r>
          </w:p>
        </w:tc>
        <w:tc>
          <w:tcPr>
            <w:tcW w:w="5070" w:type="dxa"/>
            <w:tcBorders>
              <w:tl2br w:val="nil"/>
              <w:tr2bl w:val="nil"/>
            </w:tcBorders>
            <w:noWrap w:val="0"/>
            <w:vAlign w:val="center"/>
          </w:tcPr>
          <w:p w14:paraId="295A97D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灰中厚层状白云岩、含白云质灰岩、含泥质灰岩。</w:t>
            </w:r>
          </w:p>
        </w:tc>
      </w:tr>
      <w:tr w14:paraId="2B3EFE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62" w:type="dxa"/>
            <w:vMerge w:val="continue"/>
            <w:tcBorders>
              <w:tl2br w:val="nil"/>
              <w:tr2bl w:val="nil"/>
            </w:tcBorders>
            <w:noWrap w:val="0"/>
            <w:vAlign w:val="center"/>
          </w:tcPr>
          <w:p w14:paraId="6F6C3D74">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62" w:type="dxa"/>
            <w:vMerge w:val="continue"/>
            <w:tcBorders>
              <w:tl2br w:val="nil"/>
              <w:tr2bl w:val="nil"/>
            </w:tcBorders>
            <w:noWrap w:val="0"/>
            <w:vAlign w:val="center"/>
          </w:tcPr>
          <w:p w14:paraId="555C25F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continue"/>
            <w:tcBorders>
              <w:tl2br w:val="nil"/>
              <w:tr2bl w:val="nil"/>
            </w:tcBorders>
            <w:noWrap w:val="0"/>
            <w:vAlign w:val="center"/>
          </w:tcPr>
          <w:p w14:paraId="300E695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705" w:type="dxa"/>
            <w:tcBorders>
              <w:tl2br w:val="nil"/>
              <w:tr2bl w:val="nil"/>
            </w:tcBorders>
            <w:noWrap w:val="0"/>
            <w:vAlign w:val="center"/>
          </w:tcPr>
          <w:p w14:paraId="280DD3D8">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1</w:t>
            </w:r>
            <w:r>
              <w:rPr>
                <w:rFonts w:hint="default" w:ascii="Arial" w:hAnsi="Arial" w:cs="Arial"/>
                <w:color w:val="auto"/>
                <w:kern w:val="2"/>
                <w:sz w:val="22"/>
                <w:szCs w:val="22"/>
              </w:rPr>
              <w:t>j</w:t>
            </w:r>
            <w:r>
              <w:rPr>
                <w:rFonts w:hint="default" w:ascii="Arial" w:hAnsi="Arial" w:cs="Arial"/>
                <w:color w:val="auto"/>
                <w:kern w:val="2"/>
                <w:sz w:val="22"/>
                <w:szCs w:val="22"/>
                <w:vertAlign w:val="superscript"/>
              </w:rPr>
              <w:t>2</w:t>
            </w:r>
          </w:p>
        </w:tc>
        <w:tc>
          <w:tcPr>
            <w:tcW w:w="1083" w:type="dxa"/>
            <w:tcBorders>
              <w:tl2br w:val="nil"/>
              <w:tr2bl w:val="nil"/>
            </w:tcBorders>
            <w:noWrap w:val="0"/>
            <w:vAlign w:val="center"/>
          </w:tcPr>
          <w:p w14:paraId="093AEE8D">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82～109</w:t>
            </w:r>
          </w:p>
        </w:tc>
        <w:tc>
          <w:tcPr>
            <w:tcW w:w="5070" w:type="dxa"/>
            <w:tcBorders>
              <w:tl2br w:val="nil"/>
              <w:tr2bl w:val="nil"/>
            </w:tcBorders>
            <w:noWrap w:val="0"/>
            <w:vAlign w:val="center"/>
          </w:tcPr>
          <w:p w14:paraId="558A967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灰中厚层状白云岩、白云质灰岩、盐溶角砾岩。</w:t>
            </w:r>
          </w:p>
        </w:tc>
      </w:tr>
      <w:tr w14:paraId="6C824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62" w:type="dxa"/>
            <w:vMerge w:val="continue"/>
            <w:tcBorders>
              <w:tl2br w:val="nil"/>
              <w:tr2bl w:val="nil"/>
            </w:tcBorders>
            <w:noWrap w:val="0"/>
            <w:vAlign w:val="center"/>
          </w:tcPr>
          <w:p w14:paraId="25FC508A">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62" w:type="dxa"/>
            <w:vMerge w:val="continue"/>
            <w:tcBorders>
              <w:tl2br w:val="nil"/>
              <w:tr2bl w:val="nil"/>
            </w:tcBorders>
            <w:noWrap w:val="0"/>
            <w:vAlign w:val="center"/>
          </w:tcPr>
          <w:p w14:paraId="56ACFAE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continue"/>
            <w:tcBorders>
              <w:tl2br w:val="nil"/>
              <w:tr2bl w:val="nil"/>
            </w:tcBorders>
            <w:noWrap w:val="0"/>
            <w:vAlign w:val="center"/>
          </w:tcPr>
          <w:p w14:paraId="5B45022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705" w:type="dxa"/>
            <w:tcBorders>
              <w:tl2br w:val="nil"/>
              <w:tr2bl w:val="nil"/>
            </w:tcBorders>
            <w:noWrap w:val="0"/>
            <w:vAlign w:val="center"/>
          </w:tcPr>
          <w:p w14:paraId="59697B9C">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1</w:t>
            </w:r>
            <w:r>
              <w:rPr>
                <w:rFonts w:hint="default" w:ascii="Arial" w:hAnsi="Arial" w:cs="Arial"/>
                <w:color w:val="auto"/>
                <w:kern w:val="2"/>
                <w:sz w:val="22"/>
                <w:szCs w:val="22"/>
              </w:rPr>
              <w:t>j</w:t>
            </w:r>
            <w:r>
              <w:rPr>
                <w:rFonts w:hint="default" w:ascii="Arial" w:hAnsi="Arial" w:cs="Arial"/>
                <w:color w:val="auto"/>
                <w:kern w:val="2"/>
                <w:sz w:val="22"/>
                <w:szCs w:val="22"/>
                <w:vertAlign w:val="superscript"/>
              </w:rPr>
              <w:t>1</w:t>
            </w:r>
          </w:p>
        </w:tc>
        <w:tc>
          <w:tcPr>
            <w:tcW w:w="1083" w:type="dxa"/>
            <w:tcBorders>
              <w:tl2br w:val="nil"/>
              <w:tr2bl w:val="nil"/>
            </w:tcBorders>
            <w:noWrap w:val="0"/>
            <w:vAlign w:val="center"/>
          </w:tcPr>
          <w:p w14:paraId="198775D8">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145～237</w:t>
            </w:r>
          </w:p>
        </w:tc>
        <w:tc>
          <w:tcPr>
            <w:tcW w:w="5070" w:type="dxa"/>
            <w:tcBorders>
              <w:tl2br w:val="nil"/>
              <w:tr2bl w:val="nil"/>
            </w:tcBorders>
            <w:noWrap w:val="0"/>
            <w:vAlign w:val="center"/>
          </w:tcPr>
          <w:p w14:paraId="2BCE5A3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灰色薄至中厚层状灰岩、含白云质灰岩、鲕状灰岩。</w:t>
            </w:r>
          </w:p>
        </w:tc>
      </w:tr>
      <w:tr w14:paraId="701DE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62" w:type="dxa"/>
            <w:vMerge w:val="continue"/>
            <w:tcBorders>
              <w:tl2br w:val="nil"/>
              <w:tr2bl w:val="nil"/>
            </w:tcBorders>
            <w:noWrap w:val="0"/>
            <w:vAlign w:val="center"/>
          </w:tcPr>
          <w:p w14:paraId="40829D02">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62" w:type="dxa"/>
            <w:vMerge w:val="continue"/>
            <w:tcBorders>
              <w:tl2br w:val="nil"/>
              <w:tr2bl w:val="nil"/>
            </w:tcBorders>
            <w:noWrap w:val="0"/>
            <w:vAlign w:val="center"/>
          </w:tcPr>
          <w:p w14:paraId="20BE818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p>
        </w:tc>
        <w:tc>
          <w:tcPr>
            <w:tcW w:w="1360" w:type="dxa"/>
            <w:vMerge w:val="restart"/>
            <w:tcBorders>
              <w:tl2br w:val="nil"/>
              <w:tr2bl w:val="nil"/>
            </w:tcBorders>
            <w:noWrap w:val="0"/>
            <w:vAlign w:val="center"/>
          </w:tcPr>
          <w:p w14:paraId="3B66792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飞仙关组</w:t>
            </w:r>
          </w:p>
        </w:tc>
        <w:tc>
          <w:tcPr>
            <w:tcW w:w="705" w:type="dxa"/>
            <w:tcBorders>
              <w:tl2br w:val="nil"/>
              <w:tr2bl w:val="nil"/>
            </w:tcBorders>
            <w:noWrap w:val="0"/>
            <w:vAlign w:val="center"/>
          </w:tcPr>
          <w:p w14:paraId="55AC1BA9">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1</w:t>
            </w:r>
            <w:r>
              <w:rPr>
                <w:rFonts w:hint="default" w:ascii="Arial" w:hAnsi="Arial" w:cs="Arial"/>
                <w:color w:val="auto"/>
                <w:kern w:val="2"/>
                <w:sz w:val="22"/>
                <w:szCs w:val="22"/>
              </w:rPr>
              <w:t>f</w:t>
            </w:r>
            <w:r>
              <w:rPr>
                <w:rFonts w:hint="default" w:ascii="Arial" w:hAnsi="Arial" w:cs="Arial"/>
                <w:color w:val="auto"/>
                <w:kern w:val="2"/>
                <w:sz w:val="22"/>
                <w:szCs w:val="22"/>
                <w:vertAlign w:val="superscript"/>
              </w:rPr>
              <w:t>4</w:t>
            </w:r>
          </w:p>
        </w:tc>
        <w:tc>
          <w:tcPr>
            <w:tcW w:w="1083" w:type="dxa"/>
            <w:tcBorders>
              <w:tl2br w:val="nil"/>
              <w:tr2bl w:val="nil"/>
            </w:tcBorders>
            <w:noWrap w:val="0"/>
            <w:vAlign w:val="center"/>
          </w:tcPr>
          <w:p w14:paraId="2430AEB3">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21～28</w:t>
            </w:r>
          </w:p>
        </w:tc>
        <w:tc>
          <w:tcPr>
            <w:tcW w:w="5070" w:type="dxa"/>
            <w:tcBorders>
              <w:tl2br w:val="nil"/>
              <w:tr2bl w:val="nil"/>
            </w:tcBorders>
            <w:noWrap w:val="0"/>
            <w:vAlign w:val="center"/>
          </w:tcPr>
          <w:p w14:paraId="47966B0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紫红色页岩、水云母页岩，薄层状泥质白云质灰岩。</w:t>
            </w:r>
          </w:p>
        </w:tc>
      </w:tr>
      <w:tr w14:paraId="5A9FF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62" w:type="dxa"/>
            <w:vMerge w:val="continue"/>
            <w:tcBorders>
              <w:tl2br w:val="nil"/>
              <w:tr2bl w:val="nil"/>
            </w:tcBorders>
            <w:noWrap w:val="0"/>
            <w:vAlign w:val="center"/>
          </w:tcPr>
          <w:p w14:paraId="7712890C">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62" w:type="dxa"/>
            <w:vMerge w:val="continue"/>
            <w:tcBorders>
              <w:tl2br w:val="nil"/>
              <w:tr2bl w:val="nil"/>
            </w:tcBorders>
            <w:noWrap w:val="0"/>
            <w:vAlign w:val="center"/>
          </w:tcPr>
          <w:p w14:paraId="17B9A057">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1360" w:type="dxa"/>
            <w:vMerge w:val="continue"/>
            <w:tcBorders>
              <w:tl2br w:val="nil"/>
              <w:tr2bl w:val="nil"/>
            </w:tcBorders>
            <w:noWrap w:val="0"/>
            <w:vAlign w:val="center"/>
          </w:tcPr>
          <w:p w14:paraId="3F32A8ED">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705" w:type="dxa"/>
            <w:tcBorders>
              <w:tl2br w:val="nil"/>
              <w:tr2bl w:val="nil"/>
            </w:tcBorders>
            <w:noWrap w:val="0"/>
            <w:vAlign w:val="center"/>
          </w:tcPr>
          <w:p w14:paraId="73F8ECB4">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1</w:t>
            </w:r>
            <w:r>
              <w:rPr>
                <w:rFonts w:hint="default" w:ascii="Arial" w:hAnsi="Arial" w:cs="Arial"/>
                <w:color w:val="auto"/>
                <w:kern w:val="2"/>
                <w:sz w:val="22"/>
                <w:szCs w:val="22"/>
              </w:rPr>
              <w:t>f</w:t>
            </w:r>
            <w:r>
              <w:rPr>
                <w:rFonts w:hint="default" w:ascii="Arial" w:hAnsi="Arial" w:cs="Arial"/>
                <w:color w:val="auto"/>
                <w:kern w:val="2"/>
                <w:sz w:val="22"/>
                <w:szCs w:val="22"/>
                <w:vertAlign w:val="superscript"/>
              </w:rPr>
              <w:t>3</w:t>
            </w:r>
          </w:p>
        </w:tc>
        <w:tc>
          <w:tcPr>
            <w:tcW w:w="1083" w:type="dxa"/>
            <w:tcBorders>
              <w:tl2br w:val="nil"/>
              <w:tr2bl w:val="nil"/>
            </w:tcBorders>
            <w:noWrap w:val="0"/>
            <w:vAlign w:val="center"/>
          </w:tcPr>
          <w:p w14:paraId="371EA98D">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157～209</w:t>
            </w:r>
          </w:p>
        </w:tc>
        <w:tc>
          <w:tcPr>
            <w:tcW w:w="5070" w:type="dxa"/>
            <w:tcBorders>
              <w:tl2br w:val="nil"/>
              <w:tr2bl w:val="nil"/>
            </w:tcBorders>
            <w:noWrap w:val="0"/>
            <w:vAlign w:val="center"/>
          </w:tcPr>
          <w:p w14:paraId="664A4B7C">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厚层状灰岩，夹鲕状灰岩及泥质灰岩。</w:t>
            </w:r>
          </w:p>
        </w:tc>
      </w:tr>
      <w:tr w14:paraId="2B6666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62" w:type="dxa"/>
            <w:vMerge w:val="continue"/>
            <w:tcBorders>
              <w:tl2br w:val="nil"/>
              <w:tr2bl w:val="nil"/>
            </w:tcBorders>
            <w:noWrap w:val="0"/>
            <w:vAlign w:val="center"/>
          </w:tcPr>
          <w:p w14:paraId="1C4B07CA">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62" w:type="dxa"/>
            <w:vMerge w:val="continue"/>
            <w:tcBorders>
              <w:tl2br w:val="nil"/>
              <w:tr2bl w:val="nil"/>
            </w:tcBorders>
            <w:noWrap w:val="0"/>
            <w:vAlign w:val="center"/>
          </w:tcPr>
          <w:p w14:paraId="6AA23BA1">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1360" w:type="dxa"/>
            <w:vMerge w:val="continue"/>
            <w:tcBorders>
              <w:tl2br w:val="nil"/>
              <w:tr2bl w:val="nil"/>
            </w:tcBorders>
            <w:noWrap w:val="0"/>
            <w:vAlign w:val="center"/>
          </w:tcPr>
          <w:p w14:paraId="0FD69FC7">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705" w:type="dxa"/>
            <w:tcBorders>
              <w:tl2br w:val="nil"/>
              <w:tr2bl w:val="nil"/>
            </w:tcBorders>
            <w:noWrap w:val="0"/>
            <w:vAlign w:val="center"/>
          </w:tcPr>
          <w:p w14:paraId="15A9E917">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1</w:t>
            </w:r>
            <w:r>
              <w:rPr>
                <w:rFonts w:hint="default" w:ascii="Arial" w:hAnsi="Arial" w:cs="Arial"/>
                <w:color w:val="auto"/>
                <w:kern w:val="2"/>
                <w:sz w:val="22"/>
                <w:szCs w:val="22"/>
              </w:rPr>
              <w:t>f</w:t>
            </w:r>
            <w:r>
              <w:rPr>
                <w:rFonts w:hint="default" w:ascii="Arial" w:hAnsi="Arial" w:cs="Arial"/>
                <w:color w:val="auto"/>
                <w:kern w:val="2"/>
                <w:sz w:val="22"/>
                <w:szCs w:val="22"/>
                <w:vertAlign w:val="superscript"/>
              </w:rPr>
              <w:t>2</w:t>
            </w:r>
          </w:p>
        </w:tc>
        <w:tc>
          <w:tcPr>
            <w:tcW w:w="1083" w:type="dxa"/>
            <w:tcBorders>
              <w:tl2br w:val="nil"/>
              <w:tr2bl w:val="nil"/>
            </w:tcBorders>
            <w:noWrap w:val="0"/>
            <w:vAlign w:val="center"/>
          </w:tcPr>
          <w:p w14:paraId="3F31C1DE">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126～215</w:t>
            </w:r>
          </w:p>
        </w:tc>
        <w:tc>
          <w:tcPr>
            <w:tcW w:w="5070" w:type="dxa"/>
            <w:tcBorders>
              <w:tl2br w:val="nil"/>
              <w:tr2bl w:val="nil"/>
            </w:tcBorders>
            <w:noWrap w:val="0"/>
            <w:vAlign w:val="center"/>
          </w:tcPr>
          <w:p w14:paraId="1F291787">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页岩、厚层灰岩，见缝合线构造。</w:t>
            </w:r>
          </w:p>
        </w:tc>
      </w:tr>
      <w:tr w14:paraId="2278AC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62" w:type="dxa"/>
            <w:vMerge w:val="continue"/>
            <w:tcBorders>
              <w:tl2br w:val="nil"/>
              <w:tr2bl w:val="nil"/>
            </w:tcBorders>
            <w:noWrap w:val="0"/>
            <w:vAlign w:val="center"/>
          </w:tcPr>
          <w:p w14:paraId="441CB76E">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562" w:type="dxa"/>
            <w:vMerge w:val="continue"/>
            <w:tcBorders>
              <w:tl2br w:val="nil"/>
              <w:tr2bl w:val="nil"/>
            </w:tcBorders>
            <w:noWrap w:val="0"/>
            <w:vAlign w:val="center"/>
          </w:tcPr>
          <w:p w14:paraId="641C3A32">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1360" w:type="dxa"/>
            <w:vMerge w:val="continue"/>
            <w:tcBorders>
              <w:tl2br w:val="nil"/>
              <w:tr2bl w:val="nil"/>
            </w:tcBorders>
            <w:noWrap w:val="0"/>
            <w:vAlign w:val="center"/>
          </w:tcPr>
          <w:p w14:paraId="6C81189A">
            <w:pPr>
              <w:pStyle w:val="210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color w:val="auto"/>
                <w:kern w:val="2"/>
                <w:sz w:val="22"/>
                <w:szCs w:val="22"/>
              </w:rPr>
            </w:pPr>
          </w:p>
        </w:tc>
        <w:tc>
          <w:tcPr>
            <w:tcW w:w="705" w:type="dxa"/>
            <w:tcBorders>
              <w:tl2br w:val="nil"/>
              <w:tr2bl w:val="nil"/>
            </w:tcBorders>
            <w:noWrap w:val="0"/>
            <w:vAlign w:val="center"/>
          </w:tcPr>
          <w:p w14:paraId="5BB0896E">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T</w:t>
            </w:r>
            <w:r>
              <w:rPr>
                <w:rFonts w:hint="default" w:ascii="Arial" w:hAnsi="Arial" w:cs="Arial"/>
                <w:color w:val="auto"/>
                <w:kern w:val="2"/>
                <w:sz w:val="22"/>
                <w:szCs w:val="22"/>
                <w:vertAlign w:val="subscript"/>
              </w:rPr>
              <w:t>1</w:t>
            </w:r>
            <w:r>
              <w:rPr>
                <w:rFonts w:hint="default" w:ascii="Arial" w:hAnsi="Arial" w:cs="Arial"/>
                <w:color w:val="auto"/>
                <w:kern w:val="2"/>
                <w:sz w:val="22"/>
                <w:szCs w:val="22"/>
              </w:rPr>
              <w:t>f</w:t>
            </w:r>
            <w:r>
              <w:rPr>
                <w:rFonts w:hint="default" w:ascii="Arial" w:hAnsi="Arial" w:cs="Arial"/>
                <w:color w:val="auto"/>
                <w:kern w:val="2"/>
                <w:sz w:val="22"/>
                <w:szCs w:val="22"/>
                <w:vertAlign w:val="superscript"/>
              </w:rPr>
              <w:t>1</w:t>
            </w:r>
          </w:p>
        </w:tc>
        <w:tc>
          <w:tcPr>
            <w:tcW w:w="1083" w:type="dxa"/>
            <w:tcBorders>
              <w:tl2br w:val="nil"/>
              <w:tr2bl w:val="nil"/>
            </w:tcBorders>
            <w:noWrap w:val="0"/>
            <w:vAlign w:val="center"/>
          </w:tcPr>
          <w:p w14:paraId="2183D4A2">
            <w:pPr>
              <w:pStyle w:val="2108"/>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Arial" w:hAnsi="Arial" w:cs="Arial"/>
                <w:color w:val="auto"/>
                <w:kern w:val="2"/>
                <w:sz w:val="22"/>
                <w:szCs w:val="22"/>
              </w:rPr>
            </w:pPr>
            <w:r>
              <w:rPr>
                <w:rFonts w:hint="default" w:ascii="Arial" w:hAnsi="Arial" w:cs="Arial"/>
                <w:color w:val="auto"/>
                <w:kern w:val="2"/>
                <w:sz w:val="22"/>
                <w:szCs w:val="22"/>
              </w:rPr>
              <w:t>37～50</w:t>
            </w:r>
          </w:p>
        </w:tc>
        <w:tc>
          <w:tcPr>
            <w:tcW w:w="5070" w:type="dxa"/>
            <w:tcBorders>
              <w:tl2br w:val="nil"/>
              <w:tr2bl w:val="nil"/>
            </w:tcBorders>
            <w:noWrap w:val="0"/>
            <w:vAlign w:val="center"/>
          </w:tcPr>
          <w:p w14:paraId="6A528F5F">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Arial" w:hAnsi="Arial" w:eastAsia="宋体" w:cs="Arial"/>
                <w:color w:val="auto"/>
                <w:kern w:val="0"/>
                <w:sz w:val="22"/>
                <w:szCs w:val="22"/>
              </w:rPr>
            </w:pPr>
            <w:r>
              <w:rPr>
                <w:rFonts w:hint="default" w:ascii="Arial" w:hAnsi="Arial" w:eastAsia="宋体" w:cs="Arial"/>
                <w:color w:val="auto"/>
                <w:kern w:val="0"/>
                <w:sz w:val="22"/>
                <w:szCs w:val="22"/>
              </w:rPr>
              <w:t>泥质灰岩、水云母页岩夹薄层灰岩。</w:t>
            </w:r>
          </w:p>
        </w:tc>
      </w:tr>
    </w:tbl>
    <w:p w14:paraId="634B79E7">
      <w:pPr>
        <w:pStyle w:val="100"/>
        <w:keepNext w:val="0"/>
        <w:keepLines w:val="0"/>
        <w:pageBreakBefore w:val="0"/>
        <w:widowControl w:val="0"/>
        <w:kinsoku/>
        <w:wordWrap/>
        <w:overflowPunct/>
        <w:topLinePunct w:val="0"/>
        <w:autoSpaceDE/>
        <w:autoSpaceDN/>
        <w:bidi w:val="0"/>
        <w:adjustRightInd/>
        <w:snapToGrid/>
        <w:spacing w:line="240" w:lineRule="exact"/>
        <w:ind w:firstLine="522" w:firstLineChars="200"/>
        <w:jc w:val="both"/>
        <w:textAlignment w:val="auto"/>
        <w:rPr>
          <w:rFonts w:hint="eastAsia" w:ascii="Arial" w:hAnsi="Arial" w:eastAsia="宋体" w:cs="Arial"/>
          <w:b/>
          <w:bCs w:val="0"/>
          <w:sz w:val="26"/>
          <w:szCs w:val="26"/>
          <w:lang w:val="en-US" w:eastAsia="zh-CN"/>
        </w:rPr>
      </w:pPr>
    </w:p>
    <w:p w14:paraId="20721B24">
      <w:pPr>
        <w:keepNext w:val="0"/>
        <w:keepLines w:val="0"/>
        <w:pageBreakBefore w:val="0"/>
        <w:widowControl w:val="0"/>
        <w:kinsoku/>
        <w:wordWrap/>
        <w:overflowPunct/>
        <w:topLinePunct w:val="0"/>
        <w:autoSpaceDE/>
        <w:autoSpaceDN/>
        <w:bidi w:val="0"/>
        <w:adjustRightInd/>
        <w:snapToGrid w:val="0"/>
        <w:spacing w:line="460" w:lineRule="exact"/>
        <w:ind w:firstLine="392" w:firstLineChars="150"/>
        <w:textAlignment w:val="auto"/>
        <w:rPr>
          <w:rFonts w:hint="default" w:ascii="Arial" w:hAnsi="Arial" w:eastAsia="宋体" w:cs="Arial"/>
          <w:b/>
          <w:bCs/>
          <w:color w:val="auto"/>
          <w:sz w:val="26"/>
          <w:szCs w:val="26"/>
          <w:lang w:val="en-US" w:eastAsia="zh-CN"/>
        </w:rPr>
      </w:pPr>
      <w:r>
        <w:rPr>
          <w:rFonts w:hint="eastAsia" w:ascii="Arial" w:hAnsi="Arial" w:cs="Arial"/>
          <w:b/>
          <w:bCs/>
          <w:color w:val="auto"/>
          <w:sz w:val="26"/>
          <w:szCs w:val="26"/>
          <w:lang w:eastAsia="zh-CN"/>
        </w:rPr>
        <w:t>（</w:t>
      </w:r>
      <w:r>
        <w:rPr>
          <w:rFonts w:hint="eastAsia" w:ascii="Arial" w:hAnsi="Arial" w:cs="Arial"/>
          <w:b/>
          <w:bCs/>
          <w:color w:val="auto"/>
          <w:sz w:val="26"/>
          <w:szCs w:val="26"/>
          <w:lang w:val="en-US" w:eastAsia="zh-CN"/>
        </w:rPr>
        <w:t>1）库区</w:t>
      </w:r>
    </w:p>
    <w:p w14:paraId="44525B82">
      <w:pPr>
        <w:keepNext w:val="0"/>
        <w:keepLines w:val="0"/>
        <w:pageBreakBefore w:val="0"/>
        <w:widowControl w:val="0"/>
        <w:kinsoku/>
        <w:wordWrap/>
        <w:overflowPunct/>
        <w:topLinePunct w:val="0"/>
        <w:autoSpaceDE/>
        <w:autoSpaceDN/>
        <w:bidi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库区出露侏罗系中统上沙溪庙组（J</w:t>
      </w:r>
      <w:r>
        <w:rPr>
          <w:rFonts w:hint="default" w:ascii="Arial" w:hAnsi="Arial" w:cs="Arial"/>
          <w:color w:val="auto"/>
          <w:sz w:val="26"/>
          <w:szCs w:val="26"/>
          <w:vertAlign w:val="subscript"/>
        </w:rPr>
        <w:t>2</w:t>
      </w:r>
      <w:r>
        <w:rPr>
          <w:rFonts w:hint="default" w:ascii="Arial" w:hAnsi="Arial" w:cs="Arial"/>
          <w:color w:val="auto"/>
          <w:sz w:val="26"/>
          <w:szCs w:val="26"/>
        </w:rPr>
        <w:t>s）及第四系冲洪积层（Q</w:t>
      </w:r>
      <w:r>
        <w:rPr>
          <w:rFonts w:hint="default" w:ascii="Arial" w:hAnsi="Arial" w:cs="Arial"/>
          <w:color w:val="auto"/>
          <w:sz w:val="26"/>
          <w:szCs w:val="26"/>
          <w:vertAlign w:val="subscript"/>
        </w:rPr>
        <w:t>4</w:t>
      </w:r>
      <w:r>
        <w:rPr>
          <w:rFonts w:hint="default" w:ascii="Arial" w:hAnsi="Arial" w:cs="Arial"/>
          <w:color w:val="auto"/>
          <w:sz w:val="26"/>
          <w:szCs w:val="26"/>
          <w:vertAlign w:val="superscript"/>
        </w:rPr>
        <w:t>alp</w:t>
      </w:r>
      <w:r>
        <w:rPr>
          <w:rFonts w:hint="default" w:ascii="Arial" w:hAnsi="Arial" w:cs="Arial"/>
          <w:color w:val="auto"/>
          <w:sz w:val="26"/>
          <w:szCs w:val="26"/>
        </w:rPr>
        <w:t>）、残坡积层（Q</w:t>
      </w:r>
      <w:r>
        <w:rPr>
          <w:rFonts w:hint="default" w:ascii="Arial" w:hAnsi="Arial" w:cs="Arial"/>
          <w:color w:val="auto"/>
          <w:sz w:val="26"/>
          <w:szCs w:val="26"/>
          <w:vertAlign w:val="subscript"/>
        </w:rPr>
        <w:t>4</w:t>
      </w:r>
      <w:r>
        <w:rPr>
          <w:rFonts w:hint="default" w:ascii="Arial" w:hAnsi="Arial" w:cs="Arial"/>
          <w:color w:val="auto"/>
          <w:sz w:val="26"/>
          <w:szCs w:val="26"/>
          <w:vertAlign w:val="superscript"/>
        </w:rPr>
        <w:t>eld</w:t>
      </w:r>
      <w:r>
        <w:rPr>
          <w:rFonts w:hint="default" w:ascii="Arial" w:hAnsi="Arial" w:cs="Arial"/>
          <w:color w:val="auto"/>
          <w:sz w:val="26"/>
          <w:szCs w:val="26"/>
        </w:rPr>
        <w:t>）等。各地层岩性如下：</w:t>
      </w:r>
    </w:p>
    <w:p w14:paraId="47186249">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侏罗系中统上沙溪庙组（J</w:t>
      </w:r>
      <w:r>
        <w:rPr>
          <w:rFonts w:hint="default" w:ascii="Arial" w:hAnsi="Arial" w:cs="Arial"/>
          <w:color w:val="auto"/>
          <w:sz w:val="26"/>
          <w:szCs w:val="26"/>
          <w:vertAlign w:val="subscript"/>
        </w:rPr>
        <w:t>2</w:t>
      </w:r>
      <w:r>
        <w:rPr>
          <w:rFonts w:hint="default" w:ascii="Arial" w:hAnsi="Arial" w:cs="Arial"/>
          <w:color w:val="auto"/>
          <w:sz w:val="26"/>
          <w:szCs w:val="26"/>
        </w:rPr>
        <w:t>s）：至下而上分为三段。其中库区主要分布第一段</w:t>
      </w:r>
      <w:r>
        <w:rPr>
          <w:rFonts w:hint="default" w:ascii="Arial" w:hAnsi="Arial" w:cs="Arial"/>
          <w:color w:val="auto"/>
          <w:sz w:val="26"/>
          <w:szCs w:val="26"/>
          <w:lang w:eastAsia="zh-CN"/>
        </w:rPr>
        <w:t>与第二段。库尾</w:t>
      </w:r>
      <w:r>
        <w:rPr>
          <w:rFonts w:hint="default" w:ascii="Arial" w:hAnsi="Arial" w:cs="Arial"/>
          <w:color w:val="auto"/>
          <w:sz w:val="26"/>
          <w:szCs w:val="26"/>
        </w:rPr>
        <w:t>为灰、灰绿色厚层水云母胶结的细～中粒岩屑长石砂岩，岩屑长石石英砂岩</w:t>
      </w:r>
      <w:r>
        <w:rPr>
          <w:rFonts w:hint="default" w:ascii="Arial" w:hAnsi="Arial" w:cs="Arial"/>
          <w:color w:val="auto"/>
          <w:sz w:val="26"/>
          <w:szCs w:val="26"/>
          <w:lang w:eastAsia="zh-CN"/>
        </w:rPr>
        <w:t>（</w:t>
      </w:r>
      <w:r>
        <w:rPr>
          <w:rFonts w:hint="default" w:ascii="Arial" w:hAnsi="Arial" w:cs="Arial"/>
          <w:color w:val="auto"/>
          <w:sz w:val="26"/>
          <w:szCs w:val="26"/>
          <w:lang w:val="en-US" w:eastAsia="zh-CN"/>
        </w:rPr>
        <w:t>俗称嘉祥寨砂岩</w:t>
      </w:r>
      <w:r>
        <w:rPr>
          <w:rFonts w:hint="default" w:ascii="Arial" w:hAnsi="Arial" w:cs="Arial"/>
          <w:color w:val="auto"/>
          <w:sz w:val="26"/>
          <w:szCs w:val="26"/>
          <w:lang w:eastAsia="zh-CN"/>
        </w:rPr>
        <w:t>）；库盆主要为</w:t>
      </w:r>
      <w:r>
        <w:rPr>
          <w:rFonts w:hint="default" w:ascii="Arial" w:hAnsi="Arial" w:cs="Arial"/>
          <w:color w:val="auto"/>
          <w:sz w:val="26"/>
          <w:szCs w:val="26"/>
        </w:rPr>
        <w:t>紫红色砂质泥岩、粉砂质泥岩</w:t>
      </w:r>
      <w:r>
        <w:rPr>
          <w:rFonts w:hint="default" w:ascii="Arial" w:hAnsi="Arial" w:cs="Arial"/>
          <w:color w:val="auto"/>
          <w:sz w:val="26"/>
          <w:szCs w:val="26"/>
          <w:lang w:eastAsia="zh-CN"/>
        </w:rPr>
        <w:t>、</w:t>
      </w:r>
      <w:r>
        <w:rPr>
          <w:rFonts w:hint="default" w:ascii="Arial" w:hAnsi="Arial" w:cs="Arial"/>
          <w:color w:val="auto"/>
          <w:sz w:val="26"/>
          <w:szCs w:val="26"/>
          <w:lang w:val="en-US" w:eastAsia="zh-CN"/>
        </w:rPr>
        <w:t>灰色砂岩</w:t>
      </w:r>
      <w:r>
        <w:rPr>
          <w:rFonts w:hint="default" w:ascii="Arial" w:hAnsi="Arial" w:cs="Arial"/>
          <w:color w:val="auto"/>
          <w:sz w:val="26"/>
          <w:szCs w:val="26"/>
        </w:rPr>
        <w:t>，具交错层理，泥岩中含硅质钙质结核，局部见白色纤维状石膏。出露厚度约2</w:t>
      </w:r>
      <w:r>
        <w:rPr>
          <w:rFonts w:hint="default" w:ascii="Arial" w:hAnsi="Arial" w:cs="Arial"/>
          <w:color w:val="auto"/>
          <w:sz w:val="26"/>
          <w:szCs w:val="26"/>
          <w:lang w:val="en-US" w:eastAsia="zh-CN"/>
        </w:rPr>
        <w:t>3</w:t>
      </w:r>
      <w:r>
        <w:rPr>
          <w:rFonts w:hint="default" w:ascii="Arial" w:hAnsi="Arial" w:cs="Arial"/>
          <w:color w:val="auto"/>
          <w:sz w:val="26"/>
          <w:szCs w:val="26"/>
        </w:rPr>
        <w:t>0m。</w:t>
      </w:r>
    </w:p>
    <w:p w14:paraId="4531A6B6">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第四系冲积洪层（Q</w:t>
      </w:r>
      <w:r>
        <w:rPr>
          <w:rFonts w:hint="default" w:ascii="Arial" w:hAnsi="Arial" w:cs="Arial"/>
          <w:color w:val="auto"/>
          <w:sz w:val="26"/>
          <w:szCs w:val="26"/>
          <w:vertAlign w:val="subscript"/>
        </w:rPr>
        <w:t>4</w:t>
      </w:r>
      <w:r>
        <w:rPr>
          <w:rFonts w:hint="default" w:ascii="Arial" w:hAnsi="Arial" w:cs="Arial"/>
          <w:color w:val="auto"/>
          <w:sz w:val="26"/>
          <w:szCs w:val="26"/>
          <w:vertAlign w:val="superscript"/>
        </w:rPr>
        <w:t>alp</w:t>
      </w:r>
      <w:r>
        <w:rPr>
          <w:rFonts w:hint="default" w:ascii="Arial" w:hAnsi="Arial" w:cs="Arial"/>
          <w:color w:val="auto"/>
          <w:sz w:val="26"/>
          <w:szCs w:val="26"/>
        </w:rPr>
        <w:t>）：褐黄色</w:t>
      </w:r>
      <w:r>
        <w:rPr>
          <w:rFonts w:hint="default" w:ascii="Arial" w:hAnsi="Arial" w:cs="Arial"/>
          <w:color w:val="auto"/>
          <w:sz w:val="26"/>
          <w:szCs w:val="26"/>
          <w:lang w:eastAsia="zh-CN"/>
        </w:rPr>
        <w:t>粉质黏土、粉土，</w:t>
      </w:r>
      <w:r>
        <w:rPr>
          <w:rFonts w:hint="default" w:ascii="Arial" w:hAnsi="Arial" w:cs="Arial"/>
          <w:color w:val="auto"/>
          <w:sz w:val="26"/>
          <w:szCs w:val="26"/>
        </w:rPr>
        <w:t>夹</w:t>
      </w:r>
      <w:r>
        <w:rPr>
          <w:rFonts w:hint="default" w:ascii="Arial" w:hAnsi="Arial" w:cs="Arial"/>
          <w:color w:val="auto"/>
          <w:sz w:val="26"/>
          <w:szCs w:val="26"/>
          <w:lang w:val="en-US" w:eastAsia="zh-CN"/>
        </w:rPr>
        <w:t>少量</w:t>
      </w:r>
      <w:r>
        <w:rPr>
          <w:rFonts w:hint="default" w:ascii="Arial" w:hAnsi="Arial" w:cs="Arial"/>
          <w:color w:val="auto"/>
          <w:sz w:val="26"/>
          <w:szCs w:val="26"/>
        </w:rPr>
        <w:t>卵砾石、砂，厚</w:t>
      </w:r>
      <w:r>
        <w:rPr>
          <w:rFonts w:hint="default" w:ascii="Arial" w:hAnsi="Arial" w:cs="Arial"/>
          <w:color w:val="auto"/>
          <w:sz w:val="26"/>
          <w:szCs w:val="26"/>
          <w:lang w:val="en-US" w:eastAsia="zh-CN"/>
        </w:rPr>
        <w:t>4.0</w:t>
      </w:r>
      <w:r>
        <w:rPr>
          <w:rFonts w:hint="default" w:ascii="Arial" w:hAnsi="Arial" w:cs="Arial"/>
          <w:color w:val="auto"/>
          <w:sz w:val="26"/>
          <w:szCs w:val="26"/>
        </w:rPr>
        <w:t>～</w:t>
      </w:r>
      <w:r>
        <w:rPr>
          <w:rFonts w:hint="default" w:ascii="Arial" w:hAnsi="Arial" w:cs="Arial"/>
          <w:color w:val="auto"/>
          <w:sz w:val="26"/>
          <w:szCs w:val="26"/>
          <w:lang w:val="en-US" w:eastAsia="zh-CN"/>
        </w:rPr>
        <w:t>7.8</w:t>
      </w:r>
      <w:r>
        <w:rPr>
          <w:rFonts w:hint="default" w:ascii="Arial" w:hAnsi="Arial" w:cs="Arial"/>
          <w:color w:val="auto"/>
          <w:sz w:val="26"/>
          <w:szCs w:val="26"/>
        </w:rPr>
        <w:t>m，主要分布于河床及</w:t>
      </w:r>
      <w:r>
        <w:rPr>
          <w:rFonts w:hint="default" w:ascii="Arial" w:hAnsi="Arial" w:cs="Arial"/>
          <w:color w:val="auto"/>
          <w:sz w:val="26"/>
          <w:szCs w:val="26"/>
          <w:lang w:eastAsia="zh-CN"/>
        </w:rPr>
        <w:t>河谷</w:t>
      </w:r>
      <w:r>
        <w:rPr>
          <w:rFonts w:hint="default" w:ascii="Arial" w:hAnsi="Arial" w:cs="Arial"/>
          <w:color w:val="auto"/>
          <w:sz w:val="26"/>
          <w:szCs w:val="26"/>
        </w:rPr>
        <w:t>阶地。</w:t>
      </w:r>
    </w:p>
    <w:p w14:paraId="10F3FE41">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第四系残坡积层（Q</w:t>
      </w:r>
      <w:r>
        <w:rPr>
          <w:rFonts w:hint="default" w:ascii="Arial" w:hAnsi="Arial" w:cs="Arial"/>
          <w:color w:val="auto"/>
          <w:sz w:val="26"/>
          <w:szCs w:val="26"/>
          <w:vertAlign w:val="subscript"/>
        </w:rPr>
        <w:t>4</w:t>
      </w:r>
      <w:r>
        <w:rPr>
          <w:rFonts w:hint="default" w:ascii="Arial" w:hAnsi="Arial" w:cs="Arial"/>
          <w:color w:val="auto"/>
          <w:sz w:val="26"/>
          <w:szCs w:val="26"/>
          <w:vertAlign w:val="superscript"/>
        </w:rPr>
        <w:t>eld</w:t>
      </w:r>
      <w:r>
        <w:rPr>
          <w:rFonts w:hint="default" w:ascii="Arial" w:hAnsi="Arial" w:cs="Arial"/>
          <w:color w:val="auto"/>
          <w:sz w:val="26"/>
          <w:szCs w:val="26"/>
        </w:rPr>
        <w:t>）：为黄色、褐红色粘性土，含砂岩碎石，稍湿，可塑，厚0.5～3.0m，零星分布于两岸斜坡上。</w:t>
      </w:r>
    </w:p>
    <w:p w14:paraId="6D4D5DAA">
      <w:pPr>
        <w:keepNext w:val="0"/>
        <w:keepLines w:val="0"/>
        <w:pageBreakBefore w:val="0"/>
        <w:widowControl w:val="0"/>
        <w:kinsoku/>
        <w:wordWrap/>
        <w:overflowPunct/>
        <w:topLinePunct w:val="0"/>
        <w:autoSpaceDE/>
        <w:autoSpaceDN/>
        <w:bidi w:val="0"/>
        <w:adjustRightInd/>
        <w:snapToGrid w:val="0"/>
        <w:spacing w:line="460" w:lineRule="exact"/>
        <w:ind w:firstLine="392" w:firstLineChars="150"/>
        <w:textAlignment w:val="auto"/>
        <w:rPr>
          <w:rFonts w:hint="default" w:ascii="Arial" w:hAnsi="Arial" w:eastAsia="宋体" w:cs="Arial"/>
          <w:b/>
          <w:bCs/>
          <w:color w:val="auto"/>
          <w:sz w:val="26"/>
          <w:szCs w:val="26"/>
          <w:lang w:val="en-US" w:eastAsia="zh-CN"/>
        </w:rPr>
      </w:pPr>
      <w:r>
        <w:rPr>
          <w:rFonts w:hint="eastAsia" w:ascii="Arial" w:hAnsi="Arial" w:cs="Arial"/>
          <w:b/>
          <w:bCs/>
          <w:color w:val="auto"/>
          <w:sz w:val="26"/>
          <w:szCs w:val="26"/>
          <w:lang w:eastAsia="zh-CN"/>
        </w:rPr>
        <w:t>（</w:t>
      </w:r>
      <w:r>
        <w:rPr>
          <w:rFonts w:hint="eastAsia" w:ascii="Arial" w:hAnsi="Arial" w:cs="Arial"/>
          <w:b/>
          <w:bCs/>
          <w:color w:val="auto"/>
          <w:sz w:val="26"/>
          <w:szCs w:val="26"/>
          <w:lang w:val="en-US" w:eastAsia="zh-CN"/>
        </w:rPr>
        <w:t>2）枢纽工程</w:t>
      </w:r>
    </w:p>
    <w:p w14:paraId="29ACB610">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Arial" w:hAnsi="Arial" w:cs="Arial"/>
          <w:bCs/>
          <w:iCs/>
          <w:color w:val="auto"/>
          <w:sz w:val="26"/>
          <w:szCs w:val="26"/>
        </w:rPr>
      </w:pPr>
      <w:r>
        <w:rPr>
          <w:rFonts w:hint="default" w:ascii="Arial" w:hAnsi="Arial" w:cs="Arial"/>
          <w:color w:val="auto"/>
          <w:sz w:val="26"/>
          <w:szCs w:val="26"/>
        </w:rPr>
        <w:t>坝址区地层较单一，主要出露侏罗系中统上沙溪庙组</w:t>
      </w:r>
      <w:r>
        <w:rPr>
          <w:rFonts w:hint="default" w:ascii="Arial" w:hAnsi="Arial" w:cs="Arial"/>
          <w:color w:val="auto"/>
          <w:sz w:val="26"/>
          <w:szCs w:val="26"/>
          <w:lang w:val="en-US" w:eastAsia="zh-CN"/>
        </w:rPr>
        <w:t>第二段</w:t>
      </w:r>
      <w:r>
        <w:rPr>
          <w:rFonts w:hint="default" w:ascii="Arial" w:hAnsi="Arial" w:cs="Arial"/>
          <w:color w:val="auto"/>
          <w:sz w:val="26"/>
          <w:szCs w:val="26"/>
        </w:rPr>
        <w:t>地层，本工程根据岩性将坝区地层由下到上共划分了</w:t>
      </w:r>
      <w:r>
        <w:rPr>
          <w:rFonts w:hint="default" w:ascii="Arial" w:hAnsi="Arial" w:cs="Arial"/>
          <w:color w:val="auto"/>
          <w:sz w:val="26"/>
          <w:szCs w:val="26"/>
          <w:lang w:val="en-US" w:eastAsia="zh-CN"/>
        </w:rPr>
        <w:t>12</w:t>
      </w:r>
      <w:r>
        <w:rPr>
          <w:rFonts w:hint="default" w:ascii="Arial" w:hAnsi="Arial" w:cs="Arial"/>
          <w:color w:val="auto"/>
          <w:sz w:val="26"/>
          <w:szCs w:val="26"/>
        </w:rPr>
        <w:t>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-1</w:t>
      </w:r>
      <w:r>
        <w:rPr>
          <w:rFonts w:hint="eastAsia" w:ascii="Arial" w:hAnsi="Arial" w:cs="Arial"/>
          <w:bCs/>
          <w:iCs/>
          <w:color w:val="auto"/>
          <w:sz w:val="26"/>
          <w:szCs w:val="26"/>
          <w:lang w:val="en-US" w:eastAsia="zh-CN"/>
        </w:rPr>
        <w:t>~</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w:t>
      </w:r>
      <w:r>
        <w:rPr>
          <w:rFonts w:hint="default" w:ascii="Arial" w:hAnsi="Arial" w:cs="Arial"/>
          <w:color w:val="auto"/>
          <w:kern w:val="0"/>
          <w:sz w:val="26"/>
          <w:szCs w:val="26"/>
          <w:vertAlign w:val="superscript"/>
          <w:lang w:val="en-US" w:eastAsia="zh-CN"/>
        </w:rPr>
        <w:t>12</w:t>
      </w:r>
      <w:r>
        <w:rPr>
          <w:rFonts w:hint="default" w:ascii="Arial" w:hAnsi="Arial" w:cs="Arial"/>
          <w:color w:val="auto"/>
          <w:kern w:val="0"/>
          <w:sz w:val="26"/>
          <w:szCs w:val="26"/>
        </w:rPr>
        <w:t>）</w:t>
      </w:r>
      <w:r>
        <w:rPr>
          <w:rFonts w:hint="default" w:ascii="Arial" w:hAnsi="Arial" w:cs="Arial"/>
          <w:color w:val="auto"/>
          <w:sz w:val="26"/>
          <w:szCs w:val="26"/>
        </w:rPr>
        <w:t>。此外，坝区在河床，及两岸斜坡地带分布有第四系冲洪积</w:t>
      </w:r>
      <w:r>
        <w:rPr>
          <w:rFonts w:hint="eastAsia" w:ascii="Arial" w:hAnsi="Arial" w:cs="Arial"/>
          <w:color w:val="auto"/>
          <w:sz w:val="26"/>
          <w:szCs w:val="26"/>
          <w:lang w:eastAsia="zh-CN"/>
        </w:rPr>
        <w:t>（</w:t>
      </w:r>
      <w:r>
        <w:rPr>
          <w:rFonts w:hint="default" w:ascii="Arial" w:hAnsi="Arial" w:cs="Arial"/>
          <w:color w:val="auto"/>
          <w:sz w:val="26"/>
          <w:szCs w:val="26"/>
        </w:rPr>
        <w:t>Q</w:t>
      </w:r>
      <w:r>
        <w:rPr>
          <w:rFonts w:hint="default" w:ascii="Arial" w:hAnsi="Arial" w:cs="Arial"/>
          <w:color w:val="auto"/>
          <w:sz w:val="26"/>
          <w:szCs w:val="26"/>
          <w:vertAlign w:val="subscript"/>
        </w:rPr>
        <w:t>4</w:t>
      </w:r>
      <w:r>
        <w:rPr>
          <w:rFonts w:hint="default" w:ascii="Arial" w:hAnsi="Arial" w:cs="Arial"/>
          <w:color w:val="auto"/>
          <w:sz w:val="26"/>
          <w:szCs w:val="26"/>
          <w:vertAlign w:val="superscript"/>
        </w:rPr>
        <w:t>alp</w:t>
      </w:r>
      <w:r>
        <w:rPr>
          <w:rFonts w:hint="eastAsia" w:ascii="Arial" w:hAnsi="Arial" w:cs="Arial"/>
          <w:color w:val="auto"/>
          <w:sz w:val="26"/>
          <w:szCs w:val="26"/>
          <w:lang w:eastAsia="zh-CN"/>
        </w:rPr>
        <w:t>）</w:t>
      </w:r>
      <w:r>
        <w:rPr>
          <w:rFonts w:hint="default" w:ascii="Arial" w:hAnsi="Arial" w:cs="Arial"/>
          <w:color w:val="auto"/>
          <w:sz w:val="26"/>
          <w:szCs w:val="26"/>
        </w:rPr>
        <w:t>、残坡积</w:t>
      </w:r>
      <w:r>
        <w:rPr>
          <w:rFonts w:hint="eastAsia" w:ascii="Arial" w:hAnsi="Arial" w:cs="Arial"/>
          <w:color w:val="auto"/>
          <w:sz w:val="26"/>
          <w:szCs w:val="26"/>
          <w:lang w:eastAsia="zh-CN"/>
        </w:rPr>
        <w:t>（</w:t>
      </w:r>
      <w:r>
        <w:rPr>
          <w:rFonts w:hint="default" w:ascii="Arial" w:hAnsi="Arial" w:cs="Arial"/>
          <w:color w:val="auto"/>
          <w:sz w:val="26"/>
          <w:szCs w:val="26"/>
        </w:rPr>
        <w:t>Q</w:t>
      </w:r>
      <w:r>
        <w:rPr>
          <w:rFonts w:hint="default" w:ascii="Arial" w:hAnsi="Arial" w:cs="Arial"/>
          <w:color w:val="auto"/>
          <w:sz w:val="26"/>
          <w:szCs w:val="26"/>
          <w:vertAlign w:val="subscript"/>
        </w:rPr>
        <w:t>4</w:t>
      </w:r>
      <w:r>
        <w:rPr>
          <w:rFonts w:hint="default" w:ascii="Arial" w:hAnsi="Arial" w:cs="Arial"/>
          <w:color w:val="auto"/>
          <w:sz w:val="26"/>
          <w:szCs w:val="26"/>
          <w:vertAlign w:val="superscript"/>
        </w:rPr>
        <w:t>eld</w:t>
      </w:r>
      <w:r>
        <w:rPr>
          <w:rFonts w:hint="eastAsia" w:ascii="Arial" w:hAnsi="Arial" w:cs="Arial"/>
          <w:color w:val="auto"/>
          <w:sz w:val="26"/>
          <w:szCs w:val="26"/>
          <w:lang w:eastAsia="zh-CN"/>
        </w:rPr>
        <w:t>）</w:t>
      </w:r>
      <w:r>
        <w:rPr>
          <w:rFonts w:hint="default" w:ascii="Arial" w:hAnsi="Arial" w:cs="Arial"/>
          <w:color w:val="auto"/>
          <w:sz w:val="26"/>
          <w:szCs w:val="26"/>
        </w:rPr>
        <w:t>堆积物。</w:t>
      </w:r>
      <w:r>
        <w:rPr>
          <w:rFonts w:hint="default" w:ascii="Arial" w:hAnsi="Arial" w:cs="Arial"/>
          <w:bCs/>
          <w:iCs/>
          <w:color w:val="auto"/>
          <w:sz w:val="26"/>
          <w:szCs w:val="26"/>
        </w:rPr>
        <w:t>现由老至新分述如下：</w:t>
      </w:r>
    </w:p>
    <w:p w14:paraId="7C035BEB">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default" w:ascii="Arial" w:hAnsi="Arial" w:cs="Arial"/>
          <w:b/>
          <w:bCs/>
          <w:color w:val="auto"/>
          <w:sz w:val="26"/>
          <w:szCs w:val="26"/>
        </w:rPr>
      </w:pPr>
      <w:r>
        <w:rPr>
          <w:rFonts w:hint="default" w:ascii="Arial" w:hAnsi="Arial" w:cs="Arial"/>
          <w:b/>
          <w:bCs/>
          <w:color w:val="auto"/>
          <w:sz w:val="26"/>
          <w:szCs w:val="26"/>
        </w:rPr>
        <w:t>侏罗系中统上沙溪庙组</w:t>
      </w:r>
      <w:r>
        <w:rPr>
          <w:rFonts w:hint="default" w:ascii="Arial" w:hAnsi="Arial" w:cs="Arial"/>
          <w:b/>
          <w:bCs/>
          <w:color w:val="auto"/>
          <w:kern w:val="0"/>
          <w:sz w:val="26"/>
          <w:szCs w:val="26"/>
        </w:rPr>
        <w:t>（J</w:t>
      </w:r>
      <w:r>
        <w:rPr>
          <w:rFonts w:hint="default" w:ascii="Arial" w:hAnsi="Arial" w:cs="Arial"/>
          <w:b/>
          <w:bCs/>
          <w:color w:val="auto"/>
          <w:kern w:val="0"/>
          <w:sz w:val="26"/>
          <w:szCs w:val="26"/>
          <w:vertAlign w:val="subscript"/>
        </w:rPr>
        <w:t>2</w:t>
      </w:r>
      <w:r>
        <w:rPr>
          <w:rFonts w:hint="default" w:ascii="Arial" w:hAnsi="Arial" w:cs="Arial"/>
          <w:b/>
          <w:bCs/>
          <w:color w:val="auto"/>
          <w:kern w:val="0"/>
          <w:sz w:val="26"/>
          <w:szCs w:val="26"/>
        </w:rPr>
        <w:t>s）</w:t>
      </w:r>
    </w:p>
    <w:p w14:paraId="1CA6565D">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rPr>
        <w:t>一小层（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-1</w:t>
      </w:r>
      <w:r>
        <w:rPr>
          <w:rFonts w:hint="default" w:ascii="Arial" w:hAnsi="Arial" w:cs="Arial"/>
          <w:color w:val="auto"/>
          <w:sz w:val="26"/>
          <w:szCs w:val="26"/>
        </w:rPr>
        <w:t>）：为灰色、灰绿色薄</w:t>
      </w:r>
      <w:r>
        <w:rPr>
          <w:rFonts w:hint="default" w:ascii="Arial" w:hAnsi="Arial" w:cs="Arial"/>
          <w:bCs/>
          <w:iCs/>
          <w:color w:val="auto"/>
          <w:sz w:val="26"/>
          <w:szCs w:val="26"/>
        </w:rPr>
        <w:t>～</w:t>
      </w:r>
      <w:r>
        <w:rPr>
          <w:rFonts w:hint="default" w:ascii="Arial" w:hAnsi="Arial" w:cs="Arial"/>
          <w:color w:val="auto"/>
          <w:sz w:val="26"/>
          <w:szCs w:val="26"/>
        </w:rPr>
        <w:t>中厚层状细</w:t>
      </w:r>
      <w:r>
        <w:rPr>
          <w:rFonts w:hint="default" w:ascii="Arial" w:hAnsi="Arial" w:cs="Arial"/>
          <w:bCs/>
          <w:iCs/>
          <w:color w:val="auto"/>
          <w:sz w:val="26"/>
          <w:szCs w:val="26"/>
        </w:rPr>
        <w:t>～</w:t>
      </w:r>
      <w:r>
        <w:rPr>
          <w:rFonts w:hint="default" w:ascii="Arial" w:hAnsi="Arial" w:cs="Arial"/>
          <w:color w:val="auto"/>
          <w:sz w:val="26"/>
          <w:szCs w:val="26"/>
        </w:rPr>
        <w:t>中粒岩屑长石砂岩，矿物成分主要为长石、石英。岩体呈细粒</w:t>
      </w:r>
      <w:r>
        <w:rPr>
          <w:rFonts w:hint="default" w:ascii="Arial" w:hAnsi="Arial" w:cs="Arial"/>
          <w:bCs/>
          <w:iCs/>
          <w:color w:val="auto"/>
          <w:sz w:val="26"/>
          <w:szCs w:val="26"/>
        </w:rPr>
        <w:t>～</w:t>
      </w:r>
      <w:r>
        <w:rPr>
          <w:rFonts w:hint="default" w:ascii="Arial" w:hAnsi="Arial" w:cs="Arial"/>
          <w:color w:val="auto"/>
          <w:sz w:val="26"/>
          <w:szCs w:val="26"/>
        </w:rPr>
        <w:t>中粒砂状结构，块状构造，泥质胶结为主。</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分布于</w:t>
      </w:r>
      <w:r>
        <w:rPr>
          <w:rFonts w:hint="default" w:ascii="Arial" w:hAnsi="Arial" w:cs="Arial"/>
          <w:color w:val="auto"/>
          <w:sz w:val="26"/>
          <w:szCs w:val="26"/>
          <w:lang w:val="en-US" w:eastAsia="zh-CN"/>
        </w:rPr>
        <w:t>库内上游</w:t>
      </w:r>
      <w:r>
        <w:rPr>
          <w:rFonts w:hint="default" w:ascii="Arial" w:hAnsi="Arial" w:cs="Arial"/>
          <w:color w:val="auto"/>
          <w:sz w:val="26"/>
          <w:szCs w:val="26"/>
        </w:rPr>
        <w:t>，厚度约</w:t>
      </w:r>
      <w:r>
        <w:rPr>
          <w:rFonts w:hint="default" w:ascii="Arial" w:hAnsi="Arial" w:cs="Arial"/>
          <w:color w:val="auto"/>
          <w:sz w:val="26"/>
          <w:szCs w:val="26"/>
          <w:lang w:val="en-US" w:eastAsia="zh-CN"/>
        </w:rPr>
        <w:t>21</w:t>
      </w:r>
      <w:r>
        <w:rPr>
          <w:rFonts w:hint="eastAsia" w:ascii="Arial" w:hAnsi="Arial" w:cs="Arial"/>
          <w:color w:val="auto"/>
          <w:sz w:val="26"/>
          <w:szCs w:val="26"/>
          <w:lang w:val="en-US" w:eastAsia="zh-CN"/>
        </w:rPr>
        <w:t>~</w:t>
      </w:r>
      <w:r>
        <w:rPr>
          <w:rFonts w:hint="default" w:ascii="Arial" w:hAnsi="Arial" w:cs="Arial"/>
          <w:color w:val="auto"/>
          <w:sz w:val="26"/>
          <w:szCs w:val="26"/>
          <w:lang w:val="en-US" w:eastAsia="zh-CN"/>
        </w:rPr>
        <w:t>2</w:t>
      </w:r>
      <w:r>
        <w:rPr>
          <w:rFonts w:hint="default" w:ascii="Arial" w:hAnsi="Arial" w:cs="Arial"/>
          <w:color w:val="auto"/>
          <w:sz w:val="26"/>
          <w:szCs w:val="26"/>
        </w:rPr>
        <w:t>5m。</w:t>
      </w:r>
    </w:p>
    <w:p w14:paraId="282DB5D9">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rPr>
        <w:t>二小层（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-2</w:t>
      </w:r>
      <w:r>
        <w:rPr>
          <w:rFonts w:hint="default" w:ascii="Arial" w:hAnsi="Arial" w:cs="Arial"/>
          <w:color w:val="auto"/>
          <w:sz w:val="26"/>
          <w:szCs w:val="26"/>
        </w:rPr>
        <w:t>）：为紫红色砂质泥岩，泥质结构，块状构造，局部含砂岩条带或结核。矿物成分以粘土矿物为主。</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出露于坝址上游，厚度约16</w:t>
      </w:r>
      <w:r>
        <w:rPr>
          <w:rFonts w:hint="eastAsia" w:ascii="Arial" w:hAnsi="Arial" w:cs="Arial"/>
          <w:color w:val="auto"/>
          <w:sz w:val="26"/>
          <w:szCs w:val="26"/>
          <w:lang w:val="en-US" w:eastAsia="zh-CN"/>
        </w:rPr>
        <w:t>~</w:t>
      </w:r>
      <w:r>
        <w:rPr>
          <w:rFonts w:hint="default" w:ascii="Arial" w:hAnsi="Arial" w:cs="Arial"/>
          <w:color w:val="auto"/>
          <w:sz w:val="26"/>
          <w:szCs w:val="26"/>
        </w:rPr>
        <w:t>20m。</w:t>
      </w:r>
    </w:p>
    <w:p w14:paraId="703385F4">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rPr>
        <w:t>三小层（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-3</w:t>
      </w:r>
      <w:r>
        <w:rPr>
          <w:rFonts w:hint="default" w:ascii="Arial" w:hAnsi="Arial" w:cs="Arial"/>
          <w:color w:val="auto"/>
          <w:sz w:val="26"/>
          <w:szCs w:val="26"/>
        </w:rPr>
        <w:t>）：为灰色薄</w:t>
      </w:r>
      <w:r>
        <w:rPr>
          <w:rFonts w:hint="default" w:ascii="Arial" w:hAnsi="Arial" w:cs="Arial"/>
          <w:bCs/>
          <w:iCs/>
          <w:color w:val="auto"/>
          <w:sz w:val="26"/>
          <w:szCs w:val="26"/>
        </w:rPr>
        <w:t>～</w:t>
      </w:r>
      <w:r>
        <w:rPr>
          <w:rFonts w:hint="default" w:ascii="Arial" w:hAnsi="Arial" w:cs="Arial"/>
          <w:color w:val="auto"/>
          <w:sz w:val="26"/>
          <w:szCs w:val="26"/>
        </w:rPr>
        <w:t>中厚层状细</w:t>
      </w:r>
      <w:r>
        <w:rPr>
          <w:rFonts w:hint="default" w:ascii="Arial" w:hAnsi="Arial" w:cs="Arial"/>
          <w:bCs/>
          <w:iCs/>
          <w:color w:val="auto"/>
          <w:sz w:val="26"/>
          <w:szCs w:val="26"/>
        </w:rPr>
        <w:t>～</w:t>
      </w:r>
      <w:r>
        <w:rPr>
          <w:rFonts w:hint="default" w:ascii="Arial" w:hAnsi="Arial" w:cs="Arial"/>
          <w:color w:val="auto"/>
          <w:sz w:val="26"/>
          <w:szCs w:val="26"/>
        </w:rPr>
        <w:t>中粒岩屑长石砂岩，</w:t>
      </w:r>
      <w:r>
        <w:rPr>
          <w:rFonts w:hint="default" w:ascii="Arial" w:hAnsi="Arial" w:cs="Arial"/>
          <w:color w:val="auto"/>
          <w:kern w:val="0"/>
          <w:sz w:val="26"/>
          <w:szCs w:val="26"/>
          <w:lang w:val="zh-CN"/>
        </w:rPr>
        <w:t>局部</w:t>
      </w:r>
      <w:r>
        <w:rPr>
          <w:rFonts w:hint="default" w:ascii="Arial" w:hAnsi="Arial" w:cs="Arial"/>
          <w:color w:val="auto"/>
          <w:sz w:val="26"/>
          <w:szCs w:val="26"/>
        </w:rPr>
        <w:t>含泥岩透镜体，矿物成分主要为长石、石英。岩体呈细粒</w:t>
      </w:r>
      <w:r>
        <w:rPr>
          <w:rFonts w:hint="default" w:ascii="Arial" w:hAnsi="Arial" w:cs="Arial"/>
          <w:bCs/>
          <w:iCs/>
          <w:color w:val="auto"/>
          <w:sz w:val="26"/>
          <w:szCs w:val="26"/>
        </w:rPr>
        <w:t>～</w:t>
      </w:r>
      <w:r>
        <w:rPr>
          <w:rFonts w:hint="default" w:ascii="Arial" w:hAnsi="Arial" w:cs="Arial"/>
          <w:color w:val="auto"/>
          <w:sz w:val="26"/>
          <w:szCs w:val="26"/>
        </w:rPr>
        <w:t>中粒砂状结构，块状构造，泥质胶结为主。</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w:t>
      </w:r>
      <w:r>
        <w:rPr>
          <w:rFonts w:hint="default" w:ascii="Arial" w:hAnsi="Arial" w:cs="Arial"/>
          <w:color w:val="auto"/>
          <w:sz w:val="26"/>
          <w:szCs w:val="26"/>
          <w:lang w:val="en-US" w:eastAsia="zh-CN"/>
        </w:rPr>
        <w:t>库内</w:t>
      </w:r>
      <w:r>
        <w:rPr>
          <w:rFonts w:hint="default" w:ascii="Arial" w:hAnsi="Arial" w:cs="Arial"/>
          <w:color w:val="auto"/>
          <w:sz w:val="26"/>
          <w:szCs w:val="26"/>
        </w:rPr>
        <w:t>，厚度约1</w:t>
      </w:r>
      <w:r>
        <w:rPr>
          <w:rFonts w:hint="default" w:ascii="Arial" w:hAnsi="Arial" w:cs="Arial"/>
          <w:color w:val="auto"/>
          <w:sz w:val="26"/>
          <w:szCs w:val="26"/>
          <w:lang w:val="en-US" w:eastAsia="zh-CN"/>
        </w:rPr>
        <w:t>1</w:t>
      </w:r>
      <w:r>
        <w:rPr>
          <w:rFonts w:hint="eastAsia" w:ascii="Arial" w:hAnsi="Arial" w:cs="Arial"/>
          <w:color w:val="auto"/>
          <w:sz w:val="26"/>
          <w:szCs w:val="26"/>
          <w:lang w:val="en-US" w:eastAsia="zh-CN"/>
        </w:rPr>
        <w:t>~</w:t>
      </w:r>
      <w:r>
        <w:rPr>
          <w:rFonts w:hint="default" w:ascii="Arial" w:hAnsi="Arial" w:cs="Arial"/>
          <w:color w:val="auto"/>
          <w:sz w:val="26"/>
          <w:szCs w:val="26"/>
        </w:rPr>
        <w:t>1</w:t>
      </w:r>
      <w:r>
        <w:rPr>
          <w:rFonts w:hint="default" w:ascii="Arial" w:hAnsi="Arial" w:cs="Arial"/>
          <w:color w:val="auto"/>
          <w:sz w:val="26"/>
          <w:szCs w:val="26"/>
          <w:lang w:val="en-US" w:eastAsia="zh-CN"/>
        </w:rPr>
        <w:t>5</w:t>
      </w:r>
      <w:r>
        <w:rPr>
          <w:rFonts w:hint="default" w:ascii="Arial" w:hAnsi="Arial" w:cs="Arial"/>
          <w:color w:val="auto"/>
          <w:sz w:val="26"/>
          <w:szCs w:val="26"/>
        </w:rPr>
        <w:t>m。</w:t>
      </w:r>
    </w:p>
    <w:p w14:paraId="4FADA861">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rPr>
        <w:t>四小层（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-4</w:t>
      </w:r>
      <w:r>
        <w:rPr>
          <w:rFonts w:hint="default" w:ascii="Arial" w:hAnsi="Arial" w:cs="Arial"/>
          <w:color w:val="auto"/>
          <w:sz w:val="26"/>
          <w:szCs w:val="26"/>
        </w:rPr>
        <w:t>）：为紫红色砂质泥岩，局部含角砾，泥质结构，块状构造，矿物成分以粘土矿物为主，含量＞70%，另有少量石英粉砂、云母等。</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w:t>
      </w:r>
      <w:r>
        <w:rPr>
          <w:rFonts w:hint="default" w:ascii="Arial" w:hAnsi="Arial" w:cs="Arial"/>
          <w:color w:val="auto"/>
          <w:sz w:val="26"/>
          <w:szCs w:val="26"/>
          <w:lang w:val="en-US" w:eastAsia="zh-CN"/>
        </w:rPr>
        <w:t>左</w:t>
      </w:r>
      <w:r>
        <w:rPr>
          <w:rFonts w:hint="default" w:ascii="Arial" w:hAnsi="Arial" w:cs="Arial"/>
          <w:color w:val="auto"/>
          <w:sz w:val="26"/>
          <w:szCs w:val="26"/>
        </w:rPr>
        <w:t>岸坡</w:t>
      </w:r>
      <w:r>
        <w:rPr>
          <w:rFonts w:hint="default" w:ascii="Arial" w:hAnsi="Arial" w:cs="Arial"/>
          <w:color w:val="auto"/>
          <w:sz w:val="26"/>
          <w:szCs w:val="26"/>
          <w:lang w:val="en-US" w:eastAsia="zh-CN"/>
        </w:rPr>
        <w:t>中</w:t>
      </w:r>
      <w:r>
        <w:rPr>
          <w:rFonts w:hint="default" w:ascii="Arial" w:hAnsi="Arial" w:cs="Arial"/>
          <w:color w:val="auto"/>
          <w:sz w:val="26"/>
          <w:szCs w:val="26"/>
        </w:rPr>
        <w:t>，厚度约1</w:t>
      </w:r>
      <w:r>
        <w:rPr>
          <w:rFonts w:hint="default" w:ascii="Arial" w:hAnsi="Arial" w:cs="Arial"/>
          <w:color w:val="auto"/>
          <w:sz w:val="26"/>
          <w:szCs w:val="26"/>
          <w:lang w:val="en-US" w:eastAsia="zh-CN"/>
        </w:rPr>
        <w:t>8</w:t>
      </w:r>
      <w:r>
        <w:rPr>
          <w:rFonts w:hint="eastAsia" w:ascii="Arial" w:hAnsi="Arial" w:cs="Arial"/>
          <w:color w:val="auto"/>
          <w:sz w:val="26"/>
          <w:szCs w:val="26"/>
          <w:lang w:val="en-US" w:eastAsia="zh-CN"/>
        </w:rPr>
        <w:t>~</w:t>
      </w:r>
      <w:r>
        <w:rPr>
          <w:rFonts w:hint="default" w:ascii="Arial" w:hAnsi="Arial" w:cs="Arial"/>
          <w:color w:val="auto"/>
          <w:sz w:val="26"/>
          <w:szCs w:val="26"/>
          <w:lang w:val="en-US" w:eastAsia="zh-CN"/>
        </w:rPr>
        <w:t>2</w:t>
      </w:r>
      <w:r>
        <w:rPr>
          <w:rFonts w:hint="default" w:ascii="Arial" w:hAnsi="Arial" w:cs="Arial"/>
          <w:color w:val="auto"/>
          <w:sz w:val="26"/>
          <w:szCs w:val="26"/>
        </w:rPr>
        <w:t>5m。</w:t>
      </w:r>
    </w:p>
    <w:p w14:paraId="01D1E679">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rPr>
        <w:t>五小层（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-5</w:t>
      </w:r>
      <w:r>
        <w:rPr>
          <w:rFonts w:hint="default" w:ascii="Arial" w:hAnsi="Arial" w:cs="Arial"/>
          <w:color w:val="auto"/>
          <w:sz w:val="26"/>
          <w:szCs w:val="26"/>
        </w:rPr>
        <w:t>）：为灰色、灰绿色薄</w:t>
      </w:r>
      <w:r>
        <w:rPr>
          <w:rFonts w:hint="default" w:ascii="Arial" w:hAnsi="Arial" w:cs="Arial"/>
          <w:bCs/>
          <w:iCs/>
          <w:color w:val="auto"/>
          <w:sz w:val="26"/>
          <w:szCs w:val="26"/>
        </w:rPr>
        <w:t>～</w:t>
      </w:r>
      <w:r>
        <w:rPr>
          <w:rFonts w:hint="default" w:ascii="Arial" w:hAnsi="Arial" w:cs="Arial"/>
          <w:color w:val="auto"/>
          <w:sz w:val="26"/>
          <w:szCs w:val="26"/>
        </w:rPr>
        <w:t>中厚层状细</w:t>
      </w:r>
      <w:r>
        <w:rPr>
          <w:rFonts w:hint="default" w:ascii="Arial" w:hAnsi="Arial" w:cs="Arial"/>
          <w:bCs/>
          <w:iCs/>
          <w:color w:val="auto"/>
          <w:sz w:val="26"/>
          <w:szCs w:val="26"/>
        </w:rPr>
        <w:t>～</w:t>
      </w:r>
      <w:r>
        <w:rPr>
          <w:rFonts w:hint="default" w:ascii="Arial" w:hAnsi="Arial" w:cs="Arial"/>
          <w:color w:val="auto"/>
          <w:sz w:val="26"/>
          <w:szCs w:val="26"/>
        </w:rPr>
        <w:t>中粒岩屑长石砂岩，矿物成分主要为长石、石英，底部砂岩含泥岩、钙质角砾。岩体呈细粒</w:t>
      </w:r>
      <w:r>
        <w:rPr>
          <w:rFonts w:hint="default" w:ascii="Arial" w:hAnsi="Arial" w:cs="Arial"/>
          <w:bCs/>
          <w:iCs/>
          <w:color w:val="auto"/>
          <w:sz w:val="26"/>
          <w:szCs w:val="26"/>
        </w:rPr>
        <w:t>～</w:t>
      </w:r>
      <w:r>
        <w:rPr>
          <w:rFonts w:hint="default" w:ascii="Arial" w:hAnsi="Arial" w:cs="Arial"/>
          <w:color w:val="auto"/>
          <w:sz w:val="26"/>
          <w:szCs w:val="26"/>
        </w:rPr>
        <w:t>中粒砂状结构，块状构造，泥质胶结。</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w:t>
      </w:r>
      <w:r>
        <w:rPr>
          <w:rFonts w:hint="default" w:ascii="Arial" w:hAnsi="Arial" w:cs="Arial"/>
          <w:color w:val="auto"/>
          <w:sz w:val="26"/>
          <w:szCs w:val="26"/>
          <w:lang w:eastAsia="zh-CN"/>
        </w:rPr>
        <w:t>左</w:t>
      </w:r>
      <w:r>
        <w:rPr>
          <w:rFonts w:hint="default" w:ascii="Arial" w:hAnsi="Arial" w:cs="Arial"/>
          <w:color w:val="auto"/>
          <w:sz w:val="26"/>
          <w:szCs w:val="26"/>
        </w:rPr>
        <w:t>岸</w:t>
      </w:r>
      <w:r>
        <w:rPr>
          <w:rFonts w:hint="default" w:ascii="Arial" w:hAnsi="Arial" w:cs="Arial"/>
          <w:color w:val="auto"/>
          <w:sz w:val="26"/>
          <w:szCs w:val="26"/>
          <w:lang w:eastAsia="zh-CN"/>
        </w:rPr>
        <w:t>中</w:t>
      </w:r>
      <w:r>
        <w:rPr>
          <w:rFonts w:hint="default" w:ascii="Arial" w:hAnsi="Arial" w:cs="Arial"/>
          <w:color w:val="auto"/>
          <w:sz w:val="26"/>
          <w:szCs w:val="26"/>
          <w:lang w:val="en-US" w:eastAsia="zh-CN"/>
        </w:rPr>
        <w:t>部</w:t>
      </w:r>
      <w:r>
        <w:rPr>
          <w:rFonts w:hint="default" w:ascii="Arial" w:hAnsi="Arial" w:cs="Arial"/>
          <w:color w:val="auto"/>
          <w:sz w:val="26"/>
          <w:szCs w:val="26"/>
        </w:rPr>
        <w:t>，厚度约2</w:t>
      </w:r>
      <w:r>
        <w:rPr>
          <w:rFonts w:hint="eastAsia" w:ascii="Arial" w:hAnsi="Arial" w:cs="Arial"/>
          <w:color w:val="auto"/>
          <w:sz w:val="26"/>
          <w:szCs w:val="26"/>
          <w:lang w:val="en-US" w:eastAsia="zh-CN"/>
        </w:rPr>
        <w:t>~</w:t>
      </w:r>
      <w:r>
        <w:rPr>
          <w:rFonts w:hint="default" w:ascii="Arial" w:hAnsi="Arial" w:cs="Arial"/>
          <w:color w:val="auto"/>
          <w:sz w:val="26"/>
          <w:szCs w:val="26"/>
          <w:lang w:val="en-US" w:eastAsia="zh-CN"/>
        </w:rPr>
        <w:t>4</w:t>
      </w:r>
      <w:r>
        <w:rPr>
          <w:rFonts w:hint="default" w:ascii="Arial" w:hAnsi="Arial" w:cs="Arial"/>
          <w:color w:val="auto"/>
          <w:sz w:val="26"/>
          <w:szCs w:val="26"/>
        </w:rPr>
        <w:t>m。</w:t>
      </w:r>
    </w:p>
    <w:p w14:paraId="402938FB">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rPr>
        <w:t>六小层（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-6</w:t>
      </w:r>
      <w:r>
        <w:rPr>
          <w:rFonts w:hint="default" w:ascii="Arial" w:hAnsi="Arial" w:cs="Arial"/>
          <w:color w:val="auto"/>
          <w:sz w:val="26"/>
          <w:szCs w:val="26"/>
        </w:rPr>
        <w:t>）：为紫红色砂质泥岩，泥质结构，块状构造，局部含砂岩夹层或结核。矿物成分以粘土矿物为主，另有少量石英粉砂、云母等。</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w:t>
      </w:r>
      <w:r>
        <w:rPr>
          <w:rFonts w:hint="default" w:ascii="Arial" w:hAnsi="Arial" w:cs="Arial"/>
          <w:color w:val="auto"/>
          <w:sz w:val="26"/>
          <w:szCs w:val="26"/>
          <w:lang w:val="en-US" w:eastAsia="zh-CN"/>
        </w:rPr>
        <w:t>左</w:t>
      </w:r>
      <w:r>
        <w:rPr>
          <w:rFonts w:hint="default" w:ascii="Arial" w:hAnsi="Arial" w:cs="Arial"/>
          <w:color w:val="auto"/>
          <w:sz w:val="26"/>
          <w:szCs w:val="26"/>
        </w:rPr>
        <w:t>坝肩</w:t>
      </w:r>
      <w:r>
        <w:rPr>
          <w:rFonts w:hint="default" w:ascii="Arial" w:hAnsi="Arial" w:cs="Arial"/>
          <w:color w:val="auto"/>
          <w:sz w:val="26"/>
          <w:szCs w:val="26"/>
          <w:lang w:val="en-US" w:eastAsia="zh-CN"/>
        </w:rPr>
        <w:t>上部</w:t>
      </w:r>
      <w:r>
        <w:rPr>
          <w:rFonts w:hint="default" w:ascii="Arial" w:hAnsi="Arial" w:cs="Arial"/>
          <w:color w:val="auto"/>
          <w:sz w:val="26"/>
          <w:szCs w:val="26"/>
        </w:rPr>
        <w:t>，厚度约</w:t>
      </w:r>
      <w:r>
        <w:rPr>
          <w:rFonts w:hint="default" w:ascii="Arial" w:hAnsi="Arial" w:cs="Arial"/>
          <w:color w:val="auto"/>
          <w:sz w:val="26"/>
          <w:szCs w:val="26"/>
          <w:lang w:val="en-US" w:eastAsia="zh-CN"/>
        </w:rPr>
        <w:t>6</w:t>
      </w:r>
      <w:r>
        <w:rPr>
          <w:rFonts w:hint="default" w:ascii="Arial" w:hAnsi="Arial" w:cs="Arial"/>
          <w:color w:val="auto"/>
          <w:sz w:val="26"/>
          <w:szCs w:val="26"/>
        </w:rPr>
        <w:t>～</w:t>
      </w:r>
      <w:r>
        <w:rPr>
          <w:rFonts w:hint="default" w:ascii="Arial" w:hAnsi="Arial" w:cs="Arial"/>
          <w:color w:val="auto"/>
          <w:sz w:val="26"/>
          <w:szCs w:val="26"/>
          <w:lang w:val="en-US" w:eastAsia="zh-CN"/>
        </w:rPr>
        <w:t>8</w:t>
      </w:r>
      <w:r>
        <w:rPr>
          <w:rFonts w:hint="default" w:ascii="Arial" w:hAnsi="Arial" w:cs="Arial"/>
          <w:color w:val="auto"/>
          <w:sz w:val="26"/>
          <w:szCs w:val="26"/>
        </w:rPr>
        <w:t>m。</w:t>
      </w:r>
    </w:p>
    <w:p w14:paraId="28811DD7">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rPr>
        <w:t>七小层（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-7</w:t>
      </w:r>
      <w:r>
        <w:rPr>
          <w:rFonts w:hint="default" w:ascii="Arial" w:hAnsi="Arial" w:cs="Arial"/>
          <w:color w:val="auto"/>
          <w:sz w:val="26"/>
          <w:szCs w:val="26"/>
        </w:rPr>
        <w:t>）：为灰色、灰绿色薄</w:t>
      </w:r>
      <w:r>
        <w:rPr>
          <w:rFonts w:hint="default" w:ascii="Arial" w:hAnsi="Arial" w:cs="Arial"/>
          <w:bCs/>
          <w:iCs/>
          <w:color w:val="auto"/>
          <w:sz w:val="26"/>
          <w:szCs w:val="26"/>
        </w:rPr>
        <w:t>～</w:t>
      </w:r>
      <w:r>
        <w:rPr>
          <w:rFonts w:hint="default" w:ascii="Arial" w:hAnsi="Arial" w:cs="Arial"/>
          <w:color w:val="auto"/>
          <w:sz w:val="26"/>
          <w:szCs w:val="26"/>
        </w:rPr>
        <w:t>中厚层状细粒长石砂岩，局部含泥岩夹层或结核。矿物成分主要为长石、石英。岩体呈细粒砂状结构，块状构造，钙质胶结。</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出露于左</w:t>
      </w:r>
      <w:r>
        <w:rPr>
          <w:rFonts w:hint="default" w:ascii="Arial" w:hAnsi="Arial" w:cs="Arial"/>
          <w:color w:val="auto"/>
          <w:sz w:val="26"/>
          <w:szCs w:val="26"/>
          <w:lang w:val="en-US" w:eastAsia="zh-CN"/>
        </w:rPr>
        <w:t>坝肩</w:t>
      </w:r>
      <w:r>
        <w:rPr>
          <w:rFonts w:hint="default" w:ascii="Arial" w:hAnsi="Arial" w:cs="Arial"/>
          <w:color w:val="auto"/>
          <w:sz w:val="26"/>
          <w:szCs w:val="26"/>
        </w:rPr>
        <w:t>顶部</w:t>
      </w:r>
      <w:r>
        <w:rPr>
          <w:rFonts w:hint="default" w:ascii="Arial" w:hAnsi="Arial" w:cs="Arial"/>
          <w:color w:val="auto"/>
          <w:sz w:val="26"/>
          <w:szCs w:val="26"/>
          <w:lang w:val="en-US" w:eastAsia="zh-CN"/>
        </w:rPr>
        <w:t>并延伸至河床</w:t>
      </w:r>
      <w:r>
        <w:rPr>
          <w:rFonts w:hint="default" w:ascii="Arial" w:hAnsi="Arial" w:cs="Arial"/>
          <w:color w:val="auto"/>
          <w:sz w:val="26"/>
          <w:szCs w:val="26"/>
        </w:rPr>
        <w:t>，厚度约3</w:t>
      </w:r>
      <w:r>
        <w:rPr>
          <w:rFonts w:hint="eastAsia" w:ascii="Arial" w:hAnsi="Arial" w:cs="Arial"/>
          <w:color w:val="auto"/>
          <w:sz w:val="26"/>
          <w:szCs w:val="26"/>
          <w:lang w:val="en-US" w:eastAsia="zh-CN"/>
        </w:rPr>
        <w:t>~</w:t>
      </w:r>
      <w:r>
        <w:rPr>
          <w:rFonts w:hint="default" w:ascii="Arial" w:hAnsi="Arial" w:cs="Arial"/>
          <w:color w:val="auto"/>
          <w:sz w:val="26"/>
          <w:szCs w:val="26"/>
        </w:rPr>
        <w:t>4m。</w:t>
      </w:r>
    </w:p>
    <w:p w14:paraId="62B0C166">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lang w:val="en-US" w:eastAsia="zh-CN"/>
        </w:rPr>
        <w:t>八</w:t>
      </w:r>
      <w:r>
        <w:rPr>
          <w:rFonts w:hint="default" w:ascii="Arial" w:hAnsi="Arial" w:cs="Arial"/>
          <w:color w:val="auto"/>
          <w:sz w:val="26"/>
          <w:szCs w:val="26"/>
        </w:rPr>
        <w:t>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w:t>
      </w:r>
      <w:r>
        <w:rPr>
          <w:rFonts w:hint="default" w:ascii="Arial" w:hAnsi="Arial" w:cs="Arial"/>
          <w:color w:val="auto"/>
          <w:kern w:val="0"/>
          <w:sz w:val="26"/>
          <w:szCs w:val="26"/>
          <w:vertAlign w:val="superscript"/>
          <w:lang w:val="en-US" w:eastAsia="zh-CN"/>
        </w:rPr>
        <w:t>8</w:t>
      </w:r>
      <w:r>
        <w:rPr>
          <w:rFonts w:hint="default" w:ascii="Arial" w:hAnsi="Arial" w:cs="Arial"/>
          <w:color w:val="auto"/>
          <w:sz w:val="26"/>
          <w:szCs w:val="26"/>
        </w:rPr>
        <w:t>）：为紫红色砂质泥岩，局部含角砾，泥质结构，块状构造，矿物成分以粘土矿物为主，含量＞70%，另有少量石英粉砂、云母等。</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w:t>
      </w:r>
      <w:r>
        <w:rPr>
          <w:rFonts w:hint="default" w:ascii="Arial" w:hAnsi="Arial" w:cs="Arial"/>
          <w:color w:val="auto"/>
          <w:sz w:val="26"/>
          <w:szCs w:val="26"/>
          <w:lang w:val="en-US" w:eastAsia="zh-CN"/>
        </w:rPr>
        <w:t>左</w:t>
      </w:r>
      <w:r>
        <w:rPr>
          <w:rFonts w:hint="default" w:ascii="Arial" w:hAnsi="Arial" w:cs="Arial"/>
          <w:color w:val="auto"/>
          <w:sz w:val="26"/>
          <w:szCs w:val="26"/>
        </w:rPr>
        <w:t>岸</w:t>
      </w:r>
      <w:r>
        <w:rPr>
          <w:rFonts w:hint="default" w:ascii="Arial" w:hAnsi="Arial" w:cs="Arial"/>
          <w:color w:val="auto"/>
          <w:sz w:val="26"/>
          <w:szCs w:val="26"/>
          <w:lang w:val="en-US" w:eastAsia="zh-CN"/>
        </w:rPr>
        <w:t>及河床</w:t>
      </w:r>
      <w:r>
        <w:rPr>
          <w:rFonts w:hint="default" w:ascii="Arial" w:hAnsi="Arial" w:cs="Arial"/>
          <w:color w:val="auto"/>
          <w:sz w:val="26"/>
          <w:szCs w:val="26"/>
        </w:rPr>
        <w:t>，厚度约1</w:t>
      </w:r>
      <w:r>
        <w:rPr>
          <w:rFonts w:hint="default" w:ascii="Arial" w:hAnsi="Arial" w:cs="Arial"/>
          <w:color w:val="auto"/>
          <w:sz w:val="26"/>
          <w:szCs w:val="26"/>
          <w:lang w:val="en-US" w:eastAsia="zh-CN"/>
        </w:rPr>
        <w:t>1</w:t>
      </w:r>
      <w:r>
        <w:rPr>
          <w:rFonts w:hint="eastAsia" w:ascii="Arial" w:hAnsi="Arial" w:cs="Arial"/>
          <w:color w:val="auto"/>
          <w:sz w:val="26"/>
          <w:szCs w:val="26"/>
          <w:lang w:val="en-US" w:eastAsia="zh-CN"/>
        </w:rPr>
        <w:t>~</w:t>
      </w:r>
      <w:r>
        <w:rPr>
          <w:rFonts w:hint="default" w:ascii="Arial" w:hAnsi="Arial" w:cs="Arial"/>
          <w:color w:val="auto"/>
          <w:sz w:val="26"/>
          <w:szCs w:val="26"/>
          <w:lang w:val="en-US" w:eastAsia="zh-CN"/>
        </w:rPr>
        <w:t>13</w:t>
      </w:r>
      <w:r>
        <w:rPr>
          <w:rFonts w:hint="default" w:ascii="Arial" w:hAnsi="Arial" w:cs="Arial"/>
          <w:color w:val="auto"/>
          <w:sz w:val="26"/>
          <w:szCs w:val="26"/>
        </w:rPr>
        <w:t>m。</w:t>
      </w:r>
    </w:p>
    <w:p w14:paraId="79D6ED99">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lang w:val="en-US" w:eastAsia="zh-CN"/>
        </w:rPr>
        <w:t>九</w:t>
      </w:r>
      <w:r>
        <w:rPr>
          <w:rFonts w:hint="default" w:ascii="Arial" w:hAnsi="Arial" w:cs="Arial"/>
          <w:color w:val="auto"/>
          <w:sz w:val="26"/>
          <w:szCs w:val="26"/>
        </w:rPr>
        <w:t>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w:t>
      </w:r>
      <w:r>
        <w:rPr>
          <w:rFonts w:hint="default" w:ascii="Arial" w:hAnsi="Arial" w:cs="Arial"/>
          <w:color w:val="auto"/>
          <w:kern w:val="0"/>
          <w:sz w:val="26"/>
          <w:szCs w:val="26"/>
          <w:vertAlign w:val="superscript"/>
          <w:lang w:val="en-US" w:eastAsia="zh-CN"/>
        </w:rPr>
        <w:t>9</w:t>
      </w:r>
      <w:r>
        <w:rPr>
          <w:rFonts w:hint="default" w:ascii="Arial" w:hAnsi="Arial" w:cs="Arial"/>
          <w:color w:val="auto"/>
          <w:sz w:val="26"/>
          <w:szCs w:val="26"/>
        </w:rPr>
        <w:t>）：为灰色、灰绿色薄</w:t>
      </w:r>
      <w:r>
        <w:rPr>
          <w:rFonts w:hint="default" w:ascii="Arial" w:hAnsi="Arial" w:cs="Arial"/>
          <w:bCs/>
          <w:iCs/>
          <w:color w:val="auto"/>
          <w:sz w:val="26"/>
          <w:szCs w:val="26"/>
        </w:rPr>
        <w:t>～</w:t>
      </w:r>
      <w:r>
        <w:rPr>
          <w:rFonts w:hint="default" w:ascii="Arial" w:hAnsi="Arial" w:cs="Arial"/>
          <w:color w:val="auto"/>
          <w:sz w:val="26"/>
          <w:szCs w:val="26"/>
        </w:rPr>
        <w:t>中厚层状细</w:t>
      </w:r>
      <w:r>
        <w:rPr>
          <w:rFonts w:hint="default" w:ascii="Arial" w:hAnsi="Arial" w:cs="Arial"/>
          <w:bCs/>
          <w:iCs/>
          <w:color w:val="auto"/>
          <w:sz w:val="26"/>
          <w:szCs w:val="26"/>
        </w:rPr>
        <w:t>～</w:t>
      </w:r>
      <w:r>
        <w:rPr>
          <w:rFonts w:hint="default" w:ascii="Arial" w:hAnsi="Arial" w:cs="Arial"/>
          <w:color w:val="auto"/>
          <w:sz w:val="26"/>
          <w:szCs w:val="26"/>
        </w:rPr>
        <w:t>中粒岩屑长石砂岩，矿物成分主要为长石、石英，底部砂岩含泥岩、钙质角砾。岩体呈细粒</w:t>
      </w:r>
      <w:r>
        <w:rPr>
          <w:rFonts w:hint="default" w:ascii="Arial" w:hAnsi="Arial" w:cs="Arial"/>
          <w:bCs/>
          <w:iCs/>
          <w:color w:val="auto"/>
          <w:sz w:val="26"/>
          <w:szCs w:val="26"/>
        </w:rPr>
        <w:t>～</w:t>
      </w:r>
      <w:r>
        <w:rPr>
          <w:rFonts w:hint="default" w:ascii="Arial" w:hAnsi="Arial" w:cs="Arial"/>
          <w:color w:val="auto"/>
          <w:sz w:val="26"/>
          <w:szCs w:val="26"/>
        </w:rPr>
        <w:t>中粒砂状结构，块状构造，泥质胶结。</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w:t>
      </w:r>
      <w:r>
        <w:rPr>
          <w:rFonts w:hint="default" w:ascii="Arial" w:hAnsi="Arial" w:cs="Arial"/>
          <w:color w:val="auto"/>
          <w:sz w:val="26"/>
          <w:szCs w:val="26"/>
          <w:lang w:val="en-US" w:eastAsia="zh-CN"/>
        </w:rPr>
        <w:t>右</w:t>
      </w:r>
      <w:r>
        <w:rPr>
          <w:rFonts w:hint="default" w:ascii="Arial" w:hAnsi="Arial" w:cs="Arial"/>
          <w:color w:val="auto"/>
          <w:sz w:val="26"/>
          <w:szCs w:val="26"/>
        </w:rPr>
        <w:t>岸</w:t>
      </w:r>
      <w:r>
        <w:rPr>
          <w:rFonts w:hint="default" w:ascii="Arial" w:hAnsi="Arial" w:cs="Arial"/>
          <w:color w:val="auto"/>
          <w:sz w:val="26"/>
          <w:szCs w:val="26"/>
          <w:lang w:val="en-US" w:eastAsia="zh-CN"/>
        </w:rPr>
        <w:t>坡脚</w:t>
      </w:r>
      <w:r>
        <w:rPr>
          <w:rFonts w:hint="default" w:ascii="Arial" w:hAnsi="Arial" w:cs="Arial"/>
          <w:color w:val="auto"/>
          <w:sz w:val="26"/>
          <w:szCs w:val="26"/>
        </w:rPr>
        <w:t>，厚度约</w:t>
      </w:r>
      <w:r>
        <w:rPr>
          <w:rFonts w:hint="default" w:ascii="Arial" w:hAnsi="Arial" w:cs="Arial"/>
          <w:color w:val="auto"/>
          <w:sz w:val="26"/>
          <w:szCs w:val="26"/>
          <w:lang w:val="en-US" w:eastAsia="zh-CN"/>
        </w:rPr>
        <w:t>3</w:t>
      </w:r>
      <w:r>
        <w:rPr>
          <w:rFonts w:hint="eastAsia" w:ascii="Arial" w:hAnsi="Arial" w:cs="Arial"/>
          <w:color w:val="auto"/>
          <w:sz w:val="26"/>
          <w:szCs w:val="26"/>
          <w:lang w:val="en-US" w:eastAsia="zh-CN"/>
        </w:rPr>
        <w:t>~</w:t>
      </w:r>
      <w:r>
        <w:rPr>
          <w:rFonts w:hint="default" w:ascii="Arial" w:hAnsi="Arial" w:cs="Arial"/>
          <w:color w:val="auto"/>
          <w:sz w:val="26"/>
          <w:szCs w:val="26"/>
          <w:lang w:val="en-US" w:eastAsia="zh-CN"/>
        </w:rPr>
        <w:t>5</w:t>
      </w:r>
      <w:r>
        <w:rPr>
          <w:rFonts w:hint="default" w:ascii="Arial" w:hAnsi="Arial" w:cs="Arial"/>
          <w:color w:val="auto"/>
          <w:sz w:val="26"/>
          <w:szCs w:val="26"/>
        </w:rPr>
        <w:t>m。</w:t>
      </w:r>
    </w:p>
    <w:p w14:paraId="4D9461EE">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lang w:val="en-US" w:eastAsia="zh-CN"/>
        </w:rPr>
        <w:t>十</w:t>
      </w:r>
      <w:r>
        <w:rPr>
          <w:rFonts w:hint="default" w:ascii="Arial" w:hAnsi="Arial" w:cs="Arial"/>
          <w:color w:val="auto"/>
          <w:sz w:val="26"/>
          <w:szCs w:val="26"/>
        </w:rPr>
        <w:t>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w:t>
      </w:r>
      <w:r>
        <w:rPr>
          <w:rFonts w:hint="default" w:ascii="Arial" w:hAnsi="Arial" w:cs="Arial"/>
          <w:color w:val="auto"/>
          <w:kern w:val="0"/>
          <w:sz w:val="26"/>
          <w:szCs w:val="26"/>
          <w:vertAlign w:val="superscript"/>
          <w:lang w:val="en-US" w:eastAsia="zh-CN"/>
        </w:rPr>
        <w:t>10</w:t>
      </w:r>
      <w:r>
        <w:rPr>
          <w:rFonts w:hint="default" w:ascii="Arial" w:hAnsi="Arial" w:cs="Arial"/>
          <w:color w:val="auto"/>
          <w:sz w:val="26"/>
          <w:szCs w:val="26"/>
        </w:rPr>
        <w:t>）：为紫红色砂质泥岩，泥质结构，块状构造，局部含砂岩夹层或结核。矿物成分以粘土矿物为主，另有少量石英粉砂、云母等。</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w:t>
      </w:r>
      <w:r>
        <w:rPr>
          <w:rFonts w:hint="default" w:ascii="Arial" w:hAnsi="Arial" w:cs="Arial"/>
          <w:color w:val="auto"/>
          <w:sz w:val="26"/>
          <w:szCs w:val="26"/>
          <w:lang w:val="en-US" w:eastAsia="zh-CN"/>
        </w:rPr>
        <w:t>右</w:t>
      </w:r>
      <w:r>
        <w:rPr>
          <w:rFonts w:hint="default" w:ascii="Arial" w:hAnsi="Arial" w:cs="Arial"/>
          <w:color w:val="auto"/>
          <w:sz w:val="26"/>
          <w:szCs w:val="26"/>
        </w:rPr>
        <w:t>坝肩</w:t>
      </w:r>
      <w:r>
        <w:rPr>
          <w:rFonts w:hint="default" w:ascii="Arial" w:hAnsi="Arial" w:cs="Arial"/>
          <w:color w:val="auto"/>
          <w:sz w:val="26"/>
          <w:szCs w:val="26"/>
          <w:lang w:val="en-US" w:eastAsia="zh-CN"/>
        </w:rPr>
        <w:t>中上部及坝址下游河床</w:t>
      </w:r>
      <w:r>
        <w:rPr>
          <w:rFonts w:hint="default" w:ascii="Arial" w:hAnsi="Arial" w:cs="Arial"/>
          <w:color w:val="auto"/>
          <w:sz w:val="26"/>
          <w:szCs w:val="26"/>
        </w:rPr>
        <w:t>，厚度约</w:t>
      </w:r>
      <w:r>
        <w:rPr>
          <w:rFonts w:hint="default" w:ascii="Arial" w:hAnsi="Arial" w:cs="Arial"/>
          <w:color w:val="auto"/>
          <w:sz w:val="26"/>
          <w:szCs w:val="26"/>
          <w:lang w:val="en-US" w:eastAsia="zh-CN"/>
        </w:rPr>
        <w:t>28</w:t>
      </w:r>
      <w:r>
        <w:rPr>
          <w:rFonts w:hint="eastAsia" w:ascii="Arial" w:hAnsi="Arial" w:cs="Arial"/>
          <w:color w:val="auto"/>
          <w:sz w:val="26"/>
          <w:szCs w:val="26"/>
          <w:lang w:val="en-US" w:eastAsia="zh-CN"/>
        </w:rPr>
        <w:t>~</w:t>
      </w:r>
      <w:r>
        <w:rPr>
          <w:rFonts w:hint="default" w:ascii="Arial" w:hAnsi="Arial" w:cs="Arial"/>
          <w:color w:val="auto"/>
          <w:sz w:val="26"/>
          <w:szCs w:val="26"/>
          <w:lang w:val="en-US" w:eastAsia="zh-CN"/>
        </w:rPr>
        <w:t>31</w:t>
      </w:r>
      <w:r>
        <w:rPr>
          <w:rFonts w:hint="default" w:ascii="Arial" w:hAnsi="Arial" w:cs="Arial"/>
          <w:color w:val="auto"/>
          <w:sz w:val="26"/>
          <w:szCs w:val="26"/>
        </w:rPr>
        <w:t>m。</w:t>
      </w:r>
    </w:p>
    <w:p w14:paraId="0899BD09">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lang w:val="en-US" w:eastAsia="zh-CN"/>
        </w:rPr>
        <w:t>十一</w:t>
      </w:r>
      <w:r>
        <w:rPr>
          <w:rFonts w:hint="default" w:ascii="Arial" w:hAnsi="Arial" w:cs="Arial"/>
          <w:color w:val="auto"/>
          <w:sz w:val="26"/>
          <w:szCs w:val="26"/>
        </w:rPr>
        <w:t>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w:t>
      </w:r>
      <w:r>
        <w:rPr>
          <w:rFonts w:hint="default" w:ascii="Arial" w:hAnsi="Arial" w:cs="Arial"/>
          <w:color w:val="auto"/>
          <w:kern w:val="0"/>
          <w:sz w:val="26"/>
          <w:szCs w:val="26"/>
          <w:vertAlign w:val="superscript"/>
          <w:lang w:val="en-US" w:eastAsia="zh-CN"/>
        </w:rPr>
        <w:t>11</w:t>
      </w:r>
      <w:r>
        <w:rPr>
          <w:rFonts w:hint="default" w:ascii="Arial" w:hAnsi="Arial" w:cs="Arial"/>
          <w:color w:val="auto"/>
          <w:sz w:val="26"/>
          <w:szCs w:val="26"/>
        </w:rPr>
        <w:t>）：为灰色、灰绿色薄</w:t>
      </w:r>
      <w:r>
        <w:rPr>
          <w:rFonts w:hint="default" w:ascii="Arial" w:hAnsi="Arial" w:cs="Arial"/>
          <w:bCs/>
          <w:iCs/>
          <w:color w:val="auto"/>
          <w:sz w:val="26"/>
          <w:szCs w:val="26"/>
        </w:rPr>
        <w:t>～</w:t>
      </w:r>
      <w:r>
        <w:rPr>
          <w:rFonts w:hint="default" w:ascii="Arial" w:hAnsi="Arial" w:cs="Arial"/>
          <w:color w:val="auto"/>
          <w:sz w:val="26"/>
          <w:szCs w:val="26"/>
        </w:rPr>
        <w:t>中厚层状细粒长石砂岩，局部含泥岩夹层或结核。矿物成分主要为长石、石英。岩体呈细粒砂状结构，块状构造，钙质胶结。</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w:t>
      </w:r>
      <w:r>
        <w:rPr>
          <w:rFonts w:hint="default" w:ascii="Arial" w:hAnsi="Arial" w:cs="Arial"/>
          <w:color w:val="auto"/>
          <w:sz w:val="26"/>
          <w:szCs w:val="26"/>
          <w:lang w:val="en-US" w:eastAsia="zh-CN"/>
        </w:rPr>
        <w:t>右坝肩上</w:t>
      </w:r>
      <w:r>
        <w:rPr>
          <w:rFonts w:hint="default" w:ascii="Arial" w:hAnsi="Arial" w:cs="Arial"/>
          <w:color w:val="auto"/>
          <w:sz w:val="26"/>
          <w:szCs w:val="26"/>
        </w:rPr>
        <w:t>部</w:t>
      </w:r>
      <w:r>
        <w:rPr>
          <w:rFonts w:hint="default" w:ascii="Arial" w:hAnsi="Arial" w:cs="Arial"/>
          <w:color w:val="auto"/>
          <w:sz w:val="26"/>
          <w:szCs w:val="26"/>
          <w:lang w:val="en-US" w:eastAsia="zh-CN"/>
        </w:rPr>
        <w:t>及坝址下游</w:t>
      </w:r>
      <w:r>
        <w:rPr>
          <w:rFonts w:hint="default" w:ascii="Arial" w:hAnsi="Arial" w:cs="Arial"/>
          <w:color w:val="auto"/>
          <w:sz w:val="26"/>
          <w:szCs w:val="26"/>
        </w:rPr>
        <w:t>，厚度约</w:t>
      </w:r>
      <w:r>
        <w:rPr>
          <w:rFonts w:hint="default" w:ascii="Arial" w:hAnsi="Arial" w:cs="Arial"/>
          <w:color w:val="auto"/>
          <w:sz w:val="26"/>
          <w:szCs w:val="26"/>
          <w:lang w:val="en-US" w:eastAsia="zh-CN"/>
        </w:rPr>
        <w:t>4</w:t>
      </w:r>
      <w:r>
        <w:rPr>
          <w:rFonts w:hint="eastAsia" w:ascii="Arial" w:hAnsi="Arial" w:cs="Arial"/>
          <w:color w:val="auto"/>
          <w:sz w:val="26"/>
          <w:szCs w:val="26"/>
          <w:lang w:val="en-US" w:eastAsia="zh-CN"/>
        </w:rPr>
        <w:t>~</w:t>
      </w:r>
      <w:r>
        <w:rPr>
          <w:rFonts w:hint="default" w:ascii="Arial" w:hAnsi="Arial" w:cs="Arial"/>
          <w:color w:val="auto"/>
          <w:sz w:val="26"/>
          <w:szCs w:val="26"/>
          <w:lang w:val="en-US" w:eastAsia="zh-CN"/>
        </w:rPr>
        <w:t>5</w:t>
      </w:r>
      <w:r>
        <w:rPr>
          <w:rFonts w:hint="default" w:ascii="Arial" w:hAnsi="Arial" w:cs="Arial"/>
          <w:color w:val="auto"/>
          <w:sz w:val="26"/>
          <w:szCs w:val="26"/>
        </w:rPr>
        <w:t>m。</w:t>
      </w:r>
    </w:p>
    <w:p w14:paraId="02AC3EAB">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上沙溪庙组</w:t>
      </w:r>
      <w:r>
        <w:rPr>
          <w:rFonts w:hint="default" w:ascii="Arial" w:hAnsi="Arial" w:cs="Arial"/>
          <w:color w:val="auto"/>
          <w:sz w:val="26"/>
          <w:szCs w:val="26"/>
          <w:lang w:eastAsia="zh-CN"/>
        </w:rPr>
        <w:t>第二段</w:t>
      </w:r>
      <w:r>
        <w:rPr>
          <w:rFonts w:hint="default" w:ascii="Arial" w:hAnsi="Arial" w:cs="Arial"/>
          <w:color w:val="auto"/>
          <w:sz w:val="26"/>
          <w:szCs w:val="26"/>
          <w:lang w:val="en-US" w:eastAsia="zh-CN"/>
        </w:rPr>
        <w:t>十二</w:t>
      </w:r>
      <w:r>
        <w:rPr>
          <w:rFonts w:hint="default" w:ascii="Arial" w:hAnsi="Arial" w:cs="Arial"/>
          <w:color w:val="auto"/>
          <w:sz w:val="26"/>
          <w:szCs w:val="26"/>
        </w:rPr>
        <w:t>小层（</w:t>
      </w:r>
      <w:r>
        <w:rPr>
          <w:rFonts w:hint="default" w:ascii="Arial" w:hAnsi="Arial" w:cs="Arial"/>
          <w:color w:val="auto"/>
          <w:kern w:val="0"/>
          <w:sz w:val="26"/>
          <w:szCs w:val="26"/>
        </w:rPr>
        <w:t>J</w:t>
      </w:r>
      <w:r>
        <w:rPr>
          <w:rFonts w:hint="default" w:ascii="Arial" w:hAnsi="Arial" w:cs="Arial"/>
          <w:color w:val="auto"/>
          <w:kern w:val="0"/>
          <w:sz w:val="26"/>
          <w:szCs w:val="26"/>
          <w:vertAlign w:val="subscript"/>
        </w:rPr>
        <w:t>2</w:t>
      </w:r>
      <w:r>
        <w:rPr>
          <w:rFonts w:hint="default" w:ascii="Arial" w:hAnsi="Arial" w:cs="Arial"/>
          <w:color w:val="auto"/>
          <w:kern w:val="0"/>
          <w:sz w:val="26"/>
          <w:szCs w:val="26"/>
        </w:rPr>
        <w:t>s</w:t>
      </w:r>
      <w:r>
        <w:rPr>
          <w:rFonts w:hint="default" w:ascii="Arial" w:hAnsi="Arial" w:cs="Arial"/>
          <w:color w:val="auto"/>
          <w:kern w:val="0"/>
          <w:sz w:val="26"/>
          <w:szCs w:val="26"/>
          <w:vertAlign w:val="superscript"/>
          <w:lang w:val="en-US" w:eastAsia="zh-CN"/>
        </w:rPr>
        <w:t>2</w:t>
      </w:r>
      <w:r>
        <w:rPr>
          <w:rFonts w:hint="default" w:ascii="Arial" w:hAnsi="Arial" w:cs="Arial"/>
          <w:color w:val="auto"/>
          <w:kern w:val="0"/>
          <w:sz w:val="26"/>
          <w:szCs w:val="26"/>
          <w:vertAlign w:val="superscript"/>
        </w:rPr>
        <w:t>-</w:t>
      </w:r>
      <w:r>
        <w:rPr>
          <w:rFonts w:hint="default" w:ascii="Arial" w:hAnsi="Arial" w:cs="Arial"/>
          <w:color w:val="auto"/>
          <w:kern w:val="0"/>
          <w:sz w:val="26"/>
          <w:szCs w:val="26"/>
          <w:vertAlign w:val="superscript"/>
          <w:lang w:val="en-US" w:eastAsia="zh-CN"/>
        </w:rPr>
        <w:t>12</w:t>
      </w:r>
      <w:r>
        <w:rPr>
          <w:rFonts w:hint="default" w:ascii="Arial" w:hAnsi="Arial" w:cs="Arial"/>
          <w:color w:val="auto"/>
          <w:sz w:val="26"/>
          <w:szCs w:val="26"/>
        </w:rPr>
        <w:t>）：为紫红色砂质泥岩，泥质结构，块状构造，局部含砂岩夹层或结核。矿物成分以粘土矿物为主，另有少量石英粉砂、云母等。</w:t>
      </w:r>
      <w:r>
        <w:rPr>
          <w:rFonts w:hint="default" w:ascii="Arial" w:hAnsi="Arial" w:cs="Arial"/>
          <w:color w:val="auto"/>
          <w:kern w:val="0"/>
          <w:sz w:val="26"/>
          <w:szCs w:val="26"/>
          <w:lang w:val="zh-CN"/>
        </w:rPr>
        <w:t>与上、下层呈连续渐变式接触，</w:t>
      </w:r>
      <w:r>
        <w:rPr>
          <w:rFonts w:hint="default" w:ascii="Arial" w:hAnsi="Arial" w:cs="Arial"/>
          <w:color w:val="auto"/>
          <w:sz w:val="26"/>
          <w:szCs w:val="26"/>
        </w:rPr>
        <w:t>出露于</w:t>
      </w:r>
      <w:r>
        <w:rPr>
          <w:rFonts w:hint="default" w:ascii="Arial" w:hAnsi="Arial" w:cs="Arial"/>
          <w:color w:val="auto"/>
          <w:sz w:val="26"/>
          <w:szCs w:val="26"/>
          <w:lang w:val="en-US" w:eastAsia="zh-CN"/>
        </w:rPr>
        <w:t>右</w:t>
      </w:r>
      <w:r>
        <w:rPr>
          <w:rFonts w:hint="default" w:ascii="Arial" w:hAnsi="Arial" w:cs="Arial"/>
          <w:color w:val="auto"/>
          <w:sz w:val="26"/>
          <w:szCs w:val="26"/>
        </w:rPr>
        <w:t>坝肩</w:t>
      </w:r>
      <w:r>
        <w:rPr>
          <w:rFonts w:hint="default" w:ascii="Arial" w:hAnsi="Arial" w:cs="Arial"/>
          <w:color w:val="auto"/>
          <w:sz w:val="26"/>
          <w:szCs w:val="26"/>
          <w:lang w:val="en-US" w:eastAsia="zh-CN"/>
        </w:rPr>
        <w:t>顶部及坝址下游</w:t>
      </w:r>
      <w:r>
        <w:rPr>
          <w:rFonts w:hint="default" w:ascii="Arial" w:hAnsi="Arial" w:cs="Arial"/>
          <w:color w:val="auto"/>
          <w:sz w:val="26"/>
          <w:szCs w:val="26"/>
        </w:rPr>
        <w:t>，厚度约</w:t>
      </w:r>
      <w:r>
        <w:rPr>
          <w:rFonts w:hint="default" w:ascii="Arial" w:hAnsi="Arial" w:cs="Arial"/>
          <w:color w:val="auto"/>
          <w:sz w:val="26"/>
          <w:szCs w:val="26"/>
          <w:lang w:val="en-US" w:eastAsia="zh-CN"/>
        </w:rPr>
        <w:t>19</w:t>
      </w:r>
      <w:r>
        <w:rPr>
          <w:rFonts w:hint="default" w:ascii="Arial" w:hAnsi="Arial" w:cs="Arial"/>
          <w:color w:val="auto"/>
          <w:sz w:val="26"/>
          <w:szCs w:val="26"/>
        </w:rPr>
        <w:t>～</w:t>
      </w:r>
      <w:r>
        <w:rPr>
          <w:rFonts w:hint="default" w:ascii="Arial" w:hAnsi="Arial" w:cs="Arial"/>
          <w:color w:val="auto"/>
          <w:sz w:val="26"/>
          <w:szCs w:val="26"/>
          <w:lang w:val="en-US" w:eastAsia="zh-CN"/>
        </w:rPr>
        <w:t>28</w:t>
      </w:r>
      <w:r>
        <w:rPr>
          <w:rFonts w:hint="default" w:ascii="Arial" w:hAnsi="Arial" w:cs="Arial"/>
          <w:color w:val="auto"/>
          <w:sz w:val="26"/>
          <w:szCs w:val="26"/>
        </w:rPr>
        <w:t>m。</w:t>
      </w:r>
    </w:p>
    <w:p w14:paraId="1BBB7EE7">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第四系冲积洪层（Q</w:t>
      </w:r>
      <w:r>
        <w:rPr>
          <w:rFonts w:hint="default" w:ascii="Arial" w:hAnsi="Arial" w:cs="Arial"/>
          <w:color w:val="auto"/>
          <w:sz w:val="26"/>
          <w:szCs w:val="26"/>
          <w:vertAlign w:val="subscript"/>
        </w:rPr>
        <w:t>4</w:t>
      </w:r>
      <w:r>
        <w:rPr>
          <w:rFonts w:hint="default" w:ascii="Arial" w:hAnsi="Arial" w:cs="Arial"/>
          <w:color w:val="auto"/>
          <w:sz w:val="26"/>
          <w:szCs w:val="26"/>
          <w:vertAlign w:val="superscript"/>
        </w:rPr>
        <w:t>alp</w:t>
      </w:r>
      <w:r>
        <w:rPr>
          <w:rFonts w:hint="default" w:ascii="Arial" w:hAnsi="Arial" w:cs="Arial"/>
          <w:color w:val="auto"/>
          <w:sz w:val="26"/>
          <w:szCs w:val="26"/>
        </w:rPr>
        <w:t>）：褐黄色粉质粘土</w:t>
      </w:r>
      <w:r>
        <w:rPr>
          <w:rFonts w:hint="default" w:ascii="Arial" w:hAnsi="Arial" w:cs="Arial"/>
          <w:color w:val="auto"/>
          <w:sz w:val="26"/>
          <w:szCs w:val="26"/>
          <w:lang w:eastAsia="zh-CN"/>
        </w:rPr>
        <w:t>，</w:t>
      </w:r>
      <w:r>
        <w:rPr>
          <w:rFonts w:hint="default" w:ascii="Arial" w:hAnsi="Arial" w:cs="Arial"/>
          <w:color w:val="auto"/>
          <w:sz w:val="26"/>
          <w:szCs w:val="26"/>
          <w:lang w:val="en-US" w:eastAsia="zh-CN"/>
        </w:rPr>
        <w:t>局部含少量</w:t>
      </w:r>
      <w:r>
        <w:rPr>
          <w:rFonts w:hint="default" w:ascii="Arial" w:hAnsi="Arial" w:cs="Arial"/>
          <w:color w:val="auto"/>
          <w:sz w:val="26"/>
          <w:szCs w:val="26"/>
        </w:rPr>
        <w:t>砂卵砾石、砂，厚</w:t>
      </w:r>
      <w:r>
        <w:rPr>
          <w:rFonts w:hint="default" w:ascii="Arial" w:hAnsi="Arial" w:cs="Arial"/>
          <w:color w:val="auto"/>
          <w:sz w:val="26"/>
          <w:szCs w:val="26"/>
          <w:lang w:val="en-US" w:eastAsia="zh-CN"/>
        </w:rPr>
        <w:t>2.8</w:t>
      </w:r>
      <w:r>
        <w:rPr>
          <w:rFonts w:hint="eastAsia" w:ascii="Arial" w:hAnsi="Arial" w:cs="Arial"/>
          <w:color w:val="auto"/>
          <w:sz w:val="26"/>
          <w:szCs w:val="26"/>
          <w:lang w:val="en-US" w:eastAsia="zh-CN"/>
        </w:rPr>
        <w:t>~</w:t>
      </w:r>
      <w:r>
        <w:rPr>
          <w:rFonts w:hint="default" w:ascii="Arial" w:hAnsi="Arial" w:cs="Arial"/>
          <w:color w:val="auto"/>
          <w:sz w:val="26"/>
          <w:szCs w:val="26"/>
          <w:lang w:val="en-US" w:eastAsia="zh-CN"/>
        </w:rPr>
        <w:t>4.0</w:t>
      </w:r>
      <w:r>
        <w:rPr>
          <w:rFonts w:hint="default" w:ascii="Arial" w:hAnsi="Arial" w:cs="Arial"/>
          <w:color w:val="auto"/>
          <w:sz w:val="26"/>
          <w:szCs w:val="26"/>
        </w:rPr>
        <w:t>m，主要分布于河床及阶地。</w:t>
      </w:r>
    </w:p>
    <w:p w14:paraId="7D9A82D1">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eastAsia="宋体" w:cs="Arial"/>
          <w:b w:val="0"/>
          <w:bCs/>
          <w:sz w:val="26"/>
          <w:szCs w:val="26"/>
          <w:lang w:val="en-US" w:eastAsia="zh-CN"/>
        </w:rPr>
      </w:pPr>
      <w:r>
        <w:rPr>
          <w:rFonts w:hint="default" w:ascii="Arial" w:hAnsi="Arial" w:cs="Arial"/>
          <w:b w:val="0"/>
          <w:bCs/>
          <w:color w:val="auto"/>
          <w:sz w:val="26"/>
          <w:szCs w:val="26"/>
        </w:rPr>
        <w:t>第四系残坡积层（Q</w:t>
      </w:r>
      <w:r>
        <w:rPr>
          <w:rFonts w:hint="default" w:ascii="Arial" w:hAnsi="Arial" w:cs="Arial"/>
          <w:b w:val="0"/>
          <w:bCs/>
          <w:color w:val="auto"/>
          <w:sz w:val="26"/>
          <w:szCs w:val="26"/>
          <w:vertAlign w:val="subscript"/>
        </w:rPr>
        <w:t>4</w:t>
      </w:r>
      <w:r>
        <w:rPr>
          <w:rFonts w:hint="default" w:ascii="Arial" w:hAnsi="Arial" w:cs="Arial"/>
          <w:b w:val="0"/>
          <w:bCs/>
          <w:color w:val="auto"/>
          <w:sz w:val="26"/>
          <w:szCs w:val="26"/>
          <w:vertAlign w:val="superscript"/>
        </w:rPr>
        <w:t>eld</w:t>
      </w:r>
      <w:r>
        <w:rPr>
          <w:rFonts w:hint="default" w:ascii="Arial" w:hAnsi="Arial" w:cs="Arial"/>
          <w:b w:val="0"/>
          <w:bCs/>
          <w:color w:val="auto"/>
          <w:sz w:val="26"/>
          <w:szCs w:val="26"/>
        </w:rPr>
        <w:t>）：为黄色、褐红色粘性土，含砂岩碎石，稍湿，可塑</w:t>
      </w:r>
      <w:r>
        <w:rPr>
          <w:rFonts w:hint="eastAsia" w:ascii="Arial" w:hAnsi="Arial" w:cs="Arial"/>
          <w:b w:val="0"/>
          <w:bCs/>
          <w:color w:val="auto"/>
          <w:sz w:val="26"/>
          <w:szCs w:val="26"/>
          <w:lang w:val="en-US" w:eastAsia="zh-CN"/>
        </w:rPr>
        <w:t>~</w:t>
      </w:r>
      <w:r>
        <w:rPr>
          <w:rFonts w:hint="default" w:ascii="Arial" w:hAnsi="Arial" w:cs="Arial"/>
          <w:b w:val="0"/>
          <w:bCs/>
          <w:color w:val="auto"/>
          <w:sz w:val="26"/>
          <w:szCs w:val="26"/>
        </w:rPr>
        <w:t>硬塑状，厚0.5</w:t>
      </w:r>
      <w:r>
        <w:rPr>
          <w:rFonts w:hint="eastAsia" w:ascii="Arial" w:hAnsi="Arial" w:cs="Arial"/>
          <w:b w:val="0"/>
          <w:bCs/>
          <w:color w:val="auto"/>
          <w:sz w:val="26"/>
          <w:szCs w:val="26"/>
          <w:lang w:val="en-US" w:eastAsia="zh-CN"/>
        </w:rPr>
        <w:t>~</w:t>
      </w:r>
      <w:r>
        <w:rPr>
          <w:rFonts w:hint="default" w:ascii="Arial" w:hAnsi="Arial" w:cs="Arial"/>
          <w:b w:val="0"/>
          <w:bCs/>
          <w:color w:val="auto"/>
          <w:sz w:val="26"/>
          <w:szCs w:val="26"/>
          <w:lang w:val="en-US" w:eastAsia="zh-CN"/>
        </w:rPr>
        <w:t>2.8</w:t>
      </w:r>
      <w:r>
        <w:rPr>
          <w:rFonts w:hint="default" w:ascii="Arial" w:hAnsi="Arial" w:cs="Arial"/>
          <w:b w:val="0"/>
          <w:bCs/>
          <w:color w:val="auto"/>
          <w:sz w:val="26"/>
          <w:szCs w:val="26"/>
        </w:rPr>
        <w:t>m，分布于两岸斜坡</w:t>
      </w:r>
      <w:r>
        <w:rPr>
          <w:rFonts w:hint="default" w:ascii="Arial" w:hAnsi="Arial" w:cs="Arial"/>
          <w:b w:val="0"/>
          <w:bCs/>
          <w:color w:val="auto"/>
          <w:sz w:val="26"/>
          <w:szCs w:val="26"/>
          <w:lang w:val="en-US" w:eastAsia="zh-CN"/>
        </w:rPr>
        <w:t>局部</w:t>
      </w:r>
      <w:r>
        <w:rPr>
          <w:rFonts w:hint="default" w:ascii="Arial" w:hAnsi="Arial" w:cs="Arial"/>
          <w:b w:val="0"/>
          <w:bCs/>
          <w:color w:val="auto"/>
          <w:sz w:val="26"/>
          <w:szCs w:val="26"/>
        </w:rPr>
        <w:t>。</w:t>
      </w:r>
    </w:p>
    <w:p w14:paraId="7FBA01EF">
      <w:pPr>
        <w:keepNext w:val="0"/>
        <w:keepLines w:val="0"/>
        <w:pageBreakBefore w:val="0"/>
        <w:widowControl w:val="0"/>
        <w:kinsoku/>
        <w:wordWrap/>
        <w:overflowPunct/>
        <w:topLinePunct w:val="0"/>
        <w:autoSpaceDE/>
        <w:autoSpaceDN/>
        <w:bidi w:val="0"/>
        <w:adjustRightInd/>
        <w:snapToGrid w:val="0"/>
        <w:spacing w:line="460" w:lineRule="exact"/>
        <w:ind w:firstLine="392" w:firstLineChars="150"/>
        <w:textAlignment w:val="auto"/>
        <w:rPr>
          <w:rFonts w:hint="default" w:ascii="Arial" w:hAnsi="Arial" w:eastAsia="宋体" w:cs="Arial"/>
          <w:b/>
          <w:bCs/>
          <w:color w:val="auto"/>
          <w:sz w:val="26"/>
          <w:szCs w:val="26"/>
          <w:lang w:val="en-US" w:eastAsia="zh-CN"/>
        </w:rPr>
      </w:pPr>
      <w:r>
        <w:rPr>
          <w:rFonts w:hint="eastAsia" w:ascii="Arial" w:hAnsi="Arial" w:cs="Arial"/>
          <w:b/>
          <w:bCs/>
          <w:color w:val="auto"/>
          <w:sz w:val="26"/>
          <w:szCs w:val="26"/>
          <w:lang w:eastAsia="zh-CN"/>
        </w:rPr>
        <w:t>（</w:t>
      </w:r>
      <w:r>
        <w:rPr>
          <w:rFonts w:hint="eastAsia" w:ascii="Arial" w:hAnsi="Arial" w:cs="Arial"/>
          <w:b/>
          <w:bCs/>
          <w:color w:val="auto"/>
          <w:sz w:val="26"/>
          <w:szCs w:val="26"/>
          <w:lang w:val="en-US" w:eastAsia="zh-CN"/>
        </w:rPr>
        <w:t>3）输水工程</w:t>
      </w:r>
    </w:p>
    <w:p w14:paraId="78ED8C1F">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color w:val="auto"/>
          <w:sz w:val="26"/>
          <w:szCs w:val="26"/>
          <w:lang w:val="en-US" w:eastAsia="zh-CN"/>
        </w:rPr>
      </w:pPr>
      <w:r>
        <w:rPr>
          <w:rFonts w:hint="default" w:ascii="Arial" w:hAnsi="Arial" w:eastAsia="宋体" w:cs="Arial"/>
          <w:color w:val="auto"/>
          <w:sz w:val="26"/>
          <w:szCs w:val="26"/>
          <w:lang w:val="en-US" w:eastAsia="zh-CN"/>
        </w:rPr>
        <w:t>输水管线</w:t>
      </w:r>
      <w:r>
        <w:rPr>
          <w:rFonts w:hint="default" w:ascii="Arial" w:hAnsi="Arial" w:eastAsia="宋体" w:cs="Arial"/>
          <w:color w:val="auto"/>
          <w:sz w:val="26"/>
          <w:szCs w:val="26"/>
        </w:rPr>
        <w:t>沿线出露的地层</w:t>
      </w:r>
      <w:r>
        <w:rPr>
          <w:rFonts w:hint="default" w:ascii="Arial" w:hAnsi="Arial" w:eastAsia="宋体" w:cs="Arial"/>
          <w:color w:val="auto"/>
          <w:sz w:val="26"/>
          <w:szCs w:val="26"/>
          <w:lang w:val="en-US" w:eastAsia="zh-CN"/>
        </w:rPr>
        <w:t>为</w:t>
      </w:r>
      <w:r>
        <w:rPr>
          <w:rFonts w:hint="default" w:ascii="Arial" w:hAnsi="Arial" w:eastAsia="宋体" w:cs="Arial"/>
          <w:color w:val="auto"/>
          <w:sz w:val="26"/>
          <w:szCs w:val="26"/>
        </w:rPr>
        <w:t>侏罗系中统上沙溪庙组（J</w:t>
      </w:r>
      <w:r>
        <w:rPr>
          <w:rFonts w:hint="default" w:ascii="Arial" w:hAnsi="Arial" w:eastAsia="宋体" w:cs="Arial"/>
          <w:color w:val="auto"/>
          <w:sz w:val="26"/>
          <w:szCs w:val="26"/>
          <w:vertAlign w:val="subscript"/>
        </w:rPr>
        <w:t>2</w:t>
      </w:r>
      <w:r>
        <w:rPr>
          <w:rFonts w:hint="default" w:ascii="Arial" w:hAnsi="Arial" w:eastAsia="宋体" w:cs="Arial"/>
          <w:color w:val="auto"/>
          <w:sz w:val="26"/>
          <w:szCs w:val="26"/>
        </w:rPr>
        <w:t>s）地层，岩性主要为砂岩、泥岩</w:t>
      </w:r>
      <w:r>
        <w:rPr>
          <w:rFonts w:hint="eastAsia" w:ascii="Arial" w:hAnsi="Arial" w:eastAsia="宋体" w:cs="Arial"/>
          <w:color w:val="auto"/>
          <w:sz w:val="26"/>
          <w:szCs w:val="26"/>
          <w:lang w:val="en-US" w:eastAsia="zh-CN"/>
        </w:rPr>
        <w:t>。</w:t>
      </w:r>
    </w:p>
    <w:p w14:paraId="1136BE49">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4.1.5气候与气象</w:t>
      </w:r>
    </w:p>
    <w:p w14:paraId="267326F6">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流域属亚热带湿润季风气候区，多年平均降水量1053.3mm，多年平均气温18.2℃，极端最高气温43.5℃，极端最低气温-2.5℃，多年平均年蒸发量为1058.6mm，多年平均风速1.0m/s，多年最大平均风速为17.0m/s。多年平均日照时数1333h；多年平均相对湿度81%；多年平均雾日数96d，雷暴日数51d。</w:t>
      </w:r>
    </w:p>
    <w:p w14:paraId="682D8EC7">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eastAsia" w:ascii="Arial" w:hAnsi="Arial" w:cs="Arial"/>
          <w:b/>
          <w:bCs w:val="0"/>
          <w:sz w:val="26"/>
          <w:szCs w:val="26"/>
          <w:lang w:val="en-US" w:eastAsia="zh-CN"/>
        </w:rPr>
      </w:pPr>
      <w:r>
        <w:rPr>
          <w:rFonts w:hint="eastAsia" w:ascii="Arial" w:hAnsi="Arial" w:eastAsia="宋体" w:cs="Arial"/>
          <w:b/>
          <w:bCs w:val="0"/>
          <w:sz w:val="26"/>
          <w:szCs w:val="26"/>
          <w:lang w:val="en-US" w:eastAsia="zh-CN"/>
        </w:rPr>
        <w:t>4.1.6</w:t>
      </w:r>
      <w:r>
        <w:rPr>
          <w:rFonts w:hint="eastAsia" w:ascii="Arial" w:hAnsi="Arial" w:cs="Arial"/>
          <w:b/>
          <w:bCs w:val="0"/>
          <w:sz w:val="26"/>
          <w:szCs w:val="26"/>
          <w:lang w:val="en-US" w:eastAsia="zh-CN"/>
        </w:rPr>
        <w:t>水文地质</w:t>
      </w:r>
    </w:p>
    <w:p w14:paraId="2FC94379">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工程区内地下水划分为四大类，即碳酸盐岩岩溶水、碎屑岩裂隙水、红层裂隙水及松散层孔隙水。</w:t>
      </w:r>
    </w:p>
    <w:p w14:paraId="0FD357B6">
      <w:pPr>
        <w:keepNext w:val="0"/>
        <w:keepLines w:val="0"/>
        <w:pageBreakBefore w:val="0"/>
        <w:widowControl w:val="0"/>
        <w:kinsoku/>
        <w:wordWrap/>
        <w:overflowPunct/>
        <w:topLinePunct w:val="0"/>
        <w:autoSpaceDE/>
        <w:autoSpaceDN/>
        <w:bidi w:val="0"/>
        <w:adjustRightInd/>
        <w:snapToGrid w:val="0"/>
        <w:spacing w:line="460" w:lineRule="exact"/>
        <w:ind w:firstLine="392" w:firstLineChars="150"/>
        <w:textAlignment w:val="auto"/>
        <w:rPr>
          <w:rFonts w:hint="default" w:ascii="Arial" w:hAnsi="Arial" w:eastAsia="宋体" w:cs="Arial"/>
          <w:b/>
          <w:bCs/>
          <w:color w:val="auto"/>
          <w:sz w:val="26"/>
          <w:szCs w:val="26"/>
          <w:lang w:eastAsia="zh-CN"/>
        </w:rPr>
      </w:pPr>
      <w:r>
        <w:rPr>
          <w:rFonts w:hint="default" w:ascii="Arial" w:hAnsi="Arial" w:eastAsia="宋体" w:cs="Arial"/>
          <w:b/>
          <w:bCs/>
          <w:color w:val="auto"/>
          <w:sz w:val="26"/>
          <w:szCs w:val="26"/>
          <w:lang w:eastAsia="zh-CN"/>
        </w:rPr>
        <w:t>（1）碳酸盐岩岩溶水</w:t>
      </w:r>
    </w:p>
    <w:p w14:paraId="2D80188D">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岩溶水为区内富水性最好的一类地下水。地下水赋存于三叠系碳酸盐岩地层中。岩溶发育，地下水径流模数1～3L/s·km</w:t>
      </w:r>
      <w:r>
        <w:rPr>
          <w:rFonts w:hint="default" w:ascii="Arial" w:hAnsi="Arial" w:cs="Arial"/>
          <w:color w:val="auto"/>
          <w:sz w:val="26"/>
          <w:szCs w:val="26"/>
          <w:vertAlign w:val="superscript"/>
        </w:rPr>
        <w:t>2</w:t>
      </w:r>
      <w:r>
        <w:rPr>
          <w:rFonts w:hint="default" w:ascii="Arial" w:hAnsi="Arial" w:cs="Arial"/>
          <w:color w:val="auto"/>
          <w:sz w:val="26"/>
          <w:szCs w:val="26"/>
        </w:rPr>
        <w:t>，往往有大泉出露，多为下降泉。区内岩溶水主要接受大气降水补给，储存于溶洞、暗河管道溶隙中，地下水一般顺构造线方向作纵向径流，主要在河流两岸及不同岩类接触带附近高程较低处以暗河、岩溶大泉的形式排泄，其循环强度自补给区向深切河谷急剧增大，排泄条件良好。</w:t>
      </w:r>
    </w:p>
    <w:p w14:paraId="2722C437">
      <w:pPr>
        <w:keepNext w:val="0"/>
        <w:keepLines w:val="0"/>
        <w:pageBreakBefore w:val="0"/>
        <w:widowControl w:val="0"/>
        <w:kinsoku/>
        <w:wordWrap/>
        <w:overflowPunct/>
        <w:topLinePunct w:val="0"/>
        <w:autoSpaceDE/>
        <w:autoSpaceDN/>
        <w:bidi w:val="0"/>
        <w:adjustRightInd/>
        <w:snapToGrid w:val="0"/>
        <w:spacing w:line="460" w:lineRule="exact"/>
        <w:ind w:firstLine="392" w:firstLineChars="150"/>
        <w:textAlignment w:val="auto"/>
        <w:rPr>
          <w:rFonts w:hint="default" w:ascii="Arial" w:hAnsi="Arial" w:eastAsia="宋体" w:cs="Arial"/>
          <w:b/>
          <w:bCs/>
          <w:color w:val="auto"/>
          <w:sz w:val="26"/>
          <w:szCs w:val="26"/>
          <w:lang w:eastAsia="zh-CN"/>
        </w:rPr>
      </w:pPr>
      <w:r>
        <w:rPr>
          <w:rFonts w:hint="default" w:ascii="Arial" w:hAnsi="Arial" w:eastAsia="宋体" w:cs="Arial"/>
          <w:b/>
          <w:bCs/>
          <w:color w:val="auto"/>
          <w:sz w:val="26"/>
          <w:szCs w:val="26"/>
          <w:lang w:eastAsia="zh-CN"/>
        </w:rPr>
        <w:t>（2）碎屑岩裂隙水</w:t>
      </w:r>
    </w:p>
    <w:p w14:paraId="6A5BBFA6">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该类地下水</w:t>
      </w:r>
      <w:r>
        <w:rPr>
          <w:rFonts w:hint="default" w:ascii="Arial" w:hAnsi="Arial" w:cs="Arial"/>
          <w:color w:val="auto"/>
          <w:sz w:val="26"/>
          <w:szCs w:val="26"/>
          <w:lang w:eastAsia="zh-CN"/>
        </w:rPr>
        <w:t>主要</w:t>
      </w:r>
      <w:r>
        <w:rPr>
          <w:rFonts w:hint="default" w:ascii="Arial" w:hAnsi="Arial" w:cs="Arial"/>
          <w:color w:val="auto"/>
          <w:sz w:val="26"/>
          <w:szCs w:val="26"/>
        </w:rPr>
        <w:t>赋存于砂岩裂隙中，顶底板均有页岩或煤层隔水层，形成多个无水力联系的层间承压含水层。含水层厚度300～500m，单孔涌水量100～500t/d。该类地下水主要在含水层露头区接受大气降水或地表水的补给，露头倾没线以下沿裂隙通道作纵向径流，主要通过横切沟谷排泄。</w:t>
      </w:r>
    </w:p>
    <w:p w14:paraId="60A08705">
      <w:pPr>
        <w:keepNext w:val="0"/>
        <w:keepLines w:val="0"/>
        <w:pageBreakBefore w:val="0"/>
        <w:widowControl w:val="0"/>
        <w:kinsoku/>
        <w:wordWrap/>
        <w:overflowPunct/>
        <w:topLinePunct w:val="0"/>
        <w:autoSpaceDE/>
        <w:autoSpaceDN/>
        <w:bidi w:val="0"/>
        <w:adjustRightInd/>
        <w:snapToGrid w:val="0"/>
        <w:spacing w:line="460" w:lineRule="exact"/>
        <w:ind w:firstLine="392" w:firstLineChars="150"/>
        <w:textAlignment w:val="auto"/>
        <w:rPr>
          <w:rFonts w:hint="default" w:ascii="Arial" w:hAnsi="Arial" w:eastAsia="宋体" w:cs="Arial"/>
          <w:b/>
          <w:bCs/>
          <w:color w:val="auto"/>
          <w:sz w:val="26"/>
          <w:szCs w:val="26"/>
          <w:lang w:eastAsia="zh-CN"/>
        </w:rPr>
      </w:pPr>
      <w:r>
        <w:rPr>
          <w:rFonts w:hint="default" w:ascii="Arial" w:hAnsi="Arial" w:eastAsia="宋体" w:cs="Arial"/>
          <w:b/>
          <w:bCs/>
          <w:color w:val="auto"/>
          <w:sz w:val="26"/>
          <w:szCs w:val="26"/>
          <w:lang w:eastAsia="zh-CN"/>
        </w:rPr>
        <w:t>（3）红层裂隙水</w:t>
      </w:r>
    </w:p>
    <w:p w14:paraId="69529CCD">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广泛分布于红层丘陵区和部分低山地带，地下水赋存于侏罗系珍珠冲组（J</w:t>
      </w:r>
      <w:r>
        <w:rPr>
          <w:rFonts w:hint="default" w:ascii="Arial" w:hAnsi="Arial" w:cs="Arial"/>
          <w:color w:val="auto"/>
          <w:sz w:val="26"/>
          <w:szCs w:val="26"/>
          <w:vertAlign w:val="subscript"/>
        </w:rPr>
        <w:t>1</w:t>
      </w:r>
      <w:r>
        <w:rPr>
          <w:rFonts w:hint="default" w:ascii="Arial" w:hAnsi="Arial" w:cs="Arial"/>
          <w:color w:val="auto"/>
          <w:sz w:val="26"/>
          <w:szCs w:val="26"/>
        </w:rPr>
        <w:t>z）、自流井组（J</w:t>
      </w:r>
      <w:r>
        <w:rPr>
          <w:rFonts w:hint="default" w:ascii="Arial" w:hAnsi="Arial" w:cs="Arial"/>
          <w:color w:val="auto"/>
          <w:sz w:val="26"/>
          <w:szCs w:val="26"/>
          <w:vertAlign w:val="subscript"/>
        </w:rPr>
        <w:t>1-2</w:t>
      </w:r>
      <w:r>
        <w:rPr>
          <w:rFonts w:hint="default" w:ascii="Arial" w:hAnsi="Arial" w:cs="Arial"/>
          <w:color w:val="auto"/>
          <w:sz w:val="26"/>
          <w:szCs w:val="26"/>
        </w:rPr>
        <w:t>z）、新田沟组（J</w:t>
      </w:r>
      <w:r>
        <w:rPr>
          <w:rFonts w:hint="default" w:ascii="Arial" w:hAnsi="Arial" w:cs="Arial"/>
          <w:color w:val="auto"/>
          <w:sz w:val="26"/>
          <w:szCs w:val="26"/>
          <w:vertAlign w:val="subscript"/>
        </w:rPr>
        <w:t>2</w:t>
      </w:r>
      <w:r>
        <w:rPr>
          <w:rFonts w:hint="default" w:ascii="Arial" w:hAnsi="Arial" w:cs="Arial"/>
          <w:color w:val="auto"/>
          <w:sz w:val="26"/>
          <w:szCs w:val="26"/>
        </w:rPr>
        <w:t>x）、下沙溪庙组（J</w:t>
      </w:r>
      <w:r>
        <w:rPr>
          <w:rFonts w:hint="default" w:ascii="Arial" w:hAnsi="Arial" w:cs="Arial"/>
          <w:color w:val="auto"/>
          <w:sz w:val="26"/>
          <w:szCs w:val="26"/>
          <w:vertAlign w:val="subscript"/>
        </w:rPr>
        <w:t>2</w:t>
      </w:r>
      <w:r>
        <w:rPr>
          <w:rFonts w:hint="default" w:ascii="Arial" w:hAnsi="Arial" w:cs="Arial"/>
          <w:color w:val="auto"/>
          <w:sz w:val="26"/>
          <w:szCs w:val="26"/>
        </w:rPr>
        <w:t>xs）、上沙溪庙组（J</w:t>
      </w:r>
      <w:r>
        <w:rPr>
          <w:rFonts w:hint="default" w:ascii="Arial" w:hAnsi="Arial" w:cs="Arial"/>
          <w:color w:val="auto"/>
          <w:sz w:val="26"/>
          <w:szCs w:val="26"/>
          <w:vertAlign w:val="subscript"/>
        </w:rPr>
        <w:t>2</w:t>
      </w:r>
      <w:r>
        <w:rPr>
          <w:rFonts w:hint="default" w:ascii="Arial" w:hAnsi="Arial" w:cs="Arial"/>
          <w:color w:val="auto"/>
          <w:sz w:val="26"/>
          <w:szCs w:val="26"/>
        </w:rPr>
        <w:t>s）和遂宁组（J</w:t>
      </w:r>
      <w:r>
        <w:rPr>
          <w:rFonts w:hint="default" w:ascii="Arial" w:hAnsi="Arial" w:cs="Arial"/>
          <w:color w:val="auto"/>
          <w:sz w:val="26"/>
          <w:szCs w:val="26"/>
          <w:vertAlign w:val="subscript"/>
        </w:rPr>
        <w:t>3</w:t>
      </w:r>
      <w:r>
        <w:rPr>
          <w:rFonts w:hint="default" w:ascii="Arial" w:hAnsi="Arial" w:cs="Arial"/>
          <w:color w:val="auto"/>
          <w:sz w:val="26"/>
          <w:szCs w:val="26"/>
        </w:rPr>
        <w:t>s）、蓬莱镇组（J</w:t>
      </w:r>
      <w:r>
        <w:rPr>
          <w:rFonts w:hint="default" w:ascii="Arial" w:hAnsi="Arial" w:cs="Arial"/>
          <w:color w:val="auto"/>
          <w:sz w:val="26"/>
          <w:szCs w:val="26"/>
          <w:vertAlign w:val="subscript"/>
        </w:rPr>
        <w:t>3</w:t>
      </w:r>
      <w:r>
        <w:rPr>
          <w:rFonts w:hint="default" w:ascii="Arial" w:hAnsi="Arial" w:cs="Arial"/>
          <w:color w:val="auto"/>
          <w:sz w:val="26"/>
          <w:szCs w:val="26"/>
        </w:rPr>
        <w:t>p）砂泥岩风化带中。其特点是：富水程度差，但分布普遍。单孔涌水量小于100t/d，泉流量小于0.05L/s。区内各含水砂岩层均被透水微弱的泥岩所隔而自成系统，相互间很少有水力联系。砂岩含水层在露头区接受大气降水或地表水补给，随地形由高向低作纵向径流，多在河、溪、沟、谷切割含水层时以下降泉的形式排泄。</w:t>
      </w:r>
    </w:p>
    <w:p w14:paraId="4B6BEAF1">
      <w:pPr>
        <w:keepNext w:val="0"/>
        <w:keepLines w:val="0"/>
        <w:pageBreakBefore w:val="0"/>
        <w:widowControl w:val="0"/>
        <w:kinsoku/>
        <w:wordWrap/>
        <w:overflowPunct/>
        <w:topLinePunct w:val="0"/>
        <w:autoSpaceDE/>
        <w:autoSpaceDN/>
        <w:bidi w:val="0"/>
        <w:adjustRightInd/>
        <w:snapToGrid w:val="0"/>
        <w:spacing w:line="460" w:lineRule="exact"/>
        <w:ind w:firstLine="392" w:firstLineChars="150"/>
        <w:textAlignment w:val="auto"/>
        <w:rPr>
          <w:rFonts w:hint="default" w:ascii="Arial" w:hAnsi="Arial" w:eastAsia="宋体" w:cs="Arial"/>
          <w:b/>
          <w:bCs/>
          <w:color w:val="auto"/>
          <w:sz w:val="26"/>
          <w:szCs w:val="26"/>
          <w:lang w:eastAsia="zh-CN"/>
        </w:rPr>
      </w:pPr>
      <w:r>
        <w:rPr>
          <w:rFonts w:hint="default" w:ascii="Arial" w:hAnsi="Arial" w:eastAsia="宋体" w:cs="Arial"/>
          <w:b/>
          <w:bCs/>
          <w:color w:val="auto"/>
          <w:sz w:val="26"/>
          <w:szCs w:val="26"/>
          <w:lang w:eastAsia="zh-CN"/>
        </w:rPr>
        <w:t>（4）松散层孔隙水</w:t>
      </w:r>
    </w:p>
    <w:p w14:paraId="569AB1F5">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Arial" w:hAnsi="Arial" w:cs="Arial"/>
          <w:color w:val="auto"/>
          <w:sz w:val="26"/>
          <w:szCs w:val="26"/>
        </w:rPr>
      </w:pPr>
      <w:r>
        <w:rPr>
          <w:rFonts w:hint="default" w:ascii="Arial" w:hAnsi="Arial" w:cs="Arial"/>
          <w:color w:val="auto"/>
          <w:sz w:val="26"/>
          <w:szCs w:val="26"/>
        </w:rPr>
        <w:t>零星分布于河床及两岸残坡积、崩坡积覆盖层中，主要为冲积砂卵石、粘土夹块石，主要接受大气降水、河水补给，分布分散，工程意义不大。</w:t>
      </w:r>
    </w:p>
    <w:p w14:paraId="09A3DFE9">
      <w:pPr>
        <w:spacing w:line="440" w:lineRule="exact"/>
        <w:ind w:firstLine="480"/>
        <w:rPr>
          <w:rFonts w:hint="eastAsia" w:ascii="Arial" w:cs="Arial"/>
          <w:bCs/>
          <w:color w:val="auto"/>
          <w:sz w:val="26"/>
          <w:szCs w:val="26"/>
        </w:rPr>
      </w:pPr>
      <w:r>
        <w:rPr>
          <w:rFonts w:hint="eastAsia" w:ascii="Arial" w:hAnsi="Arial" w:cs="Arial"/>
          <w:bCs/>
          <w:color w:val="auto"/>
          <w:sz w:val="26"/>
          <w:szCs w:val="26"/>
        </w:rPr>
        <w:t>拟建项目所在地水文地质详见</w:t>
      </w:r>
      <w:r>
        <w:rPr>
          <w:rFonts w:hint="eastAsia" w:ascii="Arial" w:hAnsi="Arial" w:cs="Arial"/>
          <w:b/>
          <w:bCs/>
          <w:color w:val="auto"/>
          <w:sz w:val="26"/>
          <w:szCs w:val="26"/>
        </w:rPr>
        <w:t>附图8</w:t>
      </w:r>
      <w:r>
        <w:rPr>
          <w:rFonts w:hint="eastAsia" w:ascii="Arial" w:hAnsi="Arial" w:cs="Arial"/>
          <w:bCs/>
          <w:color w:val="auto"/>
          <w:sz w:val="26"/>
          <w:szCs w:val="26"/>
        </w:rPr>
        <w:t>所示。</w:t>
      </w:r>
    </w:p>
    <w:p w14:paraId="09CC973A">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eastAsia" w:ascii="Arial" w:hAnsi="Arial" w:eastAsia="宋体" w:cs="Arial"/>
          <w:b/>
          <w:bCs w:val="0"/>
          <w:sz w:val="26"/>
          <w:szCs w:val="26"/>
          <w:lang w:val="en-US" w:eastAsia="zh-CN"/>
        </w:rPr>
      </w:pPr>
      <w:r>
        <w:rPr>
          <w:rFonts w:hint="eastAsia" w:ascii="Arial" w:hAnsi="Arial" w:cs="Arial"/>
          <w:b/>
          <w:bCs w:val="0"/>
          <w:sz w:val="26"/>
          <w:szCs w:val="26"/>
          <w:lang w:val="en-US" w:eastAsia="zh-CN"/>
        </w:rPr>
        <w:t>4.1.7</w:t>
      </w:r>
      <w:r>
        <w:rPr>
          <w:rFonts w:hint="eastAsia" w:ascii="Arial" w:hAnsi="Arial" w:eastAsia="宋体" w:cs="Arial"/>
          <w:b/>
          <w:bCs w:val="0"/>
          <w:sz w:val="26"/>
          <w:szCs w:val="26"/>
          <w:lang w:val="en-US" w:eastAsia="zh-CN"/>
        </w:rPr>
        <w:t>河流水系</w:t>
      </w:r>
    </w:p>
    <w:p w14:paraId="3FE3FAF0">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color w:val="auto"/>
          <w:kern w:val="2"/>
          <w:sz w:val="26"/>
          <w:szCs w:val="26"/>
          <w:lang w:val="en-US" w:eastAsia="zh-CN" w:bidi="ar-SA"/>
        </w:rPr>
      </w:pPr>
      <w:r>
        <w:rPr>
          <w:rFonts w:hint="default" w:ascii="Arial" w:hAnsi="Arial" w:cs="Arial"/>
          <w:b w:val="0"/>
          <w:color w:val="auto"/>
          <w:kern w:val="2"/>
          <w:sz w:val="26"/>
          <w:szCs w:val="26"/>
          <w:lang w:val="en-US" w:eastAsia="zh-CN" w:bidi="ar-SA"/>
        </w:rPr>
        <w:t>海螺沟水库工程位于</w:t>
      </w:r>
      <w:r>
        <w:rPr>
          <w:rFonts w:hint="eastAsia" w:ascii="Arial" w:hAnsi="Arial" w:cs="Arial"/>
          <w:color w:val="auto"/>
          <w:kern w:val="0"/>
          <w:sz w:val="26"/>
          <w:szCs w:val="26"/>
          <w:highlight w:val="none"/>
          <w:lang w:val="en-US" w:eastAsia="zh-CN"/>
        </w:rPr>
        <w:t>高洞桥河</w:t>
      </w:r>
      <w:r>
        <w:rPr>
          <w:rFonts w:hint="default" w:ascii="Arial" w:hAnsi="Arial" w:cs="Arial"/>
          <w:b w:val="0"/>
          <w:color w:val="auto"/>
          <w:kern w:val="2"/>
          <w:sz w:val="26"/>
          <w:szCs w:val="26"/>
          <w:lang w:val="en-US" w:eastAsia="zh-CN" w:bidi="ar-SA"/>
        </w:rPr>
        <w:t>支流海螺沟上，</w:t>
      </w:r>
      <w:r>
        <w:rPr>
          <w:rFonts w:hint="eastAsia" w:ascii="Arial" w:hAnsi="Arial" w:cs="Arial"/>
          <w:b w:val="0"/>
          <w:color w:val="auto"/>
          <w:kern w:val="2"/>
          <w:sz w:val="26"/>
          <w:szCs w:val="26"/>
          <w:lang w:val="en-US" w:eastAsia="zh-CN" w:bidi="ar-SA"/>
        </w:rPr>
        <w:t>高洞桥河系双龙河右岸一级支流，</w:t>
      </w:r>
      <w:r>
        <w:rPr>
          <w:rFonts w:hint="default" w:ascii="Arial" w:hAnsi="Arial" w:cs="Arial"/>
          <w:b w:val="0"/>
          <w:color w:val="auto"/>
          <w:kern w:val="2"/>
          <w:sz w:val="26"/>
          <w:szCs w:val="26"/>
          <w:lang w:val="en-US" w:eastAsia="zh-CN" w:bidi="ar-SA"/>
        </w:rPr>
        <w:t>双龙河系渠溪河左岸一级支流</w:t>
      </w:r>
      <w:r>
        <w:rPr>
          <w:rFonts w:hint="eastAsia" w:ascii="Arial" w:hAnsi="Arial" w:cs="Arial"/>
          <w:b w:val="0"/>
          <w:color w:val="auto"/>
          <w:kern w:val="2"/>
          <w:sz w:val="26"/>
          <w:szCs w:val="26"/>
          <w:lang w:val="en-US" w:eastAsia="zh-CN" w:bidi="ar-SA"/>
        </w:rPr>
        <w:t>。</w:t>
      </w:r>
    </w:p>
    <w:p w14:paraId="3D17FC96">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渠溪河为长江左岸一级小支流，发源于忠县马灌镇果园村2组大碑垭口，流经忠县拔山镇、永丰镇、白石镇、善广乡；丰都县青龙乡、董家镇、双龙镇、三元镇、仁沙镇、兴龙镇、社坛镇后于涪陵区珍溪镇渠溪村渠溪口汇入长江。渠系河干流全长109km，总落差334.8m，平均坡降3.06</w:t>
      </w:r>
      <w:r>
        <w:rPr>
          <w:rFonts w:hint="default" w:ascii="Arial" w:hAnsi="Arial" w:cs="Arial"/>
          <w:b w:val="0"/>
          <w:color w:val="auto"/>
          <w:kern w:val="2"/>
          <w:sz w:val="26"/>
          <w:szCs w:val="26"/>
          <w:lang w:val="en-US" w:eastAsia="zh-CN" w:bidi="ar-SA"/>
        </w:rPr>
        <w:t>‰</w:t>
      </w:r>
      <w:r>
        <w:rPr>
          <w:rFonts w:hint="eastAsia" w:ascii="Arial" w:hAnsi="Arial" w:cs="Arial"/>
          <w:b w:val="0"/>
          <w:color w:val="auto"/>
          <w:kern w:val="2"/>
          <w:sz w:val="26"/>
          <w:szCs w:val="26"/>
          <w:lang w:val="en-US" w:eastAsia="zh-CN" w:bidi="ar-SA"/>
        </w:rPr>
        <w:t>，流域面积913km</w:t>
      </w:r>
      <w:r>
        <w:rPr>
          <w:rFonts w:hint="eastAsia" w:ascii="Arial" w:hAnsi="Arial" w:cs="Arial"/>
          <w:b w:val="0"/>
          <w:color w:val="auto"/>
          <w:kern w:val="2"/>
          <w:sz w:val="26"/>
          <w:szCs w:val="26"/>
          <w:vertAlign w:val="superscript"/>
          <w:lang w:val="en-US" w:eastAsia="zh-CN" w:bidi="ar-SA"/>
        </w:rPr>
        <w:t>2</w:t>
      </w:r>
      <w:r>
        <w:rPr>
          <w:rFonts w:hint="eastAsia" w:ascii="Arial" w:hAnsi="Arial" w:cs="Arial"/>
          <w:b w:val="0"/>
          <w:color w:val="auto"/>
          <w:kern w:val="2"/>
          <w:sz w:val="26"/>
          <w:szCs w:val="26"/>
          <w:lang w:val="en-US" w:eastAsia="zh-CN" w:bidi="ar-SA"/>
        </w:rPr>
        <w:t>。</w:t>
      </w:r>
    </w:p>
    <w:p w14:paraId="021AF0C6">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双龙河</w:t>
      </w:r>
      <w:r>
        <w:rPr>
          <w:rFonts w:hint="default" w:ascii="Arial" w:hAnsi="Arial" w:cs="Arial"/>
          <w:b w:val="0"/>
          <w:color w:val="auto"/>
          <w:kern w:val="2"/>
          <w:sz w:val="26"/>
          <w:szCs w:val="26"/>
          <w:lang w:val="en-US" w:eastAsia="zh-CN" w:bidi="ar-SA"/>
        </w:rPr>
        <w:t>系渠溪河左岸一级支流，发源于丰都县青龙乡双河村瓜儿湾，流经山河寨、大河坝、回龙场、双龙场镇、瓦屋咀，于丰都县双龙镇关都坝村李家大湾汇入渠溪河</w:t>
      </w:r>
      <w:r>
        <w:rPr>
          <w:rFonts w:hint="eastAsia" w:ascii="Arial" w:hAnsi="Arial" w:cs="Arial"/>
          <w:b w:val="0"/>
          <w:color w:val="auto"/>
          <w:kern w:val="2"/>
          <w:sz w:val="26"/>
          <w:szCs w:val="26"/>
          <w:lang w:val="en-US" w:eastAsia="zh-CN" w:bidi="ar-SA"/>
        </w:rPr>
        <w:t>，</w:t>
      </w:r>
      <w:r>
        <w:rPr>
          <w:rFonts w:hint="default" w:ascii="Arial" w:hAnsi="Arial" w:cs="Arial"/>
          <w:b w:val="0"/>
          <w:color w:val="auto"/>
          <w:kern w:val="2"/>
          <w:sz w:val="26"/>
          <w:szCs w:val="26"/>
          <w:lang w:val="en-US" w:eastAsia="zh-CN" w:bidi="ar-SA"/>
        </w:rPr>
        <w:t>全流域集雨面积72.3km</w:t>
      </w:r>
      <w:r>
        <w:rPr>
          <w:rFonts w:hint="default" w:ascii="Arial" w:hAnsi="Arial" w:cs="Arial"/>
          <w:b w:val="0"/>
          <w:color w:val="auto"/>
          <w:kern w:val="2"/>
          <w:sz w:val="26"/>
          <w:szCs w:val="26"/>
          <w:vertAlign w:val="superscript"/>
          <w:lang w:val="en-US" w:eastAsia="zh-CN" w:bidi="ar-SA"/>
        </w:rPr>
        <w:t>2</w:t>
      </w:r>
      <w:r>
        <w:rPr>
          <w:rFonts w:hint="default" w:ascii="Arial" w:hAnsi="Arial" w:cs="Arial"/>
          <w:b w:val="0"/>
          <w:color w:val="auto"/>
          <w:kern w:val="2"/>
          <w:sz w:val="26"/>
          <w:szCs w:val="26"/>
          <w:lang w:val="en-US" w:eastAsia="zh-CN" w:bidi="ar-SA"/>
        </w:rPr>
        <w:t>，河道全长17km。</w:t>
      </w:r>
    </w:p>
    <w:p w14:paraId="0A039EE7">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default" w:ascii="Arial" w:hAnsi="Arial" w:cs="Arial"/>
          <w:b w:val="0"/>
          <w:color w:val="auto"/>
          <w:kern w:val="2"/>
          <w:sz w:val="26"/>
          <w:szCs w:val="26"/>
          <w:lang w:val="en-US" w:eastAsia="zh-CN" w:bidi="ar-SA"/>
        </w:rPr>
        <w:t>高洞桥河系双龙河右岸一级支流，发源于青天坡一带，流经河坝、梅子溪、龙井坡、高洞桥、响水氹、雅雀湾于双龙镇双龙场处汇入双龙河。高洞桥河全流域面积26.55km</w:t>
      </w:r>
      <w:r>
        <w:rPr>
          <w:rFonts w:hint="default" w:ascii="Arial" w:hAnsi="Arial" w:cs="Arial"/>
          <w:b w:val="0"/>
          <w:color w:val="auto"/>
          <w:kern w:val="2"/>
          <w:sz w:val="26"/>
          <w:szCs w:val="26"/>
          <w:vertAlign w:val="superscript"/>
          <w:lang w:val="en-US" w:eastAsia="zh-CN" w:bidi="ar-SA"/>
        </w:rPr>
        <w:t>2</w:t>
      </w:r>
      <w:r>
        <w:rPr>
          <w:rFonts w:hint="default" w:ascii="Arial" w:hAnsi="Arial" w:cs="Arial"/>
          <w:b w:val="0"/>
          <w:color w:val="auto"/>
          <w:kern w:val="2"/>
          <w:sz w:val="26"/>
          <w:szCs w:val="26"/>
          <w:lang w:val="en-US" w:eastAsia="zh-CN" w:bidi="ar-SA"/>
        </w:rPr>
        <w:t>，河道全长13.46km，河道平均比降27.07‰。</w:t>
      </w:r>
    </w:p>
    <w:p w14:paraId="1A887712">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color w:val="auto"/>
          <w:kern w:val="2"/>
          <w:sz w:val="26"/>
          <w:szCs w:val="26"/>
          <w:lang w:val="en-US" w:eastAsia="zh-CN" w:bidi="ar-SA"/>
        </w:rPr>
      </w:pPr>
      <w:r>
        <w:rPr>
          <w:rFonts w:hint="default" w:ascii="Arial" w:hAnsi="Arial" w:cs="Arial"/>
          <w:b w:val="0"/>
          <w:color w:val="auto"/>
          <w:kern w:val="2"/>
          <w:sz w:val="26"/>
          <w:szCs w:val="26"/>
          <w:lang w:val="en-US" w:eastAsia="zh-CN" w:bidi="ar-SA"/>
        </w:rPr>
        <w:t>海螺沟系双龙河右岸支流高洞桥河左岸一级支流，发源于双龙镇小垭口，流经庄子山、庙湾、马槽子，于龙家院子处汇入</w:t>
      </w:r>
      <w:r>
        <w:rPr>
          <w:rFonts w:hint="eastAsia" w:ascii="Arial" w:hAnsi="Arial" w:cs="Arial"/>
          <w:b w:val="0"/>
          <w:color w:val="auto"/>
          <w:kern w:val="2"/>
          <w:sz w:val="26"/>
          <w:szCs w:val="26"/>
          <w:lang w:val="en-US" w:eastAsia="zh-CN" w:bidi="ar-SA"/>
        </w:rPr>
        <w:t>双龙河</w:t>
      </w:r>
      <w:r>
        <w:rPr>
          <w:rFonts w:hint="default" w:ascii="Arial" w:hAnsi="Arial" w:cs="Arial"/>
          <w:b w:val="0"/>
          <w:color w:val="auto"/>
          <w:kern w:val="2"/>
          <w:sz w:val="26"/>
          <w:szCs w:val="26"/>
          <w:lang w:val="en-US" w:eastAsia="zh-CN" w:bidi="ar-SA"/>
        </w:rPr>
        <w:t>。海螺沟河道全长3.6km，全流域集雨面积3.48km</w:t>
      </w:r>
      <w:r>
        <w:rPr>
          <w:rFonts w:hint="default" w:ascii="Arial" w:hAnsi="Arial" w:cs="Arial"/>
          <w:b w:val="0"/>
          <w:color w:val="auto"/>
          <w:kern w:val="2"/>
          <w:sz w:val="26"/>
          <w:szCs w:val="26"/>
          <w:vertAlign w:val="superscript"/>
          <w:lang w:val="en-US" w:eastAsia="zh-CN" w:bidi="ar-SA"/>
        </w:rPr>
        <w:t>2</w:t>
      </w:r>
      <w:r>
        <w:rPr>
          <w:rFonts w:hint="default" w:ascii="Arial" w:hAnsi="Arial" w:cs="Arial"/>
          <w:b w:val="0"/>
          <w:color w:val="auto"/>
          <w:kern w:val="2"/>
          <w:sz w:val="26"/>
          <w:szCs w:val="26"/>
          <w:lang w:val="en-US" w:eastAsia="zh-CN" w:bidi="ar-SA"/>
        </w:rPr>
        <w:t>。</w:t>
      </w:r>
    </w:p>
    <w:p w14:paraId="4D9563B9">
      <w:pPr>
        <w:spacing w:line="440" w:lineRule="exact"/>
        <w:ind w:firstLine="520" w:firstLineChars="200"/>
        <w:rPr>
          <w:rFonts w:hint="eastAsia" w:ascii="Arial" w:hAnsi="Arial" w:cs="Arial"/>
          <w:b w:val="0"/>
          <w:color w:val="auto"/>
          <w:kern w:val="2"/>
          <w:sz w:val="26"/>
          <w:szCs w:val="26"/>
          <w:lang w:val="en-US" w:eastAsia="zh-CN" w:bidi="ar-SA"/>
        </w:rPr>
      </w:pPr>
      <w:r>
        <w:rPr>
          <w:rFonts w:hint="default" w:ascii="Arial" w:hAnsi="Arial" w:cs="Arial"/>
          <w:b w:val="0"/>
          <w:color w:val="auto"/>
          <w:kern w:val="2"/>
          <w:sz w:val="26"/>
          <w:szCs w:val="26"/>
          <w:lang w:val="en-US" w:eastAsia="zh-CN" w:bidi="ar-SA"/>
        </w:rPr>
        <w:t>海螺沟水库坝址位于海螺沟中游，下坝址</w:t>
      </w:r>
      <w:r>
        <w:rPr>
          <w:rFonts w:hint="eastAsia" w:ascii="Arial" w:hAnsi="Arial" w:cs="Arial"/>
          <w:b w:val="0"/>
          <w:color w:val="auto"/>
          <w:kern w:val="2"/>
          <w:sz w:val="26"/>
          <w:szCs w:val="26"/>
          <w:lang w:val="en-US" w:eastAsia="zh-CN" w:bidi="ar-SA"/>
        </w:rPr>
        <w:t>处</w:t>
      </w:r>
      <w:r>
        <w:rPr>
          <w:rFonts w:hint="default" w:ascii="Arial" w:hAnsi="Arial" w:cs="Arial"/>
          <w:b w:val="0"/>
          <w:color w:val="auto"/>
          <w:kern w:val="2"/>
          <w:sz w:val="26"/>
          <w:szCs w:val="26"/>
          <w:lang w:val="en-US" w:eastAsia="zh-CN" w:bidi="ar-SA"/>
        </w:rPr>
        <w:t>集雨面积2.</w:t>
      </w:r>
      <w:r>
        <w:rPr>
          <w:rFonts w:hint="eastAsia" w:ascii="Arial" w:hAnsi="Arial" w:cs="Arial"/>
          <w:b w:val="0"/>
          <w:color w:val="auto"/>
          <w:kern w:val="2"/>
          <w:sz w:val="26"/>
          <w:szCs w:val="26"/>
          <w:lang w:val="en-US" w:eastAsia="zh-CN" w:bidi="ar-SA"/>
        </w:rPr>
        <w:t>04</w:t>
      </w:r>
      <w:r>
        <w:rPr>
          <w:rFonts w:hint="default" w:ascii="Arial" w:hAnsi="Arial" w:cs="Arial"/>
          <w:b w:val="0"/>
          <w:color w:val="auto"/>
          <w:kern w:val="2"/>
          <w:sz w:val="26"/>
          <w:szCs w:val="26"/>
          <w:lang w:val="en-US" w:eastAsia="zh-CN" w:bidi="ar-SA"/>
        </w:rPr>
        <w:t>km</w:t>
      </w:r>
      <w:r>
        <w:rPr>
          <w:rFonts w:hint="default" w:ascii="Arial" w:hAnsi="Arial" w:cs="Arial"/>
          <w:b w:val="0"/>
          <w:color w:val="auto"/>
          <w:kern w:val="2"/>
          <w:sz w:val="26"/>
          <w:szCs w:val="26"/>
          <w:vertAlign w:val="superscript"/>
          <w:lang w:val="en-US" w:eastAsia="zh-CN" w:bidi="ar-SA"/>
        </w:rPr>
        <w:t>2</w:t>
      </w:r>
      <w:r>
        <w:rPr>
          <w:rFonts w:hint="default" w:ascii="Arial" w:hAnsi="Arial" w:cs="Arial"/>
          <w:b w:val="0"/>
          <w:color w:val="auto"/>
          <w:kern w:val="2"/>
          <w:sz w:val="26"/>
          <w:szCs w:val="26"/>
          <w:lang w:val="en-US" w:eastAsia="zh-CN" w:bidi="ar-SA"/>
        </w:rPr>
        <w:t>，河道长河道长</w:t>
      </w:r>
      <w:r>
        <w:rPr>
          <w:rFonts w:hint="eastAsia" w:ascii="Arial" w:hAnsi="Arial" w:cs="Arial"/>
          <w:b w:val="0"/>
          <w:color w:val="auto"/>
          <w:kern w:val="2"/>
          <w:sz w:val="26"/>
          <w:szCs w:val="26"/>
          <w:lang w:val="en-US" w:eastAsia="zh-CN" w:bidi="ar-SA"/>
        </w:rPr>
        <w:t>2.17</w:t>
      </w:r>
      <w:r>
        <w:rPr>
          <w:rFonts w:hint="default" w:ascii="Arial" w:hAnsi="Arial" w:cs="Arial"/>
          <w:b w:val="0"/>
          <w:color w:val="auto"/>
          <w:kern w:val="2"/>
          <w:sz w:val="26"/>
          <w:szCs w:val="26"/>
          <w:lang w:val="en-US" w:eastAsia="zh-CN" w:bidi="ar-SA"/>
        </w:rPr>
        <w:t>km，河道平均比降</w:t>
      </w:r>
      <w:r>
        <w:rPr>
          <w:rFonts w:hint="eastAsia" w:ascii="Arial" w:hAnsi="Arial" w:cs="Arial"/>
          <w:b w:val="0"/>
          <w:color w:val="auto"/>
          <w:kern w:val="2"/>
          <w:sz w:val="26"/>
          <w:szCs w:val="26"/>
          <w:lang w:val="en-US" w:eastAsia="zh-CN" w:bidi="ar-SA"/>
        </w:rPr>
        <w:t>98.64</w:t>
      </w:r>
      <w:r>
        <w:rPr>
          <w:rFonts w:hint="default" w:ascii="Arial" w:hAnsi="Arial" w:cs="Arial"/>
          <w:b w:val="0"/>
          <w:color w:val="auto"/>
          <w:kern w:val="2"/>
          <w:sz w:val="26"/>
          <w:szCs w:val="26"/>
          <w:lang w:val="en-US" w:eastAsia="zh-CN" w:bidi="ar-SA"/>
        </w:rPr>
        <w:t>‰</w:t>
      </w:r>
      <w:r>
        <w:rPr>
          <w:rFonts w:hint="eastAsia" w:ascii="Arial" w:hAnsi="Arial" w:cs="Arial"/>
          <w:b w:val="0"/>
          <w:color w:val="auto"/>
          <w:kern w:val="2"/>
          <w:sz w:val="26"/>
          <w:szCs w:val="26"/>
          <w:lang w:val="en-US" w:eastAsia="zh-CN" w:bidi="ar-SA"/>
        </w:rPr>
        <w:t>。</w:t>
      </w:r>
    </w:p>
    <w:p w14:paraId="462F7A9F">
      <w:pPr>
        <w:spacing w:line="440" w:lineRule="exact"/>
        <w:ind w:firstLine="480"/>
        <w:rPr>
          <w:rFonts w:hint="eastAsia" w:ascii="Arial" w:hAnsi="Arial" w:cs="Arial"/>
          <w:bCs/>
          <w:color w:val="auto"/>
          <w:sz w:val="26"/>
          <w:szCs w:val="26"/>
        </w:rPr>
      </w:pPr>
      <w:r>
        <w:rPr>
          <w:rFonts w:hint="eastAsia" w:ascii="Arial" w:hAnsi="Arial" w:cs="Arial"/>
          <w:bCs/>
          <w:color w:val="auto"/>
          <w:sz w:val="26"/>
          <w:szCs w:val="26"/>
        </w:rPr>
        <w:t>拟建项目所在地地表水系详见</w:t>
      </w:r>
      <w:r>
        <w:rPr>
          <w:rFonts w:hint="eastAsia" w:ascii="Arial" w:hAnsi="Arial" w:cs="Arial"/>
          <w:b/>
          <w:bCs/>
          <w:color w:val="auto"/>
          <w:sz w:val="26"/>
          <w:szCs w:val="26"/>
        </w:rPr>
        <w:t>附图7</w:t>
      </w:r>
      <w:r>
        <w:rPr>
          <w:rFonts w:hint="eastAsia" w:ascii="Arial" w:hAnsi="Arial" w:cs="Arial"/>
          <w:bCs/>
          <w:color w:val="auto"/>
          <w:sz w:val="26"/>
          <w:szCs w:val="26"/>
        </w:rPr>
        <w:t>所示。</w:t>
      </w:r>
    </w:p>
    <w:p w14:paraId="3AF526AC">
      <w:pPr>
        <w:spacing w:line="440" w:lineRule="exact"/>
        <w:ind w:firstLine="480"/>
        <w:rPr>
          <w:rFonts w:hint="eastAsia" w:ascii="Arial" w:hAnsi="Arial" w:cs="Arial"/>
          <w:b/>
          <w:bCs w:val="0"/>
          <w:sz w:val="26"/>
          <w:szCs w:val="26"/>
          <w:lang w:val="en-US" w:eastAsia="zh-CN"/>
        </w:rPr>
      </w:pPr>
      <w:r>
        <w:rPr>
          <w:rFonts w:hint="eastAsia" w:ascii="Arial" w:hAnsi="Arial" w:cs="Arial"/>
          <w:b/>
          <w:bCs w:val="0"/>
          <w:sz w:val="26"/>
          <w:szCs w:val="26"/>
          <w:lang w:val="en-US" w:eastAsia="zh-CN"/>
        </w:rPr>
        <w:t>4.1.8土壤</w:t>
      </w:r>
    </w:p>
    <w:p w14:paraId="2C87908B">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丰都县土壤母质主要由4种类型构成：①第四系全新统、更新统河流冲积母质；②侏罗系、三叠系紫色沙泥、页土坡积、残积母质；③三叠系、二叠系、志留系、奥陶系、寒式系灰岩、白云岩风化物；④三叠系须家河组灰色长石石英砂岩，及其他地层的非紫色岩石风化物。全县农业土壤分为潮土、紫色土、石灰</w:t>
      </w:r>
      <w:r>
        <w:rPr>
          <w:rFonts w:hint="eastAsia" w:ascii="宋体" w:hAnsi="宋体" w:eastAsia="宋体" w:cs="宋体"/>
          <w:b w:val="0"/>
          <w:color w:val="auto"/>
          <w:kern w:val="2"/>
          <w:sz w:val="26"/>
          <w:szCs w:val="26"/>
          <w:lang w:val="en-US" w:eastAsia="zh-CN" w:bidi="ar-SA"/>
        </w:rPr>
        <w:t>(岩)</w:t>
      </w:r>
      <w:r>
        <w:rPr>
          <w:rFonts w:hint="eastAsia" w:ascii="Arial" w:hAnsi="Arial" w:eastAsia="宋体" w:cs="Arial"/>
          <w:b w:val="0"/>
          <w:color w:val="auto"/>
          <w:kern w:val="2"/>
          <w:sz w:val="26"/>
          <w:szCs w:val="26"/>
          <w:lang w:val="en-US" w:eastAsia="zh-CN" w:bidi="ar-SA"/>
        </w:rPr>
        <w:t>土、黄壤、水稻土5个土类，6个亚类，16个土属，75个土种，152个变种。</w:t>
      </w:r>
    </w:p>
    <w:p w14:paraId="4D28FBC0">
      <w:pPr>
        <w:pStyle w:val="1291"/>
        <w:keepNext w:val="0"/>
        <w:keepLines w:val="0"/>
        <w:pageBreakBefore w:val="0"/>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highlight w:val="none"/>
          <w:lang w:eastAsia="zh-CN"/>
        </w:rPr>
      </w:pPr>
      <w:bookmarkStart w:id="90" w:name="_Toc26620"/>
      <w:r>
        <w:rPr>
          <w:rFonts w:hint="default" w:ascii="Arial" w:hAnsi="Arial" w:cs="Arial"/>
          <w:sz w:val="26"/>
          <w:szCs w:val="26"/>
          <w:highlight w:val="none"/>
        </w:rPr>
        <w:t>4.2</w:t>
      </w:r>
      <w:r>
        <w:rPr>
          <w:rFonts w:hint="eastAsia" w:ascii="Arial" w:hAnsi="Arial" w:cs="Arial"/>
          <w:sz w:val="26"/>
          <w:szCs w:val="26"/>
          <w:highlight w:val="none"/>
          <w:lang w:eastAsia="zh-CN"/>
        </w:rPr>
        <w:t>生态</w:t>
      </w:r>
      <w:bookmarkEnd w:id="90"/>
      <w:r>
        <w:rPr>
          <w:rFonts w:hint="eastAsia" w:ascii="Arial" w:hAnsi="Arial" w:cs="Arial"/>
          <w:sz w:val="26"/>
          <w:szCs w:val="26"/>
          <w:highlight w:val="none"/>
          <w:lang w:eastAsia="zh-CN"/>
        </w:rPr>
        <w:t>环境现状</w:t>
      </w:r>
    </w:p>
    <w:p w14:paraId="2F9D6BAD">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详见《丰都县海螺沟水库工程生态现状调查与生态影响评价报告》。</w:t>
      </w:r>
    </w:p>
    <w:p w14:paraId="2138FA8F">
      <w:pPr>
        <w:pStyle w:val="1291"/>
        <w:keepNext w:val="0"/>
        <w:keepLines w:val="0"/>
        <w:pageBreakBefore w:val="0"/>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cs="Arial"/>
          <w:sz w:val="26"/>
          <w:szCs w:val="26"/>
        </w:rPr>
      </w:pPr>
      <w:bookmarkStart w:id="91" w:name="_Toc30748"/>
      <w:r>
        <w:rPr>
          <w:rFonts w:hint="default" w:ascii="Arial" w:hAnsi="Arial" w:cs="Arial"/>
          <w:sz w:val="26"/>
          <w:szCs w:val="26"/>
        </w:rPr>
        <w:t>4.</w:t>
      </w:r>
      <w:r>
        <w:rPr>
          <w:rFonts w:hint="eastAsia" w:ascii="Arial" w:hAnsi="Arial" w:cs="Arial"/>
          <w:sz w:val="26"/>
          <w:szCs w:val="26"/>
          <w:lang w:val="en-US" w:eastAsia="zh-CN"/>
        </w:rPr>
        <w:t>3</w:t>
      </w:r>
      <w:r>
        <w:rPr>
          <w:rFonts w:hint="default" w:ascii="Arial" w:hAnsi="Arial" w:cs="Arial"/>
          <w:sz w:val="26"/>
          <w:szCs w:val="26"/>
        </w:rPr>
        <w:t>环境质量现状调查与评价</w:t>
      </w:r>
      <w:bookmarkEnd w:id="91"/>
    </w:p>
    <w:p w14:paraId="312DE28C">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eastAsia="宋体" w:cs="Arial"/>
          <w:b/>
          <w:bCs w:val="0"/>
          <w:sz w:val="26"/>
          <w:szCs w:val="26"/>
          <w:lang w:val="en-US" w:eastAsia="zh-CN"/>
        </w:rPr>
      </w:pPr>
      <w:bookmarkStart w:id="92" w:name="_Toc36041081"/>
      <w:bookmarkStart w:id="93" w:name="_Toc34987880"/>
      <w:bookmarkStart w:id="94" w:name="_Toc34987879"/>
      <w:bookmarkStart w:id="95" w:name="_Toc36041080"/>
      <w:r>
        <w:rPr>
          <w:rFonts w:hint="default" w:ascii="Arial" w:hAnsi="Arial" w:eastAsia="宋体" w:cs="Arial"/>
          <w:b/>
          <w:bCs w:val="0"/>
          <w:sz w:val="26"/>
          <w:szCs w:val="26"/>
          <w:lang w:val="en-US" w:eastAsia="zh-CN"/>
        </w:rPr>
        <w:t>4.</w:t>
      </w:r>
      <w:r>
        <w:rPr>
          <w:rFonts w:hint="eastAsia" w:ascii="Arial" w:hAnsi="Arial" w:eastAsia="宋体" w:cs="Arial"/>
          <w:b/>
          <w:bCs w:val="0"/>
          <w:sz w:val="26"/>
          <w:szCs w:val="26"/>
          <w:lang w:val="en-US" w:eastAsia="zh-CN"/>
        </w:rPr>
        <w:t>3.1环境空气质量现状与评价</w:t>
      </w:r>
      <w:bookmarkEnd w:id="92"/>
      <w:bookmarkEnd w:id="93"/>
    </w:p>
    <w:p w14:paraId="1BFC82B9">
      <w:pPr>
        <w:keepNext w:val="0"/>
        <w:keepLines w:val="0"/>
        <w:pageBreakBefore w:val="0"/>
        <w:widowControl w:val="0"/>
        <w:kinsoku/>
        <w:wordWrap/>
        <w:overflowPunct/>
        <w:topLinePunct w:val="0"/>
        <w:autoSpaceDE/>
        <w:autoSpaceDN/>
        <w:bidi w:val="0"/>
        <w:spacing w:line="460" w:lineRule="exact"/>
        <w:ind w:firstLine="48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根据重庆市生态环境局公布的《202</w:t>
      </w:r>
      <w:r>
        <w:rPr>
          <w:rFonts w:hint="eastAsia" w:ascii="Arial" w:hAnsi="Arial" w:cs="Arial"/>
          <w:b w:val="0"/>
          <w:color w:val="auto"/>
          <w:kern w:val="2"/>
          <w:sz w:val="26"/>
          <w:szCs w:val="26"/>
          <w:lang w:val="en-US" w:eastAsia="zh-CN" w:bidi="ar-SA"/>
        </w:rPr>
        <w:t>3</w:t>
      </w:r>
      <w:r>
        <w:rPr>
          <w:rFonts w:hint="eastAsia" w:ascii="Arial" w:hAnsi="Arial" w:eastAsia="宋体" w:cs="Arial"/>
          <w:b w:val="0"/>
          <w:color w:val="auto"/>
          <w:kern w:val="2"/>
          <w:sz w:val="26"/>
          <w:szCs w:val="26"/>
          <w:lang w:val="en-US" w:eastAsia="zh-CN" w:bidi="ar-SA"/>
        </w:rPr>
        <w:t>年重庆市生态环境状况公报》，拟建项目所在丰都县的环境空气质量状况如下表4.3-1所示。</w:t>
      </w:r>
    </w:p>
    <w:p w14:paraId="78699FF5">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eastAsia="宋体" w:cs="Arial"/>
          <w:b/>
          <w:sz w:val="26"/>
          <w:szCs w:val="26"/>
        </w:rPr>
      </w:pPr>
      <w:r>
        <w:rPr>
          <w:rFonts w:hint="eastAsia" w:ascii="Arial" w:hAnsi="Arial" w:eastAsia="宋体" w:cs="Arial"/>
          <w:b/>
          <w:sz w:val="26"/>
          <w:szCs w:val="26"/>
        </w:rPr>
        <w:t>表4.</w:t>
      </w:r>
      <w:r>
        <w:rPr>
          <w:rFonts w:hint="eastAsia" w:ascii="Arial" w:hAnsi="Arial" w:eastAsia="宋体" w:cs="Arial"/>
          <w:b/>
          <w:sz w:val="26"/>
          <w:szCs w:val="26"/>
          <w:lang w:val="en-US" w:eastAsia="zh-CN"/>
        </w:rPr>
        <w:t>3-1</w:t>
      </w:r>
      <w:r>
        <w:rPr>
          <w:rFonts w:hint="eastAsia" w:ascii="Arial" w:hAnsi="Arial" w:eastAsia="宋体" w:cs="Arial"/>
          <w:b/>
          <w:sz w:val="26"/>
          <w:szCs w:val="26"/>
        </w:rPr>
        <w:t xml:space="preserve">  </w:t>
      </w:r>
      <w:r>
        <w:rPr>
          <w:rFonts w:hint="eastAsia" w:ascii="Arial" w:hAnsi="Arial" w:eastAsia="宋体" w:cs="Arial"/>
          <w:b/>
          <w:sz w:val="26"/>
          <w:szCs w:val="26"/>
          <w:lang w:eastAsia="zh-CN"/>
        </w:rPr>
        <w:t>丰都县区域环境空气质量状况统计表</w:t>
      </w:r>
      <w:r>
        <w:rPr>
          <w:rFonts w:hint="eastAsia" w:ascii="Arial" w:hAnsi="Arial" w:eastAsia="宋体" w:cs="Arial"/>
          <w:b/>
          <w:sz w:val="26"/>
          <w:szCs w:val="26"/>
        </w:rPr>
        <w:t xml:space="preserve">    单位：</w:t>
      </w:r>
      <w:r>
        <w:rPr>
          <w:rFonts w:hint="eastAsia" w:ascii="Arial" w:hAnsi="Arial" w:eastAsia="宋体" w:cs="Arial"/>
          <w:b/>
          <w:sz w:val="26"/>
          <w:szCs w:val="26"/>
          <w:lang w:val="en-US" w:eastAsia="zh-CN"/>
        </w:rPr>
        <w:t>u</w:t>
      </w:r>
      <w:r>
        <w:rPr>
          <w:rFonts w:hint="eastAsia" w:ascii="Arial" w:hAnsi="Arial" w:eastAsia="宋体" w:cs="Arial"/>
          <w:b/>
          <w:sz w:val="26"/>
          <w:szCs w:val="26"/>
        </w:rPr>
        <w:t>g/m</w:t>
      </w:r>
      <w:r>
        <w:rPr>
          <w:rFonts w:hint="eastAsia" w:ascii="Arial" w:hAnsi="Arial" w:eastAsia="宋体" w:cs="Arial"/>
          <w:b/>
          <w:sz w:val="26"/>
          <w:szCs w:val="26"/>
          <w:vertAlign w:val="superscript"/>
        </w:rPr>
        <w:t>3</w:t>
      </w:r>
    </w:p>
    <w:tbl>
      <w:tblPr>
        <w:tblStyle w:val="77"/>
        <w:tblW w:w="4611" w:type="pct"/>
        <w:jc w:val="center"/>
        <w:tblLayout w:type="autofit"/>
        <w:tblCellMar>
          <w:top w:w="0" w:type="dxa"/>
          <w:left w:w="108" w:type="dxa"/>
          <w:bottom w:w="0" w:type="dxa"/>
          <w:right w:w="108" w:type="dxa"/>
        </w:tblCellMar>
      </w:tblPr>
      <w:tblGrid>
        <w:gridCol w:w="711"/>
        <w:gridCol w:w="895"/>
        <w:gridCol w:w="1285"/>
        <w:gridCol w:w="913"/>
        <w:gridCol w:w="797"/>
        <w:gridCol w:w="1055"/>
        <w:gridCol w:w="961"/>
        <w:gridCol w:w="864"/>
        <w:gridCol w:w="869"/>
      </w:tblGrid>
      <w:tr w14:paraId="72D6FC7D">
        <w:tblPrEx>
          <w:tblCellMar>
            <w:top w:w="0" w:type="dxa"/>
            <w:left w:w="108" w:type="dxa"/>
            <w:bottom w:w="0" w:type="dxa"/>
            <w:right w:w="108" w:type="dxa"/>
          </w:tblCellMar>
        </w:tblPrEx>
        <w:trPr>
          <w:trHeight w:val="315" w:hRule="atLeast"/>
          <w:jc w:val="center"/>
        </w:trPr>
        <w:tc>
          <w:tcPr>
            <w:tcW w:w="429" w:type="pct"/>
            <w:vMerge w:val="restart"/>
            <w:tcBorders>
              <w:top w:val="single" w:color="auto" w:sz="12" w:space="0"/>
              <w:left w:val="single" w:color="auto" w:sz="12" w:space="0"/>
              <w:bottom w:val="single" w:color="auto" w:sz="4" w:space="0"/>
              <w:right w:val="single" w:color="auto" w:sz="4" w:space="0"/>
            </w:tcBorders>
            <w:vAlign w:val="center"/>
          </w:tcPr>
          <w:p w14:paraId="5FA2B4F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r>
              <w:rPr>
                <w:rFonts w:hint="default" w:ascii="Arial" w:hAnsi="Arial" w:cs="Arial"/>
                <w:bCs/>
                <w:kern w:val="0"/>
                <w:sz w:val="22"/>
                <w:szCs w:val="22"/>
              </w:rPr>
              <w:t>区域</w:t>
            </w:r>
          </w:p>
        </w:tc>
        <w:tc>
          <w:tcPr>
            <w:tcW w:w="539" w:type="pct"/>
            <w:vMerge w:val="restart"/>
            <w:tcBorders>
              <w:top w:val="single" w:color="auto" w:sz="12" w:space="0"/>
              <w:left w:val="single" w:color="auto" w:sz="4" w:space="0"/>
              <w:bottom w:val="single" w:color="auto" w:sz="4" w:space="0"/>
              <w:right w:val="single" w:color="auto" w:sz="4" w:space="0"/>
            </w:tcBorders>
            <w:vAlign w:val="center"/>
          </w:tcPr>
          <w:p w14:paraId="5C41E32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r>
              <w:rPr>
                <w:rFonts w:hint="default" w:ascii="Arial" w:hAnsi="Arial" w:cs="Arial"/>
                <w:bCs/>
                <w:kern w:val="0"/>
                <w:sz w:val="22"/>
                <w:szCs w:val="22"/>
              </w:rPr>
              <w:t>污染物</w:t>
            </w:r>
          </w:p>
        </w:tc>
        <w:tc>
          <w:tcPr>
            <w:tcW w:w="743" w:type="pct"/>
            <w:vMerge w:val="restart"/>
            <w:tcBorders>
              <w:top w:val="single" w:color="auto" w:sz="12" w:space="0"/>
              <w:left w:val="single" w:color="auto" w:sz="4" w:space="0"/>
              <w:bottom w:val="single" w:color="auto" w:sz="4" w:space="0"/>
              <w:right w:val="single" w:color="auto" w:sz="4" w:space="0"/>
            </w:tcBorders>
            <w:vAlign w:val="center"/>
          </w:tcPr>
          <w:p w14:paraId="18D2AE6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r>
              <w:rPr>
                <w:rFonts w:hint="default" w:ascii="Arial" w:hAnsi="Arial" w:cs="Arial"/>
                <w:bCs/>
                <w:kern w:val="0"/>
                <w:sz w:val="22"/>
                <w:szCs w:val="22"/>
              </w:rPr>
              <w:t>评价指标</w:t>
            </w:r>
          </w:p>
        </w:tc>
        <w:tc>
          <w:tcPr>
            <w:tcW w:w="549" w:type="pct"/>
            <w:vMerge w:val="restart"/>
            <w:tcBorders>
              <w:top w:val="single" w:color="auto" w:sz="12" w:space="0"/>
              <w:left w:val="single" w:color="auto" w:sz="4" w:space="0"/>
              <w:bottom w:val="single" w:color="auto" w:sz="4" w:space="0"/>
              <w:right w:val="single" w:color="auto" w:sz="4" w:space="0"/>
            </w:tcBorders>
            <w:vAlign w:val="center"/>
          </w:tcPr>
          <w:p w14:paraId="090FA71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r>
              <w:rPr>
                <w:rFonts w:hint="default" w:ascii="Arial" w:hAnsi="Arial" w:cs="Arial"/>
                <w:bCs/>
                <w:kern w:val="0"/>
                <w:sz w:val="22"/>
                <w:szCs w:val="22"/>
              </w:rPr>
              <w:t>现状</w:t>
            </w:r>
          </w:p>
          <w:p w14:paraId="237CF3F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r>
              <w:rPr>
                <w:rFonts w:hint="default" w:ascii="Arial" w:hAnsi="Arial" w:cs="Arial"/>
                <w:bCs/>
                <w:kern w:val="0"/>
                <w:sz w:val="22"/>
                <w:szCs w:val="22"/>
              </w:rPr>
              <w:t>浓度</w:t>
            </w:r>
          </w:p>
        </w:tc>
        <w:tc>
          <w:tcPr>
            <w:tcW w:w="480" w:type="pct"/>
            <w:vMerge w:val="restart"/>
            <w:tcBorders>
              <w:top w:val="single" w:color="auto" w:sz="12" w:space="0"/>
              <w:left w:val="single" w:color="auto" w:sz="4" w:space="0"/>
              <w:bottom w:val="single" w:color="auto" w:sz="4" w:space="0"/>
              <w:right w:val="single" w:color="auto" w:sz="4" w:space="0"/>
            </w:tcBorders>
            <w:vAlign w:val="center"/>
          </w:tcPr>
          <w:p w14:paraId="55E1141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r>
              <w:rPr>
                <w:rFonts w:hint="default" w:ascii="Arial" w:hAnsi="Arial" w:cs="Arial"/>
                <w:bCs/>
                <w:kern w:val="0"/>
                <w:sz w:val="22"/>
                <w:szCs w:val="22"/>
              </w:rPr>
              <w:t>标准值</w:t>
            </w:r>
          </w:p>
        </w:tc>
        <w:tc>
          <w:tcPr>
            <w:tcW w:w="634" w:type="pct"/>
            <w:vMerge w:val="restart"/>
            <w:tcBorders>
              <w:top w:val="single" w:color="auto" w:sz="12" w:space="0"/>
              <w:left w:val="single" w:color="auto" w:sz="4" w:space="0"/>
              <w:bottom w:val="single" w:color="auto" w:sz="4" w:space="0"/>
              <w:right w:val="single" w:color="auto" w:sz="4" w:space="0"/>
            </w:tcBorders>
            <w:vAlign w:val="center"/>
          </w:tcPr>
          <w:p w14:paraId="6EB2ADF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bCs/>
                <w:kern w:val="0"/>
                <w:sz w:val="22"/>
                <w:szCs w:val="22"/>
                <w:lang w:val="en-US" w:eastAsia="zh-CN"/>
              </w:rPr>
            </w:pPr>
            <w:r>
              <w:rPr>
                <w:rFonts w:hint="default" w:ascii="Arial" w:hAnsi="Arial" w:cs="Arial"/>
                <w:bCs/>
                <w:kern w:val="0"/>
                <w:sz w:val="22"/>
                <w:szCs w:val="22"/>
              </w:rPr>
              <w:t>占标率</w:t>
            </w:r>
            <w:r>
              <w:rPr>
                <w:rFonts w:hint="eastAsia" w:ascii="Arial" w:hAnsi="Arial" w:cs="Arial"/>
                <w:bCs/>
                <w:kern w:val="0"/>
                <w:sz w:val="22"/>
                <w:szCs w:val="22"/>
                <w:lang w:val="en-US" w:eastAsia="zh-CN"/>
              </w:rPr>
              <w:t>%</w:t>
            </w:r>
          </w:p>
        </w:tc>
        <w:tc>
          <w:tcPr>
            <w:tcW w:w="578" w:type="pct"/>
            <w:vMerge w:val="restart"/>
            <w:tcBorders>
              <w:top w:val="single" w:color="auto" w:sz="12" w:space="0"/>
              <w:left w:val="single" w:color="auto" w:sz="4" w:space="0"/>
              <w:bottom w:val="single" w:color="auto" w:sz="4" w:space="0"/>
              <w:right w:val="single" w:color="auto" w:sz="4" w:space="0"/>
            </w:tcBorders>
            <w:vAlign w:val="center"/>
          </w:tcPr>
          <w:p w14:paraId="60396F1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r>
              <w:rPr>
                <w:rFonts w:hint="default" w:ascii="Arial" w:hAnsi="Arial" w:cs="Arial"/>
                <w:bCs/>
                <w:kern w:val="0"/>
                <w:sz w:val="22"/>
                <w:szCs w:val="22"/>
              </w:rPr>
              <w:t>达标</w:t>
            </w:r>
          </w:p>
          <w:p w14:paraId="117B67B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r>
              <w:rPr>
                <w:rFonts w:hint="default" w:ascii="Arial" w:hAnsi="Arial" w:cs="Arial"/>
                <w:bCs/>
                <w:kern w:val="0"/>
                <w:sz w:val="22"/>
                <w:szCs w:val="22"/>
              </w:rPr>
              <w:t>情况</w:t>
            </w:r>
          </w:p>
        </w:tc>
        <w:tc>
          <w:tcPr>
            <w:tcW w:w="520" w:type="pct"/>
            <w:vMerge w:val="restart"/>
            <w:tcBorders>
              <w:top w:val="single" w:color="auto" w:sz="12" w:space="0"/>
              <w:left w:val="single" w:color="auto" w:sz="4" w:space="0"/>
              <w:bottom w:val="single" w:color="auto" w:sz="4" w:space="0"/>
              <w:right w:val="single" w:color="auto" w:sz="4" w:space="0"/>
            </w:tcBorders>
            <w:vAlign w:val="center"/>
          </w:tcPr>
          <w:p w14:paraId="02BFD34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r>
              <w:rPr>
                <w:rFonts w:hint="default" w:ascii="Arial" w:hAnsi="Arial" w:cs="Arial"/>
                <w:bCs/>
                <w:kern w:val="0"/>
                <w:sz w:val="22"/>
                <w:szCs w:val="22"/>
              </w:rPr>
              <w:t>超标倍数</w:t>
            </w:r>
          </w:p>
        </w:tc>
        <w:tc>
          <w:tcPr>
            <w:tcW w:w="523" w:type="pct"/>
            <w:vMerge w:val="restart"/>
            <w:tcBorders>
              <w:top w:val="single" w:color="auto" w:sz="12" w:space="0"/>
              <w:left w:val="single" w:color="auto" w:sz="4" w:space="0"/>
              <w:bottom w:val="single" w:color="auto" w:sz="4" w:space="0"/>
              <w:right w:val="single" w:color="auto" w:sz="12" w:space="0"/>
            </w:tcBorders>
            <w:vAlign w:val="center"/>
          </w:tcPr>
          <w:p w14:paraId="5BEE3FD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r>
              <w:rPr>
                <w:rFonts w:hint="default" w:ascii="Arial" w:hAnsi="Arial" w:cs="Arial"/>
                <w:bCs/>
                <w:kern w:val="0"/>
                <w:sz w:val="22"/>
                <w:szCs w:val="22"/>
              </w:rPr>
              <w:t>超标率</w:t>
            </w:r>
          </w:p>
        </w:tc>
      </w:tr>
      <w:tr w14:paraId="1FF77949">
        <w:tblPrEx>
          <w:tblCellMar>
            <w:top w:w="0" w:type="dxa"/>
            <w:left w:w="108" w:type="dxa"/>
            <w:bottom w:w="0" w:type="dxa"/>
            <w:right w:w="108" w:type="dxa"/>
          </w:tblCellMar>
        </w:tblPrEx>
        <w:trPr>
          <w:trHeight w:val="447" w:hRule="atLeast"/>
          <w:jc w:val="center"/>
        </w:trPr>
        <w:tc>
          <w:tcPr>
            <w:tcW w:w="429" w:type="pct"/>
            <w:vMerge w:val="continue"/>
            <w:tcBorders>
              <w:top w:val="single" w:color="auto" w:sz="4" w:space="0"/>
              <w:left w:val="single" w:color="auto" w:sz="12" w:space="0"/>
              <w:bottom w:val="single" w:color="auto" w:sz="4" w:space="0"/>
              <w:right w:val="single" w:color="auto" w:sz="4" w:space="0"/>
            </w:tcBorders>
            <w:vAlign w:val="center"/>
          </w:tcPr>
          <w:p w14:paraId="366A19F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p>
        </w:tc>
        <w:tc>
          <w:tcPr>
            <w:tcW w:w="539" w:type="pct"/>
            <w:vMerge w:val="continue"/>
            <w:tcBorders>
              <w:top w:val="single" w:color="auto" w:sz="4" w:space="0"/>
              <w:left w:val="single" w:color="auto" w:sz="4" w:space="0"/>
              <w:bottom w:val="single" w:color="auto" w:sz="4" w:space="0"/>
              <w:right w:val="single" w:color="auto" w:sz="4" w:space="0"/>
            </w:tcBorders>
            <w:vAlign w:val="center"/>
          </w:tcPr>
          <w:p w14:paraId="3AC6A8A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p>
        </w:tc>
        <w:tc>
          <w:tcPr>
            <w:tcW w:w="743" w:type="pct"/>
            <w:vMerge w:val="continue"/>
            <w:tcBorders>
              <w:top w:val="single" w:color="auto" w:sz="4" w:space="0"/>
              <w:left w:val="single" w:color="auto" w:sz="4" w:space="0"/>
              <w:bottom w:val="single" w:color="auto" w:sz="4" w:space="0"/>
              <w:right w:val="single" w:color="auto" w:sz="4" w:space="0"/>
            </w:tcBorders>
            <w:vAlign w:val="center"/>
          </w:tcPr>
          <w:p w14:paraId="0311E2A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14:paraId="1811210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p>
        </w:tc>
        <w:tc>
          <w:tcPr>
            <w:tcW w:w="480" w:type="pct"/>
            <w:vMerge w:val="continue"/>
            <w:tcBorders>
              <w:top w:val="single" w:color="auto" w:sz="4" w:space="0"/>
              <w:left w:val="single" w:color="auto" w:sz="4" w:space="0"/>
              <w:bottom w:val="single" w:color="auto" w:sz="4" w:space="0"/>
              <w:right w:val="single" w:color="auto" w:sz="4" w:space="0"/>
            </w:tcBorders>
            <w:vAlign w:val="center"/>
          </w:tcPr>
          <w:p w14:paraId="68A07A6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p>
        </w:tc>
        <w:tc>
          <w:tcPr>
            <w:tcW w:w="634" w:type="pct"/>
            <w:vMerge w:val="continue"/>
            <w:tcBorders>
              <w:top w:val="single" w:color="auto" w:sz="4" w:space="0"/>
              <w:left w:val="single" w:color="auto" w:sz="4" w:space="0"/>
              <w:bottom w:val="single" w:color="auto" w:sz="4" w:space="0"/>
              <w:right w:val="single" w:color="auto" w:sz="4" w:space="0"/>
            </w:tcBorders>
            <w:vAlign w:val="center"/>
          </w:tcPr>
          <w:p w14:paraId="5483691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p>
        </w:tc>
        <w:tc>
          <w:tcPr>
            <w:tcW w:w="578" w:type="pct"/>
            <w:vMerge w:val="continue"/>
            <w:tcBorders>
              <w:top w:val="single" w:color="auto" w:sz="4" w:space="0"/>
              <w:left w:val="single" w:color="auto" w:sz="4" w:space="0"/>
              <w:bottom w:val="single" w:color="auto" w:sz="4" w:space="0"/>
              <w:right w:val="single" w:color="auto" w:sz="4" w:space="0"/>
            </w:tcBorders>
            <w:vAlign w:val="center"/>
          </w:tcPr>
          <w:p w14:paraId="54CDF56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p>
        </w:tc>
        <w:tc>
          <w:tcPr>
            <w:tcW w:w="520" w:type="pct"/>
            <w:vMerge w:val="continue"/>
            <w:tcBorders>
              <w:top w:val="single" w:color="auto" w:sz="4" w:space="0"/>
              <w:left w:val="single" w:color="auto" w:sz="4" w:space="0"/>
              <w:bottom w:val="single" w:color="auto" w:sz="4" w:space="0"/>
              <w:right w:val="single" w:color="auto" w:sz="4" w:space="0"/>
            </w:tcBorders>
            <w:vAlign w:val="center"/>
          </w:tcPr>
          <w:p w14:paraId="7914D88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p>
        </w:tc>
        <w:tc>
          <w:tcPr>
            <w:tcW w:w="523" w:type="pct"/>
            <w:vMerge w:val="continue"/>
            <w:tcBorders>
              <w:top w:val="single" w:color="auto" w:sz="4" w:space="0"/>
              <w:left w:val="single" w:color="auto" w:sz="4" w:space="0"/>
              <w:bottom w:val="single" w:color="auto" w:sz="4" w:space="0"/>
              <w:right w:val="single" w:color="auto" w:sz="12" w:space="0"/>
            </w:tcBorders>
            <w:vAlign w:val="center"/>
          </w:tcPr>
          <w:p w14:paraId="5ACA0B2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bCs/>
                <w:kern w:val="0"/>
                <w:sz w:val="22"/>
                <w:szCs w:val="22"/>
              </w:rPr>
            </w:pPr>
          </w:p>
        </w:tc>
      </w:tr>
      <w:tr w14:paraId="0B219C8E">
        <w:tblPrEx>
          <w:tblCellMar>
            <w:top w:w="0" w:type="dxa"/>
            <w:left w:w="108" w:type="dxa"/>
            <w:bottom w:w="0" w:type="dxa"/>
            <w:right w:w="108" w:type="dxa"/>
          </w:tblCellMar>
        </w:tblPrEx>
        <w:trPr>
          <w:trHeight w:val="315" w:hRule="atLeast"/>
          <w:jc w:val="center"/>
        </w:trPr>
        <w:tc>
          <w:tcPr>
            <w:tcW w:w="429" w:type="pct"/>
            <w:vMerge w:val="restart"/>
            <w:tcBorders>
              <w:top w:val="single" w:color="auto" w:sz="4" w:space="0"/>
              <w:left w:val="single" w:color="auto" w:sz="12" w:space="0"/>
              <w:bottom w:val="single" w:color="auto" w:sz="4" w:space="0"/>
              <w:right w:val="single" w:color="auto" w:sz="4" w:space="0"/>
            </w:tcBorders>
            <w:vAlign w:val="center"/>
          </w:tcPr>
          <w:p w14:paraId="7EB67A6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eastAsia="zh-CN"/>
              </w:rPr>
            </w:pPr>
            <w:r>
              <w:rPr>
                <w:rFonts w:hint="default" w:ascii="Arial" w:hAnsi="Arial" w:cs="Arial"/>
                <w:kern w:val="0"/>
                <w:sz w:val="22"/>
                <w:szCs w:val="22"/>
                <w:lang w:val="en-US" w:eastAsia="zh-CN"/>
              </w:rPr>
              <w:t>垫江县</w:t>
            </w:r>
          </w:p>
        </w:tc>
        <w:tc>
          <w:tcPr>
            <w:tcW w:w="539" w:type="pct"/>
            <w:tcBorders>
              <w:top w:val="single" w:color="auto" w:sz="4" w:space="0"/>
              <w:left w:val="single" w:color="auto" w:sz="4" w:space="0"/>
              <w:bottom w:val="single" w:color="auto" w:sz="4" w:space="0"/>
              <w:right w:val="single" w:color="auto" w:sz="4" w:space="0"/>
            </w:tcBorders>
            <w:vAlign w:val="center"/>
          </w:tcPr>
          <w:p w14:paraId="02D97E7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PM</w:t>
            </w:r>
            <w:r>
              <w:rPr>
                <w:rFonts w:hint="default" w:ascii="Arial" w:hAnsi="Arial" w:cs="Arial"/>
                <w:kern w:val="0"/>
                <w:sz w:val="22"/>
                <w:szCs w:val="22"/>
                <w:vertAlign w:val="subscript"/>
              </w:rPr>
              <w:t>10</w:t>
            </w:r>
          </w:p>
        </w:tc>
        <w:tc>
          <w:tcPr>
            <w:tcW w:w="743" w:type="pct"/>
            <w:tcBorders>
              <w:top w:val="single" w:color="auto" w:sz="4" w:space="0"/>
              <w:left w:val="single" w:color="auto" w:sz="4" w:space="0"/>
              <w:bottom w:val="single" w:color="auto" w:sz="4" w:space="0"/>
              <w:right w:val="single" w:color="auto" w:sz="4" w:space="0"/>
            </w:tcBorders>
            <w:vAlign w:val="center"/>
          </w:tcPr>
          <w:p w14:paraId="579F61E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年平均</w:t>
            </w:r>
          </w:p>
        </w:tc>
        <w:tc>
          <w:tcPr>
            <w:tcW w:w="549" w:type="pct"/>
            <w:tcBorders>
              <w:top w:val="single" w:color="auto" w:sz="4" w:space="0"/>
              <w:left w:val="single" w:color="auto" w:sz="4" w:space="0"/>
              <w:bottom w:val="single" w:color="auto" w:sz="4" w:space="0"/>
              <w:right w:val="single" w:color="auto" w:sz="4" w:space="0"/>
            </w:tcBorders>
            <w:vAlign w:val="center"/>
          </w:tcPr>
          <w:p w14:paraId="76E1685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val="en-US" w:eastAsia="zh-CN"/>
              </w:rPr>
            </w:pPr>
            <w:r>
              <w:rPr>
                <w:rFonts w:hint="eastAsia" w:ascii="Arial" w:hAnsi="Arial" w:cs="Arial"/>
                <w:kern w:val="0"/>
                <w:sz w:val="22"/>
                <w:szCs w:val="22"/>
                <w:lang w:val="en-US" w:eastAsia="zh-CN"/>
              </w:rPr>
              <w:t>44</w:t>
            </w:r>
          </w:p>
        </w:tc>
        <w:tc>
          <w:tcPr>
            <w:tcW w:w="480" w:type="pct"/>
            <w:tcBorders>
              <w:top w:val="single" w:color="auto" w:sz="4" w:space="0"/>
              <w:left w:val="single" w:color="auto" w:sz="4" w:space="0"/>
              <w:bottom w:val="single" w:color="auto" w:sz="4" w:space="0"/>
              <w:right w:val="single" w:color="auto" w:sz="4" w:space="0"/>
            </w:tcBorders>
            <w:vAlign w:val="center"/>
          </w:tcPr>
          <w:p w14:paraId="441F5BF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70</w:t>
            </w:r>
          </w:p>
        </w:tc>
        <w:tc>
          <w:tcPr>
            <w:tcW w:w="634" w:type="pct"/>
            <w:tcBorders>
              <w:top w:val="single" w:color="auto" w:sz="4" w:space="0"/>
              <w:left w:val="single" w:color="auto" w:sz="4" w:space="0"/>
              <w:bottom w:val="single" w:color="auto" w:sz="4" w:space="0"/>
              <w:right w:val="single" w:color="auto" w:sz="4" w:space="0"/>
            </w:tcBorders>
            <w:vAlign w:val="center"/>
          </w:tcPr>
          <w:p w14:paraId="62DE3BC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val="en-US" w:eastAsia="zh-CN"/>
              </w:rPr>
            </w:pPr>
            <w:r>
              <w:rPr>
                <w:rFonts w:hint="eastAsia" w:ascii="Arial" w:hAnsi="Arial" w:cs="Arial"/>
                <w:bCs/>
                <w:kern w:val="0"/>
                <w:sz w:val="22"/>
                <w:szCs w:val="22"/>
                <w:lang w:val="en-US" w:eastAsia="zh-CN"/>
              </w:rPr>
              <w:t>62.86</w:t>
            </w:r>
          </w:p>
        </w:tc>
        <w:tc>
          <w:tcPr>
            <w:tcW w:w="578" w:type="pct"/>
            <w:tcBorders>
              <w:top w:val="single" w:color="auto" w:sz="4" w:space="0"/>
              <w:left w:val="single" w:color="auto" w:sz="4" w:space="0"/>
              <w:bottom w:val="single" w:color="auto" w:sz="4" w:space="0"/>
              <w:right w:val="single" w:color="auto" w:sz="4" w:space="0"/>
            </w:tcBorders>
            <w:vAlign w:val="center"/>
          </w:tcPr>
          <w:p w14:paraId="3429E84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达标</w:t>
            </w:r>
          </w:p>
        </w:tc>
        <w:tc>
          <w:tcPr>
            <w:tcW w:w="520" w:type="pct"/>
            <w:tcBorders>
              <w:top w:val="single" w:color="auto" w:sz="4" w:space="0"/>
              <w:left w:val="single" w:color="auto" w:sz="4" w:space="0"/>
              <w:bottom w:val="single" w:color="auto" w:sz="4" w:space="0"/>
              <w:right w:val="single" w:color="auto" w:sz="4" w:space="0"/>
            </w:tcBorders>
            <w:vAlign w:val="center"/>
          </w:tcPr>
          <w:p w14:paraId="6F063BF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w:t>
            </w:r>
          </w:p>
        </w:tc>
        <w:tc>
          <w:tcPr>
            <w:tcW w:w="523" w:type="pct"/>
            <w:tcBorders>
              <w:top w:val="single" w:color="auto" w:sz="4" w:space="0"/>
              <w:left w:val="single" w:color="auto" w:sz="4" w:space="0"/>
              <w:bottom w:val="single" w:color="auto" w:sz="4" w:space="0"/>
              <w:right w:val="single" w:color="auto" w:sz="12" w:space="0"/>
            </w:tcBorders>
            <w:vAlign w:val="center"/>
          </w:tcPr>
          <w:p w14:paraId="3A99C0D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w:t>
            </w:r>
          </w:p>
        </w:tc>
      </w:tr>
      <w:tr w14:paraId="02B0ED3A">
        <w:tblPrEx>
          <w:tblCellMar>
            <w:top w:w="0" w:type="dxa"/>
            <w:left w:w="108" w:type="dxa"/>
            <w:bottom w:w="0" w:type="dxa"/>
            <w:right w:w="108" w:type="dxa"/>
          </w:tblCellMar>
        </w:tblPrEx>
        <w:trPr>
          <w:trHeight w:val="315" w:hRule="atLeast"/>
          <w:jc w:val="center"/>
        </w:trPr>
        <w:tc>
          <w:tcPr>
            <w:tcW w:w="429" w:type="pct"/>
            <w:vMerge w:val="continue"/>
            <w:tcBorders>
              <w:top w:val="single" w:color="auto" w:sz="4" w:space="0"/>
              <w:left w:val="single" w:color="auto" w:sz="12" w:space="0"/>
              <w:bottom w:val="single" w:color="auto" w:sz="4" w:space="0"/>
              <w:right w:val="single" w:color="auto" w:sz="4" w:space="0"/>
            </w:tcBorders>
            <w:vAlign w:val="center"/>
          </w:tcPr>
          <w:p w14:paraId="09B9257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p>
        </w:tc>
        <w:tc>
          <w:tcPr>
            <w:tcW w:w="539" w:type="pct"/>
            <w:tcBorders>
              <w:top w:val="single" w:color="auto" w:sz="4" w:space="0"/>
              <w:left w:val="single" w:color="auto" w:sz="4" w:space="0"/>
              <w:bottom w:val="single" w:color="auto" w:sz="4" w:space="0"/>
              <w:right w:val="single" w:color="auto" w:sz="4" w:space="0"/>
            </w:tcBorders>
            <w:vAlign w:val="center"/>
          </w:tcPr>
          <w:p w14:paraId="39A609C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PM</w:t>
            </w:r>
            <w:r>
              <w:rPr>
                <w:rFonts w:hint="default" w:ascii="Arial" w:hAnsi="Arial" w:cs="Arial"/>
                <w:kern w:val="0"/>
                <w:sz w:val="22"/>
                <w:szCs w:val="22"/>
                <w:vertAlign w:val="subscript"/>
              </w:rPr>
              <w:t>2.5</w:t>
            </w:r>
          </w:p>
        </w:tc>
        <w:tc>
          <w:tcPr>
            <w:tcW w:w="743" w:type="pct"/>
            <w:tcBorders>
              <w:top w:val="single" w:color="auto" w:sz="4" w:space="0"/>
              <w:left w:val="single" w:color="auto" w:sz="4" w:space="0"/>
              <w:bottom w:val="single" w:color="auto" w:sz="4" w:space="0"/>
              <w:right w:val="single" w:color="auto" w:sz="4" w:space="0"/>
            </w:tcBorders>
            <w:vAlign w:val="center"/>
          </w:tcPr>
          <w:p w14:paraId="1165077A">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年平均</w:t>
            </w:r>
          </w:p>
        </w:tc>
        <w:tc>
          <w:tcPr>
            <w:tcW w:w="549" w:type="pct"/>
            <w:tcBorders>
              <w:top w:val="single" w:color="auto" w:sz="4" w:space="0"/>
              <w:left w:val="single" w:color="auto" w:sz="4" w:space="0"/>
              <w:bottom w:val="single" w:color="auto" w:sz="4" w:space="0"/>
              <w:right w:val="single" w:color="auto" w:sz="4" w:space="0"/>
            </w:tcBorders>
            <w:vAlign w:val="center"/>
          </w:tcPr>
          <w:p w14:paraId="2B78B0F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val="en-US" w:eastAsia="zh-CN"/>
              </w:rPr>
            </w:pPr>
            <w:r>
              <w:rPr>
                <w:rFonts w:hint="eastAsia" w:ascii="Arial" w:hAnsi="Arial" w:cs="Arial"/>
                <w:kern w:val="0"/>
                <w:sz w:val="22"/>
                <w:szCs w:val="22"/>
                <w:lang w:val="en-US" w:eastAsia="zh-CN"/>
              </w:rPr>
              <w:t>25</w:t>
            </w:r>
          </w:p>
        </w:tc>
        <w:tc>
          <w:tcPr>
            <w:tcW w:w="480" w:type="pct"/>
            <w:tcBorders>
              <w:top w:val="single" w:color="auto" w:sz="4" w:space="0"/>
              <w:left w:val="single" w:color="auto" w:sz="4" w:space="0"/>
              <w:bottom w:val="single" w:color="auto" w:sz="4" w:space="0"/>
              <w:right w:val="single" w:color="auto" w:sz="4" w:space="0"/>
            </w:tcBorders>
            <w:vAlign w:val="center"/>
          </w:tcPr>
          <w:p w14:paraId="6AC88B2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35</w:t>
            </w:r>
          </w:p>
        </w:tc>
        <w:tc>
          <w:tcPr>
            <w:tcW w:w="634" w:type="pct"/>
            <w:tcBorders>
              <w:top w:val="single" w:color="auto" w:sz="4" w:space="0"/>
              <w:left w:val="single" w:color="auto" w:sz="4" w:space="0"/>
              <w:bottom w:val="single" w:color="auto" w:sz="4" w:space="0"/>
              <w:right w:val="single" w:color="auto" w:sz="4" w:space="0"/>
            </w:tcBorders>
            <w:vAlign w:val="center"/>
          </w:tcPr>
          <w:p w14:paraId="4EB593D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val="en-US" w:eastAsia="zh-CN"/>
              </w:rPr>
            </w:pPr>
            <w:r>
              <w:rPr>
                <w:rFonts w:hint="eastAsia" w:ascii="Arial" w:hAnsi="Arial" w:cs="Arial"/>
                <w:kern w:val="0"/>
                <w:sz w:val="22"/>
                <w:szCs w:val="22"/>
                <w:lang w:val="en-US" w:eastAsia="zh-CN"/>
              </w:rPr>
              <w:t>71.43</w:t>
            </w:r>
          </w:p>
        </w:tc>
        <w:tc>
          <w:tcPr>
            <w:tcW w:w="578" w:type="pct"/>
            <w:tcBorders>
              <w:top w:val="single" w:color="auto" w:sz="4" w:space="0"/>
              <w:left w:val="single" w:color="auto" w:sz="4" w:space="0"/>
              <w:bottom w:val="single" w:color="auto" w:sz="4" w:space="0"/>
              <w:right w:val="single" w:color="auto" w:sz="4" w:space="0"/>
            </w:tcBorders>
            <w:vAlign w:val="center"/>
          </w:tcPr>
          <w:p w14:paraId="7AA75316">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达标</w:t>
            </w:r>
          </w:p>
        </w:tc>
        <w:tc>
          <w:tcPr>
            <w:tcW w:w="520" w:type="pct"/>
            <w:tcBorders>
              <w:top w:val="single" w:color="auto" w:sz="4" w:space="0"/>
              <w:left w:val="single" w:color="auto" w:sz="4" w:space="0"/>
              <w:bottom w:val="single" w:color="auto" w:sz="4" w:space="0"/>
              <w:right w:val="single" w:color="auto" w:sz="4" w:space="0"/>
            </w:tcBorders>
            <w:vAlign w:val="center"/>
          </w:tcPr>
          <w:p w14:paraId="1C4290C0">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w:t>
            </w:r>
          </w:p>
        </w:tc>
        <w:tc>
          <w:tcPr>
            <w:tcW w:w="523" w:type="pct"/>
            <w:tcBorders>
              <w:top w:val="single" w:color="auto" w:sz="4" w:space="0"/>
              <w:left w:val="single" w:color="auto" w:sz="4" w:space="0"/>
              <w:bottom w:val="single" w:color="auto" w:sz="4" w:space="0"/>
              <w:right w:val="single" w:color="auto" w:sz="12" w:space="0"/>
            </w:tcBorders>
            <w:vAlign w:val="center"/>
          </w:tcPr>
          <w:p w14:paraId="2A5E32C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w:t>
            </w:r>
          </w:p>
        </w:tc>
      </w:tr>
      <w:tr w14:paraId="74F3D760">
        <w:tblPrEx>
          <w:tblCellMar>
            <w:top w:w="0" w:type="dxa"/>
            <w:left w:w="108" w:type="dxa"/>
            <w:bottom w:w="0" w:type="dxa"/>
            <w:right w:w="108" w:type="dxa"/>
          </w:tblCellMar>
        </w:tblPrEx>
        <w:trPr>
          <w:trHeight w:val="315" w:hRule="atLeast"/>
          <w:jc w:val="center"/>
        </w:trPr>
        <w:tc>
          <w:tcPr>
            <w:tcW w:w="429" w:type="pct"/>
            <w:vMerge w:val="continue"/>
            <w:tcBorders>
              <w:top w:val="single" w:color="auto" w:sz="4" w:space="0"/>
              <w:left w:val="single" w:color="auto" w:sz="12" w:space="0"/>
              <w:bottom w:val="single" w:color="auto" w:sz="4" w:space="0"/>
              <w:right w:val="single" w:color="auto" w:sz="4" w:space="0"/>
            </w:tcBorders>
            <w:vAlign w:val="center"/>
          </w:tcPr>
          <w:p w14:paraId="506B79E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p>
        </w:tc>
        <w:tc>
          <w:tcPr>
            <w:tcW w:w="539" w:type="pct"/>
            <w:tcBorders>
              <w:top w:val="single" w:color="auto" w:sz="4" w:space="0"/>
              <w:left w:val="single" w:color="auto" w:sz="4" w:space="0"/>
              <w:bottom w:val="single" w:color="auto" w:sz="4" w:space="0"/>
              <w:right w:val="single" w:color="auto" w:sz="4" w:space="0"/>
            </w:tcBorders>
            <w:vAlign w:val="center"/>
          </w:tcPr>
          <w:p w14:paraId="792DF28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SO</w:t>
            </w:r>
            <w:r>
              <w:rPr>
                <w:rFonts w:hint="default" w:ascii="Arial" w:hAnsi="Arial" w:cs="Arial"/>
                <w:kern w:val="0"/>
                <w:sz w:val="22"/>
                <w:szCs w:val="22"/>
                <w:vertAlign w:val="subscript"/>
              </w:rPr>
              <w:t>2</w:t>
            </w:r>
          </w:p>
        </w:tc>
        <w:tc>
          <w:tcPr>
            <w:tcW w:w="743" w:type="pct"/>
            <w:tcBorders>
              <w:top w:val="single" w:color="auto" w:sz="4" w:space="0"/>
              <w:left w:val="single" w:color="auto" w:sz="4" w:space="0"/>
              <w:bottom w:val="single" w:color="auto" w:sz="4" w:space="0"/>
              <w:right w:val="single" w:color="auto" w:sz="4" w:space="0"/>
            </w:tcBorders>
            <w:vAlign w:val="center"/>
          </w:tcPr>
          <w:p w14:paraId="4667C2A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年平均</w:t>
            </w:r>
          </w:p>
        </w:tc>
        <w:tc>
          <w:tcPr>
            <w:tcW w:w="549" w:type="pct"/>
            <w:tcBorders>
              <w:top w:val="single" w:color="auto" w:sz="4" w:space="0"/>
              <w:left w:val="single" w:color="auto" w:sz="4" w:space="0"/>
              <w:bottom w:val="single" w:color="auto" w:sz="4" w:space="0"/>
              <w:right w:val="single" w:color="auto" w:sz="4" w:space="0"/>
            </w:tcBorders>
            <w:vAlign w:val="center"/>
          </w:tcPr>
          <w:p w14:paraId="548B1E1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val="en-US" w:eastAsia="zh-CN"/>
              </w:rPr>
            </w:pPr>
            <w:r>
              <w:rPr>
                <w:rFonts w:hint="eastAsia" w:ascii="Arial" w:hAnsi="Arial" w:cs="Arial"/>
                <w:kern w:val="0"/>
                <w:sz w:val="22"/>
                <w:szCs w:val="22"/>
                <w:lang w:val="en-US" w:eastAsia="zh-CN"/>
              </w:rPr>
              <w:t>13</w:t>
            </w:r>
          </w:p>
        </w:tc>
        <w:tc>
          <w:tcPr>
            <w:tcW w:w="480" w:type="pct"/>
            <w:tcBorders>
              <w:top w:val="single" w:color="auto" w:sz="4" w:space="0"/>
              <w:left w:val="single" w:color="auto" w:sz="4" w:space="0"/>
              <w:bottom w:val="single" w:color="auto" w:sz="4" w:space="0"/>
              <w:right w:val="single" w:color="auto" w:sz="4" w:space="0"/>
            </w:tcBorders>
            <w:vAlign w:val="center"/>
          </w:tcPr>
          <w:p w14:paraId="1CB34CD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60</w:t>
            </w:r>
          </w:p>
        </w:tc>
        <w:tc>
          <w:tcPr>
            <w:tcW w:w="634" w:type="pct"/>
            <w:tcBorders>
              <w:top w:val="single" w:color="auto" w:sz="4" w:space="0"/>
              <w:left w:val="single" w:color="auto" w:sz="4" w:space="0"/>
              <w:bottom w:val="single" w:color="auto" w:sz="4" w:space="0"/>
              <w:right w:val="single" w:color="auto" w:sz="4" w:space="0"/>
            </w:tcBorders>
            <w:vAlign w:val="center"/>
          </w:tcPr>
          <w:p w14:paraId="5271411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val="en-US" w:eastAsia="zh-CN"/>
              </w:rPr>
            </w:pPr>
            <w:r>
              <w:rPr>
                <w:rFonts w:hint="eastAsia" w:ascii="Arial" w:hAnsi="Arial" w:eastAsia="宋体" w:cs="Arial"/>
                <w:kern w:val="0"/>
                <w:sz w:val="22"/>
                <w:szCs w:val="22"/>
                <w:lang w:val="en-US" w:eastAsia="zh-CN"/>
              </w:rPr>
              <w:t>21.67</w:t>
            </w:r>
          </w:p>
        </w:tc>
        <w:tc>
          <w:tcPr>
            <w:tcW w:w="578" w:type="pct"/>
            <w:tcBorders>
              <w:top w:val="single" w:color="auto" w:sz="4" w:space="0"/>
              <w:left w:val="single" w:color="auto" w:sz="4" w:space="0"/>
              <w:bottom w:val="single" w:color="auto" w:sz="4" w:space="0"/>
              <w:right w:val="single" w:color="auto" w:sz="4" w:space="0"/>
            </w:tcBorders>
            <w:vAlign w:val="center"/>
          </w:tcPr>
          <w:p w14:paraId="350FFFA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达标</w:t>
            </w:r>
          </w:p>
        </w:tc>
        <w:tc>
          <w:tcPr>
            <w:tcW w:w="520" w:type="pct"/>
            <w:tcBorders>
              <w:top w:val="single" w:color="auto" w:sz="4" w:space="0"/>
              <w:left w:val="single" w:color="auto" w:sz="4" w:space="0"/>
              <w:bottom w:val="single" w:color="auto" w:sz="4" w:space="0"/>
              <w:right w:val="single" w:color="auto" w:sz="4" w:space="0"/>
            </w:tcBorders>
            <w:vAlign w:val="center"/>
          </w:tcPr>
          <w:p w14:paraId="5E24C1BF">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w:t>
            </w:r>
          </w:p>
        </w:tc>
        <w:tc>
          <w:tcPr>
            <w:tcW w:w="523" w:type="pct"/>
            <w:tcBorders>
              <w:top w:val="single" w:color="auto" w:sz="4" w:space="0"/>
              <w:left w:val="single" w:color="auto" w:sz="4" w:space="0"/>
              <w:bottom w:val="single" w:color="auto" w:sz="4" w:space="0"/>
              <w:right w:val="single" w:color="auto" w:sz="12" w:space="0"/>
            </w:tcBorders>
            <w:vAlign w:val="center"/>
          </w:tcPr>
          <w:p w14:paraId="2F38C0E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w:t>
            </w:r>
          </w:p>
        </w:tc>
      </w:tr>
      <w:tr w14:paraId="438B3A99">
        <w:tblPrEx>
          <w:tblCellMar>
            <w:top w:w="0" w:type="dxa"/>
            <w:left w:w="108" w:type="dxa"/>
            <w:bottom w:w="0" w:type="dxa"/>
            <w:right w:w="108" w:type="dxa"/>
          </w:tblCellMar>
        </w:tblPrEx>
        <w:trPr>
          <w:trHeight w:val="315" w:hRule="atLeast"/>
          <w:jc w:val="center"/>
        </w:trPr>
        <w:tc>
          <w:tcPr>
            <w:tcW w:w="429" w:type="pct"/>
            <w:vMerge w:val="continue"/>
            <w:tcBorders>
              <w:top w:val="single" w:color="auto" w:sz="4" w:space="0"/>
              <w:left w:val="single" w:color="auto" w:sz="12" w:space="0"/>
              <w:bottom w:val="single" w:color="auto" w:sz="4" w:space="0"/>
              <w:right w:val="single" w:color="auto" w:sz="4" w:space="0"/>
            </w:tcBorders>
            <w:vAlign w:val="center"/>
          </w:tcPr>
          <w:p w14:paraId="00AB35C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p>
        </w:tc>
        <w:tc>
          <w:tcPr>
            <w:tcW w:w="539" w:type="pct"/>
            <w:tcBorders>
              <w:top w:val="single" w:color="auto" w:sz="4" w:space="0"/>
              <w:left w:val="single" w:color="auto" w:sz="4" w:space="0"/>
              <w:bottom w:val="single" w:color="auto" w:sz="4" w:space="0"/>
              <w:right w:val="single" w:color="auto" w:sz="4" w:space="0"/>
            </w:tcBorders>
            <w:vAlign w:val="center"/>
          </w:tcPr>
          <w:p w14:paraId="23B595C1">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NO</w:t>
            </w:r>
            <w:r>
              <w:rPr>
                <w:rFonts w:hint="default" w:ascii="Arial" w:hAnsi="Arial" w:cs="Arial"/>
                <w:kern w:val="0"/>
                <w:sz w:val="22"/>
                <w:szCs w:val="22"/>
                <w:vertAlign w:val="subscript"/>
              </w:rPr>
              <w:t>2</w:t>
            </w:r>
          </w:p>
        </w:tc>
        <w:tc>
          <w:tcPr>
            <w:tcW w:w="743" w:type="pct"/>
            <w:tcBorders>
              <w:top w:val="single" w:color="auto" w:sz="4" w:space="0"/>
              <w:left w:val="single" w:color="auto" w:sz="4" w:space="0"/>
              <w:bottom w:val="single" w:color="auto" w:sz="4" w:space="0"/>
              <w:right w:val="single" w:color="auto" w:sz="4" w:space="0"/>
            </w:tcBorders>
            <w:vAlign w:val="center"/>
          </w:tcPr>
          <w:p w14:paraId="1D0464F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年平均</w:t>
            </w:r>
          </w:p>
        </w:tc>
        <w:tc>
          <w:tcPr>
            <w:tcW w:w="549" w:type="pct"/>
            <w:tcBorders>
              <w:top w:val="single" w:color="auto" w:sz="4" w:space="0"/>
              <w:left w:val="single" w:color="auto" w:sz="4" w:space="0"/>
              <w:bottom w:val="single" w:color="auto" w:sz="4" w:space="0"/>
              <w:right w:val="single" w:color="auto" w:sz="4" w:space="0"/>
            </w:tcBorders>
            <w:vAlign w:val="center"/>
          </w:tcPr>
          <w:p w14:paraId="66499E3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val="en-US" w:eastAsia="zh-CN"/>
              </w:rPr>
            </w:pPr>
            <w:r>
              <w:rPr>
                <w:rFonts w:hint="eastAsia" w:ascii="Arial" w:hAnsi="Arial" w:cs="Arial"/>
                <w:kern w:val="0"/>
                <w:sz w:val="22"/>
                <w:szCs w:val="22"/>
                <w:lang w:val="en-US" w:eastAsia="zh-CN"/>
              </w:rPr>
              <w:t>35</w:t>
            </w:r>
          </w:p>
        </w:tc>
        <w:tc>
          <w:tcPr>
            <w:tcW w:w="480" w:type="pct"/>
            <w:tcBorders>
              <w:top w:val="single" w:color="auto" w:sz="4" w:space="0"/>
              <w:left w:val="single" w:color="auto" w:sz="4" w:space="0"/>
              <w:bottom w:val="single" w:color="auto" w:sz="4" w:space="0"/>
              <w:right w:val="single" w:color="auto" w:sz="4" w:space="0"/>
            </w:tcBorders>
            <w:vAlign w:val="center"/>
          </w:tcPr>
          <w:p w14:paraId="5435FFA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40</w:t>
            </w:r>
          </w:p>
        </w:tc>
        <w:tc>
          <w:tcPr>
            <w:tcW w:w="634" w:type="pct"/>
            <w:tcBorders>
              <w:top w:val="single" w:color="auto" w:sz="4" w:space="0"/>
              <w:left w:val="single" w:color="auto" w:sz="4" w:space="0"/>
              <w:bottom w:val="single" w:color="auto" w:sz="4" w:space="0"/>
              <w:right w:val="single" w:color="auto" w:sz="4" w:space="0"/>
            </w:tcBorders>
            <w:vAlign w:val="center"/>
          </w:tcPr>
          <w:p w14:paraId="0E4ECE0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val="en-US" w:eastAsia="zh-CN"/>
              </w:rPr>
            </w:pPr>
            <w:r>
              <w:rPr>
                <w:rFonts w:hint="eastAsia" w:ascii="Arial" w:hAnsi="Arial" w:eastAsia="宋体" w:cs="Arial"/>
                <w:kern w:val="0"/>
                <w:sz w:val="22"/>
                <w:szCs w:val="22"/>
                <w:lang w:val="en-US" w:eastAsia="zh-CN"/>
              </w:rPr>
              <w:t>87.5</w:t>
            </w:r>
          </w:p>
        </w:tc>
        <w:tc>
          <w:tcPr>
            <w:tcW w:w="578" w:type="pct"/>
            <w:tcBorders>
              <w:top w:val="single" w:color="auto" w:sz="4" w:space="0"/>
              <w:left w:val="single" w:color="auto" w:sz="4" w:space="0"/>
              <w:bottom w:val="single" w:color="auto" w:sz="4" w:space="0"/>
              <w:right w:val="single" w:color="auto" w:sz="4" w:space="0"/>
            </w:tcBorders>
            <w:vAlign w:val="center"/>
          </w:tcPr>
          <w:p w14:paraId="32D5042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达标</w:t>
            </w:r>
          </w:p>
        </w:tc>
        <w:tc>
          <w:tcPr>
            <w:tcW w:w="520" w:type="pct"/>
            <w:tcBorders>
              <w:top w:val="single" w:color="auto" w:sz="4" w:space="0"/>
              <w:left w:val="single" w:color="auto" w:sz="4" w:space="0"/>
              <w:bottom w:val="single" w:color="auto" w:sz="4" w:space="0"/>
              <w:right w:val="single" w:color="auto" w:sz="4" w:space="0"/>
            </w:tcBorders>
            <w:vAlign w:val="center"/>
          </w:tcPr>
          <w:p w14:paraId="60E695B3">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w:t>
            </w:r>
          </w:p>
        </w:tc>
        <w:tc>
          <w:tcPr>
            <w:tcW w:w="523" w:type="pct"/>
            <w:tcBorders>
              <w:top w:val="single" w:color="auto" w:sz="4" w:space="0"/>
              <w:left w:val="single" w:color="auto" w:sz="4" w:space="0"/>
              <w:bottom w:val="single" w:color="auto" w:sz="4" w:space="0"/>
              <w:right w:val="single" w:color="auto" w:sz="12" w:space="0"/>
            </w:tcBorders>
            <w:vAlign w:val="center"/>
          </w:tcPr>
          <w:p w14:paraId="50FD56F4">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w:t>
            </w:r>
          </w:p>
        </w:tc>
      </w:tr>
      <w:tr w14:paraId="5AC7D32A">
        <w:tblPrEx>
          <w:tblCellMar>
            <w:top w:w="0" w:type="dxa"/>
            <w:left w:w="108" w:type="dxa"/>
            <w:bottom w:w="0" w:type="dxa"/>
            <w:right w:w="108" w:type="dxa"/>
          </w:tblCellMar>
        </w:tblPrEx>
        <w:trPr>
          <w:trHeight w:val="540" w:hRule="atLeast"/>
          <w:jc w:val="center"/>
        </w:trPr>
        <w:tc>
          <w:tcPr>
            <w:tcW w:w="429" w:type="pct"/>
            <w:vMerge w:val="continue"/>
            <w:tcBorders>
              <w:top w:val="single" w:color="auto" w:sz="4" w:space="0"/>
              <w:left w:val="single" w:color="auto" w:sz="12" w:space="0"/>
              <w:bottom w:val="single" w:color="auto" w:sz="4" w:space="0"/>
              <w:right w:val="single" w:color="auto" w:sz="4" w:space="0"/>
            </w:tcBorders>
            <w:vAlign w:val="center"/>
          </w:tcPr>
          <w:p w14:paraId="0C51737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p>
        </w:tc>
        <w:tc>
          <w:tcPr>
            <w:tcW w:w="539" w:type="pct"/>
            <w:tcBorders>
              <w:top w:val="single" w:color="auto" w:sz="4" w:space="0"/>
              <w:left w:val="single" w:color="auto" w:sz="4" w:space="0"/>
              <w:bottom w:val="single" w:color="auto" w:sz="4" w:space="0"/>
              <w:right w:val="single" w:color="auto" w:sz="4" w:space="0"/>
            </w:tcBorders>
            <w:vAlign w:val="center"/>
          </w:tcPr>
          <w:p w14:paraId="28A5B23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O</w:t>
            </w:r>
            <w:r>
              <w:rPr>
                <w:rFonts w:hint="default" w:ascii="Arial" w:hAnsi="Arial" w:cs="Arial"/>
                <w:kern w:val="0"/>
                <w:sz w:val="22"/>
                <w:szCs w:val="22"/>
                <w:vertAlign w:val="subscript"/>
              </w:rPr>
              <w:t>3</w:t>
            </w:r>
          </w:p>
        </w:tc>
        <w:tc>
          <w:tcPr>
            <w:tcW w:w="743" w:type="pct"/>
            <w:tcBorders>
              <w:top w:val="single" w:color="auto" w:sz="4" w:space="0"/>
              <w:left w:val="single" w:color="auto" w:sz="4" w:space="0"/>
              <w:bottom w:val="single" w:color="auto" w:sz="4" w:space="0"/>
              <w:right w:val="single" w:color="auto" w:sz="4" w:space="0"/>
            </w:tcBorders>
            <w:vAlign w:val="center"/>
          </w:tcPr>
          <w:p w14:paraId="584D078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日最大8小时平均</w:t>
            </w:r>
          </w:p>
        </w:tc>
        <w:tc>
          <w:tcPr>
            <w:tcW w:w="549" w:type="pct"/>
            <w:tcBorders>
              <w:top w:val="single" w:color="auto" w:sz="4" w:space="0"/>
              <w:left w:val="single" w:color="auto" w:sz="4" w:space="0"/>
              <w:bottom w:val="single" w:color="auto" w:sz="4" w:space="0"/>
              <w:right w:val="single" w:color="auto" w:sz="4" w:space="0"/>
            </w:tcBorders>
            <w:vAlign w:val="center"/>
          </w:tcPr>
          <w:p w14:paraId="2BFD855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val="en-US" w:eastAsia="zh-CN"/>
              </w:rPr>
            </w:pPr>
            <w:r>
              <w:rPr>
                <w:rFonts w:hint="eastAsia" w:ascii="Arial" w:hAnsi="Arial" w:cs="Arial"/>
                <w:kern w:val="0"/>
                <w:sz w:val="22"/>
                <w:szCs w:val="22"/>
                <w:lang w:val="en-US" w:eastAsia="zh-CN"/>
              </w:rPr>
              <w:t>127</w:t>
            </w:r>
          </w:p>
        </w:tc>
        <w:tc>
          <w:tcPr>
            <w:tcW w:w="480" w:type="pct"/>
            <w:tcBorders>
              <w:top w:val="single" w:color="auto" w:sz="4" w:space="0"/>
              <w:left w:val="single" w:color="auto" w:sz="4" w:space="0"/>
              <w:bottom w:val="single" w:color="auto" w:sz="4" w:space="0"/>
              <w:right w:val="single" w:color="auto" w:sz="4" w:space="0"/>
            </w:tcBorders>
            <w:vAlign w:val="center"/>
          </w:tcPr>
          <w:p w14:paraId="5B4D40E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160</w:t>
            </w:r>
          </w:p>
        </w:tc>
        <w:tc>
          <w:tcPr>
            <w:tcW w:w="634" w:type="pct"/>
            <w:tcBorders>
              <w:top w:val="single" w:color="auto" w:sz="4" w:space="0"/>
              <w:left w:val="single" w:color="auto" w:sz="4" w:space="0"/>
              <w:bottom w:val="single" w:color="auto" w:sz="4" w:space="0"/>
              <w:right w:val="single" w:color="auto" w:sz="4" w:space="0"/>
            </w:tcBorders>
            <w:vAlign w:val="center"/>
          </w:tcPr>
          <w:p w14:paraId="3CF8404E">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kern w:val="0"/>
                <w:sz w:val="22"/>
                <w:szCs w:val="22"/>
                <w:lang w:val="en-US" w:eastAsia="zh-CN"/>
              </w:rPr>
            </w:pPr>
            <w:r>
              <w:rPr>
                <w:rFonts w:hint="eastAsia" w:ascii="Arial" w:hAnsi="Arial" w:eastAsia="宋体" w:cs="Arial"/>
                <w:kern w:val="0"/>
                <w:sz w:val="22"/>
                <w:szCs w:val="22"/>
                <w:lang w:val="en-US" w:eastAsia="zh-CN"/>
              </w:rPr>
              <w:t>79.38</w:t>
            </w:r>
          </w:p>
        </w:tc>
        <w:tc>
          <w:tcPr>
            <w:tcW w:w="578" w:type="pct"/>
            <w:tcBorders>
              <w:top w:val="single" w:color="auto" w:sz="4" w:space="0"/>
              <w:left w:val="single" w:color="auto" w:sz="4" w:space="0"/>
              <w:bottom w:val="single" w:color="auto" w:sz="4" w:space="0"/>
              <w:right w:val="single" w:color="auto" w:sz="4" w:space="0"/>
            </w:tcBorders>
            <w:vAlign w:val="center"/>
          </w:tcPr>
          <w:p w14:paraId="6F9E526C">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达标</w:t>
            </w:r>
          </w:p>
        </w:tc>
        <w:tc>
          <w:tcPr>
            <w:tcW w:w="520" w:type="pct"/>
            <w:tcBorders>
              <w:top w:val="single" w:color="auto" w:sz="4" w:space="0"/>
              <w:left w:val="single" w:color="auto" w:sz="4" w:space="0"/>
              <w:bottom w:val="single" w:color="auto" w:sz="4" w:space="0"/>
              <w:right w:val="single" w:color="auto" w:sz="4" w:space="0"/>
            </w:tcBorders>
            <w:vAlign w:val="center"/>
          </w:tcPr>
          <w:p w14:paraId="4AFDD0E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w:t>
            </w:r>
          </w:p>
        </w:tc>
        <w:tc>
          <w:tcPr>
            <w:tcW w:w="523" w:type="pct"/>
            <w:tcBorders>
              <w:top w:val="single" w:color="auto" w:sz="4" w:space="0"/>
              <w:left w:val="single" w:color="auto" w:sz="4" w:space="0"/>
              <w:bottom w:val="single" w:color="auto" w:sz="4" w:space="0"/>
              <w:right w:val="single" w:color="auto" w:sz="12" w:space="0"/>
            </w:tcBorders>
            <w:vAlign w:val="center"/>
          </w:tcPr>
          <w:p w14:paraId="65B21EBB">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kern w:val="0"/>
                <w:sz w:val="22"/>
                <w:szCs w:val="22"/>
              </w:rPr>
            </w:pPr>
            <w:r>
              <w:rPr>
                <w:rFonts w:hint="default" w:ascii="Arial" w:hAnsi="Arial" w:cs="Arial"/>
                <w:kern w:val="0"/>
                <w:sz w:val="22"/>
                <w:szCs w:val="22"/>
              </w:rPr>
              <w:t>/</w:t>
            </w:r>
          </w:p>
        </w:tc>
      </w:tr>
      <w:tr w14:paraId="41EF5EAA">
        <w:tblPrEx>
          <w:tblCellMar>
            <w:top w:w="0" w:type="dxa"/>
            <w:left w:w="108" w:type="dxa"/>
            <w:bottom w:w="0" w:type="dxa"/>
            <w:right w:w="108" w:type="dxa"/>
          </w:tblCellMar>
        </w:tblPrEx>
        <w:trPr>
          <w:trHeight w:val="540" w:hRule="atLeast"/>
          <w:jc w:val="center"/>
        </w:trPr>
        <w:tc>
          <w:tcPr>
            <w:tcW w:w="429" w:type="pct"/>
            <w:vMerge w:val="continue"/>
            <w:tcBorders>
              <w:top w:val="single" w:color="auto" w:sz="4" w:space="0"/>
              <w:left w:val="single" w:color="auto" w:sz="12" w:space="0"/>
              <w:bottom w:val="single" w:color="auto" w:sz="12" w:space="0"/>
              <w:right w:val="single" w:color="auto" w:sz="4" w:space="0"/>
            </w:tcBorders>
            <w:vAlign w:val="center"/>
          </w:tcPr>
          <w:p w14:paraId="288889F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color w:val="auto"/>
                <w:kern w:val="0"/>
                <w:sz w:val="22"/>
                <w:szCs w:val="22"/>
              </w:rPr>
            </w:pPr>
          </w:p>
        </w:tc>
        <w:tc>
          <w:tcPr>
            <w:tcW w:w="539" w:type="pct"/>
            <w:tcBorders>
              <w:top w:val="single" w:color="auto" w:sz="4" w:space="0"/>
              <w:left w:val="single" w:color="auto" w:sz="4" w:space="0"/>
              <w:bottom w:val="single" w:color="auto" w:sz="12" w:space="0"/>
              <w:right w:val="single" w:color="auto" w:sz="4" w:space="0"/>
            </w:tcBorders>
            <w:vAlign w:val="center"/>
          </w:tcPr>
          <w:p w14:paraId="462727AD">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color w:val="auto"/>
                <w:kern w:val="0"/>
                <w:sz w:val="22"/>
                <w:szCs w:val="22"/>
              </w:rPr>
            </w:pPr>
            <w:r>
              <w:rPr>
                <w:rFonts w:hint="default" w:ascii="Arial" w:hAnsi="Arial" w:cs="Arial"/>
                <w:color w:val="auto"/>
                <w:kern w:val="0"/>
                <w:sz w:val="22"/>
                <w:szCs w:val="22"/>
              </w:rPr>
              <w:t>CO</w:t>
            </w:r>
          </w:p>
        </w:tc>
        <w:tc>
          <w:tcPr>
            <w:tcW w:w="743" w:type="pct"/>
            <w:tcBorders>
              <w:top w:val="single" w:color="auto" w:sz="4" w:space="0"/>
              <w:left w:val="single" w:color="auto" w:sz="4" w:space="0"/>
              <w:bottom w:val="single" w:color="auto" w:sz="12" w:space="0"/>
              <w:right w:val="single" w:color="auto" w:sz="4" w:space="0"/>
            </w:tcBorders>
            <w:vAlign w:val="center"/>
          </w:tcPr>
          <w:p w14:paraId="74550B0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color w:val="auto"/>
                <w:kern w:val="0"/>
                <w:sz w:val="22"/>
                <w:szCs w:val="22"/>
                <w:lang w:val="en-US" w:eastAsia="zh-CN"/>
              </w:rPr>
            </w:pPr>
            <w:r>
              <w:rPr>
                <w:rFonts w:hint="default" w:ascii="Arial" w:hAnsi="Arial" w:cs="Arial"/>
                <w:color w:val="auto"/>
                <w:kern w:val="0"/>
                <w:sz w:val="22"/>
                <w:szCs w:val="22"/>
              </w:rPr>
              <w:t>24小时平均</w:t>
            </w:r>
            <w:r>
              <w:rPr>
                <w:rFonts w:hint="eastAsia" w:ascii="Arial" w:hAnsi="Arial" w:cs="Arial"/>
                <w:color w:val="auto"/>
                <w:kern w:val="0"/>
                <w:sz w:val="22"/>
                <w:szCs w:val="22"/>
                <w:lang w:eastAsia="zh-CN"/>
              </w:rPr>
              <w:t>（</w:t>
            </w:r>
            <w:r>
              <w:rPr>
                <w:rFonts w:hint="eastAsia" w:ascii="Arial" w:hAnsi="Arial" w:cs="Arial"/>
                <w:color w:val="auto"/>
                <w:kern w:val="0"/>
                <w:sz w:val="22"/>
                <w:szCs w:val="22"/>
                <w:lang w:val="en-US" w:eastAsia="zh-CN"/>
              </w:rPr>
              <w:t>mg/m</w:t>
            </w:r>
            <w:r>
              <w:rPr>
                <w:rFonts w:hint="eastAsia" w:ascii="Arial" w:hAnsi="Arial" w:cs="Arial"/>
                <w:color w:val="auto"/>
                <w:kern w:val="0"/>
                <w:sz w:val="22"/>
                <w:szCs w:val="22"/>
                <w:vertAlign w:val="superscript"/>
                <w:lang w:val="en-US" w:eastAsia="zh-CN"/>
              </w:rPr>
              <w:t>3</w:t>
            </w:r>
            <w:r>
              <w:rPr>
                <w:rFonts w:hint="eastAsia" w:ascii="Arial" w:hAnsi="Arial" w:cs="Arial"/>
                <w:color w:val="auto"/>
                <w:kern w:val="0"/>
                <w:sz w:val="22"/>
                <w:szCs w:val="22"/>
                <w:lang w:val="en-US" w:eastAsia="zh-CN"/>
              </w:rPr>
              <w:t>）</w:t>
            </w:r>
          </w:p>
        </w:tc>
        <w:tc>
          <w:tcPr>
            <w:tcW w:w="549" w:type="pct"/>
            <w:tcBorders>
              <w:top w:val="single" w:color="auto" w:sz="4" w:space="0"/>
              <w:left w:val="single" w:color="auto" w:sz="4" w:space="0"/>
              <w:bottom w:val="single" w:color="auto" w:sz="12" w:space="0"/>
              <w:right w:val="single" w:color="auto" w:sz="4" w:space="0"/>
            </w:tcBorders>
            <w:vAlign w:val="center"/>
          </w:tcPr>
          <w:p w14:paraId="238C8DD2">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color w:val="auto"/>
                <w:kern w:val="0"/>
                <w:sz w:val="22"/>
                <w:szCs w:val="22"/>
                <w:lang w:val="en-US" w:eastAsia="zh-CN"/>
              </w:rPr>
            </w:pPr>
            <w:r>
              <w:rPr>
                <w:rFonts w:hint="eastAsia" w:ascii="Arial" w:hAnsi="Arial" w:cs="Arial"/>
                <w:color w:val="auto"/>
                <w:kern w:val="0"/>
                <w:sz w:val="22"/>
                <w:szCs w:val="22"/>
                <w:lang w:val="en-US" w:eastAsia="zh-CN"/>
              </w:rPr>
              <w:t>1.0</w:t>
            </w:r>
          </w:p>
        </w:tc>
        <w:tc>
          <w:tcPr>
            <w:tcW w:w="480" w:type="pct"/>
            <w:tcBorders>
              <w:top w:val="single" w:color="auto" w:sz="4" w:space="0"/>
              <w:left w:val="single" w:color="auto" w:sz="4" w:space="0"/>
              <w:bottom w:val="single" w:color="auto" w:sz="12" w:space="0"/>
              <w:right w:val="single" w:color="auto" w:sz="4" w:space="0"/>
            </w:tcBorders>
            <w:vAlign w:val="center"/>
          </w:tcPr>
          <w:p w14:paraId="22DB49D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color w:val="auto"/>
                <w:kern w:val="0"/>
                <w:sz w:val="22"/>
                <w:szCs w:val="22"/>
                <w:lang w:val="en-US" w:eastAsia="zh-CN"/>
              </w:rPr>
            </w:pPr>
            <w:r>
              <w:rPr>
                <w:rFonts w:hint="default" w:ascii="Arial" w:hAnsi="Arial" w:cs="Arial"/>
                <w:color w:val="auto"/>
                <w:kern w:val="0"/>
                <w:sz w:val="22"/>
                <w:szCs w:val="22"/>
              </w:rPr>
              <w:t>4</w:t>
            </w:r>
            <w:r>
              <w:rPr>
                <w:rFonts w:hint="eastAsia" w:ascii="Arial" w:hAnsi="Arial" w:cs="Arial"/>
                <w:color w:val="auto"/>
                <w:kern w:val="0"/>
                <w:sz w:val="22"/>
                <w:szCs w:val="22"/>
                <w:lang w:val="en-US" w:eastAsia="zh-CN"/>
              </w:rPr>
              <w:t>.0</w:t>
            </w:r>
          </w:p>
        </w:tc>
        <w:tc>
          <w:tcPr>
            <w:tcW w:w="634" w:type="pct"/>
            <w:tcBorders>
              <w:top w:val="single" w:color="auto" w:sz="4" w:space="0"/>
              <w:left w:val="single" w:color="auto" w:sz="4" w:space="0"/>
              <w:bottom w:val="single" w:color="auto" w:sz="12" w:space="0"/>
              <w:right w:val="single" w:color="auto" w:sz="4" w:space="0"/>
            </w:tcBorders>
            <w:vAlign w:val="center"/>
          </w:tcPr>
          <w:p w14:paraId="4281DA27">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eastAsia="宋体" w:cs="Arial"/>
                <w:color w:val="auto"/>
                <w:kern w:val="0"/>
                <w:sz w:val="22"/>
                <w:szCs w:val="22"/>
                <w:lang w:val="en-US" w:eastAsia="zh-CN"/>
              </w:rPr>
            </w:pPr>
            <w:r>
              <w:rPr>
                <w:rFonts w:hint="eastAsia" w:ascii="Arial" w:hAnsi="Arial" w:eastAsia="宋体" w:cs="Arial"/>
                <w:color w:val="auto"/>
                <w:kern w:val="0"/>
                <w:sz w:val="22"/>
                <w:szCs w:val="22"/>
                <w:lang w:val="en-US" w:eastAsia="zh-CN"/>
              </w:rPr>
              <w:t>25</w:t>
            </w:r>
          </w:p>
        </w:tc>
        <w:tc>
          <w:tcPr>
            <w:tcW w:w="578" w:type="pct"/>
            <w:tcBorders>
              <w:top w:val="single" w:color="auto" w:sz="4" w:space="0"/>
              <w:left w:val="single" w:color="auto" w:sz="4" w:space="0"/>
              <w:bottom w:val="single" w:color="auto" w:sz="12" w:space="0"/>
              <w:right w:val="single" w:color="auto" w:sz="4" w:space="0"/>
            </w:tcBorders>
            <w:vAlign w:val="center"/>
          </w:tcPr>
          <w:p w14:paraId="561BBB29">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color w:val="auto"/>
                <w:kern w:val="0"/>
                <w:sz w:val="22"/>
                <w:szCs w:val="22"/>
              </w:rPr>
            </w:pPr>
            <w:r>
              <w:rPr>
                <w:rFonts w:hint="default" w:ascii="Arial" w:hAnsi="Arial" w:cs="Arial"/>
                <w:color w:val="auto"/>
                <w:kern w:val="0"/>
                <w:sz w:val="22"/>
                <w:szCs w:val="22"/>
              </w:rPr>
              <w:t>达标</w:t>
            </w:r>
          </w:p>
        </w:tc>
        <w:tc>
          <w:tcPr>
            <w:tcW w:w="520" w:type="pct"/>
            <w:tcBorders>
              <w:top w:val="single" w:color="auto" w:sz="4" w:space="0"/>
              <w:left w:val="single" w:color="auto" w:sz="4" w:space="0"/>
              <w:bottom w:val="single" w:color="auto" w:sz="12" w:space="0"/>
              <w:right w:val="single" w:color="auto" w:sz="4" w:space="0"/>
            </w:tcBorders>
            <w:vAlign w:val="center"/>
          </w:tcPr>
          <w:p w14:paraId="6C9EA1E5">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color w:val="auto"/>
                <w:kern w:val="0"/>
                <w:sz w:val="22"/>
                <w:szCs w:val="22"/>
              </w:rPr>
            </w:pPr>
            <w:r>
              <w:rPr>
                <w:rFonts w:hint="default" w:ascii="Arial" w:hAnsi="Arial" w:cs="Arial"/>
                <w:color w:val="auto"/>
                <w:kern w:val="0"/>
                <w:sz w:val="22"/>
                <w:szCs w:val="22"/>
              </w:rPr>
              <w:t>/</w:t>
            </w:r>
          </w:p>
        </w:tc>
        <w:tc>
          <w:tcPr>
            <w:tcW w:w="523" w:type="pct"/>
            <w:tcBorders>
              <w:top w:val="single" w:color="auto" w:sz="4" w:space="0"/>
              <w:left w:val="single" w:color="auto" w:sz="4" w:space="0"/>
              <w:bottom w:val="single" w:color="auto" w:sz="12" w:space="0"/>
              <w:right w:val="single" w:color="auto" w:sz="12" w:space="0"/>
            </w:tcBorders>
            <w:vAlign w:val="center"/>
          </w:tcPr>
          <w:p w14:paraId="406FC7D8">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Arial" w:hAnsi="Arial" w:cs="Arial"/>
                <w:color w:val="auto"/>
                <w:kern w:val="0"/>
                <w:sz w:val="22"/>
                <w:szCs w:val="22"/>
              </w:rPr>
            </w:pPr>
            <w:r>
              <w:rPr>
                <w:rFonts w:hint="default" w:ascii="Arial" w:hAnsi="Arial" w:cs="Arial"/>
                <w:color w:val="auto"/>
                <w:kern w:val="0"/>
                <w:sz w:val="22"/>
                <w:szCs w:val="22"/>
              </w:rPr>
              <w:t>/</w:t>
            </w:r>
          </w:p>
        </w:tc>
      </w:tr>
    </w:tbl>
    <w:p w14:paraId="79E79247">
      <w:pPr>
        <w:pStyle w:val="147"/>
        <w:keepNext w:val="0"/>
        <w:keepLines w:val="0"/>
        <w:pageBreakBefore w:val="0"/>
        <w:widowControl w:val="0"/>
        <w:kinsoku/>
        <w:wordWrap/>
        <w:overflowPunct/>
        <w:topLinePunct w:val="0"/>
        <w:autoSpaceDE/>
        <w:autoSpaceDN/>
        <w:bidi w:val="0"/>
        <w:adjustRightInd/>
        <w:snapToGrid/>
        <w:spacing w:line="240" w:lineRule="exact"/>
        <w:textAlignment w:val="auto"/>
        <w:rPr>
          <w:color w:val="auto"/>
        </w:rPr>
      </w:pPr>
    </w:p>
    <w:p w14:paraId="4B5F135F">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如表4.3-1可知，拟建项目所在区域的环境空气基本污染物浓度均满足《环境空气质量标准》（GB3095-2012）中二级标准限值要求，即丰都县为环境空气质量达标区。</w:t>
      </w:r>
    </w:p>
    <w:p w14:paraId="041B0534">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eastAsia="宋体" w:cs="Arial"/>
          <w:b/>
          <w:bCs w:val="0"/>
          <w:sz w:val="26"/>
          <w:szCs w:val="26"/>
          <w:lang w:val="en-US" w:eastAsia="zh-CN"/>
        </w:rPr>
      </w:pPr>
      <w:r>
        <w:rPr>
          <w:rFonts w:hint="default" w:ascii="Arial" w:hAnsi="Arial" w:cs="Arial"/>
          <w:b/>
          <w:bCs w:val="0"/>
          <w:sz w:val="26"/>
          <w:szCs w:val="26"/>
          <w:lang w:val="en-US" w:eastAsia="zh-CN"/>
        </w:rPr>
        <w:t>4.</w:t>
      </w:r>
      <w:r>
        <w:rPr>
          <w:rFonts w:hint="eastAsia" w:ascii="Arial" w:hAnsi="Arial" w:cs="Arial"/>
          <w:b/>
          <w:bCs w:val="0"/>
          <w:sz w:val="26"/>
          <w:szCs w:val="26"/>
          <w:lang w:val="en-US" w:eastAsia="zh-CN"/>
        </w:rPr>
        <w:t>3.2地表水环境质量</w:t>
      </w:r>
      <w:r>
        <w:rPr>
          <w:rFonts w:hint="eastAsia" w:ascii="Arial" w:hAnsi="Arial" w:eastAsia="宋体" w:cs="Arial"/>
          <w:b/>
          <w:bCs w:val="0"/>
          <w:sz w:val="26"/>
          <w:szCs w:val="26"/>
          <w:lang w:val="en-US" w:eastAsia="zh-CN"/>
        </w:rPr>
        <w:t>现状与评价</w:t>
      </w:r>
    </w:p>
    <w:p w14:paraId="293BC8C5">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default" w:ascii="Arial" w:hAnsi="Arial" w:cs="Arial"/>
          <w:b/>
          <w:bCs w:val="0"/>
          <w:sz w:val="26"/>
          <w:szCs w:val="26"/>
          <w:lang w:val="en-US" w:eastAsia="zh-CN"/>
        </w:rPr>
      </w:pPr>
      <w:r>
        <w:rPr>
          <w:rFonts w:hint="eastAsia" w:ascii="Arial" w:hAnsi="Arial" w:cs="Arial"/>
          <w:b/>
          <w:bCs w:val="0"/>
          <w:sz w:val="26"/>
          <w:szCs w:val="26"/>
          <w:lang w:val="en-US" w:eastAsia="zh-CN"/>
        </w:rPr>
        <w:t>（1）污染源调查</w:t>
      </w:r>
    </w:p>
    <w:p w14:paraId="6B735B69">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eastAsia" w:ascii="Arial" w:hAnsi="Arial" w:cs="Arial"/>
          <w:b/>
          <w:bCs w:val="0"/>
          <w:sz w:val="26"/>
          <w:szCs w:val="26"/>
          <w:lang w:val="en-US" w:eastAsia="zh-CN"/>
        </w:rPr>
      </w:pPr>
      <w:r>
        <w:rPr>
          <w:rFonts w:hint="default" w:ascii="Arial" w:hAnsi="Arial" w:cs="Arial"/>
          <w:b/>
          <w:bCs w:val="0"/>
          <w:sz w:val="26"/>
          <w:szCs w:val="26"/>
          <w:lang w:val="en-US" w:eastAsia="zh-CN"/>
        </w:rPr>
        <w:t>①</w:t>
      </w:r>
      <w:r>
        <w:rPr>
          <w:rFonts w:hint="eastAsia" w:ascii="Arial" w:hAnsi="Arial" w:cs="Arial"/>
          <w:b/>
          <w:bCs w:val="0"/>
          <w:sz w:val="26"/>
          <w:szCs w:val="26"/>
          <w:lang w:val="en-US" w:eastAsia="zh-CN"/>
        </w:rPr>
        <w:t xml:space="preserve"> 工业污染源调查</w:t>
      </w:r>
    </w:p>
    <w:p w14:paraId="1AFD3FB2">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r>
        <w:rPr>
          <w:rFonts w:hint="default" w:ascii="Arial" w:hAnsi="Arial" w:cs="Arial"/>
          <w:b w:val="0"/>
          <w:bCs/>
          <w:sz w:val="26"/>
          <w:szCs w:val="26"/>
          <w:lang w:val="en-US" w:eastAsia="zh-CN"/>
        </w:rPr>
        <w:t>根据现场勘查，并结合《丰都县海螺沟水库工程建设征地移民安置规划报告》及其批复</w:t>
      </w:r>
      <w:r>
        <w:rPr>
          <w:rFonts w:hint="eastAsia" w:ascii="宋体" w:hAnsi="宋体" w:eastAsia="宋体" w:cs="宋体"/>
          <w:b w:val="0"/>
          <w:bCs/>
          <w:sz w:val="26"/>
          <w:szCs w:val="26"/>
          <w:lang w:val="en-US" w:eastAsia="zh-CN"/>
        </w:rPr>
        <w:t>“丰</w:t>
      </w:r>
      <w:r>
        <w:rPr>
          <w:rFonts w:hint="default" w:ascii="Arial" w:hAnsi="Arial" w:cs="Arial"/>
          <w:b w:val="0"/>
          <w:bCs/>
          <w:sz w:val="26"/>
          <w:szCs w:val="26"/>
          <w:lang w:val="en-US" w:eastAsia="zh-CN"/>
        </w:rPr>
        <w:t>都府</w:t>
      </w:r>
      <w:r>
        <w:rPr>
          <w:rFonts w:hint="default" w:ascii="Arial" w:hAnsi="Arial" w:eastAsia="宋体" w:cs="Arial"/>
          <w:b w:val="0"/>
          <w:bCs/>
          <w:sz w:val="26"/>
          <w:szCs w:val="26"/>
          <w:lang w:val="en-US" w:eastAsia="zh-CN"/>
        </w:rPr>
        <w:t>〔2024〕14号</w:t>
      </w:r>
      <w:r>
        <w:rPr>
          <w:rFonts w:hint="eastAsia" w:ascii="宋体" w:hAnsi="宋体" w:eastAsia="宋体" w:cs="宋体"/>
          <w:b w:val="0"/>
          <w:bCs/>
          <w:sz w:val="26"/>
          <w:szCs w:val="26"/>
          <w:lang w:val="en-US" w:eastAsia="zh-CN"/>
        </w:rPr>
        <w:t>”</w:t>
      </w:r>
      <w:r>
        <w:rPr>
          <w:rFonts w:hint="default" w:ascii="Arial" w:hAnsi="Arial" w:cs="Arial"/>
          <w:b w:val="0"/>
          <w:bCs/>
          <w:sz w:val="26"/>
          <w:szCs w:val="26"/>
          <w:lang w:val="en-US" w:eastAsia="zh-CN"/>
        </w:rPr>
        <w:t>，</w:t>
      </w:r>
      <w:r>
        <w:rPr>
          <w:rFonts w:hint="eastAsia" w:ascii="Arial" w:hAnsi="Arial" w:cs="Arial"/>
          <w:b w:val="0"/>
          <w:bCs/>
          <w:sz w:val="26"/>
          <w:szCs w:val="26"/>
          <w:lang w:val="en-US" w:eastAsia="zh-CN"/>
        </w:rPr>
        <w:t>本项目淹没区、集雨范围内、坝下减水河段内均无工矿企业分布，无工业污染源存在。</w:t>
      </w:r>
    </w:p>
    <w:p w14:paraId="35CDFF9C">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val="0"/>
          <w:sz w:val="26"/>
          <w:szCs w:val="26"/>
          <w:lang w:val="en-US" w:eastAsia="zh-CN"/>
        </w:rPr>
      </w:pPr>
      <w:r>
        <w:rPr>
          <w:rFonts w:hint="default" w:ascii="Arial" w:hAnsi="Arial" w:cs="Arial"/>
          <w:b/>
          <w:bCs w:val="0"/>
          <w:sz w:val="26"/>
          <w:szCs w:val="26"/>
          <w:lang w:val="en-US" w:eastAsia="zh-CN"/>
        </w:rPr>
        <w:t>②</w:t>
      </w:r>
      <w:r>
        <w:rPr>
          <w:rFonts w:hint="eastAsia" w:ascii="Arial" w:hAnsi="Arial" w:cs="Arial"/>
          <w:b/>
          <w:bCs w:val="0"/>
          <w:sz w:val="26"/>
          <w:szCs w:val="26"/>
          <w:lang w:val="en-US" w:eastAsia="zh-CN"/>
        </w:rPr>
        <w:t xml:space="preserve"> 农业面源</w:t>
      </w:r>
    </w:p>
    <w:p w14:paraId="0AC4E3E8">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bCs/>
          <w:sz w:val="26"/>
          <w:szCs w:val="26"/>
          <w:lang w:val="en-US" w:eastAsia="zh-CN"/>
        </w:rPr>
      </w:pPr>
      <w:r>
        <w:rPr>
          <w:rFonts w:hint="default" w:ascii="Arial" w:hAnsi="Arial" w:cs="Arial"/>
          <w:b w:val="0"/>
          <w:bCs/>
          <w:sz w:val="26"/>
          <w:szCs w:val="26"/>
          <w:lang w:val="en-US" w:eastAsia="zh-CN"/>
        </w:rPr>
        <w:t>根据现场勘查，</w:t>
      </w:r>
      <w:r>
        <w:rPr>
          <w:rFonts w:hint="eastAsia" w:ascii="Arial" w:hAnsi="Arial" w:cs="Arial"/>
          <w:b w:val="0"/>
          <w:bCs/>
          <w:sz w:val="26"/>
          <w:szCs w:val="26"/>
          <w:lang w:val="en-US" w:eastAsia="zh-CN"/>
        </w:rPr>
        <w:t>海螺沟流域两岸分布有大量的农耕地，沿岸污染主要为农村散排污水和农田径流，但居民较分散，</w:t>
      </w:r>
      <w:r>
        <w:rPr>
          <w:rFonts w:hint="eastAsia" w:ascii="Arial" w:hAnsi="Arial" w:cs="Arial"/>
          <w:b w:val="0"/>
          <w:color w:val="auto"/>
          <w:kern w:val="2"/>
          <w:sz w:val="26"/>
          <w:szCs w:val="26"/>
          <w:lang w:val="en-US" w:eastAsia="zh-CN" w:bidi="ar-SA"/>
        </w:rPr>
        <w:t>且大多外出务工，农业面源产生量较小</w:t>
      </w:r>
      <w:r>
        <w:rPr>
          <w:rFonts w:hint="eastAsia" w:ascii="Arial" w:hAnsi="Arial" w:cs="Arial"/>
          <w:b w:val="0"/>
          <w:bCs/>
          <w:sz w:val="26"/>
          <w:szCs w:val="26"/>
          <w:lang w:val="en-US" w:eastAsia="zh-CN"/>
        </w:rPr>
        <w:t>，生活污水大多经自建旱厕收集处理后用作农肥，未直接排入河道内，河水受污染程度较轻。但河流两侧居民散养的鸭、鹅等牲畜偶有下河行为，对河流水质存在一定影响。</w:t>
      </w:r>
    </w:p>
    <w:p w14:paraId="0EEF3894">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本项目坝上集雨范围内无规模化养殖场分布，但分布有一处</w:t>
      </w:r>
      <w:r>
        <w:rPr>
          <w:rFonts w:hint="eastAsia" w:ascii="Arial" w:hAnsi="Arial" w:cs="Arial"/>
          <w:b w:val="0"/>
          <w:color w:val="auto"/>
          <w:kern w:val="2"/>
          <w:sz w:val="26"/>
          <w:szCs w:val="26"/>
          <w:lang w:val="en-US" w:eastAsia="zh-CN" w:bidi="ar-SA"/>
        </w:rPr>
        <w:t>家庭式肉牛圈养点，养殖肉牛约30头，养殖废水设置有收集池，且与本项目间有山体阻隔，养殖废水经收集处理后，全部用作农肥，退水进入高洞桥河，未排入海螺沟。</w:t>
      </w:r>
    </w:p>
    <w:p w14:paraId="0B0BA679">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val="0"/>
          <w:sz w:val="26"/>
          <w:szCs w:val="26"/>
          <w:lang w:val="en-US" w:eastAsia="zh-CN"/>
        </w:rPr>
      </w:pPr>
      <w:r>
        <w:rPr>
          <w:rFonts w:hint="eastAsia" w:ascii="宋体" w:hAnsi="宋体" w:eastAsia="宋体" w:cs="宋体"/>
          <w:b/>
          <w:bCs w:val="0"/>
          <w:sz w:val="26"/>
          <w:szCs w:val="26"/>
          <w:lang w:val="en-US" w:eastAsia="zh-CN"/>
        </w:rPr>
        <w:t>③</w:t>
      </w:r>
      <w:r>
        <w:rPr>
          <w:rFonts w:hint="eastAsia" w:ascii="Arial" w:hAnsi="Arial" w:cs="Arial"/>
          <w:b/>
          <w:bCs w:val="0"/>
          <w:sz w:val="26"/>
          <w:szCs w:val="26"/>
          <w:lang w:val="en-US" w:eastAsia="zh-CN"/>
        </w:rPr>
        <w:t xml:space="preserve"> 集中污水排放源</w:t>
      </w:r>
    </w:p>
    <w:p w14:paraId="73A23B02">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bCs/>
          <w:sz w:val="26"/>
          <w:szCs w:val="26"/>
          <w:lang w:val="en-US" w:eastAsia="zh-CN"/>
        </w:rPr>
      </w:pPr>
      <w:r>
        <w:rPr>
          <w:rFonts w:hint="default" w:ascii="Arial" w:hAnsi="Arial" w:cs="Arial"/>
          <w:b w:val="0"/>
          <w:bCs/>
          <w:sz w:val="26"/>
          <w:szCs w:val="26"/>
          <w:lang w:val="en-US" w:eastAsia="zh-CN"/>
        </w:rPr>
        <w:t>根据现场勘查，</w:t>
      </w:r>
      <w:r>
        <w:rPr>
          <w:rFonts w:hint="eastAsia" w:ascii="Arial" w:hAnsi="Arial" w:cs="Arial"/>
          <w:b w:val="0"/>
          <w:bCs/>
          <w:sz w:val="26"/>
          <w:szCs w:val="26"/>
          <w:lang w:val="en-US" w:eastAsia="zh-CN"/>
        </w:rPr>
        <w:t>海螺沟水库淹没区、集雨范围内、坝下减水河段内均为农村，无规模化的集中污水排放源。同时根据《重庆市丰都县国民经济和社会发展第十四个五年规划和二〇三五年远景目标纲要》“丰都府</w:t>
      </w:r>
      <w:r>
        <w:rPr>
          <w:rFonts w:hint="default" w:ascii="Arial" w:hAnsi="Arial" w:cs="Arial"/>
          <w:b w:val="0"/>
          <w:bCs/>
          <w:sz w:val="26"/>
          <w:szCs w:val="26"/>
          <w:lang w:val="en-US" w:eastAsia="zh-CN"/>
        </w:rPr>
        <w:t>办</w:t>
      </w:r>
      <w:r>
        <w:rPr>
          <w:rFonts w:hint="default" w:ascii="Arial" w:hAnsi="Arial" w:eastAsia="宋体" w:cs="Arial"/>
          <w:b w:val="0"/>
          <w:bCs/>
          <w:sz w:val="26"/>
          <w:szCs w:val="26"/>
          <w:lang w:val="en-US" w:eastAsia="zh-CN"/>
        </w:rPr>
        <w:t>〔2021〕4号</w:t>
      </w:r>
      <w:r>
        <w:rPr>
          <w:rFonts w:hint="eastAsia" w:ascii="宋体" w:hAnsi="宋体" w:eastAsia="宋体" w:cs="宋体"/>
          <w:b w:val="0"/>
          <w:bCs/>
          <w:sz w:val="26"/>
          <w:szCs w:val="26"/>
          <w:lang w:val="en-US" w:eastAsia="zh-CN"/>
        </w:rPr>
        <w:t>”，海螺沟水库所在流域沿岸主要发展农业，未规划布置集中式工业园区、大型工矿企业，不会新增入河拍入口。</w:t>
      </w:r>
    </w:p>
    <w:p w14:paraId="1BD2D432">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宋体" w:hAnsi="宋体" w:cs="宋体"/>
          <w:spacing w:val="-12"/>
          <w:sz w:val="26"/>
          <w:szCs w:val="26"/>
          <w:lang w:eastAsia="zh-CN"/>
        </w:rPr>
      </w:pPr>
      <w:r>
        <w:rPr>
          <w:rFonts w:hint="eastAsia" w:ascii="Arial" w:hAnsi="宋体" w:cs="Arial"/>
          <w:bCs/>
          <w:sz w:val="26"/>
          <w:szCs w:val="26"/>
          <w:lang w:eastAsia="zh-CN"/>
        </w:rPr>
        <w:t>海螺沟水库人饮供水区主要包括双龙社区、回龙场村、田家山村合计约</w:t>
      </w:r>
      <w:r>
        <w:rPr>
          <w:rFonts w:hint="eastAsia" w:ascii="Arial" w:hAnsi="宋体" w:cs="Arial"/>
          <w:bCs/>
          <w:sz w:val="26"/>
          <w:szCs w:val="26"/>
          <w:lang w:val="en-US" w:eastAsia="zh-CN"/>
        </w:rPr>
        <w:t>7000名农村居民</w:t>
      </w:r>
      <w:r>
        <w:rPr>
          <w:rFonts w:hint="eastAsia" w:ascii="Arial" w:hAnsi="宋体" w:cs="Arial"/>
          <w:bCs/>
          <w:sz w:val="26"/>
          <w:szCs w:val="26"/>
          <w:lang w:eastAsia="zh-CN"/>
        </w:rPr>
        <w:t>，灌区主要集中在双龙社区、回龙场村合计约</w:t>
      </w:r>
      <w:r>
        <w:rPr>
          <w:rFonts w:hint="eastAsia" w:ascii="Arial" w:hAnsi="宋体" w:cs="Arial"/>
          <w:bCs/>
          <w:sz w:val="26"/>
          <w:szCs w:val="26"/>
          <w:lang w:val="en-US" w:eastAsia="zh-CN"/>
        </w:rPr>
        <w:t>2000亩耕地。</w:t>
      </w:r>
      <w:r>
        <w:rPr>
          <w:rFonts w:hint="eastAsia" w:ascii="Arial" w:hAnsi="宋体" w:cs="Arial"/>
          <w:bCs/>
          <w:sz w:val="26"/>
          <w:szCs w:val="26"/>
        </w:rPr>
        <w:t>根据调查，</w:t>
      </w:r>
      <w:r>
        <w:rPr>
          <w:rFonts w:hint="eastAsia" w:ascii="Arial" w:hAnsi="宋体" w:cs="Arial"/>
          <w:bCs/>
          <w:sz w:val="26"/>
          <w:szCs w:val="26"/>
          <w:lang w:eastAsia="zh-CN"/>
        </w:rPr>
        <w:t>海螺沟水库向双龙社区所供生活用水产生的污废水，经双龙镇污水处理厂集中深度处理达标后，进入双龙河；向回龙场村所供生活用水产生的污废水，主要由各农村居民家自建旱厕收集处理后，循序用作农肥，未直接进入河道。灌区采取管道供水，</w:t>
      </w:r>
      <w:r>
        <w:rPr>
          <w:rFonts w:ascii="宋体" w:hAnsi="宋体" w:eastAsia="宋体" w:cs="宋体"/>
          <w:spacing w:val="-12"/>
          <w:sz w:val="26"/>
          <w:szCs w:val="26"/>
        </w:rPr>
        <w:t>通过植物吸收、蒸发，</w:t>
      </w:r>
      <w:r>
        <w:rPr>
          <w:rFonts w:hint="eastAsia" w:ascii="宋体" w:hAnsi="宋体" w:cs="宋体"/>
          <w:spacing w:val="-12"/>
          <w:sz w:val="26"/>
          <w:szCs w:val="26"/>
          <w:lang w:eastAsia="zh-CN"/>
        </w:rPr>
        <w:t>回归天然河道，主要进入高洞桥河、双龙河。</w:t>
      </w:r>
    </w:p>
    <w:p w14:paraId="2E2439D2">
      <w:pPr>
        <w:keepNext w:val="0"/>
        <w:keepLines w:val="0"/>
        <w:pageBreakBefore w:val="0"/>
        <w:widowControl w:val="0"/>
        <w:kinsoku/>
        <w:wordWrap/>
        <w:overflowPunct/>
        <w:topLinePunct w:val="0"/>
        <w:autoSpaceDE/>
        <w:autoSpaceDN/>
        <w:bidi w:val="0"/>
        <w:adjustRightInd/>
        <w:snapToGrid/>
        <w:spacing w:line="460" w:lineRule="exact"/>
        <w:ind w:left="0" w:right="0" w:firstLine="0" w:firstLineChars="0"/>
        <w:jc w:val="center"/>
        <w:textAlignment w:val="auto"/>
        <w:rPr>
          <w:rFonts w:hint="default" w:ascii="Arial" w:hAnsi="Arial" w:cs="Arial"/>
          <w:b/>
          <w:bCs/>
          <w:spacing w:val="-12"/>
          <w:sz w:val="26"/>
          <w:szCs w:val="26"/>
          <w:lang w:val="en-US" w:eastAsia="zh-CN"/>
        </w:rPr>
      </w:pPr>
      <w:r>
        <w:rPr>
          <w:rFonts w:hint="default" w:ascii="Arial" w:hAnsi="Arial" w:cs="Arial"/>
          <w:b/>
          <w:bCs/>
          <w:spacing w:val="-12"/>
          <w:sz w:val="26"/>
          <w:szCs w:val="26"/>
          <w:lang w:eastAsia="zh-CN"/>
        </w:rPr>
        <w:t>表</w:t>
      </w:r>
      <w:r>
        <w:rPr>
          <w:rFonts w:hint="default" w:ascii="Arial" w:hAnsi="Arial" w:cs="Arial"/>
          <w:b/>
          <w:bCs/>
          <w:spacing w:val="-12"/>
          <w:sz w:val="26"/>
          <w:szCs w:val="26"/>
          <w:lang w:val="en-US" w:eastAsia="zh-CN"/>
        </w:rPr>
        <w:t>4.3-2 退水区主要污染排放口情况统计表</w:t>
      </w:r>
    </w:p>
    <w:tbl>
      <w:tblPr>
        <w:tblStyle w:val="77"/>
        <w:tblW w:w="5017" w:type="pct"/>
        <w:jc w:val="center"/>
        <w:tblLayout w:type="autofit"/>
        <w:tblCellMar>
          <w:top w:w="0" w:type="dxa"/>
          <w:left w:w="108" w:type="dxa"/>
          <w:bottom w:w="0" w:type="dxa"/>
          <w:right w:w="108" w:type="dxa"/>
        </w:tblCellMar>
      </w:tblPr>
      <w:tblGrid>
        <w:gridCol w:w="689"/>
        <w:gridCol w:w="1334"/>
        <w:gridCol w:w="1325"/>
        <w:gridCol w:w="1069"/>
        <w:gridCol w:w="1029"/>
        <w:gridCol w:w="3639"/>
      </w:tblGrid>
      <w:tr w14:paraId="30429053">
        <w:tblPrEx>
          <w:tblCellMar>
            <w:top w:w="0" w:type="dxa"/>
            <w:left w:w="108" w:type="dxa"/>
            <w:bottom w:w="0" w:type="dxa"/>
            <w:right w:w="108" w:type="dxa"/>
          </w:tblCellMar>
        </w:tblPrEx>
        <w:trPr>
          <w:trHeight w:val="473" w:hRule="atLeast"/>
          <w:jc w:val="center"/>
        </w:trPr>
        <w:tc>
          <w:tcPr>
            <w:tcW w:w="379" w:type="pct"/>
            <w:tcBorders>
              <w:top w:val="single" w:color="auto" w:sz="12" w:space="0"/>
              <w:left w:val="single" w:color="auto" w:sz="12" w:space="0"/>
              <w:bottom w:val="single" w:color="auto" w:sz="4" w:space="0"/>
              <w:right w:val="single" w:color="auto" w:sz="4" w:space="0"/>
            </w:tcBorders>
            <w:vAlign w:val="center"/>
          </w:tcPr>
          <w:p w14:paraId="414A7C50">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eastAsia="宋体" w:cs="Arial"/>
                <w:bCs/>
                <w:kern w:val="0"/>
                <w:sz w:val="22"/>
                <w:szCs w:val="22"/>
                <w:lang w:val="en-US" w:eastAsia="zh-CN"/>
              </w:rPr>
            </w:pPr>
            <w:r>
              <w:rPr>
                <w:rFonts w:hint="default" w:ascii="Arial" w:hAnsi="Arial" w:cs="Arial"/>
                <w:bCs/>
                <w:kern w:val="0"/>
                <w:sz w:val="22"/>
                <w:szCs w:val="22"/>
                <w:lang w:eastAsia="zh-CN"/>
              </w:rPr>
              <w:t>序号</w:t>
            </w:r>
          </w:p>
        </w:tc>
        <w:tc>
          <w:tcPr>
            <w:tcW w:w="734" w:type="pct"/>
            <w:tcBorders>
              <w:top w:val="single" w:color="auto" w:sz="12" w:space="0"/>
              <w:left w:val="single" w:color="auto" w:sz="4" w:space="0"/>
              <w:bottom w:val="single" w:color="auto" w:sz="4" w:space="0"/>
              <w:right w:val="single" w:color="auto" w:sz="4" w:space="0"/>
            </w:tcBorders>
            <w:vAlign w:val="center"/>
          </w:tcPr>
          <w:p w14:paraId="36C2EC2C">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eastAsia="宋体" w:cs="Arial"/>
                <w:bCs/>
                <w:kern w:val="0"/>
                <w:sz w:val="22"/>
                <w:szCs w:val="22"/>
                <w:lang w:eastAsia="zh-CN"/>
              </w:rPr>
            </w:pPr>
            <w:r>
              <w:rPr>
                <w:rFonts w:hint="default" w:ascii="Arial" w:hAnsi="Arial" w:cs="Arial"/>
                <w:bCs/>
                <w:kern w:val="0"/>
                <w:sz w:val="22"/>
                <w:szCs w:val="22"/>
                <w:lang w:eastAsia="zh-CN"/>
              </w:rPr>
              <w:t>排污口名称</w:t>
            </w:r>
          </w:p>
        </w:tc>
        <w:tc>
          <w:tcPr>
            <w:tcW w:w="729" w:type="pct"/>
            <w:tcBorders>
              <w:top w:val="single" w:color="auto" w:sz="12" w:space="0"/>
              <w:left w:val="single" w:color="auto" w:sz="4" w:space="0"/>
              <w:bottom w:val="single" w:color="auto" w:sz="4" w:space="0"/>
              <w:right w:val="single" w:color="auto" w:sz="4" w:space="0"/>
            </w:tcBorders>
            <w:vAlign w:val="center"/>
          </w:tcPr>
          <w:p w14:paraId="4302F3EA">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eastAsia="宋体" w:cs="Arial"/>
                <w:bCs/>
                <w:kern w:val="0"/>
                <w:sz w:val="22"/>
                <w:szCs w:val="22"/>
                <w:lang w:eastAsia="zh-CN"/>
              </w:rPr>
            </w:pPr>
            <w:r>
              <w:rPr>
                <w:rFonts w:hint="default" w:ascii="Arial" w:hAnsi="Arial" w:cs="Arial"/>
                <w:bCs/>
                <w:kern w:val="0"/>
                <w:sz w:val="22"/>
                <w:szCs w:val="22"/>
                <w:lang w:eastAsia="zh-CN"/>
              </w:rPr>
              <w:t>位置</w:t>
            </w:r>
          </w:p>
        </w:tc>
        <w:tc>
          <w:tcPr>
            <w:tcW w:w="588" w:type="pct"/>
            <w:tcBorders>
              <w:top w:val="single" w:color="auto" w:sz="12" w:space="0"/>
              <w:left w:val="single" w:color="auto" w:sz="4" w:space="0"/>
              <w:bottom w:val="single" w:color="auto" w:sz="4" w:space="0"/>
              <w:right w:val="single" w:color="auto" w:sz="4" w:space="0"/>
            </w:tcBorders>
            <w:vAlign w:val="center"/>
          </w:tcPr>
          <w:p w14:paraId="06560E5A">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cs="Arial"/>
                <w:bCs/>
                <w:kern w:val="0"/>
                <w:sz w:val="22"/>
                <w:szCs w:val="22"/>
                <w:lang w:eastAsia="zh-CN"/>
              </w:rPr>
            </w:pPr>
            <w:r>
              <w:rPr>
                <w:rFonts w:hint="default" w:ascii="Arial" w:hAnsi="Arial" w:cs="Arial"/>
                <w:bCs/>
                <w:kern w:val="0"/>
                <w:sz w:val="22"/>
                <w:szCs w:val="22"/>
                <w:lang w:eastAsia="zh-CN"/>
              </w:rPr>
              <w:t>受纳</w:t>
            </w:r>
          </w:p>
          <w:p w14:paraId="3D6F775A">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eastAsia="宋体" w:cs="Arial"/>
                <w:bCs/>
                <w:kern w:val="0"/>
                <w:sz w:val="22"/>
                <w:szCs w:val="22"/>
                <w:lang w:eastAsia="zh-CN"/>
              </w:rPr>
            </w:pPr>
            <w:r>
              <w:rPr>
                <w:rFonts w:hint="default" w:ascii="Arial" w:hAnsi="Arial" w:cs="Arial"/>
                <w:bCs/>
                <w:kern w:val="0"/>
                <w:sz w:val="22"/>
                <w:szCs w:val="22"/>
                <w:lang w:eastAsia="zh-CN"/>
              </w:rPr>
              <w:t>水体</w:t>
            </w:r>
          </w:p>
        </w:tc>
        <w:tc>
          <w:tcPr>
            <w:tcW w:w="566" w:type="pct"/>
            <w:tcBorders>
              <w:top w:val="single" w:color="auto" w:sz="12" w:space="0"/>
              <w:left w:val="single" w:color="auto" w:sz="4" w:space="0"/>
              <w:bottom w:val="single" w:color="auto" w:sz="4" w:space="0"/>
              <w:right w:val="single" w:color="auto" w:sz="4" w:space="0"/>
            </w:tcBorders>
            <w:vAlign w:val="center"/>
          </w:tcPr>
          <w:p w14:paraId="4E880952">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eastAsia="宋体" w:cs="Arial"/>
                <w:bCs/>
                <w:kern w:val="0"/>
                <w:sz w:val="22"/>
                <w:szCs w:val="22"/>
                <w:lang w:eastAsia="zh-CN"/>
              </w:rPr>
            </w:pPr>
            <w:r>
              <w:rPr>
                <w:rFonts w:hint="default" w:ascii="Arial" w:hAnsi="Arial" w:cs="Arial"/>
                <w:bCs/>
                <w:kern w:val="0"/>
                <w:sz w:val="22"/>
                <w:szCs w:val="22"/>
                <w:lang w:eastAsia="zh-CN"/>
              </w:rPr>
              <w:t>污水量</w:t>
            </w:r>
          </w:p>
        </w:tc>
        <w:tc>
          <w:tcPr>
            <w:tcW w:w="2001" w:type="pct"/>
            <w:tcBorders>
              <w:top w:val="single" w:color="auto" w:sz="12" w:space="0"/>
              <w:left w:val="single" w:color="auto" w:sz="4" w:space="0"/>
              <w:bottom w:val="single" w:color="auto" w:sz="4" w:space="0"/>
              <w:right w:val="single" w:color="auto" w:sz="12" w:space="0"/>
            </w:tcBorders>
            <w:vAlign w:val="center"/>
          </w:tcPr>
          <w:p w14:paraId="38ADDC50">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eastAsia="宋体" w:cs="Arial"/>
                <w:bCs/>
                <w:kern w:val="0"/>
                <w:sz w:val="22"/>
                <w:szCs w:val="22"/>
                <w:lang w:val="en-US" w:eastAsia="zh-CN"/>
              </w:rPr>
            </w:pPr>
            <w:r>
              <w:rPr>
                <w:rFonts w:hint="default" w:ascii="Arial" w:hAnsi="Arial" w:cs="Arial"/>
                <w:bCs/>
                <w:kern w:val="0"/>
                <w:sz w:val="22"/>
                <w:szCs w:val="22"/>
                <w:lang w:eastAsia="zh-CN"/>
              </w:rPr>
              <w:t>执行排放标准</w:t>
            </w:r>
          </w:p>
        </w:tc>
      </w:tr>
      <w:tr w14:paraId="1F328A37">
        <w:tblPrEx>
          <w:tblCellMar>
            <w:top w:w="0" w:type="dxa"/>
            <w:left w:w="108" w:type="dxa"/>
            <w:bottom w:w="0" w:type="dxa"/>
            <w:right w:w="108" w:type="dxa"/>
          </w:tblCellMar>
        </w:tblPrEx>
        <w:trPr>
          <w:trHeight w:val="473" w:hRule="atLeast"/>
          <w:jc w:val="center"/>
        </w:trPr>
        <w:tc>
          <w:tcPr>
            <w:tcW w:w="379" w:type="pct"/>
            <w:tcBorders>
              <w:top w:val="single" w:color="auto" w:sz="4" w:space="0"/>
              <w:left w:val="single" w:color="auto" w:sz="12" w:space="0"/>
              <w:bottom w:val="single" w:color="auto" w:sz="12" w:space="0"/>
              <w:right w:val="single" w:color="auto" w:sz="4" w:space="0"/>
            </w:tcBorders>
            <w:vAlign w:val="center"/>
          </w:tcPr>
          <w:p w14:paraId="22D844D5">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cs="Arial"/>
                <w:bCs/>
                <w:kern w:val="0"/>
                <w:sz w:val="22"/>
                <w:szCs w:val="22"/>
                <w:lang w:val="en-US" w:eastAsia="zh-CN"/>
              </w:rPr>
            </w:pPr>
            <w:r>
              <w:rPr>
                <w:rFonts w:hint="default" w:ascii="Arial" w:hAnsi="Arial" w:cs="Arial"/>
                <w:bCs/>
                <w:kern w:val="0"/>
                <w:sz w:val="22"/>
                <w:szCs w:val="22"/>
                <w:lang w:val="en-US" w:eastAsia="zh-CN"/>
              </w:rPr>
              <w:t>1</w:t>
            </w:r>
          </w:p>
        </w:tc>
        <w:tc>
          <w:tcPr>
            <w:tcW w:w="734" w:type="pct"/>
            <w:tcBorders>
              <w:top w:val="single" w:color="auto" w:sz="4" w:space="0"/>
              <w:left w:val="single" w:color="auto" w:sz="4" w:space="0"/>
              <w:bottom w:val="single" w:color="auto" w:sz="12" w:space="0"/>
              <w:right w:val="single" w:color="auto" w:sz="4" w:space="0"/>
            </w:tcBorders>
            <w:vAlign w:val="center"/>
          </w:tcPr>
          <w:p w14:paraId="47BDBF11">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cs="Arial"/>
                <w:bCs/>
                <w:kern w:val="0"/>
                <w:sz w:val="22"/>
                <w:szCs w:val="22"/>
                <w:lang w:eastAsia="zh-CN"/>
              </w:rPr>
            </w:pPr>
            <w:r>
              <w:rPr>
                <w:rFonts w:hint="default" w:ascii="Arial" w:hAnsi="Arial" w:cs="Arial"/>
                <w:bCs/>
                <w:sz w:val="22"/>
                <w:szCs w:val="22"/>
                <w:lang w:eastAsia="zh-CN"/>
              </w:rPr>
              <w:t>双龙镇污水处理厂</w:t>
            </w:r>
          </w:p>
        </w:tc>
        <w:tc>
          <w:tcPr>
            <w:tcW w:w="729" w:type="pct"/>
            <w:tcBorders>
              <w:top w:val="single" w:color="auto" w:sz="4" w:space="0"/>
              <w:left w:val="single" w:color="auto" w:sz="4" w:space="0"/>
              <w:bottom w:val="single" w:color="auto" w:sz="12" w:space="0"/>
              <w:right w:val="single" w:color="auto" w:sz="4" w:space="0"/>
            </w:tcBorders>
            <w:vAlign w:val="center"/>
          </w:tcPr>
          <w:p w14:paraId="776C9521">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cs="Arial"/>
                <w:bCs/>
                <w:kern w:val="0"/>
                <w:sz w:val="22"/>
                <w:szCs w:val="22"/>
                <w:lang w:val="en-US" w:eastAsia="zh-CN"/>
              </w:rPr>
            </w:pPr>
            <w:r>
              <w:rPr>
                <w:rFonts w:hint="default" w:ascii="Arial" w:hAnsi="Arial" w:cs="Arial"/>
                <w:bCs/>
                <w:kern w:val="0"/>
                <w:sz w:val="22"/>
                <w:szCs w:val="22"/>
                <w:lang w:eastAsia="zh-CN"/>
              </w:rPr>
              <w:t>双龙村</w:t>
            </w:r>
            <w:r>
              <w:rPr>
                <w:rFonts w:hint="default" w:ascii="Arial" w:hAnsi="Arial" w:cs="Arial"/>
                <w:bCs/>
                <w:kern w:val="0"/>
                <w:sz w:val="22"/>
                <w:szCs w:val="22"/>
                <w:lang w:val="en-US" w:eastAsia="zh-CN"/>
              </w:rPr>
              <w:t>2社</w:t>
            </w:r>
          </w:p>
        </w:tc>
        <w:tc>
          <w:tcPr>
            <w:tcW w:w="588" w:type="pct"/>
            <w:tcBorders>
              <w:top w:val="single" w:color="auto" w:sz="4" w:space="0"/>
              <w:left w:val="single" w:color="auto" w:sz="4" w:space="0"/>
              <w:bottom w:val="single" w:color="auto" w:sz="12" w:space="0"/>
              <w:right w:val="single" w:color="auto" w:sz="4" w:space="0"/>
            </w:tcBorders>
            <w:vAlign w:val="center"/>
          </w:tcPr>
          <w:p w14:paraId="4BB107D5">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cs="Arial"/>
                <w:bCs/>
                <w:kern w:val="0"/>
                <w:sz w:val="22"/>
                <w:szCs w:val="22"/>
                <w:lang w:eastAsia="zh-CN"/>
              </w:rPr>
            </w:pPr>
            <w:r>
              <w:rPr>
                <w:rFonts w:hint="default" w:ascii="Arial" w:hAnsi="Arial" w:cs="Arial"/>
                <w:bCs/>
                <w:kern w:val="0"/>
                <w:sz w:val="22"/>
                <w:szCs w:val="22"/>
                <w:lang w:eastAsia="zh-CN"/>
              </w:rPr>
              <w:t>双龙河</w:t>
            </w:r>
          </w:p>
        </w:tc>
        <w:tc>
          <w:tcPr>
            <w:tcW w:w="566" w:type="pct"/>
            <w:tcBorders>
              <w:top w:val="single" w:color="auto" w:sz="4" w:space="0"/>
              <w:left w:val="single" w:color="auto" w:sz="4" w:space="0"/>
              <w:bottom w:val="single" w:color="auto" w:sz="12" w:space="0"/>
              <w:right w:val="single" w:color="auto" w:sz="4" w:space="0"/>
            </w:tcBorders>
            <w:vAlign w:val="center"/>
          </w:tcPr>
          <w:p w14:paraId="65D78530">
            <w:pPr>
              <w:keepNext w:val="0"/>
              <w:keepLines w:val="0"/>
              <w:pageBreakBefore w:val="0"/>
              <w:widowControl w:val="0"/>
              <w:kinsoku/>
              <w:wordWrap/>
              <w:overflowPunct/>
              <w:topLinePunct w:val="0"/>
              <w:autoSpaceDE/>
              <w:autoSpaceDN/>
              <w:bidi w:val="0"/>
              <w:adjustRightInd w:val="0"/>
              <w:snapToGrid w:val="0"/>
              <w:spacing w:line="300" w:lineRule="exact"/>
              <w:ind w:left="0" w:right="0" w:firstLine="0"/>
              <w:jc w:val="center"/>
              <w:textAlignment w:val="auto"/>
              <w:rPr>
                <w:rFonts w:hint="default" w:ascii="Arial" w:hAnsi="Arial" w:cs="Arial"/>
                <w:bCs/>
                <w:kern w:val="0"/>
                <w:sz w:val="22"/>
                <w:szCs w:val="22"/>
                <w:lang w:val="en-US" w:eastAsia="zh-CN"/>
              </w:rPr>
            </w:pPr>
            <w:r>
              <w:rPr>
                <w:rFonts w:hint="default" w:ascii="Arial" w:hAnsi="Arial" w:cs="Arial"/>
                <w:bCs/>
                <w:kern w:val="0"/>
                <w:sz w:val="22"/>
                <w:szCs w:val="22"/>
                <w:lang w:val="en-US" w:eastAsia="zh-CN"/>
              </w:rPr>
              <w:t>600m</w:t>
            </w:r>
            <w:r>
              <w:rPr>
                <w:rFonts w:hint="default" w:ascii="Arial" w:hAnsi="Arial" w:cs="Arial"/>
                <w:bCs/>
                <w:kern w:val="0"/>
                <w:sz w:val="22"/>
                <w:szCs w:val="22"/>
                <w:vertAlign w:val="superscript"/>
                <w:lang w:val="en-US" w:eastAsia="zh-CN"/>
              </w:rPr>
              <w:t>3</w:t>
            </w:r>
            <w:r>
              <w:rPr>
                <w:rFonts w:hint="default" w:ascii="Arial" w:hAnsi="Arial" w:cs="Arial"/>
                <w:bCs/>
                <w:kern w:val="0"/>
                <w:sz w:val="22"/>
                <w:szCs w:val="22"/>
                <w:lang w:val="en-US" w:eastAsia="zh-CN"/>
              </w:rPr>
              <w:t>/d</w:t>
            </w:r>
          </w:p>
        </w:tc>
        <w:tc>
          <w:tcPr>
            <w:tcW w:w="2001" w:type="pct"/>
            <w:tcBorders>
              <w:top w:val="single" w:color="auto" w:sz="4" w:space="0"/>
              <w:left w:val="single" w:color="auto" w:sz="4" w:space="0"/>
              <w:bottom w:val="single" w:color="auto" w:sz="12" w:space="0"/>
              <w:right w:val="single" w:color="auto" w:sz="12" w:space="0"/>
            </w:tcBorders>
            <w:vAlign w:val="center"/>
          </w:tcPr>
          <w:p w14:paraId="5A19C773">
            <w:pPr>
              <w:pStyle w:val="2102"/>
              <w:keepNext w:val="0"/>
              <w:keepLines w:val="0"/>
              <w:pageBreakBefore w:val="0"/>
              <w:widowControl w:val="0"/>
              <w:kinsoku/>
              <w:wordWrap/>
              <w:overflowPunct/>
              <w:topLinePunct w:val="0"/>
              <w:autoSpaceDE/>
              <w:autoSpaceDN/>
              <w:bidi w:val="0"/>
              <w:spacing w:line="300" w:lineRule="exact"/>
              <w:ind w:left="0" w:right="0" w:firstLine="0"/>
              <w:jc w:val="center"/>
              <w:textAlignment w:val="auto"/>
              <w:rPr>
                <w:rFonts w:hint="default" w:ascii="Arial" w:hAnsi="Arial" w:cs="Arial"/>
                <w:bCs/>
                <w:kern w:val="0"/>
                <w:sz w:val="22"/>
                <w:szCs w:val="22"/>
                <w:lang w:eastAsia="zh-CN"/>
              </w:rPr>
            </w:pPr>
            <w:r>
              <w:rPr>
                <w:rFonts w:hint="default" w:ascii="Arial" w:hAnsi="Arial" w:cs="Arial"/>
                <w:spacing w:val="-1"/>
                <w:sz w:val="22"/>
                <w:szCs w:val="22"/>
              </w:rPr>
              <w:t>《城镇污水处理厂污染物排</w:t>
            </w:r>
            <w:r>
              <w:rPr>
                <w:rFonts w:hint="default" w:ascii="Arial" w:hAnsi="Arial" w:cs="Arial"/>
                <w:spacing w:val="3"/>
                <w:sz w:val="22"/>
                <w:szCs w:val="22"/>
              </w:rPr>
              <w:t>放标准》</w:t>
            </w:r>
            <w:r>
              <w:rPr>
                <w:rFonts w:hint="eastAsia" w:ascii="Arial" w:hAnsi="Arial" w:cs="Arial"/>
                <w:spacing w:val="3"/>
                <w:sz w:val="22"/>
                <w:szCs w:val="22"/>
                <w:lang w:eastAsia="zh-CN"/>
              </w:rPr>
              <w:t>（</w:t>
            </w:r>
            <w:r>
              <w:rPr>
                <w:rFonts w:hint="default" w:ascii="Arial" w:hAnsi="Arial" w:cs="Arial"/>
                <w:sz w:val="22"/>
                <w:szCs w:val="22"/>
              </w:rPr>
              <w:t>GB</w:t>
            </w:r>
            <w:r>
              <w:rPr>
                <w:rFonts w:hint="default" w:ascii="Arial" w:hAnsi="Arial" w:cs="Arial"/>
                <w:spacing w:val="3"/>
                <w:sz w:val="22"/>
                <w:szCs w:val="22"/>
              </w:rPr>
              <w:t>18918-2002</w:t>
            </w:r>
            <w:r>
              <w:rPr>
                <w:rFonts w:hint="eastAsia" w:ascii="Arial" w:hAnsi="Arial" w:cs="Arial"/>
                <w:spacing w:val="3"/>
                <w:sz w:val="22"/>
                <w:szCs w:val="22"/>
                <w:lang w:eastAsia="zh-CN"/>
              </w:rPr>
              <w:t>）中</w:t>
            </w:r>
            <w:r>
              <w:rPr>
                <w:rFonts w:hint="default" w:ascii="Arial" w:hAnsi="Arial" w:cs="Arial"/>
                <w:spacing w:val="10"/>
                <w:sz w:val="22"/>
                <w:szCs w:val="22"/>
              </w:rPr>
              <w:t>一</w:t>
            </w:r>
            <w:r>
              <w:rPr>
                <w:rFonts w:hint="default" w:ascii="Arial" w:hAnsi="Arial" w:cs="Arial"/>
                <w:spacing w:val="-52"/>
                <w:sz w:val="22"/>
                <w:szCs w:val="22"/>
              </w:rPr>
              <w:t xml:space="preserve"> </w:t>
            </w:r>
            <w:r>
              <w:rPr>
                <w:rFonts w:hint="default" w:ascii="Arial" w:hAnsi="Arial" w:cs="Arial"/>
                <w:spacing w:val="10"/>
                <w:sz w:val="22"/>
                <w:szCs w:val="22"/>
              </w:rPr>
              <w:t>级B标</w:t>
            </w:r>
          </w:p>
        </w:tc>
      </w:tr>
    </w:tbl>
    <w:p w14:paraId="36B653BA">
      <w:pPr>
        <w:keepNext w:val="0"/>
        <w:keepLines w:val="0"/>
        <w:pageBreakBefore w:val="0"/>
        <w:widowControl w:val="0"/>
        <w:kinsoku/>
        <w:wordWrap/>
        <w:overflowPunct/>
        <w:topLinePunct w:val="0"/>
        <w:autoSpaceDE/>
        <w:autoSpaceDN/>
        <w:bidi w:val="0"/>
        <w:adjustRightInd/>
        <w:snapToGrid/>
        <w:spacing w:line="240" w:lineRule="exact"/>
        <w:ind w:left="0" w:right="0" w:firstLine="520" w:firstLineChars="200"/>
        <w:jc w:val="both"/>
        <w:textAlignment w:val="auto"/>
        <w:rPr>
          <w:rFonts w:hint="eastAsia" w:ascii="Arial" w:hAnsi="宋体" w:cs="Arial"/>
          <w:bCs/>
          <w:sz w:val="26"/>
          <w:szCs w:val="26"/>
          <w:lang w:eastAsia="zh-CN"/>
        </w:rPr>
      </w:pPr>
    </w:p>
    <w:p w14:paraId="0CA09DCA">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default" w:ascii="Arial" w:hAnsi="Arial" w:cs="Arial"/>
          <w:b/>
          <w:bCs w:val="0"/>
          <w:sz w:val="26"/>
          <w:szCs w:val="26"/>
          <w:lang w:val="en-US" w:eastAsia="zh-CN"/>
        </w:rPr>
      </w:pPr>
      <w:r>
        <w:rPr>
          <w:rFonts w:hint="eastAsia" w:ascii="Arial" w:hAnsi="Arial" w:cs="Arial"/>
          <w:b/>
          <w:bCs w:val="0"/>
          <w:sz w:val="26"/>
          <w:szCs w:val="26"/>
          <w:lang w:val="en-US" w:eastAsia="zh-CN"/>
        </w:rPr>
        <w:t>（2）地表水环境质量变化趋势分析</w:t>
      </w:r>
    </w:p>
    <w:p w14:paraId="625752DA">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本次拟建海螺沟水库地处渠溪河水系—双龙河支流—高洞桥河支流—海螺沟中游，根据调查，双龙河、高洞桥河、海螺沟均未进行水域功能划分，故未设置例行监测断面。本次评价引用渠溪河东风大桥断面2019~2023年的例行监测数据，来对区域地表水环境质量变化趋势进行分析，该监测断面位于双龙河汇入渠溪河后，渠溪河下游约0.62km处，引用可行。项目所在流域水环境质量变化情况详见表4.3-3所示。</w:t>
      </w:r>
    </w:p>
    <w:p w14:paraId="14BAD17D">
      <w:pPr>
        <w:keepNext w:val="0"/>
        <w:keepLines w:val="0"/>
        <w:pageBreakBefore w:val="0"/>
        <w:widowControl w:val="0"/>
        <w:kinsoku/>
        <w:wordWrap/>
        <w:overflowPunct/>
        <w:topLinePunct w:val="0"/>
        <w:autoSpaceDE/>
        <w:autoSpaceDN/>
        <w:bidi w:val="0"/>
        <w:adjustRightInd/>
        <w:snapToGrid/>
        <w:spacing w:line="460" w:lineRule="exact"/>
        <w:ind w:left="0" w:right="0" w:firstLine="0" w:firstLineChars="0"/>
        <w:jc w:val="center"/>
        <w:textAlignment w:val="auto"/>
        <w:rPr>
          <w:rFonts w:hint="default" w:ascii="Arial" w:hAnsi="Arial" w:cs="Arial"/>
          <w:b/>
          <w:bCs/>
          <w:spacing w:val="-12"/>
          <w:sz w:val="26"/>
          <w:szCs w:val="26"/>
          <w:lang w:val="en-US" w:eastAsia="zh-CN"/>
        </w:rPr>
      </w:pPr>
      <w:r>
        <w:rPr>
          <w:rFonts w:hint="default" w:ascii="Arial" w:hAnsi="Arial" w:cs="Arial"/>
          <w:b/>
          <w:bCs/>
          <w:spacing w:val="-12"/>
          <w:sz w:val="26"/>
          <w:szCs w:val="26"/>
          <w:lang w:eastAsia="zh-CN"/>
        </w:rPr>
        <w:t>表</w:t>
      </w:r>
      <w:r>
        <w:rPr>
          <w:rFonts w:hint="default" w:ascii="Arial" w:hAnsi="Arial" w:cs="Arial"/>
          <w:b/>
          <w:bCs/>
          <w:spacing w:val="-12"/>
          <w:sz w:val="26"/>
          <w:szCs w:val="26"/>
          <w:lang w:val="en-US" w:eastAsia="zh-CN"/>
        </w:rPr>
        <w:t>4.3-</w:t>
      </w:r>
      <w:r>
        <w:rPr>
          <w:rFonts w:hint="eastAsia" w:ascii="Arial" w:hAnsi="Arial" w:cs="Arial"/>
          <w:b/>
          <w:bCs/>
          <w:spacing w:val="-12"/>
          <w:sz w:val="26"/>
          <w:szCs w:val="26"/>
          <w:lang w:val="en-US" w:eastAsia="zh-CN"/>
        </w:rPr>
        <w:t>3</w:t>
      </w:r>
      <w:r>
        <w:rPr>
          <w:rFonts w:hint="default" w:ascii="Arial" w:hAnsi="Arial" w:cs="Arial"/>
          <w:b/>
          <w:bCs/>
          <w:spacing w:val="-12"/>
          <w:sz w:val="26"/>
          <w:szCs w:val="26"/>
          <w:lang w:val="en-US" w:eastAsia="zh-CN"/>
        </w:rPr>
        <w:t xml:space="preserve"> </w:t>
      </w:r>
      <w:r>
        <w:rPr>
          <w:rFonts w:hint="eastAsia" w:ascii="Arial" w:hAnsi="Arial" w:cs="Arial"/>
          <w:b/>
          <w:bCs/>
          <w:spacing w:val="-12"/>
          <w:sz w:val="26"/>
          <w:szCs w:val="26"/>
          <w:lang w:val="en-US" w:eastAsia="zh-CN"/>
        </w:rPr>
        <w:t>渠溪河流域水环境质量变化趋势</w:t>
      </w:r>
      <w:r>
        <w:rPr>
          <w:rFonts w:hint="default" w:ascii="Arial" w:hAnsi="Arial" w:cs="Arial"/>
          <w:b/>
          <w:bCs/>
          <w:spacing w:val="-12"/>
          <w:sz w:val="26"/>
          <w:szCs w:val="26"/>
          <w:lang w:val="en-US" w:eastAsia="zh-CN"/>
        </w:rPr>
        <w:t>统计表</w:t>
      </w:r>
    </w:p>
    <w:tbl>
      <w:tblPr>
        <w:tblStyle w:val="78"/>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664"/>
        <w:gridCol w:w="889"/>
        <w:gridCol w:w="706"/>
        <w:gridCol w:w="1012"/>
        <w:gridCol w:w="1012"/>
        <w:gridCol w:w="1012"/>
        <w:gridCol w:w="1012"/>
        <w:gridCol w:w="1012"/>
        <w:gridCol w:w="1078"/>
      </w:tblGrid>
      <w:tr w14:paraId="2E76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restart"/>
            <w:vAlign w:val="center"/>
          </w:tcPr>
          <w:p w14:paraId="5596E6D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河流</w:t>
            </w:r>
          </w:p>
        </w:tc>
        <w:tc>
          <w:tcPr>
            <w:tcW w:w="664" w:type="dxa"/>
            <w:vMerge w:val="restart"/>
            <w:vAlign w:val="center"/>
          </w:tcPr>
          <w:p w14:paraId="3F66EDD7">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断面</w:t>
            </w:r>
          </w:p>
        </w:tc>
        <w:tc>
          <w:tcPr>
            <w:tcW w:w="889" w:type="dxa"/>
            <w:vMerge w:val="restart"/>
            <w:vAlign w:val="center"/>
          </w:tcPr>
          <w:p w14:paraId="1EA07F0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项目</w:t>
            </w:r>
          </w:p>
        </w:tc>
        <w:tc>
          <w:tcPr>
            <w:tcW w:w="706" w:type="dxa"/>
            <w:vMerge w:val="restart"/>
            <w:vAlign w:val="center"/>
          </w:tcPr>
          <w:p w14:paraId="0E5AC7D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单位</w:t>
            </w:r>
          </w:p>
        </w:tc>
        <w:tc>
          <w:tcPr>
            <w:tcW w:w="5060" w:type="dxa"/>
            <w:gridSpan w:val="5"/>
            <w:vAlign w:val="center"/>
          </w:tcPr>
          <w:p w14:paraId="688D423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年均值</w:t>
            </w:r>
          </w:p>
        </w:tc>
        <w:tc>
          <w:tcPr>
            <w:tcW w:w="1078" w:type="dxa"/>
            <w:vMerge w:val="restart"/>
            <w:vAlign w:val="center"/>
          </w:tcPr>
          <w:p w14:paraId="32CEEE7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标准限值</w:t>
            </w:r>
          </w:p>
        </w:tc>
      </w:tr>
      <w:tr w14:paraId="0BA6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72332BC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66AC116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vMerge w:val="continue"/>
            <w:vAlign w:val="center"/>
          </w:tcPr>
          <w:p w14:paraId="1A3120F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706" w:type="dxa"/>
            <w:vMerge w:val="continue"/>
            <w:vAlign w:val="center"/>
          </w:tcPr>
          <w:p w14:paraId="4FCAAA3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4E73825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2019年</w:t>
            </w:r>
          </w:p>
        </w:tc>
        <w:tc>
          <w:tcPr>
            <w:tcW w:w="1012" w:type="dxa"/>
            <w:vAlign w:val="center"/>
          </w:tcPr>
          <w:p w14:paraId="3467D41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2020年</w:t>
            </w:r>
          </w:p>
        </w:tc>
        <w:tc>
          <w:tcPr>
            <w:tcW w:w="1012" w:type="dxa"/>
            <w:vAlign w:val="center"/>
          </w:tcPr>
          <w:p w14:paraId="7154C96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2021年</w:t>
            </w:r>
          </w:p>
        </w:tc>
        <w:tc>
          <w:tcPr>
            <w:tcW w:w="1012" w:type="dxa"/>
            <w:vAlign w:val="center"/>
          </w:tcPr>
          <w:p w14:paraId="4673748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2022年</w:t>
            </w:r>
          </w:p>
        </w:tc>
        <w:tc>
          <w:tcPr>
            <w:tcW w:w="1012" w:type="dxa"/>
            <w:vAlign w:val="center"/>
          </w:tcPr>
          <w:p w14:paraId="2EAD3F9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2023年</w:t>
            </w:r>
          </w:p>
        </w:tc>
        <w:tc>
          <w:tcPr>
            <w:tcW w:w="1078" w:type="dxa"/>
            <w:vMerge w:val="continue"/>
            <w:vAlign w:val="center"/>
          </w:tcPr>
          <w:p w14:paraId="29D59DF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Arial" w:hAnsi="Arial" w:cs="Arial"/>
                <w:b w:val="0"/>
                <w:bCs/>
                <w:sz w:val="22"/>
                <w:szCs w:val="22"/>
                <w:vertAlign w:val="baseline"/>
                <w:lang w:val="en-US" w:eastAsia="zh-CN"/>
              </w:rPr>
            </w:pPr>
          </w:p>
        </w:tc>
      </w:tr>
      <w:tr w14:paraId="7CD7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restart"/>
            <w:shd w:val="clear" w:color="auto" w:fill="auto"/>
            <w:vAlign w:val="center"/>
          </w:tcPr>
          <w:p w14:paraId="5B7ED76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渠溪河</w:t>
            </w:r>
          </w:p>
        </w:tc>
        <w:tc>
          <w:tcPr>
            <w:tcW w:w="664" w:type="dxa"/>
            <w:vMerge w:val="restart"/>
            <w:shd w:val="clear" w:color="auto" w:fill="auto"/>
            <w:vAlign w:val="center"/>
          </w:tcPr>
          <w:p w14:paraId="36DC8D3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东风大桥断面</w:t>
            </w:r>
          </w:p>
        </w:tc>
        <w:tc>
          <w:tcPr>
            <w:tcW w:w="889" w:type="dxa"/>
            <w:vAlign w:val="center"/>
          </w:tcPr>
          <w:p w14:paraId="6D880B3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pH</w:t>
            </w:r>
          </w:p>
        </w:tc>
        <w:tc>
          <w:tcPr>
            <w:tcW w:w="706" w:type="dxa"/>
            <w:vAlign w:val="center"/>
          </w:tcPr>
          <w:p w14:paraId="1695005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无量纲</w:t>
            </w:r>
          </w:p>
        </w:tc>
        <w:tc>
          <w:tcPr>
            <w:tcW w:w="1012" w:type="dxa"/>
            <w:vAlign w:val="center"/>
          </w:tcPr>
          <w:p w14:paraId="161CB0F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7.9</w:t>
            </w:r>
          </w:p>
        </w:tc>
        <w:tc>
          <w:tcPr>
            <w:tcW w:w="1012" w:type="dxa"/>
            <w:vAlign w:val="center"/>
          </w:tcPr>
          <w:p w14:paraId="3D2F043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7</w:t>
            </w:r>
          </w:p>
        </w:tc>
        <w:tc>
          <w:tcPr>
            <w:tcW w:w="1012" w:type="dxa"/>
            <w:vAlign w:val="center"/>
          </w:tcPr>
          <w:p w14:paraId="7E9A1AD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8</w:t>
            </w:r>
          </w:p>
        </w:tc>
        <w:tc>
          <w:tcPr>
            <w:tcW w:w="1012" w:type="dxa"/>
            <w:vAlign w:val="center"/>
          </w:tcPr>
          <w:p w14:paraId="1954B92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8</w:t>
            </w:r>
          </w:p>
        </w:tc>
        <w:tc>
          <w:tcPr>
            <w:tcW w:w="1012" w:type="dxa"/>
            <w:vAlign w:val="center"/>
          </w:tcPr>
          <w:p w14:paraId="16F0D2F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8</w:t>
            </w:r>
          </w:p>
        </w:tc>
        <w:tc>
          <w:tcPr>
            <w:tcW w:w="1078" w:type="dxa"/>
            <w:vAlign w:val="center"/>
          </w:tcPr>
          <w:p w14:paraId="69FD854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6~9</w:t>
            </w:r>
          </w:p>
        </w:tc>
      </w:tr>
      <w:tr w14:paraId="0BB3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5E34AF97">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21E8E73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0916545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DO</w:t>
            </w:r>
          </w:p>
        </w:tc>
        <w:tc>
          <w:tcPr>
            <w:tcW w:w="706" w:type="dxa"/>
            <w:vMerge w:val="restart"/>
            <w:vAlign w:val="center"/>
          </w:tcPr>
          <w:p w14:paraId="1B9B4FE6">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mg/L</w:t>
            </w:r>
          </w:p>
        </w:tc>
        <w:tc>
          <w:tcPr>
            <w:tcW w:w="1012" w:type="dxa"/>
            <w:vAlign w:val="center"/>
          </w:tcPr>
          <w:p w14:paraId="4C2DE6E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7.8</w:t>
            </w:r>
          </w:p>
        </w:tc>
        <w:tc>
          <w:tcPr>
            <w:tcW w:w="1012" w:type="dxa"/>
            <w:vAlign w:val="center"/>
          </w:tcPr>
          <w:p w14:paraId="2A4AA9FE">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8.5</w:t>
            </w:r>
          </w:p>
        </w:tc>
        <w:tc>
          <w:tcPr>
            <w:tcW w:w="1012" w:type="dxa"/>
            <w:vAlign w:val="center"/>
          </w:tcPr>
          <w:p w14:paraId="33B2BF8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7.9</w:t>
            </w:r>
          </w:p>
        </w:tc>
        <w:tc>
          <w:tcPr>
            <w:tcW w:w="1012" w:type="dxa"/>
            <w:vAlign w:val="center"/>
          </w:tcPr>
          <w:p w14:paraId="783F08B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7.9</w:t>
            </w:r>
          </w:p>
        </w:tc>
        <w:tc>
          <w:tcPr>
            <w:tcW w:w="1012" w:type="dxa"/>
            <w:vAlign w:val="center"/>
          </w:tcPr>
          <w:p w14:paraId="4FA34E3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7.6</w:t>
            </w:r>
          </w:p>
        </w:tc>
        <w:tc>
          <w:tcPr>
            <w:tcW w:w="1078" w:type="dxa"/>
            <w:vAlign w:val="center"/>
          </w:tcPr>
          <w:p w14:paraId="6B3D644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≥5</w:t>
            </w:r>
          </w:p>
        </w:tc>
      </w:tr>
      <w:tr w14:paraId="65D2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20CDB03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2F320CF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7F34E3E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高锰酸盐指数</w:t>
            </w:r>
          </w:p>
        </w:tc>
        <w:tc>
          <w:tcPr>
            <w:tcW w:w="706" w:type="dxa"/>
            <w:vMerge w:val="continue"/>
            <w:vAlign w:val="center"/>
          </w:tcPr>
          <w:p w14:paraId="78999E4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4F541C5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3.6</w:t>
            </w:r>
          </w:p>
        </w:tc>
        <w:tc>
          <w:tcPr>
            <w:tcW w:w="1012" w:type="dxa"/>
            <w:vAlign w:val="center"/>
          </w:tcPr>
          <w:p w14:paraId="13E77FE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4.3</w:t>
            </w:r>
          </w:p>
        </w:tc>
        <w:tc>
          <w:tcPr>
            <w:tcW w:w="1012" w:type="dxa"/>
            <w:vAlign w:val="center"/>
          </w:tcPr>
          <w:p w14:paraId="0B268478">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4.0</w:t>
            </w:r>
          </w:p>
        </w:tc>
        <w:tc>
          <w:tcPr>
            <w:tcW w:w="1012" w:type="dxa"/>
            <w:vAlign w:val="center"/>
          </w:tcPr>
          <w:p w14:paraId="6AA9C54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4.5</w:t>
            </w:r>
          </w:p>
        </w:tc>
        <w:tc>
          <w:tcPr>
            <w:tcW w:w="1012" w:type="dxa"/>
            <w:vAlign w:val="center"/>
          </w:tcPr>
          <w:p w14:paraId="65FCACE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4.0</w:t>
            </w:r>
          </w:p>
        </w:tc>
        <w:tc>
          <w:tcPr>
            <w:tcW w:w="1078" w:type="dxa"/>
            <w:vAlign w:val="center"/>
          </w:tcPr>
          <w:p w14:paraId="4B97ABC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≤6</w:t>
            </w:r>
          </w:p>
        </w:tc>
      </w:tr>
      <w:tr w14:paraId="3A29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683" w:type="dxa"/>
            <w:vMerge w:val="continue"/>
            <w:vAlign w:val="center"/>
          </w:tcPr>
          <w:p w14:paraId="144653D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7F76B86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5F237468">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COD</w:t>
            </w:r>
          </w:p>
        </w:tc>
        <w:tc>
          <w:tcPr>
            <w:tcW w:w="706" w:type="dxa"/>
            <w:vMerge w:val="continue"/>
            <w:vAlign w:val="center"/>
          </w:tcPr>
          <w:p w14:paraId="5773F93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60CDE218">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14.2</w:t>
            </w:r>
          </w:p>
        </w:tc>
        <w:tc>
          <w:tcPr>
            <w:tcW w:w="1012" w:type="dxa"/>
            <w:vAlign w:val="center"/>
          </w:tcPr>
          <w:p w14:paraId="7C11DFF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14.3</w:t>
            </w:r>
          </w:p>
        </w:tc>
        <w:tc>
          <w:tcPr>
            <w:tcW w:w="1012" w:type="dxa"/>
            <w:vAlign w:val="center"/>
          </w:tcPr>
          <w:p w14:paraId="2B272448">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15</w:t>
            </w:r>
          </w:p>
        </w:tc>
        <w:tc>
          <w:tcPr>
            <w:tcW w:w="1012" w:type="dxa"/>
            <w:vAlign w:val="center"/>
          </w:tcPr>
          <w:p w14:paraId="101356A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12.8</w:t>
            </w:r>
          </w:p>
        </w:tc>
        <w:tc>
          <w:tcPr>
            <w:tcW w:w="1012" w:type="dxa"/>
            <w:vAlign w:val="center"/>
          </w:tcPr>
          <w:p w14:paraId="7B5A61E7">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16.8</w:t>
            </w:r>
          </w:p>
        </w:tc>
        <w:tc>
          <w:tcPr>
            <w:tcW w:w="1078" w:type="dxa"/>
            <w:vAlign w:val="center"/>
          </w:tcPr>
          <w:p w14:paraId="4EF4EA5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≤20</w:t>
            </w:r>
          </w:p>
        </w:tc>
      </w:tr>
      <w:tr w14:paraId="7852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476429D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473E1F7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0B740C0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BOD</w:t>
            </w:r>
            <w:r>
              <w:rPr>
                <w:rFonts w:hint="eastAsia" w:ascii="Arial" w:hAnsi="Arial" w:cs="Arial"/>
                <w:b w:val="0"/>
                <w:bCs/>
                <w:sz w:val="22"/>
                <w:szCs w:val="22"/>
                <w:vertAlign w:val="subscript"/>
                <w:lang w:val="en-US" w:eastAsia="zh-CN"/>
              </w:rPr>
              <w:t>5</w:t>
            </w:r>
          </w:p>
        </w:tc>
        <w:tc>
          <w:tcPr>
            <w:tcW w:w="706" w:type="dxa"/>
            <w:vMerge w:val="continue"/>
            <w:vAlign w:val="center"/>
          </w:tcPr>
          <w:p w14:paraId="2C6B0098">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46196AA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1.7</w:t>
            </w:r>
          </w:p>
        </w:tc>
        <w:tc>
          <w:tcPr>
            <w:tcW w:w="1012" w:type="dxa"/>
            <w:vAlign w:val="center"/>
          </w:tcPr>
          <w:p w14:paraId="12125B4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2</w:t>
            </w:r>
          </w:p>
        </w:tc>
        <w:tc>
          <w:tcPr>
            <w:tcW w:w="1012" w:type="dxa"/>
            <w:vAlign w:val="center"/>
          </w:tcPr>
          <w:p w14:paraId="681C83A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2.4</w:t>
            </w:r>
          </w:p>
        </w:tc>
        <w:tc>
          <w:tcPr>
            <w:tcW w:w="1012" w:type="dxa"/>
            <w:vAlign w:val="center"/>
          </w:tcPr>
          <w:p w14:paraId="060A7A0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2.2</w:t>
            </w:r>
          </w:p>
        </w:tc>
        <w:tc>
          <w:tcPr>
            <w:tcW w:w="1012" w:type="dxa"/>
            <w:vAlign w:val="center"/>
          </w:tcPr>
          <w:p w14:paraId="50E6748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1.8</w:t>
            </w:r>
          </w:p>
        </w:tc>
        <w:tc>
          <w:tcPr>
            <w:tcW w:w="1078" w:type="dxa"/>
            <w:vAlign w:val="center"/>
          </w:tcPr>
          <w:p w14:paraId="4787CA0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≤4</w:t>
            </w:r>
          </w:p>
        </w:tc>
      </w:tr>
      <w:tr w14:paraId="1ACB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262774B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68214F16">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0B922B9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NH</w:t>
            </w:r>
            <w:r>
              <w:rPr>
                <w:rFonts w:hint="eastAsia" w:ascii="Arial" w:hAnsi="Arial" w:cs="Arial"/>
                <w:b w:val="0"/>
                <w:bCs/>
                <w:sz w:val="22"/>
                <w:szCs w:val="22"/>
                <w:vertAlign w:val="subscript"/>
                <w:lang w:val="en-US" w:eastAsia="zh-CN"/>
              </w:rPr>
              <w:t>3</w:t>
            </w:r>
            <w:r>
              <w:rPr>
                <w:rFonts w:hint="eastAsia" w:ascii="Arial" w:hAnsi="Arial" w:cs="Arial"/>
                <w:b w:val="0"/>
                <w:bCs/>
                <w:sz w:val="22"/>
                <w:szCs w:val="22"/>
                <w:vertAlign w:val="baseline"/>
                <w:lang w:val="en-US" w:eastAsia="zh-CN"/>
              </w:rPr>
              <w:t>-N</w:t>
            </w:r>
          </w:p>
        </w:tc>
        <w:tc>
          <w:tcPr>
            <w:tcW w:w="706" w:type="dxa"/>
            <w:vMerge w:val="continue"/>
            <w:vAlign w:val="center"/>
          </w:tcPr>
          <w:p w14:paraId="643538F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506ACFD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0.26</w:t>
            </w:r>
          </w:p>
        </w:tc>
        <w:tc>
          <w:tcPr>
            <w:tcW w:w="1012" w:type="dxa"/>
            <w:vAlign w:val="center"/>
          </w:tcPr>
          <w:p w14:paraId="432E0FF8">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0.28</w:t>
            </w:r>
          </w:p>
        </w:tc>
        <w:tc>
          <w:tcPr>
            <w:tcW w:w="1012" w:type="dxa"/>
            <w:vAlign w:val="center"/>
          </w:tcPr>
          <w:p w14:paraId="15DB4976">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0.4</w:t>
            </w:r>
          </w:p>
        </w:tc>
        <w:tc>
          <w:tcPr>
            <w:tcW w:w="1012" w:type="dxa"/>
            <w:vAlign w:val="center"/>
          </w:tcPr>
          <w:p w14:paraId="3EDEEDF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0.41</w:t>
            </w:r>
          </w:p>
        </w:tc>
        <w:tc>
          <w:tcPr>
            <w:tcW w:w="1012" w:type="dxa"/>
            <w:vAlign w:val="center"/>
          </w:tcPr>
          <w:p w14:paraId="3C33D5A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0.34</w:t>
            </w:r>
          </w:p>
        </w:tc>
        <w:tc>
          <w:tcPr>
            <w:tcW w:w="1078" w:type="dxa"/>
            <w:vAlign w:val="center"/>
          </w:tcPr>
          <w:p w14:paraId="51A55A36">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w:t>
            </w:r>
          </w:p>
        </w:tc>
      </w:tr>
      <w:tr w14:paraId="12A9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6ABC588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0142FE5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5594074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TP</w:t>
            </w:r>
          </w:p>
        </w:tc>
        <w:tc>
          <w:tcPr>
            <w:tcW w:w="706" w:type="dxa"/>
            <w:vMerge w:val="continue"/>
            <w:vAlign w:val="center"/>
          </w:tcPr>
          <w:p w14:paraId="48477647">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10568168">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0.128</w:t>
            </w:r>
          </w:p>
        </w:tc>
        <w:tc>
          <w:tcPr>
            <w:tcW w:w="1012" w:type="dxa"/>
            <w:vAlign w:val="center"/>
          </w:tcPr>
          <w:p w14:paraId="3DDB38E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0.103</w:t>
            </w:r>
          </w:p>
        </w:tc>
        <w:tc>
          <w:tcPr>
            <w:tcW w:w="1012" w:type="dxa"/>
            <w:vAlign w:val="center"/>
          </w:tcPr>
          <w:p w14:paraId="4196D5C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0.086</w:t>
            </w:r>
          </w:p>
        </w:tc>
        <w:tc>
          <w:tcPr>
            <w:tcW w:w="1012" w:type="dxa"/>
            <w:vAlign w:val="center"/>
          </w:tcPr>
          <w:p w14:paraId="6A1FB0C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0.106</w:t>
            </w:r>
          </w:p>
        </w:tc>
        <w:tc>
          <w:tcPr>
            <w:tcW w:w="1012" w:type="dxa"/>
            <w:vAlign w:val="center"/>
          </w:tcPr>
          <w:p w14:paraId="54F27D1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0.112</w:t>
            </w:r>
          </w:p>
        </w:tc>
        <w:tc>
          <w:tcPr>
            <w:tcW w:w="1078" w:type="dxa"/>
            <w:vAlign w:val="center"/>
          </w:tcPr>
          <w:p w14:paraId="62B5622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≤0.05</w:t>
            </w:r>
          </w:p>
        </w:tc>
      </w:tr>
      <w:tr w14:paraId="02BF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7C805E9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6BB7BA8E">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66ED18F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Cu</w:t>
            </w:r>
          </w:p>
        </w:tc>
        <w:tc>
          <w:tcPr>
            <w:tcW w:w="706" w:type="dxa"/>
            <w:vMerge w:val="continue"/>
            <w:vAlign w:val="center"/>
          </w:tcPr>
          <w:p w14:paraId="3951821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64A8DF7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0.01</w:t>
            </w:r>
          </w:p>
        </w:tc>
        <w:tc>
          <w:tcPr>
            <w:tcW w:w="1012" w:type="dxa"/>
            <w:vAlign w:val="center"/>
          </w:tcPr>
          <w:p w14:paraId="1A5CE08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0.004</w:t>
            </w:r>
          </w:p>
        </w:tc>
        <w:tc>
          <w:tcPr>
            <w:tcW w:w="1012" w:type="dxa"/>
            <w:vAlign w:val="center"/>
          </w:tcPr>
          <w:p w14:paraId="374FAB5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0.003</w:t>
            </w:r>
          </w:p>
        </w:tc>
        <w:tc>
          <w:tcPr>
            <w:tcW w:w="1012" w:type="dxa"/>
            <w:vAlign w:val="center"/>
          </w:tcPr>
          <w:p w14:paraId="5D6E004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12" w:type="dxa"/>
            <w:vAlign w:val="center"/>
          </w:tcPr>
          <w:p w14:paraId="1AABE91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78" w:type="dxa"/>
            <w:vAlign w:val="center"/>
          </w:tcPr>
          <w:p w14:paraId="0B38CFF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w:t>
            </w:r>
          </w:p>
        </w:tc>
      </w:tr>
      <w:tr w14:paraId="282E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5E8FDE7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713D48D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5A717DC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Zn</w:t>
            </w:r>
          </w:p>
        </w:tc>
        <w:tc>
          <w:tcPr>
            <w:tcW w:w="706" w:type="dxa"/>
            <w:vMerge w:val="continue"/>
            <w:vAlign w:val="center"/>
          </w:tcPr>
          <w:p w14:paraId="0BFCD15E">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7F34E8B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0.02</w:t>
            </w:r>
          </w:p>
        </w:tc>
        <w:tc>
          <w:tcPr>
            <w:tcW w:w="1012" w:type="dxa"/>
            <w:vAlign w:val="center"/>
          </w:tcPr>
          <w:p w14:paraId="3AF0B42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0.025</w:t>
            </w:r>
          </w:p>
        </w:tc>
        <w:tc>
          <w:tcPr>
            <w:tcW w:w="1012" w:type="dxa"/>
            <w:vAlign w:val="center"/>
          </w:tcPr>
          <w:p w14:paraId="37526ED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0.025</w:t>
            </w:r>
          </w:p>
        </w:tc>
        <w:tc>
          <w:tcPr>
            <w:tcW w:w="1012" w:type="dxa"/>
            <w:vAlign w:val="center"/>
          </w:tcPr>
          <w:p w14:paraId="105C725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0.025</w:t>
            </w:r>
          </w:p>
        </w:tc>
        <w:tc>
          <w:tcPr>
            <w:tcW w:w="1012" w:type="dxa"/>
            <w:vAlign w:val="center"/>
          </w:tcPr>
          <w:p w14:paraId="00A23C9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0.014</w:t>
            </w:r>
          </w:p>
        </w:tc>
        <w:tc>
          <w:tcPr>
            <w:tcW w:w="1078" w:type="dxa"/>
            <w:vAlign w:val="center"/>
          </w:tcPr>
          <w:p w14:paraId="06C4FD6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w:t>
            </w:r>
          </w:p>
        </w:tc>
      </w:tr>
      <w:tr w14:paraId="16D4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5485781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4F5FDBF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3033FF9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氟化物</w:t>
            </w:r>
          </w:p>
        </w:tc>
        <w:tc>
          <w:tcPr>
            <w:tcW w:w="706" w:type="dxa"/>
            <w:vMerge w:val="continue"/>
            <w:vAlign w:val="center"/>
          </w:tcPr>
          <w:p w14:paraId="67563457">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1715AEF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0.21</w:t>
            </w:r>
          </w:p>
        </w:tc>
        <w:tc>
          <w:tcPr>
            <w:tcW w:w="1012" w:type="dxa"/>
            <w:vAlign w:val="center"/>
          </w:tcPr>
          <w:p w14:paraId="3BCFB59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0.181</w:t>
            </w:r>
          </w:p>
        </w:tc>
        <w:tc>
          <w:tcPr>
            <w:tcW w:w="1012" w:type="dxa"/>
            <w:vAlign w:val="center"/>
          </w:tcPr>
          <w:p w14:paraId="4AD2945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0.22</w:t>
            </w:r>
          </w:p>
        </w:tc>
        <w:tc>
          <w:tcPr>
            <w:tcW w:w="1012" w:type="dxa"/>
            <w:vAlign w:val="center"/>
          </w:tcPr>
          <w:p w14:paraId="0AB5179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0.19</w:t>
            </w:r>
          </w:p>
        </w:tc>
        <w:tc>
          <w:tcPr>
            <w:tcW w:w="1012" w:type="dxa"/>
            <w:vAlign w:val="center"/>
          </w:tcPr>
          <w:p w14:paraId="5145182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0.167</w:t>
            </w:r>
          </w:p>
        </w:tc>
        <w:tc>
          <w:tcPr>
            <w:tcW w:w="1078" w:type="dxa"/>
            <w:vAlign w:val="center"/>
          </w:tcPr>
          <w:p w14:paraId="0C786C4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≤1</w:t>
            </w:r>
          </w:p>
        </w:tc>
      </w:tr>
      <w:tr w14:paraId="5CC2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21E7AAC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48906A36">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13E3B8C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Se</w:t>
            </w:r>
          </w:p>
        </w:tc>
        <w:tc>
          <w:tcPr>
            <w:tcW w:w="706" w:type="dxa"/>
            <w:vMerge w:val="continue"/>
            <w:vAlign w:val="center"/>
          </w:tcPr>
          <w:p w14:paraId="04E46B9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7BA7A16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0.0002</w:t>
            </w:r>
          </w:p>
        </w:tc>
        <w:tc>
          <w:tcPr>
            <w:tcW w:w="1012" w:type="dxa"/>
            <w:vAlign w:val="center"/>
          </w:tcPr>
          <w:p w14:paraId="5E5C92C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0.0002</w:t>
            </w:r>
          </w:p>
        </w:tc>
        <w:tc>
          <w:tcPr>
            <w:tcW w:w="1012" w:type="dxa"/>
            <w:vAlign w:val="center"/>
          </w:tcPr>
          <w:p w14:paraId="080BF4E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0.0002</w:t>
            </w:r>
          </w:p>
        </w:tc>
        <w:tc>
          <w:tcPr>
            <w:tcW w:w="1012" w:type="dxa"/>
            <w:vAlign w:val="center"/>
          </w:tcPr>
          <w:p w14:paraId="626419E6">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0.0002</w:t>
            </w:r>
          </w:p>
        </w:tc>
        <w:tc>
          <w:tcPr>
            <w:tcW w:w="1012" w:type="dxa"/>
            <w:vAlign w:val="center"/>
          </w:tcPr>
          <w:p w14:paraId="591BCE8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0.0002</w:t>
            </w:r>
          </w:p>
        </w:tc>
        <w:tc>
          <w:tcPr>
            <w:tcW w:w="1078" w:type="dxa"/>
            <w:vAlign w:val="center"/>
          </w:tcPr>
          <w:p w14:paraId="437400E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≤0.01</w:t>
            </w:r>
          </w:p>
        </w:tc>
      </w:tr>
      <w:tr w14:paraId="7842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544A813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5DACB26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565B938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As</w:t>
            </w:r>
          </w:p>
        </w:tc>
        <w:tc>
          <w:tcPr>
            <w:tcW w:w="706" w:type="dxa"/>
            <w:vMerge w:val="continue"/>
            <w:vAlign w:val="center"/>
          </w:tcPr>
          <w:p w14:paraId="5D1FB8F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shd w:val="clear" w:color="auto" w:fill="auto"/>
            <w:vAlign w:val="center"/>
          </w:tcPr>
          <w:p w14:paraId="56F8839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0.0002</w:t>
            </w:r>
          </w:p>
        </w:tc>
        <w:tc>
          <w:tcPr>
            <w:tcW w:w="1012" w:type="dxa"/>
            <w:shd w:val="clear" w:color="auto" w:fill="auto"/>
            <w:vAlign w:val="center"/>
          </w:tcPr>
          <w:p w14:paraId="6BE95288">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0.0002</w:t>
            </w:r>
          </w:p>
        </w:tc>
        <w:tc>
          <w:tcPr>
            <w:tcW w:w="1012" w:type="dxa"/>
            <w:shd w:val="clear" w:color="auto" w:fill="auto"/>
            <w:vAlign w:val="center"/>
          </w:tcPr>
          <w:p w14:paraId="37CC351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0.0002</w:t>
            </w:r>
          </w:p>
        </w:tc>
        <w:tc>
          <w:tcPr>
            <w:tcW w:w="1012" w:type="dxa"/>
            <w:shd w:val="clear" w:color="auto" w:fill="auto"/>
            <w:vAlign w:val="center"/>
          </w:tcPr>
          <w:p w14:paraId="00BC604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0.0002</w:t>
            </w:r>
          </w:p>
        </w:tc>
        <w:tc>
          <w:tcPr>
            <w:tcW w:w="1012" w:type="dxa"/>
            <w:shd w:val="clear" w:color="auto" w:fill="auto"/>
            <w:vAlign w:val="center"/>
          </w:tcPr>
          <w:p w14:paraId="28A9C3C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0.0002</w:t>
            </w:r>
          </w:p>
        </w:tc>
        <w:tc>
          <w:tcPr>
            <w:tcW w:w="1078" w:type="dxa"/>
            <w:shd w:val="clear" w:color="auto" w:fill="auto"/>
            <w:vAlign w:val="center"/>
          </w:tcPr>
          <w:p w14:paraId="62098B9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≤0.05</w:t>
            </w:r>
          </w:p>
        </w:tc>
      </w:tr>
      <w:tr w14:paraId="04D5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36767C6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5ED5BDC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2D2D928E">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Hg</w:t>
            </w:r>
          </w:p>
        </w:tc>
        <w:tc>
          <w:tcPr>
            <w:tcW w:w="706" w:type="dxa"/>
            <w:vMerge w:val="continue"/>
            <w:vAlign w:val="center"/>
          </w:tcPr>
          <w:p w14:paraId="40F454E7">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shd w:val="clear" w:color="auto" w:fill="auto"/>
            <w:vAlign w:val="center"/>
          </w:tcPr>
          <w:p w14:paraId="55A2864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0.00002</w:t>
            </w:r>
          </w:p>
        </w:tc>
        <w:tc>
          <w:tcPr>
            <w:tcW w:w="1012" w:type="dxa"/>
            <w:shd w:val="clear" w:color="auto" w:fill="auto"/>
            <w:vAlign w:val="center"/>
          </w:tcPr>
          <w:p w14:paraId="0520782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0.00002</w:t>
            </w:r>
          </w:p>
        </w:tc>
        <w:tc>
          <w:tcPr>
            <w:tcW w:w="1012" w:type="dxa"/>
            <w:shd w:val="clear" w:color="auto" w:fill="auto"/>
            <w:vAlign w:val="center"/>
          </w:tcPr>
          <w:p w14:paraId="582143C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0.00002</w:t>
            </w:r>
          </w:p>
        </w:tc>
        <w:tc>
          <w:tcPr>
            <w:tcW w:w="1012" w:type="dxa"/>
            <w:shd w:val="clear" w:color="auto" w:fill="auto"/>
            <w:vAlign w:val="center"/>
          </w:tcPr>
          <w:p w14:paraId="18D8DCD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0.00002</w:t>
            </w:r>
          </w:p>
        </w:tc>
        <w:tc>
          <w:tcPr>
            <w:tcW w:w="1012" w:type="dxa"/>
            <w:shd w:val="clear" w:color="auto" w:fill="auto"/>
            <w:vAlign w:val="center"/>
          </w:tcPr>
          <w:p w14:paraId="76F96A6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0.00002</w:t>
            </w:r>
          </w:p>
        </w:tc>
        <w:tc>
          <w:tcPr>
            <w:tcW w:w="1078" w:type="dxa"/>
            <w:shd w:val="clear" w:color="auto" w:fill="auto"/>
            <w:vAlign w:val="center"/>
          </w:tcPr>
          <w:p w14:paraId="38D3994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≤0.001</w:t>
            </w:r>
          </w:p>
        </w:tc>
      </w:tr>
      <w:tr w14:paraId="298B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5464D58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2586335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223D54E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Cd</w:t>
            </w:r>
          </w:p>
        </w:tc>
        <w:tc>
          <w:tcPr>
            <w:tcW w:w="706" w:type="dxa"/>
            <w:vMerge w:val="continue"/>
            <w:vAlign w:val="center"/>
          </w:tcPr>
          <w:p w14:paraId="1445ED5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151DA1F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0.00005</w:t>
            </w:r>
          </w:p>
        </w:tc>
        <w:tc>
          <w:tcPr>
            <w:tcW w:w="1012" w:type="dxa"/>
            <w:vAlign w:val="center"/>
          </w:tcPr>
          <w:p w14:paraId="6C2CDEA8">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0.00005</w:t>
            </w:r>
          </w:p>
        </w:tc>
        <w:tc>
          <w:tcPr>
            <w:tcW w:w="1012" w:type="dxa"/>
            <w:vAlign w:val="center"/>
          </w:tcPr>
          <w:p w14:paraId="1CFAD84E">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0.00005</w:t>
            </w:r>
          </w:p>
        </w:tc>
        <w:tc>
          <w:tcPr>
            <w:tcW w:w="1012" w:type="dxa"/>
            <w:vAlign w:val="center"/>
          </w:tcPr>
          <w:p w14:paraId="1AA79B9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0.00005</w:t>
            </w:r>
          </w:p>
        </w:tc>
        <w:tc>
          <w:tcPr>
            <w:tcW w:w="1012" w:type="dxa"/>
            <w:vAlign w:val="center"/>
          </w:tcPr>
          <w:p w14:paraId="72C78A0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0.00005</w:t>
            </w:r>
          </w:p>
        </w:tc>
        <w:tc>
          <w:tcPr>
            <w:tcW w:w="1078" w:type="dxa"/>
            <w:shd w:val="clear" w:color="auto" w:fill="auto"/>
            <w:vAlign w:val="center"/>
          </w:tcPr>
          <w:p w14:paraId="2CAC6368">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≤0.005</w:t>
            </w:r>
          </w:p>
        </w:tc>
      </w:tr>
      <w:tr w14:paraId="61F6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59C5A4D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2876788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531E01E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Cr</w:t>
            </w:r>
            <w:r>
              <w:rPr>
                <w:rFonts w:hint="eastAsia" w:ascii="Arial" w:hAnsi="Arial" w:cs="Arial"/>
                <w:b w:val="0"/>
                <w:bCs/>
                <w:sz w:val="22"/>
                <w:szCs w:val="22"/>
                <w:vertAlign w:val="superscript"/>
                <w:lang w:val="en-US" w:eastAsia="zh-CN"/>
              </w:rPr>
              <w:t>6+</w:t>
            </w:r>
          </w:p>
        </w:tc>
        <w:tc>
          <w:tcPr>
            <w:tcW w:w="706" w:type="dxa"/>
            <w:vMerge w:val="continue"/>
            <w:vAlign w:val="center"/>
          </w:tcPr>
          <w:p w14:paraId="77AB4C3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7F403CD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12" w:type="dxa"/>
            <w:vAlign w:val="center"/>
          </w:tcPr>
          <w:p w14:paraId="018481F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12" w:type="dxa"/>
            <w:vAlign w:val="center"/>
          </w:tcPr>
          <w:p w14:paraId="060C6A8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12" w:type="dxa"/>
            <w:vAlign w:val="center"/>
          </w:tcPr>
          <w:p w14:paraId="443B997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12" w:type="dxa"/>
            <w:vAlign w:val="center"/>
          </w:tcPr>
          <w:p w14:paraId="1007E43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78" w:type="dxa"/>
            <w:shd w:val="clear" w:color="auto" w:fill="auto"/>
            <w:vAlign w:val="center"/>
          </w:tcPr>
          <w:p w14:paraId="17320EF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≤0.05</w:t>
            </w:r>
          </w:p>
        </w:tc>
      </w:tr>
      <w:tr w14:paraId="3AA7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83" w:type="dxa"/>
            <w:vMerge w:val="continue"/>
            <w:vAlign w:val="center"/>
          </w:tcPr>
          <w:p w14:paraId="10AB280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03FFA8B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3EC1757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Pb</w:t>
            </w:r>
          </w:p>
        </w:tc>
        <w:tc>
          <w:tcPr>
            <w:tcW w:w="706" w:type="dxa"/>
            <w:vMerge w:val="continue"/>
            <w:vAlign w:val="center"/>
          </w:tcPr>
          <w:p w14:paraId="6092EC9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351280E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0.001</w:t>
            </w:r>
          </w:p>
        </w:tc>
        <w:tc>
          <w:tcPr>
            <w:tcW w:w="1012" w:type="dxa"/>
            <w:vAlign w:val="center"/>
          </w:tcPr>
          <w:p w14:paraId="1BC5D1F6">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0.001</w:t>
            </w:r>
          </w:p>
        </w:tc>
        <w:tc>
          <w:tcPr>
            <w:tcW w:w="1012" w:type="dxa"/>
            <w:vAlign w:val="center"/>
          </w:tcPr>
          <w:p w14:paraId="68135DC7">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0.001</w:t>
            </w:r>
          </w:p>
        </w:tc>
        <w:tc>
          <w:tcPr>
            <w:tcW w:w="1012" w:type="dxa"/>
            <w:vAlign w:val="center"/>
          </w:tcPr>
          <w:p w14:paraId="2CBC1F0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0.001</w:t>
            </w:r>
          </w:p>
        </w:tc>
        <w:tc>
          <w:tcPr>
            <w:tcW w:w="1012" w:type="dxa"/>
            <w:vAlign w:val="center"/>
          </w:tcPr>
          <w:p w14:paraId="5DA8E32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0.001</w:t>
            </w:r>
          </w:p>
        </w:tc>
        <w:tc>
          <w:tcPr>
            <w:tcW w:w="1078" w:type="dxa"/>
            <w:shd w:val="clear" w:color="auto" w:fill="auto"/>
            <w:vAlign w:val="center"/>
          </w:tcPr>
          <w:p w14:paraId="74FFAAD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≤0.05</w:t>
            </w:r>
          </w:p>
        </w:tc>
      </w:tr>
      <w:tr w14:paraId="0186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69281E5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69DAD737">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144A27D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氰化物</w:t>
            </w:r>
          </w:p>
        </w:tc>
        <w:tc>
          <w:tcPr>
            <w:tcW w:w="706" w:type="dxa"/>
            <w:vMerge w:val="continue"/>
            <w:vAlign w:val="center"/>
          </w:tcPr>
          <w:p w14:paraId="2DA71F8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0ADC311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12" w:type="dxa"/>
            <w:shd w:val="clear" w:color="auto" w:fill="auto"/>
            <w:vAlign w:val="center"/>
          </w:tcPr>
          <w:p w14:paraId="08EE98B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0.002</w:t>
            </w:r>
          </w:p>
        </w:tc>
        <w:tc>
          <w:tcPr>
            <w:tcW w:w="1012" w:type="dxa"/>
            <w:shd w:val="clear" w:color="auto" w:fill="auto"/>
            <w:vAlign w:val="center"/>
          </w:tcPr>
          <w:p w14:paraId="6E4F7B7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0.002</w:t>
            </w:r>
          </w:p>
        </w:tc>
        <w:tc>
          <w:tcPr>
            <w:tcW w:w="1012" w:type="dxa"/>
            <w:shd w:val="clear" w:color="auto" w:fill="auto"/>
            <w:vAlign w:val="center"/>
          </w:tcPr>
          <w:p w14:paraId="618BB163">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0.002</w:t>
            </w:r>
          </w:p>
        </w:tc>
        <w:tc>
          <w:tcPr>
            <w:tcW w:w="1012" w:type="dxa"/>
            <w:shd w:val="clear" w:color="auto" w:fill="auto"/>
            <w:vAlign w:val="center"/>
          </w:tcPr>
          <w:p w14:paraId="1D520C9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0.002</w:t>
            </w:r>
          </w:p>
        </w:tc>
        <w:tc>
          <w:tcPr>
            <w:tcW w:w="1078" w:type="dxa"/>
            <w:shd w:val="clear" w:color="auto" w:fill="auto"/>
            <w:vAlign w:val="center"/>
          </w:tcPr>
          <w:p w14:paraId="1FED6DEE">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≤0.2</w:t>
            </w:r>
          </w:p>
        </w:tc>
      </w:tr>
      <w:tr w14:paraId="2FE7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063620B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6CD654F7">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5F7EAE1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挥发酚</w:t>
            </w:r>
          </w:p>
        </w:tc>
        <w:tc>
          <w:tcPr>
            <w:tcW w:w="706" w:type="dxa"/>
            <w:vMerge w:val="continue"/>
            <w:vAlign w:val="center"/>
          </w:tcPr>
          <w:p w14:paraId="25B667E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28D00B5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0.0003</w:t>
            </w:r>
          </w:p>
        </w:tc>
        <w:tc>
          <w:tcPr>
            <w:tcW w:w="1012" w:type="dxa"/>
            <w:vAlign w:val="center"/>
          </w:tcPr>
          <w:p w14:paraId="2346334C">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0.0004</w:t>
            </w:r>
          </w:p>
        </w:tc>
        <w:tc>
          <w:tcPr>
            <w:tcW w:w="1012" w:type="dxa"/>
            <w:vAlign w:val="center"/>
          </w:tcPr>
          <w:p w14:paraId="55840B4E">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0.0003</w:t>
            </w:r>
          </w:p>
        </w:tc>
        <w:tc>
          <w:tcPr>
            <w:tcW w:w="1012" w:type="dxa"/>
            <w:vAlign w:val="center"/>
          </w:tcPr>
          <w:p w14:paraId="1DAEFED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0.0002</w:t>
            </w:r>
          </w:p>
        </w:tc>
        <w:tc>
          <w:tcPr>
            <w:tcW w:w="1012" w:type="dxa"/>
            <w:vAlign w:val="center"/>
          </w:tcPr>
          <w:p w14:paraId="4F781E9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0.0002</w:t>
            </w:r>
          </w:p>
        </w:tc>
        <w:tc>
          <w:tcPr>
            <w:tcW w:w="1078" w:type="dxa"/>
            <w:shd w:val="clear" w:color="auto" w:fill="auto"/>
            <w:vAlign w:val="center"/>
          </w:tcPr>
          <w:p w14:paraId="181F1EE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≤0.005</w:t>
            </w:r>
          </w:p>
        </w:tc>
      </w:tr>
      <w:tr w14:paraId="67D9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2F3930B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74934B4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1B5FE87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石油类</w:t>
            </w:r>
          </w:p>
        </w:tc>
        <w:tc>
          <w:tcPr>
            <w:tcW w:w="706" w:type="dxa"/>
            <w:vMerge w:val="continue"/>
            <w:vAlign w:val="center"/>
          </w:tcPr>
          <w:p w14:paraId="177F669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1D78971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0.005</w:t>
            </w:r>
          </w:p>
        </w:tc>
        <w:tc>
          <w:tcPr>
            <w:tcW w:w="1012" w:type="dxa"/>
            <w:vAlign w:val="center"/>
          </w:tcPr>
          <w:p w14:paraId="4C354D4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0.005</w:t>
            </w:r>
          </w:p>
        </w:tc>
        <w:tc>
          <w:tcPr>
            <w:tcW w:w="1012" w:type="dxa"/>
            <w:vAlign w:val="center"/>
          </w:tcPr>
          <w:p w14:paraId="4B2EE7A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0.005</w:t>
            </w:r>
          </w:p>
        </w:tc>
        <w:tc>
          <w:tcPr>
            <w:tcW w:w="1012" w:type="dxa"/>
            <w:vAlign w:val="center"/>
          </w:tcPr>
          <w:p w14:paraId="44A75FB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0.005</w:t>
            </w:r>
          </w:p>
        </w:tc>
        <w:tc>
          <w:tcPr>
            <w:tcW w:w="1012" w:type="dxa"/>
            <w:vAlign w:val="center"/>
          </w:tcPr>
          <w:p w14:paraId="7FDC8B1E">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0.005</w:t>
            </w:r>
          </w:p>
        </w:tc>
        <w:tc>
          <w:tcPr>
            <w:tcW w:w="1078" w:type="dxa"/>
            <w:shd w:val="clear" w:color="auto" w:fill="auto"/>
            <w:vAlign w:val="center"/>
          </w:tcPr>
          <w:p w14:paraId="6012B77D">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≤0.05</w:t>
            </w:r>
          </w:p>
        </w:tc>
      </w:tr>
      <w:tr w14:paraId="0313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38F93EB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303B066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33E8145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LAS</w:t>
            </w:r>
          </w:p>
        </w:tc>
        <w:tc>
          <w:tcPr>
            <w:tcW w:w="706" w:type="dxa"/>
            <w:vMerge w:val="continue"/>
            <w:vAlign w:val="center"/>
          </w:tcPr>
          <w:p w14:paraId="58930DEB">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0E5E020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0.02</w:t>
            </w:r>
          </w:p>
        </w:tc>
        <w:tc>
          <w:tcPr>
            <w:tcW w:w="1012" w:type="dxa"/>
            <w:vAlign w:val="center"/>
          </w:tcPr>
          <w:p w14:paraId="72D19E3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0.02</w:t>
            </w:r>
          </w:p>
        </w:tc>
        <w:tc>
          <w:tcPr>
            <w:tcW w:w="1012" w:type="dxa"/>
            <w:vAlign w:val="center"/>
          </w:tcPr>
          <w:p w14:paraId="0C0A521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0.02</w:t>
            </w:r>
          </w:p>
        </w:tc>
        <w:tc>
          <w:tcPr>
            <w:tcW w:w="1012" w:type="dxa"/>
            <w:vAlign w:val="center"/>
          </w:tcPr>
          <w:p w14:paraId="0A89F82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0.02</w:t>
            </w:r>
          </w:p>
        </w:tc>
        <w:tc>
          <w:tcPr>
            <w:tcW w:w="1012" w:type="dxa"/>
            <w:vAlign w:val="center"/>
          </w:tcPr>
          <w:p w14:paraId="59C76CE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0.02</w:t>
            </w:r>
          </w:p>
        </w:tc>
        <w:tc>
          <w:tcPr>
            <w:tcW w:w="1078" w:type="dxa"/>
            <w:shd w:val="clear" w:color="auto" w:fill="auto"/>
            <w:vAlign w:val="center"/>
          </w:tcPr>
          <w:p w14:paraId="485D0F22">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≤0.2</w:t>
            </w:r>
          </w:p>
        </w:tc>
      </w:tr>
      <w:tr w14:paraId="7305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14:paraId="008F72C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664" w:type="dxa"/>
            <w:vMerge w:val="continue"/>
            <w:vAlign w:val="center"/>
          </w:tcPr>
          <w:p w14:paraId="45E16BDF">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889" w:type="dxa"/>
            <w:shd w:val="clear" w:color="auto" w:fill="auto"/>
            <w:vAlign w:val="center"/>
          </w:tcPr>
          <w:p w14:paraId="16FCCA6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硫化物</w:t>
            </w:r>
          </w:p>
        </w:tc>
        <w:tc>
          <w:tcPr>
            <w:tcW w:w="706" w:type="dxa"/>
            <w:vMerge w:val="continue"/>
            <w:vAlign w:val="center"/>
          </w:tcPr>
          <w:p w14:paraId="079E3159">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p>
        </w:tc>
        <w:tc>
          <w:tcPr>
            <w:tcW w:w="1012" w:type="dxa"/>
            <w:vAlign w:val="center"/>
          </w:tcPr>
          <w:p w14:paraId="512E9481">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12" w:type="dxa"/>
            <w:vAlign w:val="center"/>
          </w:tcPr>
          <w:p w14:paraId="2FBD66E5">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12" w:type="dxa"/>
            <w:vAlign w:val="center"/>
          </w:tcPr>
          <w:p w14:paraId="4297AA74">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0.002</w:t>
            </w:r>
          </w:p>
        </w:tc>
        <w:tc>
          <w:tcPr>
            <w:tcW w:w="1012" w:type="dxa"/>
            <w:vAlign w:val="center"/>
          </w:tcPr>
          <w:p w14:paraId="03D136FE">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0.004</w:t>
            </w:r>
          </w:p>
        </w:tc>
        <w:tc>
          <w:tcPr>
            <w:tcW w:w="1012" w:type="dxa"/>
            <w:vAlign w:val="center"/>
          </w:tcPr>
          <w:p w14:paraId="395F7600">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sz w:val="22"/>
                <w:szCs w:val="22"/>
                <w:vertAlign w:val="baseline"/>
                <w:lang w:val="en-US" w:eastAsia="zh-CN"/>
              </w:rPr>
            </w:pPr>
            <w:r>
              <w:rPr>
                <w:rFonts w:hint="eastAsia" w:ascii="Arial" w:hAnsi="Arial" w:cs="Arial"/>
                <w:b w:val="0"/>
                <w:bCs/>
                <w:sz w:val="22"/>
                <w:szCs w:val="22"/>
                <w:vertAlign w:val="baseline"/>
                <w:lang w:val="en-US" w:eastAsia="zh-CN"/>
              </w:rPr>
              <w:t>0.005</w:t>
            </w:r>
          </w:p>
        </w:tc>
        <w:tc>
          <w:tcPr>
            <w:tcW w:w="1078" w:type="dxa"/>
            <w:shd w:val="clear" w:color="auto" w:fill="auto"/>
            <w:vAlign w:val="center"/>
          </w:tcPr>
          <w:p w14:paraId="3125D6BA">
            <w:pPr>
              <w:pStyle w:val="100"/>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Arial" w:hAnsi="Arial" w:eastAsia="宋体" w:cs="Arial"/>
                <w:b w:val="0"/>
                <w:bCs/>
                <w:kern w:val="0"/>
                <w:sz w:val="22"/>
                <w:szCs w:val="22"/>
                <w:vertAlign w:val="baseline"/>
                <w:lang w:val="en-US" w:eastAsia="zh-CN" w:bidi="ar-SA"/>
              </w:rPr>
            </w:pPr>
            <w:r>
              <w:rPr>
                <w:rFonts w:hint="eastAsia" w:ascii="Arial" w:hAnsi="Arial" w:cs="Arial"/>
                <w:b w:val="0"/>
                <w:bCs/>
                <w:sz w:val="22"/>
                <w:szCs w:val="22"/>
                <w:vertAlign w:val="baseline"/>
                <w:lang w:val="en-US" w:eastAsia="zh-CN"/>
              </w:rPr>
              <w:t>≤0.2</w:t>
            </w:r>
          </w:p>
        </w:tc>
      </w:tr>
    </w:tbl>
    <w:p w14:paraId="543AAA91">
      <w:pPr>
        <w:pStyle w:val="100"/>
        <w:keepNext w:val="0"/>
        <w:keepLines w:val="0"/>
        <w:pageBreakBefore w:val="0"/>
        <w:widowControl w:val="0"/>
        <w:kinsoku/>
        <w:wordWrap/>
        <w:overflowPunct/>
        <w:topLinePunct w:val="0"/>
        <w:autoSpaceDE/>
        <w:autoSpaceDN/>
        <w:bidi w:val="0"/>
        <w:adjustRightInd/>
        <w:snapToGrid/>
        <w:spacing w:line="240" w:lineRule="exact"/>
        <w:ind w:firstLine="520" w:firstLineChars="200"/>
        <w:jc w:val="both"/>
        <w:textAlignment w:val="auto"/>
        <w:rPr>
          <w:rFonts w:hint="default" w:ascii="Arial" w:hAnsi="Arial" w:cs="Arial"/>
          <w:b w:val="0"/>
          <w:bCs/>
          <w:sz w:val="26"/>
          <w:szCs w:val="26"/>
          <w:lang w:val="en-US" w:eastAsia="zh-CN"/>
        </w:rPr>
      </w:pPr>
    </w:p>
    <w:p w14:paraId="4BA520D0">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r>
        <w:rPr>
          <w:rFonts w:hint="eastAsia" w:ascii="Arial" w:hAnsi="Arial" w:cs="Arial"/>
          <w:b w:val="0"/>
          <w:bCs/>
          <w:sz w:val="26"/>
          <w:szCs w:val="26"/>
          <w:lang w:val="en-US" w:eastAsia="zh-CN"/>
        </w:rPr>
        <w:t>由表4.3-3可知，渠溪河东风大桥断面2019~2023年各监测因子均满足《地表水环境质量标准》（GB3838-2002）中</w:t>
      </w:r>
      <w:r>
        <w:rPr>
          <w:rFonts w:hint="eastAsia" w:ascii="Arial" w:hAnsi="Arial" w:cs="Arial"/>
          <w:b w:val="0"/>
          <w:bCs/>
          <w:sz w:val="26"/>
          <w:szCs w:val="26"/>
          <w:lang w:val="en-US" w:eastAsia="zh-CN"/>
        </w:rPr>
        <w:fldChar w:fldCharType="begin"/>
      </w:r>
      <w:r>
        <w:rPr>
          <w:rFonts w:hint="eastAsia" w:ascii="Arial" w:hAnsi="Arial" w:cs="Arial"/>
          <w:b w:val="0"/>
          <w:bCs/>
          <w:sz w:val="26"/>
          <w:szCs w:val="26"/>
          <w:lang w:val="en-US" w:eastAsia="zh-CN"/>
        </w:rPr>
        <w:instrText xml:space="preserve"> = 3 \* ROMAN </w:instrText>
      </w:r>
      <w:r>
        <w:rPr>
          <w:rFonts w:hint="eastAsia" w:ascii="Arial" w:hAnsi="Arial" w:cs="Arial"/>
          <w:b w:val="0"/>
          <w:bCs/>
          <w:sz w:val="26"/>
          <w:szCs w:val="26"/>
          <w:lang w:val="en-US" w:eastAsia="zh-CN"/>
        </w:rPr>
        <w:fldChar w:fldCharType="separate"/>
      </w:r>
      <w:r>
        <w:rPr>
          <w:rFonts w:hint="eastAsia" w:ascii="Arial" w:hAnsi="Arial" w:cs="Arial"/>
          <w:b w:val="0"/>
          <w:bCs/>
          <w:sz w:val="26"/>
          <w:szCs w:val="26"/>
          <w:lang w:val="en-US" w:eastAsia="zh-CN"/>
        </w:rPr>
        <w:t>III</w:t>
      </w:r>
      <w:r>
        <w:rPr>
          <w:rFonts w:hint="eastAsia" w:ascii="Arial" w:hAnsi="Arial" w:cs="Arial"/>
          <w:b w:val="0"/>
          <w:bCs/>
          <w:sz w:val="26"/>
          <w:szCs w:val="26"/>
          <w:lang w:val="en-US" w:eastAsia="zh-CN"/>
        </w:rPr>
        <w:fldChar w:fldCharType="end"/>
      </w:r>
      <w:r>
        <w:rPr>
          <w:rFonts w:hint="eastAsia" w:ascii="Arial" w:hAnsi="Arial" w:cs="Arial"/>
          <w:b w:val="0"/>
          <w:bCs/>
          <w:sz w:val="26"/>
          <w:szCs w:val="26"/>
          <w:lang w:val="en-US" w:eastAsia="zh-CN"/>
        </w:rPr>
        <w:t>类水域标准限值要求，未出现超标现状。</w:t>
      </w:r>
    </w:p>
    <w:p w14:paraId="18EE089F">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250A1269">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0362D14A">
      <w:pPr>
        <w:pStyle w:val="100"/>
        <w:keepNext w:val="0"/>
        <w:keepLines w:val="0"/>
        <w:pageBreakBefore w:val="0"/>
        <w:widowControl w:val="0"/>
        <w:kinsoku/>
        <w:wordWrap/>
        <w:overflowPunct/>
        <w:topLinePunct w:val="0"/>
        <w:autoSpaceDE/>
        <w:autoSpaceDN/>
        <w:bidi w:val="0"/>
        <w:adjustRightInd/>
        <w:snapToGrid/>
        <w:spacing w:line="460" w:lineRule="exact"/>
        <w:ind w:firstLine="482" w:firstLineChars="200"/>
        <w:jc w:val="both"/>
        <w:textAlignment w:val="auto"/>
        <w:rPr>
          <w:rFonts w:hint="default" w:ascii="Arial" w:hAnsi="Arial" w:cs="Arial"/>
          <w:b w:val="0"/>
          <w:bCs/>
          <w:sz w:val="26"/>
          <w:szCs w:val="26"/>
          <w:lang w:val="en-US" w:eastAsia="zh-CN"/>
        </w:rPr>
      </w:pPr>
      <w:r>
        <w:drawing>
          <wp:anchor distT="0" distB="0" distL="114300" distR="114300" simplePos="0" relativeHeight="251766784" behindDoc="0" locked="0" layoutInCell="1" allowOverlap="1">
            <wp:simplePos x="0" y="0"/>
            <wp:positionH relativeFrom="column">
              <wp:posOffset>156210</wp:posOffset>
            </wp:positionH>
            <wp:positionV relativeFrom="paragraph">
              <wp:posOffset>24130</wp:posOffset>
            </wp:positionV>
            <wp:extent cx="5227320" cy="2982595"/>
            <wp:effectExtent l="0" t="0" r="11430" b="8255"/>
            <wp:wrapNone/>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pic:cNvPicPr>
                      <a:picLocks noChangeAspect="1"/>
                    </pic:cNvPicPr>
                  </pic:nvPicPr>
                  <pic:blipFill>
                    <a:blip r:embed="rId32"/>
                    <a:stretch>
                      <a:fillRect/>
                    </a:stretch>
                  </pic:blipFill>
                  <pic:spPr>
                    <a:xfrm>
                      <a:off x="0" y="0"/>
                      <a:ext cx="5227320" cy="2982595"/>
                    </a:xfrm>
                    <a:prstGeom prst="rect">
                      <a:avLst/>
                    </a:prstGeom>
                    <a:noFill/>
                    <a:ln>
                      <a:noFill/>
                    </a:ln>
                  </pic:spPr>
                </pic:pic>
              </a:graphicData>
            </a:graphic>
          </wp:anchor>
        </w:drawing>
      </w:r>
    </w:p>
    <w:p w14:paraId="62675449">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7759C835">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5AA1328C">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177EAD1A">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16B9C064">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15356F98">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2FBFCDAE">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6F02C93B">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124FF242">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p>
    <w:p w14:paraId="5F1CFD6A">
      <w:pPr>
        <w:keepNext w:val="0"/>
        <w:keepLines w:val="0"/>
        <w:pageBreakBefore w:val="0"/>
        <w:widowControl w:val="0"/>
        <w:kinsoku/>
        <w:wordWrap/>
        <w:overflowPunct/>
        <w:topLinePunct w:val="0"/>
        <w:autoSpaceDE/>
        <w:autoSpaceDN/>
        <w:bidi w:val="0"/>
        <w:adjustRightInd/>
        <w:snapToGrid/>
        <w:spacing w:line="240" w:lineRule="exact"/>
        <w:ind w:left="0" w:right="0" w:firstLine="0" w:firstLineChars="0"/>
        <w:jc w:val="center"/>
        <w:textAlignment w:val="auto"/>
        <w:rPr>
          <w:rFonts w:hint="eastAsia" w:ascii="Arial" w:hAnsi="Arial" w:eastAsia="宋体" w:cs="Arial"/>
          <w:b/>
          <w:bCs/>
          <w:spacing w:val="-12"/>
          <w:sz w:val="26"/>
          <w:szCs w:val="26"/>
          <w:lang w:val="en-US" w:eastAsia="zh-CN"/>
        </w:rPr>
      </w:pPr>
    </w:p>
    <w:p w14:paraId="6A59226C">
      <w:pPr>
        <w:keepNext w:val="0"/>
        <w:keepLines w:val="0"/>
        <w:pageBreakBefore w:val="0"/>
        <w:widowControl w:val="0"/>
        <w:kinsoku/>
        <w:wordWrap/>
        <w:overflowPunct/>
        <w:topLinePunct w:val="0"/>
        <w:autoSpaceDE/>
        <w:autoSpaceDN/>
        <w:bidi w:val="0"/>
        <w:adjustRightInd/>
        <w:snapToGrid/>
        <w:spacing w:line="460" w:lineRule="exact"/>
        <w:ind w:left="0" w:right="0" w:firstLine="0" w:firstLineChars="0"/>
        <w:jc w:val="center"/>
        <w:textAlignment w:val="auto"/>
        <w:rPr>
          <w:rFonts w:hint="default" w:ascii="Arial" w:hAnsi="Arial" w:eastAsia="宋体" w:cs="Arial"/>
          <w:b/>
          <w:bCs/>
          <w:spacing w:val="-12"/>
          <w:sz w:val="26"/>
          <w:szCs w:val="26"/>
          <w:lang w:val="en-US" w:eastAsia="zh-CN"/>
        </w:rPr>
      </w:pPr>
      <w:r>
        <w:rPr>
          <w:rFonts w:hint="eastAsia" w:ascii="Arial" w:hAnsi="Arial" w:eastAsia="宋体" w:cs="Arial"/>
          <w:b/>
          <w:bCs/>
          <w:spacing w:val="-12"/>
          <w:sz w:val="26"/>
          <w:szCs w:val="26"/>
          <w:lang w:val="en-US" w:eastAsia="zh-CN"/>
        </w:rPr>
        <w:t>图4.3-1 渠溪河东风大桥断面历年监测数据变化趋势图</w:t>
      </w:r>
    </w:p>
    <w:p w14:paraId="72637B88">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宋体" w:eastAsia="宋体" w:cs="Arial"/>
          <w:bCs/>
          <w:sz w:val="26"/>
          <w:szCs w:val="26"/>
          <w:lang w:eastAsia="zh-CN"/>
        </w:rPr>
      </w:pPr>
      <w:r>
        <w:rPr>
          <w:rFonts w:hint="eastAsia" w:ascii="Arial" w:hAnsi="宋体" w:eastAsia="宋体" w:cs="Arial"/>
          <w:bCs/>
          <w:sz w:val="26"/>
          <w:szCs w:val="26"/>
          <w:lang w:val="en-US" w:eastAsia="zh-CN"/>
        </w:rPr>
        <w:t>由图4.3-1可知，2019~2023年</w:t>
      </w:r>
      <w:r>
        <w:rPr>
          <w:rFonts w:hint="eastAsia" w:ascii="Arial" w:hAnsi="宋体" w:eastAsia="宋体" w:cs="Arial"/>
          <w:bCs/>
          <w:sz w:val="26"/>
          <w:szCs w:val="26"/>
          <w:lang w:eastAsia="zh-CN"/>
        </w:rPr>
        <w:t>渠溪河东风大桥断面中化学需氧量年均浓度呈现一定上升趋势，氨氮浓度先升高后降低，但总体占标率较低，溶解氧、高锰酸盐指数、五日生化需氧量、总磷浓度呈现下降趋势。</w:t>
      </w:r>
    </w:p>
    <w:p w14:paraId="22ABB9F0">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default" w:ascii="Arial" w:hAnsi="Arial" w:cs="Arial"/>
          <w:b/>
          <w:bCs w:val="0"/>
          <w:sz w:val="26"/>
          <w:szCs w:val="26"/>
          <w:lang w:val="en-US" w:eastAsia="zh-CN"/>
        </w:rPr>
      </w:pPr>
      <w:r>
        <w:rPr>
          <w:rFonts w:hint="eastAsia" w:ascii="Arial" w:hAnsi="Arial" w:cs="Arial"/>
          <w:b/>
          <w:bCs w:val="0"/>
          <w:sz w:val="26"/>
          <w:szCs w:val="26"/>
          <w:lang w:val="en-US" w:eastAsia="zh-CN"/>
        </w:rPr>
        <w:t>（3）地表水环境质量现状调查与评价</w:t>
      </w:r>
    </w:p>
    <w:p w14:paraId="4E781B4E">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① 监测基本情况</w:t>
      </w:r>
    </w:p>
    <w:p w14:paraId="5BB902AE">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根据《环境影响评价技术导则 地表水环境》（HJ2.3-2018），本项目地表水环境影响评价等级为一级，调查时期应至少包括枯水期和丰水期，本次评价引用《重庆市渠溪河流域综合规划环境影响报告书》于2024年1月24~26日对双龙河汇入渠溪河上游500m处、海螺沟水库坝址处进行取样监测得出的结果，来对海螺沟枯水期水环境质量现状进行评价。同时委托重庆国环环境监测有限公司于2024年8月26~28日，对双龙河汇入渠溪河上游500m处、海螺沟水库坝址处进行了取样实测，来对海螺沟丰水期水环境质量现状进行评价。监测断面布设及监测因子详见表4.3-4所示。</w:t>
      </w:r>
    </w:p>
    <w:p w14:paraId="1B97F397">
      <w:pPr>
        <w:keepNext w:val="0"/>
        <w:keepLines w:val="0"/>
        <w:pageBreakBefore w:val="0"/>
        <w:widowControl w:val="0"/>
        <w:kinsoku/>
        <w:wordWrap/>
        <w:overflowPunct/>
        <w:topLinePunct w:val="0"/>
        <w:autoSpaceDE/>
        <w:autoSpaceDN/>
        <w:bidi w:val="0"/>
        <w:adjustRightInd/>
        <w:snapToGrid/>
        <w:spacing w:line="460" w:lineRule="exact"/>
        <w:ind w:left="0" w:right="0" w:firstLine="0" w:firstLineChars="0"/>
        <w:jc w:val="center"/>
        <w:textAlignment w:val="auto"/>
        <w:rPr>
          <w:rFonts w:hint="eastAsia" w:ascii="Arial" w:hAnsi="Arial" w:cs="Arial"/>
          <w:b/>
          <w:bCs/>
          <w:spacing w:val="-12"/>
          <w:sz w:val="26"/>
          <w:szCs w:val="26"/>
          <w:lang w:val="en-US" w:eastAsia="zh-CN"/>
        </w:rPr>
      </w:pPr>
      <w:r>
        <w:rPr>
          <w:rFonts w:hint="default" w:ascii="Arial" w:hAnsi="Arial" w:cs="Arial"/>
          <w:b/>
          <w:bCs/>
          <w:spacing w:val="-12"/>
          <w:sz w:val="26"/>
          <w:szCs w:val="26"/>
          <w:lang w:eastAsia="zh-CN"/>
        </w:rPr>
        <w:t>表</w:t>
      </w:r>
      <w:r>
        <w:rPr>
          <w:rFonts w:hint="default" w:ascii="Arial" w:hAnsi="Arial" w:cs="Arial"/>
          <w:b/>
          <w:bCs/>
          <w:spacing w:val="-12"/>
          <w:sz w:val="26"/>
          <w:szCs w:val="26"/>
          <w:lang w:val="en-US" w:eastAsia="zh-CN"/>
        </w:rPr>
        <w:t>4.3-</w:t>
      </w:r>
      <w:r>
        <w:rPr>
          <w:rFonts w:hint="eastAsia" w:ascii="Arial" w:hAnsi="Arial" w:cs="Arial"/>
          <w:b/>
          <w:bCs/>
          <w:spacing w:val="-12"/>
          <w:sz w:val="26"/>
          <w:szCs w:val="26"/>
          <w:lang w:val="en-US" w:eastAsia="zh-CN"/>
        </w:rPr>
        <w:t>4</w:t>
      </w:r>
      <w:r>
        <w:rPr>
          <w:rFonts w:hint="default" w:ascii="Arial" w:hAnsi="Arial" w:cs="Arial"/>
          <w:b/>
          <w:bCs/>
          <w:spacing w:val="-12"/>
          <w:sz w:val="26"/>
          <w:szCs w:val="26"/>
          <w:lang w:val="en-US" w:eastAsia="zh-CN"/>
        </w:rPr>
        <w:t xml:space="preserve"> </w:t>
      </w:r>
      <w:r>
        <w:rPr>
          <w:rFonts w:hint="eastAsia" w:ascii="Arial" w:hAnsi="Arial" w:cs="Arial"/>
          <w:b/>
          <w:bCs/>
          <w:spacing w:val="-12"/>
          <w:sz w:val="26"/>
          <w:szCs w:val="26"/>
          <w:lang w:val="en-US" w:eastAsia="zh-CN"/>
        </w:rPr>
        <w:t>地表水监测断面布置情况一览表</w:t>
      </w:r>
    </w:p>
    <w:tbl>
      <w:tblPr>
        <w:tblStyle w:val="77"/>
        <w:tblW w:w="51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01"/>
        <w:gridCol w:w="1147"/>
        <w:gridCol w:w="2246"/>
        <w:gridCol w:w="2825"/>
        <w:gridCol w:w="1881"/>
      </w:tblGrid>
      <w:tr w14:paraId="426B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jc w:val="center"/>
        </w:trPr>
        <w:tc>
          <w:tcPr>
            <w:tcW w:w="598" w:type="pct"/>
            <w:vAlign w:val="center"/>
          </w:tcPr>
          <w:p w14:paraId="18838764">
            <w:pPr>
              <w:pStyle w:val="210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val="0"/>
                <w:snapToGrid w:val="0"/>
                <w:color w:val="auto"/>
                <w:kern w:val="0"/>
                <w:sz w:val="22"/>
                <w:szCs w:val="22"/>
                <w:highlight w:val="none"/>
                <w:lang w:val="en-US" w:eastAsia="zh-CN" w:bidi="ar-SA"/>
              </w:rPr>
            </w:pPr>
            <w:r>
              <w:rPr>
                <w:rFonts w:hint="default" w:ascii="Arial" w:hAnsi="Arial" w:cs="Arial"/>
                <w:b w:val="0"/>
                <w:bCs w:val="0"/>
                <w:snapToGrid w:val="0"/>
                <w:color w:val="auto"/>
                <w:kern w:val="0"/>
                <w:sz w:val="22"/>
                <w:szCs w:val="22"/>
                <w:highlight w:val="none"/>
                <w:lang w:val="en-US" w:eastAsia="zh-CN"/>
              </w:rPr>
              <w:t>河流</w:t>
            </w:r>
          </w:p>
        </w:tc>
        <w:tc>
          <w:tcPr>
            <w:tcW w:w="623" w:type="pct"/>
            <w:vAlign w:val="center"/>
          </w:tcPr>
          <w:p w14:paraId="2AD8337E">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rPr>
            </w:pPr>
            <w:r>
              <w:rPr>
                <w:rFonts w:hint="default" w:ascii="Arial" w:hAnsi="Arial" w:cs="Arial"/>
                <w:b w:val="0"/>
                <w:bCs w:val="0"/>
                <w:snapToGrid w:val="0"/>
                <w:color w:val="auto"/>
                <w:kern w:val="0"/>
                <w:sz w:val="22"/>
                <w:szCs w:val="22"/>
                <w:highlight w:val="none"/>
              </w:rPr>
              <w:t>监测断面</w:t>
            </w:r>
          </w:p>
        </w:tc>
        <w:tc>
          <w:tcPr>
            <w:tcW w:w="1220" w:type="pct"/>
            <w:vAlign w:val="center"/>
          </w:tcPr>
          <w:p w14:paraId="4A994539">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rPr>
            </w:pPr>
            <w:r>
              <w:rPr>
                <w:rFonts w:hint="default" w:ascii="Arial" w:hAnsi="Arial" w:cs="Arial"/>
                <w:b w:val="0"/>
                <w:bCs w:val="0"/>
                <w:snapToGrid w:val="0"/>
                <w:color w:val="auto"/>
                <w:kern w:val="0"/>
                <w:sz w:val="22"/>
                <w:szCs w:val="22"/>
                <w:highlight w:val="none"/>
              </w:rPr>
              <w:t>监测项目</w:t>
            </w:r>
          </w:p>
        </w:tc>
        <w:tc>
          <w:tcPr>
            <w:tcW w:w="1535" w:type="pct"/>
            <w:vAlign w:val="center"/>
          </w:tcPr>
          <w:p w14:paraId="58A8A5C9">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rPr>
            </w:pPr>
            <w:r>
              <w:rPr>
                <w:rFonts w:hint="default" w:ascii="Arial" w:hAnsi="Arial" w:cs="Arial"/>
                <w:b w:val="0"/>
                <w:bCs w:val="0"/>
                <w:snapToGrid w:val="0"/>
                <w:color w:val="auto"/>
                <w:kern w:val="0"/>
                <w:sz w:val="22"/>
                <w:szCs w:val="22"/>
                <w:highlight w:val="none"/>
              </w:rPr>
              <w:t>监测时间/频率</w:t>
            </w:r>
          </w:p>
        </w:tc>
        <w:tc>
          <w:tcPr>
            <w:tcW w:w="1022" w:type="pct"/>
            <w:vAlign w:val="center"/>
          </w:tcPr>
          <w:p w14:paraId="4F0A2737">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rPr>
            </w:pPr>
            <w:r>
              <w:rPr>
                <w:rFonts w:hint="default" w:ascii="Arial" w:hAnsi="Arial" w:cs="Arial"/>
                <w:b w:val="0"/>
                <w:bCs w:val="0"/>
                <w:snapToGrid w:val="0"/>
                <w:color w:val="auto"/>
                <w:kern w:val="0"/>
                <w:sz w:val="22"/>
                <w:szCs w:val="22"/>
                <w:highlight w:val="none"/>
              </w:rPr>
              <w:t>数据来源</w:t>
            </w:r>
          </w:p>
        </w:tc>
      </w:tr>
      <w:tr w14:paraId="1DDC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598" w:type="pct"/>
            <w:vMerge w:val="restart"/>
            <w:vAlign w:val="center"/>
          </w:tcPr>
          <w:p w14:paraId="3AFB1D5B">
            <w:pPr>
              <w:pStyle w:val="210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val="0"/>
                <w:snapToGrid w:val="0"/>
                <w:color w:val="auto"/>
                <w:kern w:val="0"/>
                <w:sz w:val="22"/>
                <w:szCs w:val="22"/>
                <w:highlight w:val="none"/>
                <w:lang w:val="en-US" w:eastAsia="zh-CN"/>
              </w:rPr>
            </w:pPr>
            <w:r>
              <w:rPr>
                <w:rFonts w:hint="default" w:ascii="Arial" w:hAnsi="Arial" w:cs="Arial"/>
                <w:b w:val="0"/>
                <w:bCs w:val="0"/>
                <w:snapToGrid w:val="0"/>
                <w:color w:val="auto"/>
                <w:kern w:val="0"/>
                <w:sz w:val="22"/>
                <w:szCs w:val="22"/>
                <w:highlight w:val="none"/>
                <w:lang w:val="en-US" w:eastAsia="zh-CN"/>
              </w:rPr>
              <w:t>双龙河</w:t>
            </w:r>
          </w:p>
        </w:tc>
        <w:tc>
          <w:tcPr>
            <w:tcW w:w="623" w:type="pct"/>
            <w:vMerge w:val="restart"/>
            <w:vAlign w:val="center"/>
          </w:tcPr>
          <w:p w14:paraId="2B5615A0">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rPr>
            </w:pPr>
            <w:r>
              <w:rPr>
                <w:rFonts w:hint="default" w:ascii="Arial" w:hAnsi="Arial" w:cs="Arial"/>
                <w:b w:val="0"/>
                <w:bCs w:val="0"/>
                <w:sz w:val="22"/>
                <w:szCs w:val="22"/>
                <w:lang w:val="en-US" w:eastAsia="zh-CN"/>
              </w:rPr>
              <w:t>双龙河汇入渠溪河上游500m处</w:t>
            </w:r>
          </w:p>
        </w:tc>
        <w:tc>
          <w:tcPr>
            <w:tcW w:w="1220" w:type="pct"/>
            <w:vMerge w:val="restart"/>
            <w:vAlign w:val="center"/>
          </w:tcPr>
          <w:p w14:paraId="3F211E2D">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rPr>
            </w:pPr>
            <w:r>
              <w:rPr>
                <w:rFonts w:hint="default" w:ascii="Arial" w:hAnsi="Arial" w:cs="Arial"/>
                <w:b w:val="0"/>
                <w:bCs w:val="0"/>
                <w:snapToGrid w:val="0"/>
                <w:color w:val="auto"/>
                <w:kern w:val="0"/>
                <w:sz w:val="22"/>
                <w:szCs w:val="22"/>
                <w:highlight w:val="none"/>
                <w:lang w:bidi="ar"/>
              </w:rPr>
              <w:t>水温、pH、DO、高锰酸盐指数、COD、总磷、BOD</w:t>
            </w:r>
            <w:r>
              <w:rPr>
                <w:rFonts w:hint="default" w:ascii="Arial" w:hAnsi="Arial" w:cs="Arial"/>
                <w:b w:val="0"/>
                <w:bCs w:val="0"/>
                <w:snapToGrid w:val="0"/>
                <w:color w:val="auto"/>
                <w:kern w:val="0"/>
                <w:sz w:val="22"/>
                <w:szCs w:val="22"/>
                <w:highlight w:val="none"/>
                <w:vertAlign w:val="subscript"/>
                <w:lang w:bidi="ar"/>
              </w:rPr>
              <w:t>5</w:t>
            </w:r>
            <w:r>
              <w:rPr>
                <w:rFonts w:hint="default" w:ascii="Arial" w:hAnsi="Arial" w:cs="Arial"/>
                <w:b w:val="0"/>
                <w:bCs w:val="0"/>
                <w:snapToGrid w:val="0"/>
                <w:color w:val="auto"/>
                <w:kern w:val="0"/>
                <w:sz w:val="22"/>
                <w:szCs w:val="22"/>
                <w:highlight w:val="none"/>
                <w:lang w:bidi="ar"/>
              </w:rPr>
              <w:t>、氨氮、总氮、铜、锌、氟化物、硒、砷、汞、镉、铬（六价）、铅、氰化物、挥发酚、石油类、阴离子表面活性剂、硫化物、粪大肠菌群、叶绿素a、透明度、硫酸盐、氯化物、铁、锰、硝酸盐</w:t>
            </w:r>
          </w:p>
        </w:tc>
        <w:tc>
          <w:tcPr>
            <w:tcW w:w="1535" w:type="pct"/>
            <w:vAlign w:val="center"/>
          </w:tcPr>
          <w:p w14:paraId="2C0BD400">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lang w:val="en-US"/>
              </w:rPr>
            </w:pPr>
            <w:r>
              <w:rPr>
                <w:rFonts w:hint="default" w:ascii="Arial" w:hAnsi="Arial" w:cs="Arial"/>
                <w:b w:val="0"/>
                <w:bCs w:val="0"/>
                <w:sz w:val="22"/>
                <w:szCs w:val="22"/>
                <w:lang w:val="en-US" w:eastAsia="zh-CN"/>
              </w:rPr>
              <w:t>2024年1月24~26日，连续监测3天，每天取样监测1次。</w:t>
            </w:r>
          </w:p>
        </w:tc>
        <w:tc>
          <w:tcPr>
            <w:tcW w:w="1022" w:type="pct"/>
            <w:vAlign w:val="center"/>
          </w:tcPr>
          <w:p w14:paraId="648A2113">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b w:val="0"/>
                <w:bCs w:val="0"/>
                <w:snapToGrid w:val="0"/>
                <w:color w:val="auto"/>
                <w:kern w:val="0"/>
                <w:sz w:val="22"/>
                <w:szCs w:val="22"/>
                <w:highlight w:val="none"/>
                <w:lang w:eastAsia="zh-CN"/>
              </w:rPr>
            </w:pPr>
            <w:r>
              <w:rPr>
                <w:rFonts w:hint="default" w:ascii="Arial" w:hAnsi="Arial" w:cs="Arial"/>
                <w:b w:val="0"/>
                <w:bCs w:val="0"/>
                <w:snapToGrid w:val="0"/>
                <w:color w:val="auto"/>
                <w:kern w:val="0"/>
                <w:sz w:val="22"/>
                <w:szCs w:val="22"/>
                <w:highlight w:val="none"/>
                <w:lang w:eastAsia="zh-CN"/>
              </w:rPr>
              <w:t>引用</w:t>
            </w:r>
            <w:r>
              <w:rPr>
                <w:rFonts w:hint="default" w:ascii="Arial" w:hAnsi="Arial" w:cs="Arial"/>
                <w:b w:val="0"/>
                <w:bCs w:val="0"/>
                <w:sz w:val="22"/>
                <w:szCs w:val="22"/>
                <w:lang w:val="en-US" w:eastAsia="zh-CN"/>
              </w:rPr>
              <w:t>《重庆市渠溪河流域综合规划环境影响报告书》。</w:t>
            </w:r>
          </w:p>
        </w:tc>
      </w:tr>
      <w:tr w14:paraId="4E4E2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598" w:type="pct"/>
            <w:vMerge w:val="continue"/>
            <w:vAlign w:val="center"/>
          </w:tcPr>
          <w:p w14:paraId="4319FE1A">
            <w:pPr>
              <w:pStyle w:val="210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val="0"/>
                <w:snapToGrid w:val="0"/>
                <w:color w:val="auto"/>
                <w:kern w:val="0"/>
                <w:sz w:val="22"/>
                <w:szCs w:val="22"/>
                <w:highlight w:val="none"/>
                <w:lang w:val="en-US" w:eastAsia="zh-CN"/>
              </w:rPr>
            </w:pPr>
          </w:p>
        </w:tc>
        <w:tc>
          <w:tcPr>
            <w:tcW w:w="623" w:type="pct"/>
            <w:vMerge w:val="continue"/>
            <w:vAlign w:val="center"/>
          </w:tcPr>
          <w:p w14:paraId="0AC0DCAB">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z w:val="22"/>
                <w:szCs w:val="22"/>
                <w:lang w:val="en-US" w:eastAsia="zh-CN"/>
              </w:rPr>
            </w:pPr>
          </w:p>
        </w:tc>
        <w:tc>
          <w:tcPr>
            <w:tcW w:w="1220" w:type="pct"/>
            <w:vMerge w:val="continue"/>
            <w:vAlign w:val="center"/>
          </w:tcPr>
          <w:p w14:paraId="43EA85D2">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rPr>
            </w:pPr>
          </w:p>
        </w:tc>
        <w:tc>
          <w:tcPr>
            <w:tcW w:w="1535" w:type="pct"/>
            <w:vAlign w:val="center"/>
          </w:tcPr>
          <w:p w14:paraId="7A3E6933">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rPr>
            </w:pPr>
            <w:r>
              <w:rPr>
                <w:rFonts w:hint="default" w:ascii="Arial" w:hAnsi="Arial" w:cs="Arial"/>
                <w:b w:val="0"/>
                <w:bCs w:val="0"/>
                <w:sz w:val="22"/>
                <w:szCs w:val="22"/>
                <w:lang w:val="en-US" w:eastAsia="zh-CN"/>
              </w:rPr>
              <w:t>2024年8月26~28日，连续监测3天，每天取样监测1次。</w:t>
            </w:r>
          </w:p>
        </w:tc>
        <w:tc>
          <w:tcPr>
            <w:tcW w:w="1022" w:type="pct"/>
            <w:vAlign w:val="center"/>
          </w:tcPr>
          <w:p w14:paraId="249B7B0F">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b w:val="0"/>
                <w:bCs w:val="0"/>
                <w:snapToGrid w:val="0"/>
                <w:color w:val="auto"/>
                <w:kern w:val="0"/>
                <w:sz w:val="22"/>
                <w:szCs w:val="22"/>
                <w:highlight w:val="none"/>
                <w:lang w:eastAsia="zh-CN"/>
              </w:rPr>
            </w:pPr>
            <w:r>
              <w:rPr>
                <w:rFonts w:hint="default" w:ascii="Arial" w:hAnsi="Arial" w:cs="Arial"/>
                <w:b w:val="0"/>
                <w:bCs w:val="0"/>
                <w:snapToGrid w:val="0"/>
                <w:color w:val="auto"/>
                <w:kern w:val="0"/>
                <w:sz w:val="22"/>
                <w:szCs w:val="22"/>
                <w:highlight w:val="none"/>
                <w:lang w:eastAsia="zh-CN"/>
              </w:rPr>
              <w:t>本次补充监测</w:t>
            </w:r>
          </w:p>
        </w:tc>
      </w:tr>
      <w:tr w14:paraId="7AD6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598" w:type="pct"/>
            <w:vMerge w:val="restart"/>
            <w:vAlign w:val="center"/>
          </w:tcPr>
          <w:p w14:paraId="3EE0091C">
            <w:pPr>
              <w:pStyle w:val="210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val="0"/>
                <w:snapToGrid w:val="0"/>
                <w:color w:val="auto"/>
                <w:kern w:val="0"/>
                <w:sz w:val="22"/>
                <w:szCs w:val="22"/>
                <w:highlight w:val="none"/>
                <w:lang w:val="en-US" w:eastAsia="zh-CN"/>
              </w:rPr>
            </w:pPr>
            <w:r>
              <w:rPr>
                <w:rFonts w:hint="default" w:ascii="Arial" w:hAnsi="Arial" w:cs="Arial"/>
                <w:b w:val="0"/>
                <w:bCs w:val="0"/>
                <w:snapToGrid w:val="0"/>
                <w:color w:val="auto"/>
                <w:kern w:val="0"/>
                <w:sz w:val="22"/>
                <w:szCs w:val="22"/>
                <w:highlight w:val="none"/>
                <w:lang w:val="en-US" w:eastAsia="zh-CN"/>
              </w:rPr>
              <w:t>海螺沟</w:t>
            </w:r>
          </w:p>
        </w:tc>
        <w:tc>
          <w:tcPr>
            <w:tcW w:w="623" w:type="pct"/>
            <w:vMerge w:val="restart"/>
            <w:vAlign w:val="center"/>
          </w:tcPr>
          <w:p w14:paraId="70324CBA">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z w:val="22"/>
                <w:szCs w:val="22"/>
                <w:lang w:val="en-US" w:eastAsia="zh-CN"/>
              </w:rPr>
            </w:pPr>
            <w:r>
              <w:rPr>
                <w:rFonts w:hint="default" w:ascii="Arial" w:hAnsi="Arial" w:cs="Arial"/>
                <w:b w:val="0"/>
                <w:bCs w:val="0"/>
                <w:sz w:val="22"/>
                <w:szCs w:val="22"/>
                <w:lang w:val="en-US" w:eastAsia="zh-CN"/>
              </w:rPr>
              <w:t>海螺沟水库坝址处</w:t>
            </w:r>
          </w:p>
        </w:tc>
        <w:tc>
          <w:tcPr>
            <w:tcW w:w="1220" w:type="pct"/>
            <w:vMerge w:val="continue"/>
            <w:vAlign w:val="center"/>
          </w:tcPr>
          <w:p w14:paraId="4BB3CBD7">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rPr>
            </w:pPr>
          </w:p>
        </w:tc>
        <w:tc>
          <w:tcPr>
            <w:tcW w:w="1535" w:type="pct"/>
            <w:shd w:val="clear" w:color="auto" w:fill="auto"/>
            <w:vAlign w:val="center"/>
          </w:tcPr>
          <w:p w14:paraId="641B1F9E">
            <w:pPr>
              <w:pStyle w:val="210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val="0"/>
                <w:snapToGrid w:val="0"/>
                <w:color w:val="auto"/>
                <w:kern w:val="0"/>
                <w:sz w:val="22"/>
                <w:szCs w:val="22"/>
                <w:highlight w:val="none"/>
                <w:lang w:val="en-US" w:eastAsia="zh-CN" w:bidi="ar-SA"/>
              </w:rPr>
            </w:pPr>
            <w:r>
              <w:rPr>
                <w:rFonts w:hint="default" w:ascii="Arial" w:hAnsi="Arial" w:cs="Arial"/>
                <w:b w:val="0"/>
                <w:bCs w:val="0"/>
                <w:sz w:val="22"/>
                <w:szCs w:val="22"/>
                <w:lang w:val="en-US" w:eastAsia="zh-CN"/>
              </w:rPr>
              <w:t>2024年1月24~26日，连续监测3天，每天取样监测1次。</w:t>
            </w:r>
          </w:p>
        </w:tc>
        <w:tc>
          <w:tcPr>
            <w:tcW w:w="1022" w:type="pct"/>
            <w:shd w:val="clear" w:color="auto" w:fill="auto"/>
            <w:vAlign w:val="center"/>
          </w:tcPr>
          <w:p w14:paraId="1972C2E0">
            <w:pPr>
              <w:pStyle w:val="210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val="0"/>
                <w:snapToGrid w:val="0"/>
                <w:color w:val="auto"/>
                <w:kern w:val="0"/>
                <w:sz w:val="22"/>
                <w:szCs w:val="22"/>
                <w:highlight w:val="none"/>
                <w:lang w:val="en-US" w:eastAsia="zh-CN" w:bidi="ar-SA"/>
              </w:rPr>
            </w:pPr>
            <w:r>
              <w:rPr>
                <w:rFonts w:hint="default" w:ascii="Arial" w:hAnsi="Arial" w:cs="Arial"/>
                <w:b w:val="0"/>
                <w:bCs w:val="0"/>
                <w:snapToGrid w:val="0"/>
                <w:color w:val="auto"/>
                <w:kern w:val="0"/>
                <w:sz w:val="22"/>
                <w:szCs w:val="22"/>
                <w:highlight w:val="none"/>
                <w:lang w:eastAsia="zh-CN"/>
              </w:rPr>
              <w:t>引用</w:t>
            </w:r>
            <w:r>
              <w:rPr>
                <w:rFonts w:hint="default" w:ascii="Arial" w:hAnsi="Arial" w:cs="Arial"/>
                <w:b w:val="0"/>
                <w:bCs w:val="0"/>
                <w:sz w:val="22"/>
                <w:szCs w:val="22"/>
                <w:lang w:val="en-US" w:eastAsia="zh-CN"/>
              </w:rPr>
              <w:t>《重庆市渠溪河流域综合规划环境影响报告书》。</w:t>
            </w:r>
          </w:p>
        </w:tc>
      </w:tr>
      <w:tr w14:paraId="4AEC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598" w:type="pct"/>
            <w:vMerge w:val="continue"/>
            <w:vAlign w:val="center"/>
          </w:tcPr>
          <w:p w14:paraId="5848AC00">
            <w:pPr>
              <w:pStyle w:val="210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cs="Arial"/>
                <w:b w:val="0"/>
                <w:bCs w:val="0"/>
                <w:snapToGrid w:val="0"/>
                <w:color w:val="auto"/>
                <w:kern w:val="0"/>
                <w:sz w:val="22"/>
                <w:szCs w:val="22"/>
                <w:highlight w:val="none"/>
                <w:lang w:val="en-US" w:eastAsia="zh-CN"/>
              </w:rPr>
            </w:pPr>
          </w:p>
        </w:tc>
        <w:tc>
          <w:tcPr>
            <w:tcW w:w="623" w:type="pct"/>
            <w:vMerge w:val="continue"/>
            <w:vAlign w:val="center"/>
          </w:tcPr>
          <w:p w14:paraId="6D10AA1E">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z w:val="22"/>
                <w:szCs w:val="22"/>
                <w:lang w:val="en-US" w:eastAsia="zh-CN"/>
              </w:rPr>
            </w:pPr>
          </w:p>
        </w:tc>
        <w:tc>
          <w:tcPr>
            <w:tcW w:w="1220" w:type="pct"/>
            <w:vMerge w:val="continue"/>
            <w:vAlign w:val="center"/>
          </w:tcPr>
          <w:p w14:paraId="1840783C">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b w:val="0"/>
                <w:bCs w:val="0"/>
                <w:snapToGrid w:val="0"/>
                <w:color w:val="auto"/>
                <w:kern w:val="0"/>
                <w:sz w:val="22"/>
                <w:szCs w:val="22"/>
                <w:highlight w:val="none"/>
              </w:rPr>
            </w:pPr>
          </w:p>
        </w:tc>
        <w:tc>
          <w:tcPr>
            <w:tcW w:w="1535" w:type="pct"/>
            <w:shd w:val="clear" w:color="auto" w:fill="auto"/>
            <w:vAlign w:val="center"/>
          </w:tcPr>
          <w:p w14:paraId="36CE7095">
            <w:pPr>
              <w:pStyle w:val="210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val="0"/>
                <w:snapToGrid w:val="0"/>
                <w:color w:val="auto"/>
                <w:kern w:val="0"/>
                <w:sz w:val="22"/>
                <w:szCs w:val="22"/>
                <w:highlight w:val="none"/>
                <w:lang w:val="en-US" w:eastAsia="zh-CN" w:bidi="ar-SA"/>
              </w:rPr>
            </w:pPr>
            <w:r>
              <w:rPr>
                <w:rFonts w:hint="default" w:ascii="Arial" w:hAnsi="Arial" w:cs="Arial"/>
                <w:b w:val="0"/>
                <w:bCs w:val="0"/>
                <w:sz w:val="22"/>
                <w:szCs w:val="22"/>
                <w:lang w:val="en-US" w:eastAsia="zh-CN"/>
              </w:rPr>
              <w:t>2024年8月26~28日，连续监测3天，每天取样监测1次。</w:t>
            </w:r>
          </w:p>
        </w:tc>
        <w:tc>
          <w:tcPr>
            <w:tcW w:w="1022" w:type="pct"/>
            <w:shd w:val="clear" w:color="auto" w:fill="auto"/>
            <w:vAlign w:val="center"/>
          </w:tcPr>
          <w:p w14:paraId="2E89377D">
            <w:pPr>
              <w:pStyle w:val="210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b w:val="0"/>
                <w:bCs w:val="0"/>
                <w:snapToGrid w:val="0"/>
                <w:color w:val="auto"/>
                <w:kern w:val="0"/>
                <w:sz w:val="22"/>
                <w:szCs w:val="22"/>
                <w:highlight w:val="none"/>
                <w:lang w:val="en-US" w:eastAsia="zh-CN" w:bidi="ar-SA"/>
              </w:rPr>
            </w:pPr>
            <w:r>
              <w:rPr>
                <w:rFonts w:hint="default" w:ascii="Arial" w:hAnsi="Arial" w:cs="Arial"/>
                <w:b w:val="0"/>
                <w:bCs w:val="0"/>
                <w:snapToGrid w:val="0"/>
                <w:color w:val="auto"/>
                <w:kern w:val="0"/>
                <w:sz w:val="22"/>
                <w:szCs w:val="22"/>
                <w:highlight w:val="none"/>
                <w:lang w:eastAsia="zh-CN"/>
              </w:rPr>
              <w:t>本次补充监测</w:t>
            </w:r>
          </w:p>
        </w:tc>
      </w:tr>
    </w:tbl>
    <w:p w14:paraId="54483E0E">
      <w:pPr>
        <w:keepNext w:val="0"/>
        <w:keepLines w:val="0"/>
        <w:pageBreakBefore w:val="0"/>
        <w:widowControl w:val="0"/>
        <w:kinsoku/>
        <w:wordWrap/>
        <w:overflowPunct/>
        <w:topLinePunct w:val="0"/>
        <w:autoSpaceDE/>
        <w:autoSpaceDN/>
        <w:bidi w:val="0"/>
        <w:adjustRightInd/>
        <w:snapToGrid/>
        <w:spacing w:line="240" w:lineRule="exact"/>
        <w:ind w:left="0" w:right="0" w:firstLine="0" w:firstLineChars="0"/>
        <w:jc w:val="center"/>
        <w:textAlignment w:val="auto"/>
        <w:rPr>
          <w:rFonts w:hint="default" w:ascii="Arial" w:hAnsi="Arial" w:cs="Arial"/>
          <w:b/>
          <w:bCs/>
          <w:spacing w:val="-12"/>
          <w:sz w:val="26"/>
          <w:szCs w:val="26"/>
          <w:lang w:val="en-US" w:eastAsia="zh-CN"/>
        </w:rPr>
      </w:pPr>
    </w:p>
    <w:p w14:paraId="006B9651">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eastAsia="宋体" w:cs="Arial"/>
          <w:b/>
          <w:bCs w:val="0"/>
          <w:sz w:val="26"/>
          <w:szCs w:val="26"/>
          <w:lang w:val="en-US" w:eastAsia="zh-CN"/>
        </w:rPr>
      </w:pPr>
      <w:r>
        <w:rPr>
          <w:rFonts w:hint="default" w:ascii="Arial" w:hAnsi="Arial" w:eastAsia="宋体" w:cs="Arial"/>
          <w:b/>
          <w:bCs w:val="0"/>
          <w:sz w:val="26"/>
          <w:szCs w:val="26"/>
          <w:lang w:val="en-US" w:eastAsia="zh-CN"/>
        </w:rPr>
        <w:t>②</w:t>
      </w:r>
      <w:r>
        <w:rPr>
          <w:rFonts w:hint="eastAsia" w:ascii="Arial" w:hAnsi="Arial" w:eastAsia="宋体" w:cs="Arial"/>
          <w:b/>
          <w:bCs w:val="0"/>
          <w:sz w:val="26"/>
          <w:szCs w:val="26"/>
          <w:lang w:val="en-US" w:eastAsia="zh-CN"/>
        </w:rPr>
        <w:t xml:space="preserve"> 评价方法</w:t>
      </w:r>
    </w:p>
    <w:p w14:paraId="4D15875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ascii="Arial" w:hAnsi="Arial" w:cs="Arial"/>
          <w:sz w:val="26"/>
          <w:szCs w:val="26"/>
        </w:rPr>
      </w:pPr>
      <w:r>
        <w:rPr>
          <w:rFonts w:ascii="Arial" w:cs="Arial"/>
          <w:sz w:val="26"/>
          <w:szCs w:val="26"/>
        </w:rPr>
        <w:t>采用标准指数法对地表水质进行现状评价，计算公式如下：</w:t>
      </w:r>
    </w:p>
    <w:p w14:paraId="3B626664">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ascii="Arial" w:cs="Arial"/>
          <w:snapToGrid w:val="0"/>
          <w:sz w:val="26"/>
          <w:szCs w:val="26"/>
        </w:rPr>
      </w:pPr>
      <w:r>
        <w:rPr>
          <w:rFonts w:ascii="Arial" w:cs="Arial"/>
          <w:snapToGrid w:val="0"/>
          <w:sz w:val="26"/>
          <w:szCs w:val="26"/>
        </w:rPr>
        <w:t>一般因子：</w:t>
      </w:r>
    </w:p>
    <w:p w14:paraId="0D5DA1EB">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center"/>
        <w:textAlignment w:val="auto"/>
        <w:rPr>
          <w:rFonts w:ascii="Arial" w:hAnsi="Arial" w:cs="Arial"/>
          <w:snapToGrid w:val="0"/>
          <w:sz w:val="26"/>
          <w:szCs w:val="26"/>
          <w:vertAlign w:val="subscript"/>
        </w:rPr>
      </w:pPr>
      <w:r>
        <w:rPr>
          <w:rFonts w:ascii="Arial" w:hAnsi="Arial" w:cs="Arial"/>
          <w:snapToGrid w:val="0"/>
          <w:sz w:val="26"/>
          <w:szCs w:val="26"/>
        </w:rPr>
        <w:t>S</w:t>
      </w:r>
      <w:r>
        <w:rPr>
          <w:rFonts w:ascii="Arial" w:hAnsi="Arial" w:cs="Arial"/>
          <w:snapToGrid w:val="0"/>
          <w:sz w:val="26"/>
          <w:szCs w:val="26"/>
          <w:vertAlign w:val="subscript"/>
        </w:rPr>
        <w:t>ij</w:t>
      </w:r>
      <w:r>
        <w:rPr>
          <w:rFonts w:ascii="Arial" w:hAnsi="Arial" w:cs="Arial"/>
          <w:snapToGrid w:val="0"/>
          <w:sz w:val="26"/>
          <w:szCs w:val="26"/>
        </w:rPr>
        <w:t>=C</w:t>
      </w:r>
      <w:r>
        <w:rPr>
          <w:rFonts w:ascii="Arial" w:hAnsi="Arial" w:cs="Arial"/>
          <w:snapToGrid w:val="0"/>
          <w:sz w:val="26"/>
          <w:szCs w:val="26"/>
          <w:vertAlign w:val="subscript"/>
        </w:rPr>
        <w:t>ij</w:t>
      </w:r>
      <w:r>
        <w:rPr>
          <w:rFonts w:ascii="Arial" w:hAnsi="Arial" w:cs="Arial"/>
          <w:snapToGrid w:val="0"/>
          <w:sz w:val="26"/>
          <w:szCs w:val="26"/>
        </w:rPr>
        <w:t>/C</w:t>
      </w:r>
      <w:r>
        <w:rPr>
          <w:rFonts w:ascii="Arial" w:hAnsi="Arial" w:cs="Arial"/>
          <w:snapToGrid w:val="0"/>
          <w:sz w:val="26"/>
          <w:szCs w:val="26"/>
          <w:vertAlign w:val="subscript"/>
        </w:rPr>
        <w:t>s</w:t>
      </w:r>
      <w:r>
        <w:rPr>
          <w:rFonts w:ascii="Arial" w:cs="Arial"/>
          <w:snapToGrid w:val="0"/>
          <w:sz w:val="26"/>
          <w:szCs w:val="26"/>
          <w:vertAlign w:val="subscript"/>
        </w:rPr>
        <w:t>，</w:t>
      </w:r>
      <w:r>
        <w:rPr>
          <w:rFonts w:ascii="Arial" w:hAnsi="Arial" w:cs="Arial"/>
          <w:snapToGrid w:val="0"/>
          <w:sz w:val="26"/>
          <w:szCs w:val="26"/>
          <w:vertAlign w:val="subscript"/>
        </w:rPr>
        <w:t>i</w:t>
      </w:r>
    </w:p>
    <w:p w14:paraId="1B421A63">
      <w:pPr>
        <w:keepNext w:val="0"/>
        <w:keepLines w:val="0"/>
        <w:pageBreakBefore w:val="0"/>
        <w:widowControl w:val="0"/>
        <w:kinsoku/>
        <w:wordWrap/>
        <w:overflowPunct/>
        <w:topLinePunct w:val="0"/>
        <w:autoSpaceDE/>
        <w:autoSpaceDN/>
        <w:bidi w:val="0"/>
        <w:adjustRightInd/>
        <w:snapToGrid/>
        <w:spacing w:line="460" w:lineRule="exact"/>
        <w:ind w:firstLine="1040" w:firstLineChars="400"/>
        <w:textAlignment w:val="auto"/>
        <w:rPr>
          <w:rFonts w:ascii="Arial" w:hAnsi="Arial" w:cs="Arial"/>
          <w:snapToGrid w:val="0"/>
          <w:sz w:val="26"/>
          <w:szCs w:val="26"/>
        </w:rPr>
      </w:pPr>
      <w:r>
        <w:rPr>
          <w:rFonts w:ascii="Arial" w:cs="Arial"/>
          <w:snapToGrid w:val="0"/>
          <w:sz w:val="26"/>
          <w:szCs w:val="26"/>
        </w:rPr>
        <w:t>式中：</w:t>
      </w:r>
      <w:r>
        <w:rPr>
          <w:rFonts w:ascii="Arial" w:hAnsi="Arial" w:cs="Arial"/>
          <w:snapToGrid w:val="0"/>
          <w:sz w:val="26"/>
          <w:szCs w:val="26"/>
        </w:rPr>
        <w:t>S</w:t>
      </w:r>
      <w:r>
        <w:rPr>
          <w:rFonts w:ascii="Arial" w:hAnsi="Arial" w:cs="Arial"/>
          <w:snapToGrid w:val="0"/>
          <w:sz w:val="26"/>
          <w:szCs w:val="26"/>
          <w:vertAlign w:val="subscript"/>
        </w:rPr>
        <w:t>ij</w:t>
      </w:r>
      <w:r>
        <w:rPr>
          <w:rFonts w:ascii="Arial" w:hAnsi="Arial" w:cs="Arial"/>
          <w:snapToGrid w:val="0"/>
          <w:sz w:val="26"/>
          <w:szCs w:val="26"/>
        </w:rPr>
        <w:t>——</w:t>
      </w:r>
      <w:r>
        <w:rPr>
          <w:rFonts w:ascii="Arial" w:cs="Arial"/>
          <w:snapToGrid w:val="0"/>
          <w:sz w:val="26"/>
          <w:szCs w:val="26"/>
        </w:rPr>
        <w:t>标准指数；</w:t>
      </w:r>
    </w:p>
    <w:p w14:paraId="6E8EEB48">
      <w:pPr>
        <w:keepNext w:val="0"/>
        <w:keepLines w:val="0"/>
        <w:pageBreakBefore w:val="0"/>
        <w:widowControl w:val="0"/>
        <w:kinsoku/>
        <w:wordWrap/>
        <w:overflowPunct/>
        <w:topLinePunct w:val="0"/>
        <w:autoSpaceDE/>
        <w:autoSpaceDN/>
        <w:bidi w:val="0"/>
        <w:adjustRightInd/>
        <w:snapToGrid/>
        <w:spacing w:line="460" w:lineRule="exact"/>
        <w:ind w:firstLine="1820" w:firstLineChars="700"/>
        <w:textAlignment w:val="auto"/>
        <w:rPr>
          <w:rFonts w:ascii="Arial" w:hAnsi="Arial" w:cs="Arial"/>
          <w:snapToGrid w:val="0"/>
          <w:sz w:val="26"/>
          <w:szCs w:val="26"/>
        </w:rPr>
      </w:pPr>
      <w:r>
        <w:rPr>
          <w:rFonts w:ascii="Arial" w:hAnsi="Arial" w:cs="Arial"/>
          <w:snapToGrid w:val="0"/>
          <w:sz w:val="26"/>
          <w:szCs w:val="26"/>
        </w:rPr>
        <w:t>C</w:t>
      </w:r>
      <w:r>
        <w:rPr>
          <w:rFonts w:ascii="Arial" w:hAnsi="Arial" w:cs="Arial"/>
          <w:snapToGrid w:val="0"/>
          <w:sz w:val="26"/>
          <w:szCs w:val="26"/>
          <w:vertAlign w:val="subscript"/>
        </w:rPr>
        <w:t>ij</w:t>
      </w:r>
      <w:r>
        <w:rPr>
          <w:rFonts w:ascii="Arial" w:hAnsi="Arial" w:cs="Arial"/>
          <w:snapToGrid w:val="0"/>
          <w:sz w:val="26"/>
          <w:szCs w:val="26"/>
        </w:rPr>
        <w:t>——</w:t>
      </w:r>
      <w:r>
        <w:rPr>
          <w:rFonts w:ascii="Arial" w:cs="Arial"/>
          <w:snapToGrid w:val="0"/>
          <w:sz w:val="26"/>
          <w:szCs w:val="26"/>
        </w:rPr>
        <w:t>评价因子</w:t>
      </w:r>
      <w:r>
        <w:rPr>
          <w:rFonts w:ascii="Arial" w:hAnsi="Arial" w:cs="Arial"/>
          <w:snapToGrid w:val="0"/>
          <w:sz w:val="26"/>
          <w:szCs w:val="26"/>
        </w:rPr>
        <w:t>i</w:t>
      </w:r>
      <w:r>
        <w:rPr>
          <w:rFonts w:ascii="Arial" w:cs="Arial"/>
          <w:snapToGrid w:val="0"/>
          <w:sz w:val="26"/>
          <w:szCs w:val="26"/>
        </w:rPr>
        <w:t>在</w:t>
      </w:r>
      <w:r>
        <w:rPr>
          <w:rFonts w:ascii="Arial" w:hAnsi="Arial" w:cs="Arial"/>
          <w:snapToGrid w:val="0"/>
          <w:sz w:val="26"/>
          <w:szCs w:val="26"/>
        </w:rPr>
        <w:t>j</w:t>
      </w:r>
      <w:r>
        <w:rPr>
          <w:rFonts w:ascii="Arial" w:cs="Arial"/>
          <w:snapToGrid w:val="0"/>
          <w:sz w:val="26"/>
          <w:szCs w:val="26"/>
        </w:rPr>
        <w:t>点的实测浓度值（</w:t>
      </w:r>
      <w:r>
        <w:rPr>
          <w:rFonts w:ascii="Arial" w:hAnsi="Arial" w:cs="Arial"/>
          <w:snapToGrid w:val="0"/>
          <w:sz w:val="26"/>
          <w:szCs w:val="26"/>
        </w:rPr>
        <w:t>mg/L</w:t>
      </w:r>
      <w:r>
        <w:rPr>
          <w:rFonts w:ascii="Arial" w:cs="Arial"/>
          <w:snapToGrid w:val="0"/>
          <w:sz w:val="26"/>
          <w:szCs w:val="26"/>
        </w:rPr>
        <w:t>）；</w:t>
      </w:r>
    </w:p>
    <w:p w14:paraId="090C422B">
      <w:pPr>
        <w:keepNext w:val="0"/>
        <w:keepLines w:val="0"/>
        <w:pageBreakBefore w:val="0"/>
        <w:widowControl w:val="0"/>
        <w:kinsoku/>
        <w:wordWrap/>
        <w:overflowPunct/>
        <w:topLinePunct w:val="0"/>
        <w:autoSpaceDE/>
        <w:autoSpaceDN/>
        <w:bidi w:val="0"/>
        <w:adjustRightInd/>
        <w:snapToGrid/>
        <w:spacing w:line="460" w:lineRule="exact"/>
        <w:ind w:firstLine="1820" w:firstLineChars="700"/>
        <w:textAlignment w:val="auto"/>
        <w:rPr>
          <w:rFonts w:ascii="Arial" w:hAnsi="Arial" w:cs="Arial"/>
          <w:snapToGrid w:val="0"/>
          <w:sz w:val="26"/>
          <w:szCs w:val="26"/>
        </w:rPr>
      </w:pPr>
      <w:r>
        <w:rPr>
          <w:rFonts w:ascii="Arial" w:hAnsi="Arial" w:cs="Arial"/>
          <w:snapToGrid w:val="0"/>
          <w:sz w:val="26"/>
          <w:szCs w:val="26"/>
        </w:rPr>
        <w:t>C</w:t>
      </w:r>
      <w:r>
        <w:rPr>
          <w:rFonts w:ascii="Arial" w:hAnsi="Arial" w:cs="Arial"/>
          <w:snapToGrid w:val="0"/>
          <w:sz w:val="26"/>
          <w:szCs w:val="26"/>
          <w:vertAlign w:val="subscript"/>
        </w:rPr>
        <w:t>s</w:t>
      </w:r>
      <w:r>
        <w:rPr>
          <w:rFonts w:ascii="Arial" w:cs="Arial"/>
          <w:snapToGrid w:val="0"/>
          <w:sz w:val="26"/>
          <w:szCs w:val="26"/>
          <w:vertAlign w:val="subscript"/>
        </w:rPr>
        <w:t>，</w:t>
      </w:r>
      <w:r>
        <w:rPr>
          <w:rFonts w:ascii="Arial" w:hAnsi="Arial" w:cs="Arial"/>
          <w:snapToGrid w:val="0"/>
          <w:sz w:val="26"/>
          <w:szCs w:val="26"/>
          <w:vertAlign w:val="subscript"/>
        </w:rPr>
        <w:t>i</w:t>
      </w:r>
      <w:r>
        <w:rPr>
          <w:rFonts w:ascii="Arial" w:hAnsi="Arial" w:cs="Arial"/>
          <w:snapToGrid w:val="0"/>
          <w:sz w:val="26"/>
          <w:szCs w:val="26"/>
        </w:rPr>
        <w:t>——</w:t>
      </w:r>
      <w:r>
        <w:rPr>
          <w:rFonts w:ascii="Arial" w:cs="Arial"/>
          <w:snapToGrid w:val="0"/>
          <w:sz w:val="26"/>
          <w:szCs w:val="26"/>
        </w:rPr>
        <w:t>评价因子</w:t>
      </w:r>
      <w:r>
        <w:rPr>
          <w:rFonts w:ascii="Arial" w:hAnsi="Arial" w:cs="Arial"/>
          <w:snapToGrid w:val="0"/>
          <w:sz w:val="26"/>
          <w:szCs w:val="26"/>
        </w:rPr>
        <w:t>i</w:t>
      </w:r>
      <w:r>
        <w:rPr>
          <w:rFonts w:ascii="Arial" w:cs="Arial"/>
          <w:snapToGrid w:val="0"/>
          <w:sz w:val="26"/>
          <w:szCs w:val="26"/>
        </w:rPr>
        <w:t>的评价标准限值（</w:t>
      </w:r>
      <w:r>
        <w:rPr>
          <w:rFonts w:ascii="Arial" w:hAnsi="Arial" w:cs="Arial"/>
          <w:snapToGrid w:val="0"/>
          <w:sz w:val="26"/>
          <w:szCs w:val="26"/>
        </w:rPr>
        <w:t>mg/L</w:t>
      </w:r>
      <w:r>
        <w:rPr>
          <w:rFonts w:ascii="Arial" w:cs="Arial"/>
          <w:snapToGrid w:val="0"/>
          <w:sz w:val="26"/>
          <w:szCs w:val="26"/>
        </w:rPr>
        <w:t>）。</w:t>
      </w:r>
    </w:p>
    <w:p w14:paraId="6FEAFEC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snapToGrid w:val="0"/>
          <w:sz w:val="26"/>
          <w:szCs w:val="26"/>
          <w:lang w:eastAsia="zh-CN"/>
        </w:rPr>
      </w:pPr>
      <w:r>
        <w:rPr>
          <w:rFonts w:ascii="Arial" w:hAnsi="Arial" w:cs="Arial"/>
          <w:snapToGrid w:val="0"/>
          <w:sz w:val="26"/>
          <w:szCs w:val="26"/>
        </w:rPr>
        <w:t>pH</w:t>
      </w:r>
      <w:r>
        <w:rPr>
          <w:rFonts w:ascii="Arial" w:cs="Arial"/>
          <w:snapToGrid w:val="0"/>
          <w:sz w:val="26"/>
          <w:szCs w:val="26"/>
        </w:rPr>
        <w:t>标准指数</w:t>
      </w:r>
      <w:r>
        <w:rPr>
          <w:rFonts w:hint="eastAsia" w:ascii="Arial" w:cs="Arial"/>
          <w:snapToGrid w:val="0"/>
          <w:sz w:val="26"/>
          <w:szCs w:val="26"/>
          <w:lang w:eastAsia="zh-CN"/>
        </w:rPr>
        <w:t>：</w:t>
      </w:r>
    </w:p>
    <w:p w14:paraId="597749A1">
      <w:pPr>
        <w:keepNext w:val="0"/>
        <w:keepLines w:val="0"/>
        <w:pageBreakBefore w:val="0"/>
        <w:widowControl w:val="0"/>
        <w:kinsoku/>
        <w:wordWrap/>
        <w:overflowPunct/>
        <w:topLinePunct w:val="0"/>
        <w:autoSpaceDE/>
        <w:autoSpaceDN/>
        <w:bidi w:val="0"/>
        <w:adjustRightInd/>
        <w:snapToGrid/>
        <w:spacing w:line="460" w:lineRule="exact"/>
        <w:ind w:firstLine="1820" w:firstLineChars="700"/>
        <w:textAlignment w:val="auto"/>
        <w:rPr>
          <w:rFonts w:ascii="Arial" w:hAnsi="Arial" w:cs="Arial"/>
          <w:snapToGrid w:val="0"/>
          <w:sz w:val="26"/>
          <w:szCs w:val="26"/>
        </w:rPr>
      </w:pPr>
      <w:r>
        <w:rPr>
          <w:rFonts w:ascii="Arial" w:hAnsi="Arial" w:cs="Arial"/>
          <w:snapToGrid w:val="0"/>
          <w:sz w:val="26"/>
          <w:szCs w:val="26"/>
        </w:rPr>
        <w:t>pH</w:t>
      </w:r>
      <w:r>
        <w:rPr>
          <w:rFonts w:ascii="Arial" w:hAnsi="Arial" w:cs="Arial"/>
          <w:snapToGrid w:val="0"/>
          <w:sz w:val="26"/>
          <w:szCs w:val="26"/>
          <w:vertAlign w:val="subscript"/>
        </w:rPr>
        <w:t>j</w:t>
      </w:r>
      <w:r>
        <w:rPr>
          <w:rFonts w:ascii="宋体" w:hAnsi="宋体" w:cs="Arial"/>
          <w:snapToGrid w:val="0"/>
          <w:sz w:val="26"/>
          <w:szCs w:val="26"/>
        </w:rPr>
        <w:t>≤</w:t>
      </w:r>
      <w:r>
        <w:rPr>
          <w:rFonts w:ascii="Arial" w:hAnsi="Arial" w:cs="Arial"/>
          <w:snapToGrid w:val="0"/>
          <w:sz w:val="26"/>
          <w:szCs w:val="26"/>
        </w:rPr>
        <w:t>7.0    S</w:t>
      </w:r>
      <w:r>
        <w:rPr>
          <w:rFonts w:ascii="Arial" w:hAnsi="Arial" w:cs="Arial"/>
          <w:snapToGrid w:val="0"/>
          <w:sz w:val="26"/>
          <w:szCs w:val="26"/>
          <w:vertAlign w:val="subscript"/>
        </w:rPr>
        <w:t>pHj</w:t>
      </w:r>
      <w:r>
        <w:rPr>
          <w:rFonts w:ascii="Arial" w:hAnsi="Arial" w:cs="Arial"/>
          <w:snapToGrid w:val="0"/>
          <w:sz w:val="26"/>
          <w:szCs w:val="26"/>
        </w:rPr>
        <w:t>=</w:t>
      </w:r>
      <w:r>
        <w:rPr>
          <w:rFonts w:ascii="Arial" w:cs="Arial"/>
          <w:snapToGrid w:val="0"/>
          <w:sz w:val="26"/>
          <w:szCs w:val="26"/>
        </w:rPr>
        <w:t>（</w:t>
      </w:r>
      <w:r>
        <w:rPr>
          <w:rFonts w:ascii="Arial" w:hAnsi="Arial" w:cs="Arial"/>
          <w:snapToGrid w:val="0"/>
          <w:sz w:val="26"/>
          <w:szCs w:val="26"/>
        </w:rPr>
        <w:t>7.0</w:t>
      </w:r>
      <w:r>
        <w:rPr>
          <w:rFonts w:ascii="Arial" w:cs="Arial"/>
          <w:snapToGrid w:val="0"/>
          <w:sz w:val="26"/>
          <w:szCs w:val="26"/>
        </w:rPr>
        <w:t>－</w:t>
      </w:r>
      <w:r>
        <w:rPr>
          <w:rFonts w:ascii="Arial" w:hAnsi="Arial" w:cs="Arial"/>
          <w:snapToGrid w:val="0"/>
          <w:sz w:val="26"/>
          <w:szCs w:val="26"/>
        </w:rPr>
        <w:t>pH</w:t>
      </w:r>
      <w:r>
        <w:rPr>
          <w:rFonts w:ascii="Arial" w:hAnsi="Arial" w:cs="Arial"/>
          <w:snapToGrid w:val="0"/>
          <w:sz w:val="26"/>
          <w:szCs w:val="26"/>
          <w:vertAlign w:val="subscript"/>
        </w:rPr>
        <w:t>j</w:t>
      </w:r>
      <w:r>
        <w:rPr>
          <w:rFonts w:ascii="Arial" w:cs="Arial"/>
          <w:snapToGrid w:val="0"/>
          <w:sz w:val="26"/>
          <w:szCs w:val="26"/>
        </w:rPr>
        <w:t>）</w:t>
      </w:r>
      <w:r>
        <w:rPr>
          <w:rFonts w:ascii="Arial" w:hAnsi="Arial" w:cs="Arial"/>
          <w:snapToGrid w:val="0"/>
          <w:sz w:val="26"/>
          <w:szCs w:val="26"/>
        </w:rPr>
        <w:t>/</w:t>
      </w:r>
      <w:r>
        <w:rPr>
          <w:rFonts w:ascii="Arial" w:cs="Arial"/>
          <w:snapToGrid w:val="0"/>
          <w:sz w:val="26"/>
          <w:szCs w:val="26"/>
        </w:rPr>
        <w:t>（</w:t>
      </w:r>
      <w:r>
        <w:rPr>
          <w:rFonts w:ascii="Arial" w:hAnsi="Arial" w:cs="Arial"/>
          <w:snapToGrid w:val="0"/>
          <w:sz w:val="26"/>
          <w:szCs w:val="26"/>
        </w:rPr>
        <w:t>7.0</w:t>
      </w:r>
      <w:r>
        <w:rPr>
          <w:rFonts w:ascii="Arial" w:cs="Arial"/>
          <w:snapToGrid w:val="0"/>
          <w:sz w:val="26"/>
          <w:szCs w:val="26"/>
        </w:rPr>
        <w:t>－</w:t>
      </w:r>
      <w:r>
        <w:rPr>
          <w:rFonts w:ascii="Arial" w:hAnsi="Arial" w:cs="Arial"/>
          <w:snapToGrid w:val="0"/>
          <w:sz w:val="26"/>
          <w:szCs w:val="26"/>
        </w:rPr>
        <w:t>pH</w:t>
      </w:r>
      <w:r>
        <w:rPr>
          <w:rFonts w:ascii="Arial" w:hAnsi="Arial" w:cs="Arial"/>
          <w:snapToGrid w:val="0"/>
          <w:sz w:val="26"/>
          <w:szCs w:val="26"/>
          <w:vertAlign w:val="subscript"/>
        </w:rPr>
        <w:t>sd</w:t>
      </w:r>
      <w:r>
        <w:rPr>
          <w:rFonts w:ascii="Arial" w:cs="Arial"/>
          <w:snapToGrid w:val="0"/>
          <w:sz w:val="26"/>
          <w:szCs w:val="26"/>
        </w:rPr>
        <w:t>）</w:t>
      </w:r>
    </w:p>
    <w:p w14:paraId="2E7BFA85">
      <w:pPr>
        <w:keepNext w:val="0"/>
        <w:keepLines w:val="0"/>
        <w:pageBreakBefore w:val="0"/>
        <w:widowControl w:val="0"/>
        <w:kinsoku/>
        <w:wordWrap/>
        <w:overflowPunct/>
        <w:topLinePunct w:val="0"/>
        <w:autoSpaceDE/>
        <w:autoSpaceDN/>
        <w:bidi w:val="0"/>
        <w:adjustRightInd/>
        <w:snapToGrid/>
        <w:spacing w:line="460" w:lineRule="exact"/>
        <w:ind w:firstLine="1820" w:firstLineChars="700"/>
        <w:textAlignment w:val="auto"/>
        <w:rPr>
          <w:rFonts w:ascii="Arial" w:hAnsi="Arial" w:cs="Arial"/>
          <w:snapToGrid w:val="0"/>
          <w:sz w:val="26"/>
          <w:szCs w:val="26"/>
        </w:rPr>
      </w:pPr>
      <w:r>
        <w:rPr>
          <w:rFonts w:ascii="Arial" w:hAnsi="Arial" w:cs="Arial"/>
          <w:snapToGrid w:val="0"/>
          <w:sz w:val="26"/>
          <w:szCs w:val="26"/>
        </w:rPr>
        <w:t>pH</w:t>
      </w:r>
      <w:r>
        <w:rPr>
          <w:rFonts w:ascii="Arial" w:hAnsi="Arial" w:cs="Arial"/>
          <w:snapToGrid w:val="0"/>
          <w:sz w:val="26"/>
          <w:szCs w:val="26"/>
          <w:vertAlign w:val="subscript"/>
        </w:rPr>
        <w:t>j</w:t>
      </w:r>
      <w:r>
        <w:rPr>
          <w:rFonts w:ascii="Arial" w:cs="Arial"/>
          <w:snapToGrid w:val="0"/>
          <w:sz w:val="26"/>
          <w:szCs w:val="26"/>
        </w:rPr>
        <w:t>＞</w:t>
      </w:r>
      <w:r>
        <w:rPr>
          <w:rFonts w:ascii="Arial" w:hAnsi="Arial" w:cs="Arial"/>
          <w:snapToGrid w:val="0"/>
          <w:sz w:val="26"/>
          <w:szCs w:val="26"/>
        </w:rPr>
        <w:t>7.0    S</w:t>
      </w:r>
      <w:r>
        <w:rPr>
          <w:rFonts w:ascii="Arial" w:hAnsi="Arial" w:cs="Arial"/>
          <w:snapToGrid w:val="0"/>
          <w:sz w:val="26"/>
          <w:szCs w:val="26"/>
          <w:vertAlign w:val="subscript"/>
        </w:rPr>
        <w:t>pHj</w:t>
      </w:r>
      <w:r>
        <w:rPr>
          <w:rFonts w:ascii="Arial" w:hAnsi="Arial" w:cs="Arial"/>
          <w:snapToGrid w:val="0"/>
          <w:sz w:val="26"/>
          <w:szCs w:val="26"/>
        </w:rPr>
        <w:t>=</w:t>
      </w:r>
      <w:r>
        <w:rPr>
          <w:rFonts w:ascii="Arial" w:cs="Arial"/>
          <w:snapToGrid w:val="0"/>
          <w:sz w:val="26"/>
          <w:szCs w:val="26"/>
        </w:rPr>
        <w:t>（</w:t>
      </w:r>
      <w:r>
        <w:rPr>
          <w:rFonts w:ascii="Arial" w:hAnsi="Arial" w:cs="Arial"/>
          <w:snapToGrid w:val="0"/>
          <w:sz w:val="26"/>
          <w:szCs w:val="26"/>
        </w:rPr>
        <w:t>pH</w:t>
      </w:r>
      <w:r>
        <w:rPr>
          <w:rFonts w:ascii="Arial" w:hAnsi="Arial" w:cs="Arial"/>
          <w:snapToGrid w:val="0"/>
          <w:sz w:val="26"/>
          <w:szCs w:val="26"/>
          <w:vertAlign w:val="subscript"/>
        </w:rPr>
        <w:t>j</w:t>
      </w:r>
      <w:r>
        <w:rPr>
          <w:rFonts w:ascii="Arial" w:cs="Arial"/>
          <w:snapToGrid w:val="0"/>
          <w:sz w:val="26"/>
          <w:szCs w:val="26"/>
        </w:rPr>
        <w:t>－</w:t>
      </w:r>
      <w:r>
        <w:rPr>
          <w:rFonts w:ascii="Arial" w:hAnsi="Arial" w:cs="Arial"/>
          <w:snapToGrid w:val="0"/>
          <w:sz w:val="26"/>
          <w:szCs w:val="26"/>
        </w:rPr>
        <w:t>7.0</w:t>
      </w:r>
      <w:r>
        <w:rPr>
          <w:rFonts w:ascii="Arial" w:cs="Arial"/>
          <w:snapToGrid w:val="0"/>
          <w:sz w:val="26"/>
          <w:szCs w:val="26"/>
        </w:rPr>
        <w:t>）</w:t>
      </w:r>
      <w:r>
        <w:rPr>
          <w:rFonts w:ascii="Arial" w:hAnsi="Arial" w:cs="Arial"/>
          <w:snapToGrid w:val="0"/>
          <w:sz w:val="26"/>
          <w:szCs w:val="26"/>
        </w:rPr>
        <w:t>/</w:t>
      </w:r>
      <w:r>
        <w:rPr>
          <w:rFonts w:ascii="Arial" w:cs="Arial"/>
          <w:snapToGrid w:val="0"/>
          <w:sz w:val="26"/>
          <w:szCs w:val="26"/>
        </w:rPr>
        <w:t>（</w:t>
      </w:r>
      <w:r>
        <w:rPr>
          <w:rFonts w:ascii="Arial" w:hAnsi="Arial" w:cs="Arial"/>
          <w:snapToGrid w:val="0"/>
          <w:sz w:val="26"/>
          <w:szCs w:val="26"/>
        </w:rPr>
        <w:t>pH</w:t>
      </w:r>
      <w:r>
        <w:rPr>
          <w:rFonts w:ascii="Arial" w:hAnsi="Arial" w:cs="Arial"/>
          <w:snapToGrid w:val="0"/>
          <w:sz w:val="26"/>
          <w:szCs w:val="26"/>
          <w:vertAlign w:val="subscript"/>
        </w:rPr>
        <w:t>su</w:t>
      </w:r>
      <w:r>
        <w:rPr>
          <w:rFonts w:ascii="Arial" w:cs="Arial"/>
          <w:snapToGrid w:val="0"/>
          <w:sz w:val="26"/>
          <w:szCs w:val="26"/>
        </w:rPr>
        <w:t>－</w:t>
      </w:r>
      <w:r>
        <w:rPr>
          <w:rFonts w:ascii="Arial" w:hAnsi="Arial" w:cs="Arial"/>
          <w:snapToGrid w:val="0"/>
          <w:sz w:val="26"/>
          <w:szCs w:val="26"/>
        </w:rPr>
        <w:t>7.0</w:t>
      </w:r>
      <w:r>
        <w:rPr>
          <w:rFonts w:ascii="Arial" w:cs="Arial"/>
          <w:snapToGrid w:val="0"/>
          <w:sz w:val="26"/>
          <w:szCs w:val="26"/>
        </w:rPr>
        <w:t>）</w:t>
      </w:r>
    </w:p>
    <w:p w14:paraId="2EBF3E29">
      <w:pPr>
        <w:keepNext w:val="0"/>
        <w:keepLines w:val="0"/>
        <w:pageBreakBefore w:val="0"/>
        <w:widowControl w:val="0"/>
        <w:kinsoku/>
        <w:wordWrap/>
        <w:overflowPunct/>
        <w:topLinePunct w:val="0"/>
        <w:autoSpaceDE/>
        <w:autoSpaceDN/>
        <w:bidi w:val="0"/>
        <w:adjustRightInd/>
        <w:snapToGrid/>
        <w:spacing w:line="460" w:lineRule="exact"/>
        <w:ind w:firstLine="1040" w:firstLineChars="400"/>
        <w:textAlignment w:val="auto"/>
        <w:rPr>
          <w:rFonts w:ascii="Arial" w:hAnsi="Arial" w:cs="Arial"/>
          <w:snapToGrid w:val="0"/>
          <w:sz w:val="26"/>
          <w:szCs w:val="26"/>
        </w:rPr>
      </w:pPr>
      <w:r>
        <w:rPr>
          <w:rFonts w:ascii="Arial" w:cs="Arial"/>
          <w:snapToGrid w:val="0"/>
          <w:sz w:val="26"/>
          <w:szCs w:val="26"/>
        </w:rPr>
        <w:t>式中：</w:t>
      </w:r>
      <w:r>
        <w:rPr>
          <w:rFonts w:ascii="Arial" w:hAnsi="Arial" w:cs="Arial"/>
          <w:snapToGrid w:val="0"/>
          <w:sz w:val="26"/>
          <w:szCs w:val="26"/>
        </w:rPr>
        <w:t>S</w:t>
      </w:r>
      <w:r>
        <w:rPr>
          <w:rFonts w:ascii="Arial" w:hAnsi="Arial" w:cs="Arial"/>
          <w:snapToGrid w:val="0"/>
          <w:sz w:val="26"/>
          <w:szCs w:val="26"/>
          <w:vertAlign w:val="subscript"/>
        </w:rPr>
        <w:t>pHj</w:t>
      </w:r>
      <w:r>
        <w:rPr>
          <w:rFonts w:ascii="Arial" w:hAnsi="Arial" w:cs="Arial"/>
          <w:snapToGrid w:val="0"/>
          <w:sz w:val="26"/>
          <w:szCs w:val="26"/>
        </w:rPr>
        <w:t>——pH</w:t>
      </w:r>
      <w:r>
        <w:rPr>
          <w:rFonts w:ascii="Arial" w:cs="Arial"/>
          <w:snapToGrid w:val="0"/>
          <w:sz w:val="26"/>
          <w:szCs w:val="26"/>
        </w:rPr>
        <w:t>值的标准指数；</w:t>
      </w:r>
    </w:p>
    <w:p w14:paraId="57F7B7BD">
      <w:pPr>
        <w:keepNext w:val="0"/>
        <w:keepLines w:val="0"/>
        <w:pageBreakBefore w:val="0"/>
        <w:widowControl w:val="0"/>
        <w:kinsoku/>
        <w:wordWrap/>
        <w:overflowPunct/>
        <w:topLinePunct w:val="0"/>
        <w:autoSpaceDE/>
        <w:autoSpaceDN/>
        <w:bidi w:val="0"/>
        <w:adjustRightInd/>
        <w:snapToGrid/>
        <w:spacing w:line="460" w:lineRule="exact"/>
        <w:ind w:firstLine="1781" w:firstLineChars="685"/>
        <w:textAlignment w:val="auto"/>
        <w:rPr>
          <w:rFonts w:ascii="Arial" w:hAnsi="Arial" w:cs="Arial"/>
          <w:snapToGrid w:val="0"/>
          <w:sz w:val="26"/>
          <w:szCs w:val="26"/>
        </w:rPr>
      </w:pPr>
      <w:r>
        <w:rPr>
          <w:rFonts w:ascii="Arial" w:hAnsi="Arial" w:cs="Arial"/>
          <w:snapToGrid w:val="0"/>
          <w:sz w:val="26"/>
          <w:szCs w:val="26"/>
        </w:rPr>
        <w:t>pH</w:t>
      </w:r>
      <w:r>
        <w:rPr>
          <w:rFonts w:ascii="Arial" w:hAnsi="Arial" w:cs="Arial"/>
          <w:snapToGrid w:val="0"/>
          <w:sz w:val="26"/>
          <w:szCs w:val="26"/>
          <w:vertAlign w:val="subscript"/>
        </w:rPr>
        <w:t>j</w:t>
      </w:r>
      <w:r>
        <w:rPr>
          <w:rFonts w:ascii="Arial" w:hAnsi="Arial" w:cs="Arial"/>
          <w:snapToGrid w:val="0"/>
          <w:sz w:val="26"/>
          <w:szCs w:val="26"/>
        </w:rPr>
        <w:t>——pH</w:t>
      </w:r>
      <w:r>
        <w:rPr>
          <w:rFonts w:ascii="Arial" w:cs="Arial"/>
          <w:snapToGrid w:val="0"/>
          <w:sz w:val="26"/>
          <w:szCs w:val="26"/>
        </w:rPr>
        <w:t>实测值；</w:t>
      </w:r>
    </w:p>
    <w:p w14:paraId="5B656870">
      <w:pPr>
        <w:keepNext w:val="0"/>
        <w:keepLines w:val="0"/>
        <w:pageBreakBefore w:val="0"/>
        <w:widowControl w:val="0"/>
        <w:kinsoku/>
        <w:wordWrap/>
        <w:overflowPunct/>
        <w:topLinePunct w:val="0"/>
        <w:autoSpaceDE/>
        <w:autoSpaceDN/>
        <w:bidi w:val="0"/>
        <w:adjustRightInd/>
        <w:snapToGrid/>
        <w:spacing w:line="460" w:lineRule="exact"/>
        <w:ind w:firstLine="1781" w:firstLineChars="685"/>
        <w:textAlignment w:val="auto"/>
        <w:rPr>
          <w:rFonts w:ascii="Arial" w:hAnsi="Arial" w:cs="Arial"/>
          <w:snapToGrid w:val="0"/>
          <w:sz w:val="26"/>
          <w:szCs w:val="26"/>
        </w:rPr>
      </w:pPr>
      <w:r>
        <w:rPr>
          <w:rFonts w:ascii="Arial" w:hAnsi="Arial" w:cs="Arial"/>
          <w:snapToGrid w:val="0"/>
          <w:sz w:val="26"/>
          <w:szCs w:val="26"/>
        </w:rPr>
        <w:t>pH</w:t>
      </w:r>
      <w:r>
        <w:rPr>
          <w:rFonts w:ascii="Arial" w:hAnsi="Arial" w:cs="Arial"/>
          <w:snapToGrid w:val="0"/>
          <w:sz w:val="26"/>
          <w:szCs w:val="26"/>
          <w:vertAlign w:val="subscript"/>
        </w:rPr>
        <w:t>sd</w:t>
      </w:r>
      <w:r>
        <w:rPr>
          <w:rFonts w:ascii="Arial" w:hAnsi="Arial" w:cs="Arial"/>
          <w:snapToGrid w:val="0"/>
          <w:sz w:val="26"/>
          <w:szCs w:val="26"/>
        </w:rPr>
        <w:t>——</w:t>
      </w:r>
      <w:r>
        <w:rPr>
          <w:rFonts w:ascii="Arial" w:cs="Arial"/>
          <w:snapToGrid w:val="0"/>
          <w:sz w:val="26"/>
          <w:szCs w:val="26"/>
        </w:rPr>
        <w:t>评价标准中</w:t>
      </w:r>
      <w:r>
        <w:rPr>
          <w:rFonts w:ascii="Arial" w:hAnsi="Arial" w:cs="Arial"/>
          <w:snapToGrid w:val="0"/>
          <w:sz w:val="26"/>
          <w:szCs w:val="26"/>
        </w:rPr>
        <w:t>pH</w:t>
      </w:r>
      <w:r>
        <w:rPr>
          <w:rFonts w:ascii="Arial" w:cs="Arial"/>
          <w:snapToGrid w:val="0"/>
          <w:sz w:val="26"/>
          <w:szCs w:val="26"/>
        </w:rPr>
        <w:t>的下限值；</w:t>
      </w:r>
    </w:p>
    <w:p w14:paraId="39BB01D1">
      <w:pPr>
        <w:pStyle w:val="100"/>
        <w:keepNext w:val="0"/>
        <w:keepLines w:val="0"/>
        <w:pageBreakBefore w:val="0"/>
        <w:widowControl w:val="0"/>
        <w:kinsoku/>
        <w:wordWrap/>
        <w:overflowPunct/>
        <w:topLinePunct w:val="0"/>
        <w:autoSpaceDE/>
        <w:autoSpaceDN/>
        <w:bidi w:val="0"/>
        <w:adjustRightInd/>
        <w:snapToGrid/>
        <w:spacing w:line="460" w:lineRule="exact"/>
        <w:ind w:firstLine="1820" w:firstLineChars="700"/>
        <w:jc w:val="both"/>
        <w:textAlignment w:val="auto"/>
        <w:rPr>
          <w:rFonts w:hint="default" w:ascii="Arial" w:hAnsi="Arial" w:cs="Arial"/>
          <w:b w:val="0"/>
          <w:bCs/>
          <w:sz w:val="26"/>
          <w:szCs w:val="26"/>
          <w:lang w:val="en-US" w:eastAsia="zh-CN"/>
        </w:rPr>
      </w:pPr>
      <w:r>
        <w:rPr>
          <w:rFonts w:ascii="Arial" w:hAnsi="Arial" w:cs="Arial"/>
          <w:b w:val="0"/>
          <w:bCs/>
          <w:snapToGrid w:val="0"/>
          <w:sz w:val="26"/>
          <w:szCs w:val="26"/>
        </w:rPr>
        <w:t>pH</w:t>
      </w:r>
      <w:r>
        <w:rPr>
          <w:rFonts w:ascii="Arial" w:hAnsi="Arial" w:cs="Arial"/>
          <w:b w:val="0"/>
          <w:bCs/>
          <w:snapToGrid w:val="0"/>
          <w:sz w:val="26"/>
          <w:szCs w:val="26"/>
          <w:vertAlign w:val="subscript"/>
        </w:rPr>
        <w:t>su</w:t>
      </w:r>
      <w:r>
        <w:rPr>
          <w:rFonts w:ascii="Arial" w:hAnsi="Arial" w:cs="Arial"/>
          <w:b w:val="0"/>
          <w:bCs/>
          <w:snapToGrid w:val="0"/>
          <w:sz w:val="26"/>
          <w:szCs w:val="26"/>
        </w:rPr>
        <w:t>——</w:t>
      </w:r>
      <w:r>
        <w:rPr>
          <w:rFonts w:ascii="Arial" w:cs="Arial"/>
          <w:b w:val="0"/>
          <w:bCs/>
          <w:snapToGrid w:val="0"/>
          <w:sz w:val="26"/>
          <w:szCs w:val="26"/>
        </w:rPr>
        <w:t>评价标准中</w:t>
      </w:r>
      <w:r>
        <w:rPr>
          <w:rFonts w:ascii="Arial" w:hAnsi="Arial" w:cs="Arial"/>
          <w:b w:val="0"/>
          <w:bCs/>
          <w:snapToGrid w:val="0"/>
          <w:sz w:val="26"/>
          <w:szCs w:val="26"/>
        </w:rPr>
        <w:t>pH</w:t>
      </w:r>
      <w:r>
        <w:rPr>
          <w:rFonts w:ascii="Arial" w:cs="Arial"/>
          <w:b w:val="0"/>
          <w:bCs/>
          <w:snapToGrid w:val="0"/>
          <w:sz w:val="26"/>
          <w:szCs w:val="26"/>
        </w:rPr>
        <w:t>的上限值。</w:t>
      </w:r>
    </w:p>
    <w:p w14:paraId="702A3F59">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cs="Arial"/>
          <w:b w:val="0"/>
          <w:bCs/>
          <w:sz w:val="26"/>
          <w:szCs w:val="26"/>
          <w:lang w:val="en-US" w:eastAsia="zh-CN"/>
        </w:rPr>
      </w:pPr>
      <w:r>
        <w:rPr>
          <w:rFonts w:hint="eastAsia" w:ascii="Arial" w:hAnsi="Arial" w:cs="Arial"/>
          <w:b w:val="0"/>
          <w:bCs/>
          <w:sz w:val="26"/>
          <w:szCs w:val="26"/>
          <w:lang w:val="en-US" w:eastAsia="zh-CN"/>
        </w:rPr>
        <w:t>DO标准指数：</w:t>
      </w:r>
    </w:p>
    <w:p w14:paraId="7FAFE70A">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rPr>
          <w:rFonts w:hint="default" w:ascii="Arial" w:hAnsi="Arial" w:eastAsia="黑体" w:cs="Arial"/>
          <w:color w:val="auto"/>
          <w:sz w:val="26"/>
          <w:szCs w:val="26"/>
          <w:highlight w:val="none"/>
        </w:rPr>
      </w:pPr>
      <m:oMath>
        <m:sSub>
          <m:sSubPr>
            <m:ctrlPr>
              <w:rPr>
                <w:rFonts w:hint="default" w:ascii="Cambria Math" w:hAnsi="Cambria Math" w:cs="Arial"/>
                <w:i/>
                <w:color w:val="auto"/>
                <w:sz w:val="26"/>
                <w:szCs w:val="26"/>
                <w:highlight w:val="none"/>
              </w:rPr>
            </m:ctrlPr>
          </m:sSubPr>
          <m:e>
            <m:r>
              <m:rPr/>
              <w:rPr>
                <w:rFonts w:hint="default" w:ascii="Cambria Math" w:hAnsi="Cambria Math" w:cs="Arial"/>
                <w:color w:val="auto"/>
                <w:sz w:val="26"/>
                <w:szCs w:val="26"/>
                <w:highlight w:val="none"/>
              </w:rPr>
              <m:t>S</m:t>
            </m:r>
            <m:ctrlPr>
              <w:rPr>
                <w:rFonts w:hint="default" w:ascii="Cambria Math" w:hAnsi="Cambria Math" w:cs="Arial"/>
                <w:i/>
                <w:color w:val="auto"/>
                <w:sz w:val="26"/>
                <w:szCs w:val="26"/>
                <w:highlight w:val="none"/>
              </w:rPr>
            </m:ctrlPr>
          </m:e>
          <m:sub>
            <m:r>
              <m:rPr/>
              <w:rPr>
                <w:rFonts w:hint="default" w:ascii="Cambria Math" w:hAnsi="Cambria Math" w:cs="Arial"/>
                <w:color w:val="auto"/>
                <w:sz w:val="26"/>
                <w:szCs w:val="26"/>
                <w:highlight w:val="none"/>
              </w:rPr>
              <m:t>DOj</m:t>
            </m:r>
            <m:ctrlPr>
              <w:rPr>
                <w:rFonts w:hint="default" w:ascii="Cambria Math" w:hAnsi="Cambria Math" w:cs="Arial"/>
                <w:i/>
                <w:color w:val="auto"/>
                <w:sz w:val="26"/>
                <w:szCs w:val="26"/>
                <w:highlight w:val="none"/>
              </w:rPr>
            </m:ctrlPr>
          </m:sub>
        </m:sSub>
        <m:r>
          <m:rPr/>
          <w:rPr>
            <w:rFonts w:hint="default" w:ascii="Cambria Math" w:hAnsi="Cambria Math" w:cs="Arial"/>
            <w:color w:val="auto"/>
            <w:sz w:val="26"/>
            <w:szCs w:val="26"/>
            <w:highlight w:val="none"/>
          </w:rPr>
          <m:t>=</m:t>
        </m:r>
        <m:sSub>
          <m:sSubPr>
            <m:ctrlPr>
              <w:rPr>
                <w:rFonts w:hint="default" w:ascii="Cambria Math" w:hAnsi="Cambria Math" w:cs="Arial"/>
                <w:i/>
                <w:color w:val="auto"/>
                <w:sz w:val="26"/>
                <w:szCs w:val="26"/>
                <w:highlight w:val="none"/>
              </w:rPr>
            </m:ctrlPr>
          </m:sSubPr>
          <m:e>
            <m:r>
              <m:rPr/>
              <w:rPr>
                <w:rFonts w:hint="default" w:ascii="Cambria Math" w:hAnsi="Cambria Math" w:cs="Arial"/>
                <w:color w:val="auto"/>
                <w:sz w:val="26"/>
                <w:szCs w:val="26"/>
                <w:highlight w:val="none"/>
              </w:rPr>
              <m:t>DO</m:t>
            </m:r>
            <m:ctrlPr>
              <w:rPr>
                <w:rFonts w:hint="default" w:ascii="Cambria Math" w:hAnsi="Cambria Math" w:cs="Arial"/>
                <w:i/>
                <w:color w:val="auto"/>
                <w:sz w:val="26"/>
                <w:szCs w:val="26"/>
                <w:highlight w:val="none"/>
              </w:rPr>
            </m:ctrlPr>
          </m:e>
          <m:sub>
            <m:r>
              <m:rPr/>
              <w:rPr>
                <w:rFonts w:hint="default" w:ascii="Cambria Math" w:hAnsi="Cambria Math" w:cs="Arial"/>
                <w:color w:val="auto"/>
                <w:sz w:val="26"/>
                <w:szCs w:val="26"/>
                <w:highlight w:val="none"/>
              </w:rPr>
              <m:t>s</m:t>
            </m:r>
            <m:ctrlPr>
              <w:rPr>
                <w:rFonts w:hint="default" w:ascii="Cambria Math" w:hAnsi="Cambria Math" w:cs="Arial"/>
                <w:i/>
                <w:color w:val="auto"/>
                <w:sz w:val="26"/>
                <w:szCs w:val="26"/>
                <w:highlight w:val="none"/>
              </w:rPr>
            </m:ctrlPr>
          </m:sub>
        </m:sSub>
        <m:r>
          <m:rPr/>
          <w:rPr>
            <w:rFonts w:hint="default" w:ascii="Cambria Math" w:hAnsi="Cambria Math" w:cs="Arial"/>
            <w:color w:val="auto"/>
            <w:sz w:val="26"/>
            <w:szCs w:val="26"/>
            <w:highlight w:val="none"/>
          </w:rPr>
          <m:t>/</m:t>
        </m:r>
        <m:sSub>
          <m:sSubPr>
            <m:ctrlPr>
              <w:rPr>
                <w:rFonts w:hint="default" w:ascii="Cambria Math" w:hAnsi="Cambria Math" w:cs="Arial"/>
                <w:i/>
                <w:color w:val="auto"/>
                <w:sz w:val="26"/>
                <w:szCs w:val="26"/>
                <w:highlight w:val="none"/>
              </w:rPr>
            </m:ctrlPr>
          </m:sSubPr>
          <m:e>
            <m:r>
              <m:rPr/>
              <w:rPr>
                <w:rFonts w:hint="default" w:ascii="Cambria Math" w:hAnsi="Cambria Math" w:cs="Arial"/>
                <w:color w:val="auto"/>
                <w:sz w:val="26"/>
                <w:szCs w:val="26"/>
                <w:highlight w:val="none"/>
              </w:rPr>
              <m:t>DO</m:t>
            </m:r>
            <m:ctrlPr>
              <w:rPr>
                <w:rFonts w:hint="default" w:ascii="Cambria Math" w:hAnsi="Cambria Math" w:cs="Arial"/>
                <w:i/>
                <w:color w:val="auto"/>
                <w:sz w:val="26"/>
                <w:szCs w:val="26"/>
                <w:highlight w:val="none"/>
              </w:rPr>
            </m:ctrlPr>
          </m:e>
          <m:sub>
            <m:r>
              <m:rPr/>
              <w:rPr>
                <w:rFonts w:hint="default" w:ascii="Cambria Math" w:hAnsi="Cambria Math" w:cs="Arial"/>
                <w:color w:val="auto"/>
                <w:sz w:val="26"/>
                <w:szCs w:val="26"/>
                <w:highlight w:val="none"/>
              </w:rPr>
              <m:t>j</m:t>
            </m:r>
            <m:ctrlPr>
              <w:rPr>
                <w:rFonts w:hint="default" w:ascii="Cambria Math" w:hAnsi="Cambria Math" w:cs="Arial"/>
                <w:i/>
                <w:color w:val="auto"/>
                <w:sz w:val="26"/>
                <w:szCs w:val="26"/>
                <w:highlight w:val="none"/>
              </w:rPr>
            </m:ctrlPr>
          </m:sub>
        </m:sSub>
      </m:oMath>
      <w:r>
        <w:rPr>
          <w:rFonts w:hint="default" w:ascii="Arial" w:hAnsi="Arial" w:eastAsia="黑体" w:cs="Arial"/>
          <w:color w:val="auto"/>
          <w:sz w:val="26"/>
          <w:szCs w:val="26"/>
          <w:highlight w:val="none"/>
        </w:rPr>
        <w:t xml:space="preserve">   </w:t>
      </w:r>
      <m:oMath>
        <m:sSub>
          <m:sSubPr>
            <m:ctrlPr>
              <w:rPr>
                <w:rFonts w:hint="default" w:ascii="Cambria Math" w:hAnsi="Cambria Math" w:eastAsia="黑体" w:cs="Arial"/>
                <w:i/>
                <w:color w:val="auto"/>
                <w:sz w:val="26"/>
                <w:szCs w:val="26"/>
                <w:highlight w:val="none"/>
              </w:rPr>
            </m:ctrlPr>
          </m:sSubPr>
          <m:e>
            <m:r>
              <m:rPr/>
              <w:rPr>
                <w:rFonts w:hint="default" w:ascii="Cambria Math" w:hAnsi="Cambria Math" w:eastAsia="黑体" w:cs="Arial"/>
                <w:color w:val="auto"/>
                <w:sz w:val="26"/>
                <w:szCs w:val="26"/>
                <w:highlight w:val="none"/>
              </w:rPr>
              <m:t>DO</m:t>
            </m:r>
            <m:ctrlPr>
              <w:rPr>
                <w:rFonts w:hint="default" w:ascii="Cambria Math" w:hAnsi="Cambria Math" w:eastAsia="黑体" w:cs="Arial"/>
                <w:i/>
                <w:color w:val="auto"/>
                <w:sz w:val="26"/>
                <w:szCs w:val="26"/>
                <w:highlight w:val="none"/>
              </w:rPr>
            </m:ctrlPr>
          </m:e>
          <m:sub>
            <m:r>
              <m:rPr/>
              <w:rPr>
                <w:rFonts w:hint="default" w:ascii="Cambria Math" w:hAnsi="Cambria Math" w:eastAsia="黑体" w:cs="Arial"/>
                <w:color w:val="auto"/>
                <w:sz w:val="26"/>
                <w:szCs w:val="26"/>
                <w:highlight w:val="none"/>
              </w:rPr>
              <m:t>j</m:t>
            </m:r>
            <m:ctrlPr>
              <w:rPr>
                <w:rFonts w:hint="default" w:ascii="Cambria Math" w:hAnsi="Cambria Math" w:eastAsia="黑体" w:cs="Arial"/>
                <w:i/>
                <w:color w:val="auto"/>
                <w:sz w:val="26"/>
                <w:szCs w:val="26"/>
                <w:highlight w:val="none"/>
              </w:rPr>
            </m:ctrlPr>
          </m:sub>
        </m:sSub>
        <m:r>
          <m:rPr/>
          <w:rPr>
            <w:rFonts w:hint="default" w:ascii="Cambria Math" w:hAnsi="Cambria Math" w:eastAsia="黑体" w:cs="Arial"/>
            <w:color w:val="auto"/>
            <w:sz w:val="26"/>
            <w:szCs w:val="26"/>
            <w:highlight w:val="none"/>
          </w:rPr>
          <m:t>≤</m:t>
        </m:r>
        <m:sSub>
          <m:sSubPr>
            <m:ctrlPr>
              <w:rPr>
                <w:rFonts w:hint="default" w:ascii="Cambria Math" w:hAnsi="Cambria Math" w:eastAsia="黑体" w:cs="Arial"/>
                <w:i/>
                <w:color w:val="auto"/>
                <w:sz w:val="26"/>
                <w:szCs w:val="26"/>
                <w:highlight w:val="none"/>
              </w:rPr>
            </m:ctrlPr>
          </m:sSubPr>
          <m:e>
            <m:r>
              <m:rPr/>
              <w:rPr>
                <w:rFonts w:hint="default" w:ascii="Cambria Math" w:hAnsi="Cambria Math" w:eastAsia="黑体" w:cs="Arial"/>
                <w:color w:val="auto"/>
                <w:sz w:val="26"/>
                <w:szCs w:val="26"/>
                <w:highlight w:val="none"/>
              </w:rPr>
              <m:t>DO</m:t>
            </m:r>
            <m:ctrlPr>
              <w:rPr>
                <w:rFonts w:hint="default" w:ascii="Cambria Math" w:hAnsi="Cambria Math" w:eastAsia="黑体" w:cs="Arial"/>
                <w:i/>
                <w:color w:val="auto"/>
                <w:sz w:val="26"/>
                <w:szCs w:val="26"/>
                <w:highlight w:val="none"/>
              </w:rPr>
            </m:ctrlPr>
          </m:e>
          <m:sub>
            <m:r>
              <m:rPr/>
              <w:rPr>
                <w:rFonts w:hint="default" w:ascii="Cambria Math" w:hAnsi="Cambria Math" w:eastAsia="黑体" w:cs="Arial"/>
                <w:color w:val="auto"/>
                <w:sz w:val="26"/>
                <w:szCs w:val="26"/>
                <w:highlight w:val="none"/>
              </w:rPr>
              <m:t>f</m:t>
            </m:r>
            <m:ctrlPr>
              <w:rPr>
                <w:rFonts w:hint="default" w:ascii="Cambria Math" w:hAnsi="Cambria Math" w:eastAsia="黑体" w:cs="Arial"/>
                <w:i/>
                <w:color w:val="auto"/>
                <w:sz w:val="26"/>
                <w:szCs w:val="26"/>
                <w:highlight w:val="none"/>
              </w:rPr>
            </m:ctrlPr>
          </m:sub>
        </m:sSub>
      </m:oMath>
    </w:p>
    <w:p w14:paraId="57246AD9">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rPr>
          <w:rFonts w:hint="default" w:ascii="Arial" w:hAnsi="Arial" w:eastAsia="黑体" w:cs="Arial"/>
          <w:color w:val="auto"/>
          <w:sz w:val="26"/>
          <w:szCs w:val="26"/>
          <w:highlight w:val="none"/>
        </w:rPr>
      </w:pPr>
      <m:oMath>
        <m:sSub>
          <m:sSubPr>
            <m:ctrlPr>
              <w:rPr>
                <w:rFonts w:hint="default" w:ascii="Cambria Math" w:hAnsi="Cambria Math" w:eastAsia="黑体" w:cs="Arial"/>
                <w:i/>
                <w:color w:val="auto"/>
                <w:sz w:val="26"/>
                <w:szCs w:val="26"/>
                <w:highlight w:val="none"/>
              </w:rPr>
            </m:ctrlPr>
          </m:sSubPr>
          <m:e>
            <m:r>
              <m:rPr/>
              <w:rPr>
                <w:rFonts w:hint="default" w:ascii="Cambria Math" w:hAnsi="Cambria Math" w:eastAsia="黑体" w:cs="Arial"/>
                <w:color w:val="auto"/>
                <w:sz w:val="26"/>
                <w:szCs w:val="26"/>
                <w:highlight w:val="none"/>
              </w:rPr>
              <m:t>S</m:t>
            </m:r>
            <m:ctrlPr>
              <w:rPr>
                <w:rFonts w:hint="default" w:ascii="Cambria Math" w:hAnsi="Cambria Math" w:eastAsia="黑体" w:cs="Arial"/>
                <w:i/>
                <w:color w:val="auto"/>
                <w:sz w:val="26"/>
                <w:szCs w:val="26"/>
                <w:highlight w:val="none"/>
              </w:rPr>
            </m:ctrlPr>
          </m:e>
          <m:sub>
            <m:r>
              <m:rPr/>
              <w:rPr>
                <w:rFonts w:hint="default" w:ascii="Cambria Math" w:hAnsi="Cambria Math" w:eastAsia="黑体" w:cs="Arial"/>
                <w:color w:val="auto"/>
                <w:sz w:val="26"/>
                <w:szCs w:val="26"/>
                <w:highlight w:val="none"/>
              </w:rPr>
              <m:t>DOj</m:t>
            </m:r>
            <m:ctrlPr>
              <w:rPr>
                <w:rFonts w:hint="default" w:ascii="Cambria Math" w:hAnsi="Cambria Math" w:eastAsia="黑体" w:cs="Arial"/>
                <w:i/>
                <w:color w:val="auto"/>
                <w:sz w:val="26"/>
                <w:szCs w:val="26"/>
                <w:highlight w:val="none"/>
              </w:rPr>
            </m:ctrlPr>
          </m:sub>
        </m:sSub>
        <m:r>
          <m:rPr/>
          <w:rPr>
            <w:rFonts w:hint="default" w:ascii="Cambria Math" w:hAnsi="Cambria Math" w:eastAsia="黑体" w:cs="Arial"/>
            <w:color w:val="auto"/>
            <w:sz w:val="26"/>
            <w:szCs w:val="26"/>
            <w:highlight w:val="none"/>
          </w:rPr>
          <m:t>=</m:t>
        </m:r>
        <m:f>
          <m:fPr>
            <m:ctrlPr>
              <w:rPr>
                <w:rFonts w:hint="default" w:ascii="Cambria Math" w:hAnsi="Cambria Math" w:eastAsia="黑体" w:cs="Arial"/>
                <w:i/>
                <w:color w:val="auto"/>
                <w:sz w:val="26"/>
                <w:szCs w:val="26"/>
                <w:highlight w:val="none"/>
              </w:rPr>
            </m:ctrlPr>
          </m:fPr>
          <m:num>
            <m:d>
              <m:dPr>
                <m:begChr m:val="|"/>
                <m:endChr m:val="|"/>
                <m:ctrlPr>
                  <w:rPr>
                    <w:rFonts w:hint="default" w:ascii="Cambria Math" w:hAnsi="Cambria Math" w:eastAsia="黑体" w:cs="Arial"/>
                    <w:i/>
                    <w:color w:val="auto"/>
                    <w:sz w:val="26"/>
                    <w:szCs w:val="26"/>
                    <w:highlight w:val="none"/>
                  </w:rPr>
                </m:ctrlPr>
              </m:dPr>
              <m:e>
                <m:sSub>
                  <m:sSubPr>
                    <m:ctrlPr>
                      <w:rPr>
                        <w:rFonts w:hint="default" w:ascii="Cambria Math" w:hAnsi="Cambria Math" w:eastAsia="黑体" w:cs="Arial"/>
                        <w:i/>
                        <w:color w:val="auto"/>
                        <w:sz w:val="26"/>
                        <w:szCs w:val="26"/>
                        <w:highlight w:val="none"/>
                      </w:rPr>
                    </m:ctrlPr>
                  </m:sSubPr>
                  <m:e>
                    <m:r>
                      <m:rPr/>
                      <w:rPr>
                        <w:rFonts w:hint="default" w:ascii="Cambria Math" w:hAnsi="Cambria Math" w:eastAsia="黑体" w:cs="Arial"/>
                        <w:color w:val="auto"/>
                        <w:sz w:val="26"/>
                        <w:szCs w:val="26"/>
                        <w:highlight w:val="none"/>
                      </w:rPr>
                      <m:t>DO</m:t>
                    </m:r>
                    <m:ctrlPr>
                      <w:rPr>
                        <w:rFonts w:hint="default" w:ascii="Cambria Math" w:hAnsi="Cambria Math" w:eastAsia="黑体" w:cs="Arial"/>
                        <w:i/>
                        <w:color w:val="auto"/>
                        <w:sz w:val="26"/>
                        <w:szCs w:val="26"/>
                        <w:highlight w:val="none"/>
                      </w:rPr>
                    </m:ctrlPr>
                  </m:e>
                  <m:sub>
                    <m:r>
                      <m:rPr/>
                      <w:rPr>
                        <w:rFonts w:hint="default" w:ascii="Cambria Math" w:hAnsi="Cambria Math" w:eastAsia="黑体" w:cs="Arial"/>
                        <w:color w:val="auto"/>
                        <w:sz w:val="26"/>
                        <w:szCs w:val="26"/>
                        <w:highlight w:val="none"/>
                      </w:rPr>
                      <m:t>f</m:t>
                    </m:r>
                    <m:ctrlPr>
                      <w:rPr>
                        <w:rFonts w:hint="default" w:ascii="Cambria Math" w:hAnsi="Cambria Math" w:eastAsia="黑体" w:cs="Arial"/>
                        <w:i/>
                        <w:color w:val="auto"/>
                        <w:sz w:val="26"/>
                        <w:szCs w:val="26"/>
                        <w:highlight w:val="none"/>
                      </w:rPr>
                    </m:ctrlPr>
                  </m:sub>
                </m:sSub>
                <m:r>
                  <m:rPr/>
                  <w:rPr>
                    <w:rFonts w:hint="default" w:ascii="Cambria Math" w:hAnsi="Cambria Math" w:eastAsia="黑体" w:cs="Arial"/>
                    <w:color w:val="auto"/>
                    <w:sz w:val="26"/>
                    <w:szCs w:val="26"/>
                    <w:highlight w:val="none"/>
                  </w:rPr>
                  <m:t>−</m:t>
                </m:r>
                <m:sSub>
                  <m:sSubPr>
                    <m:ctrlPr>
                      <w:rPr>
                        <w:rFonts w:hint="default" w:ascii="Cambria Math" w:hAnsi="Cambria Math" w:eastAsia="黑体" w:cs="Arial"/>
                        <w:i/>
                        <w:color w:val="auto"/>
                        <w:sz w:val="26"/>
                        <w:szCs w:val="26"/>
                        <w:highlight w:val="none"/>
                      </w:rPr>
                    </m:ctrlPr>
                  </m:sSubPr>
                  <m:e>
                    <m:r>
                      <m:rPr/>
                      <w:rPr>
                        <w:rFonts w:hint="default" w:ascii="Cambria Math" w:hAnsi="Cambria Math" w:eastAsia="黑体" w:cs="Arial"/>
                        <w:color w:val="auto"/>
                        <w:sz w:val="26"/>
                        <w:szCs w:val="26"/>
                        <w:highlight w:val="none"/>
                      </w:rPr>
                      <m:t>DO</m:t>
                    </m:r>
                    <m:ctrlPr>
                      <w:rPr>
                        <w:rFonts w:hint="default" w:ascii="Cambria Math" w:hAnsi="Cambria Math" w:eastAsia="黑体" w:cs="Arial"/>
                        <w:i/>
                        <w:color w:val="auto"/>
                        <w:sz w:val="26"/>
                        <w:szCs w:val="26"/>
                        <w:highlight w:val="none"/>
                      </w:rPr>
                    </m:ctrlPr>
                  </m:e>
                  <m:sub>
                    <m:r>
                      <m:rPr/>
                      <w:rPr>
                        <w:rFonts w:hint="default" w:ascii="Cambria Math" w:hAnsi="Cambria Math" w:eastAsia="黑体" w:cs="Arial"/>
                        <w:color w:val="auto"/>
                        <w:sz w:val="26"/>
                        <w:szCs w:val="26"/>
                        <w:highlight w:val="none"/>
                      </w:rPr>
                      <m:t>j</m:t>
                    </m:r>
                    <m:ctrlPr>
                      <w:rPr>
                        <w:rFonts w:hint="default" w:ascii="Cambria Math" w:hAnsi="Cambria Math" w:eastAsia="黑体" w:cs="Arial"/>
                        <w:i/>
                        <w:color w:val="auto"/>
                        <w:sz w:val="26"/>
                        <w:szCs w:val="26"/>
                        <w:highlight w:val="none"/>
                      </w:rPr>
                    </m:ctrlPr>
                  </m:sub>
                </m:sSub>
                <m:ctrlPr>
                  <w:rPr>
                    <w:rFonts w:hint="default" w:ascii="Cambria Math" w:hAnsi="Cambria Math" w:eastAsia="黑体" w:cs="Arial"/>
                    <w:i/>
                    <w:color w:val="auto"/>
                    <w:sz w:val="26"/>
                    <w:szCs w:val="26"/>
                    <w:highlight w:val="none"/>
                  </w:rPr>
                </m:ctrlPr>
              </m:e>
            </m:d>
            <m:ctrlPr>
              <w:rPr>
                <w:rFonts w:hint="default" w:ascii="Cambria Math" w:hAnsi="Cambria Math" w:eastAsia="黑体" w:cs="Arial"/>
                <w:i/>
                <w:color w:val="auto"/>
                <w:sz w:val="26"/>
                <w:szCs w:val="26"/>
                <w:highlight w:val="none"/>
              </w:rPr>
            </m:ctrlPr>
          </m:num>
          <m:den>
            <m:sSub>
              <m:sSubPr>
                <m:ctrlPr>
                  <w:rPr>
                    <w:rFonts w:hint="default" w:ascii="Cambria Math" w:hAnsi="Cambria Math" w:eastAsia="黑体" w:cs="Arial"/>
                    <w:i/>
                    <w:color w:val="auto"/>
                    <w:sz w:val="26"/>
                    <w:szCs w:val="26"/>
                    <w:highlight w:val="none"/>
                  </w:rPr>
                </m:ctrlPr>
              </m:sSubPr>
              <m:e>
                <m:r>
                  <m:rPr/>
                  <w:rPr>
                    <w:rFonts w:hint="default" w:ascii="Cambria Math" w:hAnsi="Cambria Math" w:eastAsia="黑体" w:cs="Arial"/>
                    <w:color w:val="auto"/>
                    <w:sz w:val="26"/>
                    <w:szCs w:val="26"/>
                    <w:highlight w:val="none"/>
                  </w:rPr>
                  <m:t>DO</m:t>
                </m:r>
                <m:ctrlPr>
                  <w:rPr>
                    <w:rFonts w:hint="default" w:ascii="Cambria Math" w:hAnsi="Cambria Math" w:eastAsia="黑体" w:cs="Arial"/>
                    <w:i/>
                    <w:color w:val="auto"/>
                    <w:sz w:val="26"/>
                    <w:szCs w:val="26"/>
                    <w:highlight w:val="none"/>
                  </w:rPr>
                </m:ctrlPr>
              </m:e>
              <m:sub>
                <m:r>
                  <m:rPr/>
                  <w:rPr>
                    <w:rFonts w:hint="default" w:ascii="Cambria Math" w:hAnsi="Cambria Math" w:eastAsia="黑体" w:cs="Arial"/>
                    <w:color w:val="auto"/>
                    <w:sz w:val="26"/>
                    <w:szCs w:val="26"/>
                    <w:highlight w:val="none"/>
                  </w:rPr>
                  <m:t>f</m:t>
                </m:r>
                <m:ctrlPr>
                  <w:rPr>
                    <w:rFonts w:hint="default" w:ascii="Cambria Math" w:hAnsi="Cambria Math" w:eastAsia="黑体" w:cs="Arial"/>
                    <w:i/>
                    <w:color w:val="auto"/>
                    <w:sz w:val="26"/>
                    <w:szCs w:val="26"/>
                    <w:highlight w:val="none"/>
                  </w:rPr>
                </m:ctrlPr>
              </m:sub>
            </m:sSub>
            <m:r>
              <m:rPr/>
              <w:rPr>
                <w:rFonts w:hint="default" w:ascii="Cambria Math" w:hAnsi="Cambria Math" w:eastAsia="黑体" w:cs="Arial"/>
                <w:color w:val="auto"/>
                <w:sz w:val="26"/>
                <w:szCs w:val="26"/>
                <w:highlight w:val="none"/>
              </w:rPr>
              <m:t>−</m:t>
            </m:r>
            <m:sSub>
              <m:sSubPr>
                <m:ctrlPr>
                  <w:rPr>
                    <w:rFonts w:hint="default" w:ascii="Cambria Math" w:hAnsi="Cambria Math" w:eastAsia="黑体" w:cs="Arial"/>
                    <w:i/>
                    <w:color w:val="auto"/>
                    <w:sz w:val="26"/>
                    <w:szCs w:val="26"/>
                    <w:highlight w:val="none"/>
                  </w:rPr>
                </m:ctrlPr>
              </m:sSubPr>
              <m:e>
                <m:r>
                  <m:rPr/>
                  <w:rPr>
                    <w:rFonts w:hint="default" w:ascii="Cambria Math" w:hAnsi="Cambria Math" w:eastAsia="黑体" w:cs="Arial"/>
                    <w:color w:val="auto"/>
                    <w:sz w:val="26"/>
                    <w:szCs w:val="26"/>
                    <w:highlight w:val="none"/>
                  </w:rPr>
                  <m:t>DO</m:t>
                </m:r>
                <m:ctrlPr>
                  <w:rPr>
                    <w:rFonts w:hint="default" w:ascii="Cambria Math" w:hAnsi="Cambria Math" w:eastAsia="黑体" w:cs="Arial"/>
                    <w:i/>
                    <w:color w:val="auto"/>
                    <w:sz w:val="26"/>
                    <w:szCs w:val="26"/>
                    <w:highlight w:val="none"/>
                  </w:rPr>
                </m:ctrlPr>
              </m:e>
              <m:sub>
                <m:r>
                  <m:rPr/>
                  <w:rPr>
                    <w:rFonts w:hint="default" w:ascii="Cambria Math" w:hAnsi="Cambria Math" w:eastAsia="黑体" w:cs="Arial"/>
                    <w:color w:val="auto"/>
                    <w:sz w:val="26"/>
                    <w:szCs w:val="26"/>
                    <w:highlight w:val="none"/>
                  </w:rPr>
                  <m:t>s</m:t>
                </m:r>
                <m:ctrlPr>
                  <w:rPr>
                    <w:rFonts w:hint="default" w:ascii="Cambria Math" w:hAnsi="Cambria Math" w:eastAsia="黑体" w:cs="Arial"/>
                    <w:i/>
                    <w:color w:val="auto"/>
                    <w:sz w:val="26"/>
                    <w:szCs w:val="26"/>
                    <w:highlight w:val="none"/>
                  </w:rPr>
                </m:ctrlPr>
              </m:sub>
            </m:sSub>
            <m:ctrlPr>
              <w:rPr>
                <w:rFonts w:hint="default" w:ascii="Cambria Math" w:hAnsi="Cambria Math" w:eastAsia="黑体" w:cs="Arial"/>
                <w:i/>
                <w:color w:val="auto"/>
                <w:sz w:val="26"/>
                <w:szCs w:val="26"/>
                <w:highlight w:val="none"/>
              </w:rPr>
            </m:ctrlPr>
          </m:den>
        </m:f>
      </m:oMath>
      <w:r>
        <w:rPr>
          <w:rFonts w:hint="default" w:ascii="Arial" w:hAnsi="Arial" w:eastAsia="黑体" w:cs="Arial"/>
          <w:color w:val="auto"/>
          <w:sz w:val="26"/>
          <w:szCs w:val="26"/>
          <w:highlight w:val="none"/>
        </w:rPr>
        <w:t xml:space="preserve">   </w:t>
      </w:r>
      <m:oMath>
        <m:sSub>
          <m:sSubPr>
            <m:ctrlPr>
              <w:rPr>
                <w:rFonts w:hint="default" w:ascii="Cambria Math" w:hAnsi="Cambria Math" w:eastAsia="黑体" w:cs="Arial"/>
                <w:i/>
                <w:color w:val="auto"/>
                <w:sz w:val="26"/>
                <w:szCs w:val="26"/>
                <w:highlight w:val="none"/>
              </w:rPr>
            </m:ctrlPr>
          </m:sSubPr>
          <m:e>
            <m:r>
              <m:rPr/>
              <w:rPr>
                <w:rFonts w:hint="default" w:ascii="Cambria Math" w:hAnsi="Cambria Math" w:eastAsia="黑体" w:cs="Arial"/>
                <w:color w:val="auto"/>
                <w:sz w:val="26"/>
                <w:szCs w:val="26"/>
                <w:highlight w:val="none"/>
              </w:rPr>
              <m:t>DO</m:t>
            </m:r>
            <m:ctrlPr>
              <w:rPr>
                <w:rFonts w:hint="default" w:ascii="Cambria Math" w:hAnsi="Cambria Math" w:eastAsia="黑体" w:cs="Arial"/>
                <w:i/>
                <w:color w:val="auto"/>
                <w:sz w:val="26"/>
                <w:szCs w:val="26"/>
                <w:highlight w:val="none"/>
              </w:rPr>
            </m:ctrlPr>
          </m:e>
          <m:sub>
            <m:r>
              <m:rPr/>
              <w:rPr>
                <w:rFonts w:hint="default" w:ascii="Cambria Math" w:hAnsi="Cambria Math" w:eastAsia="黑体" w:cs="Arial"/>
                <w:color w:val="auto"/>
                <w:sz w:val="26"/>
                <w:szCs w:val="26"/>
                <w:highlight w:val="none"/>
              </w:rPr>
              <m:t>j</m:t>
            </m:r>
            <m:ctrlPr>
              <w:rPr>
                <w:rFonts w:hint="default" w:ascii="Cambria Math" w:hAnsi="Cambria Math" w:eastAsia="黑体" w:cs="Arial"/>
                <w:i/>
                <w:color w:val="auto"/>
                <w:sz w:val="26"/>
                <w:szCs w:val="26"/>
                <w:highlight w:val="none"/>
              </w:rPr>
            </m:ctrlPr>
          </m:sub>
        </m:sSub>
        <m:r>
          <m:rPr/>
          <w:rPr>
            <w:rFonts w:hint="default" w:ascii="Cambria Math" w:hAnsi="Cambria Math" w:eastAsia="黑体" w:cs="Arial"/>
            <w:color w:val="auto"/>
            <w:sz w:val="26"/>
            <w:szCs w:val="26"/>
            <w:highlight w:val="none"/>
          </w:rPr>
          <m:t>≥</m:t>
        </m:r>
        <m:sSub>
          <m:sSubPr>
            <m:ctrlPr>
              <w:rPr>
                <w:rFonts w:hint="default" w:ascii="Cambria Math" w:hAnsi="Cambria Math" w:eastAsia="黑体" w:cs="Arial"/>
                <w:i/>
                <w:color w:val="auto"/>
                <w:sz w:val="26"/>
                <w:szCs w:val="26"/>
                <w:highlight w:val="none"/>
              </w:rPr>
            </m:ctrlPr>
          </m:sSubPr>
          <m:e>
            <m:r>
              <m:rPr/>
              <w:rPr>
                <w:rFonts w:hint="default" w:ascii="Cambria Math" w:hAnsi="Cambria Math" w:eastAsia="黑体" w:cs="Arial"/>
                <w:color w:val="auto"/>
                <w:sz w:val="26"/>
                <w:szCs w:val="26"/>
                <w:highlight w:val="none"/>
              </w:rPr>
              <m:t>DO</m:t>
            </m:r>
            <m:ctrlPr>
              <w:rPr>
                <w:rFonts w:hint="default" w:ascii="Cambria Math" w:hAnsi="Cambria Math" w:eastAsia="黑体" w:cs="Arial"/>
                <w:i/>
                <w:color w:val="auto"/>
                <w:sz w:val="26"/>
                <w:szCs w:val="26"/>
                <w:highlight w:val="none"/>
              </w:rPr>
            </m:ctrlPr>
          </m:e>
          <m:sub>
            <m:r>
              <m:rPr/>
              <w:rPr>
                <w:rFonts w:hint="default" w:ascii="Cambria Math" w:hAnsi="Cambria Math" w:eastAsia="黑体" w:cs="Arial"/>
                <w:color w:val="auto"/>
                <w:sz w:val="26"/>
                <w:szCs w:val="26"/>
                <w:highlight w:val="none"/>
              </w:rPr>
              <m:t>f</m:t>
            </m:r>
            <m:ctrlPr>
              <w:rPr>
                <w:rFonts w:hint="default" w:ascii="Cambria Math" w:hAnsi="Cambria Math" w:eastAsia="黑体" w:cs="Arial"/>
                <w:i/>
                <w:color w:val="auto"/>
                <w:sz w:val="26"/>
                <w:szCs w:val="26"/>
                <w:highlight w:val="none"/>
              </w:rPr>
            </m:ctrlPr>
          </m:sub>
        </m:sSub>
      </m:oMath>
    </w:p>
    <w:p w14:paraId="04D340AF">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Arial" w:hAnsi="Arial" w:cs="Arial"/>
          <w:color w:val="auto"/>
          <w:sz w:val="26"/>
          <w:szCs w:val="26"/>
          <w:highlight w:val="none"/>
        </w:rPr>
      </w:pPr>
      <w:r>
        <w:rPr>
          <w:rFonts w:hint="default" w:ascii="Arial" w:hAnsi="Arial" w:cs="Arial"/>
          <w:color w:val="auto"/>
          <w:sz w:val="26"/>
          <w:szCs w:val="26"/>
          <w:highlight w:val="none"/>
        </w:rPr>
        <w:t>式中：</w:t>
      </w:r>
      <w:r>
        <w:rPr>
          <w:rFonts w:hint="default" w:ascii="Arial" w:hAnsi="Arial" w:cs="Arial"/>
          <w:i/>
          <w:color w:val="auto"/>
          <w:sz w:val="26"/>
          <w:szCs w:val="26"/>
          <w:highlight w:val="none"/>
        </w:rPr>
        <w:t>S</w:t>
      </w:r>
      <w:r>
        <w:rPr>
          <w:rFonts w:hint="default" w:ascii="Arial" w:hAnsi="Arial" w:cs="Arial"/>
          <w:i/>
          <w:color w:val="auto"/>
          <w:sz w:val="26"/>
          <w:szCs w:val="26"/>
          <w:highlight w:val="none"/>
          <w:vertAlign w:val="subscript"/>
        </w:rPr>
        <w:t>DO，j</w:t>
      </w:r>
      <w:r>
        <w:rPr>
          <w:rFonts w:hint="default" w:ascii="Arial" w:hAnsi="Arial" w:cs="Arial"/>
          <w:color w:val="auto"/>
          <w:sz w:val="26"/>
          <w:szCs w:val="26"/>
          <w:highlight w:val="none"/>
        </w:rPr>
        <w:t>——溶解氧的标准指数，大于1表明该水质因子超标；</w:t>
      </w:r>
    </w:p>
    <w:p w14:paraId="61479EB9">
      <w:pPr>
        <w:keepNext w:val="0"/>
        <w:keepLines w:val="0"/>
        <w:pageBreakBefore w:val="0"/>
        <w:widowControl w:val="0"/>
        <w:kinsoku/>
        <w:wordWrap/>
        <w:overflowPunct/>
        <w:topLinePunct w:val="0"/>
        <w:autoSpaceDE/>
        <w:autoSpaceDN/>
        <w:bidi w:val="0"/>
        <w:adjustRightInd/>
        <w:snapToGrid/>
        <w:spacing w:line="460" w:lineRule="exact"/>
        <w:ind w:firstLine="1300" w:firstLineChars="500"/>
        <w:textAlignment w:val="auto"/>
        <w:rPr>
          <w:rFonts w:hint="default" w:ascii="Arial" w:hAnsi="Arial" w:cs="Arial"/>
          <w:color w:val="auto"/>
          <w:sz w:val="26"/>
          <w:szCs w:val="26"/>
          <w:highlight w:val="none"/>
        </w:rPr>
      </w:pPr>
      <w:r>
        <w:rPr>
          <w:rFonts w:hint="default" w:ascii="Arial" w:hAnsi="Arial" w:cs="Arial"/>
          <w:i/>
          <w:color w:val="auto"/>
          <w:sz w:val="26"/>
          <w:szCs w:val="26"/>
          <w:highlight w:val="none"/>
        </w:rPr>
        <w:t>DO</w:t>
      </w:r>
      <w:r>
        <w:rPr>
          <w:rFonts w:hint="default" w:ascii="Arial" w:hAnsi="Arial" w:cs="Arial"/>
          <w:i/>
          <w:color w:val="auto"/>
          <w:sz w:val="26"/>
          <w:szCs w:val="26"/>
          <w:highlight w:val="none"/>
          <w:vertAlign w:val="subscript"/>
        </w:rPr>
        <w:t>j</w:t>
      </w:r>
      <w:r>
        <w:rPr>
          <w:rFonts w:hint="default" w:ascii="Arial" w:hAnsi="Arial" w:cs="Arial"/>
          <w:color w:val="auto"/>
          <w:sz w:val="26"/>
          <w:szCs w:val="26"/>
          <w:highlight w:val="none"/>
        </w:rPr>
        <w:t>——溶解氧在j点的实测统计代表值，mg/L；</w:t>
      </w:r>
    </w:p>
    <w:p w14:paraId="5F298F4F">
      <w:pPr>
        <w:keepNext w:val="0"/>
        <w:keepLines w:val="0"/>
        <w:pageBreakBefore w:val="0"/>
        <w:widowControl w:val="0"/>
        <w:kinsoku/>
        <w:wordWrap/>
        <w:overflowPunct/>
        <w:topLinePunct w:val="0"/>
        <w:autoSpaceDE/>
        <w:autoSpaceDN/>
        <w:bidi w:val="0"/>
        <w:adjustRightInd/>
        <w:snapToGrid/>
        <w:spacing w:line="460" w:lineRule="exact"/>
        <w:ind w:firstLine="1300" w:firstLineChars="500"/>
        <w:textAlignment w:val="auto"/>
        <w:rPr>
          <w:rFonts w:hint="default" w:ascii="Arial" w:hAnsi="Arial" w:cs="Arial"/>
          <w:color w:val="auto"/>
          <w:sz w:val="26"/>
          <w:szCs w:val="26"/>
          <w:highlight w:val="none"/>
        </w:rPr>
      </w:pPr>
      <w:r>
        <w:rPr>
          <w:rFonts w:hint="default" w:ascii="Arial" w:hAnsi="Arial" w:cs="Arial"/>
          <w:i/>
          <w:color w:val="auto"/>
          <w:sz w:val="26"/>
          <w:szCs w:val="26"/>
          <w:highlight w:val="none"/>
        </w:rPr>
        <w:t>DO</w:t>
      </w:r>
      <w:r>
        <w:rPr>
          <w:rFonts w:hint="default" w:ascii="Arial" w:hAnsi="Arial" w:cs="Arial"/>
          <w:i/>
          <w:color w:val="auto"/>
          <w:sz w:val="26"/>
          <w:szCs w:val="26"/>
          <w:highlight w:val="none"/>
          <w:vertAlign w:val="subscript"/>
        </w:rPr>
        <w:t>s</w:t>
      </w:r>
      <w:r>
        <w:rPr>
          <w:rFonts w:hint="default" w:ascii="Arial" w:hAnsi="Arial" w:cs="Arial"/>
          <w:color w:val="auto"/>
          <w:sz w:val="26"/>
          <w:szCs w:val="26"/>
          <w:highlight w:val="none"/>
        </w:rPr>
        <w:t>——溶解氧的水质评价标准限值，mg/L；</w:t>
      </w:r>
    </w:p>
    <w:p w14:paraId="6C43A89B">
      <w:pPr>
        <w:keepNext w:val="0"/>
        <w:keepLines w:val="0"/>
        <w:pageBreakBefore w:val="0"/>
        <w:widowControl w:val="0"/>
        <w:kinsoku/>
        <w:wordWrap/>
        <w:overflowPunct/>
        <w:topLinePunct w:val="0"/>
        <w:autoSpaceDE/>
        <w:autoSpaceDN/>
        <w:bidi w:val="0"/>
        <w:adjustRightInd/>
        <w:snapToGrid/>
        <w:spacing w:line="460" w:lineRule="exact"/>
        <w:ind w:firstLine="1300" w:firstLineChars="500"/>
        <w:textAlignment w:val="auto"/>
        <w:rPr>
          <w:rFonts w:hint="default" w:ascii="Arial" w:hAnsi="Arial" w:cs="Arial"/>
          <w:color w:val="auto"/>
          <w:sz w:val="26"/>
          <w:szCs w:val="26"/>
          <w:highlight w:val="none"/>
        </w:rPr>
      </w:pPr>
      <w:r>
        <w:rPr>
          <w:rFonts w:hint="default" w:ascii="Arial" w:hAnsi="Arial" w:cs="Arial"/>
          <w:i/>
          <w:color w:val="auto"/>
          <w:sz w:val="26"/>
          <w:szCs w:val="26"/>
          <w:highlight w:val="none"/>
        </w:rPr>
        <w:t>DO</w:t>
      </w:r>
      <w:r>
        <w:rPr>
          <w:rFonts w:hint="default" w:ascii="Arial" w:hAnsi="Arial" w:cs="Arial"/>
          <w:i/>
          <w:color w:val="auto"/>
          <w:sz w:val="26"/>
          <w:szCs w:val="26"/>
          <w:highlight w:val="none"/>
          <w:vertAlign w:val="subscript"/>
        </w:rPr>
        <w:t>f</w:t>
      </w:r>
      <w:r>
        <w:rPr>
          <w:rFonts w:hint="default" w:ascii="Arial" w:hAnsi="Arial" w:cs="Arial"/>
          <w:color w:val="auto"/>
          <w:sz w:val="26"/>
          <w:szCs w:val="26"/>
          <w:highlight w:val="none"/>
        </w:rPr>
        <w:t>——饱和溶解氧浓度，mg/L，对于河流，DO</w:t>
      </w:r>
      <w:r>
        <w:rPr>
          <w:rFonts w:hint="default" w:ascii="Arial" w:hAnsi="Arial" w:cs="Arial"/>
          <w:color w:val="auto"/>
          <w:sz w:val="26"/>
          <w:szCs w:val="26"/>
          <w:highlight w:val="none"/>
          <w:vertAlign w:val="subscript"/>
        </w:rPr>
        <w:t>f</w:t>
      </w:r>
      <w:r>
        <w:rPr>
          <w:rFonts w:hint="default" w:ascii="Arial" w:hAnsi="Arial" w:cs="Arial"/>
          <w:color w:val="auto"/>
          <w:sz w:val="26"/>
          <w:szCs w:val="26"/>
          <w:highlight w:val="none"/>
        </w:rPr>
        <w:t>=468/（31.6+T）；</w:t>
      </w:r>
    </w:p>
    <w:p w14:paraId="4E66C056">
      <w:pPr>
        <w:keepNext w:val="0"/>
        <w:keepLines w:val="0"/>
        <w:pageBreakBefore w:val="0"/>
        <w:widowControl w:val="0"/>
        <w:kinsoku/>
        <w:wordWrap/>
        <w:overflowPunct/>
        <w:topLinePunct w:val="0"/>
        <w:autoSpaceDE/>
        <w:autoSpaceDN/>
        <w:bidi w:val="0"/>
        <w:adjustRightInd/>
        <w:snapToGrid/>
        <w:spacing w:line="460" w:lineRule="exact"/>
        <w:ind w:firstLine="1300" w:firstLineChars="500"/>
        <w:textAlignment w:val="auto"/>
        <w:rPr>
          <w:rFonts w:hint="default" w:ascii="Arial" w:hAnsi="Arial" w:cs="Arial"/>
          <w:color w:val="auto"/>
          <w:sz w:val="26"/>
          <w:szCs w:val="26"/>
          <w:highlight w:val="none"/>
        </w:rPr>
      </w:pPr>
      <w:r>
        <w:rPr>
          <w:rFonts w:hint="default" w:ascii="Arial" w:hAnsi="Arial" w:cs="Arial"/>
          <w:color w:val="auto"/>
          <w:sz w:val="26"/>
          <w:szCs w:val="26"/>
          <w:highlight w:val="none"/>
        </w:rPr>
        <w:t>T——水温，℃。</w:t>
      </w:r>
    </w:p>
    <w:p w14:paraId="3CE0E5A4">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eastAsia="宋体" w:cs="Arial"/>
          <w:b/>
          <w:bCs w:val="0"/>
          <w:sz w:val="26"/>
          <w:szCs w:val="26"/>
          <w:lang w:val="en-US" w:eastAsia="zh-CN"/>
        </w:rPr>
      </w:pPr>
      <w:r>
        <w:rPr>
          <w:rFonts w:hint="eastAsia" w:ascii="宋体" w:hAnsi="宋体" w:eastAsia="宋体" w:cs="宋体"/>
          <w:b/>
          <w:bCs w:val="0"/>
          <w:sz w:val="26"/>
          <w:szCs w:val="26"/>
          <w:lang w:val="en-US" w:eastAsia="zh-CN"/>
        </w:rPr>
        <w:t>③</w:t>
      </w:r>
      <w:r>
        <w:rPr>
          <w:rFonts w:hint="eastAsia" w:ascii="Arial" w:hAnsi="Arial" w:eastAsia="宋体" w:cs="Arial"/>
          <w:b/>
          <w:bCs w:val="0"/>
          <w:sz w:val="26"/>
          <w:szCs w:val="26"/>
          <w:lang w:val="en-US" w:eastAsia="zh-CN"/>
        </w:rPr>
        <w:t xml:space="preserve"> 执行标准</w:t>
      </w:r>
    </w:p>
    <w:p w14:paraId="23BE1155">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eastAsia="宋体" w:cs="Arial"/>
          <w:b w:val="0"/>
          <w:bCs/>
          <w:sz w:val="26"/>
          <w:szCs w:val="26"/>
          <w:lang w:val="en-US" w:eastAsia="zh-CN"/>
        </w:rPr>
      </w:pPr>
      <w:r>
        <w:rPr>
          <w:rFonts w:hint="eastAsia" w:ascii="Arial" w:hAnsi="Arial" w:eastAsia="宋体" w:cs="Arial"/>
          <w:b w:val="0"/>
          <w:bCs/>
          <w:sz w:val="26"/>
          <w:szCs w:val="26"/>
          <w:lang w:val="en-US" w:eastAsia="zh-CN"/>
        </w:rPr>
        <w:t>执行</w:t>
      </w:r>
      <w:r>
        <w:rPr>
          <w:rFonts w:hint="default" w:ascii="Arial" w:hAnsi="Arial" w:eastAsia="宋体" w:cs="Arial"/>
          <w:b w:val="0"/>
          <w:bCs/>
          <w:sz w:val="26"/>
          <w:szCs w:val="26"/>
          <w:lang w:val="en-US" w:eastAsia="zh-CN"/>
        </w:rPr>
        <w:t>《地表水环境质量标准》（GB3838-2002）中的</w:t>
      </w:r>
      <w:r>
        <w:rPr>
          <w:rFonts w:hint="eastAsia" w:ascii="Arial" w:hAnsi="Arial" w:eastAsia="宋体" w:cs="Arial"/>
          <w:b w:val="0"/>
          <w:bCs/>
          <w:sz w:val="26"/>
          <w:szCs w:val="26"/>
          <w:lang w:val="en-US" w:eastAsia="zh-CN"/>
        </w:rPr>
        <w:t>Ⅲ</w:t>
      </w:r>
      <w:r>
        <w:rPr>
          <w:rFonts w:hint="default" w:ascii="Arial" w:hAnsi="Arial" w:eastAsia="宋体" w:cs="Arial"/>
          <w:b w:val="0"/>
          <w:bCs/>
          <w:sz w:val="26"/>
          <w:szCs w:val="26"/>
          <w:lang w:val="en-US" w:eastAsia="zh-CN"/>
        </w:rPr>
        <w:t>类水质标准</w:t>
      </w:r>
      <w:r>
        <w:rPr>
          <w:rFonts w:hint="eastAsia" w:ascii="Arial" w:hAnsi="Arial" w:eastAsia="宋体" w:cs="Arial"/>
          <w:b w:val="0"/>
          <w:bCs/>
          <w:sz w:val="26"/>
          <w:szCs w:val="26"/>
          <w:lang w:val="en-US" w:eastAsia="zh-CN"/>
        </w:rPr>
        <w:t>。</w:t>
      </w:r>
    </w:p>
    <w:p w14:paraId="42E71762">
      <w:pPr>
        <w:spacing w:line="460" w:lineRule="exact"/>
        <w:ind w:firstLine="522" w:firstLineChars="200"/>
        <w:outlineLvl w:val="3"/>
        <w:rPr>
          <w:rFonts w:hint="eastAsia" w:ascii="Arial" w:cs="Arial"/>
          <w:b/>
          <w:sz w:val="26"/>
          <w:szCs w:val="26"/>
        </w:rPr>
      </w:pPr>
      <w:r>
        <w:rPr>
          <w:rFonts w:hint="eastAsia" w:ascii="宋体" w:hAnsi="宋体" w:eastAsia="宋体" w:cs="宋体"/>
          <w:b/>
          <w:sz w:val="26"/>
          <w:szCs w:val="26"/>
        </w:rPr>
        <w:t>④</w:t>
      </w:r>
      <w:r>
        <w:rPr>
          <w:rFonts w:hint="eastAsia" w:ascii="Arial" w:cs="Arial"/>
          <w:b/>
          <w:sz w:val="26"/>
          <w:szCs w:val="26"/>
        </w:rPr>
        <w:t xml:space="preserve"> 评价结果</w:t>
      </w:r>
    </w:p>
    <w:p w14:paraId="665A16D2">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eastAsia="宋体" w:cs="Arial"/>
          <w:b w:val="0"/>
          <w:bCs/>
          <w:sz w:val="26"/>
          <w:szCs w:val="26"/>
          <w:lang w:val="en-US" w:eastAsia="zh-CN"/>
        </w:rPr>
        <w:sectPr>
          <w:pgSz w:w="12240" w:h="15840"/>
          <w:pgMar w:top="1440" w:right="1701" w:bottom="1440" w:left="1701" w:header="794" w:footer="85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Arial" w:hAnsi="Arial" w:eastAsia="宋体" w:cs="Arial"/>
          <w:b w:val="0"/>
          <w:bCs/>
          <w:sz w:val="26"/>
          <w:szCs w:val="26"/>
          <w:lang w:val="en-US" w:eastAsia="zh-CN"/>
        </w:rPr>
        <w:t>本项目所在地地表水监测结果统计及分析结果见表4.3-5~6所示。</w:t>
      </w:r>
    </w:p>
    <w:p w14:paraId="32AC4835">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表4.3-5 项目所在河段2024年枯水期地表水监测结果统计表</w:t>
      </w:r>
    </w:p>
    <w:tbl>
      <w:tblPr>
        <w:tblStyle w:val="78"/>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1000"/>
        <w:gridCol w:w="1120"/>
        <w:gridCol w:w="1075"/>
        <w:gridCol w:w="775"/>
        <w:gridCol w:w="1283"/>
        <w:gridCol w:w="1017"/>
        <w:gridCol w:w="1062"/>
        <w:gridCol w:w="911"/>
        <w:gridCol w:w="857"/>
        <w:gridCol w:w="1197"/>
      </w:tblGrid>
      <w:tr w14:paraId="3FDC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Merge w:val="restart"/>
            <w:vAlign w:val="center"/>
          </w:tcPr>
          <w:p w14:paraId="3A38450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检测项目</w:t>
            </w:r>
          </w:p>
        </w:tc>
        <w:tc>
          <w:tcPr>
            <w:tcW w:w="403" w:type="pct"/>
            <w:vAlign w:val="center"/>
          </w:tcPr>
          <w:p w14:paraId="617025D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bCs/>
                <w:snapToGrid w:val="0"/>
                <w:color w:val="auto"/>
                <w:kern w:val="0"/>
                <w:sz w:val="22"/>
                <w:szCs w:val="22"/>
                <w:highlight w:val="none"/>
              </w:rPr>
            </w:pPr>
            <w:r>
              <w:rPr>
                <w:rFonts w:hint="default" w:ascii="Arial" w:hAnsi="Arial" w:eastAsia="宋体" w:cs="Arial"/>
                <w:bCs/>
                <w:snapToGrid w:val="0"/>
                <w:color w:val="auto"/>
                <w:kern w:val="0"/>
                <w:sz w:val="22"/>
                <w:szCs w:val="22"/>
                <w:highlight w:val="none"/>
                <w:lang w:bidi="ar"/>
              </w:rPr>
              <w:t>点位</w:t>
            </w:r>
          </w:p>
        </w:tc>
        <w:tc>
          <w:tcPr>
            <w:tcW w:w="1718" w:type="pct"/>
            <w:gridSpan w:val="4"/>
            <w:vAlign w:val="center"/>
          </w:tcPr>
          <w:p w14:paraId="2123604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r>
              <w:rPr>
                <w:rFonts w:hint="default" w:ascii="Arial" w:hAnsi="Arial" w:cs="Arial"/>
                <w:snapToGrid w:val="0"/>
                <w:color w:val="auto"/>
                <w:kern w:val="0"/>
                <w:sz w:val="22"/>
                <w:szCs w:val="22"/>
                <w:highlight w:val="none"/>
              </w:rPr>
              <w:t>海螺沟水库坝址</w:t>
            </w:r>
          </w:p>
        </w:tc>
        <w:tc>
          <w:tcPr>
            <w:tcW w:w="1554" w:type="pct"/>
            <w:gridSpan w:val="4"/>
            <w:vAlign w:val="center"/>
          </w:tcPr>
          <w:p w14:paraId="21098E7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rPr>
              <w:t>双龙河入渠溪河上游500m处</w:t>
            </w:r>
          </w:p>
        </w:tc>
        <w:tc>
          <w:tcPr>
            <w:tcW w:w="483" w:type="pct"/>
            <w:vMerge w:val="restart"/>
            <w:vAlign w:val="center"/>
          </w:tcPr>
          <w:p w14:paraId="143CE7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标准限值</w:t>
            </w:r>
          </w:p>
        </w:tc>
      </w:tr>
      <w:tr w14:paraId="088B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Merge w:val="continue"/>
            <w:vAlign w:val="center"/>
          </w:tcPr>
          <w:p w14:paraId="37C00A7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p>
        </w:tc>
        <w:tc>
          <w:tcPr>
            <w:tcW w:w="403" w:type="pct"/>
            <w:vAlign w:val="center"/>
          </w:tcPr>
          <w:p w14:paraId="2CBAABC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bCs/>
                <w:snapToGrid w:val="0"/>
                <w:color w:val="auto"/>
                <w:kern w:val="0"/>
                <w:sz w:val="22"/>
                <w:szCs w:val="22"/>
                <w:highlight w:val="none"/>
              </w:rPr>
            </w:pPr>
            <w:r>
              <w:rPr>
                <w:rFonts w:hint="default" w:ascii="Arial" w:hAnsi="Arial" w:eastAsia="宋体" w:cs="Arial"/>
                <w:bCs/>
                <w:snapToGrid w:val="0"/>
                <w:color w:val="auto"/>
                <w:kern w:val="0"/>
                <w:sz w:val="22"/>
                <w:szCs w:val="22"/>
                <w:highlight w:val="none"/>
              </w:rPr>
              <w:t>单位</w:t>
            </w:r>
          </w:p>
        </w:tc>
        <w:tc>
          <w:tcPr>
            <w:tcW w:w="452" w:type="pct"/>
            <w:vAlign w:val="center"/>
          </w:tcPr>
          <w:p w14:paraId="78C81F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最大值</w:t>
            </w:r>
          </w:p>
        </w:tc>
        <w:tc>
          <w:tcPr>
            <w:tcW w:w="434" w:type="pct"/>
            <w:vAlign w:val="center"/>
          </w:tcPr>
          <w:p w14:paraId="46E33A7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最小值</w:t>
            </w:r>
          </w:p>
        </w:tc>
        <w:tc>
          <w:tcPr>
            <w:tcW w:w="313" w:type="pct"/>
            <w:vAlign w:val="center"/>
          </w:tcPr>
          <w:p w14:paraId="68F9214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超标倍数</w:t>
            </w:r>
          </w:p>
        </w:tc>
        <w:tc>
          <w:tcPr>
            <w:tcW w:w="518" w:type="pct"/>
            <w:vAlign w:val="center"/>
          </w:tcPr>
          <w:p w14:paraId="77BBC6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rPr>
              <w:t>最大Si值</w:t>
            </w:r>
          </w:p>
        </w:tc>
        <w:tc>
          <w:tcPr>
            <w:tcW w:w="410" w:type="pct"/>
            <w:vAlign w:val="center"/>
          </w:tcPr>
          <w:p w14:paraId="222BD25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最大值</w:t>
            </w:r>
          </w:p>
        </w:tc>
        <w:tc>
          <w:tcPr>
            <w:tcW w:w="429" w:type="pct"/>
            <w:vAlign w:val="center"/>
          </w:tcPr>
          <w:p w14:paraId="74EBCCE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最小值</w:t>
            </w:r>
          </w:p>
        </w:tc>
        <w:tc>
          <w:tcPr>
            <w:tcW w:w="368" w:type="pct"/>
            <w:vAlign w:val="center"/>
          </w:tcPr>
          <w:p w14:paraId="3BAF338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超标</w:t>
            </w:r>
          </w:p>
          <w:p w14:paraId="0E6B45F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倍数</w:t>
            </w:r>
          </w:p>
        </w:tc>
        <w:tc>
          <w:tcPr>
            <w:tcW w:w="346" w:type="pct"/>
            <w:vAlign w:val="center"/>
          </w:tcPr>
          <w:p w14:paraId="273A130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rPr>
              <w:t>最大Si值</w:t>
            </w:r>
          </w:p>
        </w:tc>
        <w:tc>
          <w:tcPr>
            <w:tcW w:w="483" w:type="pct"/>
            <w:vMerge w:val="continue"/>
            <w:vAlign w:val="center"/>
          </w:tcPr>
          <w:p w14:paraId="583795E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p>
        </w:tc>
      </w:tr>
      <w:tr w14:paraId="5820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45F66F6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水温</w:t>
            </w:r>
          </w:p>
        </w:tc>
        <w:tc>
          <w:tcPr>
            <w:tcW w:w="403" w:type="pct"/>
            <w:vAlign w:val="center"/>
          </w:tcPr>
          <w:p w14:paraId="429E027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w:t>
            </w:r>
          </w:p>
        </w:tc>
        <w:tc>
          <w:tcPr>
            <w:tcW w:w="452" w:type="pct"/>
            <w:vAlign w:val="center"/>
          </w:tcPr>
          <w:p w14:paraId="59F1396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7.6</w:t>
            </w:r>
          </w:p>
        </w:tc>
        <w:tc>
          <w:tcPr>
            <w:tcW w:w="434" w:type="pct"/>
            <w:vAlign w:val="center"/>
          </w:tcPr>
          <w:p w14:paraId="521453B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7.1</w:t>
            </w:r>
          </w:p>
        </w:tc>
        <w:tc>
          <w:tcPr>
            <w:tcW w:w="313" w:type="pct"/>
            <w:vAlign w:val="center"/>
          </w:tcPr>
          <w:p w14:paraId="0706FF0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5C60104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75A3687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8.4</w:t>
            </w:r>
          </w:p>
        </w:tc>
        <w:tc>
          <w:tcPr>
            <w:tcW w:w="429" w:type="pct"/>
            <w:vAlign w:val="center"/>
          </w:tcPr>
          <w:p w14:paraId="78DFEEB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8.1</w:t>
            </w:r>
          </w:p>
        </w:tc>
        <w:tc>
          <w:tcPr>
            <w:tcW w:w="368" w:type="pct"/>
            <w:vAlign w:val="center"/>
          </w:tcPr>
          <w:p w14:paraId="2B16C0C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02404B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2BD9076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r>
      <w:tr w14:paraId="4A3A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shd w:val="clear" w:color="auto" w:fill="auto"/>
            <w:vAlign w:val="center"/>
          </w:tcPr>
          <w:p w14:paraId="61CDA66B">
            <w:pPr>
              <w:widowControl/>
              <w:autoSpaceDE/>
              <w:autoSpaceDN/>
              <w:spacing w:line="36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透明度</w:t>
            </w:r>
          </w:p>
        </w:tc>
        <w:tc>
          <w:tcPr>
            <w:tcW w:w="403" w:type="pct"/>
            <w:shd w:val="clear" w:color="auto" w:fill="auto"/>
            <w:vAlign w:val="center"/>
          </w:tcPr>
          <w:p w14:paraId="2AB264E1">
            <w:pPr>
              <w:widowControl/>
              <w:autoSpaceDE/>
              <w:autoSpaceDN/>
              <w:spacing w:line="36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cm</w:t>
            </w:r>
          </w:p>
        </w:tc>
        <w:tc>
          <w:tcPr>
            <w:tcW w:w="452" w:type="pct"/>
            <w:shd w:val="clear" w:color="auto" w:fill="auto"/>
            <w:vAlign w:val="center"/>
          </w:tcPr>
          <w:p w14:paraId="7F381C7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506</w:t>
            </w:r>
          </w:p>
        </w:tc>
        <w:tc>
          <w:tcPr>
            <w:tcW w:w="434" w:type="pct"/>
            <w:shd w:val="clear" w:color="auto" w:fill="auto"/>
            <w:vAlign w:val="center"/>
          </w:tcPr>
          <w:p w14:paraId="4C6448B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501</w:t>
            </w:r>
          </w:p>
        </w:tc>
        <w:tc>
          <w:tcPr>
            <w:tcW w:w="313" w:type="pct"/>
            <w:shd w:val="clear" w:color="auto" w:fill="auto"/>
            <w:vAlign w:val="center"/>
          </w:tcPr>
          <w:p w14:paraId="276E6A6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w:t>
            </w:r>
          </w:p>
        </w:tc>
        <w:tc>
          <w:tcPr>
            <w:tcW w:w="518" w:type="pct"/>
            <w:shd w:val="clear" w:color="auto" w:fill="auto"/>
            <w:vAlign w:val="center"/>
          </w:tcPr>
          <w:p w14:paraId="6D44429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w:t>
            </w:r>
          </w:p>
        </w:tc>
        <w:tc>
          <w:tcPr>
            <w:tcW w:w="410" w:type="pct"/>
            <w:shd w:val="clear" w:color="auto" w:fill="auto"/>
            <w:vAlign w:val="center"/>
          </w:tcPr>
          <w:p w14:paraId="4B84BE5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396</w:t>
            </w:r>
          </w:p>
        </w:tc>
        <w:tc>
          <w:tcPr>
            <w:tcW w:w="429" w:type="pct"/>
            <w:shd w:val="clear" w:color="auto" w:fill="auto"/>
            <w:vAlign w:val="center"/>
          </w:tcPr>
          <w:p w14:paraId="6CA47C6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392</w:t>
            </w:r>
          </w:p>
        </w:tc>
        <w:tc>
          <w:tcPr>
            <w:tcW w:w="368" w:type="pct"/>
            <w:shd w:val="clear" w:color="auto" w:fill="auto"/>
            <w:vAlign w:val="center"/>
          </w:tcPr>
          <w:p w14:paraId="42F6870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w:t>
            </w:r>
          </w:p>
        </w:tc>
        <w:tc>
          <w:tcPr>
            <w:tcW w:w="346" w:type="pct"/>
            <w:shd w:val="clear" w:color="auto" w:fill="auto"/>
            <w:vAlign w:val="center"/>
          </w:tcPr>
          <w:p w14:paraId="3F4E0D6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5E3C80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val="en-US" w:eastAsia="zh-CN" w:bidi="ar"/>
              </w:rPr>
              <w:t>/</w:t>
            </w:r>
          </w:p>
        </w:tc>
      </w:tr>
      <w:tr w14:paraId="0BC6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4D9B397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pH值</w:t>
            </w:r>
          </w:p>
        </w:tc>
        <w:tc>
          <w:tcPr>
            <w:tcW w:w="403" w:type="pct"/>
            <w:vAlign w:val="center"/>
          </w:tcPr>
          <w:p w14:paraId="18BAB11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无量纲</w:t>
            </w:r>
          </w:p>
        </w:tc>
        <w:tc>
          <w:tcPr>
            <w:tcW w:w="452" w:type="pct"/>
            <w:vAlign w:val="center"/>
          </w:tcPr>
          <w:p w14:paraId="4A6F8D7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6.8</w:t>
            </w:r>
          </w:p>
        </w:tc>
        <w:tc>
          <w:tcPr>
            <w:tcW w:w="434" w:type="pct"/>
            <w:vAlign w:val="center"/>
          </w:tcPr>
          <w:p w14:paraId="1446DBD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6.6</w:t>
            </w:r>
          </w:p>
        </w:tc>
        <w:tc>
          <w:tcPr>
            <w:tcW w:w="313" w:type="pct"/>
            <w:vAlign w:val="center"/>
          </w:tcPr>
          <w:p w14:paraId="689B5E2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2FFE8E2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w:t>
            </w:r>
          </w:p>
        </w:tc>
        <w:tc>
          <w:tcPr>
            <w:tcW w:w="410" w:type="pct"/>
            <w:vAlign w:val="center"/>
          </w:tcPr>
          <w:p w14:paraId="16060C6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7.1</w:t>
            </w:r>
          </w:p>
        </w:tc>
        <w:tc>
          <w:tcPr>
            <w:tcW w:w="429" w:type="pct"/>
            <w:vAlign w:val="center"/>
          </w:tcPr>
          <w:p w14:paraId="28BC2BA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7.1</w:t>
            </w:r>
          </w:p>
        </w:tc>
        <w:tc>
          <w:tcPr>
            <w:tcW w:w="368" w:type="pct"/>
            <w:vAlign w:val="center"/>
          </w:tcPr>
          <w:p w14:paraId="25D34C8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111625E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0.05</w:t>
            </w:r>
          </w:p>
        </w:tc>
        <w:tc>
          <w:tcPr>
            <w:tcW w:w="483" w:type="pct"/>
            <w:vAlign w:val="center"/>
          </w:tcPr>
          <w:p w14:paraId="076B5D3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6~9</w:t>
            </w:r>
          </w:p>
        </w:tc>
      </w:tr>
      <w:tr w14:paraId="65C1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512AF1E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氨氮</w:t>
            </w:r>
          </w:p>
        </w:tc>
        <w:tc>
          <w:tcPr>
            <w:tcW w:w="403" w:type="pct"/>
            <w:vAlign w:val="center"/>
          </w:tcPr>
          <w:p w14:paraId="1A02E2E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1E2DDBE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0.355</w:t>
            </w:r>
          </w:p>
        </w:tc>
        <w:tc>
          <w:tcPr>
            <w:tcW w:w="434" w:type="pct"/>
            <w:vAlign w:val="center"/>
          </w:tcPr>
          <w:p w14:paraId="4D70EC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0.338</w:t>
            </w:r>
          </w:p>
        </w:tc>
        <w:tc>
          <w:tcPr>
            <w:tcW w:w="313" w:type="pct"/>
            <w:vAlign w:val="center"/>
          </w:tcPr>
          <w:p w14:paraId="0739C7F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278B469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0.355</w:t>
            </w:r>
          </w:p>
        </w:tc>
        <w:tc>
          <w:tcPr>
            <w:tcW w:w="410" w:type="pct"/>
            <w:vAlign w:val="center"/>
          </w:tcPr>
          <w:p w14:paraId="47B57F2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0.405</w:t>
            </w:r>
          </w:p>
        </w:tc>
        <w:tc>
          <w:tcPr>
            <w:tcW w:w="429" w:type="pct"/>
            <w:vAlign w:val="center"/>
          </w:tcPr>
          <w:p w14:paraId="7558994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0.396</w:t>
            </w:r>
          </w:p>
        </w:tc>
        <w:tc>
          <w:tcPr>
            <w:tcW w:w="368" w:type="pct"/>
            <w:vAlign w:val="center"/>
          </w:tcPr>
          <w:p w14:paraId="5CA7643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3845E39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0.405</w:t>
            </w:r>
          </w:p>
        </w:tc>
        <w:tc>
          <w:tcPr>
            <w:tcW w:w="483" w:type="pct"/>
            <w:vAlign w:val="center"/>
          </w:tcPr>
          <w:p w14:paraId="1B68D9D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w:t>
            </w:r>
          </w:p>
        </w:tc>
      </w:tr>
      <w:tr w14:paraId="57F3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628E708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化学需氧量</w:t>
            </w:r>
          </w:p>
        </w:tc>
        <w:tc>
          <w:tcPr>
            <w:tcW w:w="403" w:type="pct"/>
            <w:vAlign w:val="center"/>
          </w:tcPr>
          <w:p w14:paraId="6C85C27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608FE27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9</w:t>
            </w:r>
          </w:p>
        </w:tc>
        <w:tc>
          <w:tcPr>
            <w:tcW w:w="434" w:type="pct"/>
            <w:vAlign w:val="center"/>
          </w:tcPr>
          <w:p w14:paraId="33520BE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8</w:t>
            </w:r>
          </w:p>
        </w:tc>
        <w:tc>
          <w:tcPr>
            <w:tcW w:w="313" w:type="pct"/>
            <w:vAlign w:val="center"/>
          </w:tcPr>
          <w:p w14:paraId="7299BD3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337E862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0.45</w:t>
            </w:r>
          </w:p>
        </w:tc>
        <w:tc>
          <w:tcPr>
            <w:tcW w:w="410" w:type="pct"/>
            <w:vAlign w:val="center"/>
          </w:tcPr>
          <w:p w14:paraId="2ADDD77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12</w:t>
            </w:r>
          </w:p>
        </w:tc>
        <w:tc>
          <w:tcPr>
            <w:tcW w:w="429" w:type="pct"/>
            <w:vAlign w:val="center"/>
          </w:tcPr>
          <w:p w14:paraId="37A7F71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8</w:t>
            </w:r>
          </w:p>
        </w:tc>
        <w:tc>
          <w:tcPr>
            <w:tcW w:w="368" w:type="pct"/>
            <w:vAlign w:val="center"/>
          </w:tcPr>
          <w:p w14:paraId="3E5F650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0D059A0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0.6</w:t>
            </w:r>
          </w:p>
        </w:tc>
        <w:tc>
          <w:tcPr>
            <w:tcW w:w="483" w:type="pct"/>
            <w:vAlign w:val="center"/>
          </w:tcPr>
          <w:p w14:paraId="72BD2D5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20</w:t>
            </w:r>
          </w:p>
        </w:tc>
      </w:tr>
      <w:tr w14:paraId="60BE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4F94D22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五日生化需氧量</w:t>
            </w:r>
          </w:p>
        </w:tc>
        <w:tc>
          <w:tcPr>
            <w:tcW w:w="403" w:type="pct"/>
            <w:vAlign w:val="center"/>
          </w:tcPr>
          <w:p w14:paraId="7574A70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3EAC56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1.5</w:t>
            </w:r>
          </w:p>
        </w:tc>
        <w:tc>
          <w:tcPr>
            <w:tcW w:w="434" w:type="pct"/>
            <w:vAlign w:val="center"/>
          </w:tcPr>
          <w:p w14:paraId="7677DE6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1.5</w:t>
            </w:r>
          </w:p>
        </w:tc>
        <w:tc>
          <w:tcPr>
            <w:tcW w:w="313" w:type="pct"/>
            <w:vAlign w:val="center"/>
          </w:tcPr>
          <w:p w14:paraId="6E996A0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5A176EF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0.375</w:t>
            </w:r>
          </w:p>
        </w:tc>
        <w:tc>
          <w:tcPr>
            <w:tcW w:w="410" w:type="pct"/>
            <w:vAlign w:val="center"/>
          </w:tcPr>
          <w:p w14:paraId="07122E8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1.8</w:t>
            </w:r>
          </w:p>
        </w:tc>
        <w:tc>
          <w:tcPr>
            <w:tcW w:w="429" w:type="pct"/>
            <w:vAlign w:val="center"/>
          </w:tcPr>
          <w:p w14:paraId="54BC155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1.5</w:t>
            </w:r>
          </w:p>
        </w:tc>
        <w:tc>
          <w:tcPr>
            <w:tcW w:w="368" w:type="pct"/>
            <w:vAlign w:val="center"/>
          </w:tcPr>
          <w:p w14:paraId="078F2BD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5FB3A45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0.45</w:t>
            </w:r>
          </w:p>
        </w:tc>
        <w:tc>
          <w:tcPr>
            <w:tcW w:w="483" w:type="pct"/>
            <w:vAlign w:val="center"/>
          </w:tcPr>
          <w:p w14:paraId="50B4F5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val="en-US" w:eastAsia="zh-CN" w:bidi="ar"/>
              </w:rPr>
              <w:t>≤</w:t>
            </w:r>
            <w:r>
              <w:rPr>
                <w:rFonts w:hint="default" w:ascii="Arial" w:hAnsi="Arial" w:eastAsia="宋体" w:cs="Arial"/>
                <w:snapToGrid w:val="0"/>
                <w:color w:val="auto"/>
                <w:kern w:val="0"/>
                <w:sz w:val="22"/>
                <w:szCs w:val="22"/>
                <w:highlight w:val="none"/>
                <w:lang w:bidi="ar"/>
              </w:rPr>
              <w:t>4</w:t>
            </w:r>
          </w:p>
        </w:tc>
      </w:tr>
      <w:tr w14:paraId="41B4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1E14ADD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总磷</w:t>
            </w:r>
          </w:p>
        </w:tc>
        <w:tc>
          <w:tcPr>
            <w:tcW w:w="403" w:type="pct"/>
            <w:vAlign w:val="center"/>
          </w:tcPr>
          <w:p w14:paraId="1EFC694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2138E74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0.04</w:t>
            </w:r>
          </w:p>
        </w:tc>
        <w:tc>
          <w:tcPr>
            <w:tcW w:w="434" w:type="pct"/>
            <w:vAlign w:val="center"/>
          </w:tcPr>
          <w:p w14:paraId="7DCD0C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0.04</w:t>
            </w:r>
          </w:p>
        </w:tc>
        <w:tc>
          <w:tcPr>
            <w:tcW w:w="313" w:type="pct"/>
            <w:vAlign w:val="center"/>
          </w:tcPr>
          <w:p w14:paraId="0E00C71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19654A9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0.2</w:t>
            </w:r>
          </w:p>
        </w:tc>
        <w:tc>
          <w:tcPr>
            <w:tcW w:w="410" w:type="pct"/>
            <w:vAlign w:val="center"/>
          </w:tcPr>
          <w:p w14:paraId="61F692D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0.09</w:t>
            </w:r>
          </w:p>
        </w:tc>
        <w:tc>
          <w:tcPr>
            <w:tcW w:w="429" w:type="pct"/>
            <w:vAlign w:val="center"/>
          </w:tcPr>
          <w:p w14:paraId="0882A2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0.09</w:t>
            </w:r>
          </w:p>
        </w:tc>
        <w:tc>
          <w:tcPr>
            <w:tcW w:w="368" w:type="pct"/>
            <w:vAlign w:val="center"/>
          </w:tcPr>
          <w:p w14:paraId="41CFBAB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16EEAD2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0.45</w:t>
            </w:r>
          </w:p>
        </w:tc>
        <w:tc>
          <w:tcPr>
            <w:tcW w:w="483" w:type="pct"/>
            <w:vAlign w:val="center"/>
          </w:tcPr>
          <w:p w14:paraId="2FEE180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0.2</w:t>
            </w:r>
          </w:p>
        </w:tc>
      </w:tr>
      <w:tr w14:paraId="3AC3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58EF36F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粪大肠菌群</w:t>
            </w:r>
          </w:p>
        </w:tc>
        <w:tc>
          <w:tcPr>
            <w:tcW w:w="403" w:type="pct"/>
            <w:vAlign w:val="center"/>
          </w:tcPr>
          <w:p w14:paraId="316B1BC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MPN/L</w:t>
            </w:r>
          </w:p>
        </w:tc>
        <w:tc>
          <w:tcPr>
            <w:tcW w:w="452" w:type="pct"/>
            <w:vAlign w:val="center"/>
          </w:tcPr>
          <w:p w14:paraId="203600C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1300</w:t>
            </w:r>
          </w:p>
        </w:tc>
        <w:tc>
          <w:tcPr>
            <w:tcW w:w="434" w:type="pct"/>
            <w:vAlign w:val="center"/>
          </w:tcPr>
          <w:p w14:paraId="33D4D32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560</w:t>
            </w:r>
          </w:p>
        </w:tc>
        <w:tc>
          <w:tcPr>
            <w:tcW w:w="313" w:type="pct"/>
            <w:vAlign w:val="center"/>
          </w:tcPr>
          <w:p w14:paraId="4D2D444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21831D1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0.13</w:t>
            </w:r>
          </w:p>
        </w:tc>
        <w:tc>
          <w:tcPr>
            <w:tcW w:w="410" w:type="pct"/>
            <w:vAlign w:val="center"/>
          </w:tcPr>
          <w:p w14:paraId="6B03B40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950</w:t>
            </w:r>
          </w:p>
        </w:tc>
        <w:tc>
          <w:tcPr>
            <w:tcW w:w="429" w:type="pct"/>
            <w:vAlign w:val="center"/>
          </w:tcPr>
          <w:p w14:paraId="720CF1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460</w:t>
            </w:r>
          </w:p>
        </w:tc>
        <w:tc>
          <w:tcPr>
            <w:tcW w:w="368" w:type="pct"/>
            <w:vAlign w:val="center"/>
          </w:tcPr>
          <w:p w14:paraId="65AB973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6B4E418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0.095</w:t>
            </w:r>
          </w:p>
        </w:tc>
        <w:tc>
          <w:tcPr>
            <w:tcW w:w="483" w:type="pct"/>
            <w:vAlign w:val="center"/>
          </w:tcPr>
          <w:p w14:paraId="761328A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10000</w:t>
            </w:r>
          </w:p>
        </w:tc>
      </w:tr>
      <w:tr w14:paraId="5243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0A1F902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六价铬</w:t>
            </w:r>
          </w:p>
        </w:tc>
        <w:tc>
          <w:tcPr>
            <w:tcW w:w="403" w:type="pct"/>
            <w:vAlign w:val="center"/>
          </w:tcPr>
          <w:p w14:paraId="3FEA33F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7083C6A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0.004L</w:t>
            </w:r>
          </w:p>
        </w:tc>
        <w:tc>
          <w:tcPr>
            <w:tcW w:w="434" w:type="pct"/>
            <w:vAlign w:val="center"/>
          </w:tcPr>
          <w:p w14:paraId="36EFDE6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0.004L</w:t>
            </w:r>
          </w:p>
        </w:tc>
        <w:tc>
          <w:tcPr>
            <w:tcW w:w="313" w:type="pct"/>
            <w:vAlign w:val="center"/>
          </w:tcPr>
          <w:p w14:paraId="49CD0C4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5085AC5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1335E77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0.004L</w:t>
            </w:r>
          </w:p>
        </w:tc>
        <w:tc>
          <w:tcPr>
            <w:tcW w:w="429" w:type="pct"/>
            <w:vAlign w:val="center"/>
          </w:tcPr>
          <w:p w14:paraId="02423C8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0.004L</w:t>
            </w:r>
          </w:p>
        </w:tc>
        <w:tc>
          <w:tcPr>
            <w:tcW w:w="368" w:type="pct"/>
            <w:vAlign w:val="center"/>
          </w:tcPr>
          <w:p w14:paraId="7BC2BF8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7A06B94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579CBCC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0.05</w:t>
            </w:r>
          </w:p>
        </w:tc>
      </w:tr>
      <w:tr w14:paraId="544A4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5CEF4F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汞</w:t>
            </w:r>
          </w:p>
        </w:tc>
        <w:tc>
          <w:tcPr>
            <w:tcW w:w="403" w:type="pct"/>
            <w:vAlign w:val="center"/>
          </w:tcPr>
          <w:p w14:paraId="2DCF2AD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1BC4172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0.00007</w:t>
            </w:r>
          </w:p>
        </w:tc>
        <w:tc>
          <w:tcPr>
            <w:tcW w:w="434" w:type="pct"/>
            <w:vAlign w:val="center"/>
          </w:tcPr>
          <w:p w14:paraId="2FFEF2E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0.00006</w:t>
            </w:r>
          </w:p>
        </w:tc>
        <w:tc>
          <w:tcPr>
            <w:tcW w:w="313" w:type="pct"/>
            <w:vAlign w:val="center"/>
          </w:tcPr>
          <w:p w14:paraId="6AB8C18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79E1D8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0.7</w:t>
            </w:r>
          </w:p>
        </w:tc>
        <w:tc>
          <w:tcPr>
            <w:tcW w:w="410" w:type="pct"/>
            <w:vAlign w:val="center"/>
          </w:tcPr>
          <w:p w14:paraId="594666A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0.00008</w:t>
            </w:r>
          </w:p>
        </w:tc>
        <w:tc>
          <w:tcPr>
            <w:tcW w:w="429" w:type="pct"/>
            <w:vAlign w:val="center"/>
          </w:tcPr>
          <w:p w14:paraId="3446196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0.00007</w:t>
            </w:r>
          </w:p>
        </w:tc>
        <w:tc>
          <w:tcPr>
            <w:tcW w:w="368" w:type="pct"/>
            <w:vAlign w:val="center"/>
          </w:tcPr>
          <w:p w14:paraId="450ED60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36F8417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0.8</w:t>
            </w:r>
          </w:p>
        </w:tc>
        <w:tc>
          <w:tcPr>
            <w:tcW w:w="483" w:type="pct"/>
            <w:vAlign w:val="center"/>
          </w:tcPr>
          <w:p w14:paraId="582D10A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0.0001</w:t>
            </w:r>
          </w:p>
        </w:tc>
      </w:tr>
      <w:tr w14:paraId="587D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6B67039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镉</w:t>
            </w:r>
          </w:p>
        </w:tc>
        <w:tc>
          <w:tcPr>
            <w:tcW w:w="403" w:type="pct"/>
            <w:vAlign w:val="center"/>
          </w:tcPr>
          <w:p w14:paraId="0A25030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61D7C4B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4</w:t>
            </w:r>
            <w:r>
              <w:rPr>
                <w:rFonts w:hint="default" w:ascii="Arial" w:hAnsi="Arial" w:eastAsia="宋体" w:cs="Arial"/>
                <w:snapToGrid w:val="0"/>
                <w:color w:val="auto"/>
                <w:kern w:val="0"/>
                <w:sz w:val="22"/>
                <w:szCs w:val="22"/>
                <w:highlight w:val="none"/>
                <w:lang w:bidi="ar"/>
              </w:rPr>
              <w:t>L</w:t>
            </w:r>
          </w:p>
        </w:tc>
        <w:tc>
          <w:tcPr>
            <w:tcW w:w="434" w:type="pct"/>
            <w:vAlign w:val="center"/>
          </w:tcPr>
          <w:p w14:paraId="1F50EDB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4</w:t>
            </w:r>
            <w:r>
              <w:rPr>
                <w:rFonts w:hint="default" w:ascii="Arial" w:hAnsi="Arial" w:eastAsia="宋体" w:cs="Arial"/>
                <w:snapToGrid w:val="0"/>
                <w:color w:val="auto"/>
                <w:kern w:val="0"/>
                <w:sz w:val="22"/>
                <w:szCs w:val="22"/>
                <w:highlight w:val="none"/>
                <w:lang w:bidi="ar"/>
              </w:rPr>
              <w:t>L</w:t>
            </w:r>
          </w:p>
        </w:tc>
        <w:tc>
          <w:tcPr>
            <w:tcW w:w="313" w:type="pct"/>
            <w:vAlign w:val="center"/>
          </w:tcPr>
          <w:p w14:paraId="749DE27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67B2DE9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70A6ABD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4</w:t>
            </w:r>
            <w:r>
              <w:rPr>
                <w:rFonts w:hint="default" w:ascii="Arial" w:hAnsi="Arial" w:eastAsia="宋体" w:cs="Arial"/>
                <w:snapToGrid w:val="0"/>
                <w:color w:val="auto"/>
                <w:kern w:val="0"/>
                <w:sz w:val="22"/>
                <w:szCs w:val="22"/>
                <w:highlight w:val="none"/>
                <w:lang w:bidi="ar"/>
              </w:rPr>
              <w:t>L</w:t>
            </w:r>
          </w:p>
        </w:tc>
        <w:tc>
          <w:tcPr>
            <w:tcW w:w="429" w:type="pct"/>
            <w:vAlign w:val="center"/>
          </w:tcPr>
          <w:p w14:paraId="00703EA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4</w:t>
            </w:r>
            <w:r>
              <w:rPr>
                <w:rFonts w:hint="default" w:ascii="Arial" w:hAnsi="Arial" w:eastAsia="宋体" w:cs="Arial"/>
                <w:snapToGrid w:val="0"/>
                <w:color w:val="auto"/>
                <w:kern w:val="0"/>
                <w:sz w:val="22"/>
                <w:szCs w:val="22"/>
                <w:highlight w:val="none"/>
                <w:lang w:bidi="ar"/>
              </w:rPr>
              <w:t>L</w:t>
            </w:r>
          </w:p>
        </w:tc>
        <w:tc>
          <w:tcPr>
            <w:tcW w:w="368" w:type="pct"/>
            <w:vAlign w:val="center"/>
          </w:tcPr>
          <w:p w14:paraId="2E17F50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4CEAFEA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670CC3E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0.005</w:t>
            </w:r>
          </w:p>
        </w:tc>
      </w:tr>
      <w:tr w14:paraId="0397B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0" w:type="pct"/>
            <w:vAlign w:val="center"/>
          </w:tcPr>
          <w:p w14:paraId="648A8F8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砷</w:t>
            </w:r>
          </w:p>
        </w:tc>
        <w:tc>
          <w:tcPr>
            <w:tcW w:w="403" w:type="pct"/>
            <w:vAlign w:val="center"/>
          </w:tcPr>
          <w:p w14:paraId="2253E45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75AC3C1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0.0014</w:t>
            </w:r>
          </w:p>
        </w:tc>
        <w:tc>
          <w:tcPr>
            <w:tcW w:w="434" w:type="pct"/>
            <w:vAlign w:val="center"/>
          </w:tcPr>
          <w:p w14:paraId="4D40FE6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0.0011</w:t>
            </w:r>
          </w:p>
        </w:tc>
        <w:tc>
          <w:tcPr>
            <w:tcW w:w="313" w:type="pct"/>
            <w:vAlign w:val="center"/>
          </w:tcPr>
          <w:p w14:paraId="6EE97E9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731DE45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0.028</w:t>
            </w:r>
          </w:p>
        </w:tc>
        <w:tc>
          <w:tcPr>
            <w:tcW w:w="410" w:type="pct"/>
            <w:vAlign w:val="center"/>
          </w:tcPr>
          <w:p w14:paraId="5840515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0.0012</w:t>
            </w:r>
          </w:p>
        </w:tc>
        <w:tc>
          <w:tcPr>
            <w:tcW w:w="429" w:type="pct"/>
            <w:vAlign w:val="center"/>
          </w:tcPr>
          <w:p w14:paraId="44248FC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0.0008</w:t>
            </w:r>
          </w:p>
        </w:tc>
        <w:tc>
          <w:tcPr>
            <w:tcW w:w="368" w:type="pct"/>
            <w:vAlign w:val="center"/>
          </w:tcPr>
          <w:p w14:paraId="1C07CB2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36B043B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0.024</w:t>
            </w:r>
          </w:p>
        </w:tc>
        <w:tc>
          <w:tcPr>
            <w:tcW w:w="483" w:type="pct"/>
            <w:vAlign w:val="center"/>
          </w:tcPr>
          <w:p w14:paraId="51A8002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0.05</w:t>
            </w:r>
          </w:p>
        </w:tc>
      </w:tr>
      <w:tr w14:paraId="24AA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49DCB1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铅</w:t>
            </w:r>
          </w:p>
        </w:tc>
        <w:tc>
          <w:tcPr>
            <w:tcW w:w="403" w:type="pct"/>
            <w:vAlign w:val="center"/>
          </w:tcPr>
          <w:p w14:paraId="1826A64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0700221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434" w:type="pct"/>
            <w:vAlign w:val="center"/>
          </w:tcPr>
          <w:p w14:paraId="0D8BF7B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313" w:type="pct"/>
            <w:vAlign w:val="center"/>
          </w:tcPr>
          <w:p w14:paraId="35141FF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3B2E13E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5331C3E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429" w:type="pct"/>
            <w:vAlign w:val="center"/>
          </w:tcPr>
          <w:p w14:paraId="46530B6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368" w:type="pct"/>
            <w:vAlign w:val="center"/>
          </w:tcPr>
          <w:p w14:paraId="00C57C6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0A724A6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1E633BF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0.05</w:t>
            </w:r>
          </w:p>
        </w:tc>
      </w:tr>
      <w:tr w14:paraId="244A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5D0A77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硒</w:t>
            </w:r>
          </w:p>
        </w:tc>
        <w:tc>
          <w:tcPr>
            <w:tcW w:w="403" w:type="pct"/>
            <w:vAlign w:val="center"/>
          </w:tcPr>
          <w:p w14:paraId="361AFA4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5150D2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4×10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4</w:t>
            </w:r>
            <w:r>
              <w:rPr>
                <w:rFonts w:hint="default" w:ascii="Arial" w:hAnsi="Arial" w:eastAsia="宋体" w:cs="Arial"/>
                <w:snapToGrid w:val="0"/>
                <w:color w:val="auto"/>
                <w:kern w:val="0"/>
                <w:sz w:val="22"/>
                <w:szCs w:val="22"/>
                <w:highlight w:val="none"/>
                <w:lang w:bidi="ar"/>
              </w:rPr>
              <w:t>L</w:t>
            </w:r>
          </w:p>
        </w:tc>
        <w:tc>
          <w:tcPr>
            <w:tcW w:w="434" w:type="pct"/>
            <w:vAlign w:val="center"/>
          </w:tcPr>
          <w:p w14:paraId="3E56C0D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4×10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4</w:t>
            </w:r>
            <w:r>
              <w:rPr>
                <w:rFonts w:hint="default" w:ascii="Arial" w:hAnsi="Arial" w:eastAsia="宋体" w:cs="Arial"/>
                <w:snapToGrid w:val="0"/>
                <w:color w:val="auto"/>
                <w:kern w:val="0"/>
                <w:sz w:val="22"/>
                <w:szCs w:val="22"/>
                <w:highlight w:val="none"/>
                <w:lang w:bidi="ar"/>
              </w:rPr>
              <w:t>L</w:t>
            </w:r>
          </w:p>
        </w:tc>
        <w:tc>
          <w:tcPr>
            <w:tcW w:w="313" w:type="pct"/>
            <w:vAlign w:val="center"/>
          </w:tcPr>
          <w:p w14:paraId="6E61319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1443015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79525F0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4×10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4</w:t>
            </w:r>
            <w:r>
              <w:rPr>
                <w:rFonts w:hint="default" w:ascii="Arial" w:hAnsi="Arial" w:eastAsia="宋体" w:cs="Arial"/>
                <w:snapToGrid w:val="0"/>
                <w:color w:val="auto"/>
                <w:kern w:val="0"/>
                <w:sz w:val="22"/>
                <w:szCs w:val="22"/>
                <w:highlight w:val="none"/>
                <w:lang w:bidi="ar"/>
              </w:rPr>
              <w:t>L</w:t>
            </w:r>
          </w:p>
        </w:tc>
        <w:tc>
          <w:tcPr>
            <w:tcW w:w="429" w:type="pct"/>
            <w:vAlign w:val="center"/>
          </w:tcPr>
          <w:p w14:paraId="277F5ED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4×10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4</w:t>
            </w:r>
            <w:r>
              <w:rPr>
                <w:rFonts w:hint="default" w:ascii="Arial" w:hAnsi="Arial" w:eastAsia="宋体" w:cs="Arial"/>
                <w:snapToGrid w:val="0"/>
                <w:color w:val="auto"/>
                <w:kern w:val="0"/>
                <w:sz w:val="22"/>
                <w:szCs w:val="22"/>
                <w:highlight w:val="none"/>
                <w:lang w:bidi="ar"/>
              </w:rPr>
              <w:t>L</w:t>
            </w:r>
          </w:p>
        </w:tc>
        <w:tc>
          <w:tcPr>
            <w:tcW w:w="368" w:type="pct"/>
            <w:vAlign w:val="center"/>
          </w:tcPr>
          <w:p w14:paraId="53FF5C6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318C7AD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7BF59D5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0.01</w:t>
            </w:r>
          </w:p>
        </w:tc>
      </w:tr>
      <w:tr w14:paraId="313B8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EA7F37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石油类</w:t>
            </w:r>
          </w:p>
        </w:tc>
        <w:tc>
          <w:tcPr>
            <w:tcW w:w="403" w:type="pct"/>
            <w:vAlign w:val="center"/>
          </w:tcPr>
          <w:p w14:paraId="5FFFE29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47E2D8A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0.02</w:t>
            </w:r>
          </w:p>
        </w:tc>
        <w:tc>
          <w:tcPr>
            <w:tcW w:w="434" w:type="pct"/>
            <w:vAlign w:val="center"/>
          </w:tcPr>
          <w:p w14:paraId="2FEEC64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313" w:type="pct"/>
            <w:vAlign w:val="center"/>
          </w:tcPr>
          <w:p w14:paraId="2E3ABFD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138D563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w:t>
            </w:r>
          </w:p>
        </w:tc>
        <w:tc>
          <w:tcPr>
            <w:tcW w:w="410" w:type="pct"/>
            <w:vAlign w:val="center"/>
          </w:tcPr>
          <w:p w14:paraId="13839BF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429" w:type="pct"/>
            <w:vAlign w:val="center"/>
          </w:tcPr>
          <w:p w14:paraId="723BBF0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368" w:type="pct"/>
            <w:vAlign w:val="center"/>
          </w:tcPr>
          <w:p w14:paraId="55A7C1B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4E556D2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2AD25A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0.05</w:t>
            </w:r>
          </w:p>
        </w:tc>
      </w:tr>
      <w:tr w14:paraId="7BCF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5429D88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溶解氧</w:t>
            </w:r>
          </w:p>
        </w:tc>
        <w:tc>
          <w:tcPr>
            <w:tcW w:w="403" w:type="pct"/>
            <w:vAlign w:val="center"/>
          </w:tcPr>
          <w:p w14:paraId="7F0B399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14C679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9.59</w:t>
            </w:r>
          </w:p>
        </w:tc>
        <w:tc>
          <w:tcPr>
            <w:tcW w:w="434" w:type="pct"/>
            <w:vAlign w:val="center"/>
          </w:tcPr>
          <w:p w14:paraId="4FF45FA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9.39</w:t>
            </w:r>
          </w:p>
        </w:tc>
        <w:tc>
          <w:tcPr>
            <w:tcW w:w="313" w:type="pct"/>
            <w:vAlign w:val="center"/>
          </w:tcPr>
          <w:p w14:paraId="6E1950C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479A3D5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0.42</w:t>
            </w:r>
          </w:p>
        </w:tc>
        <w:tc>
          <w:tcPr>
            <w:tcW w:w="410" w:type="pct"/>
            <w:vAlign w:val="center"/>
          </w:tcPr>
          <w:p w14:paraId="2C79CBF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9.14</w:t>
            </w:r>
          </w:p>
        </w:tc>
        <w:tc>
          <w:tcPr>
            <w:tcW w:w="429" w:type="pct"/>
            <w:vAlign w:val="center"/>
          </w:tcPr>
          <w:p w14:paraId="53BE1AA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8.83</w:t>
            </w:r>
          </w:p>
        </w:tc>
        <w:tc>
          <w:tcPr>
            <w:tcW w:w="368" w:type="pct"/>
            <w:vAlign w:val="center"/>
          </w:tcPr>
          <w:p w14:paraId="5525421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0237F3D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0.43</w:t>
            </w:r>
          </w:p>
        </w:tc>
        <w:tc>
          <w:tcPr>
            <w:tcW w:w="483" w:type="pct"/>
            <w:vAlign w:val="center"/>
          </w:tcPr>
          <w:p w14:paraId="4AFB5B9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5</w:t>
            </w:r>
          </w:p>
        </w:tc>
      </w:tr>
      <w:tr w14:paraId="3768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16877C1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高锰酸盐指数</w:t>
            </w:r>
          </w:p>
        </w:tc>
        <w:tc>
          <w:tcPr>
            <w:tcW w:w="403" w:type="pct"/>
            <w:vAlign w:val="center"/>
          </w:tcPr>
          <w:p w14:paraId="7B879DC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58C63A4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2.5</w:t>
            </w:r>
          </w:p>
        </w:tc>
        <w:tc>
          <w:tcPr>
            <w:tcW w:w="434" w:type="pct"/>
            <w:vAlign w:val="center"/>
          </w:tcPr>
          <w:p w14:paraId="74A56B2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2.1</w:t>
            </w:r>
          </w:p>
        </w:tc>
        <w:tc>
          <w:tcPr>
            <w:tcW w:w="313" w:type="pct"/>
            <w:vAlign w:val="center"/>
          </w:tcPr>
          <w:p w14:paraId="15566F0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2C46514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0.42</w:t>
            </w:r>
          </w:p>
        </w:tc>
        <w:tc>
          <w:tcPr>
            <w:tcW w:w="410" w:type="pct"/>
            <w:vAlign w:val="center"/>
          </w:tcPr>
          <w:p w14:paraId="0270EC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2.5</w:t>
            </w:r>
          </w:p>
        </w:tc>
        <w:tc>
          <w:tcPr>
            <w:tcW w:w="429" w:type="pct"/>
            <w:vAlign w:val="center"/>
          </w:tcPr>
          <w:p w14:paraId="1D07F19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2.1</w:t>
            </w:r>
          </w:p>
        </w:tc>
        <w:tc>
          <w:tcPr>
            <w:tcW w:w="368" w:type="pct"/>
            <w:vAlign w:val="center"/>
          </w:tcPr>
          <w:p w14:paraId="043BD59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23E131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0.42</w:t>
            </w:r>
          </w:p>
        </w:tc>
        <w:tc>
          <w:tcPr>
            <w:tcW w:w="483" w:type="pct"/>
            <w:vAlign w:val="center"/>
          </w:tcPr>
          <w:p w14:paraId="1AF25D6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6</w:t>
            </w:r>
          </w:p>
        </w:tc>
      </w:tr>
      <w:tr w14:paraId="63FE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3C9C1DE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总氮</w:t>
            </w:r>
          </w:p>
        </w:tc>
        <w:tc>
          <w:tcPr>
            <w:tcW w:w="403" w:type="pct"/>
            <w:vAlign w:val="center"/>
          </w:tcPr>
          <w:p w14:paraId="195478B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554A0AA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1.96</w:t>
            </w:r>
          </w:p>
        </w:tc>
        <w:tc>
          <w:tcPr>
            <w:tcW w:w="434" w:type="pct"/>
            <w:vAlign w:val="center"/>
          </w:tcPr>
          <w:p w14:paraId="4B059B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1.65</w:t>
            </w:r>
          </w:p>
        </w:tc>
        <w:tc>
          <w:tcPr>
            <w:tcW w:w="313" w:type="pct"/>
            <w:vAlign w:val="center"/>
          </w:tcPr>
          <w:p w14:paraId="69D66BB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665F15D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28A7DE0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3.56</w:t>
            </w:r>
          </w:p>
        </w:tc>
        <w:tc>
          <w:tcPr>
            <w:tcW w:w="429" w:type="pct"/>
            <w:vAlign w:val="center"/>
          </w:tcPr>
          <w:p w14:paraId="22C4230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2.68</w:t>
            </w:r>
          </w:p>
        </w:tc>
        <w:tc>
          <w:tcPr>
            <w:tcW w:w="368" w:type="pct"/>
            <w:vAlign w:val="center"/>
          </w:tcPr>
          <w:p w14:paraId="5497B8D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293A949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6BF980E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r>
      <w:tr w14:paraId="3F65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46D08D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铜</w:t>
            </w:r>
          </w:p>
        </w:tc>
        <w:tc>
          <w:tcPr>
            <w:tcW w:w="403" w:type="pct"/>
            <w:vAlign w:val="center"/>
          </w:tcPr>
          <w:p w14:paraId="03EE63D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1C4410D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434" w:type="pct"/>
            <w:vAlign w:val="center"/>
          </w:tcPr>
          <w:p w14:paraId="0064C5A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313" w:type="pct"/>
            <w:vAlign w:val="center"/>
          </w:tcPr>
          <w:p w14:paraId="1250734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628AD60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5DA406E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429" w:type="pct"/>
            <w:vAlign w:val="center"/>
          </w:tcPr>
          <w:p w14:paraId="146E273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368" w:type="pct"/>
            <w:vAlign w:val="center"/>
          </w:tcPr>
          <w:p w14:paraId="5711DD7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208D4E1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4BA809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w:t>
            </w:r>
          </w:p>
        </w:tc>
      </w:tr>
      <w:tr w14:paraId="3043B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66F4158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锌</w:t>
            </w:r>
          </w:p>
        </w:tc>
        <w:tc>
          <w:tcPr>
            <w:tcW w:w="403" w:type="pct"/>
            <w:vAlign w:val="center"/>
          </w:tcPr>
          <w:p w14:paraId="67D3E9A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79A897F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434" w:type="pct"/>
            <w:vAlign w:val="center"/>
          </w:tcPr>
          <w:p w14:paraId="7378B58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313" w:type="pct"/>
            <w:vAlign w:val="center"/>
          </w:tcPr>
          <w:p w14:paraId="740D7AA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31629C7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28370D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429" w:type="pct"/>
            <w:vAlign w:val="center"/>
          </w:tcPr>
          <w:p w14:paraId="60FD1BB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368" w:type="pct"/>
            <w:vAlign w:val="center"/>
          </w:tcPr>
          <w:p w14:paraId="0B8C9AE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72587F6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660EC5C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w:t>
            </w:r>
          </w:p>
        </w:tc>
      </w:tr>
      <w:tr w14:paraId="0647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1530632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氟化物</w:t>
            </w:r>
          </w:p>
        </w:tc>
        <w:tc>
          <w:tcPr>
            <w:tcW w:w="403" w:type="pct"/>
            <w:vAlign w:val="center"/>
          </w:tcPr>
          <w:p w14:paraId="1DE26F8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3110F99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0.06</w:t>
            </w:r>
          </w:p>
        </w:tc>
        <w:tc>
          <w:tcPr>
            <w:tcW w:w="434" w:type="pct"/>
            <w:vAlign w:val="center"/>
          </w:tcPr>
          <w:p w14:paraId="648AF4A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0.048</w:t>
            </w:r>
          </w:p>
        </w:tc>
        <w:tc>
          <w:tcPr>
            <w:tcW w:w="313" w:type="pct"/>
            <w:vAlign w:val="center"/>
          </w:tcPr>
          <w:p w14:paraId="2A5FE83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585C27D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0.06</w:t>
            </w:r>
          </w:p>
        </w:tc>
        <w:tc>
          <w:tcPr>
            <w:tcW w:w="410" w:type="pct"/>
            <w:vAlign w:val="center"/>
          </w:tcPr>
          <w:p w14:paraId="1990FF9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0.092</w:t>
            </w:r>
          </w:p>
        </w:tc>
        <w:tc>
          <w:tcPr>
            <w:tcW w:w="429" w:type="pct"/>
            <w:vAlign w:val="center"/>
          </w:tcPr>
          <w:p w14:paraId="675A00A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0.086</w:t>
            </w:r>
          </w:p>
        </w:tc>
        <w:tc>
          <w:tcPr>
            <w:tcW w:w="368" w:type="pct"/>
            <w:vAlign w:val="center"/>
          </w:tcPr>
          <w:p w14:paraId="5A5B57B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p>
        </w:tc>
        <w:tc>
          <w:tcPr>
            <w:tcW w:w="346" w:type="pct"/>
            <w:vAlign w:val="center"/>
          </w:tcPr>
          <w:p w14:paraId="6C3A9DC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0.09</w:t>
            </w:r>
          </w:p>
        </w:tc>
        <w:tc>
          <w:tcPr>
            <w:tcW w:w="483" w:type="pct"/>
            <w:vAlign w:val="center"/>
          </w:tcPr>
          <w:p w14:paraId="05951A1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w:t>
            </w:r>
          </w:p>
        </w:tc>
      </w:tr>
      <w:tr w14:paraId="400D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4E9CB8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氰化物</w:t>
            </w:r>
          </w:p>
        </w:tc>
        <w:tc>
          <w:tcPr>
            <w:tcW w:w="403" w:type="pct"/>
            <w:vAlign w:val="center"/>
          </w:tcPr>
          <w:p w14:paraId="311B925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5993855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0.001L</w:t>
            </w:r>
          </w:p>
        </w:tc>
        <w:tc>
          <w:tcPr>
            <w:tcW w:w="434" w:type="pct"/>
            <w:vAlign w:val="center"/>
          </w:tcPr>
          <w:p w14:paraId="51055A5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0.001L</w:t>
            </w:r>
          </w:p>
        </w:tc>
        <w:tc>
          <w:tcPr>
            <w:tcW w:w="313" w:type="pct"/>
            <w:vAlign w:val="center"/>
          </w:tcPr>
          <w:p w14:paraId="6E0D818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3AD23EE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62AA5F0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0.001L</w:t>
            </w:r>
          </w:p>
        </w:tc>
        <w:tc>
          <w:tcPr>
            <w:tcW w:w="429" w:type="pct"/>
            <w:vAlign w:val="center"/>
          </w:tcPr>
          <w:p w14:paraId="2C9D99C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0.001L</w:t>
            </w:r>
          </w:p>
        </w:tc>
        <w:tc>
          <w:tcPr>
            <w:tcW w:w="368" w:type="pct"/>
            <w:vAlign w:val="center"/>
          </w:tcPr>
          <w:p w14:paraId="3A89627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561FC04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5329DFB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0.2</w:t>
            </w:r>
          </w:p>
        </w:tc>
      </w:tr>
      <w:tr w14:paraId="6B0F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124CC85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挥发酚</w:t>
            </w:r>
          </w:p>
        </w:tc>
        <w:tc>
          <w:tcPr>
            <w:tcW w:w="403" w:type="pct"/>
            <w:vAlign w:val="center"/>
          </w:tcPr>
          <w:p w14:paraId="2CCC84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1A3D4C3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0.0003L</w:t>
            </w:r>
          </w:p>
        </w:tc>
        <w:tc>
          <w:tcPr>
            <w:tcW w:w="434" w:type="pct"/>
            <w:vAlign w:val="center"/>
          </w:tcPr>
          <w:p w14:paraId="0625C88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0.0003L</w:t>
            </w:r>
          </w:p>
        </w:tc>
        <w:tc>
          <w:tcPr>
            <w:tcW w:w="313" w:type="pct"/>
            <w:vAlign w:val="center"/>
          </w:tcPr>
          <w:p w14:paraId="278AE95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2249F0C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34E2576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0.0003L</w:t>
            </w:r>
          </w:p>
        </w:tc>
        <w:tc>
          <w:tcPr>
            <w:tcW w:w="429" w:type="pct"/>
            <w:vAlign w:val="center"/>
          </w:tcPr>
          <w:p w14:paraId="3E1D6DF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0.0003L</w:t>
            </w:r>
          </w:p>
        </w:tc>
        <w:tc>
          <w:tcPr>
            <w:tcW w:w="368" w:type="pct"/>
            <w:vAlign w:val="center"/>
          </w:tcPr>
          <w:p w14:paraId="232234A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6931791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221F471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0.005</w:t>
            </w:r>
          </w:p>
        </w:tc>
      </w:tr>
      <w:tr w14:paraId="03BC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936F6D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硫化物</w:t>
            </w:r>
          </w:p>
        </w:tc>
        <w:tc>
          <w:tcPr>
            <w:tcW w:w="403" w:type="pct"/>
            <w:vAlign w:val="center"/>
          </w:tcPr>
          <w:p w14:paraId="5C6F559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74B4618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434" w:type="pct"/>
            <w:vAlign w:val="center"/>
          </w:tcPr>
          <w:p w14:paraId="72DE836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313" w:type="pct"/>
            <w:vAlign w:val="center"/>
          </w:tcPr>
          <w:p w14:paraId="2BC451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61F162D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67DC382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429" w:type="pct"/>
            <w:vAlign w:val="center"/>
          </w:tcPr>
          <w:p w14:paraId="5F2ABAD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368" w:type="pct"/>
            <w:vAlign w:val="center"/>
          </w:tcPr>
          <w:p w14:paraId="181F199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3C00256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03CBD96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0.2</w:t>
            </w:r>
          </w:p>
        </w:tc>
      </w:tr>
      <w:tr w14:paraId="58B69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71E638C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阴离子表面活性剂</w:t>
            </w:r>
          </w:p>
        </w:tc>
        <w:tc>
          <w:tcPr>
            <w:tcW w:w="403" w:type="pct"/>
            <w:vAlign w:val="center"/>
          </w:tcPr>
          <w:p w14:paraId="19866BF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73560C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0.05L</w:t>
            </w:r>
          </w:p>
        </w:tc>
        <w:tc>
          <w:tcPr>
            <w:tcW w:w="434" w:type="pct"/>
            <w:vAlign w:val="center"/>
          </w:tcPr>
          <w:p w14:paraId="36178C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0.05L</w:t>
            </w:r>
          </w:p>
        </w:tc>
        <w:tc>
          <w:tcPr>
            <w:tcW w:w="313" w:type="pct"/>
            <w:vAlign w:val="center"/>
          </w:tcPr>
          <w:p w14:paraId="2FFFEC8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065FA52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2F18BFF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0.05L</w:t>
            </w:r>
          </w:p>
        </w:tc>
        <w:tc>
          <w:tcPr>
            <w:tcW w:w="429" w:type="pct"/>
            <w:vAlign w:val="center"/>
          </w:tcPr>
          <w:p w14:paraId="6955226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0.05L</w:t>
            </w:r>
          </w:p>
        </w:tc>
        <w:tc>
          <w:tcPr>
            <w:tcW w:w="368" w:type="pct"/>
            <w:vAlign w:val="center"/>
          </w:tcPr>
          <w:p w14:paraId="6CCE044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6CA75B2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33DA9AA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0.2</w:t>
            </w:r>
          </w:p>
        </w:tc>
      </w:tr>
      <w:tr w14:paraId="7C60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1F09CF4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叶绿素a</w:t>
            </w:r>
          </w:p>
        </w:tc>
        <w:tc>
          <w:tcPr>
            <w:tcW w:w="403" w:type="pct"/>
            <w:vAlign w:val="center"/>
          </w:tcPr>
          <w:p w14:paraId="4C166F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773DF27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434" w:type="pct"/>
            <w:vAlign w:val="center"/>
          </w:tcPr>
          <w:p w14:paraId="5A3045C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313" w:type="pct"/>
            <w:vAlign w:val="center"/>
          </w:tcPr>
          <w:p w14:paraId="5CCF04E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185273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6C25EC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429" w:type="pct"/>
            <w:vAlign w:val="center"/>
          </w:tcPr>
          <w:p w14:paraId="714DD6B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2×10</w:t>
            </w:r>
            <w:r>
              <w:rPr>
                <w:rFonts w:hint="default" w:ascii="Arial" w:hAnsi="Arial" w:eastAsia="宋体"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368" w:type="pct"/>
            <w:vAlign w:val="center"/>
          </w:tcPr>
          <w:p w14:paraId="2A179FA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5993483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4AE1C0A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r>
      <w:tr w14:paraId="56BB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53322F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硫酸盐</w:t>
            </w:r>
          </w:p>
        </w:tc>
        <w:tc>
          <w:tcPr>
            <w:tcW w:w="403" w:type="pct"/>
            <w:vAlign w:val="center"/>
          </w:tcPr>
          <w:p w14:paraId="672E28B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6508DB7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22.4</w:t>
            </w:r>
          </w:p>
        </w:tc>
        <w:tc>
          <w:tcPr>
            <w:tcW w:w="434" w:type="pct"/>
            <w:vAlign w:val="center"/>
          </w:tcPr>
          <w:p w14:paraId="0E307FD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18.8</w:t>
            </w:r>
          </w:p>
        </w:tc>
        <w:tc>
          <w:tcPr>
            <w:tcW w:w="313" w:type="pct"/>
            <w:vAlign w:val="center"/>
          </w:tcPr>
          <w:p w14:paraId="26EDD7F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0788D7D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0.0896</w:t>
            </w:r>
          </w:p>
        </w:tc>
        <w:tc>
          <w:tcPr>
            <w:tcW w:w="410" w:type="pct"/>
            <w:vAlign w:val="center"/>
          </w:tcPr>
          <w:p w14:paraId="577EE76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21.8</w:t>
            </w:r>
          </w:p>
        </w:tc>
        <w:tc>
          <w:tcPr>
            <w:tcW w:w="429" w:type="pct"/>
            <w:vAlign w:val="center"/>
          </w:tcPr>
          <w:p w14:paraId="659ED01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17.2</w:t>
            </w:r>
          </w:p>
        </w:tc>
        <w:tc>
          <w:tcPr>
            <w:tcW w:w="368" w:type="pct"/>
            <w:vAlign w:val="center"/>
          </w:tcPr>
          <w:p w14:paraId="7741484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6881131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0.09</w:t>
            </w:r>
          </w:p>
        </w:tc>
        <w:tc>
          <w:tcPr>
            <w:tcW w:w="483" w:type="pct"/>
            <w:vAlign w:val="center"/>
          </w:tcPr>
          <w:p w14:paraId="46BF1D2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250</w:t>
            </w:r>
          </w:p>
        </w:tc>
      </w:tr>
      <w:tr w14:paraId="32FB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7A8D53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氯化物</w:t>
            </w:r>
          </w:p>
        </w:tc>
        <w:tc>
          <w:tcPr>
            <w:tcW w:w="403" w:type="pct"/>
            <w:vAlign w:val="center"/>
          </w:tcPr>
          <w:p w14:paraId="5978548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5BCA855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12.1</w:t>
            </w:r>
          </w:p>
        </w:tc>
        <w:tc>
          <w:tcPr>
            <w:tcW w:w="434" w:type="pct"/>
            <w:vAlign w:val="center"/>
          </w:tcPr>
          <w:p w14:paraId="4D1B838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9.92</w:t>
            </w:r>
          </w:p>
        </w:tc>
        <w:tc>
          <w:tcPr>
            <w:tcW w:w="313" w:type="pct"/>
            <w:vAlign w:val="center"/>
          </w:tcPr>
          <w:p w14:paraId="35EB13C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3792485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0.0484</w:t>
            </w:r>
          </w:p>
        </w:tc>
        <w:tc>
          <w:tcPr>
            <w:tcW w:w="410" w:type="pct"/>
            <w:vAlign w:val="center"/>
          </w:tcPr>
          <w:p w14:paraId="1C40484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17.7</w:t>
            </w:r>
          </w:p>
        </w:tc>
        <w:tc>
          <w:tcPr>
            <w:tcW w:w="429" w:type="pct"/>
            <w:vAlign w:val="center"/>
          </w:tcPr>
          <w:p w14:paraId="058CB8D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13.4</w:t>
            </w:r>
          </w:p>
        </w:tc>
        <w:tc>
          <w:tcPr>
            <w:tcW w:w="368" w:type="pct"/>
            <w:vAlign w:val="center"/>
          </w:tcPr>
          <w:p w14:paraId="3A87E24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0360DF8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0.07</w:t>
            </w:r>
          </w:p>
        </w:tc>
        <w:tc>
          <w:tcPr>
            <w:tcW w:w="483" w:type="pct"/>
            <w:vAlign w:val="center"/>
          </w:tcPr>
          <w:p w14:paraId="5A4E6A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250</w:t>
            </w:r>
          </w:p>
        </w:tc>
      </w:tr>
      <w:tr w14:paraId="52A7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6EF1F0A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硝酸盐氮</w:t>
            </w:r>
          </w:p>
        </w:tc>
        <w:tc>
          <w:tcPr>
            <w:tcW w:w="403" w:type="pct"/>
            <w:vAlign w:val="center"/>
          </w:tcPr>
          <w:p w14:paraId="3E9F238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611412D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0.242</w:t>
            </w:r>
          </w:p>
        </w:tc>
        <w:tc>
          <w:tcPr>
            <w:tcW w:w="434" w:type="pct"/>
            <w:vAlign w:val="center"/>
          </w:tcPr>
          <w:p w14:paraId="4972FDE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0.216</w:t>
            </w:r>
          </w:p>
        </w:tc>
        <w:tc>
          <w:tcPr>
            <w:tcW w:w="313" w:type="pct"/>
            <w:vAlign w:val="center"/>
          </w:tcPr>
          <w:p w14:paraId="7AEB710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518" w:type="pct"/>
            <w:vAlign w:val="center"/>
          </w:tcPr>
          <w:p w14:paraId="462C84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0.0242</w:t>
            </w:r>
          </w:p>
        </w:tc>
        <w:tc>
          <w:tcPr>
            <w:tcW w:w="410" w:type="pct"/>
            <w:vAlign w:val="center"/>
          </w:tcPr>
          <w:p w14:paraId="1B27177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1.03</w:t>
            </w:r>
          </w:p>
        </w:tc>
        <w:tc>
          <w:tcPr>
            <w:tcW w:w="429" w:type="pct"/>
            <w:vAlign w:val="center"/>
          </w:tcPr>
          <w:p w14:paraId="775DBF6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0.891</w:t>
            </w:r>
          </w:p>
        </w:tc>
        <w:tc>
          <w:tcPr>
            <w:tcW w:w="368" w:type="pct"/>
            <w:vAlign w:val="center"/>
          </w:tcPr>
          <w:p w14:paraId="68A623B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w:t>
            </w:r>
          </w:p>
        </w:tc>
        <w:tc>
          <w:tcPr>
            <w:tcW w:w="346" w:type="pct"/>
            <w:vAlign w:val="center"/>
          </w:tcPr>
          <w:p w14:paraId="17AA4B7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0.1</w:t>
            </w:r>
          </w:p>
        </w:tc>
        <w:tc>
          <w:tcPr>
            <w:tcW w:w="483" w:type="pct"/>
            <w:vAlign w:val="center"/>
          </w:tcPr>
          <w:p w14:paraId="5ACA3F2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10</w:t>
            </w:r>
          </w:p>
        </w:tc>
      </w:tr>
      <w:tr w14:paraId="7FE3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5C2C4CC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铁</w:t>
            </w:r>
          </w:p>
        </w:tc>
        <w:tc>
          <w:tcPr>
            <w:tcW w:w="403" w:type="pct"/>
            <w:vAlign w:val="center"/>
          </w:tcPr>
          <w:p w14:paraId="759A719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0AE16F9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0.03L</w:t>
            </w:r>
          </w:p>
        </w:tc>
        <w:tc>
          <w:tcPr>
            <w:tcW w:w="434" w:type="pct"/>
            <w:vAlign w:val="center"/>
          </w:tcPr>
          <w:p w14:paraId="0BEF82D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0.03L</w:t>
            </w:r>
          </w:p>
        </w:tc>
        <w:tc>
          <w:tcPr>
            <w:tcW w:w="313" w:type="pct"/>
            <w:vAlign w:val="center"/>
          </w:tcPr>
          <w:p w14:paraId="4D7EE38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017A466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3C77831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0.03L</w:t>
            </w:r>
          </w:p>
        </w:tc>
        <w:tc>
          <w:tcPr>
            <w:tcW w:w="429" w:type="pct"/>
            <w:vAlign w:val="center"/>
          </w:tcPr>
          <w:p w14:paraId="33116E2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0.03L</w:t>
            </w:r>
          </w:p>
        </w:tc>
        <w:tc>
          <w:tcPr>
            <w:tcW w:w="368" w:type="pct"/>
            <w:vAlign w:val="center"/>
          </w:tcPr>
          <w:p w14:paraId="0BF277F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6B51DEF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4E52DCD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0.3</w:t>
            </w:r>
          </w:p>
        </w:tc>
      </w:tr>
      <w:tr w14:paraId="79FF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6FF01C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锰</w:t>
            </w:r>
          </w:p>
        </w:tc>
        <w:tc>
          <w:tcPr>
            <w:tcW w:w="403" w:type="pct"/>
            <w:vAlign w:val="center"/>
          </w:tcPr>
          <w:p w14:paraId="70B69D8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52" w:type="pct"/>
            <w:vAlign w:val="center"/>
          </w:tcPr>
          <w:p w14:paraId="76A0DF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434" w:type="pct"/>
            <w:vAlign w:val="center"/>
          </w:tcPr>
          <w:p w14:paraId="02A599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313" w:type="pct"/>
            <w:vAlign w:val="center"/>
          </w:tcPr>
          <w:p w14:paraId="0170644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518" w:type="pct"/>
            <w:vAlign w:val="center"/>
          </w:tcPr>
          <w:p w14:paraId="6238BDE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10" w:type="pct"/>
            <w:vAlign w:val="center"/>
          </w:tcPr>
          <w:p w14:paraId="6173AD0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429" w:type="pct"/>
            <w:vAlign w:val="center"/>
          </w:tcPr>
          <w:p w14:paraId="36AC2E9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0.01L</w:t>
            </w:r>
          </w:p>
        </w:tc>
        <w:tc>
          <w:tcPr>
            <w:tcW w:w="368" w:type="pct"/>
            <w:vAlign w:val="center"/>
          </w:tcPr>
          <w:p w14:paraId="78B78BE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346" w:type="pct"/>
            <w:vAlign w:val="center"/>
          </w:tcPr>
          <w:p w14:paraId="05A7B57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c>
          <w:tcPr>
            <w:tcW w:w="483" w:type="pct"/>
            <w:vAlign w:val="center"/>
          </w:tcPr>
          <w:p w14:paraId="0509EF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0.1</w:t>
            </w:r>
          </w:p>
        </w:tc>
      </w:tr>
    </w:tbl>
    <w:p w14:paraId="4752A32B">
      <w:pPr>
        <w:pStyle w:val="100"/>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Arial" w:hAnsi="Arial" w:eastAsia="宋体" w:cs="Arial"/>
          <w:b/>
          <w:bCs w:val="0"/>
          <w:sz w:val="26"/>
          <w:szCs w:val="26"/>
          <w:lang w:val="en-US" w:eastAsia="zh-CN"/>
        </w:rPr>
      </w:pPr>
    </w:p>
    <w:p w14:paraId="03E0BDDB">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表4.3-6 项目所在河段2024年丰水期地表水监测结果统计表</w:t>
      </w:r>
    </w:p>
    <w:tbl>
      <w:tblPr>
        <w:tblStyle w:val="78"/>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1000"/>
        <w:gridCol w:w="1213"/>
        <w:gridCol w:w="1234"/>
        <w:gridCol w:w="806"/>
        <w:gridCol w:w="800"/>
        <w:gridCol w:w="1217"/>
        <w:gridCol w:w="1149"/>
        <w:gridCol w:w="824"/>
        <w:gridCol w:w="857"/>
        <w:gridCol w:w="1195"/>
      </w:tblGrid>
      <w:tr w14:paraId="15CE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Merge w:val="restart"/>
            <w:vAlign w:val="center"/>
          </w:tcPr>
          <w:p w14:paraId="4DD56FB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检测项目</w:t>
            </w:r>
          </w:p>
        </w:tc>
        <w:tc>
          <w:tcPr>
            <w:tcW w:w="404" w:type="pct"/>
            <w:vAlign w:val="center"/>
          </w:tcPr>
          <w:p w14:paraId="66F0523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bCs/>
                <w:snapToGrid w:val="0"/>
                <w:color w:val="auto"/>
                <w:kern w:val="0"/>
                <w:sz w:val="22"/>
                <w:szCs w:val="22"/>
                <w:highlight w:val="none"/>
              </w:rPr>
            </w:pPr>
            <w:r>
              <w:rPr>
                <w:rFonts w:hint="default" w:ascii="Arial" w:hAnsi="Arial" w:eastAsia="宋体" w:cs="Arial"/>
                <w:bCs/>
                <w:snapToGrid w:val="0"/>
                <w:color w:val="auto"/>
                <w:kern w:val="0"/>
                <w:sz w:val="22"/>
                <w:szCs w:val="22"/>
                <w:highlight w:val="none"/>
                <w:lang w:bidi="ar"/>
              </w:rPr>
              <w:t>点位</w:t>
            </w:r>
          </w:p>
        </w:tc>
        <w:tc>
          <w:tcPr>
            <w:tcW w:w="1637" w:type="pct"/>
            <w:gridSpan w:val="4"/>
            <w:vAlign w:val="center"/>
          </w:tcPr>
          <w:p w14:paraId="3CD88F2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r>
              <w:rPr>
                <w:rFonts w:hint="default" w:ascii="Arial" w:hAnsi="Arial" w:cs="Arial"/>
                <w:snapToGrid w:val="0"/>
                <w:color w:val="auto"/>
                <w:kern w:val="0"/>
                <w:sz w:val="22"/>
                <w:szCs w:val="22"/>
                <w:highlight w:val="none"/>
              </w:rPr>
              <w:t>海螺沟水库坝址</w:t>
            </w:r>
          </w:p>
        </w:tc>
        <w:tc>
          <w:tcPr>
            <w:tcW w:w="1635" w:type="pct"/>
            <w:gridSpan w:val="4"/>
            <w:vAlign w:val="center"/>
          </w:tcPr>
          <w:p w14:paraId="0C0A80E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rPr>
              <w:t>双龙河入渠溪河上游500m处</w:t>
            </w:r>
          </w:p>
        </w:tc>
        <w:tc>
          <w:tcPr>
            <w:tcW w:w="482" w:type="pct"/>
            <w:vMerge w:val="restart"/>
            <w:vAlign w:val="center"/>
          </w:tcPr>
          <w:p w14:paraId="1D970E1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标准限值</w:t>
            </w:r>
          </w:p>
        </w:tc>
      </w:tr>
      <w:tr w14:paraId="6691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Merge w:val="continue"/>
            <w:vAlign w:val="center"/>
          </w:tcPr>
          <w:p w14:paraId="2AAED84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p>
        </w:tc>
        <w:tc>
          <w:tcPr>
            <w:tcW w:w="404" w:type="pct"/>
            <w:vAlign w:val="center"/>
          </w:tcPr>
          <w:p w14:paraId="0918BAF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bCs/>
                <w:snapToGrid w:val="0"/>
                <w:color w:val="auto"/>
                <w:kern w:val="0"/>
                <w:sz w:val="22"/>
                <w:szCs w:val="22"/>
                <w:highlight w:val="none"/>
              </w:rPr>
            </w:pPr>
            <w:r>
              <w:rPr>
                <w:rFonts w:hint="default" w:ascii="Arial" w:hAnsi="Arial" w:eastAsia="宋体" w:cs="Arial"/>
                <w:bCs/>
                <w:snapToGrid w:val="0"/>
                <w:color w:val="auto"/>
                <w:kern w:val="0"/>
                <w:sz w:val="22"/>
                <w:szCs w:val="22"/>
                <w:highlight w:val="none"/>
              </w:rPr>
              <w:t>单位</w:t>
            </w:r>
          </w:p>
        </w:tc>
        <w:tc>
          <w:tcPr>
            <w:tcW w:w="490" w:type="pct"/>
            <w:vAlign w:val="center"/>
          </w:tcPr>
          <w:p w14:paraId="5820058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最大值</w:t>
            </w:r>
          </w:p>
        </w:tc>
        <w:tc>
          <w:tcPr>
            <w:tcW w:w="498" w:type="pct"/>
            <w:vAlign w:val="center"/>
          </w:tcPr>
          <w:p w14:paraId="5134FD6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最小值</w:t>
            </w:r>
          </w:p>
        </w:tc>
        <w:tc>
          <w:tcPr>
            <w:tcW w:w="325" w:type="pct"/>
            <w:vAlign w:val="center"/>
          </w:tcPr>
          <w:p w14:paraId="1173F9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超标倍数</w:t>
            </w:r>
          </w:p>
        </w:tc>
        <w:tc>
          <w:tcPr>
            <w:tcW w:w="323" w:type="pct"/>
            <w:vAlign w:val="center"/>
          </w:tcPr>
          <w:p w14:paraId="2127C2C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rPr>
              <w:t>最大Si值</w:t>
            </w:r>
          </w:p>
        </w:tc>
        <w:tc>
          <w:tcPr>
            <w:tcW w:w="491" w:type="pct"/>
            <w:vAlign w:val="center"/>
          </w:tcPr>
          <w:p w14:paraId="301299B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最大值</w:t>
            </w:r>
          </w:p>
        </w:tc>
        <w:tc>
          <w:tcPr>
            <w:tcW w:w="464" w:type="pct"/>
            <w:vAlign w:val="center"/>
          </w:tcPr>
          <w:p w14:paraId="5632FA6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最小值</w:t>
            </w:r>
          </w:p>
        </w:tc>
        <w:tc>
          <w:tcPr>
            <w:tcW w:w="332" w:type="pct"/>
            <w:vAlign w:val="center"/>
          </w:tcPr>
          <w:p w14:paraId="187EBBE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超标</w:t>
            </w:r>
          </w:p>
          <w:p w14:paraId="03A261E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倍数</w:t>
            </w:r>
          </w:p>
        </w:tc>
        <w:tc>
          <w:tcPr>
            <w:tcW w:w="346" w:type="pct"/>
            <w:vAlign w:val="center"/>
          </w:tcPr>
          <w:p w14:paraId="2DE98C2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rPr>
              <w:t>最大Si值</w:t>
            </w:r>
          </w:p>
        </w:tc>
        <w:tc>
          <w:tcPr>
            <w:tcW w:w="482" w:type="pct"/>
            <w:vMerge w:val="continue"/>
            <w:vAlign w:val="center"/>
          </w:tcPr>
          <w:p w14:paraId="788E952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p>
        </w:tc>
      </w:tr>
      <w:tr w14:paraId="6008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0" w:type="pct"/>
            <w:vAlign w:val="center"/>
          </w:tcPr>
          <w:p w14:paraId="562D8B3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水温</w:t>
            </w:r>
          </w:p>
        </w:tc>
        <w:tc>
          <w:tcPr>
            <w:tcW w:w="404" w:type="pct"/>
            <w:vAlign w:val="center"/>
          </w:tcPr>
          <w:p w14:paraId="540B341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w:t>
            </w:r>
          </w:p>
        </w:tc>
        <w:tc>
          <w:tcPr>
            <w:tcW w:w="490" w:type="pct"/>
            <w:vAlign w:val="center"/>
          </w:tcPr>
          <w:p w14:paraId="1D98870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22.8</w:t>
            </w:r>
          </w:p>
        </w:tc>
        <w:tc>
          <w:tcPr>
            <w:tcW w:w="498" w:type="pct"/>
            <w:vAlign w:val="center"/>
          </w:tcPr>
          <w:p w14:paraId="33C2208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24.9</w:t>
            </w:r>
          </w:p>
        </w:tc>
        <w:tc>
          <w:tcPr>
            <w:tcW w:w="325" w:type="pct"/>
            <w:vAlign w:val="center"/>
          </w:tcPr>
          <w:p w14:paraId="30681DA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vAlign w:val="center"/>
          </w:tcPr>
          <w:p w14:paraId="0A33BB5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w:t>
            </w:r>
          </w:p>
        </w:tc>
        <w:tc>
          <w:tcPr>
            <w:tcW w:w="491" w:type="pct"/>
            <w:vAlign w:val="center"/>
          </w:tcPr>
          <w:p w14:paraId="45F69C8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23.6</w:t>
            </w:r>
          </w:p>
        </w:tc>
        <w:tc>
          <w:tcPr>
            <w:tcW w:w="464" w:type="pct"/>
            <w:vAlign w:val="center"/>
          </w:tcPr>
          <w:p w14:paraId="73F9F6A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26.8</w:t>
            </w:r>
          </w:p>
        </w:tc>
        <w:tc>
          <w:tcPr>
            <w:tcW w:w="332" w:type="pct"/>
            <w:vAlign w:val="center"/>
          </w:tcPr>
          <w:p w14:paraId="53736D3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3A8A8C4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55180B2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r>
      <w:tr w14:paraId="148F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shd w:val="clear" w:color="auto" w:fill="auto"/>
            <w:vAlign w:val="center"/>
          </w:tcPr>
          <w:p w14:paraId="15F5156F">
            <w:pPr>
              <w:widowControl/>
              <w:autoSpaceDE/>
              <w:autoSpaceDN/>
              <w:spacing w:line="36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透明度</w:t>
            </w:r>
          </w:p>
        </w:tc>
        <w:tc>
          <w:tcPr>
            <w:tcW w:w="404" w:type="pct"/>
            <w:shd w:val="clear" w:color="auto" w:fill="auto"/>
            <w:vAlign w:val="center"/>
          </w:tcPr>
          <w:p w14:paraId="7BCE6EEE">
            <w:pPr>
              <w:widowControl/>
              <w:autoSpaceDE/>
              <w:autoSpaceDN/>
              <w:spacing w:line="36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cm</w:t>
            </w:r>
          </w:p>
        </w:tc>
        <w:tc>
          <w:tcPr>
            <w:tcW w:w="490" w:type="pct"/>
            <w:shd w:val="clear" w:color="auto" w:fill="auto"/>
            <w:vAlign w:val="center"/>
          </w:tcPr>
          <w:p w14:paraId="7322B2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41.7</w:t>
            </w:r>
          </w:p>
        </w:tc>
        <w:tc>
          <w:tcPr>
            <w:tcW w:w="498" w:type="pct"/>
            <w:shd w:val="clear" w:color="auto" w:fill="auto"/>
            <w:vAlign w:val="center"/>
          </w:tcPr>
          <w:p w14:paraId="53F86CB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43.3</w:t>
            </w:r>
          </w:p>
        </w:tc>
        <w:tc>
          <w:tcPr>
            <w:tcW w:w="325" w:type="pct"/>
            <w:shd w:val="clear" w:color="auto" w:fill="auto"/>
            <w:vAlign w:val="center"/>
          </w:tcPr>
          <w:p w14:paraId="65A5C46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shd w:val="clear" w:color="auto" w:fill="auto"/>
            <w:vAlign w:val="center"/>
          </w:tcPr>
          <w:p w14:paraId="6A07E79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w:t>
            </w:r>
          </w:p>
        </w:tc>
        <w:tc>
          <w:tcPr>
            <w:tcW w:w="491" w:type="pct"/>
            <w:shd w:val="clear" w:color="auto" w:fill="auto"/>
            <w:vAlign w:val="center"/>
          </w:tcPr>
          <w:p w14:paraId="625A1B7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13.8</w:t>
            </w:r>
          </w:p>
        </w:tc>
        <w:tc>
          <w:tcPr>
            <w:tcW w:w="464" w:type="pct"/>
            <w:shd w:val="clear" w:color="auto" w:fill="auto"/>
            <w:vAlign w:val="center"/>
          </w:tcPr>
          <w:p w14:paraId="1F878BD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14.6</w:t>
            </w:r>
          </w:p>
        </w:tc>
        <w:tc>
          <w:tcPr>
            <w:tcW w:w="332" w:type="pct"/>
            <w:shd w:val="clear" w:color="auto" w:fill="auto"/>
            <w:vAlign w:val="center"/>
          </w:tcPr>
          <w:p w14:paraId="19BE9BC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shd w:val="clear" w:color="auto" w:fill="auto"/>
            <w:vAlign w:val="center"/>
          </w:tcPr>
          <w:p w14:paraId="38CF557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shd w:val="clear" w:color="auto" w:fill="auto"/>
            <w:vAlign w:val="center"/>
          </w:tcPr>
          <w:p w14:paraId="2536FC7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val="en-US" w:eastAsia="zh-CN" w:bidi="ar"/>
              </w:rPr>
              <w:t>/</w:t>
            </w:r>
          </w:p>
        </w:tc>
      </w:tr>
      <w:tr w14:paraId="2CA24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6899748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pH值</w:t>
            </w:r>
          </w:p>
        </w:tc>
        <w:tc>
          <w:tcPr>
            <w:tcW w:w="404" w:type="pct"/>
            <w:vAlign w:val="center"/>
          </w:tcPr>
          <w:p w14:paraId="40AA0E3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无量纲</w:t>
            </w:r>
          </w:p>
        </w:tc>
        <w:tc>
          <w:tcPr>
            <w:tcW w:w="490" w:type="pct"/>
            <w:vAlign w:val="center"/>
          </w:tcPr>
          <w:p w14:paraId="287D830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7.5</w:t>
            </w:r>
          </w:p>
        </w:tc>
        <w:tc>
          <w:tcPr>
            <w:tcW w:w="498" w:type="pct"/>
            <w:vAlign w:val="center"/>
          </w:tcPr>
          <w:p w14:paraId="7A65EB9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7.6</w:t>
            </w:r>
          </w:p>
        </w:tc>
        <w:tc>
          <w:tcPr>
            <w:tcW w:w="325" w:type="pct"/>
            <w:vAlign w:val="center"/>
          </w:tcPr>
          <w:p w14:paraId="37D75BC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vAlign w:val="center"/>
          </w:tcPr>
          <w:p w14:paraId="0AFE7E9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0.3</w:t>
            </w:r>
          </w:p>
        </w:tc>
        <w:tc>
          <w:tcPr>
            <w:tcW w:w="491" w:type="pct"/>
            <w:vAlign w:val="center"/>
          </w:tcPr>
          <w:p w14:paraId="31CAE30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7.3</w:t>
            </w:r>
          </w:p>
        </w:tc>
        <w:tc>
          <w:tcPr>
            <w:tcW w:w="464" w:type="pct"/>
            <w:vAlign w:val="center"/>
          </w:tcPr>
          <w:p w14:paraId="5BF1B57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7.4</w:t>
            </w:r>
          </w:p>
        </w:tc>
        <w:tc>
          <w:tcPr>
            <w:tcW w:w="332" w:type="pct"/>
            <w:vAlign w:val="center"/>
          </w:tcPr>
          <w:p w14:paraId="4DBC8F2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09FB95A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0.2</w:t>
            </w:r>
          </w:p>
        </w:tc>
        <w:tc>
          <w:tcPr>
            <w:tcW w:w="482" w:type="pct"/>
            <w:vAlign w:val="center"/>
          </w:tcPr>
          <w:p w14:paraId="01E158A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6~9</w:t>
            </w:r>
          </w:p>
        </w:tc>
      </w:tr>
      <w:tr w14:paraId="7B73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139E74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氨氮</w:t>
            </w:r>
          </w:p>
        </w:tc>
        <w:tc>
          <w:tcPr>
            <w:tcW w:w="404" w:type="pct"/>
            <w:vAlign w:val="center"/>
          </w:tcPr>
          <w:p w14:paraId="3118426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62DB076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0.269</w:t>
            </w:r>
          </w:p>
        </w:tc>
        <w:tc>
          <w:tcPr>
            <w:tcW w:w="498" w:type="pct"/>
            <w:vAlign w:val="center"/>
          </w:tcPr>
          <w:p w14:paraId="4F05BEB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0.381</w:t>
            </w:r>
          </w:p>
        </w:tc>
        <w:tc>
          <w:tcPr>
            <w:tcW w:w="325" w:type="pct"/>
            <w:vAlign w:val="center"/>
          </w:tcPr>
          <w:p w14:paraId="7CB1B34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vAlign w:val="center"/>
          </w:tcPr>
          <w:p w14:paraId="31B8180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0.381</w:t>
            </w:r>
          </w:p>
        </w:tc>
        <w:tc>
          <w:tcPr>
            <w:tcW w:w="491" w:type="pct"/>
            <w:shd w:val="clear" w:color="auto" w:fill="auto"/>
            <w:vAlign w:val="center"/>
          </w:tcPr>
          <w:p w14:paraId="0DF52A6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0.112</w:t>
            </w:r>
          </w:p>
        </w:tc>
        <w:tc>
          <w:tcPr>
            <w:tcW w:w="464" w:type="pct"/>
            <w:shd w:val="clear" w:color="auto" w:fill="auto"/>
            <w:vAlign w:val="center"/>
          </w:tcPr>
          <w:p w14:paraId="4ED5D21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0.183</w:t>
            </w:r>
          </w:p>
        </w:tc>
        <w:tc>
          <w:tcPr>
            <w:tcW w:w="332" w:type="pct"/>
            <w:vAlign w:val="center"/>
          </w:tcPr>
          <w:p w14:paraId="1188B76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60E46D1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0.183</w:t>
            </w:r>
          </w:p>
        </w:tc>
        <w:tc>
          <w:tcPr>
            <w:tcW w:w="482" w:type="pct"/>
            <w:vAlign w:val="center"/>
          </w:tcPr>
          <w:p w14:paraId="78FC160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w:t>
            </w:r>
          </w:p>
        </w:tc>
      </w:tr>
      <w:tr w14:paraId="360F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4380C97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化学需氧量</w:t>
            </w:r>
          </w:p>
        </w:tc>
        <w:tc>
          <w:tcPr>
            <w:tcW w:w="404" w:type="pct"/>
            <w:vAlign w:val="center"/>
          </w:tcPr>
          <w:p w14:paraId="019AC06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605FAA2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13</w:t>
            </w:r>
          </w:p>
        </w:tc>
        <w:tc>
          <w:tcPr>
            <w:tcW w:w="498" w:type="pct"/>
            <w:vAlign w:val="center"/>
          </w:tcPr>
          <w:p w14:paraId="1BE0426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11</w:t>
            </w:r>
          </w:p>
        </w:tc>
        <w:tc>
          <w:tcPr>
            <w:tcW w:w="325" w:type="pct"/>
            <w:vAlign w:val="center"/>
          </w:tcPr>
          <w:p w14:paraId="5A00A21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vAlign w:val="center"/>
          </w:tcPr>
          <w:p w14:paraId="75B7175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0.65</w:t>
            </w:r>
          </w:p>
        </w:tc>
        <w:tc>
          <w:tcPr>
            <w:tcW w:w="491" w:type="pct"/>
            <w:vAlign w:val="center"/>
          </w:tcPr>
          <w:p w14:paraId="34A73B5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14</w:t>
            </w:r>
          </w:p>
        </w:tc>
        <w:tc>
          <w:tcPr>
            <w:tcW w:w="464" w:type="pct"/>
            <w:vAlign w:val="center"/>
          </w:tcPr>
          <w:p w14:paraId="46E5391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15</w:t>
            </w:r>
          </w:p>
        </w:tc>
        <w:tc>
          <w:tcPr>
            <w:tcW w:w="332" w:type="pct"/>
            <w:vAlign w:val="center"/>
          </w:tcPr>
          <w:p w14:paraId="7EA6C42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4F1DCFD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0.75</w:t>
            </w:r>
          </w:p>
        </w:tc>
        <w:tc>
          <w:tcPr>
            <w:tcW w:w="482" w:type="pct"/>
            <w:vAlign w:val="center"/>
          </w:tcPr>
          <w:p w14:paraId="372E9D3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20</w:t>
            </w:r>
          </w:p>
        </w:tc>
      </w:tr>
      <w:tr w14:paraId="31C4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40" w:type="pct"/>
            <w:vAlign w:val="center"/>
          </w:tcPr>
          <w:p w14:paraId="0A27769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五日生化需氧量</w:t>
            </w:r>
          </w:p>
        </w:tc>
        <w:tc>
          <w:tcPr>
            <w:tcW w:w="404" w:type="pct"/>
            <w:vAlign w:val="center"/>
          </w:tcPr>
          <w:p w14:paraId="6C91CE3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689CDC0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3.8</w:t>
            </w:r>
          </w:p>
        </w:tc>
        <w:tc>
          <w:tcPr>
            <w:tcW w:w="498" w:type="pct"/>
            <w:vAlign w:val="center"/>
          </w:tcPr>
          <w:p w14:paraId="30CCB5A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3.2</w:t>
            </w:r>
          </w:p>
        </w:tc>
        <w:tc>
          <w:tcPr>
            <w:tcW w:w="325" w:type="pct"/>
            <w:vAlign w:val="center"/>
          </w:tcPr>
          <w:p w14:paraId="01D3F34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vAlign w:val="center"/>
          </w:tcPr>
          <w:p w14:paraId="598474C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0.95</w:t>
            </w:r>
          </w:p>
        </w:tc>
        <w:tc>
          <w:tcPr>
            <w:tcW w:w="491" w:type="pct"/>
            <w:vAlign w:val="center"/>
          </w:tcPr>
          <w:p w14:paraId="2D4BF57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3.7</w:t>
            </w:r>
          </w:p>
        </w:tc>
        <w:tc>
          <w:tcPr>
            <w:tcW w:w="464" w:type="pct"/>
            <w:vAlign w:val="center"/>
          </w:tcPr>
          <w:p w14:paraId="3A09E8C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3.5</w:t>
            </w:r>
          </w:p>
        </w:tc>
        <w:tc>
          <w:tcPr>
            <w:tcW w:w="332" w:type="pct"/>
            <w:vAlign w:val="center"/>
          </w:tcPr>
          <w:p w14:paraId="3625FB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18ABCBA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0.925</w:t>
            </w:r>
          </w:p>
        </w:tc>
        <w:tc>
          <w:tcPr>
            <w:tcW w:w="482" w:type="pct"/>
            <w:vAlign w:val="center"/>
          </w:tcPr>
          <w:p w14:paraId="1DCD916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val="en-US" w:eastAsia="zh-CN" w:bidi="ar"/>
              </w:rPr>
              <w:t>≤</w:t>
            </w:r>
            <w:r>
              <w:rPr>
                <w:rFonts w:hint="default" w:ascii="Arial" w:hAnsi="Arial" w:eastAsia="宋体" w:cs="Arial"/>
                <w:snapToGrid w:val="0"/>
                <w:color w:val="auto"/>
                <w:kern w:val="0"/>
                <w:sz w:val="22"/>
                <w:szCs w:val="22"/>
                <w:highlight w:val="none"/>
                <w:lang w:bidi="ar"/>
              </w:rPr>
              <w:t>4</w:t>
            </w:r>
          </w:p>
        </w:tc>
      </w:tr>
      <w:tr w14:paraId="7A19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18E84C6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总磷</w:t>
            </w:r>
          </w:p>
        </w:tc>
        <w:tc>
          <w:tcPr>
            <w:tcW w:w="404" w:type="pct"/>
            <w:vAlign w:val="center"/>
          </w:tcPr>
          <w:p w14:paraId="46A8DFC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5D364C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0.07</w:t>
            </w:r>
          </w:p>
        </w:tc>
        <w:tc>
          <w:tcPr>
            <w:tcW w:w="498" w:type="pct"/>
            <w:vAlign w:val="center"/>
          </w:tcPr>
          <w:p w14:paraId="1C15A94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0.07</w:t>
            </w:r>
          </w:p>
        </w:tc>
        <w:tc>
          <w:tcPr>
            <w:tcW w:w="325" w:type="pct"/>
            <w:vAlign w:val="center"/>
          </w:tcPr>
          <w:p w14:paraId="2E49EB9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vAlign w:val="center"/>
          </w:tcPr>
          <w:p w14:paraId="1D4075C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0.35</w:t>
            </w:r>
          </w:p>
        </w:tc>
        <w:tc>
          <w:tcPr>
            <w:tcW w:w="491" w:type="pct"/>
            <w:vAlign w:val="center"/>
          </w:tcPr>
          <w:p w14:paraId="2F96BBE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0.02</w:t>
            </w:r>
          </w:p>
        </w:tc>
        <w:tc>
          <w:tcPr>
            <w:tcW w:w="464" w:type="pct"/>
            <w:vAlign w:val="center"/>
          </w:tcPr>
          <w:p w14:paraId="7B7DEED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0.03</w:t>
            </w:r>
          </w:p>
        </w:tc>
        <w:tc>
          <w:tcPr>
            <w:tcW w:w="332" w:type="pct"/>
            <w:vAlign w:val="center"/>
          </w:tcPr>
          <w:p w14:paraId="651B258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3914B99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0.15</w:t>
            </w:r>
          </w:p>
        </w:tc>
        <w:tc>
          <w:tcPr>
            <w:tcW w:w="482" w:type="pct"/>
            <w:vAlign w:val="center"/>
          </w:tcPr>
          <w:p w14:paraId="52DBDEC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0.2</w:t>
            </w:r>
          </w:p>
        </w:tc>
      </w:tr>
      <w:tr w14:paraId="5953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69C7FD3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粪大肠菌群</w:t>
            </w:r>
          </w:p>
        </w:tc>
        <w:tc>
          <w:tcPr>
            <w:tcW w:w="404" w:type="pct"/>
            <w:vAlign w:val="center"/>
          </w:tcPr>
          <w:p w14:paraId="070B416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MPN/L</w:t>
            </w:r>
          </w:p>
        </w:tc>
        <w:tc>
          <w:tcPr>
            <w:tcW w:w="490" w:type="pct"/>
            <w:vAlign w:val="center"/>
          </w:tcPr>
          <w:p w14:paraId="58E2E37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120</w:t>
            </w:r>
          </w:p>
        </w:tc>
        <w:tc>
          <w:tcPr>
            <w:tcW w:w="498" w:type="pct"/>
            <w:vAlign w:val="center"/>
          </w:tcPr>
          <w:p w14:paraId="2CF32FD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val="en-US" w:eastAsia="zh-CN" w:bidi="ar"/>
              </w:rPr>
              <w:t>170</w:t>
            </w:r>
          </w:p>
        </w:tc>
        <w:tc>
          <w:tcPr>
            <w:tcW w:w="325" w:type="pct"/>
            <w:vAlign w:val="center"/>
          </w:tcPr>
          <w:p w14:paraId="36B026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vAlign w:val="center"/>
          </w:tcPr>
          <w:p w14:paraId="7AA242B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0.017</w:t>
            </w:r>
          </w:p>
        </w:tc>
        <w:tc>
          <w:tcPr>
            <w:tcW w:w="491" w:type="pct"/>
            <w:vAlign w:val="center"/>
          </w:tcPr>
          <w:p w14:paraId="3651A8F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140</w:t>
            </w:r>
          </w:p>
        </w:tc>
        <w:tc>
          <w:tcPr>
            <w:tcW w:w="464" w:type="pct"/>
            <w:vAlign w:val="center"/>
          </w:tcPr>
          <w:p w14:paraId="4C5B13B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170</w:t>
            </w:r>
          </w:p>
        </w:tc>
        <w:tc>
          <w:tcPr>
            <w:tcW w:w="332" w:type="pct"/>
            <w:vAlign w:val="center"/>
          </w:tcPr>
          <w:p w14:paraId="52D9A2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6153B24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0.017</w:t>
            </w:r>
          </w:p>
        </w:tc>
        <w:tc>
          <w:tcPr>
            <w:tcW w:w="482" w:type="pct"/>
            <w:vAlign w:val="center"/>
          </w:tcPr>
          <w:p w14:paraId="018E791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10000</w:t>
            </w:r>
          </w:p>
        </w:tc>
      </w:tr>
      <w:tr w14:paraId="281E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3658C2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六价铬</w:t>
            </w:r>
          </w:p>
        </w:tc>
        <w:tc>
          <w:tcPr>
            <w:tcW w:w="404" w:type="pct"/>
            <w:vAlign w:val="center"/>
          </w:tcPr>
          <w:p w14:paraId="13AB9D5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76FB064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0.004L</w:t>
            </w:r>
          </w:p>
        </w:tc>
        <w:tc>
          <w:tcPr>
            <w:tcW w:w="498" w:type="pct"/>
            <w:vAlign w:val="center"/>
          </w:tcPr>
          <w:p w14:paraId="35AB1BC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0.004L</w:t>
            </w:r>
          </w:p>
        </w:tc>
        <w:tc>
          <w:tcPr>
            <w:tcW w:w="325" w:type="pct"/>
            <w:vAlign w:val="center"/>
          </w:tcPr>
          <w:p w14:paraId="3DF2B34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vAlign w:val="center"/>
          </w:tcPr>
          <w:p w14:paraId="3EE749F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w:t>
            </w:r>
          </w:p>
        </w:tc>
        <w:tc>
          <w:tcPr>
            <w:tcW w:w="491" w:type="pct"/>
            <w:vAlign w:val="center"/>
          </w:tcPr>
          <w:p w14:paraId="6C50855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0.004L</w:t>
            </w:r>
          </w:p>
        </w:tc>
        <w:tc>
          <w:tcPr>
            <w:tcW w:w="464" w:type="pct"/>
            <w:vAlign w:val="center"/>
          </w:tcPr>
          <w:p w14:paraId="545FF33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0.004L</w:t>
            </w:r>
          </w:p>
        </w:tc>
        <w:tc>
          <w:tcPr>
            <w:tcW w:w="332" w:type="pct"/>
            <w:vAlign w:val="center"/>
          </w:tcPr>
          <w:p w14:paraId="6342DD4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1526C2C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2A31DBB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0.05</w:t>
            </w:r>
          </w:p>
        </w:tc>
      </w:tr>
      <w:tr w14:paraId="2AE7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0" w:type="pct"/>
            <w:vAlign w:val="center"/>
          </w:tcPr>
          <w:p w14:paraId="77C3890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汞</w:t>
            </w:r>
          </w:p>
        </w:tc>
        <w:tc>
          <w:tcPr>
            <w:tcW w:w="404" w:type="pct"/>
            <w:vAlign w:val="center"/>
          </w:tcPr>
          <w:p w14:paraId="2AAC07E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26655FC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0.00004L</w:t>
            </w:r>
          </w:p>
        </w:tc>
        <w:tc>
          <w:tcPr>
            <w:tcW w:w="498" w:type="pct"/>
            <w:vAlign w:val="center"/>
          </w:tcPr>
          <w:p w14:paraId="32C0C25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0.00004L</w:t>
            </w:r>
          </w:p>
        </w:tc>
        <w:tc>
          <w:tcPr>
            <w:tcW w:w="325" w:type="pct"/>
            <w:vAlign w:val="center"/>
          </w:tcPr>
          <w:p w14:paraId="1AA4D82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vAlign w:val="center"/>
          </w:tcPr>
          <w:p w14:paraId="0D6195B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1D1A75B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0.00004L</w:t>
            </w:r>
          </w:p>
        </w:tc>
        <w:tc>
          <w:tcPr>
            <w:tcW w:w="464" w:type="pct"/>
            <w:vAlign w:val="center"/>
          </w:tcPr>
          <w:p w14:paraId="28E7E95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val="en-US" w:eastAsia="zh-CN" w:bidi="ar"/>
              </w:rPr>
              <w:t>0.00004L</w:t>
            </w:r>
          </w:p>
        </w:tc>
        <w:tc>
          <w:tcPr>
            <w:tcW w:w="332" w:type="pct"/>
            <w:vAlign w:val="center"/>
          </w:tcPr>
          <w:p w14:paraId="68EF6BE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17E0E4F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0B55E9A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0.0001</w:t>
            </w:r>
          </w:p>
        </w:tc>
      </w:tr>
      <w:tr w14:paraId="0723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BB0232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镉</w:t>
            </w:r>
          </w:p>
        </w:tc>
        <w:tc>
          <w:tcPr>
            <w:tcW w:w="404" w:type="pct"/>
            <w:vAlign w:val="center"/>
          </w:tcPr>
          <w:p w14:paraId="0320374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4F1CF7C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0.0001</w:t>
            </w:r>
          </w:p>
        </w:tc>
        <w:tc>
          <w:tcPr>
            <w:tcW w:w="498" w:type="pct"/>
            <w:vAlign w:val="center"/>
          </w:tcPr>
          <w:p w14:paraId="41FA8B2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0.0002</w:t>
            </w:r>
          </w:p>
        </w:tc>
        <w:tc>
          <w:tcPr>
            <w:tcW w:w="325" w:type="pct"/>
            <w:vAlign w:val="center"/>
          </w:tcPr>
          <w:p w14:paraId="2207017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vAlign w:val="center"/>
          </w:tcPr>
          <w:p w14:paraId="7EFB6D4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0.04</w:t>
            </w:r>
          </w:p>
        </w:tc>
        <w:tc>
          <w:tcPr>
            <w:tcW w:w="491" w:type="pct"/>
            <w:vAlign w:val="center"/>
          </w:tcPr>
          <w:p w14:paraId="1F3954B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0.0002</w:t>
            </w:r>
          </w:p>
        </w:tc>
        <w:tc>
          <w:tcPr>
            <w:tcW w:w="464" w:type="pct"/>
            <w:vAlign w:val="center"/>
          </w:tcPr>
          <w:p w14:paraId="6654BB8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0.0003</w:t>
            </w:r>
          </w:p>
        </w:tc>
        <w:tc>
          <w:tcPr>
            <w:tcW w:w="332" w:type="pct"/>
            <w:vAlign w:val="center"/>
          </w:tcPr>
          <w:p w14:paraId="4E23610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78EB53B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0.06</w:t>
            </w:r>
          </w:p>
        </w:tc>
        <w:tc>
          <w:tcPr>
            <w:tcW w:w="482" w:type="pct"/>
            <w:vAlign w:val="center"/>
          </w:tcPr>
          <w:p w14:paraId="1F83770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0.005</w:t>
            </w:r>
          </w:p>
        </w:tc>
      </w:tr>
      <w:tr w14:paraId="4909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492D25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砷</w:t>
            </w:r>
          </w:p>
        </w:tc>
        <w:tc>
          <w:tcPr>
            <w:tcW w:w="404" w:type="pct"/>
            <w:vAlign w:val="center"/>
          </w:tcPr>
          <w:p w14:paraId="401A3FC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0D99F8B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0.0003L</w:t>
            </w:r>
          </w:p>
        </w:tc>
        <w:tc>
          <w:tcPr>
            <w:tcW w:w="498" w:type="pct"/>
            <w:vAlign w:val="center"/>
          </w:tcPr>
          <w:p w14:paraId="7FDABE8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0.0003L</w:t>
            </w:r>
          </w:p>
        </w:tc>
        <w:tc>
          <w:tcPr>
            <w:tcW w:w="325" w:type="pct"/>
            <w:vAlign w:val="center"/>
          </w:tcPr>
          <w:p w14:paraId="463D16F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vAlign w:val="center"/>
          </w:tcPr>
          <w:p w14:paraId="1F808E7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327141A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0.0003L</w:t>
            </w:r>
          </w:p>
        </w:tc>
        <w:tc>
          <w:tcPr>
            <w:tcW w:w="464" w:type="pct"/>
            <w:vAlign w:val="center"/>
          </w:tcPr>
          <w:p w14:paraId="73AF53C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0.0003L</w:t>
            </w:r>
          </w:p>
        </w:tc>
        <w:tc>
          <w:tcPr>
            <w:tcW w:w="332" w:type="pct"/>
            <w:vAlign w:val="center"/>
          </w:tcPr>
          <w:p w14:paraId="2D1BB94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30EF1A2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2343349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0.05</w:t>
            </w:r>
          </w:p>
        </w:tc>
      </w:tr>
      <w:tr w14:paraId="22A4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05EFFB3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铅</w:t>
            </w:r>
          </w:p>
        </w:tc>
        <w:tc>
          <w:tcPr>
            <w:tcW w:w="404" w:type="pct"/>
            <w:vAlign w:val="center"/>
          </w:tcPr>
          <w:p w14:paraId="7162B14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0807451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0.001L</w:t>
            </w:r>
          </w:p>
        </w:tc>
        <w:tc>
          <w:tcPr>
            <w:tcW w:w="498" w:type="pct"/>
            <w:vAlign w:val="center"/>
          </w:tcPr>
          <w:p w14:paraId="4B1258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0.001L</w:t>
            </w:r>
          </w:p>
        </w:tc>
        <w:tc>
          <w:tcPr>
            <w:tcW w:w="325" w:type="pct"/>
            <w:vAlign w:val="center"/>
          </w:tcPr>
          <w:p w14:paraId="1834CC1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vAlign w:val="center"/>
          </w:tcPr>
          <w:p w14:paraId="7D07CDA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338D665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0.001L</w:t>
            </w:r>
          </w:p>
        </w:tc>
        <w:tc>
          <w:tcPr>
            <w:tcW w:w="464" w:type="pct"/>
            <w:vAlign w:val="center"/>
          </w:tcPr>
          <w:p w14:paraId="221D3D2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0.001L</w:t>
            </w:r>
          </w:p>
        </w:tc>
        <w:tc>
          <w:tcPr>
            <w:tcW w:w="332" w:type="pct"/>
            <w:vAlign w:val="center"/>
          </w:tcPr>
          <w:p w14:paraId="2DA6467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012C6AF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4C39DF3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0.05</w:t>
            </w:r>
          </w:p>
        </w:tc>
      </w:tr>
      <w:tr w14:paraId="12C2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4347287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硒</w:t>
            </w:r>
          </w:p>
        </w:tc>
        <w:tc>
          <w:tcPr>
            <w:tcW w:w="404" w:type="pct"/>
            <w:vAlign w:val="center"/>
          </w:tcPr>
          <w:p w14:paraId="406BCEE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2F1D873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0.0004L</w:t>
            </w:r>
          </w:p>
        </w:tc>
        <w:tc>
          <w:tcPr>
            <w:tcW w:w="498" w:type="pct"/>
            <w:vAlign w:val="center"/>
          </w:tcPr>
          <w:p w14:paraId="007D921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0.0004L</w:t>
            </w:r>
          </w:p>
        </w:tc>
        <w:tc>
          <w:tcPr>
            <w:tcW w:w="325" w:type="pct"/>
            <w:vAlign w:val="center"/>
          </w:tcPr>
          <w:p w14:paraId="5191B1F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vAlign w:val="center"/>
          </w:tcPr>
          <w:p w14:paraId="6584A72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2B3E276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0.0004L</w:t>
            </w:r>
          </w:p>
        </w:tc>
        <w:tc>
          <w:tcPr>
            <w:tcW w:w="464" w:type="pct"/>
            <w:vAlign w:val="center"/>
          </w:tcPr>
          <w:p w14:paraId="6A3C5FB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0.0004L</w:t>
            </w:r>
          </w:p>
        </w:tc>
        <w:tc>
          <w:tcPr>
            <w:tcW w:w="332" w:type="pct"/>
            <w:vAlign w:val="center"/>
          </w:tcPr>
          <w:p w14:paraId="29EF06D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0BA41C3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2435567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0.01</w:t>
            </w:r>
          </w:p>
        </w:tc>
      </w:tr>
      <w:tr w14:paraId="0AE5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498376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石油类</w:t>
            </w:r>
          </w:p>
        </w:tc>
        <w:tc>
          <w:tcPr>
            <w:tcW w:w="404" w:type="pct"/>
            <w:vAlign w:val="center"/>
          </w:tcPr>
          <w:p w14:paraId="3459BA9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6D83BBA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0.02</w:t>
            </w:r>
          </w:p>
        </w:tc>
        <w:tc>
          <w:tcPr>
            <w:tcW w:w="498" w:type="pct"/>
            <w:vAlign w:val="center"/>
          </w:tcPr>
          <w:p w14:paraId="1092503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w:t>
            </w:r>
            <w:r>
              <w:rPr>
                <w:rFonts w:hint="eastAsia" w:ascii="Arial" w:hAnsi="Arial" w:cs="Arial"/>
                <w:snapToGrid w:val="0"/>
                <w:color w:val="auto"/>
                <w:kern w:val="0"/>
                <w:sz w:val="22"/>
                <w:szCs w:val="22"/>
                <w:highlight w:val="none"/>
                <w:lang w:val="en-US" w:eastAsia="zh-CN" w:bidi="ar"/>
              </w:rPr>
              <w:t>3</w:t>
            </w:r>
          </w:p>
        </w:tc>
        <w:tc>
          <w:tcPr>
            <w:tcW w:w="325" w:type="pct"/>
            <w:vAlign w:val="center"/>
          </w:tcPr>
          <w:p w14:paraId="52386D7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vAlign w:val="center"/>
          </w:tcPr>
          <w:p w14:paraId="513A139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0.6</w:t>
            </w:r>
          </w:p>
        </w:tc>
        <w:tc>
          <w:tcPr>
            <w:tcW w:w="491" w:type="pct"/>
            <w:vAlign w:val="center"/>
          </w:tcPr>
          <w:p w14:paraId="73412CE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0.02</w:t>
            </w:r>
          </w:p>
        </w:tc>
        <w:tc>
          <w:tcPr>
            <w:tcW w:w="464" w:type="pct"/>
            <w:vAlign w:val="center"/>
          </w:tcPr>
          <w:p w14:paraId="4EDA2D7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w:t>
            </w:r>
            <w:r>
              <w:rPr>
                <w:rFonts w:hint="eastAsia" w:ascii="Arial" w:hAnsi="Arial" w:cs="Arial"/>
                <w:snapToGrid w:val="0"/>
                <w:color w:val="auto"/>
                <w:kern w:val="0"/>
                <w:sz w:val="22"/>
                <w:szCs w:val="22"/>
                <w:highlight w:val="none"/>
                <w:lang w:val="en-US" w:eastAsia="zh-CN" w:bidi="ar"/>
              </w:rPr>
              <w:t>02</w:t>
            </w:r>
          </w:p>
        </w:tc>
        <w:tc>
          <w:tcPr>
            <w:tcW w:w="332" w:type="pct"/>
            <w:vAlign w:val="center"/>
          </w:tcPr>
          <w:p w14:paraId="01A76B9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685A9AC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0.4</w:t>
            </w:r>
          </w:p>
        </w:tc>
        <w:tc>
          <w:tcPr>
            <w:tcW w:w="482" w:type="pct"/>
            <w:vAlign w:val="center"/>
          </w:tcPr>
          <w:p w14:paraId="479D23D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0.05</w:t>
            </w:r>
          </w:p>
        </w:tc>
      </w:tr>
      <w:tr w14:paraId="18B5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840" w:type="pct"/>
            <w:vAlign w:val="center"/>
          </w:tcPr>
          <w:p w14:paraId="348ECFB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溶解氧</w:t>
            </w:r>
          </w:p>
        </w:tc>
        <w:tc>
          <w:tcPr>
            <w:tcW w:w="404" w:type="pct"/>
            <w:vAlign w:val="center"/>
          </w:tcPr>
          <w:p w14:paraId="60DCAE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3744A31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5.96</w:t>
            </w:r>
          </w:p>
        </w:tc>
        <w:tc>
          <w:tcPr>
            <w:tcW w:w="498" w:type="pct"/>
            <w:vAlign w:val="center"/>
          </w:tcPr>
          <w:p w14:paraId="5D3762E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7.33</w:t>
            </w:r>
          </w:p>
        </w:tc>
        <w:tc>
          <w:tcPr>
            <w:tcW w:w="325" w:type="pct"/>
            <w:vAlign w:val="center"/>
          </w:tcPr>
          <w:p w14:paraId="7CDD747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vAlign w:val="center"/>
          </w:tcPr>
          <w:p w14:paraId="0C355B8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0.604</w:t>
            </w:r>
          </w:p>
        </w:tc>
        <w:tc>
          <w:tcPr>
            <w:tcW w:w="491" w:type="pct"/>
            <w:vAlign w:val="center"/>
          </w:tcPr>
          <w:p w14:paraId="01B64E9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5.84</w:t>
            </w:r>
          </w:p>
        </w:tc>
        <w:tc>
          <w:tcPr>
            <w:tcW w:w="464" w:type="pct"/>
            <w:vAlign w:val="center"/>
          </w:tcPr>
          <w:p w14:paraId="2160BA1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7.21</w:t>
            </w:r>
          </w:p>
        </w:tc>
        <w:tc>
          <w:tcPr>
            <w:tcW w:w="332" w:type="pct"/>
            <w:vAlign w:val="center"/>
          </w:tcPr>
          <w:p w14:paraId="561B30D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1654D5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0.624</w:t>
            </w:r>
          </w:p>
        </w:tc>
        <w:tc>
          <w:tcPr>
            <w:tcW w:w="482" w:type="pct"/>
            <w:vAlign w:val="center"/>
          </w:tcPr>
          <w:p w14:paraId="379A43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5</w:t>
            </w:r>
          </w:p>
        </w:tc>
      </w:tr>
      <w:tr w14:paraId="45085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0732D6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高锰酸盐指数</w:t>
            </w:r>
          </w:p>
        </w:tc>
        <w:tc>
          <w:tcPr>
            <w:tcW w:w="404" w:type="pct"/>
            <w:vAlign w:val="center"/>
          </w:tcPr>
          <w:p w14:paraId="56DB244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16E4CCA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5.6</w:t>
            </w:r>
          </w:p>
        </w:tc>
        <w:tc>
          <w:tcPr>
            <w:tcW w:w="498" w:type="pct"/>
            <w:vAlign w:val="center"/>
          </w:tcPr>
          <w:p w14:paraId="7C9B880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5.2</w:t>
            </w:r>
          </w:p>
        </w:tc>
        <w:tc>
          <w:tcPr>
            <w:tcW w:w="325" w:type="pct"/>
            <w:vAlign w:val="center"/>
          </w:tcPr>
          <w:p w14:paraId="1366091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vAlign w:val="center"/>
          </w:tcPr>
          <w:p w14:paraId="5434102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0.93</w:t>
            </w:r>
          </w:p>
        </w:tc>
        <w:tc>
          <w:tcPr>
            <w:tcW w:w="491" w:type="pct"/>
            <w:vAlign w:val="center"/>
          </w:tcPr>
          <w:p w14:paraId="10CA1AD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4.2</w:t>
            </w:r>
          </w:p>
        </w:tc>
        <w:tc>
          <w:tcPr>
            <w:tcW w:w="464" w:type="pct"/>
            <w:vAlign w:val="center"/>
          </w:tcPr>
          <w:p w14:paraId="194FDD7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4.9</w:t>
            </w:r>
          </w:p>
        </w:tc>
        <w:tc>
          <w:tcPr>
            <w:tcW w:w="332" w:type="pct"/>
            <w:vAlign w:val="center"/>
          </w:tcPr>
          <w:p w14:paraId="7301A17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4968785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0.82</w:t>
            </w:r>
          </w:p>
        </w:tc>
        <w:tc>
          <w:tcPr>
            <w:tcW w:w="482" w:type="pct"/>
            <w:vAlign w:val="center"/>
          </w:tcPr>
          <w:p w14:paraId="0F52AD4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6</w:t>
            </w:r>
          </w:p>
        </w:tc>
      </w:tr>
      <w:tr w14:paraId="5269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0629C80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总氮</w:t>
            </w:r>
          </w:p>
        </w:tc>
        <w:tc>
          <w:tcPr>
            <w:tcW w:w="404" w:type="pct"/>
            <w:vAlign w:val="center"/>
          </w:tcPr>
          <w:p w14:paraId="61B4CCE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357F399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0.81</w:t>
            </w:r>
          </w:p>
        </w:tc>
        <w:tc>
          <w:tcPr>
            <w:tcW w:w="498" w:type="pct"/>
            <w:vAlign w:val="center"/>
          </w:tcPr>
          <w:p w14:paraId="521AE3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0.77</w:t>
            </w:r>
          </w:p>
        </w:tc>
        <w:tc>
          <w:tcPr>
            <w:tcW w:w="325" w:type="pct"/>
            <w:shd w:val="clear" w:color="auto" w:fill="auto"/>
            <w:vAlign w:val="center"/>
          </w:tcPr>
          <w:p w14:paraId="4CC2C56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shd w:val="clear" w:color="auto" w:fill="auto"/>
            <w:vAlign w:val="center"/>
          </w:tcPr>
          <w:p w14:paraId="1AD632D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6CB875F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0.62</w:t>
            </w:r>
          </w:p>
        </w:tc>
        <w:tc>
          <w:tcPr>
            <w:tcW w:w="464" w:type="pct"/>
            <w:vAlign w:val="center"/>
          </w:tcPr>
          <w:p w14:paraId="5A5EEA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0.65</w:t>
            </w:r>
          </w:p>
        </w:tc>
        <w:tc>
          <w:tcPr>
            <w:tcW w:w="332" w:type="pct"/>
            <w:vAlign w:val="center"/>
          </w:tcPr>
          <w:p w14:paraId="2ECECF3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3FC8BE3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2CE53D9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r>
      <w:tr w14:paraId="4EBC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55E504E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铜</w:t>
            </w:r>
          </w:p>
        </w:tc>
        <w:tc>
          <w:tcPr>
            <w:tcW w:w="404" w:type="pct"/>
            <w:vAlign w:val="center"/>
          </w:tcPr>
          <w:p w14:paraId="4724055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2E27528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0.04L</w:t>
            </w:r>
          </w:p>
        </w:tc>
        <w:tc>
          <w:tcPr>
            <w:tcW w:w="498" w:type="pct"/>
            <w:vAlign w:val="center"/>
          </w:tcPr>
          <w:p w14:paraId="27AB49D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0.04L</w:t>
            </w:r>
          </w:p>
        </w:tc>
        <w:tc>
          <w:tcPr>
            <w:tcW w:w="325" w:type="pct"/>
            <w:shd w:val="clear" w:color="auto" w:fill="auto"/>
            <w:vAlign w:val="center"/>
          </w:tcPr>
          <w:p w14:paraId="26F6D8C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shd w:val="clear" w:color="auto" w:fill="auto"/>
            <w:vAlign w:val="center"/>
          </w:tcPr>
          <w:p w14:paraId="096B263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688C71D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0.04L</w:t>
            </w:r>
          </w:p>
        </w:tc>
        <w:tc>
          <w:tcPr>
            <w:tcW w:w="464" w:type="pct"/>
            <w:vAlign w:val="center"/>
          </w:tcPr>
          <w:p w14:paraId="51E2FF5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0.04L</w:t>
            </w:r>
          </w:p>
        </w:tc>
        <w:tc>
          <w:tcPr>
            <w:tcW w:w="332" w:type="pct"/>
            <w:vAlign w:val="center"/>
          </w:tcPr>
          <w:p w14:paraId="3A5FDF9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629663C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3F6084E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w:t>
            </w:r>
          </w:p>
        </w:tc>
      </w:tr>
      <w:tr w14:paraId="6F25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DA8E92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锌</w:t>
            </w:r>
          </w:p>
        </w:tc>
        <w:tc>
          <w:tcPr>
            <w:tcW w:w="404" w:type="pct"/>
            <w:vAlign w:val="center"/>
          </w:tcPr>
          <w:p w14:paraId="278148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52E66B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0.009L</w:t>
            </w:r>
          </w:p>
        </w:tc>
        <w:tc>
          <w:tcPr>
            <w:tcW w:w="498" w:type="pct"/>
            <w:vAlign w:val="center"/>
          </w:tcPr>
          <w:p w14:paraId="1864755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0.009L</w:t>
            </w:r>
          </w:p>
        </w:tc>
        <w:tc>
          <w:tcPr>
            <w:tcW w:w="325" w:type="pct"/>
            <w:shd w:val="clear" w:color="auto" w:fill="auto"/>
            <w:vAlign w:val="center"/>
          </w:tcPr>
          <w:p w14:paraId="7C9962B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shd w:val="clear" w:color="auto" w:fill="auto"/>
            <w:vAlign w:val="center"/>
          </w:tcPr>
          <w:p w14:paraId="3951DA3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40862F1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0.009L</w:t>
            </w:r>
          </w:p>
        </w:tc>
        <w:tc>
          <w:tcPr>
            <w:tcW w:w="464" w:type="pct"/>
            <w:vAlign w:val="center"/>
          </w:tcPr>
          <w:p w14:paraId="7618D4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0.009L</w:t>
            </w:r>
          </w:p>
        </w:tc>
        <w:tc>
          <w:tcPr>
            <w:tcW w:w="332" w:type="pct"/>
            <w:vAlign w:val="center"/>
          </w:tcPr>
          <w:p w14:paraId="52FCA92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1B9A118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035024B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w:t>
            </w:r>
          </w:p>
        </w:tc>
      </w:tr>
      <w:tr w14:paraId="26BC1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4DAE7B8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氟化物</w:t>
            </w:r>
          </w:p>
        </w:tc>
        <w:tc>
          <w:tcPr>
            <w:tcW w:w="404" w:type="pct"/>
            <w:vAlign w:val="center"/>
          </w:tcPr>
          <w:p w14:paraId="0D15B58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14B1D4D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0.291</w:t>
            </w:r>
          </w:p>
        </w:tc>
        <w:tc>
          <w:tcPr>
            <w:tcW w:w="498" w:type="pct"/>
            <w:vAlign w:val="center"/>
          </w:tcPr>
          <w:p w14:paraId="28D4EBA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0.307</w:t>
            </w:r>
          </w:p>
        </w:tc>
        <w:tc>
          <w:tcPr>
            <w:tcW w:w="325" w:type="pct"/>
            <w:vAlign w:val="center"/>
          </w:tcPr>
          <w:p w14:paraId="77EF2A2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shd w:val="clear" w:color="auto" w:fill="auto"/>
            <w:vAlign w:val="center"/>
          </w:tcPr>
          <w:p w14:paraId="3DC3696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0.307</w:t>
            </w:r>
          </w:p>
        </w:tc>
        <w:tc>
          <w:tcPr>
            <w:tcW w:w="491" w:type="pct"/>
            <w:vAlign w:val="center"/>
          </w:tcPr>
          <w:p w14:paraId="3376536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0.269</w:t>
            </w:r>
          </w:p>
        </w:tc>
        <w:tc>
          <w:tcPr>
            <w:tcW w:w="464" w:type="pct"/>
            <w:vAlign w:val="center"/>
          </w:tcPr>
          <w:p w14:paraId="7B585EF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0.275</w:t>
            </w:r>
          </w:p>
        </w:tc>
        <w:tc>
          <w:tcPr>
            <w:tcW w:w="332" w:type="pct"/>
            <w:vAlign w:val="center"/>
          </w:tcPr>
          <w:p w14:paraId="76E644C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31D5696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0.275</w:t>
            </w:r>
          </w:p>
        </w:tc>
        <w:tc>
          <w:tcPr>
            <w:tcW w:w="482" w:type="pct"/>
            <w:vAlign w:val="center"/>
          </w:tcPr>
          <w:p w14:paraId="227DA50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w:t>
            </w:r>
          </w:p>
        </w:tc>
      </w:tr>
      <w:tr w14:paraId="2420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1BADAF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氰化物</w:t>
            </w:r>
          </w:p>
        </w:tc>
        <w:tc>
          <w:tcPr>
            <w:tcW w:w="404" w:type="pct"/>
            <w:vAlign w:val="center"/>
          </w:tcPr>
          <w:p w14:paraId="46DD10A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7D77BD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0.001L</w:t>
            </w:r>
          </w:p>
        </w:tc>
        <w:tc>
          <w:tcPr>
            <w:tcW w:w="498" w:type="pct"/>
            <w:vAlign w:val="center"/>
          </w:tcPr>
          <w:p w14:paraId="32F6BBC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0.001L</w:t>
            </w:r>
          </w:p>
        </w:tc>
        <w:tc>
          <w:tcPr>
            <w:tcW w:w="325" w:type="pct"/>
            <w:vAlign w:val="center"/>
          </w:tcPr>
          <w:p w14:paraId="1C4D8BE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shd w:val="clear" w:color="auto" w:fill="auto"/>
            <w:vAlign w:val="center"/>
          </w:tcPr>
          <w:p w14:paraId="1B2D050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7939B60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0.001L</w:t>
            </w:r>
          </w:p>
        </w:tc>
        <w:tc>
          <w:tcPr>
            <w:tcW w:w="464" w:type="pct"/>
            <w:vAlign w:val="center"/>
          </w:tcPr>
          <w:p w14:paraId="347A92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0.001L</w:t>
            </w:r>
          </w:p>
        </w:tc>
        <w:tc>
          <w:tcPr>
            <w:tcW w:w="332" w:type="pct"/>
            <w:vAlign w:val="center"/>
          </w:tcPr>
          <w:p w14:paraId="1898973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1020413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36A07F5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0.2</w:t>
            </w:r>
          </w:p>
        </w:tc>
      </w:tr>
      <w:tr w14:paraId="3D529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152BBE5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挥发酚</w:t>
            </w:r>
          </w:p>
        </w:tc>
        <w:tc>
          <w:tcPr>
            <w:tcW w:w="404" w:type="pct"/>
            <w:vAlign w:val="center"/>
          </w:tcPr>
          <w:p w14:paraId="6D272A8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120B42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0.0003L</w:t>
            </w:r>
          </w:p>
        </w:tc>
        <w:tc>
          <w:tcPr>
            <w:tcW w:w="498" w:type="pct"/>
            <w:vAlign w:val="center"/>
          </w:tcPr>
          <w:p w14:paraId="4EC6709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0.0003L</w:t>
            </w:r>
          </w:p>
        </w:tc>
        <w:tc>
          <w:tcPr>
            <w:tcW w:w="325" w:type="pct"/>
            <w:vAlign w:val="center"/>
          </w:tcPr>
          <w:p w14:paraId="1A98AB5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shd w:val="clear" w:color="auto" w:fill="auto"/>
            <w:vAlign w:val="center"/>
          </w:tcPr>
          <w:p w14:paraId="4386677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3F8524B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0.0003L</w:t>
            </w:r>
          </w:p>
        </w:tc>
        <w:tc>
          <w:tcPr>
            <w:tcW w:w="464" w:type="pct"/>
            <w:vAlign w:val="center"/>
          </w:tcPr>
          <w:p w14:paraId="28E1849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0.0003L</w:t>
            </w:r>
          </w:p>
        </w:tc>
        <w:tc>
          <w:tcPr>
            <w:tcW w:w="332" w:type="pct"/>
            <w:vAlign w:val="center"/>
          </w:tcPr>
          <w:p w14:paraId="34CCA7C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2073106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7425ED5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0.005</w:t>
            </w:r>
          </w:p>
        </w:tc>
      </w:tr>
      <w:tr w14:paraId="6B0D4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0701C9E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硫化物</w:t>
            </w:r>
          </w:p>
        </w:tc>
        <w:tc>
          <w:tcPr>
            <w:tcW w:w="404" w:type="pct"/>
            <w:vAlign w:val="center"/>
          </w:tcPr>
          <w:p w14:paraId="1E7D109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5D63AAA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0.02</w:t>
            </w:r>
          </w:p>
        </w:tc>
        <w:tc>
          <w:tcPr>
            <w:tcW w:w="498" w:type="pct"/>
            <w:vAlign w:val="center"/>
          </w:tcPr>
          <w:p w14:paraId="67CC660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0.03</w:t>
            </w:r>
          </w:p>
        </w:tc>
        <w:tc>
          <w:tcPr>
            <w:tcW w:w="325" w:type="pct"/>
            <w:vAlign w:val="center"/>
          </w:tcPr>
          <w:p w14:paraId="0147C93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shd w:val="clear" w:color="auto" w:fill="auto"/>
            <w:vAlign w:val="center"/>
          </w:tcPr>
          <w:p w14:paraId="521E4EC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0.15</w:t>
            </w:r>
          </w:p>
        </w:tc>
        <w:tc>
          <w:tcPr>
            <w:tcW w:w="491" w:type="pct"/>
            <w:vAlign w:val="center"/>
          </w:tcPr>
          <w:p w14:paraId="698E9B7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0.02</w:t>
            </w:r>
          </w:p>
        </w:tc>
        <w:tc>
          <w:tcPr>
            <w:tcW w:w="464" w:type="pct"/>
            <w:vAlign w:val="center"/>
          </w:tcPr>
          <w:p w14:paraId="162437D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0.03</w:t>
            </w:r>
          </w:p>
        </w:tc>
        <w:tc>
          <w:tcPr>
            <w:tcW w:w="332" w:type="pct"/>
            <w:vAlign w:val="center"/>
          </w:tcPr>
          <w:p w14:paraId="79FBAC6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03FCA2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0.15</w:t>
            </w:r>
          </w:p>
        </w:tc>
        <w:tc>
          <w:tcPr>
            <w:tcW w:w="482" w:type="pct"/>
            <w:vAlign w:val="center"/>
          </w:tcPr>
          <w:p w14:paraId="6D4E918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0.2</w:t>
            </w:r>
          </w:p>
        </w:tc>
      </w:tr>
      <w:tr w14:paraId="0BD3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40" w:type="pct"/>
            <w:vAlign w:val="center"/>
          </w:tcPr>
          <w:p w14:paraId="34FD962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阴离子表面活性剂</w:t>
            </w:r>
          </w:p>
        </w:tc>
        <w:tc>
          <w:tcPr>
            <w:tcW w:w="404" w:type="pct"/>
            <w:vAlign w:val="center"/>
          </w:tcPr>
          <w:p w14:paraId="5C48261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3E14E4E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0.083</w:t>
            </w:r>
          </w:p>
        </w:tc>
        <w:tc>
          <w:tcPr>
            <w:tcW w:w="498" w:type="pct"/>
            <w:vAlign w:val="center"/>
          </w:tcPr>
          <w:p w14:paraId="748E966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0.093</w:t>
            </w:r>
          </w:p>
        </w:tc>
        <w:tc>
          <w:tcPr>
            <w:tcW w:w="325" w:type="pct"/>
            <w:vAlign w:val="center"/>
          </w:tcPr>
          <w:p w14:paraId="2D05928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shd w:val="clear" w:color="auto" w:fill="auto"/>
            <w:vAlign w:val="center"/>
          </w:tcPr>
          <w:p w14:paraId="2079C01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0.465</w:t>
            </w:r>
          </w:p>
        </w:tc>
        <w:tc>
          <w:tcPr>
            <w:tcW w:w="491" w:type="pct"/>
            <w:vAlign w:val="center"/>
          </w:tcPr>
          <w:p w14:paraId="4CD6435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0.063</w:t>
            </w:r>
          </w:p>
        </w:tc>
        <w:tc>
          <w:tcPr>
            <w:tcW w:w="464" w:type="pct"/>
            <w:vAlign w:val="center"/>
          </w:tcPr>
          <w:p w14:paraId="4CC0D5E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0.082</w:t>
            </w:r>
          </w:p>
        </w:tc>
        <w:tc>
          <w:tcPr>
            <w:tcW w:w="332" w:type="pct"/>
            <w:vAlign w:val="center"/>
          </w:tcPr>
          <w:p w14:paraId="1CE502C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1FA87D8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0.41</w:t>
            </w:r>
          </w:p>
        </w:tc>
        <w:tc>
          <w:tcPr>
            <w:tcW w:w="482" w:type="pct"/>
            <w:vAlign w:val="center"/>
          </w:tcPr>
          <w:p w14:paraId="742ED7D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0.2</w:t>
            </w:r>
          </w:p>
        </w:tc>
      </w:tr>
      <w:tr w14:paraId="35D7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70B9319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叶绿素a</w:t>
            </w:r>
          </w:p>
        </w:tc>
        <w:tc>
          <w:tcPr>
            <w:tcW w:w="404" w:type="pct"/>
            <w:vAlign w:val="center"/>
          </w:tcPr>
          <w:p w14:paraId="094425E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4246D0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0.009</w:t>
            </w:r>
          </w:p>
        </w:tc>
        <w:tc>
          <w:tcPr>
            <w:tcW w:w="498" w:type="pct"/>
            <w:vAlign w:val="center"/>
          </w:tcPr>
          <w:p w14:paraId="09B62DB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0.011</w:t>
            </w:r>
          </w:p>
        </w:tc>
        <w:tc>
          <w:tcPr>
            <w:tcW w:w="325" w:type="pct"/>
            <w:vAlign w:val="center"/>
          </w:tcPr>
          <w:p w14:paraId="714C4AA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shd w:val="clear" w:color="auto" w:fill="auto"/>
            <w:vAlign w:val="center"/>
          </w:tcPr>
          <w:p w14:paraId="1E74477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441DDE6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0.007</w:t>
            </w:r>
          </w:p>
        </w:tc>
        <w:tc>
          <w:tcPr>
            <w:tcW w:w="464" w:type="pct"/>
            <w:vAlign w:val="center"/>
          </w:tcPr>
          <w:p w14:paraId="7B8A754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0.009</w:t>
            </w:r>
          </w:p>
        </w:tc>
        <w:tc>
          <w:tcPr>
            <w:tcW w:w="332" w:type="pct"/>
            <w:vAlign w:val="center"/>
          </w:tcPr>
          <w:p w14:paraId="4145392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11323D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7544F63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w:t>
            </w:r>
          </w:p>
        </w:tc>
      </w:tr>
      <w:tr w14:paraId="7CEC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6987DE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硫酸盐</w:t>
            </w:r>
          </w:p>
        </w:tc>
        <w:tc>
          <w:tcPr>
            <w:tcW w:w="404" w:type="pct"/>
            <w:vAlign w:val="center"/>
          </w:tcPr>
          <w:p w14:paraId="6ED7CC2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54B8D13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6.54</w:t>
            </w:r>
          </w:p>
        </w:tc>
        <w:tc>
          <w:tcPr>
            <w:tcW w:w="498" w:type="pct"/>
            <w:vAlign w:val="center"/>
          </w:tcPr>
          <w:p w14:paraId="4F1CAE6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6.79</w:t>
            </w:r>
          </w:p>
        </w:tc>
        <w:tc>
          <w:tcPr>
            <w:tcW w:w="325" w:type="pct"/>
            <w:vAlign w:val="center"/>
          </w:tcPr>
          <w:p w14:paraId="73E2D6F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shd w:val="clear" w:color="auto" w:fill="auto"/>
            <w:vAlign w:val="center"/>
          </w:tcPr>
          <w:p w14:paraId="39252E4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0.027</w:t>
            </w:r>
          </w:p>
        </w:tc>
        <w:tc>
          <w:tcPr>
            <w:tcW w:w="491" w:type="pct"/>
            <w:vAlign w:val="center"/>
          </w:tcPr>
          <w:p w14:paraId="51105E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16.8</w:t>
            </w:r>
          </w:p>
        </w:tc>
        <w:tc>
          <w:tcPr>
            <w:tcW w:w="464" w:type="pct"/>
            <w:vAlign w:val="center"/>
          </w:tcPr>
          <w:p w14:paraId="55C790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17</w:t>
            </w:r>
          </w:p>
        </w:tc>
        <w:tc>
          <w:tcPr>
            <w:tcW w:w="332" w:type="pct"/>
            <w:vAlign w:val="center"/>
          </w:tcPr>
          <w:p w14:paraId="6B2B85C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4E70AC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0.068</w:t>
            </w:r>
          </w:p>
        </w:tc>
        <w:tc>
          <w:tcPr>
            <w:tcW w:w="482" w:type="pct"/>
            <w:vAlign w:val="center"/>
          </w:tcPr>
          <w:p w14:paraId="0AEE944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250</w:t>
            </w:r>
          </w:p>
        </w:tc>
      </w:tr>
      <w:tr w14:paraId="5719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2DD1EFA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氯化物</w:t>
            </w:r>
          </w:p>
        </w:tc>
        <w:tc>
          <w:tcPr>
            <w:tcW w:w="404" w:type="pct"/>
            <w:vAlign w:val="center"/>
          </w:tcPr>
          <w:p w14:paraId="5EAF4DD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3ECDD1D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6.44</w:t>
            </w:r>
          </w:p>
        </w:tc>
        <w:tc>
          <w:tcPr>
            <w:tcW w:w="498" w:type="pct"/>
            <w:vAlign w:val="center"/>
          </w:tcPr>
          <w:p w14:paraId="50E7B14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6.52</w:t>
            </w:r>
          </w:p>
        </w:tc>
        <w:tc>
          <w:tcPr>
            <w:tcW w:w="325" w:type="pct"/>
            <w:vAlign w:val="center"/>
          </w:tcPr>
          <w:p w14:paraId="7C8C99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23" w:type="pct"/>
            <w:shd w:val="clear" w:color="auto" w:fill="auto"/>
            <w:vAlign w:val="center"/>
          </w:tcPr>
          <w:p w14:paraId="1C5949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0.026</w:t>
            </w:r>
          </w:p>
        </w:tc>
        <w:tc>
          <w:tcPr>
            <w:tcW w:w="491" w:type="pct"/>
            <w:vAlign w:val="center"/>
          </w:tcPr>
          <w:p w14:paraId="1411D7F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10.2</w:t>
            </w:r>
          </w:p>
        </w:tc>
        <w:tc>
          <w:tcPr>
            <w:tcW w:w="464" w:type="pct"/>
            <w:vAlign w:val="center"/>
          </w:tcPr>
          <w:p w14:paraId="5E63CC0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11.1</w:t>
            </w:r>
          </w:p>
        </w:tc>
        <w:tc>
          <w:tcPr>
            <w:tcW w:w="332" w:type="pct"/>
            <w:vAlign w:val="center"/>
          </w:tcPr>
          <w:p w14:paraId="10D76DF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w:t>
            </w:r>
          </w:p>
        </w:tc>
        <w:tc>
          <w:tcPr>
            <w:tcW w:w="346" w:type="pct"/>
            <w:vAlign w:val="center"/>
          </w:tcPr>
          <w:p w14:paraId="206205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0.044</w:t>
            </w:r>
          </w:p>
        </w:tc>
        <w:tc>
          <w:tcPr>
            <w:tcW w:w="482" w:type="pct"/>
            <w:vAlign w:val="center"/>
          </w:tcPr>
          <w:p w14:paraId="17D6C6E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250</w:t>
            </w:r>
          </w:p>
        </w:tc>
      </w:tr>
      <w:tr w14:paraId="2FDC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585FE05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硝酸盐氮</w:t>
            </w:r>
          </w:p>
        </w:tc>
        <w:tc>
          <w:tcPr>
            <w:tcW w:w="404" w:type="pct"/>
            <w:vAlign w:val="center"/>
          </w:tcPr>
          <w:p w14:paraId="1A137D7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22470EE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0.004L</w:t>
            </w:r>
          </w:p>
        </w:tc>
        <w:tc>
          <w:tcPr>
            <w:tcW w:w="498" w:type="pct"/>
            <w:vAlign w:val="center"/>
          </w:tcPr>
          <w:p w14:paraId="6ACC7BA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0.004L</w:t>
            </w:r>
          </w:p>
        </w:tc>
        <w:tc>
          <w:tcPr>
            <w:tcW w:w="325" w:type="pct"/>
            <w:vAlign w:val="center"/>
          </w:tcPr>
          <w:p w14:paraId="48B526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shd w:val="clear" w:color="auto" w:fill="auto"/>
            <w:vAlign w:val="center"/>
          </w:tcPr>
          <w:p w14:paraId="53D471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6D44A45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0.004L</w:t>
            </w:r>
          </w:p>
        </w:tc>
        <w:tc>
          <w:tcPr>
            <w:tcW w:w="464" w:type="pct"/>
            <w:vAlign w:val="center"/>
          </w:tcPr>
          <w:p w14:paraId="008EC35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0.004L</w:t>
            </w:r>
          </w:p>
        </w:tc>
        <w:tc>
          <w:tcPr>
            <w:tcW w:w="332" w:type="pct"/>
            <w:vAlign w:val="center"/>
          </w:tcPr>
          <w:p w14:paraId="3B12E88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0C25E4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50C895F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10</w:t>
            </w:r>
          </w:p>
        </w:tc>
      </w:tr>
      <w:tr w14:paraId="23E0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361E463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铁</w:t>
            </w:r>
          </w:p>
        </w:tc>
        <w:tc>
          <w:tcPr>
            <w:tcW w:w="404" w:type="pct"/>
            <w:vAlign w:val="center"/>
          </w:tcPr>
          <w:p w14:paraId="5DD210D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6DC8B72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0.01L</w:t>
            </w:r>
          </w:p>
        </w:tc>
        <w:tc>
          <w:tcPr>
            <w:tcW w:w="498" w:type="pct"/>
            <w:vAlign w:val="center"/>
          </w:tcPr>
          <w:p w14:paraId="22CDF0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0.01L</w:t>
            </w:r>
          </w:p>
        </w:tc>
        <w:tc>
          <w:tcPr>
            <w:tcW w:w="325" w:type="pct"/>
            <w:vAlign w:val="center"/>
          </w:tcPr>
          <w:p w14:paraId="5A1B88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shd w:val="clear" w:color="auto" w:fill="auto"/>
            <w:vAlign w:val="center"/>
          </w:tcPr>
          <w:p w14:paraId="6DC87D6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3BCBE41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val="en-US" w:eastAsia="zh-CN" w:bidi="ar"/>
              </w:rPr>
              <w:t>0.01L</w:t>
            </w:r>
          </w:p>
        </w:tc>
        <w:tc>
          <w:tcPr>
            <w:tcW w:w="464" w:type="pct"/>
            <w:vAlign w:val="center"/>
          </w:tcPr>
          <w:p w14:paraId="226589A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val="en-US" w:eastAsia="zh-CN" w:bidi="ar"/>
              </w:rPr>
              <w:t>0.01L</w:t>
            </w:r>
          </w:p>
        </w:tc>
        <w:tc>
          <w:tcPr>
            <w:tcW w:w="332" w:type="pct"/>
            <w:vAlign w:val="center"/>
          </w:tcPr>
          <w:p w14:paraId="0EA7A1B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77A4BDB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2575363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0.3</w:t>
            </w:r>
          </w:p>
        </w:tc>
      </w:tr>
      <w:tr w14:paraId="6FC0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vAlign w:val="center"/>
          </w:tcPr>
          <w:p w14:paraId="49C2E9D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锰</w:t>
            </w:r>
          </w:p>
        </w:tc>
        <w:tc>
          <w:tcPr>
            <w:tcW w:w="404" w:type="pct"/>
            <w:vAlign w:val="center"/>
          </w:tcPr>
          <w:p w14:paraId="1B5C4F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bCs/>
                <w:snapToGrid w:val="0"/>
                <w:color w:val="auto"/>
                <w:kern w:val="0"/>
                <w:sz w:val="22"/>
                <w:szCs w:val="22"/>
                <w:highlight w:val="none"/>
                <w:lang w:bidi="ar"/>
              </w:rPr>
            </w:pPr>
            <w:r>
              <w:rPr>
                <w:rFonts w:hint="default" w:ascii="Arial" w:hAnsi="Arial" w:eastAsia="宋体" w:cs="Arial"/>
                <w:bCs/>
                <w:snapToGrid w:val="0"/>
                <w:color w:val="auto"/>
                <w:kern w:val="0"/>
                <w:sz w:val="22"/>
                <w:szCs w:val="22"/>
                <w:highlight w:val="none"/>
                <w:lang w:bidi="ar"/>
              </w:rPr>
              <w:t>mg/L</w:t>
            </w:r>
          </w:p>
        </w:tc>
        <w:tc>
          <w:tcPr>
            <w:tcW w:w="490" w:type="pct"/>
            <w:vAlign w:val="center"/>
          </w:tcPr>
          <w:p w14:paraId="0969374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0.01L</w:t>
            </w:r>
          </w:p>
        </w:tc>
        <w:tc>
          <w:tcPr>
            <w:tcW w:w="498" w:type="pct"/>
            <w:vAlign w:val="center"/>
          </w:tcPr>
          <w:p w14:paraId="13EFDC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eastAsia="宋体" w:cs="Arial"/>
                <w:snapToGrid w:val="0"/>
                <w:color w:val="auto"/>
                <w:kern w:val="0"/>
                <w:sz w:val="22"/>
                <w:szCs w:val="22"/>
                <w:highlight w:val="none"/>
                <w:lang w:val="en-US" w:eastAsia="zh-CN" w:bidi="ar"/>
              </w:rPr>
              <w:t>0.01L</w:t>
            </w:r>
          </w:p>
        </w:tc>
        <w:tc>
          <w:tcPr>
            <w:tcW w:w="325" w:type="pct"/>
            <w:vAlign w:val="center"/>
          </w:tcPr>
          <w:p w14:paraId="73D1095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23" w:type="pct"/>
            <w:shd w:val="clear" w:color="auto" w:fill="auto"/>
            <w:vAlign w:val="center"/>
          </w:tcPr>
          <w:p w14:paraId="4842A29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91" w:type="pct"/>
            <w:vAlign w:val="center"/>
          </w:tcPr>
          <w:p w14:paraId="0041361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val="en-US" w:eastAsia="zh-CN" w:bidi="ar"/>
              </w:rPr>
              <w:t>0.01L</w:t>
            </w:r>
          </w:p>
        </w:tc>
        <w:tc>
          <w:tcPr>
            <w:tcW w:w="464" w:type="pct"/>
            <w:vAlign w:val="center"/>
          </w:tcPr>
          <w:p w14:paraId="0B901AD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val="en-US" w:eastAsia="zh-CN" w:bidi="ar"/>
              </w:rPr>
              <w:t>0.01L</w:t>
            </w:r>
          </w:p>
        </w:tc>
        <w:tc>
          <w:tcPr>
            <w:tcW w:w="332" w:type="pct"/>
            <w:vAlign w:val="center"/>
          </w:tcPr>
          <w:p w14:paraId="725219E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46" w:type="pct"/>
            <w:vAlign w:val="center"/>
          </w:tcPr>
          <w:p w14:paraId="17627D3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482" w:type="pct"/>
            <w:vAlign w:val="center"/>
          </w:tcPr>
          <w:p w14:paraId="566BF1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eastAsia" w:ascii="Arial" w:hAnsi="Arial" w:eastAsia="宋体" w:cs="Arial"/>
                <w:snapToGrid w:val="0"/>
                <w:color w:val="auto"/>
                <w:kern w:val="0"/>
                <w:sz w:val="22"/>
                <w:szCs w:val="22"/>
                <w:highlight w:val="none"/>
                <w:lang w:eastAsia="zh-CN" w:bidi="ar"/>
              </w:rPr>
              <w:t>≤</w:t>
            </w:r>
            <w:r>
              <w:rPr>
                <w:rFonts w:hint="default" w:ascii="Arial" w:hAnsi="Arial" w:eastAsia="宋体" w:cs="Arial"/>
                <w:snapToGrid w:val="0"/>
                <w:color w:val="auto"/>
                <w:kern w:val="0"/>
                <w:sz w:val="22"/>
                <w:szCs w:val="22"/>
                <w:highlight w:val="none"/>
                <w:lang w:bidi="ar"/>
              </w:rPr>
              <w:t>0.1</w:t>
            </w:r>
          </w:p>
        </w:tc>
      </w:tr>
    </w:tbl>
    <w:p w14:paraId="0C2D6C1E">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eastAsia="宋体" w:cs="Arial"/>
          <w:b/>
          <w:bCs w:val="0"/>
          <w:sz w:val="26"/>
          <w:szCs w:val="26"/>
          <w:lang w:val="en-US" w:eastAsia="zh-CN"/>
        </w:rPr>
      </w:pPr>
    </w:p>
    <w:p w14:paraId="0E4622F8">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eastAsia="宋体" w:cs="Arial"/>
          <w:b/>
          <w:bCs w:val="0"/>
          <w:sz w:val="26"/>
          <w:szCs w:val="26"/>
          <w:lang w:val="en-US" w:eastAsia="zh-CN"/>
        </w:rPr>
      </w:pPr>
    </w:p>
    <w:p w14:paraId="712925C4">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eastAsia="宋体" w:cs="Arial"/>
          <w:b/>
          <w:bCs w:val="0"/>
          <w:sz w:val="26"/>
          <w:szCs w:val="26"/>
          <w:lang w:val="en-US" w:eastAsia="zh-CN"/>
        </w:rPr>
      </w:pPr>
    </w:p>
    <w:p w14:paraId="325F83ED">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eastAsia="宋体" w:cs="Arial"/>
          <w:b/>
          <w:bCs w:val="0"/>
          <w:sz w:val="26"/>
          <w:szCs w:val="26"/>
          <w:lang w:val="en-US" w:eastAsia="zh-CN"/>
        </w:rPr>
      </w:pPr>
    </w:p>
    <w:p w14:paraId="13CADFAD">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eastAsia="宋体" w:cs="Arial"/>
          <w:b/>
          <w:bCs w:val="0"/>
          <w:sz w:val="26"/>
          <w:szCs w:val="26"/>
          <w:lang w:val="en-US" w:eastAsia="zh-CN"/>
        </w:rPr>
      </w:pPr>
    </w:p>
    <w:p w14:paraId="435C68F9">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eastAsia="宋体" w:cs="Arial"/>
          <w:b/>
          <w:bCs w:val="0"/>
          <w:sz w:val="26"/>
          <w:szCs w:val="26"/>
          <w:lang w:val="en-US" w:eastAsia="zh-CN"/>
        </w:rPr>
      </w:pPr>
    </w:p>
    <w:p w14:paraId="35E777CB">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default" w:ascii="Arial" w:hAnsi="Arial" w:eastAsia="宋体" w:cs="Arial"/>
          <w:b/>
          <w:bCs w:val="0"/>
          <w:sz w:val="26"/>
          <w:szCs w:val="26"/>
          <w:lang w:val="en-US" w:eastAsia="zh-CN"/>
        </w:rPr>
        <w:sectPr>
          <w:pgSz w:w="15840" w:h="12240" w:orient="landscape"/>
          <w:pgMar w:top="1701" w:right="1440" w:bottom="1701" w:left="1440" w:header="1077" w:footer="850" w:gutter="0"/>
          <w:pgBorders>
            <w:top w:val="none" w:sz="0" w:space="0"/>
            <w:left w:val="none" w:sz="0" w:space="0"/>
            <w:bottom w:val="none" w:sz="0" w:space="0"/>
            <w:right w:val="none" w:sz="0" w:space="0"/>
          </w:pgBorders>
          <w:pgNumType w:fmt="decimal"/>
          <w:cols w:space="0" w:num="1"/>
          <w:rtlGutter w:val="0"/>
          <w:docGrid w:linePitch="0" w:charSpace="0"/>
        </w:sectPr>
      </w:pPr>
    </w:p>
    <w:p w14:paraId="4EC64286">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eastAsia="宋体" w:cs="Arial"/>
          <w:b w:val="0"/>
          <w:bCs/>
          <w:sz w:val="26"/>
          <w:szCs w:val="26"/>
          <w:lang w:val="en-US" w:eastAsia="zh-CN"/>
        </w:rPr>
      </w:pPr>
      <w:r>
        <w:rPr>
          <w:rFonts w:hint="eastAsia" w:ascii="Arial" w:hAnsi="Arial" w:cs="Arial"/>
          <w:b w:val="0"/>
          <w:bCs/>
          <w:sz w:val="26"/>
          <w:szCs w:val="26"/>
          <w:lang w:val="en-US" w:eastAsia="zh-CN"/>
        </w:rPr>
        <w:t>由表4.3-5~4.3.6可知，海螺沟、双龙河监测断面枯水期、丰水期</w:t>
      </w:r>
      <w:r>
        <w:rPr>
          <w:rFonts w:ascii="Arial" w:hAnsi="宋体" w:cs="Arial"/>
          <w:b w:val="0"/>
          <w:bCs/>
          <w:sz w:val="26"/>
          <w:szCs w:val="26"/>
        </w:rPr>
        <w:t>各项</w:t>
      </w:r>
      <w:r>
        <w:rPr>
          <w:rFonts w:hint="eastAsia" w:ascii="Arial" w:hAnsi="宋体" w:cs="Arial"/>
          <w:b w:val="0"/>
          <w:bCs/>
          <w:sz w:val="26"/>
          <w:szCs w:val="26"/>
          <w:lang w:eastAsia="zh-CN"/>
        </w:rPr>
        <w:t>监测因子</w:t>
      </w:r>
      <w:r>
        <w:rPr>
          <w:rFonts w:ascii="Arial" w:hAnsi="宋体" w:cs="Arial"/>
          <w:b w:val="0"/>
          <w:bCs/>
          <w:sz w:val="26"/>
          <w:szCs w:val="26"/>
        </w:rPr>
        <w:t>指标的</w:t>
      </w:r>
      <w:r>
        <w:rPr>
          <w:rFonts w:hint="eastAsia" w:ascii="Arial" w:hAnsi="宋体" w:cs="Arial"/>
          <w:b w:val="0"/>
          <w:bCs/>
          <w:sz w:val="26"/>
          <w:szCs w:val="26"/>
        </w:rPr>
        <w:t>S</w:t>
      </w:r>
      <w:r>
        <w:rPr>
          <w:rFonts w:hint="eastAsia" w:ascii="Arial" w:hAnsi="宋体" w:cs="Arial"/>
          <w:b w:val="0"/>
          <w:bCs/>
          <w:sz w:val="26"/>
          <w:szCs w:val="26"/>
          <w:vertAlign w:val="subscript"/>
        </w:rPr>
        <w:t>ij</w:t>
      </w:r>
      <w:r>
        <w:rPr>
          <w:rFonts w:ascii="Arial" w:hAnsi="宋体" w:cs="Arial"/>
          <w:b w:val="0"/>
          <w:bCs/>
          <w:sz w:val="26"/>
          <w:szCs w:val="26"/>
        </w:rPr>
        <w:t>值均小于1，表明未超标，水环境质量</w:t>
      </w:r>
      <w:r>
        <w:rPr>
          <w:rFonts w:hint="eastAsia" w:ascii="Arial" w:hAnsi="宋体" w:cs="Arial"/>
          <w:b w:val="0"/>
          <w:bCs/>
          <w:sz w:val="26"/>
          <w:szCs w:val="26"/>
          <w:lang w:eastAsia="zh-CN"/>
        </w:rPr>
        <w:t>现状</w:t>
      </w:r>
      <w:r>
        <w:rPr>
          <w:rFonts w:ascii="Arial" w:hAnsi="宋体" w:cs="Arial"/>
          <w:b w:val="0"/>
          <w:bCs/>
          <w:sz w:val="26"/>
          <w:szCs w:val="26"/>
        </w:rPr>
        <w:t>满足《地表水环境质量标准》（GB3838-2002）</w:t>
      </w:r>
      <w:r>
        <w:rPr>
          <w:rFonts w:hint="eastAsia" w:ascii="Arial" w:hAnsi="宋体" w:cs="Arial"/>
          <w:b w:val="0"/>
          <w:bCs/>
          <w:sz w:val="26"/>
          <w:szCs w:val="26"/>
        </w:rPr>
        <w:t>Ⅲ</w:t>
      </w:r>
      <w:r>
        <w:rPr>
          <w:rFonts w:ascii="Arial" w:hAnsi="宋体" w:cs="Arial"/>
          <w:b w:val="0"/>
          <w:bCs/>
          <w:sz w:val="26"/>
          <w:szCs w:val="26"/>
        </w:rPr>
        <w:t>类水域标准</w:t>
      </w:r>
      <w:r>
        <w:rPr>
          <w:rFonts w:hint="eastAsia" w:ascii="Arial" w:hAnsi="宋体" w:cs="Arial"/>
          <w:b w:val="0"/>
          <w:bCs/>
          <w:sz w:val="26"/>
          <w:szCs w:val="26"/>
          <w:lang w:eastAsia="zh-CN"/>
        </w:rPr>
        <w:t>。</w:t>
      </w:r>
    </w:p>
    <w:p w14:paraId="0C3BC933">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default" w:ascii="Arial" w:hAnsi="Arial" w:cs="Arial"/>
          <w:b/>
          <w:bCs w:val="0"/>
          <w:sz w:val="26"/>
          <w:szCs w:val="26"/>
          <w:lang w:val="en-US" w:eastAsia="zh-CN"/>
        </w:rPr>
      </w:pPr>
      <w:r>
        <w:rPr>
          <w:rFonts w:hint="eastAsia" w:ascii="Arial" w:hAnsi="Arial" w:cs="Arial"/>
          <w:b/>
          <w:bCs w:val="0"/>
          <w:sz w:val="26"/>
          <w:szCs w:val="26"/>
          <w:lang w:val="en-US" w:eastAsia="zh-CN"/>
        </w:rPr>
        <w:t>（4）库区水质现状监测</w:t>
      </w:r>
    </w:p>
    <w:p w14:paraId="1F11FCCF">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cs="Arial"/>
          <w:b w:val="0"/>
          <w:bCs/>
          <w:color w:val="auto"/>
          <w:sz w:val="26"/>
          <w:szCs w:val="26"/>
          <w:lang w:val="en-US" w:eastAsia="zh-CN"/>
        </w:rPr>
      </w:pPr>
      <w:r>
        <w:rPr>
          <w:rFonts w:hint="eastAsia" w:ascii="Arial" w:hAnsi="Arial" w:cs="Arial"/>
          <w:b w:val="0"/>
          <w:bCs/>
          <w:sz w:val="26"/>
          <w:szCs w:val="26"/>
          <w:lang w:val="en-US" w:eastAsia="zh-CN"/>
        </w:rPr>
        <w:t>海螺沟水库建成后，具有饮用水源功能，</w:t>
      </w:r>
      <w:r>
        <w:rPr>
          <w:rFonts w:hint="eastAsia" w:ascii="Arial" w:cs="Arial"/>
          <w:b w:val="0"/>
          <w:bCs/>
          <w:color w:val="auto"/>
          <w:sz w:val="26"/>
          <w:szCs w:val="26"/>
        </w:rPr>
        <w:t>根据《饮用水水源保护区划分技术规范》（HJ 338-2018）“4.2.1 地表水饮用水水源保护区及准保护区水质要求”：地表水饮用水水源一级保护区水质基本项目</w:t>
      </w:r>
      <w:r>
        <w:rPr>
          <w:rFonts w:hint="eastAsia" w:ascii="Arial" w:cs="Arial"/>
          <w:b w:val="0"/>
          <w:bCs/>
          <w:color w:val="auto"/>
          <w:sz w:val="26"/>
          <w:szCs w:val="26"/>
          <w:lang w:eastAsia="zh-CN"/>
        </w:rPr>
        <w:t>限值</w:t>
      </w:r>
      <w:r>
        <w:rPr>
          <w:rFonts w:hint="eastAsia" w:ascii="Arial" w:cs="Arial"/>
          <w:b w:val="0"/>
          <w:bCs/>
          <w:color w:val="auto"/>
          <w:sz w:val="26"/>
          <w:szCs w:val="26"/>
        </w:rPr>
        <w:t>不得超过《地表水环境质量标准》（GB3838-2002）中Ⅱ类标准要求，地表水饮用水水源二级保护区水质基本项目</w:t>
      </w:r>
      <w:r>
        <w:rPr>
          <w:rFonts w:hint="eastAsia" w:ascii="Arial" w:cs="Arial"/>
          <w:b w:val="0"/>
          <w:bCs/>
          <w:color w:val="auto"/>
          <w:sz w:val="26"/>
          <w:szCs w:val="26"/>
          <w:lang w:eastAsia="zh-CN"/>
        </w:rPr>
        <w:t>限值</w:t>
      </w:r>
      <w:r>
        <w:rPr>
          <w:rFonts w:hint="eastAsia" w:ascii="Arial" w:cs="Arial"/>
          <w:b w:val="0"/>
          <w:bCs/>
          <w:color w:val="auto"/>
          <w:sz w:val="26"/>
          <w:szCs w:val="26"/>
        </w:rPr>
        <w:t>不得超过《地表水环境质量标准》（GB3838-2002）中Ⅲ类标准要求。</w:t>
      </w:r>
      <w:r>
        <w:rPr>
          <w:rFonts w:hint="eastAsia" w:ascii="Arial" w:cs="Arial"/>
          <w:b w:val="0"/>
          <w:bCs/>
          <w:color w:val="auto"/>
          <w:sz w:val="26"/>
          <w:szCs w:val="26"/>
          <w:lang w:eastAsia="zh-CN"/>
        </w:rPr>
        <w:t>为此，本报告引用丰都县水质监测中心于</w:t>
      </w:r>
      <w:r>
        <w:rPr>
          <w:rFonts w:hint="eastAsia" w:ascii="Arial" w:cs="Arial"/>
          <w:b w:val="0"/>
          <w:bCs/>
          <w:color w:val="auto"/>
          <w:sz w:val="26"/>
          <w:szCs w:val="26"/>
          <w:lang w:val="en-US" w:eastAsia="zh-CN"/>
        </w:rPr>
        <w:t>2023年4月13日对海螺沟水库库区范围内水质进行取样监测得出的数据来进行评价。监测结果详见表4.3-7所示。</w:t>
      </w:r>
    </w:p>
    <w:p w14:paraId="3155E9D2">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cs="Arial"/>
          <w:b/>
          <w:bCs w:val="0"/>
          <w:color w:val="auto"/>
          <w:sz w:val="26"/>
          <w:szCs w:val="26"/>
          <w:lang w:val="en-US" w:eastAsia="zh-CN"/>
        </w:rPr>
      </w:pPr>
      <w:r>
        <w:rPr>
          <w:rFonts w:hint="eastAsia" w:ascii="Arial" w:cs="Arial"/>
          <w:b/>
          <w:bCs w:val="0"/>
          <w:color w:val="auto"/>
          <w:sz w:val="26"/>
          <w:szCs w:val="26"/>
          <w:lang w:val="en-US" w:eastAsia="zh-CN"/>
        </w:rPr>
        <w:t>表4.3-7 海螺沟水库库区范围内水质现状监测结果一览表  单位：mg/L</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19"/>
        <w:gridCol w:w="2483"/>
        <w:gridCol w:w="1359"/>
        <w:gridCol w:w="1287"/>
        <w:gridCol w:w="1170"/>
        <w:gridCol w:w="1419"/>
      </w:tblGrid>
      <w:tr w14:paraId="0C82F8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919" w:type="dxa"/>
            <w:noWrap w:val="0"/>
            <w:vAlign w:val="center"/>
          </w:tcPr>
          <w:p w14:paraId="67E6590F">
            <w:pPr>
              <w:spacing w:line="300" w:lineRule="exact"/>
              <w:jc w:val="center"/>
              <w:rPr>
                <w:rFonts w:ascii="Arial" w:hAnsi="Arial" w:cs="Arial"/>
                <w:color w:val="auto"/>
                <w:sz w:val="22"/>
              </w:rPr>
            </w:pPr>
            <w:r>
              <w:rPr>
                <w:rFonts w:ascii="Arial" w:hAnsi="Arial" w:cs="Arial"/>
                <w:color w:val="auto"/>
                <w:sz w:val="22"/>
              </w:rPr>
              <w:t>序号</w:t>
            </w:r>
          </w:p>
        </w:tc>
        <w:tc>
          <w:tcPr>
            <w:tcW w:w="2483" w:type="dxa"/>
            <w:noWrap w:val="0"/>
            <w:vAlign w:val="center"/>
          </w:tcPr>
          <w:p w14:paraId="7678BD64">
            <w:pPr>
              <w:spacing w:line="300" w:lineRule="exact"/>
              <w:jc w:val="right"/>
              <w:rPr>
                <w:rFonts w:ascii="Arial" w:hAnsi="Arial" w:cs="Arial"/>
                <w:color w:val="auto"/>
                <w:sz w:val="22"/>
              </w:rPr>
            </w:pPr>
            <w:r>
              <w:rPr>
                <w:rFonts w:ascii="Arial" w:hAnsi="Arial" w:cs="Arial"/>
                <w:color w:val="auto"/>
                <w:sz w:val="22"/>
              </w:rPr>
              <w:t>样品名称及编号</w:t>
            </w:r>
          </w:p>
          <w:p w14:paraId="7FD215E1">
            <w:pPr>
              <w:spacing w:line="300" w:lineRule="exact"/>
              <w:jc w:val="left"/>
              <w:rPr>
                <w:rFonts w:ascii="Arial" w:hAnsi="Arial" w:cs="Arial"/>
                <w:color w:val="auto"/>
                <w:sz w:val="22"/>
              </w:rPr>
            </w:pPr>
            <w:r>
              <w:rPr>
                <w:rFonts w:ascii="Arial" w:hAnsi="Arial" w:cs="Arial"/>
                <w:color w:val="auto"/>
                <w:sz w:val="22"/>
              </w:rPr>
              <w:t>检测项目</w:t>
            </w:r>
          </w:p>
        </w:tc>
        <w:tc>
          <w:tcPr>
            <w:tcW w:w="1359" w:type="dxa"/>
            <w:noWrap w:val="0"/>
            <w:vAlign w:val="center"/>
          </w:tcPr>
          <w:p w14:paraId="04AD215D">
            <w:pPr>
              <w:spacing w:line="300" w:lineRule="exact"/>
              <w:jc w:val="center"/>
              <w:rPr>
                <w:rFonts w:hint="eastAsia" w:ascii="Arial" w:hAnsi="Arial" w:eastAsia="宋体" w:cs="Arial"/>
                <w:color w:val="auto"/>
                <w:sz w:val="22"/>
                <w:lang w:eastAsia="zh-CN"/>
              </w:rPr>
            </w:pPr>
            <w:r>
              <w:rPr>
                <w:rFonts w:hint="eastAsia" w:ascii="Arial" w:hAnsi="Arial" w:cs="Arial"/>
                <w:color w:val="auto"/>
                <w:sz w:val="22"/>
                <w:lang w:eastAsia="zh-CN"/>
              </w:rPr>
              <w:t>监测值</w:t>
            </w:r>
          </w:p>
        </w:tc>
        <w:tc>
          <w:tcPr>
            <w:tcW w:w="1287" w:type="dxa"/>
            <w:noWrap w:val="0"/>
            <w:vAlign w:val="center"/>
          </w:tcPr>
          <w:p w14:paraId="6F204C81">
            <w:pPr>
              <w:spacing w:line="300" w:lineRule="exact"/>
              <w:jc w:val="center"/>
              <w:rPr>
                <w:rFonts w:ascii="Arial" w:hAnsi="Arial" w:cs="Arial"/>
                <w:color w:val="auto"/>
                <w:sz w:val="22"/>
              </w:rPr>
            </w:pPr>
            <w:r>
              <w:rPr>
                <w:rFonts w:ascii="Arial" w:hAnsi="Arial" w:cs="Arial"/>
                <w:color w:val="auto"/>
                <w:sz w:val="22"/>
              </w:rPr>
              <w:t>标准限值</w:t>
            </w:r>
          </w:p>
        </w:tc>
        <w:tc>
          <w:tcPr>
            <w:tcW w:w="1170" w:type="dxa"/>
            <w:noWrap w:val="0"/>
            <w:vAlign w:val="center"/>
          </w:tcPr>
          <w:p w14:paraId="7D3CE856">
            <w:pPr>
              <w:spacing w:line="300" w:lineRule="exact"/>
              <w:jc w:val="center"/>
              <w:rPr>
                <w:rFonts w:ascii="Arial" w:hAnsi="Arial" w:cs="Arial"/>
                <w:color w:val="auto"/>
                <w:sz w:val="22"/>
              </w:rPr>
            </w:pPr>
            <w:r>
              <w:rPr>
                <w:rFonts w:ascii="Arial" w:hAnsi="Arial" w:cs="Arial"/>
                <w:color w:val="auto"/>
                <w:sz w:val="22"/>
              </w:rPr>
              <w:t>S</w:t>
            </w:r>
            <w:r>
              <w:rPr>
                <w:rFonts w:ascii="Arial" w:hAnsi="Arial" w:cs="Arial"/>
                <w:color w:val="auto"/>
                <w:sz w:val="22"/>
                <w:vertAlign w:val="subscript"/>
              </w:rPr>
              <w:t>ij</w:t>
            </w:r>
          </w:p>
        </w:tc>
        <w:tc>
          <w:tcPr>
            <w:tcW w:w="1419" w:type="dxa"/>
            <w:noWrap w:val="0"/>
            <w:vAlign w:val="center"/>
          </w:tcPr>
          <w:p w14:paraId="4152F052">
            <w:pPr>
              <w:spacing w:line="300" w:lineRule="exact"/>
              <w:jc w:val="center"/>
              <w:rPr>
                <w:rFonts w:ascii="Arial" w:hAnsi="Arial" w:cs="Arial"/>
                <w:color w:val="auto"/>
                <w:sz w:val="22"/>
              </w:rPr>
            </w:pPr>
            <w:r>
              <w:rPr>
                <w:rFonts w:ascii="Arial" w:hAnsi="Arial" w:cs="Arial"/>
                <w:color w:val="auto"/>
                <w:sz w:val="22"/>
              </w:rPr>
              <w:t>是否超标</w:t>
            </w:r>
          </w:p>
        </w:tc>
      </w:tr>
      <w:tr w14:paraId="56FC8D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919" w:type="dxa"/>
            <w:noWrap w:val="0"/>
            <w:vAlign w:val="center"/>
          </w:tcPr>
          <w:p w14:paraId="3F70A1EF">
            <w:pPr>
              <w:spacing w:line="300" w:lineRule="exact"/>
              <w:jc w:val="center"/>
              <w:rPr>
                <w:rFonts w:ascii="Arial" w:hAnsi="Arial" w:cs="Arial"/>
                <w:color w:val="auto"/>
                <w:sz w:val="22"/>
              </w:rPr>
            </w:pPr>
            <w:r>
              <w:rPr>
                <w:rFonts w:hint="eastAsia" w:ascii="Arial" w:hAnsi="Arial" w:cs="Arial"/>
                <w:color w:val="auto"/>
                <w:sz w:val="22"/>
              </w:rPr>
              <w:t>1</w:t>
            </w:r>
          </w:p>
        </w:tc>
        <w:tc>
          <w:tcPr>
            <w:tcW w:w="2483" w:type="dxa"/>
            <w:noWrap w:val="0"/>
            <w:vAlign w:val="center"/>
          </w:tcPr>
          <w:p w14:paraId="6C45542F">
            <w:pPr>
              <w:spacing w:line="300" w:lineRule="exact"/>
              <w:jc w:val="center"/>
              <w:rPr>
                <w:rFonts w:ascii="Arial" w:hAnsi="Arial" w:cs="Arial"/>
                <w:color w:val="auto"/>
                <w:sz w:val="22"/>
              </w:rPr>
            </w:pPr>
            <w:r>
              <w:rPr>
                <w:rFonts w:hint="eastAsia" w:ascii="Arial" w:hAnsi="Arial" w:cs="Arial"/>
                <w:color w:val="auto"/>
                <w:sz w:val="22"/>
              </w:rPr>
              <w:t>水温（℃）</w:t>
            </w:r>
          </w:p>
        </w:tc>
        <w:tc>
          <w:tcPr>
            <w:tcW w:w="1359" w:type="dxa"/>
            <w:noWrap w:val="0"/>
            <w:vAlign w:val="center"/>
          </w:tcPr>
          <w:p w14:paraId="3E3751EC">
            <w:pPr>
              <w:spacing w:line="300" w:lineRule="exact"/>
              <w:jc w:val="center"/>
              <w:rPr>
                <w:rFonts w:hint="default" w:ascii="Arial" w:hAnsi="Arial" w:eastAsia="宋体" w:cs="Arial"/>
                <w:color w:val="auto"/>
                <w:sz w:val="22"/>
                <w:lang w:val="en-US" w:eastAsia="zh-CN"/>
              </w:rPr>
            </w:pPr>
            <w:r>
              <w:rPr>
                <w:rFonts w:hint="eastAsia" w:ascii="Arial" w:hAnsi="Arial" w:cs="Arial"/>
                <w:color w:val="auto"/>
                <w:sz w:val="22"/>
                <w:lang w:val="en-US" w:eastAsia="zh-CN"/>
              </w:rPr>
              <w:t>19.6</w:t>
            </w:r>
          </w:p>
        </w:tc>
        <w:tc>
          <w:tcPr>
            <w:tcW w:w="1287" w:type="dxa"/>
            <w:noWrap w:val="0"/>
            <w:vAlign w:val="center"/>
          </w:tcPr>
          <w:p w14:paraId="0CDDD8A6">
            <w:pPr>
              <w:spacing w:line="300" w:lineRule="exact"/>
              <w:jc w:val="center"/>
              <w:rPr>
                <w:rFonts w:ascii="Arial" w:hAnsi="Arial" w:cs="Arial"/>
                <w:color w:val="auto"/>
                <w:sz w:val="22"/>
              </w:rPr>
            </w:pPr>
            <w:r>
              <w:rPr>
                <w:rFonts w:hint="eastAsia" w:ascii="Arial" w:hAnsi="Arial" w:cs="Arial"/>
                <w:color w:val="auto"/>
                <w:sz w:val="22"/>
              </w:rPr>
              <w:t>/</w:t>
            </w:r>
          </w:p>
        </w:tc>
        <w:tc>
          <w:tcPr>
            <w:tcW w:w="1170" w:type="dxa"/>
            <w:noWrap w:val="0"/>
            <w:vAlign w:val="center"/>
          </w:tcPr>
          <w:p w14:paraId="21AC1061">
            <w:pPr>
              <w:spacing w:line="300" w:lineRule="exact"/>
              <w:jc w:val="center"/>
              <w:rPr>
                <w:rFonts w:ascii="Arial" w:hAnsi="Arial" w:cs="Arial"/>
                <w:color w:val="auto"/>
                <w:sz w:val="22"/>
              </w:rPr>
            </w:pPr>
            <w:r>
              <w:rPr>
                <w:rFonts w:hint="eastAsia" w:ascii="Arial" w:hAnsi="Arial" w:cs="Arial"/>
                <w:color w:val="auto"/>
                <w:sz w:val="22"/>
              </w:rPr>
              <w:t>/</w:t>
            </w:r>
          </w:p>
        </w:tc>
        <w:tc>
          <w:tcPr>
            <w:tcW w:w="1419" w:type="dxa"/>
            <w:noWrap w:val="0"/>
            <w:vAlign w:val="center"/>
          </w:tcPr>
          <w:p w14:paraId="562D5296">
            <w:pPr>
              <w:spacing w:line="300" w:lineRule="exact"/>
              <w:jc w:val="center"/>
              <w:rPr>
                <w:rFonts w:ascii="Arial" w:hAnsi="Arial" w:cs="Arial"/>
                <w:color w:val="auto"/>
                <w:sz w:val="22"/>
              </w:rPr>
            </w:pPr>
            <w:r>
              <w:rPr>
                <w:rFonts w:hint="eastAsia" w:ascii="Arial" w:hAnsi="Arial" w:cs="Arial"/>
                <w:color w:val="auto"/>
                <w:sz w:val="22"/>
              </w:rPr>
              <w:t>/</w:t>
            </w:r>
          </w:p>
        </w:tc>
      </w:tr>
      <w:tr w14:paraId="2A751D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919" w:type="dxa"/>
            <w:noWrap w:val="0"/>
            <w:vAlign w:val="center"/>
          </w:tcPr>
          <w:p w14:paraId="377ADDEB">
            <w:pPr>
              <w:spacing w:line="300" w:lineRule="exact"/>
              <w:jc w:val="center"/>
              <w:rPr>
                <w:rFonts w:ascii="Arial" w:hAnsi="Arial" w:cs="Arial"/>
                <w:color w:val="auto"/>
                <w:sz w:val="22"/>
              </w:rPr>
            </w:pPr>
            <w:r>
              <w:rPr>
                <w:rFonts w:hint="eastAsia" w:ascii="Arial" w:hAnsi="Arial" w:cs="Arial"/>
                <w:color w:val="auto"/>
                <w:sz w:val="22"/>
              </w:rPr>
              <w:t>2</w:t>
            </w:r>
          </w:p>
        </w:tc>
        <w:tc>
          <w:tcPr>
            <w:tcW w:w="2483" w:type="dxa"/>
            <w:noWrap w:val="0"/>
            <w:vAlign w:val="center"/>
          </w:tcPr>
          <w:p w14:paraId="32F366A4">
            <w:pPr>
              <w:spacing w:line="300" w:lineRule="exact"/>
              <w:jc w:val="center"/>
              <w:rPr>
                <w:rFonts w:ascii="Arial" w:hAnsi="Arial" w:cs="Arial"/>
                <w:color w:val="auto"/>
                <w:sz w:val="22"/>
              </w:rPr>
            </w:pPr>
            <w:r>
              <w:rPr>
                <w:rFonts w:hint="eastAsia" w:ascii="Arial" w:hAnsi="Arial" w:cs="Arial"/>
                <w:color w:val="auto"/>
                <w:sz w:val="22"/>
              </w:rPr>
              <w:t>pH（无量纲）</w:t>
            </w:r>
          </w:p>
        </w:tc>
        <w:tc>
          <w:tcPr>
            <w:tcW w:w="1359" w:type="dxa"/>
            <w:noWrap w:val="0"/>
            <w:vAlign w:val="center"/>
          </w:tcPr>
          <w:p w14:paraId="5097EF93">
            <w:pPr>
              <w:spacing w:line="300" w:lineRule="exact"/>
              <w:jc w:val="center"/>
              <w:rPr>
                <w:rFonts w:hint="default" w:ascii="Arial" w:hAnsi="Arial" w:eastAsia="宋体" w:cs="Arial"/>
                <w:color w:val="auto"/>
                <w:sz w:val="22"/>
                <w:lang w:val="en-US" w:eastAsia="zh-CN"/>
              </w:rPr>
            </w:pPr>
            <w:r>
              <w:rPr>
                <w:rFonts w:hint="eastAsia" w:ascii="Arial" w:hAnsi="Arial" w:cs="Arial"/>
                <w:color w:val="auto"/>
                <w:sz w:val="22"/>
                <w:lang w:val="en-US" w:eastAsia="zh-CN"/>
              </w:rPr>
              <w:t>8.3</w:t>
            </w:r>
          </w:p>
        </w:tc>
        <w:tc>
          <w:tcPr>
            <w:tcW w:w="1287" w:type="dxa"/>
            <w:noWrap w:val="0"/>
            <w:vAlign w:val="center"/>
          </w:tcPr>
          <w:p w14:paraId="4D4E5E55">
            <w:pPr>
              <w:spacing w:line="300" w:lineRule="exact"/>
              <w:jc w:val="center"/>
              <w:rPr>
                <w:rFonts w:ascii="Arial" w:hAnsi="Arial" w:cs="Arial"/>
                <w:color w:val="auto"/>
                <w:sz w:val="22"/>
              </w:rPr>
            </w:pPr>
            <w:r>
              <w:rPr>
                <w:rFonts w:hint="eastAsia" w:ascii="Arial" w:hAnsi="Arial" w:cs="Arial"/>
                <w:color w:val="auto"/>
                <w:sz w:val="22"/>
              </w:rPr>
              <w:t>6~9</w:t>
            </w:r>
          </w:p>
        </w:tc>
        <w:tc>
          <w:tcPr>
            <w:tcW w:w="1170" w:type="dxa"/>
            <w:noWrap w:val="0"/>
            <w:vAlign w:val="center"/>
          </w:tcPr>
          <w:p w14:paraId="05FF3EF1">
            <w:pPr>
              <w:spacing w:line="300" w:lineRule="exact"/>
              <w:jc w:val="center"/>
              <w:rPr>
                <w:rFonts w:hint="default" w:ascii="Arial" w:hAnsi="Arial" w:eastAsia="宋体" w:cs="Arial"/>
                <w:color w:val="auto"/>
                <w:sz w:val="22"/>
                <w:lang w:val="en-US" w:eastAsia="zh-CN"/>
              </w:rPr>
            </w:pPr>
            <w:r>
              <w:rPr>
                <w:rFonts w:hint="eastAsia" w:ascii="Arial" w:hAnsi="Arial" w:cs="Arial"/>
                <w:color w:val="auto"/>
                <w:sz w:val="22"/>
                <w:lang w:val="en-US" w:eastAsia="zh-CN"/>
              </w:rPr>
              <w:t>0.65</w:t>
            </w:r>
          </w:p>
        </w:tc>
        <w:tc>
          <w:tcPr>
            <w:tcW w:w="1419" w:type="dxa"/>
            <w:noWrap w:val="0"/>
            <w:vAlign w:val="center"/>
          </w:tcPr>
          <w:p w14:paraId="4310EBDD">
            <w:pPr>
              <w:spacing w:line="300" w:lineRule="exact"/>
              <w:jc w:val="center"/>
              <w:rPr>
                <w:rFonts w:ascii="Arial" w:hAnsi="Arial" w:cs="Arial"/>
                <w:color w:val="auto"/>
                <w:sz w:val="22"/>
              </w:rPr>
            </w:pPr>
            <w:r>
              <w:rPr>
                <w:rFonts w:hint="eastAsia" w:ascii="Arial" w:hAnsi="Arial" w:cs="Arial"/>
                <w:color w:val="auto"/>
                <w:sz w:val="22"/>
              </w:rPr>
              <w:t>否</w:t>
            </w:r>
          </w:p>
        </w:tc>
      </w:tr>
      <w:tr w14:paraId="560349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919" w:type="dxa"/>
            <w:noWrap w:val="0"/>
            <w:vAlign w:val="center"/>
          </w:tcPr>
          <w:p w14:paraId="265B870A">
            <w:pPr>
              <w:spacing w:line="300" w:lineRule="exact"/>
              <w:jc w:val="center"/>
              <w:rPr>
                <w:rFonts w:ascii="Arial" w:hAnsi="Arial" w:cs="Arial"/>
                <w:color w:val="auto"/>
                <w:sz w:val="22"/>
              </w:rPr>
            </w:pPr>
            <w:r>
              <w:rPr>
                <w:rFonts w:hint="eastAsia" w:ascii="Arial" w:hAnsi="Arial" w:cs="Arial"/>
                <w:color w:val="auto"/>
                <w:sz w:val="22"/>
              </w:rPr>
              <w:t>3</w:t>
            </w:r>
          </w:p>
        </w:tc>
        <w:tc>
          <w:tcPr>
            <w:tcW w:w="2483" w:type="dxa"/>
            <w:noWrap w:val="0"/>
            <w:vAlign w:val="center"/>
          </w:tcPr>
          <w:p w14:paraId="460EAE88">
            <w:pPr>
              <w:spacing w:line="300" w:lineRule="exact"/>
              <w:jc w:val="center"/>
              <w:rPr>
                <w:rFonts w:ascii="Arial" w:hAnsi="Arial" w:cs="Arial"/>
                <w:color w:val="auto"/>
                <w:sz w:val="22"/>
              </w:rPr>
            </w:pPr>
            <w:r>
              <w:rPr>
                <w:rFonts w:hint="eastAsia" w:ascii="Arial" w:hAnsi="Arial" w:cs="Arial"/>
                <w:color w:val="auto"/>
                <w:sz w:val="22"/>
              </w:rPr>
              <w:t>溶解氧（mg/L）</w:t>
            </w:r>
          </w:p>
        </w:tc>
        <w:tc>
          <w:tcPr>
            <w:tcW w:w="1359" w:type="dxa"/>
            <w:noWrap w:val="0"/>
            <w:vAlign w:val="center"/>
          </w:tcPr>
          <w:p w14:paraId="4C396C20">
            <w:pPr>
              <w:spacing w:line="300" w:lineRule="exact"/>
              <w:jc w:val="center"/>
              <w:rPr>
                <w:rFonts w:hint="default" w:ascii="Arial" w:hAnsi="Arial" w:eastAsia="宋体" w:cs="Arial"/>
                <w:color w:val="auto"/>
                <w:sz w:val="22"/>
                <w:lang w:val="en-US" w:eastAsia="zh-CN"/>
              </w:rPr>
            </w:pPr>
            <w:r>
              <w:rPr>
                <w:rFonts w:hint="eastAsia" w:ascii="Arial" w:hAnsi="Arial" w:cs="Arial"/>
                <w:color w:val="auto"/>
                <w:sz w:val="22"/>
                <w:lang w:val="en-US" w:eastAsia="zh-CN"/>
              </w:rPr>
              <w:t>8.2</w:t>
            </w:r>
          </w:p>
        </w:tc>
        <w:tc>
          <w:tcPr>
            <w:tcW w:w="1287" w:type="dxa"/>
            <w:noWrap w:val="0"/>
            <w:vAlign w:val="center"/>
          </w:tcPr>
          <w:p w14:paraId="59B11AF3">
            <w:pPr>
              <w:spacing w:line="300" w:lineRule="exact"/>
              <w:jc w:val="center"/>
              <w:rPr>
                <w:rFonts w:hint="default" w:ascii="Arial" w:hAnsi="Arial" w:eastAsia="宋体" w:cs="Arial"/>
                <w:color w:val="auto"/>
                <w:sz w:val="22"/>
                <w:lang w:val="en-US" w:eastAsia="zh-CN"/>
              </w:rPr>
            </w:pPr>
            <w:r>
              <w:rPr>
                <w:rFonts w:hint="eastAsia" w:ascii="Arial" w:hAnsi="Arial" w:cs="Arial"/>
                <w:color w:val="auto"/>
                <w:sz w:val="22"/>
              </w:rPr>
              <w:t>＞6</w:t>
            </w:r>
          </w:p>
        </w:tc>
        <w:tc>
          <w:tcPr>
            <w:tcW w:w="1170" w:type="dxa"/>
            <w:noWrap w:val="0"/>
            <w:vAlign w:val="center"/>
          </w:tcPr>
          <w:p w14:paraId="27A0BD4A">
            <w:pPr>
              <w:spacing w:line="300" w:lineRule="exact"/>
              <w:jc w:val="center"/>
              <w:rPr>
                <w:rFonts w:hint="default" w:ascii="Arial" w:hAnsi="Arial" w:eastAsia="宋体" w:cs="Arial"/>
                <w:color w:val="auto"/>
                <w:sz w:val="22"/>
                <w:lang w:val="en-US" w:eastAsia="zh-CN"/>
              </w:rPr>
            </w:pPr>
            <w:r>
              <w:rPr>
                <w:rFonts w:hint="eastAsia" w:ascii="Arial" w:hAnsi="Arial" w:cs="Arial"/>
                <w:color w:val="auto"/>
                <w:sz w:val="22"/>
                <w:lang w:val="en-US" w:eastAsia="zh-CN"/>
              </w:rPr>
              <w:t>0.656</w:t>
            </w:r>
          </w:p>
        </w:tc>
        <w:tc>
          <w:tcPr>
            <w:tcW w:w="1419" w:type="dxa"/>
            <w:noWrap w:val="0"/>
            <w:vAlign w:val="center"/>
          </w:tcPr>
          <w:p w14:paraId="50B90591">
            <w:pPr>
              <w:spacing w:line="300" w:lineRule="exact"/>
              <w:jc w:val="center"/>
              <w:rPr>
                <w:rFonts w:ascii="Arial" w:hAnsi="Arial" w:cs="Arial"/>
                <w:color w:val="auto"/>
                <w:sz w:val="22"/>
              </w:rPr>
            </w:pPr>
            <w:r>
              <w:rPr>
                <w:rFonts w:hint="eastAsia" w:ascii="Arial" w:hAnsi="Arial" w:cs="Arial"/>
                <w:color w:val="auto"/>
                <w:sz w:val="22"/>
              </w:rPr>
              <w:t>否</w:t>
            </w:r>
          </w:p>
        </w:tc>
      </w:tr>
      <w:tr w14:paraId="6EE8C1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31D76DD0">
            <w:pPr>
              <w:spacing w:line="300" w:lineRule="exact"/>
              <w:jc w:val="center"/>
              <w:rPr>
                <w:rFonts w:ascii="Arial" w:hAnsi="Arial" w:cs="Arial"/>
                <w:color w:val="auto"/>
                <w:sz w:val="22"/>
              </w:rPr>
            </w:pPr>
            <w:r>
              <w:rPr>
                <w:rFonts w:hint="eastAsia" w:ascii="Arial" w:hAnsi="Arial" w:cs="Arial"/>
                <w:color w:val="auto"/>
                <w:sz w:val="22"/>
              </w:rPr>
              <w:t>4</w:t>
            </w:r>
          </w:p>
        </w:tc>
        <w:tc>
          <w:tcPr>
            <w:tcW w:w="2483" w:type="dxa"/>
            <w:noWrap w:val="0"/>
            <w:vAlign w:val="center"/>
          </w:tcPr>
          <w:p w14:paraId="601A6797">
            <w:pPr>
              <w:spacing w:line="300" w:lineRule="exact"/>
              <w:jc w:val="center"/>
              <w:rPr>
                <w:rFonts w:ascii="Arial" w:hAnsi="Arial" w:cs="Arial"/>
                <w:color w:val="auto"/>
                <w:sz w:val="22"/>
              </w:rPr>
            </w:pPr>
            <w:r>
              <w:rPr>
                <w:rFonts w:hint="eastAsia" w:ascii="Arial" w:hAnsi="Arial" w:cs="Arial"/>
                <w:color w:val="auto"/>
                <w:sz w:val="22"/>
              </w:rPr>
              <w:t>高锰酸盐指数（mg/L）</w:t>
            </w:r>
          </w:p>
        </w:tc>
        <w:tc>
          <w:tcPr>
            <w:tcW w:w="1359" w:type="dxa"/>
            <w:noWrap w:val="0"/>
            <w:vAlign w:val="center"/>
          </w:tcPr>
          <w:p w14:paraId="34ACF328">
            <w:pPr>
              <w:spacing w:line="300" w:lineRule="exact"/>
              <w:jc w:val="center"/>
              <w:rPr>
                <w:rFonts w:hint="default" w:ascii="Arial" w:hAnsi="Arial" w:eastAsia="宋体" w:cs="Arial"/>
                <w:color w:val="auto"/>
                <w:sz w:val="22"/>
                <w:lang w:val="en-US" w:eastAsia="zh-CN"/>
              </w:rPr>
            </w:pPr>
            <w:r>
              <w:rPr>
                <w:rFonts w:hint="eastAsia" w:ascii="Arial" w:hAnsi="Arial" w:cs="Arial"/>
                <w:color w:val="auto"/>
                <w:sz w:val="22"/>
                <w:lang w:val="en-US" w:eastAsia="zh-CN"/>
              </w:rPr>
              <w:t>5.1</w:t>
            </w:r>
          </w:p>
        </w:tc>
        <w:tc>
          <w:tcPr>
            <w:tcW w:w="1287" w:type="dxa"/>
            <w:noWrap w:val="0"/>
            <w:vAlign w:val="center"/>
          </w:tcPr>
          <w:p w14:paraId="5729B1AA">
            <w:pPr>
              <w:spacing w:line="300" w:lineRule="exact"/>
              <w:jc w:val="center"/>
              <w:rPr>
                <w:rFonts w:hint="eastAsia" w:ascii="Arial" w:hAnsi="Arial" w:eastAsia="宋体" w:cs="Arial"/>
                <w:color w:val="auto"/>
                <w:sz w:val="22"/>
                <w:lang w:eastAsia="zh-CN"/>
              </w:rPr>
            </w:pPr>
            <w:r>
              <w:rPr>
                <w:rFonts w:hint="eastAsia" w:ascii="Arial" w:hAnsi="Arial" w:cs="Arial"/>
                <w:color w:val="auto"/>
                <w:sz w:val="22"/>
              </w:rPr>
              <w:t>4</w:t>
            </w:r>
          </w:p>
        </w:tc>
        <w:tc>
          <w:tcPr>
            <w:tcW w:w="1170" w:type="dxa"/>
            <w:noWrap w:val="0"/>
            <w:vAlign w:val="center"/>
          </w:tcPr>
          <w:p w14:paraId="3A9860F2">
            <w:pPr>
              <w:spacing w:line="300" w:lineRule="exact"/>
              <w:jc w:val="center"/>
              <w:rPr>
                <w:rFonts w:hint="default" w:ascii="Arial" w:hAnsi="Arial" w:eastAsia="宋体" w:cs="Arial"/>
                <w:color w:val="auto"/>
                <w:sz w:val="22"/>
                <w:lang w:val="en-US" w:eastAsia="zh-CN"/>
              </w:rPr>
            </w:pPr>
            <w:r>
              <w:rPr>
                <w:rFonts w:hint="eastAsia" w:ascii="Arial" w:hAnsi="Arial" w:cs="Arial"/>
                <w:color w:val="auto"/>
                <w:sz w:val="22"/>
                <w:lang w:val="en-US" w:eastAsia="zh-CN"/>
              </w:rPr>
              <w:t>1.275</w:t>
            </w:r>
          </w:p>
        </w:tc>
        <w:tc>
          <w:tcPr>
            <w:tcW w:w="1419" w:type="dxa"/>
            <w:noWrap w:val="0"/>
            <w:vAlign w:val="center"/>
          </w:tcPr>
          <w:p w14:paraId="290B6C1F">
            <w:pPr>
              <w:spacing w:line="300" w:lineRule="exact"/>
              <w:jc w:val="center"/>
              <w:rPr>
                <w:rFonts w:hint="eastAsia" w:ascii="Arial" w:hAnsi="Arial" w:eastAsia="宋体" w:cs="Arial"/>
                <w:color w:val="auto"/>
                <w:sz w:val="22"/>
                <w:lang w:val="en-US" w:eastAsia="zh-CN"/>
              </w:rPr>
            </w:pPr>
            <w:r>
              <w:rPr>
                <w:rFonts w:hint="eastAsia" w:ascii="Arial" w:hAnsi="Arial" w:cs="Arial"/>
                <w:color w:val="auto"/>
                <w:sz w:val="22"/>
                <w:lang w:val="en-US" w:eastAsia="zh-CN"/>
              </w:rPr>
              <w:t>是</w:t>
            </w:r>
          </w:p>
        </w:tc>
      </w:tr>
      <w:tr w14:paraId="3E8FB6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483DCBF2">
            <w:pPr>
              <w:spacing w:line="300" w:lineRule="exact"/>
              <w:jc w:val="center"/>
              <w:rPr>
                <w:rFonts w:hint="eastAsia" w:ascii="Arial" w:hAnsi="Arial" w:cs="Arial"/>
                <w:color w:val="auto"/>
                <w:sz w:val="22"/>
              </w:rPr>
            </w:pPr>
            <w:r>
              <w:rPr>
                <w:rFonts w:hint="eastAsia" w:ascii="Arial" w:hAnsi="Arial" w:cs="Arial"/>
                <w:color w:val="auto"/>
                <w:sz w:val="22"/>
              </w:rPr>
              <w:t>5</w:t>
            </w:r>
          </w:p>
        </w:tc>
        <w:tc>
          <w:tcPr>
            <w:tcW w:w="2483" w:type="dxa"/>
            <w:shd w:val="clear" w:color="auto" w:fill="auto"/>
            <w:noWrap w:val="0"/>
            <w:vAlign w:val="center"/>
          </w:tcPr>
          <w:p w14:paraId="19556E48">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BOD</w:t>
            </w:r>
            <w:r>
              <w:rPr>
                <w:rFonts w:hint="eastAsia" w:ascii="Arial" w:hAnsi="Arial" w:cs="Arial"/>
                <w:color w:val="auto"/>
                <w:sz w:val="22"/>
                <w:vertAlign w:val="subscript"/>
              </w:rPr>
              <w:t>5</w:t>
            </w:r>
            <w:r>
              <w:rPr>
                <w:rFonts w:hint="eastAsia" w:ascii="Arial" w:hAnsi="Arial" w:cs="Arial"/>
                <w:color w:val="auto"/>
                <w:sz w:val="22"/>
              </w:rPr>
              <w:t>（mg/L）</w:t>
            </w:r>
          </w:p>
        </w:tc>
        <w:tc>
          <w:tcPr>
            <w:tcW w:w="1359" w:type="dxa"/>
            <w:shd w:val="clear" w:color="auto" w:fill="auto"/>
            <w:noWrap w:val="0"/>
            <w:vAlign w:val="center"/>
          </w:tcPr>
          <w:p w14:paraId="495D5023">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1.2</w:t>
            </w:r>
          </w:p>
        </w:tc>
        <w:tc>
          <w:tcPr>
            <w:tcW w:w="1287" w:type="dxa"/>
            <w:shd w:val="clear" w:color="auto" w:fill="auto"/>
            <w:noWrap w:val="0"/>
            <w:vAlign w:val="center"/>
          </w:tcPr>
          <w:p w14:paraId="7FD9D71D">
            <w:pPr>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rPr>
              <w:t>3</w:t>
            </w:r>
          </w:p>
        </w:tc>
        <w:tc>
          <w:tcPr>
            <w:tcW w:w="1170" w:type="dxa"/>
            <w:shd w:val="clear" w:color="auto" w:fill="auto"/>
            <w:noWrap w:val="0"/>
            <w:vAlign w:val="center"/>
          </w:tcPr>
          <w:p w14:paraId="36D1A668">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kern w:val="2"/>
                <w:sz w:val="22"/>
                <w:szCs w:val="22"/>
                <w:lang w:val="en-US" w:eastAsia="zh-CN" w:bidi="ar-SA"/>
              </w:rPr>
              <w:t>0.4</w:t>
            </w:r>
          </w:p>
        </w:tc>
        <w:tc>
          <w:tcPr>
            <w:tcW w:w="1419" w:type="dxa"/>
            <w:shd w:val="clear" w:color="auto" w:fill="auto"/>
            <w:noWrap w:val="0"/>
            <w:vAlign w:val="center"/>
          </w:tcPr>
          <w:p w14:paraId="7CAA5B82">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否</w:t>
            </w:r>
          </w:p>
        </w:tc>
      </w:tr>
      <w:tr w14:paraId="3DB788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0663DB65">
            <w:pPr>
              <w:spacing w:line="300" w:lineRule="exact"/>
              <w:jc w:val="center"/>
              <w:rPr>
                <w:rFonts w:hint="eastAsia" w:ascii="Arial" w:hAnsi="Arial" w:cs="Arial"/>
                <w:color w:val="auto"/>
                <w:sz w:val="22"/>
              </w:rPr>
            </w:pPr>
            <w:r>
              <w:rPr>
                <w:rFonts w:hint="eastAsia" w:ascii="Arial" w:hAnsi="Arial" w:cs="Arial"/>
                <w:color w:val="auto"/>
                <w:sz w:val="22"/>
              </w:rPr>
              <w:t>6</w:t>
            </w:r>
          </w:p>
        </w:tc>
        <w:tc>
          <w:tcPr>
            <w:tcW w:w="2483" w:type="dxa"/>
            <w:shd w:val="clear" w:color="auto" w:fill="auto"/>
            <w:noWrap w:val="0"/>
            <w:vAlign w:val="center"/>
          </w:tcPr>
          <w:p w14:paraId="0F13D1FD">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NH</w:t>
            </w:r>
            <w:r>
              <w:rPr>
                <w:rFonts w:hint="eastAsia" w:ascii="Arial" w:hAnsi="Arial" w:cs="Arial"/>
                <w:color w:val="auto"/>
                <w:sz w:val="22"/>
                <w:vertAlign w:val="subscript"/>
              </w:rPr>
              <w:t>3</w:t>
            </w:r>
            <w:r>
              <w:rPr>
                <w:rFonts w:hint="eastAsia" w:ascii="Arial" w:hAnsi="Arial" w:cs="Arial"/>
                <w:color w:val="auto"/>
                <w:sz w:val="22"/>
              </w:rPr>
              <w:t>-N（mg/L）</w:t>
            </w:r>
          </w:p>
        </w:tc>
        <w:tc>
          <w:tcPr>
            <w:tcW w:w="1359" w:type="dxa"/>
            <w:shd w:val="clear" w:color="auto" w:fill="auto"/>
            <w:noWrap w:val="0"/>
            <w:vAlign w:val="center"/>
          </w:tcPr>
          <w:p w14:paraId="7EFC7E44">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0.13</w:t>
            </w:r>
          </w:p>
        </w:tc>
        <w:tc>
          <w:tcPr>
            <w:tcW w:w="1287" w:type="dxa"/>
            <w:shd w:val="clear" w:color="auto" w:fill="auto"/>
            <w:noWrap w:val="0"/>
            <w:vAlign w:val="center"/>
          </w:tcPr>
          <w:p w14:paraId="284B6449">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rPr>
              <w:t>0.5</w:t>
            </w:r>
          </w:p>
        </w:tc>
        <w:tc>
          <w:tcPr>
            <w:tcW w:w="1170" w:type="dxa"/>
            <w:shd w:val="clear" w:color="auto" w:fill="auto"/>
            <w:noWrap w:val="0"/>
            <w:vAlign w:val="center"/>
          </w:tcPr>
          <w:p w14:paraId="380AF9D1">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kern w:val="2"/>
                <w:sz w:val="22"/>
                <w:szCs w:val="22"/>
                <w:lang w:val="en-US" w:eastAsia="zh-CN" w:bidi="ar-SA"/>
              </w:rPr>
              <w:t>0.26</w:t>
            </w:r>
          </w:p>
        </w:tc>
        <w:tc>
          <w:tcPr>
            <w:tcW w:w="1419" w:type="dxa"/>
            <w:shd w:val="clear" w:color="auto" w:fill="auto"/>
            <w:noWrap w:val="0"/>
            <w:vAlign w:val="center"/>
          </w:tcPr>
          <w:p w14:paraId="287D35EA">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否</w:t>
            </w:r>
          </w:p>
        </w:tc>
      </w:tr>
      <w:tr w14:paraId="36BDFC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919" w:type="dxa"/>
            <w:noWrap w:val="0"/>
            <w:vAlign w:val="center"/>
          </w:tcPr>
          <w:p w14:paraId="55895444">
            <w:pPr>
              <w:spacing w:line="300" w:lineRule="exact"/>
              <w:jc w:val="center"/>
              <w:rPr>
                <w:rFonts w:hint="eastAsia" w:ascii="Arial" w:hAnsi="Arial" w:cs="Arial"/>
                <w:color w:val="auto"/>
                <w:sz w:val="22"/>
              </w:rPr>
            </w:pPr>
            <w:r>
              <w:rPr>
                <w:rFonts w:hint="eastAsia" w:ascii="Arial" w:hAnsi="Arial" w:cs="Arial"/>
                <w:color w:val="auto"/>
                <w:sz w:val="22"/>
              </w:rPr>
              <w:t>7</w:t>
            </w:r>
          </w:p>
        </w:tc>
        <w:tc>
          <w:tcPr>
            <w:tcW w:w="2483" w:type="dxa"/>
            <w:shd w:val="clear" w:color="auto" w:fill="auto"/>
            <w:noWrap w:val="0"/>
            <w:vAlign w:val="center"/>
          </w:tcPr>
          <w:p w14:paraId="4564AE1F">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TP（mg/L）</w:t>
            </w:r>
          </w:p>
        </w:tc>
        <w:tc>
          <w:tcPr>
            <w:tcW w:w="1359" w:type="dxa"/>
            <w:shd w:val="clear" w:color="auto" w:fill="auto"/>
            <w:noWrap w:val="0"/>
            <w:vAlign w:val="center"/>
          </w:tcPr>
          <w:p w14:paraId="0BA02E22">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0.04</w:t>
            </w:r>
          </w:p>
        </w:tc>
        <w:tc>
          <w:tcPr>
            <w:tcW w:w="1287" w:type="dxa"/>
            <w:shd w:val="clear" w:color="auto" w:fill="auto"/>
            <w:noWrap w:val="0"/>
            <w:vAlign w:val="center"/>
          </w:tcPr>
          <w:p w14:paraId="66412CC9">
            <w:pPr>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rPr>
              <w:t>0.1</w:t>
            </w:r>
          </w:p>
        </w:tc>
        <w:tc>
          <w:tcPr>
            <w:tcW w:w="1170" w:type="dxa"/>
            <w:shd w:val="clear" w:color="auto" w:fill="auto"/>
            <w:noWrap w:val="0"/>
            <w:vAlign w:val="center"/>
          </w:tcPr>
          <w:p w14:paraId="68AD52C0">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kern w:val="2"/>
                <w:sz w:val="22"/>
                <w:szCs w:val="22"/>
                <w:lang w:val="en-US" w:eastAsia="zh-CN" w:bidi="ar-SA"/>
              </w:rPr>
              <w:t>0.4</w:t>
            </w:r>
          </w:p>
        </w:tc>
        <w:tc>
          <w:tcPr>
            <w:tcW w:w="1419" w:type="dxa"/>
            <w:shd w:val="clear" w:color="auto" w:fill="auto"/>
            <w:noWrap w:val="0"/>
            <w:vAlign w:val="center"/>
          </w:tcPr>
          <w:p w14:paraId="20748977">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否</w:t>
            </w:r>
          </w:p>
        </w:tc>
      </w:tr>
      <w:tr w14:paraId="7C8094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77C66CD4">
            <w:pPr>
              <w:spacing w:line="300" w:lineRule="exact"/>
              <w:jc w:val="center"/>
              <w:rPr>
                <w:rFonts w:hint="eastAsia" w:ascii="Arial" w:hAnsi="Arial" w:cs="Arial"/>
                <w:color w:val="auto"/>
                <w:sz w:val="22"/>
              </w:rPr>
            </w:pPr>
            <w:r>
              <w:rPr>
                <w:rFonts w:hint="eastAsia" w:ascii="Arial" w:hAnsi="Arial" w:cs="Arial"/>
                <w:color w:val="auto"/>
                <w:sz w:val="22"/>
              </w:rPr>
              <w:t>8</w:t>
            </w:r>
          </w:p>
        </w:tc>
        <w:tc>
          <w:tcPr>
            <w:tcW w:w="2483" w:type="dxa"/>
            <w:shd w:val="clear" w:color="auto" w:fill="auto"/>
            <w:noWrap w:val="0"/>
            <w:vAlign w:val="center"/>
          </w:tcPr>
          <w:p w14:paraId="66DAB5A0">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TN（mg/L）</w:t>
            </w:r>
          </w:p>
        </w:tc>
        <w:tc>
          <w:tcPr>
            <w:tcW w:w="1359" w:type="dxa"/>
            <w:shd w:val="clear" w:color="auto" w:fill="auto"/>
            <w:noWrap w:val="0"/>
            <w:vAlign w:val="center"/>
          </w:tcPr>
          <w:p w14:paraId="73C2A985">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0.33</w:t>
            </w:r>
          </w:p>
        </w:tc>
        <w:tc>
          <w:tcPr>
            <w:tcW w:w="1287" w:type="dxa"/>
            <w:shd w:val="clear" w:color="auto" w:fill="auto"/>
            <w:noWrap w:val="0"/>
            <w:vAlign w:val="center"/>
          </w:tcPr>
          <w:p w14:paraId="22FC0A60">
            <w:pPr>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rPr>
              <w:t>0.5</w:t>
            </w:r>
          </w:p>
        </w:tc>
        <w:tc>
          <w:tcPr>
            <w:tcW w:w="1170" w:type="dxa"/>
            <w:shd w:val="clear" w:color="auto" w:fill="auto"/>
            <w:noWrap w:val="0"/>
            <w:vAlign w:val="center"/>
          </w:tcPr>
          <w:p w14:paraId="1F0D2D54">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kern w:val="2"/>
                <w:sz w:val="22"/>
                <w:szCs w:val="22"/>
                <w:lang w:val="en-US" w:eastAsia="zh-CN" w:bidi="ar-SA"/>
              </w:rPr>
              <w:t>0.66</w:t>
            </w:r>
          </w:p>
        </w:tc>
        <w:tc>
          <w:tcPr>
            <w:tcW w:w="1419" w:type="dxa"/>
            <w:shd w:val="clear" w:color="auto" w:fill="auto"/>
            <w:noWrap w:val="0"/>
            <w:vAlign w:val="center"/>
          </w:tcPr>
          <w:p w14:paraId="42F64973">
            <w:pPr>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lang w:val="en-US" w:eastAsia="zh-CN"/>
              </w:rPr>
              <w:t>/</w:t>
            </w:r>
          </w:p>
        </w:tc>
      </w:tr>
      <w:tr w14:paraId="453CA9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148FD1B7">
            <w:pPr>
              <w:spacing w:line="300" w:lineRule="exact"/>
              <w:jc w:val="center"/>
              <w:rPr>
                <w:rFonts w:hint="eastAsia" w:ascii="Arial" w:hAnsi="Arial" w:cs="Arial"/>
                <w:color w:val="auto"/>
                <w:sz w:val="22"/>
              </w:rPr>
            </w:pPr>
            <w:r>
              <w:rPr>
                <w:rFonts w:hint="eastAsia" w:ascii="Arial" w:hAnsi="Arial" w:cs="Arial"/>
                <w:color w:val="auto"/>
                <w:sz w:val="22"/>
              </w:rPr>
              <w:t>9</w:t>
            </w:r>
          </w:p>
        </w:tc>
        <w:tc>
          <w:tcPr>
            <w:tcW w:w="2483" w:type="dxa"/>
            <w:shd w:val="clear" w:color="auto" w:fill="auto"/>
            <w:noWrap w:val="0"/>
            <w:vAlign w:val="center"/>
          </w:tcPr>
          <w:p w14:paraId="2E1183F0">
            <w:pPr>
              <w:spacing w:line="300" w:lineRule="exact"/>
              <w:jc w:val="center"/>
              <w:rPr>
                <w:rFonts w:ascii="Arial" w:hAnsi="Arial" w:eastAsia="宋体" w:cs="Arial"/>
                <w:color w:val="auto"/>
                <w:kern w:val="2"/>
                <w:sz w:val="22"/>
                <w:szCs w:val="22"/>
                <w:lang w:val="en-US" w:eastAsia="zh-CN" w:bidi="ar-SA"/>
              </w:rPr>
            </w:pPr>
            <w:r>
              <w:rPr>
                <w:rFonts w:ascii="Arial" w:hAnsi="Arial" w:cs="Arial"/>
                <w:color w:val="auto"/>
                <w:sz w:val="22"/>
              </w:rPr>
              <w:t>C</w:t>
            </w:r>
            <w:r>
              <w:rPr>
                <w:rFonts w:hint="eastAsia" w:ascii="Arial" w:hAnsi="Arial" w:cs="Arial"/>
                <w:color w:val="auto"/>
                <w:sz w:val="22"/>
              </w:rPr>
              <w:t>r</w:t>
            </w:r>
            <w:r>
              <w:rPr>
                <w:rFonts w:hint="eastAsia" w:ascii="Arial" w:hAnsi="Arial" w:cs="Arial"/>
                <w:color w:val="auto"/>
                <w:sz w:val="22"/>
                <w:vertAlign w:val="superscript"/>
              </w:rPr>
              <w:t>6+</w:t>
            </w:r>
            <w:r>
              <w:rPr>
                <w:rFonts w:hint="eastAsia" w:ascii="Arial" w:hAnsi="Arial" w:cs="Arial"/>
                <w:color w:val="auto"/>
                <w:sz w:val="22"/>
              </w:rPr>
              <w:t>（mg/L）</w:t>
            </w:r>
          </w:p>
        </w:tc>
        <w:tc>
          <w:tcPr>
            <w:tcW w:w="1359" w:type="dxa"/>
            <w:shd w:val="clear" w:color="auto" w:fill="auto"/>
            <w:noWrap w:val="0"/>
            <w:vAlign w:val="center"/>
          </w:tcPr>
          <w:p w14:paraId="08E254A4">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0.006</w:t>
            </w:r>
          </w:p>
        </w:tc>
        <w:tc>
          <w:tcPr>
            <w:tcW w:w="1287" w:type="dxa"/>
            <w:shd w:val="clear" w:color="auto" w:fill="auto"/>
            <w:noWrap w:val="0"/>
            <w:vAlign w:val="center"/>
          </w:tcPr>
          <w:p w14:paraId="73ECA13E">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0.05</w:t>
            </w:r>
          </w:p>
        </w:tc>
        <w:tc>
          <w:tcPr>
            <w:tcW w:w="1170" w:type="dxa"/>
            <w:shd w:val="clear" w:color="auto" w:fill="auto"/>
            <w:noWrap w:val="0"/>
            <w:vAlign w:val="center"/>
          </w:tcPr>
          <w:p w14:paraId="7B9DB7A2">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kern w:val="2"/>
                <w:sz w:val="22"/>
                <w:szCs w:val="22"/>
                <w:lang w:val="en-US" w:eastAsia="zh-CN" w:bidi="ar-SA"/>
              </w:rPr>
              <w:t>0.12</w:t>
            </w:r>
          </w:p>
        </w:tc>
        <w:tc>
          <w:tcPr>
            <w:tcW w:w="1419" w:type="dxa"/>
            <w:shd w:val="clear" w:color="auto" w:fill="auto"/>
            <w:noWrap w:val="0"/>
            <w:vAlign w:val="center"/>
          </w:tcPr>
          <w:p w14:paraId="3A9F2DED">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kern w:val="2"/>
                <w:sz w:val="22"/>
                <w:szCs w:val="22"/>
                <w:lang w:val="en-US" w:eastAsia="zh-CN" w:bidi="ar-SA"/>
              </w:rPr>
              <w:t>否</w:t>
            </w:r>
          </w:p>
        </w:tc>
      </w:tr>
      <w:tr w14:paraId="3E6F69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1C08C279">
            <w:pPr>
              <w:spacing w:line="300" w:lineRule="exact"/>
              <w:jc w:val="center"/>
              <w:rPr>
                <w:rFonts w:hint="eastAsia" w:ascii="Arial" w:hAnsi="Arial" w:cs="Arial"/>
                <w:color w:val="auto"/>
                <w:sz w:val="22"/>
              </w:rPr>
            </w:pPr>
            <w:r>
              <w:rPr>
                <w:rFonts w:hint="eastAsia" w:ascii="Arial" w:hAnsi="Arial" w:cs="Arial"/>
                <w:color w:val="auto"/>
                <w:sz w:val="22"/>
              </w:rPr>
              <w:t>10</w:t>
            </w:r>
          </w:p>
        </w:tc>
        <w:tc>
          <w:tcPr>
            <w:tcW w:w="2483" w:type="dxa"/>
            <w:shd w:val="clear" w:color="auto" w:fill="auto"/>
            <w:noWrap w:val="0"/>
            <w:vAlign w:val="center"/>
          </w:tcPr>
          <w:p w14:paraId="191E1C0A">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氰化物（mg/L）</w:t>
            </w:r>
          </w:p>
        </w:tc>
        <w:tc>
          <w:tcPr>
            <w:tcW w:w="1359" w:type="dxa"/>
            <w:shd w:val="clear" w:color="auto" w:fill="auto"/>
            <w:noWrap w:val="0"/>
            <w:vAlign w:val="center"/>
          </w:tcPr>
          <w:p w14:paraId="26386BEF">
            <w:pPr>
              <w:spacing w:line="300" w:lineRule="exact"/>
              <w:jc w:val="center"/>
              <w:rPr>
                <w:rFonts w:hint="default" w:ascii="Arial" w:hAnsi="Arial" w:eastAsia="宋体" w:cs="Arial"/>
                <w:color w:val="auto"/>
                <w:kern w:val="2"/>
                <w:sz w:val="22"/>
                <w:szCs w:val="22"/>
                <w:lang w:val="en-US" w:eastAsia="zh-CN" w:bidi="ar-SA"/>
              </w:rPr>
            </w:pPr>
            <w:r>
              <w:rPr>
                <w:rFonts w:hint="default" w:ascii="Arial" w:hAnsi="Arial" w:cs="Arial"/>
                <w:color w:val="auto"/>
                <w:sz w:val="22"/>
              </w:rPr>
              <w:t>&lt;</w:t>
            </w:r>
            <w:r>
              <w:rPr>
                <w:rFonts w:hint="eastAsia" w:ascii="Arial" w:hAnsi="Arial" w:cs="Arial"/>
                <w:color w:val="auto"/>
                <w:sz w:val="22"/>
                <w:lang w:val="en-US" w:eastAsia="zh-CN"/>
              </w:rPr>
              <w:t>0.004</w:t>
            </w:r>
          </w:p>
        </w:tc>
        <w:tc>
          <w:tcPr>
            <w:tcW w:w="1287" w:type="dxa"/>
            <w:shd w:val="clear" w:color="auto" w:fill="auto"/>
            <w:noWrap w:val="0"/>
            <w:vAlign w:val="center"/>
          </w:tcPr>
          <w:p w14:paraId="219EF1E1">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rPr>
              <w:t>0.05</w:t>
            </w:r>
          </w:p>
        </w:tc>
        <w:tc>
          <w:tcPr>
            <w:tcW w:w="1170" w:type="dxa"/>
            <w:shd w:val="clear" w:color="auto" w:fill="auto"/>
            <w:noWrap w:val="0"/>
            <w:vAlign w:val="center"/>
          </w:tcPr>
          <w:p w14:paraId="3AC3D0FF">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kern w:val="2"/>
                <w:sz w:val="22"/>
                <w:szCs w:val="22"/>
                <w:lang w:val="en-US" w:eastAsia="zh-CN" w:bidi="ar-SA"/>
              </w:rPr>
              <w:t>/</w:t>
            </w:r>
          </w:p>
        </w:tc>
        <w:tc>
          <w:tcPr>
            <w:tcW w:w="1419" w:type="dxa"/>
            <w:shd w:val="clear" w:color="auto" w:fill="auto"/>
            <w:noWrap w:val="0"/>
            <w:vAlign w:val="center"/>
          </w:tcPr>
          <w:p w14:paraId="53347A56">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r>
      <w:tr w14:paraId="17934F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016B3C6A">
            <w:pPr>
              <w:spacing w:line="300" w:lineRule="exact"/>
              <w:jc w:val="center"/>
              <w:rPr>
                <w:rFonts w:hint="eastAsia" w:ascii="Arial" w:hAnsi="Arial" w:cs="Arial"/>
                <w:color w:val="auto"/>
                <w:sz w:val="22"/>
              </w:rPr>
            </w:pPr>
            <w:r>
              <w:rPr>
                <w:rFonts w:hint="eastAsia" w:ascii="Arial" w:hAnsi="Arial" w:cs="Arial"/>
                <w:color w:val="auto"/>
                <w:sz w:val="22"/>
              </w:rPr>
              <w:t>11</w:t>
            </w:r>
          </w:p>
        </w:tc>
        <w:tc>
          <w:tcPr>
            <w:tcW w:w="2483" w:type="dxa"/>
            <w:shd w:val="clear" w:color="auto" w:fill="auto"/>
            <w:noWrap w:val="0"/>
            <w:vAlign w:val="center"/>
          </w:tcPr>
          <w:p w14:paraId="32AC2875">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挥发酚（mg/L）</w:t>
            </w:r>
          </w:p>
        </w:tc>
        <w:tc>
          <w:tcPr>
            <w:tcW w:w="1359" w:type="dxa"/>
            <w:shd w:val="clear" w:color="auto" w:fill="auto"/>
            <w:noWrap w:val="0"/>
            <w:vAlign w:val="center"/>
          </w:tcPr>
          <w:p w14:paraId="1A8A93F8">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0.001</w:t>
            </w:r>
          </w:p>
        </w:tc>
        <w:tc>
          <w:tcPr>
            <w:tcW w:w="1287" w:type="dxa"/>
            <w:shd w:val="clear" w:color="auto" w:fill="auto"/>
            <w:noWrap w:val="0"/>
            <w:vAlign w:val="center"/>
          </w:tcPr>
          <w:p w14:paraId="0267F27D">
            <w:pPr>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rPr>
              <w:t>0.002</w:t>
            </w:r>
          </w:p>
        </w:tc>
        <w:tc>
          <w:tcPr>
            <w:tcW w:w="1170" w:type="dxa"/>
            <w:shd w:val="clear" w:color="auto" w:fill="auto"/>
            <w:noWrap w:val="0"/>
            <w:vAlign w:val="center"/>
          </w:tcPr>
          <w:p w14:paraId="2B263AD8">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kern w:val="2"/>
                <w:sz w:val="22"/>
                <w:szCs w:val="22"/>
                <w:lang w:val="en-US" w:eastAsia="zh-CN" w:bidi="ar-SA"/>
              </w:rPr>
              <w:t>0.5</w:t>
            </w:r>
          </w:p>
        </w:tc>
        <w:tc>
          <w:tcPr>
            <w:tcW w:w="1419" w:type="dxa"/>
            <w:shd w:val="clear" w:color="auto" w:fill="auto"/>
            <w:noWrap w:val="0"/>
            <w:vAlign w:val="center"/>
          </w:tcPr>
          <w:p w14:paraId="4EDAB1C0">
            <w:pPr>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lang w:eastAsia="zh-CN"/>
              </w:rPr>
              <w:t>否</w:t>
            </w:r>
          </w:p>
        </w:tc>
      </w:tr>
      <w:tr w14:paraId="2E6AD3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6D02BBF6">
            <w:pPr>
              <w:spacing w:line="300" w:lineRule="exact"/>
              <w:jc w:val="center"/>
              <w:rPr>
                <w:rFonts w:hint="eastAsia" w:ascii="Arial" w:hAnsi="Arial" w:cs="Arial"/>
                <w:color w:val="auto"/>
                <w:sz w:val="22"/>
              </w:rPr>
            </w:pPr>
            <w:r>
              <w:rPr>
                <w:rFonts w:hint="eastAsia" w:ascii="Arial" w:hAnsi="Arial" w:cs="Arial"/>
                <w:color w:val="auto"/>
                <w:sz w:val="22"/>
              </w:rPr>
              <w:t>12</w:t>
            </w:r>
          </w:p>
        </w:tc>
        <w:tc>
          <w:tcPr>
            <w:tcW w:w="2483" w:type="dxa"/>
            <w:shd w:val="clear" w:color="auto" w:fill="auto"/>
            <w:noWrap w:val="0"/>
            <w:vAlign w:val="center"/>
          </w:tcPr>
          <w:p w14:paraId="4A62C8B1">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Cu（mg/L）</w:t>
            </w:r>
          </w:p>
        </w:tc>
        <w:tc>
          <w:tcPr>
            <w:tcW w:w="1359" w:type="dxa"/>
            <w:shd w:val="clear" w:color="auto" w:fill="auto"/>
            <w:noWrap w:val="0"/>
            <w:vAlign w:val="center"/>
          </w:tcPr>
          <w:p w14:paraId="3D40ED6D">
            <w:pPr>
              <w:spacing w:line="300" w:lineRule="exact"/>
              <w:jc w:val="center"/>
              <w:rPr>
                <w:rFonts w:hint="default" w:ascii="Arial" w:hAnsi="Arial" w:eastAsia="宋体" w:cs="Arial"/>
                <w:color w:val="auto"/>
                <w:kern w:val="2"/>
                <w:sz w:val="22"/>
                <w:szCs w:val="22"/>
                <w:lang w:val="en-US" w:eastAsia="zh-CN" w:bidi="ar-SA"/>
              </w:rPr>
            </w:pPr>
            <w:r>
              <w:rPr>
                <w:rFonts w:hint="default" w:ascii="Arial" w:hAnsi="Arial" w:cs="Arial"/>
                <w:color w:val="auto"/>
                <w:sz w:val="22"/>
              </w:rPr>
              <w:t>&lt;</w:t>
            </w:r>
            <w:r>
              <w:rPr>
                <w:rFonts w:hint="eastAsia" w:ascii="Arial" w:hAnsi="Arial" w:cs="Arial"/>
                <w:color w:val="auto"/>
                <w:sz w:val="22"/>
                <w:lang w:val="en-US" w:eastAsia="zh-CN"/>
              </w:rPr>
              <w:t>0.005</w:t>
            </w:r>
          </w:p>
        </w:tc>
        <w:tc>
          <w:tcPr>
            <w:tcW w:w="1287" w:type="dxa"/>
            <w:shd w:val="clear" w:color="auto" w:fill="auto"/>
            <w:noWrap w:val="0"/>
            <w:vAlign w:val="center"/>
          </w:tcPr>
          <w:p w14:paraId="408E22F1">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1.0</w:t>
            </w:r>
          </w:p>
        </w:tc>
        <w:tc>
          <w:tcPr>
            <w:tcW w:w="1170" w:type="dxa"/>
            <w:shd w:val="clear" w:color="auto" w:fill="auto"/>
            <w:noWrap w:val="0"/>
            <w:vAlign w:val="center"/>
          </w:tcPr>
          <w:p w14:paraId="3653B7BE">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c>
          <w:tcPr>
            <w:tcW w:w="1419" w:type="dxa"/>
            <w:shd w:val="clear" w:color="auto" w:fill="auto"/>
            <w:noWrap w:val="0"/>
            <w:vAlign w:val="center"/>
          </w:tcPr>
          <w:p w14:paraId="4ADA6477">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r>
      <w:tr w14:paraId="3147BC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7C34BE65">
            <w:pPr>
              <w:spacing w:line="300" w:lineRule="exact"/>
              <w:jc w:val="center"/>
              <w:rPr>
                <w:rFonts w:hint="eastAsia" w:ascii="Arial" w:hAnsi="Arial" w:cs="Arial"/>
                <w:color w:val="auto"/>
                <w:sz w:val="22"/>
              </w:rPr>
            </w:pPr>
            <w:r>
              <w:rPr>
                <w:rFonts w:hint="eastAsia" w:ascii="Arial" w:hAnsi="Arial" w:cs="Arial"/>
                <w:color w:val="auto"/>
                <w:sz w:val="22"/>
              </w:rPr>
              <w:t>13</w:t>
            </w:r>
          </w:p>
        </w:tc>
        <w:tc>
          <w:tcPr>
            <w:tcW w:w="2483" w:type="dxa"/>
            <w:shd w:val="clear" w:color="auto" w:fill="auto"/>
            <w:noWrap w:val="0"/>
            <w:vAlign w:val="center"/>
          </w:tcPr>
          <w:p w14:paraId="2B58D0B4">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Zn（mg/L）</w:t>
            </w:r>
          </w:p>
        </w:tc>
        <w:tc>
          <w:tcPr>
            <w:tcW w:w="1359" w:type="dxa"/>
            <w:shd w:val="clear" w:color="auto" w:fill="auto"/>
            <w:noWrap w:val="0"/>
            <w:vAlign w:val="center"/>
          </w:tcPr>
          <w:p w14:paraId="54596F46">
            <w:pPr>
              <w:spacing w:line="300" w:lineRule="exact"/>
              <w:jc w:val="center"/>
              <w:rPr>
                <w:rFonts w:ascii="Arial" w:hAnsi="Arial" w:eastAsia="宋体" w:cs="Arial"/>
                <w:color w:val="auto"/>
                <w:kern w:val="2"/>
                <w:sz w:val="22"/>
                <w:szCs w:val="22"/>
                <w:lang w:val="en-US" w:eastAsia="zh-CN" w:bidi="ar-SA"/>
              </w:rPr>
            </w:pPr>
            <w:r>
              <w:rPr>
                <w:rFonts w:hint="default" w:ascii="Arial" w:hAnsi="Arial" w:cs="Arial"/>
                <w:color w:val="auto"/>
                <w:sz w:val="22"/>
              </w:rPr>
              <w:t>&lt;</w:t>
            </w:r>
            <w:r>
              <w:rPr>
                <w:rFonts w:hint="eastAsia" w:ascii="Arial" w:hAnsi="Arial" w:cs="Arial"/>
                <w:color w:val="auto"/>
                <w:sz w:val="22"/>
                <w:lang w:val="en-US" w:eastAsia="zh-CN"/>
              </w:rPr>
              <w:t>0.005</w:t>
            </w:r>
          </w:p>
        </w:tc>
        <w:tc>
          <w:tcPr>
            <w:tcW w:w="1287" w:type="dxa"/>
            <w:shd w:val="clear" w:color="auto" w:fill="auto"/>
            <w:noWrap w:val="0"/>
            <w:vAlign w:val="center"/>
          </w:tcPr>
          <w:p w14:paraId="3FB4CA00">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1.0</w:t>
            </w:r>
          </w:p>
        </w:tc>
        <w:tc>
          <w:tcPr>
            <w:tcW w:w="1170" w:type="dxa"/>
            <w:shd w:val="clear" w:color="auto" w:fill="auto"/>
            <w:noWrap w:val="0"/>
            <w:vAlign w:val="center"/>
          </w:tcPr>
          <w:p w14:paraId="33A35293">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c>
          <w:tcPr>
            <w:tcW w:w="1419" w:type="dxa"/>
            <w:shd w:val="clear" w:color="auto" w:fill="auto"/>
            <w:noWrap w:val="0"/>
            <w:vAlign w:val="center"/>
          </w:tcPr>
          <w:p w14:paraId="66B6D5DD">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r>
      <w:tr w14:paraId="47F77F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0549B9C9">
            <w:pPr>
              <w:spacing w:line="300" w:lineRule="exact"/>
              <w:jc w:val="center"/>
              <w:rPr>
                <w:rFonts w:hint="eastAsia" w:ascii="Arial" w:hAnsi="Arial" w:cs="Arial"/>
                <w:color w:val="auto"/>
                <w:sz w:val="22"/>
              </w:rPr>
            </w:pPr>
            <w:r>
              <w:rPr>
                <w:rFonts w:hint="eastAsia" w:ascii="Arial" w:hAnsi="Arial" w:cs="Arial"/>
                <w:color w:val="auto"/>
                <w:sz w:val="22"/>
              </w:rPr>
              <w:t>14</w:t>
            </w:r>
          </w:p>
        </w:tc>
        <w:tc>
          <w:tcPr>
            <w:tcW w:w="2483" w:type="dxa"/>
            <w:shd w:val="clear" w:color="auto" w:fill="auto"/>
            <w:noWrap w:val="0"/>
            <w:vAlign w:val="center"/>
          </w:tcPr>
          <w:p w14:paraId="6F4DF6F0">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Cd（mg/L）</w:t>
            </w:r>
          </w:p>
        </w:tc>
        <w:tc>
          <w:tcPr>
            <w:tcW w:w="1359" w:type="dxa"/>
            <w:shd w:val="clear" w:color="auto" w:fill="auto"/>
            <w:noWrap w:val="0"/>
            <w:vAlign w:val="center"/>
          </w:tcPr>
          <w:p w14:paraId="3A40933B">
            <w:pPr>
              <w:spacing w:line="300" w:lineRule="exact"/>
              <w:jc w:val="center"/>
              <w:rPr>
                <w:rFonts w:ascii="Arial" w:hAnsi="Arial" w:eastAsia="宋体" w:cs="Arial"/>
                <w:color w:val="auto"/>
                <w:kern w:val="2"/>
                <w:sz w:val="22"/>
                <w:szCs w:val="22"/>
                <w:lang w:val="en-US" w:eastAsia="zh-CN" w:bidi="ar-SA"/>
              </w:rPr>
            </w:pPr>
            <w:r>
              <w:rPr>
                <w:rFonts w:hint="default" w:ascii="Arial" w:hAnsi="Arial" w:cs="Arial"/>
                <w:color w:val="auto"/>
                <w:sz w:val="22"/>
              </w:rPr>
              <w:t>&lt;</w:t>
            </w:r>
            <w:r>
              <w:rPr>
                <w:rFonts w:hint="eastAsia" w:ascii="Arial" w:hAnsi="Arial" w:cs="Arial"/>
                <w:color w:val="auto"/>
                <w:sz w:val="22"/>
                <w:lang w:val="en-US" w:eastAsia="zh-CN"/>
              </w:rPr>
              <w:t>0.005</w:t>
            </w:r>
          </w:p>
        </w:tc>
        <w:tc>
          <w:tcPr>
            <w:tcW w:w="1287" w:type="dxa"/>
            <w:shd w:val="clear" w:color="auto" w:fill="auto"/>
            <w:noWrap w:val="0"/>
            <w:vAlign w:val="center"/>
          </w:tcPr>
          <w:p w14:paraId="4E3D5F64">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0.01</w:t>
            </w:r>
          </w:p>
        </w:tc>
        <w:tc>
          <w:tcPr>
            <w:tcW w:w="1170" w:type="dxa"/>
            <w:shd w:val="clear" w:color="auto" w:fill="auto"/>
            <w:noWrap w:val="0"/>
            <w:vAlign w:val="center"/>
          </w:tcPr>
          <w:p w14:paraId="24A0DCF9">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c>
          <w:tcPr>
            <w:tcW w:w="1419" w:type="dxa"/>
            <w:shd w:val="clear" w:color="auto" w:fill="auto"/>
            <w:noWrap w:val="0"/>
            <w:vAlign w:val="center"/>
          </w:tcPr>
          <w:p w14:paraId="48301F8D">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r>
      <w:tr w14:paraId="0AF34C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919" w:type="dxa"/>
            <w:noWrap w:val="0"/>
            <w:vAlign w:val="center"/>
          </w:tcPr>
          <w:p w14:paraId="0FE00DCA">
            <w:pPr>
              <w:spacing w:line="300" w:lineRule="exact"/>
              <w:jc w:val="center"/>
              <w:rPr>
                <w:rFonts w:hint="eastAsia" w:ascii="Arial" w:hAnsi="Arial" w:cs="Arial"/>
                <w:color w:val="auto"/>
                <w:sz w:val="22"/>
              </w:rPr>
            </w:pPr>
            <w:r>
              <w:rPr>
                <w:rFonts w:hint="eastAsia" w:ascii="Arial" w:hAnsi="Arial" w:cs="Arial"/>
                <w:color w:val="auto"/>
                <w:sz w:val="22"/>
              </w:rPr>
              <w:t>15</w:t>
            </w:r>
          </w:p>
        </w:tc>
        <w:tc>
          <w:tcPr>
            <w:tcW w:w="2483" w:type="dxa"/>
            <w:shd w:val="clear" w:color="auto" w:fill="auto"/>
            <w:noWrap w:val="0"/>
            <w:vAlign w:val="center"/>
          </w:tcPr>
          <w:p w14:paraId="635207DC">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Pb（mg/L）</w:t>
            </w:r>
          </w:p>
        </w:tc>
        <w:tc>
          <w:tcPr>
            <w:tcW w:w="1359" w:type="dxa"/>
            <w:shd w:val="clear" w:color="auto" w:fill="auto"/>
            <w:noWrap w:val="0"/>
            <w:vAlign w:val="center"/>
          </w:tcPr>
          <w:p w14:paraId="00DB1D59">
            <w:pPr>
              <w:spacing w:line="300" w:lineRule="exact"/>
              <w:jc w:val="center"/>
              <w:rPr>
                <w:rFonts w:hint="default" w:ascii="Arial" w:hAnsi="Arial" w:eastAsia="宋体" w:cs="Arial"/>
                <w:color w:val="auto"/>
                <w:kern w:val="2"/>
                <w:sz w:val="22"/>
                <w:szCs w:val="22"/>
                <w:lang w:val="en-US" w:eastAsia="zh-CN" w:bidi="ar-SA"/>
              </w:rPr>
            </w:pPr>
            <w:r>
              <w:rPr>
                <w:rFonts w:hint="default" w:ascii="Arial" w:hAnsi="Arial" w:cs="Arial"/>
                <w:color w:val="auto"/>
                <w:sz w:val="22"/>
              </w:rPr>
              <w:t>&lt;</w:t>
            </w:r>
            <w:r>
              <w:rPr>
                <w:rFonts w:hint="eastAsia" w:ascii="Arial" w:hAnsi="Arial" w:cs="Arial"/>
                <w:color w:val="auto"/>
                <w:sz w:val="22"/>
                <w:lang w:val="en-US" w:eastAsia="zh-CN"/>
              </w:rPr>
              <w:t>0.01</w:t>
            </w:r>
          </w:p>
        </w:tc>
        <w:tc>
          <w:tcPr>
            <w:tcW w:w="1287" w:type="dxa"/>
            <w:shd w:val="clear" w:color="auto" w:fill="auto"/>
            <w:noWrap w:val="0"/>
            <w:vAlign w:val="center"/>
          </w:tcPr>
          <w:p w14:paraId="1725F0AA">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0.01</w:t>
            </w:r>
          </w:p>
        </w:tc>
        <w:tc>
          <w:tcPr>
            <w:tcW w:w="1170" w:type="dxa"/>
            <w:shd w:val="clear" w:color="auto" w:fill="auto"/>
            <w:noWrap w:val="0"/>
            <w:vAlign w:val="center"/>
          </w:tcPr>
          <w:p w14:paraId="381EADA9">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c>
          <w:tcPr>
            <w:tcW w:w="1419" w:type="dxa"/>
            <w:shd w:val="clear" w:color="auto" w:fill="auto"/>
            <w:noWrap w:val="0"/>
            <w:vAlign w:val="center"/>
          </w:tcPr>
          <w:p w14:paraId="3F19D064">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r>
      <w:tr w14:paraId="3175BA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35433D2F">
            <w:pPr>
              <w:spacing w:line="300" w:lineRule="exact"/>
              <w:jc w:val="center"/>
              <w:rPr>
                <w:rFonts w:hint="eastAsia" w:ascii="Arial" w:hAnsi="Arial" w:cs="Arial"/>
                <w:color w:val="auto"/>
                <w:sz w:val="22"/>
              </w:rPr>
            </w:pPr>
            <w:r>
              <w:rPr>
                <w:rFonts w:hint="eastAsia" w:ascii="Arial" w:hAnsi="Arial" w:cs="Arial"/>
                <w:color w:val="auto"/>
                <w:sz w:val="22"/>
              </w:rPr>
              <w:t>16</w:t>
            </w:r>
          </w:p>
        </w:tc>
        <w:tc>
          <w:tcPr>
            <w:tcW w:w="2483" w:type="dxa"/>
            <w:shd w:val="clear" w:color="auto" w:fill="auto"/>
            <w:noWrap w:val="0"/>
            <w:vAlign w:val="center"/>
          </w:tcPr>
          <w:p w14:paraId="373C5581">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Fe（mg/L）</w:t>
            </w:r>
          </w:p>
        </w:tc>
        <w:tc>
          <w:tcPr>
            <w:tcW w:w="1359" w:type="dxa"/>
            <w:shd w:val="clear" w:color="auto" w:fill="auto"/>
            <w:noWrap w:val="0"/>
            <w:vAlign w:val="center"/>
          </w:tcPr>
          <w:p w14:paraId="13A7FB9F">
            <w:pPr>
              <w:spacing w:line="300" w:lineRule="exact"/>
              <w:jc w:val="center"/>
              <w:rPr>
                <w:rFonts w:hint="default" w:ascii="Arial" w:hAnsi="Arial" w:eastAsia="宋体" w:cs="Arial"/>
                <w:color w:val="auto"/>
                <w:kern w:val="2"/>
                <w:sz w:val="22"/>
                <w:szCs w:val="22"/>
                <w:lang w:val="en-US" w:eastAsia="zh-CN" w:bidi="ar-SA"/>
              </w:rPr>
            </w:pPr>
            <w:r>
              <w:rPr>
                <w:rFonts w:hint="default" w:ascii="Arial" w:hAnsi="Arial" w:cs="Arial"/>
                <w:color w:val="auto"/>
                <w:sz w:val="22"/>
              </w:rPr>
              <w:t>&lt;</w:t>
            </w:r>
            <w:r>
              <w:rPr>
                <w:rFonts w:hint="eastAsia" w:ascii="Arial" w:hAnsi="Arial" w:cs="Arial"/>
                <w:color w:val="auto"/>
                <w:sz w:val="22"/>
                <w:lang w:val="en-US" w:eastAsia="zh-CN"/>
              </w:rPr>
              <w:t>0.03</w:t>
            </w:r>
          </w:p>
        </w:tc>
        <w:tc>
          <w:tcPr>
            <w:tcW w:w="1287" w:type="dxa"/>
            <w:shd w:val="clear" w:color="auto" w:fill="auto"/>
            <w:noWrap w:val="0"/>
            <w:vAlign w:val="center"/>
          </w:tcPr>
          <w:p w14:paraId="4B29D7A0">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0.3</w:t>
            </w:r>
          </w:p>
        </w:tc>
        <w:tc>
          <w:tcPr>
            <w:tcW w:w="1170" w:type="dxa"/>
            <w:shd w:val="clear" w:color="auto" w:fill="auto"/>
            <w:noWrap w:val="0"/>
            <w:vAlign w:val="center"/>
          </w:tcPr>
          <w:p w14:paraId="3F50AE45">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c>
          <w:tcPr>
            <w:tcW w:w="1419" w:type="dxa"/>
            <w:shd w:val="clear" w:color="auto" w:fill="auto"/>
            <w:noWrap w:val="0"/>
            <w:vAlign w:val="center"/>
          </w:tcPr>
          <w:p w14:paraId="3C47B642">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r>
      <w:tr w14:paraId="2639B1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2870BBE1">
            <w:pPr>
              <w:spacing w:line="300" w:lineRule="exact"/>
              <w:jc w:val="center"/>
              <w:rPr>
                <w:rFonts w:hint="eastAsia" w:ascii="Arial" w:hAnsi="Arial" w:cs="Arial"/>
                <w:color w:val="auto"/>
                <w:sz w:val="22"/>
              </w:rPr>
            </w:pPr>
            <w:r>
              <w:rPr>
                <w:rFonts w:hint="eastAsia" w:ascii="Arial" w:hAnsi="Arial" w:cs="Arial"/>
                <w:color w:val="auto"/>
                <w:sz w:val="22"/>
              </w:rPr>
              <w:t>17</w:t>
            </w:r>
          </w:p>
        </w:tc>
        <w:tc>
          <w:tcPr>
            <w:tcW w:w="2483" w:type="dxa"/>
            <w:shd w:val="clear" w:color="auto" w:fill="auto"/>
            <w:noWrap w:val="0"/>
            <w:vAlign w:val="center"/>
          </w:tcPr>
          <w:p w14:paraId="65AA548E">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Mn（mg/L）</w:t>
            </w:r>
          </w:p>
        </w:tc>
        <w:tc>
          <w:tcPr>
            <w:tcW w:w="1359" w:type="dxa"/>
            <w:shd w:val="clear" w:color="auto" w:fill="auto"/>
            <w:noWrap w:val="0"/>
            <w:vAlign w:val="center"/>
          </w:tcPr>
          <w:p w14:paraId="6C283FD3">
            <w:pPr>
              <w:spacing w:line="300" w:lineRule="exact"/>
              <w:jc w:val="center"/>
              <w:rPr>
                <w:rFonts w:hint="default" w:ascii="Arial" w:hAnsi="Arial" w:eastAsia="宋体" w:cs="Arial"/>
                <w:color w:val="auto"/>
                <w:kern w:val="2"/>
                <w:sz w:val="22"/>
                <w:szCs w:val="22"/>
                <w:lang w:val="en-US" w:eastAsia="zh-CN" w:bidi="ar-SA"/>
              </w:rPr>
            </w:pPr>
            <w:r>
              <w:rPr>
                <w:rFonts w:hint="default" w:ascii="Arial" w:hAnsi="Arial" w:cs="Arial"/>
                <w:color w:val="auto"/>
                <w:sz w:val="22"/>
              </w:rPr>
              <w:t>&lt;</w:t>
            </w:r>
            <w:r>
              <w:rPr>
                <w:rFonts w:hint="eastAsia" w:ascii="Arial" w:hAnsi="Arial" w:cs="Arial"/>
                <w:color w:val="auto"/>
                <w:sz w:val="22"/>
                <w:lang w:val="en-US" w:eastAsia="zh-CN"/>
              </w:rPr>
              <w:t>0.01</w:t>
            </w:r>
          </w:p>
        </w:tc>
        <w:tc>
          <w:tcPr>
            <w:tcW w:w="1287" w:type="dxa"/>
            <w:shd w:val="clear" w:color="auto" w:fill="auto"/>
            <w:noWrap w:val="0"/>
            <w:vAlign w:val="center"/>
          </w:tcPr>
          <w:p w14:paraId="1C46E1E9">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0.1</w:t>
            </w:r>
          </w:p>
        </w:tc>
        <w:tc>
          <w:tcPr>
            <w:tcW w:w="1170" w:type="dxa"/>
            <w:shd w:val="clear" w:color="auto" w:fill="auto"/>
            <w:noWrap w:val="0"/>
            <w:vAlign w:val="center"/>
          </w:tcPr>
          <w:p w14:paraId="7820DFD0">
            <w:pPr>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lang w:val="en-US" w:eastAsia="zh-CN"/>
              </w:rPr>
              <w:t>/</w:t>
            </w:r>
          </w:p>
        </w:tc>
        <w:tc>
          <w:tcPr>
            <w:tcW w:w="1419" w:type="dxa"/>
            <w:shd w:val="clear" w:color="auto" w:fill="auto"/>
            <w:noWrap w:val="0"/>
            <w:vAlign w:val="center"/>
          </w:tcPr>
          <w:p w14:paraId="660B9045">
            <w:pPr>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lang w:val="en-US" w:eastAsia="zh-CN"/>
              </w:rPr>
              <w:t>/</w:t>
            </w:r>
          </w:p>
        </w:tc>
      </w:tr>
      <w:tr w14:paraId="4275C8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6627AD89">
            <w:pPr>
              <w:spacing w:line="300" w:lineRule="exact"/>
              <w:jc w:val="center"/>
              <w:rPr>
                <w:rFonts w:hint="eastAsia" w:ascii="Arial" w:hAnsi="Arial" w:cs="Arial"/>
                <w:color w:val="auto"/>
                <w:sz w:val="22"/>
              </w:rPr>
            </w:pPr>
            <w:r>
              <w:rPr>
                <w:rFonts w:hint="eastAsia" w:ascii="Arial" w:hAnsi="Arial" w:cs="Arial"/>
                <w:color w:val="auto"/>
                <w:sz w:val="22"/>
              </w:rPr>
              <w:t>18</w:t>
            </w:r>
          </w:p>
        </w:tc>
        <w:tc>
          <w:tcPr>
            <w:tcW w:w="2483" w:type="dxa"/>
            <w:shd w:val="clear" w:color="auto" w:fill="auto"/>
            <w:noWrap w:val="0"/>
            <w:vAlign w:val="center"/>
          </w:tcPr>
          <w:p w14:paraId="493515B6">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Se（mg/L）</w:t>
            </w:r>
          </w:p>
        </w:tc>
        <w:tc>
          <w:tcPr>
            <w:tcW w:w="1359" w:type="dxa"/>
            <w:shd w:val="clear" w:color="auto" w:fill="auto"/>
            <w:noWrap w:val="0"/>
            <w:vAlign w:val="center"/>
          </w:tcPr>
          <w:p w14:paraId="4EABF20F">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0.0008</w:t>
            </w:r>
          </w:p>
        </w:tc>
        <w:tc>
          <w:tcPr>
            <w:tcW w:w="1287" w:type="dxa"/>
            <w:shd w:val="clear" w:color="auto" w:fill="auto"/>
            <w:noWrap w:val="0"/>
            <w:vAlign w:val="center"/>
          </w:tcPr>
          <w:p w14:paraId="2FF0DDF3">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0.01</w:t>
            </w:r>
          </w:p>
        </w:tc>
        <w:tc>
          <w:tcPr>
            <w:tcW w:w="1170" w:type="dxa"/>
            <w:shd w:val="clear" w:color="auto" w:fill="auto"/>
            <w:noWrap w:val="0"/>
            <w:vAlign w:val="center"/>
          </w:tcPr>
          <w:p w14:paraId="44BF94C9">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0.08</w:t>
            </w:r>
          </w:p>
        </w:tc>
        <w:tc>
          <w:tcPr>
            <w:tcW w:w="1419" w:type="dxa"/>
            <w:shd w:val="clear" w:color="auto" w:fill="auto"/>
            <w:noWrap w:val="0"/>
            <w:vAlign w:val="center"/>
          </w:tcPr>
          <w:p w14:paraId="4751CDC8">
            <w:pPr>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lang w:eastAsia="zh-CN"/>
              </w:rPr>
              <w:t>否</w:t>
            </w:r>
          </w:p>
        </w:tc>
      </w:tr>
      <w:tr w14:paraId="4291F1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650BE155">
            <w:pPr>
              <w:spacing w:line="300" w:lineRule="exact"/>
              <w:jc w:val="center"/>
              <w:rPr>
                <w:rFonts w:hint="eastAsia" w:ascii="Arial" w:hAnsi="Arial" w:cs="Arial"/>
                <w:color w:val="auto"/>
                <w:sz w:val="22"/>
              </w:rPr>
            </w:pPr>
            <w:r>
              <w:rPr>
                <w:rFonts w:hint="eastAsia" w:ascii="Arial" w:hAnsi="Arial" w:cs="Arial"/>
                <w:color w:val="auto"/>
                <w:sz w:val="22"/>
              </w:rPr>
              <w:t>19</w:t>
            </w:r>
          </w:p>
        </w:tc>
        <w:tc>
          <w:tcPr>
            <w:tcW w:w="2483" w:type="dxa"/>
            <w:shd w:val="clear" w:color="auto" w:fill="auto"/>
            <w:noWrap w:val="0"/>
            <w:vAlign w:val="center"/>
          </w:tcPr>
          <w:p w14:paraId="581D0A9E">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As（mg/L）</w:t>
            </w:r>
          </w:p>
        </w:tc>
        <w:tc>
          <w:tcPr>
            <w:tcW w:w="1359" w:type="dxa"/>
            <w:shd w:val="clear" w:color="auto" w:fill="auto"/>
            <w:noWrap w:val="0"/>
            <w:vAlign w:val="center"/>
          </w:tcPr>
          <w:p w14:paraId="2DB074AE">
            <w:pPr>
              <w:spacing w:line="300" w:lineRule="exact"/>
              <w:jc w:val="center"/>
              <w:rPr>
                <w:rFonts w:hint="default" w:ascii="Arial" w:hAnsi="Arial" w:eastAsia="宋体" w:cs="Arial"/>
                <w:color w:val="auto"/>
                <w:kern w:val="2"/>
                <w:sz w:val="22"/>
                <w:szCs w:val="22"/>
                <w:lang w:val="en-US" w:eastAsia="zh-CN" w:bidi="ar-SA"/>
              </w:rPr>
            </w:pPr>
            <w:r>
              <w:rPr>
                <w:rFonts w:hint="default" w:ascii="Arial" w:hAnsi="Arial" w:cs="Arial"/>
                <w:color w:val="auto"/>
                <w:sz w:val="22"/>
              </w:rPr>
              <w:t>&lt;</w:t>
            </w:r>
            <w:r>
              <w:rPr>
                <w:rFonts w:hint="eastAsia" w:ascii="Arial" w:hAnsi="Arial" w:cs="Arial"/>
                <w:color w:val="auto"/>
                <w:sz w:val="22"/>
                <w:lang w:val="en-US" w:eastAsia="zh-CN"/>
              </w:rPr>
              <w:t>0.0002</w:t>
            </w:r>
          </w:p>
        </w:tc>
        <w:tc>
          <w:tcPr>
            <w:tcW w:w="1287" w:type="dxa"/>
            <w:shd w:val="clear" w:color="auto" w:fill="auto"/>
            <w:noWrap w:val="0"/>
            <w:vAlign w:val="center"/>
          </w:tcPr>
          <w:p w14:paraId="5A060E7B">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0.05</w:t>
            </w:r>
          </w:p>
        </w:tc>
        <w:tc>
          <w:tcPr>
            <w:tcW w:w="1170" w:type="dxa"/>
            <w:shd w:val="clear" w:color="auto" w:fill="auto"/>
            <w:noWrap w:val="0"/>
            <w:vAlign w:val="center"/>
          </w:tcPr>
          <w:p w14:paraId="5883AE05">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c>
          <w:tcPr>
            <w:tcW w:w="1419" w:type="dxa"/>
            <w:shd w:val="clear" w:color="auto" w:fill="auto"/>
            <w:noWrap w:val="0"/>
            <w:vAlign w:val="center"/>
          </w:tcPr>
          <w:p w14:paraId="67558F11">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r>
      <w:tr w14:paraId="58A88B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1D0FAD99">
            <w:pPr>
              <w:spacing w:line="300" w:lineRule="exact"/>
              <w:jc w:val="center"/>
              <w:rPr>
                <w:rFonts w:hint="eastAsia" w:ascii="Arial" w:hAnsi="Arial" w:cs="Arial"/>
                <w:color w:val="auto"/>
                <w:sz w:val="22"/>
              </w:rPr>
            </w:pPr>
            <w:r>
              <w:rPr>
                <w:rFonts w:hint="eastAsia" w:ascii="Arial" w:hAnsi="Arial" w:cs="Arial"/>
                <w:color w:val="auto"/>
                <w:sz w:val="22"/>
              </w:rPr>
              <w:t>20</w:t>
            </w:r>
          </w:p>
        </w:tc>
        <w:tc>
          <w:tcPr>
            <w:tcW w:w="2483" w:type="dxa"/>
            <w:shd w:val="clear" w:color="auto" w:fill="auto"/>
            <w:noWrap w:val="0"/>
            <w:vAlign w:val="center"/>
          </w:tcPr>
          <w:p w14:paraId="559E79BD">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Hg（mg/L）</w:t>
            </w:r>
          </w:p>
        </w:tc>
        <w:tc>
          <w:tcPr>
            <w:tcW w:w="1359" w:type="dxa"/>
            <w:shd w:val="clear" w:color="auto" w:fill="auto"/>
            <w:noWrap w:val="0"/>
            <w:vAlign w:val="center"/>
          </w:tcPr>
          <w:p w14:paraId="63C1473C">
            <w:pPr>
              <w:spacing w:line="300" w:lineRule="exact"/>
              <w:jc w:val="center"/>
              <w:rPr>
                <w:rFonts w:hint="default" w:ascii="Arial" w:hAnsi="Arial" w:eastAsia="宋体" w:cs="Arial"/>
                <w:color w:val="auto"/>
                <w:kern w:val="2"/>
                <w:sz w:val="22"/>
                <w:szCs w:val="22"/>
                <w:lang w:val="en-US" w:eastAsia="zh-CN" w:bidi="ar-SA"/>
              </w:rPr>
            </w:pPr>
            <w:r>
              <w:rPr>
                <w:rFonts w:hint="default" w:ascii="Arial" w:hAnsi="Arial" w:cs="Arial"/>
                <w:color w:val="auto"/>
                <w:sz w:val="22"/>
              </w:rPr>
              <w:t>&lt;</w:t>
            </w:r>
            <w:r>
              <w:rPr>
                <w:rFonts w:hint="eastAsia" w:ascii="Arial" w:hAnsi="Arial" w:cs="Arial"/>
                <w:color w:val="auto"/>
                <w:sz w:val="22"/>
                <w:lang w:val="en-US" w:eastAsia="zh-CN"/>
              </w:rPr>
              <w:t>0.00001</w:t>
            </w:r>
          </w:p>
        </w:tc>
        <w:tc>
          <w:tcPr>
            <w:tcW w:w="1287" w:type="dxa"/>
            <w:shd w:val="clear" w:color="auto" w:fill="auto"/>
            <w:noWrap w:val="0"/>
            <w:vAlign w:val="center"/>
          </w:tcPr>
          <w:p w14:paraId="5A0AC250">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rPr>
              <w:t>0.00005</w:t>
            </w:r>
          </w:p>
        </w:tc>
        <w:tc>
          <w:tcPr>
            <w:tcW w:w="1170" w:type="dxa"/>
            <w:shd w:val="clear" w:color="auto" w:fill="auto"/>
            <w:noWrap w:val="0"/>
            <w:vAlign w:val="center"/>
          </w:tcPr>
          <w:p w14:paraId="491ED390">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c>
          <w:tcPr>
            <w:tcW w:w="1419" w:type="dxa"/>
            <w:shd w:val="clear" w:color="auto" w:fill="auto"/>
            <w:noWrap w:val="0"/>
            <w:vAlign w:val="center"/>
          </w:tcPr>
          <w:p w14:paraId="63FB7DCC">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w:t>
            </w:r>
          </w:p>
        </w:tc>
      </w:tr>
      <w:tr w14:paraId="39E1E6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484EFECD">
            <w:pPr>
              <w:spacing w:line="300" w:lineRule="exact"/>
              <w:jc w:val="center"/>
              <w:rPr>
                <w:rFonts w:hint="eastAsia" w:ascii="Arial" w:hAnsi="Arial" w:cs="Arial"/>
                <w:color w:val="auto"/>
                <w:sz w:val="22"/>
              </w:rPr>
            </w:pPr>
            <w:r>
              <w:rPr>
                <w:rFonts w:hint="eastAsia" w:ascii="Arial" w:hAnsi="Arial" w:cs="Arial"/>
                <w:color w:val="auto"/>
                <w:sz w:val="22"/>
              </w:rPr>
              <w:t>21</w:t>
            </w:r>
          </w:p>
        </w:tc>
        <w:tc>
          <w:tcPr>
            <w:tcW w:w="2483" w:type="dxa"/>
            <w:shd w:val="clear" w:color="auto" w:fill="auto"/>
            <w:noWrap w:val="0"/>
            <w:vAlign w:val="center"/>
          </w:tcPr>
          <w:p w14:paraId="7CDE3072">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氟化物（mg/L）</w:t>
            </w:r>
          </w:p>
        </w:tc>
        <w:tc>
          <w:tcPr>
            <w:tcW w:w="1359" w:type="dxa"/>
            <w:shd w:val="clear" w:color="auto" w:fill="auto"/>
            <w:noWrap w:val="0"/>
            <w:vAlign w:val="center"/>
          </w:tcPr>
          <w:p w14:paraId="22FDC616">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0.218</w:t>
            </w:r>
          </w:p>
        </w:tc>
        <w:tc>
          <w:tcPr>
            <w:tcW w:w="1287" w:type="dxa"/>
            <w:shd w:val="clear" w:color="auto" w:fill="auto"/>
            <w:noWrap w:val="0"/>
            <w:vAlign w:val="center"/>
          </w:tcPr>
          <w:p w14:paraId="359FD231">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1.0</w:t>
            </w:r>
          </w:p>
        </w:tc>
        <w:tc>
          <w:tcPr>
            <w:tcW w:w="1170" w:type="dxa"/>
            <w:shd w:val="clear" w:color="auto" w:fill="auto"/>
            <w:noWrap w:val="0"/>
            <w:vAlign w:val="center"/>
          </w:tcPr>
          <w:p w14:paraId="27CBF38A">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0.218</w:t>
            </w:r>
          </w:p>
        </w:tc>
        <w:tc>
          <w:tcPr>
            <w:tcW w:w="1419" w:type="dxa"/>
            <w:shd w:val="clear" w:color="auto" w:fill="auto"/>
            <w:noWrap w:val="0"/>
            <w:vAlign w:val="center"/>
          </w:tcPr>
          <w:p w14:paraId="5E082192">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否</w:t>
            </w:r>
          </w:p>
        </w:tc>
      </w:tr>
      <w:tr w14:paraId="5D3728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1EF3C18A">
            <w:pPr>
              <w:spacing w:line="300" w:lineRule="exact"/>
              <w:jc w:val="center"/>
              <w:rPr>
                <w:rFonts w:hint="eastAsia" w:ascii="Arial" w:hAnsi="Arial" w:cs="Arial"/>
                <w:color w:val="auto"/>
                <w:sz w:val="22"/>
              </w:rPr>
            </w:pPr>
            <w:r>
              <w:rPr>
                <w:rFonts w:hint="eastAsia" w:ascii="Arial" w:hAnsi="Arial" w:cs="Arial"/>
                <w:color w:val="auto"/>
                <w:sz w:val="22"/>
              </w:rPr>
              <w:t>22</w:t>
            </w:r>
          </w:p>
        </w:tc>
        <w:tc>
          <w:tcPr>
            <w:tcW w:w="2483" w:type="dxa"/>
            <w:shd w:val="clear" w:color="auto" w:fill="auto"/>
            <w:noWrap w:val="0"/>
            <w:vAlign w:val="center"/>
          </w:tcPr>
          <w:p w14:paraId="3561E86E">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硫酸盐（mg/L）</w:t>
            </w:r>
          </w:p>
        </w:tc>
        <w:tc>
          <w:tcPr>
            <w:tcW w:w="1359" w:type="dxa"/>
            <w:shd w:val="clear" w:color="auto" w:fill="auto"/>
            <w:noWrap w:val="0"/>
            <w:vAlign w:val="center"/>
          </w:tcPr>
          <w:p w14:paraId="39BE139E">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26.6</w:t>
            </w:r>
          </w:p>
        </w:tc>
        <w:tc>
          <w:tcPr>
            <w:tcW w:w="1287" w:type="dxa"/>
            <w:shd w:val="clear" w:color="auto" w:fill="auto"/>
            <w:noWrap w:val="0"/>
            <w:vAlign w:val="center"/>
          </w:tcPr>
          <w:p w14:paraId="52B86557">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250</w:t>
            </w:r>
          </w:p>
        </w:tc>
        <w:tc>
          <w:tcPr>
            <w:tcW w:w="1170" w:type="dxa"/>
            <w:shd w:val="clear" w:color="auto" w:fill="auto"/>
            <w:noWrap w:val="0"/>
            <w:vAlign w:val="center"/>
          </w:tcPr>
          <w:p w14:paraId="73B8B5B8">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0.106</w:t>
            </w:r>
          </w:p>
        </w:tc>
        <w:tc>
          <w:tcPr>
            <w:tcW w:w="1419" w:type="dxa"/>
            <w:shd w:val="clear" w:color="auto" w:fill="auto"/>
            <w:noWrap w:val="0"/>
            <w:vAlign w:val="center"/>
          </w:tcPr>
          <w:p w14:paraId="47CD83CB">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否</w:t>
            </w:r>
          </w:p>
        </w:tc>
      </w:tr>
      <w:tr w14:paraId="6FACD5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19" w:type="dxa"/>
            <w:noWrap w:val="0"/>
            <w:vAlign w:val="center"/>
          </w:tcPr>
          <w:p w14:paraId="37F829DB">
            <w:pPr>
              <w:spacing w:line="300" w:lineRule="exact"/>
              <w:jc w:val="center"/>
              <w:rPr>
                <w:rFonts w:hint="eastAsia" w:ascii="Arial" w:hAnsi="Arial" w:cs="Arial"/>
                <w:color w:val="auto"/>
                <w:sz w:val="22"/>
              </w:rPr>
            </w:pPr>
            <w:r>
              <w:rPr>
                <w:rFonts w:hint="eastAsia" w:ascii="Arial" w:hAnsi="Arial" w:cs="Arial"/>
                <w:color w:val="auto"/>
                <w:sz w:val="22"/>
              </w:rPr>
              <w:t>23</w:t>
            </w:r>
          </w:p>
        </w:tc>
        <w:tc>
          <w:tcPr>
            <w:tcW w:w="2483" w:type="dxa"/>
            <w:shd w:val="clear" w:color="auto" w:fill="auto"/>
            <w:noWrap w:val="0"/>
            <w:vAlign w:val="center"/>
          </w:tcPr>
          <w:p w14:paraId="3BC2AC56">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氯化物（mg/L）</w:t>
            </w:r>
          </w:p>
        </w:tc>
        <w:tc>
          <w:tcPr>
            <w:tcW w:w="1359" w:type="dxa"/>
            <w:shd w:val="clear" w:color="auto" w:fill="auto"/>
            <w:noWrap w:val="0"/>
            <w:vAlign w:val="center"/>
          </w:tcPr>
          <w:p w14:paraId="760B999E">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6.05</w:t>
            </w:r>
          </w:p>
        </w:tc>
        <w:tc>
          <w:tcPr>
            <w:tcW w:w="1287" w:type="dxa"/>
            <w:shd w:val="clear" w:color="auto" w:fill="auto"/>
            <w:noWrap w:val="0"/>
            <w:vAlign w:val="center"/>
          </w:tcPr>
          <w:p w14:paraId="150FC184">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250</w:t>
            </w:r>
          </w:p>
        </w:tc>
        <w:tc>
          <w:tcPr>
            <w:tcW w:w="1170" w:type="dxa"/>
            <w:shd w:val="clear" w:color="auto" w:fill="auto"/>
            <w:noWrap w:val="0"/>
            <w:vAlign w:val="center"/>
          </w:tcPr>
          <w:p w14:paraId="158BFDB3">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0.024</w:t>
            </w:r>
          </w:p>
        </w:tc>
        <w:tc>
          <w:tcPr>
            <w:tcW w:w="1419" w:type="dxa"/>
            <w:shd w:val="clear" w:color="auto" w:fill="auto"/>
            <w:noWrap w:val="0"/>
            <w:vAlign w:val="center"/>
          </w:tcPr>
          <w:p w14:paraId="256C2B2E">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否</w:t>
            </w:r>
          </w:p>
        </w:tc>
      </w:tr>
      <w:tr w14:paraId="5F68A0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919" w:type="dxa"/>
            <w:noWrap w:val="0"/>
            <w:vAlign w:val="center"/>
          </w:tcPr>
          <w:p w14:paraId="44CA8529">
            <w:pPr>
              <w:spacing w:line="300" w:lineRule="exact"/>
              <w:jc w:val="center"/>
              <w:rPr>
                <w:rFonts w:hint="eastAsia" w:ascii="Arial" w:hAnsi="Arial" w:cs="Arial"/>
                <w:color w:val="auto"/>
                <w:sz w:val="22"/>
              </w:rPr>
            </w:pPr>
            <w:r>
              <w:rPr>
                <w:rFonts w:hint="eastAsia" w:ascii="Arial" w:hAnsi="Arial" w:cs="Arial"/>
                <w:color w:val="auto"/>
                <w:sz w:val="22"/>
              </w:rPr>
              <w:t>24</w:t>
            </w:r>
          </w:p>
        </w:tc>
        <w:tc>
          <w:tcPr>
            <w:tcW w:w="2483" w:type="dxa"/>
            <w:shd w:val="clear" w:color="auto" w:fill="auto"/>
            <w:noWrap w:val="0"/>
            <w:vAlign w:val="center"/>
          </w:tcPr>
          <w:p w14:paraId="45140501">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硝酸盐（mg/L）</w:t>
            </w:r>
          </w:p>
        </w:tc>
        <w:tc>
          <w:tcPr>
            <w:tcW w:w="1359" w:type="dxa"/>
            <w:shd w:val="clear" w:color="auto" w:fill="auto"/>
            <w:noWrap w:val="0"/>
            <w:vAlign w:val="center"/>
          </w:tcPr>
          <w:p w14:paraId="2A9B1180">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0.19</w:t>
            </w:r>
          </w:p>
        </w:tc>
        <w:tc>
          <w:tcPr>
            <w:tcW w:w="1287" w:type="dxa"/>
            <w:shd w:val="clear" w:color="auto" w:fill="auto"/>
            <w:noWrap w:val="0"/>
            <w:vAlign w:val="center"/>
          </w:tcPr>
          <w:p w14:paraId="69C70FA9">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10</w:t>
            </w:r>
          </w:p>
        </w:tc>
        <w:tc>
          <w:tcPr>
            <w:tcW w:w="1170" w:type="dxa"/>
            <w:shd w:val="clear" w:color="auto" w:fill="auto"/>
            <w:noWrap w:val="0"/>
            <w:vAlign w:val="center"/>
          </w:tcPr>
          <w:p w14:paraId="492ECE89">
            <w:pPr>
              <w:spacing w:line="300" w:lineRule="exact"/>
              <w:jc w:val="center"/>
              <w:rPr>
                <w:rFonts w:hint="default" w:ascii="Arial" w:hAnsi="Arial" w:eastAsia="宋体" w:cs="Arial"/>
                <w:color w:val="auto"/>
                <w:kern w:val="2"/>
                <w:sz w:val="22"/>
                <w:szCs w:val="22"/>
                <w:lang w:val="en-US" w:eastAsia="zh-CN" w:bidi="ar-SA"/>
              </w:rPr>
            </w:pPr>
            <w:r>
              <w:rPr>
                <w:rFonts w:hint="eastAsia" w:ascii="Arial" w:hAnsi="Arial" w:cs="Arial"/>
                <w:color w:val="auto"/>
                <w:sz w:val="22"/>
                <w:lang w:val="en-US" w:eastAsia="zh-CN"/>
              </w:rPr>
              <w:t>0.019</w:t>
            </w:r>
          </w:p>
        </w:tc>
        <w:tc>
          <w:tcPr>
            <w:tcW w:w="1419" w:type="dxa"/>
            <w:shd w:val="clear" w:color="auto" w:fill="auto"/>
            <w:noWrap w:val="0"/>
            <w:vAlign w:val="center"/>
          </w:tcPr>
          <w:p w14:paraId="1DAFA818">
            <w:pPr>
              <w:spacing w:line="300" w:lineRule="exact"/>
              <w:jc w:val="center"/>
              <w:rPr>
                <w:rFonts w:ascii="Arial" w:hAnsi="Arial" w:eastAsia="宋体" w:cs="Arial"/>
                <w:color w:val="auto"/>
                <w:kern w:val="2"/>
                <w:sz w:val="22"/>
                <w:szCs w:val="22"/>
                <w:lang w:val="en-US" w:eastAsia="zh-CN" w:bidi="ar-SA"/>
              </w:rPr>
            </w:pPr>
            <w:r>
              <w:rPr>
                <w:rFonts w:hint="eastAsia" w:ascii="Arial" w:hAnsi="Arial" w:cs="Arial"/>
                <w:color w:val="auto"/>
                <w:sz w:val="22"/>
              </w:rPr>
              <w:t>否</w:t>
            </w:r>
          </w:p>
        </w:tc>
      </w:tr>
    </w:tbl>
    <w:p w14:paraId="0813F4E1">
      <w:pPr>
        <w:spacing w:line="240" w:lineRule="exact"/>
        <w:ind w:firstLine="522"/>
        <w:rPr>
          <w:rFonts w:hint="eastAsia" w:ascii="Arial" w:cs="Arial"/>
          <w:color w:val="auto"/>
          <w:sz w:val="26"/>
          <w:szCs w:val="26"/>
        </w:rPr>
      </w:pPr>
    </w:p>
    <w:p w14:paraId="4FE0B17B">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Arial" w:cs="Arial"/>
          <w:b w:val="0"/>
          <w:bCs/>
          <w:color w:val="auto"/>
          <w:sz w:val="26"/>
          <w:szCs w:val="26"/>
          <w:lang w:val="en-US" w:eastAsia="zh-CN"/>
        </w:rPr>
      </w:pPr>
      <w:r>
        <w:rPr>
          <w:rFonts w:hint="eastAsia" w:ascii="Arial" w:cs="Arial"/>
          <w:b w:val="0"/>
          <w:bCs/>
          <w:color w:val="auto"/>
          <w:sz w:val="26"/>
          <w:szCs w:val="26"/>
        </w:rPr>
        <w:t>由表4.</w:t>
      </w:r>
      <w:r>
        <w:rPr>
          <w:rFonts w:hint="eastAsia" w:ascii="Arial" w:cs="Arial"/>
          <w:b w:val="0"/>
          <w:bCs/>
          <w:color w:val="auto"/>
          <w:sz w:val="26"/>
          <w:szCs w:val="26"/>
          <w:lang w:val="en-US" w:eastAsia="zh-CN"/>
        </w:rPr>
        <w:t>3</w:t>
      </w:r>
      <w:r>
        <w:rPr>
          <w:rFonts w:hint="eastAsia" w:ascii="Arial" w:cs="Arial"/>
          <w:b w:val="0"/>
          <w:bCs/>
          <w:color w:val="auto"/>
          <w:sz w:val="26"/>
          <w:szCs w:val="26"/>
        </w:rPr>
        <w:t>-</w:t>
      </w:r>
      <w:r>
        <w:rPr>
          <w:rFonts w:hint="eastAsia" w:ascii="Arial" w:cs="Arial"/>
          <w:b w:val="0"/>
          <w:bCs/>
          <w:color w:val="auto"/>
          <w:sz w:val="26"/>
          <w:szCs w:val="26"/>
          <w:lang w:val="en-US" w:eastAsia="zh-CN"/>
        </w:rPr>
        <w:t>7</w:t>
      </w:r>
      <w:r>
        <w:rPr>
          <w:rFonts w:hint="eastAsia" w:ascii="Arial" w:cs="Arial"/>
          <w:b w:val="0"/>
          <w:bCs/>
          <w:color w:val="auto"/>
          <w:sz w:val="26"/>
          <w:szCs w:val="26"/>
        </w:rPr>
        <w:t>可知，</w:t>
      </w:r>
      <w:r>
        <w:rPr>
          <w:rFonts w:hint="eastAsia" w:ascii="Arial" w:cs="Arial"/>
          <w:b w:val="0"/>
          <w:bCs/>
          <w:color w:val="auto"/>
          <w:sz w:val="26"/>
          <w:szCs w:val="26"/>
          <w:lang w:eastAsia="zh-CN"/>
        </w:rPr>
        <w:t>海螺沟水库</w:t>
      </w:r>
      <w:r>
        <w:rPr>
          <w:rFonts w:hint="eastAsia" w:ascii="Arial" w:cs="Arial"/>
          <w:b w:val="0"/>
          <w:bCs/>
          <w:color w:val="auto"/>
          <w:sz w:val="26"/>
          <w:szCs w:val="26"/>
        </w:rPr>
        <w:t>库区内各项水质监测因子</w:t>
      </w:r>
      <w:r>
        <w:rPr>
          <w:rFonts w:hint="eastAsia" w:ascii="Arial" w:cs="Arial"/>
          <w:b w:val="0"/>
          <w:bCs/>
          <w:color w:val="auto"/>
          <w:sz w:val="26"/>
          <w:szCs w:val="26"/>
          <w:lang w:eastAsia="zh-CN"/>
        </w:rPr>
        <w:t>除高锰酸盐指数外，其余各监测因子</w:t>
      </w:r>
      <w:r>
        <w:rPr>
          <w:rFonts w:hint="eastAsia" w:ascii="Arial" w:cs="Arial"/>
          <w:b w:val="0"/>
          <w:bCs/>
          <w:color w:val="auto"/>
          <w:sz w:val="26"/>
          <w:szCs w:val="26"/>
        </w:rPr>
        <w:t>浓度均满足《地表水环境质量标准》（GB3838-2002）中Ⅱ类标准要求</w:t>
      </w:r>
      <w:r>
        <w:rPr>
          <w:rFonts w:hint="eastAsia" w:ascii="Arial" w:cs="Arial"/>
          <w:b w:val="0"/>
          <w:bCs/>
          <w:color w:val="auto"/>
          <w:sz w:val="26"/>
          <w:szCs w:val="26"/>
          <w:lang w:eastAsia="zh-CN"/>
        </w:rPr>
        <w:t>。高锰酸盐指数超标原因主要为枯水期</w:t>
      </w:r>
      <w:r>
        <w:rPr>
          <w:rFonts w:hint="eastAsia" w:ascii="Arial" w:cs="Arial"/>
          <w:b w:val="0"/>
          <w:bCs/>
          <w:color w:val="auto"/>
          <w:sz w:val="26"/>
          <w:szCs w:val="26"/>
        </w:rPr>
        <w:t>农村</w:t>
      </w:r>
      <w:r>
        <w:rPr>
          <w:rFonts w:hint="eastAsia" w:ascii="Arial" w:cs="Arial"/>
          <w:b w:val="0"/>
          <w:bCs/>
          <w:color w:val="auto"/>
          <w:sz w:val="26"/>
          <w:szCs w:val="26"/>
          <w:lang w:eastAsia="zh-CN"/>
        </w:rPr>
        <w:t>居民</w:t>
      </w:r>
      <w:r>
        <w:rPr>
          <w:rFonts w:hint="eastAsia" w:ascii="Arial" w:cs="Arial"/>
          <w:b w:val="0"/>
          <w:bCs/>
          <w:color w:val="auto"/>
          <w:sz w:val="26"/>
          <w:szCs w:val="26"/>
        </w:rPr>
        <w:t>散排污水和</w:t>
      </w:r>
      <w:r>
        <w:rPr>
          <w:rFonts w:hint="eastAsia" w:ascii="Arial" w:cs="Arial"/>
          <w:b w:val="0"/>
          <w:bCs/>
          <w:color w:val="auto"/>
          <w:sz w:val="26"/>
          <w:szCs w:val="26"/>
          <w:lang w:eastAsia="zh-CN"/>
        </w:rPr>
        <w:t>耕地灌溉退水</w:t>
      </w:r>
      <w:r>
        <w:rPr>
          <w:rFonts w:hint="eastAsia" w:ascii="Arial" w:cs="Arial"/>
          <w:b w:val="0"/>
          <w:bCs/>
          <w:color w:val="auto"/>
          <w:sz w:val="26"/>
          <w:szCs w:val="26"/>
        </w:rPr>
        <w:t>等农村面源污染导致</w:t>
      </w:r>
      <w:r>
        <w:rPr>
          <w:rFonts w:hint="eastAsia" w:ascii="Arial" w:cs="Arial"/>
          <w:b w:val="0"/>
          <w:bCs/>
          <w:color w:val="auto"/>
          <w:sz w:val="26"/>
          <w:szCs w:val="26"/>
          <w:lang w:eastAsia="zh-CN"/>
        </w:rPr>
        <w:t>，项目实施后，</w:t>
      </w:r>
      <w:r>
        <w:rPr>
          <w:rFonts w:hint="eastAsia" w:ascii="Arial" w:cs="Arial"/>
          <w:b w:val="0"/>
          <w:bCs/>
          <w:color w:val="auto"/>
          <w:sz w:val="26"/>
          <w:szCs w:val="26"/>
        </w:rPr>
        <w:t>通过</w:t>
      </w:r>
      <w:r>
        <w:rPr>
          <w:rFonts w:hint="eastAsia" w:ascii="Arial" w:cs="Arial"/>
          <w:b w:val="0"/>
          <w:bCs/>
          <w:color w:val="auto"/>
          <w:sz w:val="26"/>
          <w:szCs w:val="26"/>
          <w:lang w:eastAsia="zh-CN"/>
        </w:rPr>
        <w:t>划定饮用水水源保护区，</w:t>
      </w:r>
      <w:r>
        <w:rPr>
          <w:rFonts w:hint="eastAsia" w:ascii="Arial" w:cs="Arial"/>
          <w:b w:val="0"/>
          <w:bCs/>
          <w:color w:val="auto"/>
          <w:sz w:val="26"/>
          <w:szCs w:val="26"/>
        </w:rPr>
        <w:t>加强</w:t>
      </w:r>
      <w:r>
        <w:rPr>
          <w:rFonts w:hint="eastAsia" w:ascii="Arial" w:cs="Arial"/>
          <w:b w:val="0"/>
          <w:bCs/>
          <w:color w:val="auto"/>
          <w:sz w:val="26"/>
          <w:szCs w:val="26"/>
          <w:lang w:eastAsia="zh-CN"/>
        </w:rPr>
        <w:t>水源地</w:t>
      </w:r>
      <w:r>
        <w:rPr>
          <w:rFonts w:hint="eastAsia" w:ascii="Arial" w:cs="Arial"/>
          <w:b w:val="0"/>
          <w:bCs/>
          <w:color w:val="auto"/>
          <w:sz w:val="26"/>
          <w:szCs w:val="26"/>
        </w:rPr>
        <w:t>保护，推进农村生活污水处理，可以有效控制</w:t>
      </w:r>
      <w:r>
        <w:rPr>
          <w:rFonts w:hint="eastAsia" w:ascii="Arial" w:cs="Arial"/>
          <w:b w:val="0"/>
          <w:bCs/>
          <w:color w:val="auto"/>
          <w:sz w:val="26"/>
          <w:szCs w:val="26"/>
          <w:lang w:eastAsia="zh-CN"/>
        </w:rPr>
        <w:t>海螺沟</w:t>
      </w:r>
      <w:r>
        <w:rPr>
          <w:rFonts w:hint="eastAsia" w:ascii="Arial" w:cs="Arial"/>
          <w:b w:val="0"/>
          <w:bCs/>
          <w:color w:val="auto"/>
          <w:sz w:val="26"/>
          <w:szCs w:val="26"/>
        </w:rPr>
        <w:t>流域两岸的农村面源污染情况。</w:t>
      </w:r>
      <w:r>
        <w:rPr>
          <w:rFonts w:hint="eastAsia" w:ascii="Arial" w:cs="Arial"/>
          <w:b w:val="0"/>
          <w:bCs/>
          <w:color w:val="auto"/>
          <w:sz w:val="26"/>
          <w:szCs w:val="26"/>
          <w:lang w:eastAsia="zh-CN"/>
        </w:rPr>
        <w:t>由此可见，本项目</w:t>
      </w:r>
      <w:r>
        <w:rPr>
          <w:rFonts w:hint="eastAsia" w:ascii="Arial" w:cs="Arial"/>
          <w:b w:val="0"/>
          <w:bCs/>
          <w:color w:val="auto"/>
          <w:sz w:val="26"/>
          <w:szCs w:val="26"/>
        </w:rPr>
        <w:t>水源地选择</w:t>
      </w:r>
      <w:r>
        <w:rPr>
          <w:rFonts w:hint="eastAsia" w:ascii="Arial" w:cs="Arial"/>
          <w:b w:val="0"/>
          <w:bCs/>
          <w:color w:val="auto"/>
          <w:sz w:val="26"/>
          <w:szCs w:val="26"/>
          <w:lang w:eastAsia="zh-CN"/>
        </w:rPr>
        <w:t>总体</w:t>
      </w:r>
      <w:r>
        <w:rPr>
          <w:rFonts w:hint="eastAsia" w:ascii="Arial" w:cs="Arial"/>
          <w:b w:val="0"/>
          <w:bCs/>
          <w:color w:val="auto"/>
          <w:sz w:val="26"/>
          <w:szCs w:val="26"/>
        </w:rPr>
        <w:t>可行。</w:t>
      </w:r>
    </w:p>
    <w:p w14:paraId="36C63262">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cs="Arial"/>
          <w:b/>
          <w:bCs w:val="0"/>
          <w:sz w:val="26"/>
          <w:szCs w:val="26"/>
          <w:lang w:val="en-US" w:eastAsia="zh-CN"/>
        </w:rPr>
      </w:pPr>
      <w:r>
        <w:rPr>
          <w:rFonts w:hint="default" w:ascii="Arial" w:hAnsi="Arial" w:cs="Arial"/>
          <w:b/>
          <w:bCs w:val="0"/>
          <w:sz w:val="26"/>
          <w:szCs w:val="26"/>
          <w:lang w:val="en-US" w:eastAsia="zh-CN"/>
        </w:rPr>
        <w:t>4.</w:t>
      </w:r>
      <w:r>
        <w:rPr>
          <w:rFonts w:hint="eastAsia" w:ascii="Arial" w:hAnsi="Arial" w:cs="Arial"/>
          <w:b/>
          <w:bCs w:val="0"/>
          <w:sz w:val="26"/>
          <w:szCs w:val="26"/>
          <w:lang w:val="en-US" w:eastAsia="zh-CN"/>
        </w:rPr>
        <w:t>3.3</w:t>
      </w:r>
      <w:r>
        <w:rPr>
          <w:rFonts w:hint="default" w:ascii="Arial" w:hAnsi="Arial" w:cs="Arial"/>
          <w:b/>
          <w:bCs w:val="0"/>
          <w:sz w:val="26"/>
          <w:szCs w:val="26"/>
          <w:lang w:val="en-US" w:eastAsia="zh-CN"/>
        </w:rPr>
        <w:t>声环境质量现状与评价</w:t>
      </w:r>
      <w:bookmarkEnd w:id="94"/>
      <w:bookmarkEnd w:id="95"/>
    </w:p>
    <w:p w14:paraId="55CDF525">
      <w:pPr>
        <w:keepNext w:val="0"/>
        <w:keepLines w:val="0"/>
        <w:pageBreakBefore w:val="0"/>
        <w:widowControl w:val="0"/>
        <w:kinsoku/>
        <w:wordWrap/>
        <w:overflowPunct/>
        <w:topLinePunct w:val="0"/>
        <w:autoSpaceDE/>
        <w:autoSpaceDN/>
        <w:bidi w:val="0"/>
        <w:spacing w:line="460" w:lineRule="exact"/>
        <w:ind w:firstLine="480"/>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本项目枢纽工程选址位于双龙镇田家山村，为农村地区，</w:t>
      </w:r>
      <w:r>
        <w:rPr>
          <w:rFonts w:hint="eastAsia" w:ascii="Arial" w:cs="Arial"/>
          <w:sz w:val="26"/>
          <w:szCs w:val="26"/>
        </w:rPr>
        <w:t>执行《声环境质量标准》（</w:t>
      </w:r>
      <w:r>
        <w:rPr>
          <w:rFonts w:ascii="Arial" w:cs="Arial"/>
          <w:sz w:val="26"/>
          <w:szCs w:val="26"/>
        </w:rPr>
        <w:t>GB3096-2008</w:t>
      </w:r>
      <w:r>
        <w:rPr>
          <w:rFonts w:hint="eastAsia" w:ascii="Arial" w:cs="Arial"/>
          <w:sz w:val="26"/>
          <w:szCs w:val="26"/>
        </w:rPr>
        <w:t>）中的</w:t>
      </w:r>
      <w:r>
        <w:rPr>
          <w:rFonts w:hint="eastAsia" w:ascii="Arial" w:cs="Arial"/>
          <w:sz w:val="26"/>
          <w:szCs w:val="26"/>
          <w:lang w:val="en-US" w:eastAsia="zh-CN"/>
        </w:rPr>
        <w:t>1</w:t>
      </w:r>
      <w:r>
        <w:rPr>
          <w:rFonts w:hint="eastAsia" w:ascii="Arial" w:cs="Arial"/>
          <w:sz w:val="26"/>
          <w:szCs w:val="26"/>
        </w:rPr>
        <w:t>类标准</w:t>
      </w:r>
      <w:r>
        <w:rPr>
          <w:rFonts w:hint="eastAsia" w:ascii="Arial" w:cs="Arial"/>
          <w:sz w:val="26"/>
          <w:szCs w:val="26"/>
          <w:lang w:eastAsia="zh-CN"/>
        </w:rPr>
        <w:t>；输水管线沿线多有交通干线分布，</w:t>
      </w:r>
      <w:r>
        <w:rPr>
          <w:rFonts w:hint="eastAsia" w:ascii="Arial" w:cs="Arial"/>
          <w:sz w:val="26"/>
          <w:szCs w:val="26"/>
        </w:rPr>
        <w:t>执行《声环境质量标准》（</w:t>
      </w:r>
      <w:r>
        <w:rPr>
          <w:rFonts w:ascii="Arial" w:cs="Arial"/>
          <w:sz w:val="26"/>
          <w:szCs w:val="26"/>
        </w:rPr>
        <w:t>GB3096-2008</w:t>
      </w:r>
      <w:r>
        <w:rPr>
          <w:rFonts w:hint="eastAsia" w:ascii="Arial" w:cs="Arial"/>
          <w:sz w:val="26"/>
          <w:szCs w:val="26"/>
        </w:rPr>
        <w:t>）中的</w:t>
      </w:r>
      <w:r>
        <w:rPr>
          <w:rFonts w:hint="eastAsia" w:ascii="Arial" w:cs="Arial"/>
          <w:sz w:val="26"/>
          <w:szCs w:val="26"/>
          <w:lang w:val="en-US" w:eastAsia="zh-CN"/>
        </w:rPr>
        <w:t>2</w:t>
      </w:r>
      <w:r>
        <w:rPr>
          <w:rFonts w:hint="eastAsia" w:ascii="Arial" w:cs="Arial"/>
          <w:sz w:val="26"/>
          <w:szCs w:val="26"/>
        </w:rPr>
        <w:t>类标准</w:t>
      </w:r>
      <w:r>
        <w:rPr>
          <w:rFonts w:hint="eastAsia" w:ascii="Arial" w:cs="Arial"/>
          <w:sz w:val="26"/>
          <w:szCs w:val="26"/>
          <w:lang w:eastAsia="zh-CN"/>
        </w:rPr>
        <w:t>。</w:t>
      </w:r>
      <w:r>
        <w:rPr>
          <w:rFonts w:hint="eastAsia" w:ascii="Arial" w:hAnsi="Arial" w:cs="Arial"/>
          <w:b w:val="0"/>
          <w:color w:val="auto"/>
          <w:kern w:val="2"/>
          <w:sz w:val="26"/>
          <w:szCs w:val="26"/>
          <w:lang w:val="en-US" w:eastAsia="zh-CN" w:bidi="ar-SA"/>
        </w:rPr>
        <w:t>为了解项目区域声环境质量现状，本次评价委托重庆国环环境监测有限公司对枢纽工程所在地及输水管线沿线进行了声环境质量现状监测，监测情况如下：</w:t>
      </w:r>
    </w:p>
    <w:p w14:paraId="3A5F402B">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default" w:ascii="Arial" w:hAnsi="Arial" w:cs="Arial"/>
          <w:b/>
          <w:bCs w:val="0"/>
          <w:sz w:val="26"/>
          <w:szCs w:val="26"/>
          <w:lang w:val="en-US" w:eastAsia="zh-CN"/>
        </w:rPr>
      </w:pPr>
      <w:r>
        <w:rPr>
          <w:rFonts w:hint="eastAsia" w:ascii="Arial" w:hAnsi="Arial" w:cs="Arial"/>
          <w:b/>
          <w:bCs w:val="0"/>
          <w:sz w:val="26"/>
          <w:szCs w:val="26"/>
          <w:lang w:val="en-US" w:eastAsia="zh-CN"/>
        </w:rPr>
        <w:t>（1）监测布点</w:t>
      </w:r>
    </w:p>
    <w:p w14:paraId="66805744">
      <w:pPr>
        <w:spacing w:line="460" w:lineRule="exact"/>
        <w:ind w:firstLine="520"/>
        <w:rPr>
          <w:rFonts w:hint="eastAsia" w:ascii="Arial" w:hAnsi="宋体" w:cs="Arial"/>
          <w:sz w:val="26"/>
          <w:szCs w:val="26"/>
        </w:rPr>
      </w:pPr>
      <w:r>
        <w:rPr>
          <w:rFonts w:hint="eastAsia" w:ascii="Arial" w:hAnsi="宋体" w:cs="Arial"/>
          <w:b/>
          <w:sz w:val="26"/>
          <w:szCs w:val="26"/>
        </w:rPr>
        <w:t>监测项目：</w:t>
      </w:r>
      <w:r>
        <w:rPr>
          <w:rFonts w:hint="eastAsia" w:ascii="Arial" w:hAnsi="宋体" w:cs="Arial"/>
          <w:sz w:val="26"/>
          <w:szCs w:val="26"/>
        </w:rPr>
        <w:t>等效连续A声级。</w:t>
      </w:r>
    </w:p>
    <w:p w14:paraId="28147F91">
      <w:pPr>
        <w:spacing w:line="460" w:lineRule="exact"/>
        <w:ind w:firstLine="520"/>
        <w:rPr>
          <w:rFonts w:hint="eastAsia" w:ascii="Arial" w:hAnsi="宋体" w:cs="Arial"/>
          <w:sz w:val="26"/>
          <w:szCs w:val="26"/>
        </w:rPr>
      </w:pPr>
      <w:r>
        <w:rPr>
          <w:rFonts w:hint="eastAsia" w:ascii="Arial" w:hAnsi="宋体" w:cs="Arial"/>
          <w:b/>
          <w:sz w:val="26"/>
          <w:szCs w:val="26"/>
        </w:rPr>
        <w:t>监测布点：</w:t>
      </w:r>
      <w:r>
        <w:rPr>
          <w:rFonts w:hint="eastAsia" w:ascii="Arial" w:hAnsi="宋体" w:cs="Arial"/>
          <w:sz w:val="26"/>
          <w:szCs w:val="26"/>
        </w:rPr>
        <w:t>共设</w:t>
      </w:r>
      <w:r>
        <w:rPr>
          <w:rFonts w:ascii="Arial" w:hAnsi="Arial" w:cs="Arial"/>
          <w:sz w:val="26"/>
          <w:szCs w:val="26"/>
        </w:rPr>
        <w:t>4</w:t>
      </w:r>
      <w:r>
        <w:rPr>
          <w:rFonts w:hint="eastAsia" w:ascii="Arial" w:hAnsi="宋体" w:cs="Arial"/>
          <w:sz w:val="26"/>
          <w:szCs w:val="26"/>
        </w:rPr>
        <w:t>个点，</w:t>
      </w:r>
      <w:r>
        <w:rPr>
          <w:rFonts w:ascii="Arial" w:hAnsi="宋体" w:cs="Arial"/>
          <w:sz w:val="26"/>
          <w:szCs w:val="26"/>
        </w:rPr>
        <w:t>1#</w:t>
      </w:r>
      <w:r>
        <w:rPr>
          <w:rFonts w:hint="eastAsia" w:ascii="Arial" w:hAnsi="宋体" w:cs="Arial"/>
          <w:sz w:val="26"/>
          <w:szCs w:val="26"/>
        </w:rPr>
        <w:t>监测点布置在拟建</w:t>
      </w:r>
      <w:r>
        <w:rPr>
          <w:rFonts w:hint="eastAsia" w:ascii="Arial" w:hAnsi="宋体" w:cs="Arial"/>
          <w:sz w:val="26"/>
          <w:szCs w:val="26"/>
          <w:lang w:eastAsia="zh-CN"/>
        </w:rPr>
        <w:t>海螺沟水库坝址处</w:t>
      </w:r>
      <w:r>
        <w:rPr>
          <w:rFonts w:hint="eastAsia" w:ascii="Arial" w:hAnsi="宋体" w:cs="Arial"/>
          <w:sz w:val="26"/>
          <w:szCs w:val="26"/>
        </w:rPr>
        <w:t>，</w:t>
      </w:r>
      <w:r>
        <w:rPr>
          <w:rFonts w:ascii="Arial" w:hAnsi="宋体" w:cs="Arial"/>
          <w:sz w:val="26"/>
          <w:szCs w:val="26"/>
        </w:rPr>
        <w:t>2#</w:t>
      </w:r>
      <w:r>
        <w:rPr>
          <w:rFonts w:hint="eastAsia" w:ascii="Arial" w:hAnsi="宋体" w:cs="Arial"/>
          <w:sz w:val="26"/>
          <w:szCs w:val="26"/>
        </w:rPr>
        <w:t>监测点布置在</w:t>
      </w:r>
      <w:r>
        <w:rPr>
          <w:rFonts w:hint="eastAsia" w:ascii="Arial" w:hAnsi="宋体" w:cs="Arial"/>
          <w:sz w:val="26"/>
          <w:szCs w:val="26"/>
          <w:lang w:eastAsia="zh-CN"/>
        </w:rPr>
        <w:t>范家湾支管右侧最近居民点处</w:t>
      </w:r>
      <w:r>
        <w:rPr>
          <w:rFonts w:hint="eastAsia" w:ascii="Arial" w:hAnsi="宋体" w:cs="Arial"/>
          <w:sz w:val="26"/>
          <w:szCs w:val="26"/>
        </w:rPr>
        <w:t>，</w:t>
      </w:r>
      <w:r>
        <w:rPr>
          <w:rFonts w:ascii="Arial" w:hAnsi="宋体" w:cs="Arial"/>
          <w:sz w:val="26"/>
          <w:szCs w:val="26"/>
        </w:rPr>
        <w:t>3#</w:t>
      </w:r>
      <w:r>
        <w:rPr>
          <w:rFonts w:hint="eastAsia" w:ascii="Arial" w:hAnsi="宋体" w:cs="Arial"/>
          <w:sz w:val="26"/>
          <w:szCs w:val="26"/>
        </w:rPr>
        <w:t>监测点布置在</w:t>
      </w:r>
      <w:r>
        <w:rPr>
          <w:rFonts w:hint="eastAsia" w:ascii="Arial" w:hAnsi="宋体" w:cs="Arial"/>
          <w:sz w:val="26"/>
          <w:szCs w:val="26"/>
          <w:lang w:eastAsia="zh-CN"/>
        </w:rPr>
        <w:t>樊家湾支管右侧最</w:t>
      </w:r>
      <w:r>
        <w:rPr>
          <w:rFonts w:hint="eastAsia" w:ascii="Arial" w:hAnsi="宋体" w:cs="Arial"/>
          <w:sz w:val="26"/>
          <w:szCs w:val="26"/>
        </w:rPr>
        <w:t>近居民点处，</w:t>
      </w:r>
      <w:r>
        <w:rPr>
          <w:rFonts w:ascii="Arial" w:hAnsi="宋体" w:cs="Arial"/>
          <w:sz w:val="26"/>
          <w:szCs w:val="26"/>
        </w:rPr>
        <w:t>4#</w:t>
      </w:r>
      <w:r>
        <w:rPr>
          <w:rFonts w:hint="eastAsia" w:ascii="Arial" w:hAnsi="宋体" w:cs="Arial"/>
          <w:sz w:val="26"/>
          <w:szCs w:val="26"/>
        </w:rPr>
        <w:t>监测点布置在</w:t>
      </w:r>
      <w:r>
        <w:rPr>
          <w:rFonts w:hint="eastAsia" w:ascii="Arial" w:hAnsi="宋体" w:cs="Arial"/>
          <w:sz w:val="26"/>
          <w:szCs w:val="26"/>
          <w:lang w:eastAsia="zh-CN"/>
        </w:rPr>
        <w:t>双龙干管与鸦雀湾支管右侧最近居民点处</w:t>
      </w:r>
      <w:r>
        <w:rPr>
          <w:rFonts w:hint="eastAsia" w:ascii="Arial" w:hAnsi="宋体" w:cs="Arial"/>
          <w:sz w:val="26"/>
          <w:szCs w:val="26"/>
        </w:rPr>
        <w:t>。</w:t>
      </w:r>
    </w:p>
    <w:p w14:paraId="1F1960B2">
      <w:pPr>
        <w:spacing w:line="460" w:lineRule="exact"/>
        <w:ind w:firstLine="520"/>
        <w:rPr>
          <w:rFonts w:hint="eastAsia" w:ascii="Arial" w:hAnsi="宋体" w:cs="Arial"/>
          <w:sz w:val="26"/>
          <w:szCs w:val="26"/>
        </w:rPr>
      </w:pPr>
      <w:r>
        <w:rPr>
          <w:rFonts w:hint="eastAsia" w:ascii="Arial" w:hAnsi="宋体" w:cs="Arial"/>
          <w:b/>
          <w:sz w:val="26"/>
          <w:szCs w:val="26"/>
        </w:rPr>
        <w:t>监测时间：</w:t>
      </w:r>
      <w:r>
        <w:rPr>
          <w:rFonts w:ascii="Arial" w:hAnsi="宋体" w:cs="Arial"/>
          <w:sz w:val="26"/>
          <w:szCs w:val="26"/>
        </w:rPr>
        <w:t>20</w:t>
      </w:r>
      <w:r>
        <w:rPr>
          <w:rFonts w:hint="eastAsia" w:ascii="Arial" w:hAnsi="宋体" w:cs="Arial"/>
          <w:sz w:val="26"/>
          <w:szCs w:val="26"/>
          <w:lang w:val="en-US" w:eastAsia="zh-CN"/>
        </w:rPr>
        <w:t>24</w:t>
      </w:r>
      <w:r>
        <w:rPr>
          <w:rFonts w:hint="eastAsia" w:ascii="Arial" w:hAnsi="宋体" w:cs="Arial"/>
          <w:sz w:val="26"/>
          <w:szCs w:val="26"/>
        </w:rPr>
        <w:t>年</w:t>
      </w:r>
      <w:r>
        <w:rPr>
          <w:rFonts w:hint="eastAsia" w:ascii="Arial" w:hAnsi="宋体" w:cs="Arial"/>
          <w:sz w:val="26"/>
          <w:szCs w:val="26"/>
          <w:lang w:val="en-US" w:eastAsia="zh-CN"/>
        </w:rPr>
        <w:t>8</w:t>
      </w:r>
      <w:r>
        <w:rPr>
          <w:rFonts w:hint="eastAsia" w:ascii="Arial" w:hAnsi="宋体" w:cs="Arial"/>
          <w:sz w:val="26"/>
          <w:szCs w:val="26"/>
        </w:rPr>
        <w:t>月</w:t>
      </w:r>
      <w:r>
        <w:rPr>
          <w:rFonts w:hint="eastAsia" w:ascii="Arial" w:hAnsi="宋体" w:cs="Arial"/>
          <w:sz w:val="26"/>
          <w:szCs w:val="26"/>
          <w:lang w:val="en-US" w:eastAsia="zh-CN"/>
        </w:rPr>
        <w:t>26</w:t>
      </w:r>
      <w:r>
        <w:rPr>
          <w:rFonts w:hint="eastAsia" w:ascii="Arial" w:hAnsi="宋体" w:cs="Arial"/>
          <w:sz w:val="26"/>
          <w:szCs w:val="26"/>
        </w:rPr>
        <w:t>日</w:t>
      </w:r>
      <w:r>
        <w:rPr>
          <w:rFonts w:ascii="Arial" w:hAnsi="宋体" w:cs="Arial"/>
          <w:sz w:val="26"/>
          <w:szCs w:val="26"/>
        </w:rPr>
        <w:t>~</w:t>
      </w:r>
      <w:r>
        <w:rPr>
          <w:rFonts w:hint="eastAsia" w:ascii="Arial" w:hAnsi="宋体" w:cs="Arial"/>
          <w:sz w:val="26"/>
          <w:szCs w:val="26"/>
          <w:lang w:val="en-US" w:eastAsia="zh-CN"/>
        </w:rPr>
        <w:t>27</w:t>
      </w:r>
      <w:r>
        <w:rPr>
          <w:rFonts w:hint="eastAsia" w:ascii="Arial" w:hAnsi="宋体" w:cs="Arial"/>
          <w:sz w:val="26"/>
          <w:szCs w:val="26"/>
        </w:rPr>
        <w:t>日，连续监测</w:t>
      </w:r>
      <w:r>
        <w:rPr>
          <w:rFonts w:ascii="Arial" w:hAnsi="宋体" w:cs="Arial"/>
          <w:sz w:val="26"/>
          <w:szCs w:val="26"/>
        </w:rPr>
        <w:t>2d</w:t>
      </w:r>
      <w:r>
        <w:rPr>
          <w:rFonts w:hint="eastAsia" w:ascii="Arial" w:hAnsi="宋体" w:cs="Arial"/>
          <w:sz w:val="26"/>
          <w:szCs w:val="26"/>
        </w:rPr>
        <w:t>，昼、夜各</w:t>
      </w:r>
      <w:r>
        <w:rPr>
          <w:rFonts w:ascii="Arial" w:hAnsi="宋体" w:cs="Arial"/>
          <w:sz w:val="26"/>
          <w:szCs w:val="26"/>
        </w:rPr>
        <w:t>1</w:t>
      </w:r>
      <w:r>
        <w:rPr>
          <w:rFonts w:hint="eastAsia" w:ascii="Arial" w:hAnsi="宋体" w:cs="Arial"/>
          <w:sz w:val="26"/>
          <w:szCs w:val="26"/>
        </w:rPr>
        <w:t>次</w:t>
      </w:r>
      <w:r>
        <w:rPr>
          <w:rFonts w:ascii="Arial" w:hAnsi="宋体" w:cs="Arial"/>
          <w:sz w:val="26"/>
          <w:szCs w:val="26"/>
        </w:rPr>
        <w:t>/d</w:t>
      </w:r>
      <w:r>
        <w:rPr>
          <w:rFonts w:hint="eastAsia" w:ascii="Arial" w:hAnsi="宋体" w:cs="Arial"/>
          <w:sz w:val="26"/>
          <w:szCs w:val="26"/>
        </w:rPr>
        <w:t>。</w:t>
      </w:r>
    </w:p>
    <w:p w14:paraId="388EDB69">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default" w:ascii="Arial" w:hAnsi="Arial" w:cs="Arial"/>
          <w:b/>
          <w:bCs w:val="0"/>
          <w:sz w:val="26"/>
          <w:szCs w:val="26"/>
          <w:lang w:val="en-US" w:eastAsia="zh-CN"/>
        </w:rPr>
      </w:pPr>
      <w:r>
        <w:rPr>
          <w:rFonts w:hint="eastAsia" w:ascii="Arial" w:hAnsi="Arial" w:cs="Arial"/>
          <w:b/>
          <w:bCs w:val="0"/>
          <w:sz w:val="26"/>
          <w:szCs w:val="26"/>
          <w:lang w:val="en-US" w:eastAsia="zh-CN"/>
        </w:rPr>
        <w:t>（2）评价标准</w:t>
      </w:r>
    </w:p>
    <w:p w14:paraId="11EC61A6">
      <w:pPr>
        <w:spacing w:line="460" w:lineRule="exact"/>
        <w:ind w:firstLine="520"/>
        <w:rPr>
          <w:rFonts w:hint="eastAsia" w:ascii="Arial" w:eastAsia="宋体" w:cs="Arial"/>
          <w:sz w:val="26"/>
          <w:szCs w:val="26"/>
          <w:lang w:val="en-US" w:eastAsia="zh-CN"/>
        </w:rPr>
      </w:pPr>
      <w:r>
        <w:rPr>
          <w:rFonts w:hint="eastAsia" w:ascii="Arial" w:cs="Arial"/>
          <w:sz w:val="26"/>
          <w:szCs w:val="26"/>
          <w:lang w:val="en-US" w:eastAsia="zh-CN"/>
        </w:rPr>
        <w:t>1#监测点</w:t>
      </w:r>
      <w:r>
        <w:rPr>
          <w:rFonts w:ascii="Arial" w:cs="Arial"/>
          <w:sz w:val="26"/>
          <w:szCs w:val="26"/>
          <w:lang w:val="ru-RU"/>
        </w:rPr>
        <w:t>执行《声环境质量标准》（</w:t>
      </w:r>
      <w:r>
        <w:rPr>
          <w:rFonts w:ascii="Arial" w:hAnsi="Arial" w:cs="Arial"/>
          <w:sz w:val="26"/>
          <w:szCs w:val="26"/>
          <w:lang w:val="ru-RU"/>
        </w:rPr>
        <w:t>GB3096-2008</w:t>
      </w:r>
      <w:r>
        <w:rPr>
          <w:rFonts w:ascii="Arial" w:cs="Arial"/>
          <w:sz w:val="26"/>
          <w:szCs w:val="26"/>
          <w:lang w:val="ru-RU"/>
        </w:rPr>
        <w:t>）中的</w:t>
      </w:r>
      <w:r>
        <w:rPr>
          <w:rFonts w:hint="eastAsia" w:ascii="Arial" w:hAnsi="Arial" w:cs="Arial"/>
          <w:sz w:val="26"/>
          <w:szCs w:val="26"/>
          <w:lang w:val="en-US" w:eastAsia="zh-CN"/>
        </w:rPr>
        <w:t>1</w:t>
      </w:r>
      <w:r>
        <w:rPr>
          <w:rFonts w:ascii="Arial" w:cs="Arial"/>
          <w:sz w:val="26"/>
          <w:szCs w:val="26"/>
          <w:lang w:val="ru-RU"/>
        </w:rPr>
        <w:t>类声环境功能区标准，标准值均为昼间</w:t>
      </w:r>
      <w:r>
        <w:rPr>
          <w:rFonts w:hint="eastAsia" w:ascii="Arial" w:hAnsi="Arial" w:cs="Arial"/>
          <w:sz w:val="26"/>
          <w:szCs w:val="26"/>
          <w:lang w:val="en-US" w:eastAsia="zh-CN"/>
        </w:rPr>
        <w:t>55</w:t>
      </w:r>
      <w:r>
        <w:rPr>
          <w:rFonts w:ascii="Arial" w:hAnsi="Arial" w:cs="Arial"/>
          <w:sz w:val="26"/>
          <w:szCs w:val="26"/>
          <w:lang w:val="ru-RU"/>
        </w:rPr>
        <w:t>dB</w:t>
      </w:r>
      <w:r>
        <w:rPr>
          <w:rFonts w:hint="eastAsia" w:ascii="Arial" w:hAnsi="Arial" w:cs="Arial"/>
          <w:sz w:val="26"/>
          <w:szCs w:val="26"/>
          <w:lang w:val="ru-RU"/>
        </w:rPr>
        <w:t>（A）</w:t>
      </w:r>
      <w:r>
        <w:rPr>
          <w:rFonts w:ascii="Arial" w:cs="Arial"/>
          <w:sz w:val="26"/>
          <w:szCs w:val="26"/>
          <w:lang w:val="ru-RU"/>
        </w:rPr>
        <w:t>，夜间</w:t>
      </w:r>
      <w:r>
        <w:rPr>
          <w:rFonts w:hint="eastAsia" w:ascii="Arial" w:hAnsi="Arial" w:cs="Arial"/>
          <w:sz w:val="26"/>
          <w:szCs w:val="26"/>
          <w:lang w:val="en-US" w:eastAsia="zh-CN"/>
        </w:rPr>
        <w:t>45</w:t>
      </w:r>
      <w:r>
        <w:rPr>
          <w:rFonts w:ascii="Arial" w:hAnsi="Arial" w:cs="Arial"/>
          <w:sz w:val="26"/>
          <w:szCs w:val="26"/>
          <w:lang w:val="ru-RU"/>
        </w:rPr>
        <w:t>dB</w:t>
      </w:r>
      <w:r>
        <w:rPr>
          <w:rFonts w:hint="eastAsia" w:ascii="Arial" w:hAnsi="Arial" w:cs="Arial"/>
          <w:sz w:val="26"/>
          <w:szCs w:val="26"/>
          <w:lang w:val="ru-RU"/>
        </w:rPr>
        <w:t>（A）</w:t>
      </w:r>
      <w:r>
        <w:rPr>
          <w:rFonts w:hint="eastAsia" w:ascii="Arial" w:cs="Arial"/>
          <w:sz w:val="26"/>
          <w:szCs w:val="26"/>
          <w:lang w:val="ru-RU" w:eastAsia="zh-CN"/>
        </w:rPr>
        <w:t>；其余各监测点</w:t>
      </w:r>
      <w:r>
        <w:rPr>
          <w:rFonts w:ascii="Arial" w:cs="Arial"/>
          <w:sz w:val="26"/>
          <w:szCs w:val="26"/>
          <w:lang w:val="ru-RU"/>
        </w:rPr>
        <w:t>执行《声环境质量标准》（</w:t>
      </w:r>
      <w:r>
        <w:rPr>
          <w:rFonts w:ascii="Arial" w:hAnsi="Arial" w:cs="Arial"/>
          <w:sz w:val="26"/>
          <w:szCs w:val="26"/>
          <w:lang w:val="ru-RU"/>
        </w:rPr>
        <w:t>GB3096-2008</w:t>
      </w:r>
      <w:r>
        <w:rPr>
          <w:rFonts w:ascii="Arial" w:cs="Arial"/>
          <w:sz w:val="26"/>
          <w:szCs w:val="26"/>
          <w:lang w:val="ru-RU"/>
        </w:rPr>
        <w:t>）中的</w:t>
      </w:r>
      <w:r>
        <w:rPr>
          <w:rFonts w:hint="eastAsia" w:ascii="Arial" w:hAnsi="Arial" w:cs="Arial"/>
          <w:sz w:val="26"/>
          <w:szCs w:val="26"/>
          <w:lang w:val="en-US" w:eastAsia="zh-CN"/>
        </w:rPr>
        <w:t>2</w:t>
      </w:r>
      <w:r>
        <w:rPr>
          <w:rFonts w:ascii="Arial" w:cs="Arial"/>
          <w:sz w:val="26"/>
          <w:szCs w:val="26"/>
          <w:lang w:val="ru-RU"/>
        </w:rPr>
        <w:t>类声环境功能区标准，标准值均为昼间</w:t>
      </w:r>
      <w:r>
        <w:rPr>
          <w:rFonts w:hint="eastAsia" w:ascii="Arial" w:hAnsi="Arial" w:cs="Arial"/>
          <w:sz w:val="26"/>
          <w:szCs w:val="26"/>
          <w:lang w:val="en-US" w:eastAsia="zh-CN"/>
        </w:rPr>
        <w:t>60</w:t>
      </w:r>
      <w:r>
        <w:rPr>
          <w:rFonts w:ascii="Arial" w:hAnsi="Arial" w:cs="Arial"/>
          <w:sz w:val="26"/>
          <w:szCs w:val="26"/>
          <w:lang w:val="ru-RU"/>
        </w:rPr>
        <w:t>dB</w:t>
      </w:r>
      <w:r>
        <w:rPr>
          <w:rFonts w:hint="eastAsia" w:ascii="Arial" w:hAnsi="Arial" w:cs="Arial"/>
          <w:sz w:val="26"/>
          <w:szCs w:val="26"/>
          <w:lang w:val="ru-RU"/>
        </w:rPr>
        <w:t>（A）</w:t>
      </w:r>
      <w:r>
        <w:rPr>
          <w:rFonts w:ascii="Arial" w:cs="Arial"/>
          <w:sz w:val="26"/>
          <w:szCs w:val="26"/>
          <w:lang w:val="ru-RU"/>
        </w:rPr>
        <w:t>，夜间</w:t>
      </w:r>
      <w:r>
        <w:rPr>
          <w:rFonts w:hint="eastAsia" w:ascii="Arial" w:hAnsi="Arial" w:cs="Arial"/>
          <w:sz w:val="26"/>
          <w:szCs w:val="26"/>
          <w:lang w:val="en-US" w:eastAsia="zh-CN"/>
        </w:rPr>
        <w:t>50</w:t>
      </w:r>
      <w:r>
        <w:rPr>
          <w:rFonts w:ascii="Arial" w:hAnsi="Arial" w:cs="Arial"/>
          <w:sz w:val="26"/>
          <w:szCs w:val="26"/>
          <w:lang w:val="ru-RU"/>
        </w:rPr>
        <w:t>dB</w:t>
      </w:r>
      <w:r>
        <w:rPr>
          <w:rFonts w:hint="eastAsia" w:ascii="Arial" w:hAnsi="Arial" w:cs="Arial"/>
          <w:sz w:val="26"/>
          <w:szCs w:val="26"/>
          <w:lang w:val="ru-RU"/>
        </w:rPr>
        <w:t>（A）</w:t>
      </w:r>
      <w:r>
        <w:rPr>
          <w:rFonts w:hint="eastAsia" w:ascii="Arial" w:hAnsi="Arial" w:cs="Arial"/>
          <w:sz w:val="26"/>
          <w:szCs w:val="26"/>
          <w:lang w:val="ru-RU" w:eastAsia="zh-CN"/>
        </w:rPr>
        <w:t>。</w:t>
      </w:r>
    </w:p>
    <w:p w14:paraId="6AF9B1BE">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cs="Arial"/>
          <w:b/>
          <w:bCs w:val="0"/>
          <w:sz w:val="26"/>
          <w:szCs w:val="26"/>
          <w:lang w:val="en-US" w:eastAsia="zh-CN"/>
        </w:rPr>
      </w:pPr>
      <w:r>
        <w:rPr>
          <w:rFonts w:hint="eastAsia" w:ascii="Arial" w:hAnsi="Arial" w:cs="Arial"/>
          <w:b/>
          <w:bCs w:val="0"/>
          <w:sz w:val="26"/>
          <w:szCs w:val="26"/>
          <w:lang w:val="en-US" w:eastAsia="zh-CN"/>
        </w:rPr>
        <w:t>（3）监测结果</w:t>
      </w:r>
    </w:p>
    <w:p w14:paraId="5606A05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环境噪声监测统计结果见表4.3-8所示。</w:t>
      </w:r>
    </w:p>
    <w:p w14:paraId="388AF8CF">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sz w:val="26"/>
          <w:szCs w:val="26"/>
          <w:lang w:eastAsia="zh-CN"/>
        </w:rPr>
      </w:pPr>
      <w:r>
        <w:rPr>
          <w:rFonts w:hint="eastAsia" w:ascii="Arial" w:hAnsi="Arial" w:cs="Arial"/>
          <w:b/>
          <w:sz w:val="26"/>
          <w:szCs w:val="26"/>
        </w:rPr>
        <w:t>表4.</w:t>
      </w:r>
      <w:r>
        <w:rPr>
          <w:rFonts w:hint="eastAsia" w:ascii="Arial" w:hAnsi="Arial" w:cs="Arial"/>
          <w:b/>
          <w:sz w:val="26"/>
          <w:szCs w:val="26"/>
          <w:lang w:val="en-US" w:eastAsia="zh-CN"/>
        </w:rPr>
        <w:t>3-8</w:t>
      </w:r>
      <w:r>
        <w:rPr>
          <w:rFonts w:hint="eastAsia" w:ascii="Arial" w:hAnsi="Arial" w:cs="Arial"/>
          <w:b/>
          <w:sz w:val="26"/>
          <w:szCs w:val="26"/>
        </w:rPr>
        <w:t xml:space="preserve">  环境噪声监测结果 </w:t>
      </w:r>
      <w:r>
        <w:rPr>
          <w:rFonts w:hint="eastAsia" w:ascii="Arial" w:hAnsi="Arial" w:cs="Arial"/>
          <w:b/>
          <w:sz w:val="26"/>
          <w:szCs w:val="26"/>
          <w:lang w:val="en-US" w:eastAsia="zh-CN"/>
        </w:rPr>
        <w:t xml:space="preserve"> </w:t>
      </w:r>
      <w:r>
        <w:rPr>
          <w:rFonts w:hint="eastAsia" w:ascii="Arial" w:hAnsi="Arial" w:cs="Arial"/>
          <w:b/>
          <w:sz w:val="26"/>
          <w:szCs w:val="26"/>
        </w:rPr>
        <w:t>单位：dB</w:t>
      </w:r>
      <w:r>
        <w:rPr>
          <w:rFonts w:hint="eastAsia" w:ascii="Arial" w:hAnsi="Arial" w:cs="Arial"/>
          <w:b/>
          <w:sz w:val="26"/>
          <w:szCs w:val="26"/>
          <w:lang w:eastAsia="zh-CN"/>
        </w:rPr>
        <w:t>（</w:t>
      </w:r>
      <w:r>
        <w:rPr>
          <w:rFonts w:hint="eastAsia" w:ascii="Arial" w:hAnsi="Arial" w:cs="Arial"/>
          <w:b/>
          <w:sz w:val="26"/>
          <w:szCs w:val="26"/>
        </w:rPr>
        <w:t>A</w:t>
      </w:r>
      <w:r>
        <w:rPr>
          <w:rFonts w:hint="eastAsia" w:ascii="Arial" w:hAnsi="Arial" w:cs="Arial"/>
          <w:b/>
          <w:sz w:val="26"/>
          <w:szCs w:val="26"/>
          <w:lang w:eastAsia="zh-CN"/>
        </w:rPr>
        <w:t>）</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48"/>
        <w:gridCol w:w="1451"/>
        <w:gridCol w:w="848"/>
        <w:gridCol w:w="2063"/>
        <w:gridCol w:w="2150"/>
        <w:gridCol w:w="897"/>
        <w:gridCol w:w="897"/>
      </w:tblGrid>
      <w:tr w14:paraId="10F64D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Merge w:val="restart"/>
            <w:tcBorders>
              <w:bottom w:val="single" w:color="auto" w:sz="4" w:space="0"/>
              <w:right w:val="single" w:color="auto" w:sz="4" w:space="0"/>
            </w:tcBorders>
            <w:tcMar>
              <w:top w:w="15" w:type="dxa"/>
              <w:left w:w="108" w:type="dxa"/>
              <w:bottom w:w="15" w:type="dxa"/>
              <w:right w:w="108" w:type="dxa"/>
            </w:tcMar>
            <w:vAlign w:val="center"/>
          </w:tcPr>
          <w:p w14:paraId="1CDCEB9E">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序号</w:t>
            </w:r>
          </w:p>
        </w:tc>
        <w:tc>
          <w:tcPr>
            <w:tcW w:w="801" w:type="pct"/>
            <w:vMerge w:val="restart"/>
            <w:tcBorders>
              <w:left w:val="single" w:color="auto" w:sz="4" w:space="0"/>
              <w:bottom w:val="single" w:color="auto" w:sz="4" w:space="0"/>
              <w:right w:val="single" w:color="auto" w:sz="4" w:space="0"/>
            </w:tcBorders>
            <w:tcMar>
              <w:top w:w="15" w:type="dxa"/>
              <w:left w:w="108" w:type="dxa"/>
              <w:bottom w:w="15" w:type="dxa"/>
              <w:right w:w="108" w:type="dxa"/>
            </w:tcMar>
            <w:vAlign w:val="center"/>
          </w:tcPr>
          <w:p w14:paraId="7E325854">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监测点位</w:t>
            </w:r>
          </w:p>
        </w:tc>
        <w:tc>
          <w:tcPr>
            <w:tcW w:w="468" w:type="pct"/>
            <w:vMerge w:val="restart"/>
            <w:tcBorders>
              <w:left w:val="single" w:color="auto" w:sz="4" w:space="0"/>
              <w:bottom w:val="single" w:color="auto" w:sz="4" w:space="0"/>
              <w:right w:val="single" w:color="auto" w:sz="4" w:space="0"/>
            </w:tcBorders>
            <w:tcMar>
              <w:top w:w="15" w:type="dxa"/>
              <w:left w:w="108" w:type="dxa"/>
              <w:bottom w:w="15" w:type="dxa"/>
              <w:right w:w="108" w:type="dxa"/>
            </w:tcMar>
            <w:vAlign w:val="center"/>
          </w:tcPr>
          <w:p w14:paraId="09909464">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时段</w:t>
            </w:r>
          </w:p>
        </w:tc>
        <w:tc>
          <w:tcPr>
            <w:tcW w:w="2326" w:type="pct"/>
            <w:gridSpan w:val="2"/>
            <w:tcBorders>
              <w:left w:val="single" w:color="auto" w:sz="4" w:space="0"/>
              <w:bottom w:val="single" w:color="auto" w:sz="4" w:space="0"/>
              <w:right w:val="single" w:color="auto" w:sz="4" w:space="0"/>
            </w:tcBorders>
            <w:tcMar>
              <w:top w:w="15" w:type="dxa"/>
              <w:left w:w="108" w:type="dxa"/>
              <w:bottom w:w="15" w:type="dxa"/>
              <w:right w:w="108" w:type="dxa"/>
            </w:tcMar>
            <w:vAlign w:val="center"/>
          </w:tcPr>
          <w:p w14:paraId="5EEB30BA">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监测值</w:t>
            </w:r>
          </w:p>
        </w:tc>
        <w:tc>
          <w:tcPr>
            <w:tcW w:w="495" w:type="pct"/>
            <w:vMerge w:val="restart"/>
            <w:tcBorders>
              <w:left w:val="single" w:color="auto" w:sz="4" w:space="0"/>
              <w:bottom w:val="single" w:color="auto" w:sz="4" w:space="0"/>
              <w:right w:val="single" w:color="auto" w:sz="4" w:space="0"/>
            </w:tcBorders>
            <w:tcMar>
              <w:top w:w="15" w:type="dxa"/>
              <w:left w:w="108" w:type="dxa"/>
              <w:bottom w:w="15" w:type="dxa"/>
              <w:right w:w="108" w:type="dxa"/>
            </w:tcMar>
            <w:vAlign w:val="center"/>
          </w:tcPr>
          <w:p w14:paraId="2A64B8B7">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标准值</w:t>
            </w:r>
          </w:p>
        </w:tc>
        <w:tc>
          <w:tcPr>
            <w:tcW w:w="495" w:type="pct"/>
            <w:vMerge w:val="restart"/>
            <w:tcBorders>
              <w:left w:val="single" w:color="auto" w:sz="4" w:space="0"/>
              <w:bottom w:val="single" w:color="auto" w:sz="4" w:space="0"/>
            </w:tcBorders>
            <w:tcMar>
              <w:top w:w="15" w:type="dxa"/>
              <w:left w:w="108" w:type="dxa"/>
              <w:bottom w:w="15" w:type="dxa"/>
              <w:right w:w="108" w:type="dxa"/>
            </w:tcMar>
            <w:vAlign w:val="center"/>
          </w:tcPr>
          <w:p w14:paraId="196865D9">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达标</w:t>
            </w:r>
          </w:p>
          <w:p w14:paraId="5BBE58D7">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情况</w:t>
            </w:r>
          </w:p>
        </w:tc>
      </w:tr>
      <w:tr w14:paraId="152DEF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Merge w:val="continue"/>
            <w:tcBorders>
              <w:top w:val="single" w:color="auto" w:sz="4" w:space="0"/>
              <w:bottom w:val="single" w:color="auto" w:sz="4" w:space="0"/>
              <w:right w:val="single" w:color="auto" w:sz="4" w:space="0"/>
            </w:tcBorders>
            <w:tcMar>
              <w:top w:w="15" w:type="dxa"/>
              <w:left w:w="108" w:type="dxa"/>
              <w:bottom w:w="15" w:type="dxa"/>
              <w:right w:w="108" w:type="dxa"/>
            </w:tcMar>
            <w:vAlign w:val="center"/>
          </w:tcPr>
          <w:p w14:paraId="5A3AFC81">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801" w:type="pct"/>
            <w:vMerge w:val="continue"/>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102D9AE">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468" w:type="pct"/>
            <w:vMerge w:val="continue"/>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64C5E9F">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113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708D6BFC">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202</w:t>
            </w:r>
            <w:r>
              <w:rPr>
                <w:rFonts w:hint="eastAsia" w:ascii="Arial" w:hAnsi="Arial" w:cs="Arial"/>
                <w:sz w:val="22"/>
                <w:szCs w:val="22"/>
                <w:lang w:val="en-US" w:eastAsia="zh-CN"/>
              </w:rPr>
              <w:t>4</w:t>
            </w:r>
            <w:r>
              <w:rPr>
                <w:rFonts w:hint="default" w:ascii="Arial" w:hAnsi="Arial" w:cs="Arial"/>
                <w:sz w:val="22"/>
                <w:szCs w:val="22"/>
                <w:lang w:val="en-US" w:eastAsia="zh-CN"/>
              </w:rPr>
              <w:t>.</w:t>
            </w:r>
            <w:r>
              <w:rPr>
                <w:rFonts w:hint="eastAsia" w:ascii="Arial" w:hAnsi="Arial" w:cs="Arial"/>
                <w:sz w:val="22"/>
                <w:szCs w:val="22"/>
                <w:lang w:val="en-US" w:eastAsia="zh-CN"/>
              </w:rPr>
              <w:t>8</w:t>
            </w:r>
            <w:r>
              <w:rPr>
                <w:rFonts w:hint="default" w:ascii="Arial" w:hAnsi="Arial" w:cs="Arial"/>
                <w:sz w:val="22"/>
                <w:szCs w:val="22"/>
                <w:lang w:val="en-US" w:eastAsia="zh-CN"/>
              </w:rPr>
              <w:t>.2</w:t>
            </w:r>
            <w:r>
              <w:rPr>
                <w:rFonts w:hint="eastAsia" w:ascii="Arial" w:hAnsi="Arial" w:cs="Arial"/>
                <w:sz w:val="22"/>
                <w:szCs w:val="22"/>
                <w:lang w:val="en-US" w:eastAsia="zh-CN"/>
              </w:rPr>
              <w:t>6</w:t>
            </w:r>
          </w:p>
        </w:tc>
        <w:tc>
          <w:tcPr>
            <w:tcW w:w="1187"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EA1E89D">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2024.8.27</w:t>
            </w:r>
          </w:p>
        </w:tc>
        <w:tc>
          <w:tcPr>
            <w:tcW w:w="495" w:type="pct"/>
            <w:vMerge w:val="continue"/>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25B33D0">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495" w:type="pct"/>
            <w:vMerge w:val="continue"/>
            <w:tcBorders>
              <w:top w:val="single" w:color="auto" w:sz="4" w:space="0"/>
              <w:left w:val="single" w:color="auto" w:sz="4" w:space="0"/>
              <w:bottom w:val="single" w:color="auto" w:sz="4" w:space="0"/>
            </w:tcBorders>
            <w:tcMar>
              <w:top w:w="15" w:type="dxa"/>
              <w:left w:w="108" w:type="dxa"/>
              <w:bottom w:w="15" w:type="dxa"/>
              <w:right w:w="108" w:type="dxa"/>
            </w:tcMar>
            <w:vAlign w:val="center"/>
          </w:tcPr>
          <w:p w14:paraId="5E671B8C">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r>
      <w:tr w14:paraId="57A2C7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Merge w:val="restart"/>
            <w:tcBorders>
              <w:top w:val="single" w:color="auto" w:sz="4" w:space="0"/>
              <w:bottom w:val="single" w:color="auto" w:sz="4" w:space="0"/>
              <w:right w:val="single" w:color="auto" w:sz="4" w:space="0"/>
            </w:tcBorders>
            <w:tcMar>
              <w:top w:w="15" w:type="dxa"/>
              <w:left w:w="108" w:type="dxa"/>
              <w:bottom w:w="15" w:type="dxa"/>
              <w:right w:w="108" w:type="dxa"/>
            </w:tcMar>
            <w:vAlign w:val="center"/>
          </w:tcPr>
          <w:p w14:paraId="071A7447">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1</w:t>
            </w:r>
          </w:p>
        </w:tc>
        <w:tc>
          <w:tcPr>
            <w:tcW w:w="801" w:type="pct"/>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EC75778">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napToGrid w:val="0"/>
                <w:sz w:val="22"/>
                <w:szCs w:val="22"/>
              </w:rPr>
            </w:pPr>
            <w:r>
              <w:rPr>
                <w:rFonts w:hint="default" w:ascii="Arial" w:hAnsi="Arial" w:cs="Arial"/>
                <w:kern w:val="2"/>
                <w:sz w:val="22"/>
                <w:szCs w:val="22"/>
                <w:lang w:val="en-US" w:eastAsia="zh-CN" w:bidi="ar-SA"/>
              </w:rPr>
              <w:t>1#</w:t>
            </w:r>
          </w:p>
        </w:tc>
        <w:tc>
          <w:tcPr>
            <w:tcW w:w="46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EA27993">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昼间</w:t>
            </w:r>
          </w:p>
        </w:tc>
        <w:tc>
          <w:tcPr>
            <w:tcW w:w="113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B2B541A">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50</w:t>
            </w:r>
          </w:p>
        </w:tc>
        <w:tc>
          <w:tcPr>
            <w:tcW w:w="1187"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3A32719">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50</w:t>
            </w:r>
          </w:p>
        </w:tc>
        <w:tc>
          <w:tcPr>
            <w:tcW w:w="49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953D54E">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55</w:t>
            </w:r>
          </w:p>
        </w:tc>
        <w:tc>
          <w:tcPr>
            <w:tcW w:w="495" w:type="pct"/>
            <w:tcBorders>
              <w:top w:val="single" w:color="auto" w:sz="4" w:space="0"/>
              <w:left w:val="single" w:color="auto" w:sz="4" w:space="0"/>
              <w:bottom w:val="single" w:color="auto" w:sz="4" w:space="0"/>
            </w:tcBorders>
            <w:tcMar>
              <w:top w:w="15" w:type="dxa"/>
              <w:left w:w="108" w:type="dxa"/>
              <w:bottom w:w="15" w:type="dxa"/>
              <w:right w:w="108" w:type="dxa"/>
            </w:tcMar>
            <w:vAlign w:val="center"/>
          </w:tcPr>
          <w:p w14:paraId="6ED2ECE2">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达标</w:t>
            </w:r>
          </w:p>
        </w:tc>
      </w:tr>
      <w:tr w14:paraId="5BA194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Merge w:val="continue"/>
            <w:tcBorders>
              <w:top w:val="single" w:color="auto" w:sz="4" w:space="0"/>
              <w:bottom w:val="single" w:color="auto" w:sz="4" w:space="0"/>
              <w:right w:val="single" w:color="auto" w:sz="4" w:space="0"/>
            </w:tcBorders>
            <w:vAlign w:val="center"/>
          </w:tcPr>
          <w:p w14:paraId="665FE7D3">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801" w:type="pct"/>
            <w:vMerge w:val="continue"/>
            <w:tcBorders>
              <w:top w:val="single" w:color="auto" w:sz="4" w:space="0"/>
              <w:left w:val="single" w:color="auto" w:sz="4" w:space="0"/>
              <w:bottom w:val="single" w:color="auto" w:sz="4" w:space="0"/>
              <w:right w:val="single" w:color="auto" w:sz="4" w:space="0"/>
            </w:tcBorders>
            <w:vAlign w:val="center"/>
          </w:tcPr>
          <w:p w14:paraId="1E7E005B">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46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83C9E45">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夜间</w:t>
            </w:r>
          </w:p>
        </w:tc>
        <w:tc>
          <w:tcPr>
            <w:tcW w:w="113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BE59285">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40</w:t>
            </w:r>
          </w:p>
        </w:tc>
        <w:tc>
          <w:tcPr>
            <w:tcW w:w="1187"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0F88758">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41</w:t>
            </w:r>
          </w:p>
        </w:tc>
        <w:tc>
          <w:tcPr>
            <w:tcW w:w="49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7FA13807">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45</w:t>
            </w:r>
          </w:p>
        </w:tc>
        <w:tc>
          <w:tcPr>
            <w:tcW w:w="495" w:type="pct"/>
            <w:tcBorders>
              <w:top w:val="single" w:color="auto" w:sz="4" w:space="0"/>
              <w:left w:val="single" w:color="auto" w:sz="4" w:space="0"/>
              <w:bottom w:val="single" w:color="auto" w:sz="4" w:space="0"/>
            </w:tcBorders>
            <w:tcMar>
              <w:top w:w="15" w:type="dxa"/>
              <w:left w:w="108" w:type="dxa"/>
              <w:bottom w:w="15" w:type="dxa"/>
              <w:right w:w="108" w:type="dxa"/>
            </w:tcMar>
            <w:vAlign w:val="center"/>
          </w:tcPr>
          <w:p w14:paraId="5B69FDCF">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达标</w:t>
            </w:r>
          </w:p>
        </w:tc>
      </w:tr>
      <w:tr w14:paraId="0BE8DF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Merge w:val="restart"/>
            <w:tcBorders>
              <w:top w:val="single" w:color="auto" w:sz="4" w:space="0"/>
              <w:bottom w:val="single" w:color="auto" w:sz="4" w:space="0"/>
              <w:right w:val="single" w:color="auto" w:sz="4" w:space="0"/>
            </w:tcBorders>
            <w:tcMar>
              <w:top w:w="15" w:type="dxa"/>
              <w:left w:w="108" w:type="dxa"/>
              <w:bottom w:w="15" w:type="dxa"/>
              <w:right w:w="108" w:type="dxa"/>
            </w:tcMar>
            <w:vAlign w:val="center"/>
          </w:tcPr>
          <w:p w14:paraId="4216ED1C">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2</w:t>
            </w:r>
          </w:p>
        </w:tc>
        <w:tc>
          <w:tcPr>
            <w:tcW w:w="801" w:type="pct"/>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1BDD4E3">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kern w:val="2"/>
                <w:sz w:val="22"/>
                <w:szCs w:val="22"/>
                <w:lang w:val="en-US" w:eastAsia="zh-CN" w:bidi="ar-SA"/>
              </w:rPr>
              <w:t>2#</w:t>
            </w:r>
          </w:p>
        </w:tc>
        <w:tc>
          <w:tcPr>
            <w:tcW w:w="46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0B737E7A">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昼间</w:t>
            </w:r>
          </w:p>
        </w:tc>
        <w:tc>
          <w:tcPr>
            <w:tcW w:w="113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0DE9699">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51</w:t>
            </w:r>
          </w:p>
        </w:tc>
        <w:tc>
          <w:tcPr>
            <w:tcW w:w="1187"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962C85D">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52</w:t>
            </w:r>
          </w:p>
        </w:tc>
        <w:tc>
          <w:tcPr>
            <w:tcW w:w="49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7E3813E">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60</w:t>
            </w:r>
          </w:p>
        </w:tc>
        <w:tc>
          <w:tcPr>
            <w:tcW w:w="495" w:type="pct"/>
            <w:tcBorders>
              <w:top w:val="single" w:color="auto" w:sz="4" w:space="0"/>
              <w:left w:val="single" w:color="auto" w:sz="4" w:space="0"/>
              <w:bottom w:val="single" w:color="auto" w:sz="4" w:space="0"/>
            </w:tcBorders>
            <w:tcMar>
              <w:top w:w="15" w:type="dxa"/>
              <w:left w:w="108" w:type="dxa"/>
              <w:bottom w:w="15" w:type="dxa"/>
              <w:right w:w="108" w:type="dxa"/>
            </w:tcMar>
            <w:vAlign w:val="center"/>
          </w:tcPr>
          <w:p w14:paraId="2220BC5B">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达标</w:t>
            </w:r>
          </w:p>
        </w:tc>
      </w:tr>
      <w:tr w14:paraId="6B9F67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Merge w:val="continue"/>
            <w:tcBorders>
              <w:top w:val="single" w:color="auto" w:sz="4" w:space="0"/>
              <w:bottom w:val="single" w:color="auto" w:sz="4" w:space="0"/>
              <w:right w:val="single" w:color="auto" w:sz="4" w:space="0"/>
            </w:tcBorders>
            <w:vAlign w:val="center"/>
          </w:tcPr>
          <w:p w14:paraId="35AB2D3C">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801" w:type="pct"/>
            <w:vMerge w:val="continue"/>
            <w:tcBorders>
              <w:top w:val="single" w:color="auto" w:sz="4" w:space="0"/>
              <w:left w:val="single" w:color="auto" w:sz="4" w:space="0"/>
              <w:bottom w:val="single" w:color="auto" w:sz="4" w:space="0"/>
              <w:right w:val="single" w:color="auto" w:sz="4" w:space="0"/>
            </w:tcBorders>
            <w:vAlign w:val="center"/>
          </w:tcPr>
          <w:p w14:paraId="45C34899">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46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B44D0FF">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夜间</w:t>
            </w:r>
          </w:p>
        </w:tc>
        <w:tc>
          <w:tcPr>
            <w:tcW w:w="113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93CA629">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42</w:t>
            </w:r>
          </w:p>
        </w:tc>
        <w:tc>
          <w:tcPr>
            <w:tcW w:w="1187"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04225AB3">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41</w:t>
            </w:r>
          </w:p>
        </w:tc>
        <w:tc>
          <w:tcPr>
            <w:tcW w:w="495"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3919899">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50</w:t>
            </w:r>
          </w:p>
        </w:tc>
        <w:tc>
          <w:tcPr>
            <w:tcW w:w="495" w:type="pct"/>
            <w:tcBorders>
              <w:top w:val="single" w:color="auto" w:sz="4" w:space="0"/>
              <w:left w:val="single" w:color="auto" w:sz="4" w:space="0"/>
              <w:bottom w:val="single" w:color="auto" w:sz="4" w:space="0"/>
            </w:tcBorders>
            <w:tcMar>
              <w:top w:w="15" w:type="dxa"/>
              <w:left w:w="108" w:type="dxa"/>
              <w:bottom w:w="15" w:type="dxa"/>
              <w:right w:w="108" w:type="dxa"/>
            </w:tcMar>
            <w:vAlign w:val="center"/>
          </w:tcPr>
          <w:p w14:paraId="44082A83">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达标</w:t>
            </w:r>
          </w:p>
        </w:tc>
      </w:tr>
      <w:tr w14:paraId="4655C2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Merge w:val="restart"/>
            <w:tcBorders>
              <w:top w:val="single" w:color="auto" w:sz="4" w:space="0"/>
              <w:bottom w:val="single" w:color="auto" w:sz="4" w:space="0"/>
              <w:right w:val="single" w:color="auto" w:sz="4" w:space="0"/>
            </w:tcBorders>
            <w:tcMar>
              <w:top w:w="15" w:type="dxa"/>
              <w:left w:w="108" w:type="dxa"/>
              <w:bottom w:w="15" w:type="dxa"/>
              <w:right w:w="108" w:type="dxa"/>
            </w:tcMar>
            <w:vAlign w:val="center"/>
          </w:tcPr>
          <w:p w14:paraId="48BDFFDA">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3</w:t>
            </w:r>
          </w:p>
        </w:tc>
        <w:tc>
          <w:tcPr>
            <w:tcW w:w="801" w:type="pct"/>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667C45D9">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napToGrid w:val="0"/>
                <w:sz w:val="22"/>
                <w:szCs w:val="22"/>
                <w:lang w:val="en-US" w:eastAsia="zh-CN"/>
              </w:rPr>
            </w:pPr>
            <w:r>
              <w:rPr>
                <w:rFonts w:hint="eastAsia" w:ascii="Arial" w:hAnsi="Arial" w:cs="Arial"/>
                <w:kern w:val="2"/>
                <w:sz w:val="22"/>
                <w:szCs w:val="22"/>
                <w:lang w:val="en-US" w:eastAsia="zh-CN" w:bidi="ar-SA"/>
              </w:rPr>
              <w:t>3#</w:t>
            </w:r>
          </w:p>
        </w:tc>
        <w:tc>
          <w:tcPr>
            <w:tcW w:w="46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59DA44A2">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昼间</w:t>
            </w:r>
          </w:p>
        </w:tc>
        <w:tc>
          <w:tcPr>
            <w:tcW w:w="113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101C44B">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50</w:t>
            </w:r>
          </w:p>
        </w:tc>
        <w:tc>
          <w:tcPr>
            <w:tcW w:w="1187"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7F0275B5">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53</w:t>
            </w:r>
          </w:p>
        </w:tc>
        <w:tc>
          <w:tcPr>
            <w:tcW w:w="495" w:type="pct"/>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15" w:type="dxa"/>
              <w:right w:w="108" w:type="dxa"/>
            </w:tcMar>
            <w:vAlign w:val="center"/>
          </w:tcPr>
          <w:p w14:paraId="3658C082">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kern w:val="0"/>
                <w:sz w:val="22"/>
                <w:szCs w:val="22"/>
                <w:lang w:val="en-US" w:eastAsia="zh-CN" w:bidi="ar-SA"/>
              </w:rPr>
            </w:pPr>
            <w:r>
              <w:rPr>
                <w:rFonts w:hint="eastAsia" w:ascii="Arial" w:hAnsi="Arial" w:cs="Arial"/>
                <w:sz w:val="22"/>
                <w:szCs w:val="22"/>
                <w:lang w:val="en-US" w:eastAsia="zh-CN"/>
              </w:rPr>
              <w:t>60</w:t>
            </w:r>
          </w:p>
        </w:tc>
        <w:tc>
          <w:tcPr>
            <w:tcW w:w="495" w:type="pct"/>
            <w:tcBorders>
              <w:top w:val="single" w:color="auto" w:sz="4" w:space="0"/>
              <w:left w:val="single" w:color="auto" w:sz="4" w:space="0"/>
              <w:bottom w:val="single" w:color="auto" w:sz="4" w:space="0"/>
            </w:tcBorders>
            <w:tcMar>
              <w:top w:w="15" w:type="dxa"/>
              <w:left w:w="108" w:type="dxa"/>
              <w:bottom w:w="15" w:type="dxa"/>
              <w:right w:w="108" w:type="dxa"/>
            </w:tcMar>
            <w:vAlign w:val="center"/>
          </w:tcPr>
          <w:p w14:paraId="40D95DEF">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达标</w:t>
            </w:r>
          </w:p>
        </w:tc>
      </w:tr>
      <w:tr w14:paraId="262BD8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Merge w:val="continue"/>
            <w:tcBorders>
              <w:top w:val="single" w:color="auto" w:sz="4" w:space="0"/>
              <w:bottom w:val="single" w:color="auto" w:sz="4" w:space="0"/>
              <w:right w:val="single" w:color="auto" w:sz="4" w:space="0"/>
            </w:tcBorders>
            <w:vAlign w:val="center"/>
          </w:tcPr>
          <w:p w14:paraId="417BCFFE">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801" w:type="pct"/>
            <w:vMerge w:val="continue"/>
            <w:tcBorders>
              <w:top w:val="single" w:color="auto" w:sz="4" w:space="0"/>
              <w:left w:val="single" w:color="auto" w:sz="4" w:space="0"/>
              <w:bottom w:val="single" w:color="auto" w:sz="4" w:space="0"/>
              <w:right w:val="single" w:color="auto" w:sz="4" w:space="0"/>
            </w:tcBorders>
            <w:vAlign w:val="center"/>
          </w:tcPr>
          <w:p w14:paraId="1A7666CC">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napToGrid w:val="0"/>
                <w:sz w:val="22"/>
                <w:szCs w:val="22"/>
              </w:rPr>
            </w:pPr>
          </w:p>
        </w:tc>
        <w:tc>
          <w:tcPr>
            <w:tcW w:w="46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92B5158">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夜间</w:t>
            </w:r>
          </w:p>
        </w:tc>
        <w:tc>
          <w:tcPr>
            <w:tcW w:w="113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03821733">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43</w:t>
            </w:r>
          </w:p>
        </w:tc>
        <w:tc>
          <w:tcPr>
            <w:tcW w:w="1187"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2C1B7A0B">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43</w:t>
            </w:r>
          </w:p>
        </w:tc>
        <w:tc>
          <w:tcPr>
            <w:tcW w:w="495" w:type="pct"/>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15" w:type="dxa"/>
              <w:right w:w="108" w:type="dxa"/>
            </w:tcMar>
            <w:vAlign w:val="center"/>
          </w:tcPr>
          <w:p w14:paraId="194287AF">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kern w:val="0"/>
                <w:sz w:val="22"/>
                <w:szCs w:val="22"/>
                <w:lang w:val="en-US" w:eastAsia="zh-CN" w:bidi="ar-SA"/>
              </w:rPr>
            </w:pPr>
            <w:r>
              <w:rPr>
                <w:rFonts w:hint="eastAsia" w:ascii="Arial" w:hAnsi="Arial" w:cs="Arial"/>
                <w:sz w:val="22"/>
                <w:szCs w:val="22"/>
                <w:lang w:val="en-US" w:eastAsia="zh-CN"/>
              </w:rPr>
              <w:t>50</w:t>
            </w:r>
          </w:p>
        </w:tc>
        <w:tc>
          <w:tcPr>
            <w:tcW w:w="495" w:type="pct"/>
            <w:tcBorders>
              <w:top w:val="single" w:color="auto" w:sz="4" w:space="0"/>
              <w:left w:val="single" w:color="auto" w:sz="4" w:space="0"/>
              <w:bottom w:val="single" w:color="auto" w:sz="4" w:space="0"/>
            </w:tcBorders>
            <w:tcMar>
              <w:top w:w="15" w:type="dxa"/>
              <w:left w:w="108" w:type="dxa"/>
              <w:bottom w:w="15" w:type="dxa"/>
              <w:right w:w="108" w:type="dxa"/>
            </w:tcMar>
            <w:vAlign w:val="center"/>
          </w:tcPr>
          <w:p w14:paraId="19C2097F">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达标</w:t>
            </w:r>
          </w:p>
        </w:tc>
      </w:tr>
      <w:tr w14:paraId="799AB7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Merge w:val="restart"/>
            <w:tcBorders>
              <w:top w:val="single" w:color="auto" w:sz="4" w:space="0"/>
              <w:bottom w:val="single" w:color="auto" w:sz="4" w:space="0"/>
              <w:right w:val="single" w:color="auto" w:sz="4" w:space="0"/>
            </w:tcBorders>
            <w:vAlign w:val="center"/>
          </w:tcPr>
          <w:p w14:paraId="03FD8CA8">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4</w:t>
            </w:r>
          </w:p>
        </w:tc>
        <w:tc>
          <w:tcPr>
            <w:tcW w:w="801" w:type="pct"/>
            <w:vMerge w:val="restart"/>
            <w:tcBorders>
              <w:top w:val="single" w:color="auto" w:sz="4" w:space="0"/>
              <w:left w:val="single" w:color="auto" w:sz="4" w:space="0"/>
              <w:bottom w:val="single" w:color="auto" w:sz="4" w:space="0"/>
              <w:right w:val="single" w:color="auto" w:sz="4" w:space="0"/>
            </w:tcBorders>
            <w:vAlign w:val="center"/>
          </w:tcPr>
          <w:p w14:paraId="01F23000">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napToGrid w:val="0"/>
                <w:sz w:val="22"/>
                <w:szCs w:val="22"/>
                <w:lang w:val="en-US" w:eastAsia="zh-CN"/>
              </w:rPr>
            </w:pPr>
            <w:r>
              <w:rPr>
                <w:rFonts w:hint="eastAsia" w:ascii="Arial" w:hAnsi="Arial" w:cs="Arial"/>
                <w:kern w:val="2"/>
                <w:sz w:val="22"/>
                <w:szCs w:val="22"/>
                <w:lang w:val="en-US" w:eastAsia="zh-CN" w:bidi="ar-SA"/>
              </w:rPr>
              <w:t>4#</w:t>
            </w:r>
          </w:p>
        </w:tc>
        <w:tc>
          <w:tcPr>
            <w:tcW w:w="46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807080D">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昼间</w:t>
            </w:r>
          </w:p>
        </w:tc>
        <w:tc>
          <w:tcPr>
            <w:tcW w:w="113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1395B1C3">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kern w:val="0"/>
                <w:sz w:val="22"/>
                <w:szCs w:val="22"/>
                <w:lang w:val="en-US" w:eastAsia="zh-CN" w:bidi="ar-SA"/>
              </w:rPr>
            </w:pPr>
            <w:r>
              <w:rPr>
                <w:rFonts w:hint="eastAsia" w:ascii="Arial" w:hAnsi="Arial" w:cs="Arial"/>
                <w:kern w:val="0"/>
                <w:sz w:val="22"/>
                <w:szCs w:val="22"/>
                <w:lang w:val="en-US" w:eastAsia="zh-CN" w:bidi="ar-SA"/>
              </w:rPr>
              <w:t>50</w:t>
            </w:r>
          </w:p>
        </w:tc>
        <w:tc>
          <w:tcPr>
            <w:tcW w:w="1187"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F9F505A">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53</w:t>
            </w:r>
          </w:p>
        </w:tc>
        <w:tc>
          <w:tcPr>
            <w:tcW w:w="495" w:type="pct"/>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15" w:type="dxa"/>
              <w:right w:w="108" w:type="dxa"/>
            </w:tcMar>
            <w:vAlign w:val="center"/>
          </w:tcPr>
          <w:p w14:paraId="0CE6A8D1">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kern w:val="0"/>
                <w:sz w:val="22"/>
                <w:szCs w:val="22"/>
                <w:lang w:val="en-US" w:eastAsia="zh-CN" w:bidi="ar-SA"/>
              </w:rPr>
            </w:pPr>
            <w:r>
              <w:rPr>
                <w:rFonts w:hint="eastAsia" w:ascii="Arial" w:hAnsi="Arial" w:cs="Arial"/>
                <w:sz w:val="22"/>
                <w:szCs w:val="22"/>
                <w:lang w:val="en-US" w:eastAsia="zh-CN"/>
              </w:rPr>
              <w:t>60</w:t>
            </w:r>
          </w:p>
        </w:tc>
        <w:tc>
          <w:tcPr>
            <w:tcW w:w="495" w:type="pct"/>
            <w:tcBorders>
              <w:top w:val="single" w:color="auto" w:sz="4" w:space="0"/>
              <w:left w:val="single" w:color="auto" w:sz="4" w:space="0"/>
              <w:bottom w:val="single" w:color="auto" w:sz="4" w:space="0"/>
            </w:tcBorders>
            <w:tcMar>
              <w:top w:w="15" w:type="dxa"/>
              <w:left w:w="108" w:type="dxa"/>
              <w:bottom w:w="15" w:type="dxa"/>
              <w:right w:w="108" w:type="dxa"/>
            </w:tcMar>
            <w:vAlign w:val="center"/>
          </w:tcPr>
          <w:p w14:paraId="153820A4">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达标</w:t>
            </w:r>
          </w:p>
        </w:tc>
      </w:tr>
      <w:tr w14:paraId="613D8D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Merge w:val="continue"/>
            <w:tcBorders>
              <w:top w:val="single" w:color="auto" w:sz="4" w:space="0"/>
              <w:bottom w:val="single" w:color="auto" w:sz="4" w:space="0"/>
              <w:right w:val="single" w:color="auto" w:sz="4" w:space="0"/>
            </w:tcBorders>
            <w:vAlign w:val="center"/>
          </w:tcPr>
          <w:p w14:paraId="69A5C660">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801" w:type="pct"/>
            <w:vMerge w:val="continue"/>
            <w:tcBorders>
              <w:top w:val="single" w:color="auto" w:sz="4" w:space="0"/>
              <w:left w:val="single" w:color="auto" w:sz="4" w:space="0"/>
              <w:bottom w:val="single" w:color="auto" w:sz="4" w:space="0"/>
              <w:right w:val="single" w:color="auto" w:sz="4" w:space="0"/>
            </w:tcBorders>
            <w:vAlign w:val="center"/>
          </w:tcPr>
          <w:p w14:paraId="38BEED1D">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p>
        </w:tc>
        <w:tc>
          <w:tcPr>
            <w:tcW w:w="468"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318E75BD">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夜间</w:t>
            </w:r>
          </w:p>
        </w:tc>
        <w:tc>
          <w:tcPr>
            <w:tcW w:w="1139"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49362E7A">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kern w:val="0"/>
                <w:sz w:val="22"/>
                <w:szCs w:val="22"/>
                <w:lang w:val="en-US" w:eastAsia="zh-CN" w:bidi="ar-SA"/>
              </w:rPr>
            </w:pPr>
            <w:r>
              <w:rPr>
                <w:rFonts w:hint="eastAsia" w:ascii="Arial" w:hAnsi="Arial" w:cs="Arial"/>
                <w:kern w:val="0"/>
                <w:sz w:val="22"/>
                <w:szCs w:val="22"/>
                <w:lang w:val="en-US" w:eastAsia="zh-CN" w:bidi="ar-SA"/>
              </w:rPr>
              <w:t>43</w:t>
            </w:r>
          </w:p>
        </w:tc>
        <w:tc>
          <w:tcPr>
            <w:tcW w:w="1187" w:type="pc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14:paraId="7972382C">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43</w:t>
            </w:r>
          </w:p>
        </w:tc>
        <w:tc>
          <w:tcPr>
            <w:tcW w:w="495" w:type="pct"/>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15" w:type="dxa"/>
              <w:right w:w="108" w:type="dxa"/>
            </w:tcMar>
            <w:vAlign w:val="center"/>
          </w:tcPr>
          <w:p w14:paraId="390657AF">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eastAsia="宋体" w:cs="Arial"/>
                <w:kern w:val="0"/>
                <w:sz w:val="22"/>
                <w:szCs w:val="22"/>
                <w:lang w:val="en-US" w:eastAsia="zh-CN" w:bidi="ar-SA"/>
              </w:rPr>
            </w:pPr>
            <w:r>
              <w:rPr>
                <w:rFonts w:hint="eastAsia" w:ascii="Arial" w:hAnsi="Arial" w:cs="Arial"/>
                <w:sz w:val="22"/>
                <w:szCs w:val="22"/>
                <w:lang w:val="en-US" w:eastAsia="zh-CN"/>
              </w:rPr>
              <w:t>50</w:t>
            </w:r>
          </w:p>
        </w:tc>
        <w:tc>
          <w:tcPr>
            <w:tcW w:w="495" w:type="pct"/>
            <w:tcBorders>
              <w:top w:val="single" w:color="auto" w:sz="4" w:space="0"/>
              <w:left w:val="single" w:color="auto" w:sz="4" w:space="0"/>
              <w:bottom w:val="single" w:color="auto" w:sz="4" w:space="0"/>
            </w:tcBorders>
            <w:tcMar>
              <w:top w:w="15" w:type="dxa"/>
              <w:left w:w="108" w:type="dxa"/>
              <w:bottom w:w="15" w:type="dxa"/>
              <w:right w:w="108" w:type="dxa"/>
            </w:tcMar>
            <w:vAlign w:val="center"/>
          </w:tcPr>
          <w:p w14:paraId="55D9CF1C">
            <w:pPr>
              <w:pStyle w:val="147"/>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Arial" w:hAnsi="Arial" w:cs="Arial"/>
                <w:sz w:val="22"/>
                <w:szCs w:val="22"/>
              </w:rPr>
            </w:pPr>
            <w:r>
              <w:rPr>
                <w:rFonts w:hint="default" w:ascii="Arial" w:hAnsi="Arial" w:cs="Arial"/>
                <w:sz w:val="22"/>
                <w:szCs w:val="22"/>
              </w:rPr>
              <w:t>达标</w:t>
            </w:r>
          </w:p>
        </w:tc>
      </w:tr>
    </w:tbl>
    <w:p w14:paraId="6E895B65">
      <w:pPr>
        <w:pStyle w:val="1085"/>
        <w:keepNext w:val="0"/>
        <w:keepLines w:val="0"/>
        <w:pageBreakBefore w:val="0"/>
        <w:widowControl w:val="0"/>
        <w:kinsoku/>
        <w:wordWrap/>
        <w:overflowPunct/>
        <w:topLinePunct w:val="0"/>
        <w:autoSpaceDE/>
        <w:autoSpaceDN/>
        <w:bidi w:val="0"/>
        <w:adjustRightInd/>
        <w:snapToGrid w:val="0"/>
        <w:spacing w:line="240" w:lineRule="exact"/>
        <w:textAlignment w:val="auto"/>
      </w:pPr>
    </w:p>
    <w:p w14:paraId="439EC3E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由表4.4-3，本项目设置的1#监测点的昼</w:t>
      </w:r>
      <w:r>
        <w:rPr>
          <w:rFonts w:hint="eastAsia" w:ascii="Arial" w:hAnsi="Arial" w:cs="Arial"/>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夜监测值均可满足《声环境质量标准》（GB3096-2008）中的</w:t>
      </w:r>
      <w:r>
        <w:rPr>
          <w:rFonts w:hint="eastAsia" w:ascii="Arial" w:hAnsi="Arial" w:cs="Arial"/>
          <w:b w:val="0"/>
          <w:color w:val="auto"/>
          <w:kern w:val="2"/>
          <w:sz w:val="26"/>
          <w:szCs w:val="26"/>
          <w:lang w:val="en-US" w:eastAsia="zh-CN" w:bidi="ar-SA"/>
        </w:rPr>
        <w:t>1</w:t>
      </w:r>
      <w:r>
        <w:rPr>
          <w:rFonts w:hint="eastAsia" w:ascii="Arial" w:hAnsi="Arial" w:eastAsia="宋体" w:cs="Arial"/>
          <w:b w:val="0"/>
          <w:color w:val="auto"/>
          <w:kern w:val="2"/>
          <w:sz w:val="26"/>
          <w:szCs w:val="26"/>
          <w:lang w:val="en-US" w:eastAsia="zh-CN" w:bidi="ar-SA"/>
        </w:rPr>
        <w:t>类区标准限值</w:t>
      </w:r>
      <w:r>
        <w:rPr>
          <w:rFonts w:hint="eastAsia" w:ascii="Arial" w:hAnsi="Arial" w:cs="Arial"/>
          <w:b w:val="0"/>
          <w:color w:val="auto"/>
          <w:kern w:val="2"/>
          <w:sz w:val="26"/>
          <w:szCs w:val="26"/>
          <w:lang w:val="en-US" w:eastAsia="zh-CN" w:bidi="ar-SA"/>
        </w:rPr>
        <w:t>，2~3#</w:t>
      </w:r>
      <w:r>
        <w:rPr>
          <w:rFonts w:hint="eastAsia" w:ascii="Arial" w:hAnsi="Arial" w:eastAsia="宋体" w:cs="Arial"/>
          <w:b w:val="0"/>
          <w:color w:val="auto"/>
          <w:kern w:val="2"/>
          <w:sz w:val="26"/>
          <w:szCs w:val="26"/>
          <w:lang w:val="en-US" w:eastAsia="zh-CN" w:bidi="ar-SA"/>
        </w:rPr>
        <w:t>监测点的昼</w:t>
      </w:r>
      <w:r>
        <w:rPr>
          <w:rFonts w:hint="eastAsia" w:ascii="Arial" w:hAnsi="Arial" w:cs="Arial"/>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夜监测值均可满足《声环境质量标准》（GB3096-2008）中的</w:t>
      </w:r>
      <w:r>
        <w:rPr>
          <w:rFonts w:hint="eastAsia" w:ascii="Arial" w:hAnsi="Arial" w:cs="Arial"/>
          <w:b w:val="0"/>
          <w:color w:val="auto"/>
          <w:kern w:val="2"/>
          <w:sz w:val="26"/>
          <w:szCs w:val="26"/>
          <w:lang w:val="en-US" w:eastAsia="zh-CN" w:bidi="ar-SA"/>
        </w:rPr>
        <w:t>2</w:t>
      </w:r>
      <w:r>
        <w:rPr>
          <w:rFonts w:hint="eastAsia" w:ascii="Arial" w:hAnsi="Arial" w:eastAsia="宋体" w:cs="Arial"/>
          <w:b w:val="0"/>
          <w:color w:val="auto"/>
          <w:kern w:val="2"/>
          <w:sz w:val="26"/>
          <w:szCs w:val="26"/>
          <w:lang w:val="en-US" w:eastAsia="zh-CN" w:bidi="ar-SA"/>
        </w:rPr>
        <w:t>类区标准限值。由此可见，项目</w:t>
      </w:r>
      <w:r>
        <w:rPr>
          <w:rFonts w:hint="eastAsia" w:ascii="Arial" w:hAnsi="Arial" w:cs="Arial"/>
          <w:b w:val="0"/>
          <w:color w:val="auto"/>
          <w:kern w:val="2"/>
          <w:sz w:val="26"/>
          <w:szCs w:val="26"/>
          <w:lang w:val="en-US" w:eastAsia="zh-CN" w:bidi="ar-SA"/>
        </w:rPr>
        <w:t>所在</w:t>
      </w:r>
      <w:r>
        <w:rPr>
          <w:rFonts w:hint="eastAsia" w:ascii="Arial" w:hAnsi="Arial" w:eastAsia="宋体" w:cs="Arial"/>
          <w:b w:val="0"/>
          <w:color w:val="auto"/>
          <w:kern w:val="2"/>
          <w:sz w:val="26"/>
          <w:szCs w:val="26"/>
          <w:lang w:val="en-US" w:eastAsia="zh-CN" w:bidi="ar-SA"/>
        </w:rPr>
        <w:t>区域</w:t>
      </w:r>
      <w:r>
        <w:rPr>
          <w:rFonts w:hint="eastAsia" w:ascii="Arial" w:hAnsi="Arial" w:cs="Arial"/>
          <w:b w:val="0"/>
          <w:color w:val="auto"/>
          <w:kern w:val="2"/>
          <w:sz w:val="26"/>
          <w:szCs w:val="26"/>
          <w:lang w:val="en-US" w:eastAsia="zh-CN" w:bidi="ar-SA"/>
        </w:rPr>
        <w:t>未出现噪声超标现象，声环境质量现状较好。</w:t>
      </w:r>
    </w:p>
    <w:p w14:paraId="4BCC2524">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default" w:ascii="Arial" w:hAnsi="Arial" w:eastAsia="宋体" w:cs="Arial"/>
          <w:b/>
          <w:bCs w:val="0"/>
          <w:kern w:val="0"/>
          <w:sz w:val="26"/>
          <w:szCs w:val="26"/>
          <w:lang w:val="en-US" w:eastAsia="zh-CN" w:bidi="ar-SA"/>
        </w:rPr>
      </w:pPr>
      <w:bookmarkStart w:id="96" w:name="_Toc34987881"/>
      <w:bookmarkStart w:id="97" w:name="_Toc36041082"/>
      <w:bookmarkStart w:id="98" w:name="_Toc34987882"/>
      <w:bookmarkStart w:id="99" w:name="_Toc36041083"/>
      <w:r>
        <w:rPr>
          <w:rFonts w:hint="eastAsia" w:ascii="Arial" w:hAnsi="Arial" w:cs="Arial"/>
          <w:b/>
          <w:bCs w:val="0"/>
          <w:kern w:val="0"/>
          <w:sz w:val="26"/>
          <w:szCs w:val="26"/>
          <w:lang w:val="en-US" w:eastAsia="zh-CN" w:bidi="ar-SA"/>
        </w:rPr>
        <w:t>4.3.4</w:t>
      </w:r>
      <w:r>
        <w:rPr>
          <w:rFonts w:hint="eastAsia" w:ascii="Arial" w:hAnsi="Arial" w:eastAsia="宋体" w:cs="Arial"/>
          <w:b/>
          <w:bCs w:val="0"/>
          <w:kern w:val="0"/>
          <w:sz w:val="26"/>
          <w:szCs w:val="26"/>
          <w:lang w:val="en-US" w:eastAsia="zh-CN" w:bidi="ar-SA"/>
        </w:rPr>
        <w:t>地</w:t>
      </w:r>
      <w:r>
        <w:rPr>
          <w:rFonts w:hint="eastAsia" w:ascii="Arial" w:hAnsi="Arial" w:cs="Arial"/>
          <w:b/>
          <w:bCs w:val="0"/>
          <w:kern w:val="0"/>
          <w:sz w:val="26"/>
          <w:szCs w:val="26"/>
          <w:lang w:val="en-US" w:eastAsia="zh-CN" w:bidi="ar-SA"/>
        </w:rPr>
        <w:t>下</w:t>
      </w:r>
      <w:r>
        <w:rPr>
          <w:rFonts w:hint="eastAsia" w:ascii="Arial" w:hAnsi="Arial" w:eastAsia="宋体" w:cs="Arial"/>
          <w:b/>
          <w:bCs w:val="0"/>
          <w:kern w:val="0"/>
          <w:sz w:val="26"/>
          <w:szCs w:val="26"/>
          <w:lang w:val="en-US" w:eastAsia="zh-CN" w:bidi="ar-SA"/>
        </w:rPr>
        <w:t>水环境质量现状与评价</w:t>
      </w:r>
      <w:bookmarkEnd w:id="96"/>
      <w:bookmarkEnd w:id="97"/>
    </w:p>
    <w:p w14:paraId="107045E8">
      <w:pPr>
        <w:spacing w:line="460" w:lineRule="exact"/>
        <w:ind w:firstLine="392" w:firstLineChars="150"/>
        <w:rPr>
          <w:rFonts w:hint="eastAsia" w:ascii="Arial" w:cs="Arial"/>
          <w:b/>
          <w:sz w:val="26"/>
          <w:szCs w:val="26"/>
        </w:rPr>
      </w:pPr>
      <w:r>
        <w:rPr>
          <w:rFonts w:hint="eastAsia" w:ascii="Arial" w:cs="Arial"/>
          <w:b/>
          <w:sz w:val="26"/>
          <w:szCs w:val="26"/>
        </w:rPr>
        <w:t>（</w:t>
      </w:r>
      <w:r>
        <w:rPr>
          <w:rFonts w:ascii="Arial" w:cs="Arial"/>
          <w:b/>
          <w:sz w:val="26"/>
          <w:szCs w:val="26"/>
        </w:rPr>
        <w:t>1</w:t>
      </w:r>
      <w:r>
        <w:rPr>
          <w:rFonts w:hint="eastAsia" w:ascii="Arial" w:cs="Arial"/>
          <w:b/>
          <w:sz w:val="26"/>
          <w:szCs w:val="26"/>
        </w:rPr>
        <w:t>）现状监测</w:t>
      </w:r>
    </w:p>
    <w:p w14:paraId="62D19DAF">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22" w:firstLineChars="200"/>
        <w:jc w:val="both"/>
        <w:textAlignment w:val="auto"/>
        <w:rPr>
          <w:rFonts w:hint="default" w:ascii="Arial" w:hAnsi="Arial" w:eastAsia="宋体" w:cs="Arial"/>
          <w:sz w:val="26"/>
          <w:szCs w:val="26"/>
          <w:lang w:val="en-US" w:eastAsia="zh-CN"/>
        </w:rPr>
      </w:pPr>
      <w:r>
        <w:rPr>
          <w:rFonts w:hint="eastAsia" w:ascii="Arial" w:hAnsi="宋体" w:cs="Arial"/>
          <w:b/>
          <w:sz w:val="26"/>
          <w:szCs w:val="26"/>
        </w:rPr>
        <w:t>监测布点：</w:t>
      </w:r>
      <w:r>
        <w:rPr>
          <w:rFonts w:hint="eastAsia" w:ascii="Arial" w:hAnsi="宋体" w:cs="Arial"/>
          <w:sz w:val="26"/>
          <w:szCs w:val="26"/>
        </w:rPr>
        <w:t>根据《环境影响评价技术导则</w:t>
      </w:r>
      <w:r>
        <w:rPr>
          <w:rFonts w:ascii="Arial" w:hAnsi="宋体" w:cs="Arial"/>
          <w:sz w:val="26"/>
          <w:szCs w:val="26"/>
        </w:rPr>
        <w:t xml:space="preserve"> </w:t>
      </w:r>
      <w:r>
        <w:rPr>
          <w:rFonts w:hint="eastAsia" w:ascii="Arial" w:hAnsi="宋体" w:cs="Arial"/>
          <w:sz w:val="26"/>
          <w:szCs w:val="26"/>
        </w:rPr>
        <w:t>地下水》（</w:t>
      </w:r>
      <w:r>
        <w:rPr>
          <w:rFonts w:ascii="Arial" w:hAnsi="宋体" w:cs="Arial"/>
          <w:sz w:val="26"/>
          <w:szCs w:val="26"/>
        </w:rPr>
        <w:t>HJ610 2016</w:t>
      </w:r>
      <w:r>
        <w:rPr>
          <w:rFonts w:hint="eastAsia" w:ascii="Arial" w:hAnsi="宋体" w:cs="Arial"/>
          <w:sz w:val="26"/>
          <w:szCs w:val="26"/>
        </w:rPr>
        <w:t>）</w:t>
      </w:r>
      <w:r>
        <w:rPr>
          <w:rFonts w:hint="eastAsia" w:ascii="Arial" w:hAnsi="宋体" w:cs="Arial"/>
          <w:sz w:val="26"/>
          <w:szCs w:val="26"/>
          <w:lang w:eastAsia="zh-CN"/>
        </w:rPr>
        <w:t>，本项目地下水环境影响评价工作等级为三级，需</w:t>
      </w:r>
      <w:r>
        <w:rPr>
          <w:rFonts w:hint="eastAsia" w:ascii="Arial" w:hAnsi="宋体" w:cs="Arial"/>
          <w:sz w:val="26"/>
          <w:szCs w:val="26"/>
        </w:rPr>
        <w:t>在项目</w:t>
      </w:r>
      <w:r>
        <w:rPr>
          <w:rFonts w:hint="eastAsia" w:ascii="Arial" w:hAnsi="宋体" w:cs="Arial"/>
          <w:sz w:val="26"/>
          <w:szCs w:val="26"/>
          <w:lang w:eastAsia="zh-CN"/>
        </w:rPr>
        <w:t>评价范围内</w:t>
      </w:r>
      <w:r>
        <w:rPr>
          <w:rFonts w:hint="eastAsia" w:ascii="Arial" w:hAnsi="宋体" w:cs="Arial"/>
          <w:sz w:val="26"/>
          <w:szCs w:val="26"/>
        </w:rPr>
        <w:t>设置3个监测点。</w:t>
      </w:r>
      <w:r>
        <w:rPr>
          <w:rFonts w:hint="eastAsia" w:ascii="Arial" w:hAnsi="宋体" w:cs="Arial"/>
          <w:sz w:val="26"/>
          <w:szCs w:val="26"/>
          <w:lang w:val="en-US" w:eastAsia="zh-CN"/>
        </w:rPr>
        <w:t>1#监测点位于海螺沟水库上游、2#监测点位于海螺沟水库下游、3#监测点位于海螺沟水库周边，1~2#监测点为委托重庆国环环境监测有限公司进行实测，3#监测点为引用</w:t>
      </w:r>
      <w:r>
        <w:rPr>
          <w:rFonts w:hint="eastAsia" w:ascii="Arial" w:hAnsi="Arial" w:cs="Arial"/>
          <w:b w:val="0"/>
          <w:bCs/>
          <w:sz w:val="26"/>
          <w:szCs w:val="26"/>
          <w:lang w:val="en-US" w:eastAsia="zh-CN"/>
        </w:rPr>
        <w:t>《重庆市渠溪河流域综合规划环境影响报告书》中监测数据。</w:t>
      </w:r>
    </w:p>
    <w:p w14:paraId="36C92E23">
      <w:pPr>
        <w:spacing w:line="460" w:lineRule="exact"/>
        <w:ind w:firstLine="522" w:firstLineChars="200"/>
        <w:rPr>
          <w:rFonts w:ascii="Arial" w:hAnsi="Arial" w:eastAsia="Times New Roman" w:cs="Arial"/>
          <w:sz w:val="26"/>
          <w:szCs w:val="26"/>
        </w:rPr>
      </w:pPr>
      <w:r>
        <w:rPr>
          <w:rFonts w:hint="eastAsia" w:ascii="Arial" w:hAnsi="Arial" w:cs="Arial"/>
          <w:b/>
          <w:bCs w:val="0"/>
          <w:sz w:val="26"/>
          <w:szCs w:val="26"/>
          <w:lang w:val="en-US" w:eastAsia="zh-CN"/>
        </w:rPr>
        <w:t>监测时间及频率：</w:t>
      </w:r>
      <w:r>
        <w:rPr>
          <w:rFonts w:hint="eastAsia" w:ascii="Arial" w:hAnsi="宋体" w:cs="Arial"/>
          <w:sz w:val="26"/>
          <w:szCs w:val="26"/>
          <w:lang w:val="en-US" w:eastAsia="zh-CN"/>
        </w:rPr>
        <w:t>1~2#监测点为</w:t>
      </w:r>
      <w:r>
        <w:rPr>
          <w:rFonts w:ascii="Arial" w:hAnsi="Arial" w:eastAsia="Times New Roman" w:cs="Arial"/>
          <w:sz w:val="26"/>
          <w:szCs w:val="26"/>
        </w:rPr>
        <w:t>20</w:t>
      </w:r>
      <w:r>
        <w:rPr>
          <w:rFonts w:hint="eastAsia" w:ascii="Arial" w:hAnsi="Arial" w:eastAsia="宋体" w:cs="Arial"/>
          <w:sz w:val="26"/>
          <w:szCs w:val="26"/>
          <w:lang w:val="en-US" w:eastAsia="zh-CN"/>
        </w:rPr>
        <w:t>24</w:t>
      </w:r>
      <w:r>
        <w:rPr>
          <w:rFonts w:ascii="Arial" w:eastAsia="Times New Roman" w:cs="Arial"/>
          <w:sz w:val="26"/>
          <w:szCs w:val="26"/>
        </w:rPr>
        <w:t>年</w:t>
      </w:r>
      <w:r>
        <w:rPr>
          <w:rFonts w:hint="eastAsia" w:ascii="Arial" w:hAnsi="Arial" w:eastAsia="宋体" w:cs="Arial"/>
          <w:sz w:val="26"/>
          <w:szCs w:val="26"/>
          <w:lang w:val="en-US" w:eastAsia="zh-CN"/>
        </w:rPr>
        <w:t>8</w:t>
      </w:r>
      <w:r>
        <w:rPr>
          <w:rFonts w:ascii="Arial" w:eastAsia="Times New Roman" w:cs="Arial"/>
          <w:sz w:val="26"/>
          <w:szCs w:val="26"/>
        </w:rPr>
        <w:t>月</w:t>
      </w:r>
      <w:r>
        <w:rPr>
          <w:rFonts w:hint="eastAsia" w:ascii="Arial" w:hAnsi="Arial" w:eastAsia="宋体" w:cs="Arial"/>
          <w:sz w:val="26"/>
          <w:szCs w:val="26"/>
          <w:lang w:val="en-US" w:eastAsia="zh-CN"/>
        </w:rPr>
        <w:t>26</w:t>
      </w:r>
      <w:r>
        <w:rPr>
          <w:rFonts w:ascii="Arial" w:eastAsia="Times New Roman" w:cs="Arial"/>
          <w:sz w:val="26"/>
          <w:szCs w:val="26"/>
        </w:rPr>
        <w:t>日取样</w:t>
      </w:r>
      <w:r>
        <w:rPr>
          <w:rFonts w:hint="eastAsia" w:ascii="Arial" w:eastAsia="宋体" w:cs="Arial"/>
          <w:sz w:val="26"/>
          <w:szCs w:val="26"/>
          <w:lang w:eastAsia="zh-CN"/>
        </w:rPr>
        <w:t>监测</w:t>
      </w:r>
      <w:r>
        <w:rPr>
          <w:rFonts w:ascii="Arial" w:hAnsi="Arial" w:eastAsia="Times New Roman" w:cs="Arial"/>
          <w:sz w:val="26"/>
          <w:szCs w:val="26"/>
        </w:rPr>
        <w:t>1</w:t>
      </w:r>
      <w:r>
        <w:rPr>
          <w:rFonts w:ascii="Arial" w:eastAsia="Times New Roman" w:cs="Arial"/>
          <w:sz w:val="26"/>
          <w:szCs w:val="26"/>
        </w:rPr>
        <w:t>次</w:t>
      </w:r>
      <w:r>
        <w:rPr>
          <w:rFonts w:hint="eastAsia" w:ascii="Arial" w:eastAsia="宋体" w:cs="Arial"/>
          <w:sz w:val="26"/>
          <w:szCs w:val="26"/>
          <w:lang w:eastAsia="zh-CN"/>
        </w:rPr>
        <w:t>，</w:t>
      </w:r>
      <w:r>
        <w:rPr>
          <w:rFonts w:hint="eastAsia" w:ascii="Arial" w:eastAsia="宋体" w:cs="Arial"/>
          <w:sz w:val="26"/>
          <w:szCs w:val="26"/>
          <w:lang w:val="en-US" w:eastAsia="zh-CN"/>
        </w:rPr>
        <w:t>3#监测点为</w:t>
      </w:r>
      <w:r>
        <w:rPr>
          <w:rFonts w:ascii="Arial" w:hAnsi="Arial" w:eastAsia="Times New Roman" w:cs="Arial"/>
          <w:sz w:val="26"/>
          <w:szCs w:val="26"/>
        </w:rPr>
        <w:t>20</w:t>
      </w:r>
      <w:r>
        <w:rPr>
          <w:rFonts w:hint="eastAsia" w:ascii="Arial" w:hAnsi="Arial" w:eastAsia="宋体" w:cs="Arial"/>
          <w:sz w:val="26"/>
          <w:szCs w:val="26"/>
          <w:lang w:val="en-US" w:eastAsia="zh-CN"/>
        </w:rPr>
        <w:t>24</w:t>
      </w:r>
      <w:r>
        <w:rPr>
          <w:rFonts w:ascii="Arial" w:eastAsia="Times New Roman" w:cs="Arial"/>
          <w:sz w:val="26"/>
          <w:szCs w:val="26"/>
        </w:rPr>
        <w:t>年</w:t>
      </w:r>
      <w:r>
        <w:rPr>
          <w:rFonts w:hint="eastAsia" w:ascii="Arial" w:hAnsi="Arial" w:cs="Arial"/>
          <w:sz w:val="26"/>
          <w:szCs w:val="26"/>
          <w:lang w:val="en-US" w:eastAsia="zh-CN"/>
        </w:rPr>
        <w:t>1</w:t>
      </w:r>
      <w:r>
        <w:rPr>
          <w:rFonts w:ascii="Arial" w:eastAsia="Times New Roman" w:cs="Arial"/>
          <w:sz w:val="26"/>
          <w:szCs w:val="26"/>
        </w:rPr>
        <w:t>月</w:t>
      </w:r>
      <w:r>
        <w:rPr>
          <w:rFonts w:hint="eastAsia" w:ascii="Arial" w:hAnsi="Arial" w:eastAsia="宋体" w:cs="Arial"/>
          <w:sz w:val="26"/>
          <w:szCs w:val="26"/>
          <w:lang w:val="en-US" w:eastAsia="zh-CN"/>
        </w:rPr>
        <w:t>2</w:t>
      </w:r>
      <w:r>
        <w:rPr>
          <w:rFonts w:hint="eastAsia" w:ascii="Arial" w:hAnsi="Arial" w:cs="Arial"/>
          <w:sz w:val="26"/>
          <w:szCs w:val="26"/>
          <w:lang w:val="en-US" w:eastAsia="zh-CN"/>
        </w:rPr>
        <w:t>4</w:t>
      </w:r>
      <w:r>
        <w:rPr>
          <w:rFonts w:ascii="Arial" w:eastAsia="Times New Roman" w:cs="Arial"/>
          <w:sz w:val="26"/>
          <w:szCs w:val="26"/>
        </w:rPr>
        <w:t>日取样</w:t>
      </w:r>
      <w:r>
        <w:rPr>
          <w:rFonts w:hint="eastAsia" w:ascii="Arial" w:eastAsia="宋体" w:cs="Arial"/>
          <w:sz w:val="26"/>
          <w:szCs w:val="26"/>
          <w:lang w:eastAsia="zh-CN"/>
        </w:rPr>
        <w:t>监测</w:t>
      </w:r>
      <w:r>
        <w:rPr>
          <w:rFonts w:ascii="Arial" w:hAnsi="Arial" w:eastAsia="Times New Roman" w:cs="Arial"/>
          <w:sz w:val="26"/>
          <w:szCs w:val="26"/>
        </w:rPr>
        <w:t>1</w:t>
      </w:r>
      <w:r>
        <w:rPr>
          <w:rFonts w:ascii="Arial" w:eastAsia="Times New Roman" w:cs="Arial"/>
          <w:sz w:val="26"/>
          <w:szCs w:val="26"/>
        </w:rPr>
        <w:t>次。</w:t>
      </w:r>
    </w:p>
    <w:p w14:paraId="74399F30">
      <w:pPr>
        <w:spacing w:line="460" w:lineRule="exact"/>
        <w:ind w:firstLine="522" w:firstLineChars="200"/>
        <w:rPr>
          <w:rFonts w:hint="eastAsia" w:ascii="Arial" w:hAnsi="宋体" w:eastAsia="宋体" w:cs="Arial"/>
          <w:b/>
          <w:sz w:val="26"/>
          <w:szCs w:val="26"/>
          <w:lang w:val="en-US" w:eastAsia="zh-CN"/>
        </w:rPr>
      </w:pPr>
      <w:bookmarkStart w:id="100" w:name="_Toc520274071"/>
      <w:bookmarkStart w:id="101" w:name="_Toc522695772"/>
      <w:bookmarkStart w:id="102" w:name="_Toc525159249"/>
      <w:bookmarkStart w:id="103" w:name="_Toc522695922"/>
      <w:r>
        <w:rPr>
          <w:rFonts w:hint="eastAsia" w:ascii="Arial" w:hAnsi="宋体" w:cs="Arial"/>
          <w:b/>
          <w:sz w:val="26"/>
          <w:szCs w:val="26"/>
        </w:rPr>
        <w:t>监测因子：</w:t>
      </w:r>
      <w:r>
        <w:rPr>
          <w:rFonts w:hint="eastAsia" w:ascii="Arial" w:hAnsi="Arial" w:cs="Arial"/>
          <w:sz w:val="26"/>
          <w:szCs w:val="26"/>
          <w:lang w:val="en-US" w:eastAsia="zh-CN"/>
        </w:rPr>
        <w:t>1~2#监测点：</w:t>
      </w:r>
      <w:r>
        <w:rPr>
          <w:rFonts w:hint="default" w:ascii="Arial" w:hAnsi="Arial" w:cs="Arial"/>
          <w:sz w:val="26"/>
          <w:szCs w:val="26"/>
        </w:rPr>
        <w:t>水位、pH、溶解性总固体、耗氧量、氨氮、硝酸盐、亚硝酸盐、挥发性酚类、氰化物、氟化物、砷、汞、六价铬、总硬度、铅、镉、铁、锰、硫酸盐、总大肠菌群、细菌总数、氯化物、石油类</w:t>
      </w:r>
      <w:r>
        <w:rPr>
          <w:rFonts w:hint="eastAsia" w:ascii="Arial" w:hAnsi="Arial" w:cs="Arial"/>
          <w:sz w:val="26"/>
          <w:szCs w:val="26"/>
          <w:lang w:eastAsia="zh-CN"/>
        </w:rPr>
        <w:t>、</w:t>
      </w:r>
      <w:r>
        <w:rPr>
          <w:rFonts w:hint="eastAsia" w:ascii="Arial" w:hAnsi="Arial" w:cs="Arial"/>
          <w:sz w:val="26"/>
          <w:szCs w:val="26"/>
          <w:lang w:val="en-US" w:eastAsia="zh-CN"/>
        </w:rPr>
        <w:t>COD</w:t>
      </w:r>
      <w:r>
        <w:rPr>
          <w:rFonts w:hint="default" w:ascii="Arial" w:hAnsi="Arial" w:cs="Arial"/>
          <w:sz w:val="26"/>
          <w:szCs w:val="26"/>
        </w:rPr>
        <w:t>；</w:t>
      </w:r>
      <w:r>
        <w:rPr>
          <w:rFonts w:hint="eastAsia" w:ascii="Arial" w:hAnsi="Arial" w:cs="Arial"/>
          <w:sz w:val="26"/>
          <w:szCs w:val="26"/>
          <w:lang w:val="en-US" w:eastAsia="zh-CN"/>
        </w:rPr>
        <w:t>3#监测点：</w:t>
      </w:r>
      <w:r>
        <w:rPr>
          <w:rFonts w:ascii="Arial" w:hAnsi="Arial" w:cs="Arial"/>
          <w:sz w:val="26"/>
          <w:szCs w:val="26"/>
        </w:rPr>
        <w:t>pH、总硬度（以CaCO</w:t>
      </w:r>
      <w:r>
        <w:rPr>
          <w:rFonts w:ascii="Arial" w:hAnsi="Arial" w:cs="Arial"/>
          <w:sz w:val="26"/>
          <w:szCs w:val="26"/>
          <w:vertAlign w:val="subscript"/>
        </w:rPr>
        <w:t>3</w:t>
      </w:r>
      <w:r>
        <w:rPr>
          <w:rFonts w:ascii="Arial" w:hAnsi="Arial" w:cs="Arial"/>
          <w:sz w:val="26"/>
          <w:szCs w:val="26"/>
        </w:rPr>
        <w:t>计）、溶解性总固体、硫酸盐、氯化物、铁、锰、挥发性酚类、耗氧量（COD</w:t>
      </w:r>
      <w:r>
        <w:rPr>
          <w:rFonts w:ascii="Arial" w:hAnsi="Arial" w:cs="Arial"/>
          <w:sz w:val="26"/>
          <w:szCs w:val="26"/>
          <w:vertAlign w:val="subscript"/>
        </w:rPr>
        <w:t>Mn</w:t>
      </w:r>
      <w:r>
        <w:rPr>
          <w:rFonts w:ascii="Arial" w:hAnsi="Arial" w:cs="Arial"/>
          <w:sz w:val="26"/>
          <w:szCs w:val="26"/>
        </w:rPr>
        <w:t>法，以O</w:t>
      </w:r>
      <w:r>
        <w:rPr>
          <w:rFonts w:ascii="Arial" w:hAnsi="Arial" w:cs="Arial"/>
          <w:sz w:val="26"/>
          <w:szCs w:val="26"/>
          <w:vertAlign w:val="subscript"/>
        </w:rPr>
        <w:t>2</w:t>
      </w:r>
      <w:r>
        <w:rPr>
          <w:rFonts w:ascii="Arial" w:hAnsi="Arial" w:cs="Arial"/>
          <w:sz w:val="26"/>
          <w:szCs w:val="26"/>
        </w:rPr>
        <w:t>计）、氨氮、总大肠菌群、菌落总数、亚硝酸盐、硝酸盐、氰化物、氟化物、汞、砷、镉、铬（六价）、铅、铜、锌、铝、阴离子表面活性剂、K</w:t>
      </w:r>
      <w:r>
        <w:rPr>
          <w:rFonts w:ascii="Arial" w:hAnsi="Arial" w:cs="Arial"/>
          <w:sz w:val="26"/>
          <w:szCs w:val="26"/>
          <w:vertAlign w:val="superscript"/>
        </w:rPr>
        <w:t>+</w:t>
      </w:r>
      <w:r>
        <w:rPr>
          <w:rFonts w:hint="eastAsia" w:ascii="Arial" w:hAnsi="Arial" w:cs="Arial"/>
          <w:sz w:val="26"/>
          <w:szCs w:val="26"/>
        </w:rPr>
        <w:t>、</w:t>
      </w:r>
      <w:r>
        <w:rPr>
          <w:rFonts w:ascii="Arial" w:hAnsi="Arial" w:cs="Arial"/>
          <w:sz w:val="26"/>
          <w:szCs w:val="26"/>
        </w:rPr>
        <w:t>Na</w:t>
      </w:r>
      <w:r>
        <w:rPr>
          <w:rFonts w:ascii="Arial" w:hAnsi="Arial" w:cs="Arial"/>
          <w:sz w:val="26"/>
          <w:szCs w:val="26"/>
          <w:vertAlign w:val="superscript"/>
        </w:rPr>
        <w:t>+</w:t>
      </w:r>
      <w:r>
        <w:rPr>
          <w:rFonts w:hint="eastAsia" w:ascii="Arial" w:hAnsi="Arial" w:cs="Arial"/>
          <w:sz w:val="26"/>
          <w:szCs w:val="26"/>
        </w:rPr>
        <w:t>、</w:t>
      </w:r>
      <w:r>
        <w:rPr>
          <w:rFonts w:ascii="Arial" w:hAnsi="Arial" w:cs="Arial"/>
          <w:sz w:val="26"/>
          <w:szCs w:val="26"/>
        </w:rPr>
        <w:t>Ca</w:t>
      </w:r>
      <w:r>
        <w:rPr>
          <w:rFonts w:ascii="Arial" w:hAnsi="Arial" w:cs="Arial"/>
          <w:sz w:val="26"/>
          <w:szCs w:val="26"/>
          <w:vertAlign w:val="superscript"/>
        </w:rPr>
        <w:t>2+</w:t>
      </w:r>
      <w:r>
        <w:rPr>
          <w:rFonts w:hint="eastAsia" w:ascii="Arial" w:hAnsi="Arial" w:cs="Arial"/>
          <w:sz w:val="26"/>
          <w:szCs w:val="26"/>
        </w:rPr>
        <w:t>、</w:t>
      </w:r>
      <w:r>
        <w:rPr>
          <w:rFonts w:ascii="Arial" w:hAnsi="Arial" w:cs="Arial"/>
          <w:sz w:val="26"/>
          <w:szCs w:val="26"/>
        </w:rPr>
        <w:t>Mg</w:t>
      </w:r>
      <w:r>
        <w:rPr>
          <w:rFonts w:ascii="Arial" w:hAnsi="Arial" w:cs="Arial"/>
          <w:sz w:val="26"/>
          <w:szCs w:val="26"/>
          <w:vertAlign w:val="superscript"/>
        </w:rPr>
        <w:t>2+</w:t>
      </w:r>
      <w:r>
        <w:rPr>
          <w:rFonts w:hint="eastAsia" w:ascii="Arial" w:hAnsi="Arial" w:cs="Arial"/>
          <w:sz w:val="26"/>
          <w:szCs w:val="26"/>
        </w:rPr>
        <w:t>、</w:t>
      </w:r>
      <w:r>
        <w:rPr>
          <w:rFonts w:ascii="Arial" w:hAnsi="Arial" w:cs="Arial"/>
          <w:sz w:val="26"/>
          <w:szCs w:val="26"/>
        </w:rPr>
        <w:t>CO</w:t>
      </w:r>
      <w:r>
        <w:rPr>
          <w:rFonts w:ascii="Arial" w:hAnsi="Arial" w:cs="Arial"/>
          <w:sz w:val="26"/>
          <w:szCs w:val="26"/>
          <w:vertAlign w:val="subscript"/>
        </w:rPr>
        <w:t>3</w:t>
      </w:r>
      <w:r>
        <w:rPr>
          <w:rFonts w:ascii="Arial" w:hAnsi="Arial" w:cs="Arial"/>
          <w:sz w:val="26"/>
          <w:szCs w:val="26"/>
          <w:vertAlign w:val="superscript"/>
        </w:rPr>
        <w:t>2-</w:t>
      </w:r>
      <w:r>
        <w:rPr>
          <w:rFonts w:hint="eastAsia" w:ascii="Arial" w:hAnsi="Arial" w:cs="Arial"/>
          <w:sz w:val="26"/>
          <w:szCs w:val="26"/>
        </w:rPr>
        <w:t>、</w:t>
      </w:r>
      <w:r>
        <w:rPr>
          <w:rFonts w:ascii="Arial" w:hAnsi="Arial" w:cs="Arial"/>
          <w:sz w:val="26"/>
          <w:szCs w:val="26"/>
        </w:rPr>
        <w:t>HCO</w:t>
      </w:r>
      <w:r>
        <w:rPr>
          <w:rFonts w:ascii="Arial" w:hAnsi="Arial" w:cs="Arial"/>
          <w:sz w:val="26"/>
          <w:szCs w:val="26"/>
          <w:vertAlign w:val="subscript"/>
        </w:rPr>
        <w:t>3</w:t>
      </w:r>
      <w:r>
        <w:rPr>
          <w:rFonts w:ascii="Arial" w:hAnsi="Arial" w:cs="Arial"/>
          <w:sz w:val="26"/>
          <w:szCs w:val="26"/>
          <w:vertAlign w:val="superscript"/>
        </w:rPr>
        <w:t>-</w:t>
      </w:r>
      <w:r>
        <w:rPr>
          <w:rFonts w:hint="eastAsia" w:ascii="Arial" w:hAnsi="Arial" w:cs="Arial"/>
          <w:sz w:val="26"/>
          <w:szCs w:val="26"/>
        </w:rPr>
        <w:t>、</w:t>
      </w:r>
      <w:r>
        <w:rPr>
          <w:rFonts w:ascii="Arial" w:hAnsi="Arial" w:cs="Arial"/>
          <w:sz w:val="26"/>
          <w:szCs w:val="26"/>
        </w:rPr>
        <w:t>Cl</w:t>
      </w:r>
      <w:r>
        <w:rPr>
          <w:rFonts w:ascii="Arial" w:hAnsi="Arial" w:cs="Arial"/>
          <w:sz w:val="26"/>
          <w:szCs w:val="26"/>
          <w:vertAlign w:val="superscript"/>
        </w:rPr>
        <w:t>-</w:t>
      </w:r>
      <w:r>
        <w:rPr>
          <w:rFonts w:hint="eastAsia" w:ascii="Arial" w:hAnsi="Arial" w:cs="Arial"/>
          <w:sz w:val="26"/>
          <w:szCs w:val="26"/>
        </w:rPr>
        <w:t>、</w:t>
      </w:r>
      <w:r>
        <w:rPr>
          <w:rFonts w:ascii="Arial" w:hAnsi="Arial" w:cs="Arial"/>
          <w:sz w:val="26"/>
          <w:szCs w:val="26"/>
        </w:rPr>
        <w:t>SO</w:t>
      </w:r>
      <w:r>
        <w:rPr>
          <w:rFonts w:ascii="Arial" w:hAnsi="Arial" w:cs="Arial"/>
          <w:sz w:val="26"/>
          <w:szCs w:val="26"/>
          <w:vertAlign w:val="subscript"/>
        </w:rPr>
        <w:t>4</w:t>
      </w:r>
      <w:r>
        <w:rPr>
          <w:rFonts w:ascii="Arial" w:hAnsi="Arial" w:cs="Arial"/>
          <w:sz w:val="26"/>
          <w:szCs w:val="26"/>
          <w:vertAlign w:val="superscript"/>
        </w:rPr>
        <w:t>2-</w:t>
      </w:r>
      <w:r>
        <w:rPr>
          <w:rFonts w:hint="eastAsia" w:ascii="Arial" w:hAnsi="Arial" w:cs="Arial"/>
          <w:sz w:val="26"/>
          <w:szCs w:val="26"/>
        </w:rPr>
        <w:t>、</w:t>
      </w:r>
      <w:r>
        <w:rPr>
          <w:rFonts w:ascii="Arial" w:hAnsi="Arial" w:cs="Arial"/>
          <w:sz w:val="26"/>
          <w:szCs w:val="26"/>
        </w:rPr>
        <w:t>石油类、水位</w:t>
      </w:r>
      <w:r>
        <w:rPr>
          <w:rFonts w:hint="eastAsia" w:ascii="Arial" w:hAnsi="Arial" w:cs="Arial"/>
          <w:sz w:val="26"/>
          <w:szCs w:val="26"/>
          <w:lang w:eastAsia="zh-CN"/>
        </w:rPr>
        <w:t>。</w:t>
      </w:r>
    </w:p>
    <w:bookmarkEnd w:id="100"/>
    <w:bookmarkEnd w:id="101"/>
    <w:bookmarkEnd w:id="102"/>
    <w:bookmarkEnd w:id="103"/>
    <w:p w14:paraId="24E47C16">
      <w:pPr>
        <w:spacing w:line="460" w:lineRule="exact"/>
        <w:ind w:firstLine="392" w:firstLineChars="150"/>
        <w:outlineLvl w:val="3"/>
        <w:rPr>
          <w:rFonts w:ascii="Arial" w:cs="Arial"/>
          <w:b/>
          <w:sz w:val="26"/>
          <w:szCs w:val="26"/>
        </w:rPr>
      </w:pPr>
      <w:r>
        <w:rPr>
          <w:rFonts w:hint="eastAsia" w:ascii="Arial" w:cs="Arial"/>
          <w:b/>
          <w:sz w:val="26"/>
          <w:szCs w:val="26"/>
        </w:rPr>
        <w:t>（</w:t>
      </w:r>
      <w:r>
        <w:rPr>
          <w:rFonts w:ascii="Arial" w:cs="Arial"/>
          <w:b/>
          <w:sz w:val="26"/>
          <w:szCs w:val="26"/>
        </w:rPr>
        <w:t>2</w:t>
      </w:r>
      <w:r>
        <w:rPr>
          <w:rFonts w:hint="eastAsia" w:ascii="Arial" w:cs="Arial"/>
          <w:b/>
          <w:sz w:val="26"/>
          <w:szCs w:val="26"/>
        </w:rPr>
        <w:t>）评价方法</w:t>
      </w:r>
    </w:p>
    <w:p w14:paraId="3328BF96">
      <w:pPr>
        <w:spacing w:line="460" w:lineRule="exact"/>
        <w:ind w:firstLine="520" w:firstLineChars="200"/>
        <w:rPr>
          <w:rFonts w:hint="eastAsia" w:ascii="Arial" w:hAnsi="Arial" w:cs="Arial"/>
          <w:sz w:val="26"/>
          <w:szCs w:val="26"/>
        </w:rPr>
      </w:pPr>
      <w:bookmarkStart w:id="104" w:name="_Toc520274072"/>
      <w:bookmarkStart w:id="105" w:name="_Toc525159250"/>
      <w:bookmarkStart w:id="106" w:name="_Toc522695923"/>
      <w:bookmarkStart w:id="107" w:name="_Toc522695773"/>
      <w:r>
        <w:rPr>
          <w:rFonts w:hint="eastAsia" w:ascii="Arial" w:hAnsi="Arial" w:cs="Arial"/>
          <w:sz w:val="26"/>
          <w:szCs w:val="26"/>
        </w:rPr>
        <w:t>同地表水环境质量现状评价方法，采取标准指数法进行评价。</w:t>
      </w:r>
      <w:bookmarkEnd w:id="104"/>
      <w:bookmarkEnd w:id="105"/>
      <w:bookmarkEnd w:id="106"/>
      <w:bookmarkEnd w:id="107"/>
    </w:p>
    <w:p w14:paraId="7959D8C5">
      <w:pPr>
        <w:spacing w:line="480" w:lineRule="exact"/>
        <w:ind w:firstLine="392" w:firstLineChars="150"/>
        <w:outlineLvl w:val="3"/>
        <w:rPr>
          <w:rFonts w:hint="eastAsia" w:ascii="Arial" w:eastAsia="宋体" w:cs="Arial"/>
          <w:b/>
          <w:sz w:val="26"/>
          <w:szCs w:val="26"/>
          <w:lang w:eastAsia="zh-CN"/>
        </w:rPr>
      </w:pPr>
      <w:r>
        <w:rPr>
          <w:rFonts w:hint="eastAsia" w:ascii="Arial" w:cs="Arial"/>
          <w:b/>
          <w:sz w:val="26"/>
          <w:szCs w:val="26"/>
        </w:rPr>
        <w:t>（</w:t>
      </w:r>
      <w:r>
        <w:rPr>
          <w:rFonts w:ascii="Arial" w:cs="Arial"/>
          <w:b/>
          <w:sz w:val="26"/>
          <w:szCs w:val="26"/>
        </w:rPr>
        <w:t>3</w:t>
      </w:r>
      <w:r>
        <w:rPr>
          <w:rFonts w:hint="eastAsia" w:ascii="Arial" w:cs="Arial"/>
          <w:b/>
          <w:sz w:val="26"/>
          <w:szCs w:val="26"/>
        </w:rPr>
        <w:t>）评价</w:t>
      </w:r>
      <w:r>
        <w:rPr>
          <w:rFonts w:hint="eastAsia" w:ascii="Arial" w:cs="Arial"/>
          <w:b/>
          <w:sz w:val="26"/>
          <w:szCs w:val="26"/>
          <w:lang w:eastAsia="zh-CN"/>
        </w:rPr>
        <w:t>标准</w:t>
      </w:r>
    </w:p>
    <w:p w14:paraId="3E585056">
      <w:pPr>
        <w:spacing w:line="460" w:lineRule="exact"/>
        <w:ind w:firstLine="504" w:firstLineChars="200"/>
        <w:rPr>
          <w:rFonts w:hint="eastAsia" w:ascii="Arial" w:eastAsia="宋体" w:cs="Arial"/>
          <w:spacing w:val="-4"/>
          <w:sz w:val="26"/>
          <w:szCs w:val="26"/>
          <w:lang w:eastAsia="zh-CN"/>
        </w:rPr>
      </w:pPr>
      <w:bookmarkStart w:id="108" w:name="_Toc520274073"/>
      <w:bookmarkStart w:id="109" w:name="_Toc522695924"/>
      <w:bookmarkStart w:id="110" w:name="_Toc525159251"/>
      <w:bookmarkStart w:id="111" w:name="_Toc522695774"/>
      <w:r>
        <w:rPr>
          <w:rFonts w:hint="eastAsia" w:ascii="Arial" w:cs="Arial"/>
          <w:spacing w:val="-4"/>
          <w:sz w:val="26"/>
          <w:szCs w:val="26"/>
        </w:rPr>
        <w:t>区域地下水环境质量执行《地下水质量标准》（</w:t>
      </w:r>
      <w:r>
        <w:rPr>
          <w:rFonts w:ascii="Arial" w:cs="Arial"/>
          <w:spacing w:val="-4"/>
          <w:sz w:val="26"/>
          <w:szCs w:val="26"/>
        </w:rPr>
        <w:t>GB/T14848-2017</w:t>
      </w:r>
      <w:r>
        <w:rPr>
          <w:rFonts w:hint="eastAsia" w:ascii="Arial" w:cs="Arial"/>
          <w:spacing w:val="-4"/>
          <w:sz w:val="26"/>
          <w:szCs w:val="26"/>
        </w:rPr>
        <w:t>）中</w:t>
      </w:r>
      <w:r>
        <w:rPr>
          <w:rFonts w:ascii="Arial" w:cs="Arial"/>
          <w:spacing w:val="-4"/>
          <w:sz w:val="26"/>
          <w:szCs w:val="26"/>
        </w:rPr>
        <w:t>III</w:t>
      </w:r>
      <w:r>
        <w:rPr>
          <w:rFonts w:hint="eastAsia" w:ascii="Arial" w:cs="Arial"/>
          <w:spacing w:val="-4"/>
          <w:sz w:val="26"/>
          <w:szCs w:val="26"/>
        </w:rPr>
        <w:t>类标准</w:t>
      </w:r>
      <w:r>
        <w:rPr>
          <w:rFonts w:hint="eastAsia" w:ascii="Arial" w:cs="Arial"/>
          <w:spacing w:val="-4"/>
          <w:sz w:val="26"/>
          <w:szCs w:val="26"/>
          <w:lang w:eastAsia="zh-CN"/>
        </w:rPr>
        <w:t>。</w:t>
      </w:r>
    </w:p>
    <w:p w14:paraId="68B58BA1">
      <w:pPr>
        <w:spacing w:line="480" w:lineRule="exact"/>
        <w:ind w:firstLine="392" w:firstLineChars="150"/>
        <w:outlineLvl w:val="3"/>
        <w:rPr>
          <w:rFonts w:hint="eastAsia" w:ascii="Arial" w:eastAsia="宋体" w:cs="Arial"/>
          <w:b/>
          <w:sz w:val="26"/>
          <w:szCs w:val="26"/>
          <w:lang w:eastAsia="zh-CN"/>
        </w:rPr>
      </w:pPr>
      <w:r>
        <w:rPr>
          <w:rFonts w:hint="eastAsia" w:ascii="Arial" w:cs="Arial"/>
          <w:b/>
          <w:sz w:val="26"/>
          <w:szCs w:val="26"/>
        </w:rPr>
        <w:t>（</w:t>
      </w:r>
      <w:r>
        <w:rPr>
          <w:rFonts w:hint="eastAsia" w:ascii="Arial" w:cs="Arial"/>
          <w:b/>
          <w:sz w:val="26"/>
          <w:szCs w:val="26"/>
          <w:lang w:val="en-US" w:eastAsia="zh-CN"/>
        </w:rPr>
        <w:t>4</w:t>
      </w:r>
      <w:r>
        <w:rPr>
          <w:rFonts w:hint="eastAsia" w:ascii="Arial" w:cs="Arial"/>
          <w:b/>
          <w:sz w:val="26"/>
          <w:szCs w:val="26"/>
        </w:rPr>
        <w:t>）评价</w:t>
      </w:r>
      <w:r>
        <w:rPr>
          <w:rFonts w:hint="eastAsia" w:ascii="Arial" w:cs="Arial"/>
          <w:b/>
          <w:sz w:val="26"/>
          <w:szCs w:val="26"/>
          <w:lang w:eastAsia="zh-CN"/>
        </w:rPr>
        <w:t>结果</w:t>
      </w:r>
    </w:p>
    <w:p w14:paraId="753926F3">
      <w:pPr>
        <w:spacing w:line="460" w:lineRule="exact"/>
        <w:ind w:firstLine="504" w:firstLineChars="200"/>
        <w:rPr>
          <w:rFonts w:hint="eastAsia" w:ascii="Arial" w:cs="Arial"/>
          <w:spacing w:val="-4"/>
          <w:sz w:val="26"/>
          <w:szCs w:val="26"/>
        </w:rPr>
      </w:pPr>
      <w:r>
        <w:rPr>
          <w:rFonts w:hint="eastAsia" w:ascii="Arial" w:cs="Arial"/>
          <w:spacing w:val="-4"/>
          <w:sz w:val="26"/>
          <w:szCs w:val="26"/>
        </w:rPr>
        <w:t>监测数据及评价结果见表</w:t>
      </w:r>
      <w:r>
        <w:rPr>
          <w:rFonts w:ascii="Arial" w:cs="Arial"/>
          <w:spacing w:val="-4"/>
          <w:sz w:val="26"/>
          <w:szCs w:val="26"/>
        </w:rPr>
        <w:t>4.</w:t>
      </w:r>
      <w:r>
        <w:rPr>
          <w:rFonts w:hint="eastAsia" w:ascii="Arial" w:cs="Arial"/>
          <w:spacing w:val="-4"/>
          <w:sz w:val="26"/>
          <w:szCs w:val="26"/>
          <w:lang w:val="en-US" w:eastAsia="zh-CN"/>
        </w:rPr>
        <w:t>3</w:t>
      </w:r>
      <w:r>
        <w:rPr>
          <w:rFonts w:ascii="Arial" w:cs="Arial"/>
          <w:spacing w:val="-4"/>
          <w:sz w:val="26"/>
          <w:szCs w:val="26"/>
        </w:rPr>
        <w:t>-</w:t>
      </w:r>
      <w:r>
        <w:rPr>
          <w:rFonts w:hint="eastAsia" w:ascii="Arial" w:cs="Arial"/>
          <w:spacing w:val="-4"/>
          <w:sz w:val="26"/>
          <w:szCs w:val="26"/>
          <w:lang w:val="en-US" w:eastAsia="zh-CN"/>
        </w:rPr>
        <w:t>9</w:t>
      </w:r>
      <w:r>
        <w:rPr>
          <w:rFonts w:hint="eastAsia" w:ascii="Arial" w:cs="Arial"/>
          <w:spacing w:val="-4"/>
          <w:sz w:val="26"/>
          <w:szCs w:val="26"/>
        </w:rPr>
        <w:t>、</w:t>
      </w:r>
      <w:r>
        <w:rPr>
          <w:rFonts w:ascii="Arial" w:cs="Arial"/>
          <w:spacing w:val="-4"/>
          <w:sz w:val="26"/>
          <w:szCs w:val="26"/>
        </w:rPr>
        <w:t>4.</w:t>
      </w:r>
      <w:r>
        <w:rPr>
          <w:rFonts w:hint="eastAsia" w:ascii="Arial" w:cs="Arial"/>
          <w:spacing w:val="-4"/>
          <w:sz w:val="26"/>
          <w:szCs w:val="26"/>
          <w:lang w:val="en-US" w:eastAsia="zh-CN"/>
        </w:rPr>
        <w:t>3</w:t>
      </w:r>
      <w:r>
        <w:rPr>
          <w:rFonts w:ascii="Arial" w:cs="Arial"/>
          <w:spacing w:val="-4"/>
          <w:sz w:val="26"/>
          <w:szCs w:val="26"/>
        </w:rPr>
        <w:t>-</w:t>
      </w:r>
      <w:r>
        <w:rPr>
          <w:rFonts w:hint="eastAsia" w:ascii="Arial" w:cs="Arial"/>
          <w:spacing w:val="-4"/>
          <w:sz w:val="26"/>
          <w:szCs w:val="26"/>
          <w:lang w:val="en-US" w:eastAsia="zh-CN"/>
        </w:rPr>
        <w:t>10</w:t>
      </w:r>
      <w:r>
        <w:rPr>
          <w:rFonts w:hint="eastAsia" w:ascii="Arial" w:cs="Arial"/>
          <w:spacing w:val="-4"/>
          <w:sz w:val="26"/>
          <w:szCs w:val="26"/>
        </w:rPr>
        <w:t>所示。</w:t>
      </w:r>
      <w:bookmarkEnd w:id="108"/>
      <w:bookmarkEnd w:id="109"/>
      <w:bookmarkEnd w:id="110"/>
      <w:bookmarkEnd w:id="111"/>
    </w:p>
    <w:p w14:paraId="2A1EC4C9">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default" w:ascii="Arial" w:hAnsi="Arial" w:cs="Arial"/>
          <w:b/>
          <w:sz w:val="26"/>
          <w:szCs w:val="26"/>
          <w:lang w:val="en-US" w:eastAsia="zh-CN"/>
        </w:rPr>
      </w:pPr>
      <w:r>
        <w:rPr>
          <w:rFonts w:hint="eastAsia" w:ascii="Arial" w:hAnsi="Arial" w:cs="Arial"/>
          <w:b/>
          <w:sz w:val="26"/>
          <w:szCs w:val="26"/>
        </w:rPr>
        <w:t>表4.</w:t>
      </w:r>
      <w:r>
        <w:rPr>
          <w:rFonts w:hint="eastAsia" w:ascii="Arial" w:hAnsi="Arial" w:cs="Arial"/>
          <w:b/>
          <w:sz w:val="26"/>
          <w:szCs w:val="26"/>
          <w:lang w:val="en-US" w:eastAsia="zh-CN"/>
        </w:rPr>
        <w:t>3-9</w:t>
      </w:r>
      <w:r>
        <w:rPr>
          <w:rFonts w:hint="eastAsia" w:ascii="Arial" w:hAnsi="Arial" w:cs="Arial"/>
          <w:b/>
          <w:sz w:val="26"/>
          <w:szCs w:val="26"/>
        </w:rPr>
        <w:t xml:space="preserve">  </w:t>
      </w:r>
      <w:r>
        <w:rPr>
          <w:rFonts w:hint="eastAsia" w:ascii="Arial" w:hAnsi="Arial" w:cs="Arial"/>
          <w:b/>
          <w:sz w:val="26"/>
          <w:szCs w:val="26"/>
          <w:lang w:eastAsia="zh-CN"/>
        </w:rPr>
        <w:t>地下水八大离子监测结果一览表</w:t>
      </w:r>
      <w:r>
        <w:rPr>
          <w:rFonts w:hint="eastAsia" w:ascii="Arial" w:hAnsi="Arial" w:cs="Arial"/>
          <w:b/>
          <w:sz w:val="26"/>
          <w:szCs w:val="26"/>
          <w:lang w:val="en-US" w:eastAsia="zh-CN"/>
        </w:rPr>
        <w:t xml:space="preserve"> 单位：mg/L</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7"/>
        <w:gridCol w:w="1037"/>
        <w:gridCol w:w="1038"/>
        <w:gridCol w:w="1038"/>
        <w:gridCol w:w="1038"/>
        <w:gridCol w:w="1038"/>
        <w:gridCol w:w="1038"/>
        <w:gridCol w:w="1038"/>
        <w:gridCol w:w="1038"/>
      </w:tblGrid>
      <w:tr w14:paraId="439AA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33" w:hRule="atLeast"/>
          <w:jc w:val="center"/>
        </w:trPr>
        <w:tc>
          <w:tcPr>
            <w:tcW w:w="1037" w:type="dxa"/>
            <w:tcBorders>
              <w:top w:val="single" w:color="auto" w:sz="12" w:space="0"/>
              <w:left w:val="single" w:color="auto" w:sz="12" w:space="0"/>
              <w:bottom w:val="single" w:color="auto" w:sz="6" w:space="0"/>
              <w:right w:val="single" w:color="auto" w:sz="6" w:space="0"/>
            </w:tcBorders>
            <w:noWrap w:val="0"/>
            <w:vAlign w:val="center"/>
          </w:tcPr>
          <w:p w14:paraId="45907393">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right"/>
              <w:textAlignment w:val="auto"/>
              <w:rPr>
                <w:rFonts w:ascii="Arial" w:hAnsi="Arial" w:cs="Arial"/>
                <w:sz w:val="22"/>
                <w:szCs w:val="22"/>
              </w:rPr>
            </w:pPr>
            <w:r>
              <w:rPr>
                <w:rFonts w:ascii="Arial" w:cs="Arial"/>
                <w:sz w:val="22"/>
                <w:szCs w:val="22"/>
              </w:rPr>
              <w:t>因子</w:t>
            </w:r>
          </w:p>
          <w:p w14:paraId="00B4D44B">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ascii="Arial" w:hAnsi="Arial" w:cs="Arial"/>
                <w:sz w:val="22"/>
                <w:szCs w:val="22"/>
              </w:rPr>
            </w:pPr>
            <w:r>
              <w:rPr>
                <w:rFonts w:ascii="Arial" w:cs="Arial"/>
                <w:sz w:val="22"/>
                <w:szCs w:val="22"/>
              </w:rPr>
              <w:t>点位</w:t>
            </w:r>
          </w:p>
        </w:tc>
        <w:tc>
          <w:tcPr>
            <w:tcW w:w="1037" w:type="dxa"/>
            <w:tcBorders>
              <w:top w:val="single" w:color="auto" w:sz="12" w:space="0"/>
              <w:left w:val="single" w:color="auto" w:sz="6" w:space="0"/>
              <w:bottom w:val="single" w:color="auto" w:sz="6" w:space="0"/>
              <w:right w:val="single" w:color="auto" w:sz="6" w:space="0"/>
            </w:tcBorders>
            <w:noWrap w:val="0"/>
            <w:vAlign w:val="center"/>
          </w:tcPr>
          <w:p w14:paraId="7D6D1D4B">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Arial" w:hAnsi="Arial" w:cs="Arial"/>
                <w:sz w:val="22"/>
                <w:szCs w:val="22"/>
              </w:rPr>
            </w:pPr>
            <w:r>
              <w:rPr>
                <w:rFonts w:ascii="Arial" w:hAnsi="Arial" w:cs="Arial"/>
                <w:sz w:val="22"/>
                <w:szCs w:val="22"/>
              </w:rPr>
              <w:t>K</w:t>
            </w:r>
            <w:r>
              <w:rPr>
                <w:rFonts w:ascii="Arial" w:hAnsi="Arial" w:cs="Arial"/>
                <w:sz w:val="22"/>
                <w:szCs w:val="22"/>
                <w:vertAlign w:val="superscript"/>
              </w:rPr>
              <w:t>+</w:t>
            </w:r>
          </w:p>
        </w:tc>
        <w:tc>
          <w:tcPr>
            <w:tcW w:w="1038" w:type="dxa"/>
            <w:tcBorders>
              <w:top w:val="single" w:color="auto" w:sz="12" w:space="0"/>
              <w:left w:val="single" w:color="auto" w:sz="6" w:space="0"/>
              <w:bottom w:val="single" w:color="auto" w:sz="6" w:space="0"/>
              <w:right w:val="single" w:color="auto" w:sz="6" w:space="0"/>
            </w:tcBorders>
            <w:noWrap w:val="0"/>
            <w:vAlign w:val="center"/>
          </w:tcPr>
          <w:p w14:paraId="365BFD36">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Arial" w:hAnsi="Arial" w:cs="Arial"/>
                <w:sz w:val="22"/>
                <w:szCs w:val="22"/>
              </w:rPr>
            </w:pPr>
            <w:r>
              <w:rPr>
                <w:rFonts w:ascii="Arial" w:hAnsi="Arial" w:cs="Arial"/>
                <w:sz w:val="22"/>
                <w:szCs w:val="22"/>
              </w:rPr>
              <w:t>Na</w:t>
            </w:r>
            <w:r>
              <w:rPr>
                <w:rFonts w:ascii="Arial" w:hAnsi="Arial" w:cs="Arial"/>
                <w:sz w:val="22"/>
                <w:szCs w:val="22"/>
                <w:vertAlign w:val="superscript"/>
              </w:rPr>
              <w:t>+</w:t>
            </w:r>
          </w:p>
        </w:tc>
        <w:tc>
          <w:tcPr>
            <w:tcW w:w="1038" w:type="dxa"/>
            <w:tcBorders>
              <w:top w:val="single" w:color="auto" w:sz="12" w:space="0"/>
              <w:left w:val="single" w:color="auto" w:sz="6" w:space="0"/>
              <w:bottom w:val="single" w:color="auto" w:sz="6" w:space="0"/>
              <w:right w:val="single" w:color="auto" w:sz="6" w:space="0"/>
            </w:tcBorders>
            <w:noWrap w:val="0"/>
            <w:vAlign w:val="center"/>
          </w:tcPr>
          <w:p w14:paraId="677F01B5">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Arial" w:hAnsi="Arial" w:cs="Arial"/>
                <w:sz w:val="22"/>
                <w:szCs w:val="22"/>
              </w:rPr>
            </w:pPr>
            <w:r>
              <w:rPr>
                <w:rFonts w:ascii="Arial" w:hAnsi="Arial" w:cs="Arial"/>
                <w:sz w:val="22"/>
                <w:szCs w:val="22"/>
              </w:rPr>
              <w:t>Ca</w:t>
            </w:r>
            <w:r>
              <w:rPr>
                <w:rFonts w:ascii="Arial" w:hAnsi="Arial" w:cs="Arial"/>
                <w:sz w:val="22"/>
                <w:szCs w:val="22"/>
                <w:vertAlign w:val="superscript"/>
              </w:rPr>
              <w:t>2+</w:t>
            </w:r>
          </w:p>
        </w:tc>
        <w:tc>
          <w:tcPr>
            <w:tcW w:w="1038" w:type="dxa"/>
            <w:tcBorders>
              <w:top w:val="single" w:color="auto" w:sz="12" w:space="0"/>
              <w:left w:val="single" w:color="auto" w:sz="6" w:space="0"/>
              <w:bottom w:val="single" w:color="auto" w:sz="6" w:space="0"/>
              <w:right w:val="single" w:color="auto" w:sz="6" w:space="0"/>
            </w:tcBorders>
            <w:noWrap w:val="0"/>
            <w:vAlign w:val="center"/>
          </w:tcPr>
          <w:p w14:paraId="5EEC9B89">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Arial" w:hAnsi="Arial" w:cs="Arial"/>
                <w:sz w:val="22"/>
                <w:szCs w:val="22"/>
              </w:rPr>
            </w:pPr>
            <w:r>
              <w:rPr>
                <w:rFonts w:ascii="Arial" w:hAnsi="Arial" w:cs="Arial"/>
                <w:sz w:val="22"/>
                <w:szCs w:val="22"/>
              </w:rPr>
              <w:t>Mg</w:t>
            </w:r>
            <w:r>
              <w:rPr>
                <w:rFonts w:ascii="Arial" w:hAnsi="Arial" w:cs="Arial"/>
                <w:sz w:val="22"/>
                <w:szCs w:val="22"/>
                <w:vertAlign w:val="superscript"/>
              </w:rPr>
              <w:t>2+</w:t>
            </w:r>
          </w:p>
        </w:tc>
        <w:tc>
          <w:tcPr>
            <w:tcW w:w="1038" w:type="dxa"/>
            <w:tcBorders>
              <w:top w:val="single" w:color="auto" w:sz="12" w:space="0"/>
              <w:left w:val="single" w:color="auto" w:sz="6" w:space="0"/>
              <w:bottom w:val="single" w:color="auto" w:sz="6" w:space="0"/>
              <w:right w:val="single" w:color="auto" w:sz="6" w:space="0"/>
            </w:tcBorders>
            <w:noWrap w:val="0"/>
            <w:vAlign w:val="center"/>
          </w:tcPr>
          <w:p w14:paraId="5C783FCC">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Arial" w:hAnsi="Arial" w:cs="Arial"/>
                <w:sz w:val="22"/>
                <w:szCs w:val="22"/>
              </w:rPr>
            </w:pPr>
            <w:r>
              <w:rPr>
                <w:rFonts w:ascii="Arial" w:hAnsi="Arial" w:cs="Arial"/>
                <w:sz w:val="22"/>
                <w:szCs w:val="22"/>
              </w:rPr>
              <w:t>Cl</w:t>
            </w:r>
            <w:r>
              <w:rPr>
                <w:rFonts w:ascii="Arial" w:hAnsi="Arial" w:cs="Arial"/>
                <w:sz w:val="22"/>
                <w:szCs w:val="22"/>
                <w:vertAlign w:val="superscript"/>
              </w:rPr>
              <w:t>-</w:t>
            </w:r>
          </w:p>
        </w:tc>
        <w:tc>
          <w:tcPr>
            <w:tcW w:w="1038" w:type="dxa"/>
            <w:tcBorders>
              <w:top w:val="single" w:color="auto" w:sz="12" w:space="0"/>
              <w:left w:val="single" w:color="auto" w:sz="6" w:space="0"/>
              <w:bottom w:val="single" w:color="auto" w:sz="6" w:space="0"/>
              <w:right w:val="single" w:color="auto" w:sz="6" w:space="0"/>
            </w:tcBorders>
            <w:noWrap w:val="0"/>
            <w:vAlign w:val="center"/>
          </w:tcPr>
          <w:p w14:paraId="13FE36B6">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Arial" w:hAnsi="Arial" w:cs="Arial"/>
                <w:sz w:val="22"/>
                <w:szCs w:val="22"/>
              </w:rPr>
            </w:pPr>
            <w:r>
              <w:rPr>
                <w:rFonts w:ascii="Arial" w:hAnsi="Arial" w:cs="Arial"/>
                <w:sz w:val="22"/>
                <w:szCs w:val="22"/>
              </w:rPr>
              <w:t>SO</w:t>
            </w:r>
            <w:r>
              <w:rPr>
                <w:rFonts w:ascii="Arial" w:hAnsi="Arial" w:cs="Arial"/>
                <w:sz w:val="22"/>
                <w:szCs w:val="22"/>
                <w:vertAlign w:val="subscript"/>
              </w:rPr>
              <w:t>4</w:t>
            </w:r>
            <w:r>
              <w:rPr>
                <w:rFonts w:ascii="Arial" w:hAnsi="Arial" w:cs="Arial"/>
                <w:sz w:val="22"/>
                <w:szCs w:val="22"/>
                <w:vertAlign w:val="superscript"/>
              </w:rPr>
              <w:t>2-</w:t>
            </w:r>
          </w:p>
        </w:tc>
        <w:tc>
          <w:tcPr>
            <w:tcW w:w="1038" w:type="dxa"/>
            <w:tcBorders>
              <w:top w:val="single" w:color="auto" w:sz="12" w:space="0"/>
              <w:left w:val="single" w:color="auto" w:sz="6" w:space="0"/>
              <w:bottom w:val="single" w:color="auto" w:sz="6" w:space="0"/>
              <w:right w:val="single" w:color="auto" w:sz="6" w:space="0"/>
            </w:tcBorders>
            <w:noWrap w:val="0"/>
            <w:vAlign w:val="center"/>
          </w:tcPr>
          <w:p w14:paraId="0AFDCF2F">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Arial" w:hAnsi="Arial" w:cs="Arial"/>
                <w:sz w:val="22"/>
                <w:szCs w:val="22"/>
              </w:rPr>
            </w:pPr>
            <w:r>
              <w:rPr>
                <w:rFonts w:ascii="Arial" w:hAnsi="Arial" w:cs="Arial"/>
                <w:sz w:val="22"/>
                <w:szCs w:val="22"/>
              </w:rPr>
              <w:t>HCO</w:t>
            </w:r>
            <w:r>
              <w:rPr>
                <w:rFonts w:ascii="Arial" w:hAnsi="Arial" w:cs="Arial"/>
                <w:sz w:val="22"/>
                <w:szCs w:val="22"/>
                <w:vertAlign w:val="subscript"/>
              </w:rPr>
              <w:t>3</w:t>
            </w:r>
            <w:r>
              <w:rPr>
                <w:rFonts w:ascii="Arial" w:hAnsi="Arial" w:cs="Arial"/>
                <w:sz w:val="22"/>
                <w:szCs w:val="22"/>
                <w:vertAlign w:val="superscript"/>
              </w:rPr>
              <w:t>-</w:t>
            </w:r>
          </w:p>
        </w:tc>
        <w:tc>
          <w:tcPr>
            <w:tcW w:w="1038" w:type="dxa"/>
            <w:tcBorders>
              <w:top w:val="single" w:color="auto" w:sz="12" w:space="0"/>
              <w:left w:val="single" w:color="auto" w:sz="6" w:space="0"/>
              <w:bottom w:val="single" w:color="auto" w:sz="6" w:space="0"/>
              <w:right w:val="single" w:color="auto" w:sz="12" w:space="0"/>
            </w:tcBorders>
            <w:noWrap w:val="0"/>
            <w:vAlign w:val="center"/>
          </w:tcPr>
          <w:p w14:paraId="726E3ED9">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Arial" w:hAnsi="Arial" w:cs="Arial"/>
                <w:sz w:val="22"/>
                <w:szCs w:val="22"/>
              </w:rPr>
            </w:pPr>
            <w:r>
              <w:rPr>
                <w:rFonts w:ascii="Arial" w:hAnsi="Arial" w:cs="Arial"/>
                <w:sz w:val="22"/>
                <w:szCs w:val="22"/>
              </w:rPr>
              <w:t>CO</w:t>
            </w:r>
            <w:r>
              <w:rPr>
                <w:rFonts w:ascii="Arial" w:hAnsi="Arial" w:cs="Arial"/>
                <w:sz w:val="22"/>
                <w:szCs w:val="22"/>
                <w:vertAlign w:val="subscript"/>
              </w:rPr>
              <w:t>3</w:t>
            </w:r>
            <w:r>
              <w:rPr>
                <w:rFonts w:ascii="Arial" w:hAnsi="Arial" w:cs="Arial"/>
                <w:sz w:val="22"/>
                <w:szCs w:val="22"/>
                <w:vertAlign w:val="superscript"/>
              </w:rPr>
              <w:t>2-</w:t>
            </w:r>
          </w:p>
        </w:tc>
      </w:tr>
      <w:tr w14:paraId="007A51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1037" w:type="dxa"/>
            <w:tcBorders>
              <w:top w:val="single" w:color="auto" w:sz="6" w:space="0"/>
              <w:left w:val="single" w:color="auto" w:sz="12" w:space="0"/>
              <w:bottom w:val="single" w:color="auto" w:sz="12" w:space="0"/>
              <w:right w:val="single" w:color="auto" w:sz="6" w:space="0"/>
            </w:tcBorders>
            <w:noWrap w:val="0"/>
            <w:vAlign w:val="center"/>
          </w:tcPr>
          <w:p w14:paraId="5100548F">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Arial" w:hAnsi="Arial" w:cs="Arial"/>
                <w:sz w:val="22"/>
                <w:szCs w:val="22"/>
              </w:rPr>
            </w:pPr>
            <w:r>
              <w:rPr>
                <w:rFonts w:hint="eastAsia" w:ascii="Arial" w:hAnsi="Arial" w:cs="Arial"/>
                <w:sz w:val="22"/>
                <w:szCs w:val="22"/>
                <w:lang w:val="en-US" w:eastAsia="zh-CN"/>
              </w:rPr>
              <w:t>3</w:t>
            </w:r>
            <w:r>
              <w:rPr>
                <w:rFonts w:ascii="Arial" w:hAnsi="Arial" w:cs="Arial"/>
                <w:sz w:val="22"/>
                <w:szCs w:val="22"/>
              </w:rPr>
              <w:t>#</w:t>
            </w:r>
          </w:p>
        </w:tc>
        <w:tc>
          <w:tcPr>
            <w:tcW w:w="1037" w:type="dxa"/>
            <w:tcBorders>
              <w:top w:val="single" w:color="auto" w:sz="6" w:space="0"/>
              <w:left w:val="single" w:color="auto" w:sz="6" w:space="0"/>
              <w:bottom w:val="single" w:color="auto" w:sz="12" w:space="0"/>
              <w:right w:val="single" w:color="auto" w:sz="6" w:space="0"/>
            </w:tcBorders>
            <w:noWrap w:val="0"/>
            <w:vAlign w:val="center"/>
          </w:tcPr>
          <w:p w14:paraId="04AAC175">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6.32</w:t>
            </w:r>
          </w:p>
        </w:tc>
        <w:tc>
          <w:tcPr>
            <w:tcW w:w="1038" w:type="dxa"/>
            <w:tcBorders>
              <w:top w:val="single" w:color="auto" w:sz="6" w:space="0"/>
              <w:left w:val="single" w:color="auto" w:sz="6" w:space="0"/>
              <w:bottom w:val="single" w:color="auto" w:sz="12" w:space="0"/>
              <w:right w:val="single" w:color="auto" w:sz="6" w:space="0"/>
            </w:tcBorders>
            <w:noWrap w:val="0"/>
            <w:vAlign w:val="center"/>
          </w:tcPr>
          <w:p w14:paraId="5956EF9D">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15.6</w:t>
            </w:r>
          </w:p>
        </w:tc>
        <w:tc>
          <w:tcPr>
            <w:tcW w:w="1038" w:type="dxa"/>
            <w:tcBorders>
              <w:top w:val="single" w:color="auto" w:sz="6" w:space="0"/>
              <w:left w:val="single" w:color="auto" w:sz="6" w:space="0"/>
              <w:bottom w:val="single" w:color="auto" w:sz="12" w:space="0"/>
              <w:right w:val="single" w:color="auto" w:sz="6" w:space="0"/>
            </w:tcBorders>
            <w:noWrap w:val="0"/>
            <w:vAlign w:val="center"/>
          </w:tcPr>
          <w:p w14:paraId="1E28802B">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22.2</w:t>
            </w:r>
          </w:p>
        </w:tc>
        <w:tc>
          <w:tcPr>
            <w:tcW w:w="1038" w:type="dxa"/>
            <w:tcBorders>
              <w:top w:val="single" w:color="auto" w:sz="6" w:space="0"/>
              <w:left w:val="single" w:color="auto" w:sz="6" w:space="0"/>
              <w:bottom w:val="single" w:color="auto" w:sz="12" w:space="0"/>
              <w:right w:val="single" w:color="auto" w:sz="6" w:space="0"/>
            </w:tcBorders>
            <w:noWrap w:val="0"/>
            <w:vAlign w:val="center"/>
          </w:tcPr>
          <w:p w14:paraId="0CF26AC2">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6.43</w:t>
            </w:r>
          </w:p>
        </w:tc>
        <w:tc>
          <w:tcPr>
            <w:tcW w:w="1038" w:type="dxa"/>
            <w:tcBorders>
              <w:top w:val="single" w:color="auto" w:sz="6" w:space="0"/>
              <w:left w:val="single" w:color="auto" w:sz="6" w:space="0"/>
              <w:bottom w:val="single" w:color="auto" w:sz="12" w:space="0"/>
              <w:right w:val="single" w:color="auto" w:sz="6" w:space="0"/>
            </w:tcBorders>
            <w:noWrap w:val="0"/>
            <w:vAlign w:val="center"/>
          </w:tcPr>
          <w:p w14:paraId="2AF39A77">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8.8</w:t>
            </w:r>
          </w:p>
        </w:tc>
        <w:tc>
          <w:tcPr>
            <w:tcW w:w="1038" w:type="dxa"/>
            <w:tcBorders>
              <w:top w:val="single" w:color="auto" w:sz="6" w:space="0"/>
              <w:left w:val="single" w:color="auto" w:sz="6" w:space="0"/>
              <w:bottom w:val="single" w:color="auto" w:sz="12" w:space="0"/>
              <w:right w:val="single" w:color="auto" w:sz="6" w:space="0"/>
            </w:tcBorders>
            <w:noWrap w:val="0"/>
            <w:vAlign w:val="center"/>
          </w:tcPr>
          <w:p w14:paraId="488FDAC0">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36.9</w:t>
            </w:r>
          </w:p>
        </w:tc>
        <w:tc>
          <w:tcPr>
            <w:tcW w:w="1038" w:type="dxa"/>
            <w:tcBorders>
              <w:top w:val="single" w:color="auto" w:sz="6" w:space="0"/>
              <w:left w:val="single" w:color="auto" w:sz="6" w:space="0"/>
              <w:bottom w:val="single" w:color="auto" w:sz="12" w:space="0"/>
              <w:right w:val="single" w:color="auto" w:sz="6" w:space="0"/>
            </w:tcBorders>
            <w:noWrap w:val="0"/>
            <w:vAlign w:val="center"/>
          </w:tcPr>
          <w:p w14:paraId="05BAEED3">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80.5</w:t>
            </w:r>
          </w:p>
        </w:tc>
        <w:tc>
          <w:tcPr>
            <w:tcW w:w="1038" w:type="dxa"/>
            <w:tcBorders>
              <w:top w:val="single" w:color="auto" w:sz="6" w:space="0"/>
              <w:left w:val="single" w:color="auto" w:sz="6" w:space="0"/>
              <w:bottom w:val="single" w:color="auto" w:sz="12" w:space="0"/>
              <w:right w:val="single" w:color="auto" w:sz="12" w:space="0"/>
            </w:tcBorders>
            <w:noWrap w:val="0"/>
            <w:vAlign w:val="center"/>
          </w:tcPr>
          <w:p w14:paraId="7C36FCF6">
            <w:pPr>
              <w:pStyle w:val="1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1.25L</w:t>
            </w:r>
          </w:p>
        </w:tc>
      </w:tr>
    </w:tbl>
    <w:p w14:paraId="0277BE68">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Arial" w:hAnsi="Arial" w:cs="Arial"/>
          <w:b/>
          <w:sz w:val="26"/>
          <w:szCs w:val="26"/>
          <w:lang w:eastAsia="zh-CN"/>
        </w:rPr>
      </w:pPr>
    </w:p>
    <w:p w14:paraId="06A437B3">
      <w:pPr>
        <w:pStyle w:val="440"/>
        <w:spacing w:line="460" w:lineRule="exact"/>
        <w:ind w:firstLine="504"/>
        <w:rPr>
          <w:rFonts w:hint="eastAsia" w:ascii="Arial" w:cs="Arial"/>
          <w:spacing w:val="-4"/>
          <w:sz w:val="26"/>
          <w:szCs w:val="26"/>
          <w:lang w:eastAsia="zh-CN"/>
        </w:rPr>
      </w:pPr>
      <w:r>
        <w:rPr>
          <w:rFonts w:hint="eastAsia" w:ascii="Arial" w:cs="Arial"/>
          <w:spacing w:val="-4"/>
          <w:sz w:val="26"/>
          <w:szCs w:val="26"/>
          <w:lang w:val="en-US"/>
        </w:rPr>
        <w:t>由表</w:t>
      </w:r>
      <w:r>
        <w:rPr>
          <w:rFonts w:ascii="Arial" w:cs="Arial"/>
          <w:spacing w:val="-4"/>
          <w:sz w:val="26"/>
          <w:szCs w:val="26"/>
          <w:lang w:val="en-US"/>
        </w:rPr>
        <w:t>4.</w:t>
      </w:r>
      <w:r>
        <w:rPr>
          <w:rFonts w:hint="eastAsia" w:ascii="Arial" w:cs="Arial"/>
          <w:spacing w:val="-4"/>
          <w:sz w:val="26"/>
          <w:szCs w:val="26"/>
          <w:lang w:val="en-US" w:eastAsia="zh-CN"/>
        </w:rPr>
        <w:t>3</w:t>
      </w:r>
      <w:r>
        <w:rPr>
          <w:rFonts w:ascii="Arial" w:cs="Arial"/>
          <w:spacing w:val="-4"/>
          <w:sz w:val="26"/>
          <w:szCs w:val="26"/>
          <w:lang w:val="en-US"/>
        </w:rPr>
        <w:t>-</w:t>
      </w:r>
      <w:r>
        <w:rPr>
          <w:rFonts w:hint="eastAsia" w:ascii="Arial" w:cs="Arial"/>
          <w:spacing w:val="-4"/>
          <w:sz w:val="26"/>
          <w:szCs w:val="26"/>
          <w:lang w:val="en-US" w:eastAsia="zh-CN"/>
        </w:rPr>
        <w:t>9</w:t>
      </w:r>
      <w:r>
        <w:rPr>
          <w:rFonts w:hint="eastAsia" w:ascii="Arial" w:cs="Arial"/>
          <w:spacing w:val="-4"/>
          <w:sz w:val="26"/>
          <w:szCs w:val="26"/>
          <w:lang w:val="en-US"/>
        </w:rPr>
        <w:t>可知，区域地下</w:t>
      </w:r>
      <w:r>
        <w:rPr>
          <w:rFonts w:hint="default" w:ascii="Arial" w:hAnsi="Arial" w:cs="Arial"/>
          <w:spacing w:val="-4"/>
          <w:sz w:val="26"/>
          <w:szCs w:val="26"/>
          <w:lang w:val="en-US"/>
        </w:rPr>
        <w:t>水类型为</w:t>
      </w:r>
      <w:r>
        <w:rPr>
          <w:rFonts w:hint="default" w:ascii="Arial" w:hAnsi="Arial" w:eastAsia="宋体" w:cs="Arial"/>
          <w:color w:val="auto"/>
          <w:kern w:val="0"/>
          <w:sz w:val="26"/>
          <w:szCs w:val="26"/>
          <w:highlight w:val="none"/>
          <w:lang w:bidi="ar"/>
        </w:rPr>
        <w:t>HCO</w:t>
      </w:r>
      <w:r>
        <w:rPr>
          <w:rFonts w:hint="default" w:ascii="Arial" w:hAnsi="Arial" w:eastAsia="宋体" w:cs="Arial"/>
          <w:color w:val="auto"/>
          <w:kern w:val="0"/>
          <w:sz w:val="26"/>
          <w:szCs w:val="26"/>
          <w:highlight w:val="none"/>
          <w:vertAlign w:val="subscript"/>
          <w:lang w:bidi="ar"/>
        </w:rPr>
        <w:t>3</w:t>
      </w:r>
      <w:r>
        <w:rPr>
          <w:rFonts w:hint="default" w:ascii="Arial" w:hAnsi="Arial" w:eastAsia="宋体" w:cs="Arial"/>
          <w:color w:val="auto"/>
          <w:kern w:val="0"/>
          <w:sz w:val="26"/>
          <w:szCs w:val="26"/>
          <w:highlight w:val="none"/>
          <w:vertAlign w:val="superscript"/>
          <w:lang w:bidi="ar"/>
        </w:rPr>
        <w:t>-</w:t>
      </w:r>
      <w:r>
        <w:rPr>
          <w:rFonts w:hint="default" w:ascii="Arial" w:hAnsi="Arial" w:eastAsia="宋体" w:cs="Arial"/>
          <w:color w:val="auto"/>
          <w:kern w:val="0"/>
          <w:sz w:val="26"/>
          <w:szCs w:val="26"/>
          <w:highlight w:val="none"/>
          <w:lang w:bidi="ar"/>
        </w:rPr>
        <w:t>+SO</w:t>
      </w:r>
      <w:r>
        <w:rPr>
          <w:rStyle w:val="2110"/>
          <w:rFonts w:hint="default" w:ascii="Arial" w:hAnsi="Arial" w:cs="Arial"/>
          <w:color w:val="auto"/>
          <w:sz w:val="26"/>
          <w:szCs w:val="26"/>
          <w:highlight w:val="none"/>
          <w:vertAlign w:val="subscript"/>
          <w:lang w:bidi="ar"/>
        </w:rPr>
        <w:t>4</w:t>
      </w:r>
      <w:r>
        <w:rPr>
          <w:rStyle w:val="2111"/>
          <w:rFonts w:hint="default" w:ascii="Arial" w:hAnsi="Arial" w:eastAsia="宋体" w:cs="Arial"/>
          <w:b w:val="0"/>
          <w:bCs w:val="0"/>
          <w:color w:val="auto"/>
          <w:sz w:val="26"/>
          <w:szCs w:val="26"/>
          <w:highlight w:val="none"/>
          <w:vertAlign w:val="superscript"/>
          <w:lang w:bidi="ar"/>
        </w:rPr>
        <w:t>2-</w:t>
      </w:r>
      <w:r>
        <w:rPr>
          <w:rFonts w:hint="default" w:ascii="Arial" w:hAnsi="Arial" w:eastAsia="宋体" w:cs="Arial"/>
          <w:color w:val="auto"/>
          <w:kern w:val="0"/>
          <w:sz w:val="26"/>
          <w:szCs w:val="26"/>
          <w:highlight w:val="none"/>
          <w:lang w:bidi="ar"/>
        </w:rPr>
        <w:t>-Na</w:t>
      </w:r>
      <w:r>
        <w:rPr>
          <w:rFonts w:hint="default" w:ascii="Arial" w:hAnsi="Arial" w:eastAsia="宋体" w:cs="Arial"/>
          <w:color w:val="auto"/>
          <w:kern w:val="0"/>
          <w:sz w:val="26"/>
          <w:szCs w:val="26"/>
          <w:highlight w:val="none"/>
          <w:vertAlign w:val="superscript"/>
          <w:lang w:bidi="ar"/>
        </w:rPr>
        <w:t>+</w:t>
      </w:r>
      <w:r>
        <w:rPr>
          <w:rFonts w:hint="default" w:ascii="Arial" w:hAnsi="Arial" w:eastAsia="宋体" w:cs="Arial"/>
          <w:color w:val="auto"/>
          <w:kern w:val="0"/>
          <w:sz w:val="26"/>
          <w:szCs w:val="26"/>
          <w:highlight w:val="none"/>
          <w:lang w:bidi="ar"/>
        </w:rPr>
        <w:t>+Ca</w:t>
      </w:r>
      <w:r>
        <w:rPr>
          <w:rFonts w:hint="default" w:ascii="Arial" w:hAnsi="Arial" w:eastAsia="宋体" w:cs="Arial"/>
          <w:color w:val="auto"/>
          <w:kern w:val="0"/>
          <w:sz w:val="26"/>
          <w:szCs w:val="26"/>
          <w:highlight w:val="none"/>
          <w:vertAlign w:val="superscript"/>
          <w:lang w:bidi="ar"/>
        </w:rPr>
        <w:t>+</w:t>
      </w:r>
      <w:r>
        <w:rPr>
          <w:rFonts w:hint="eastAsia" w:ascii="Arial" w:cs="Arial"/>
          <w:spacing w:val="-4"/>
          <w:sz w:val="26"/>
          <w:szCs w:val="26"/>
        </w:rPr>
        <w:t>。</w:t>
      </w:r>
    </w:p>
    <w:p w14:paraId="6918D513">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default" w:ascii="Arial" w:hAnsi="Arial" w:cs="Arial"/>
          <w:b/>
          <w:sz w:val="26"/>
          <w:szCs w:val="26"/>
          <w:lang w:val="en-US" w:eastAsia="zh-CN"/>
        </w:rPr>
      </w:pPr>
      <w:r>
        <w:rPr>
          <w:rFonts w:hint="eastAsia" w:ascii="Arial" w:hAnsi="Arial" w:cs="Arial"/>
          <w:b/>
          <w:sz w:val="26"/>
          <w:szCs w:val="26"/>
        </w:rPr>
        <w:t>表4.</w:t>
      </w:r>
      <w:r>
        <w:rPr>
          <w:rFonts w:hint="eastAsia" w:ascii="Arial" w:hAnsi="Arial" w:cs="Arial"/>
          <w:b/>
          <w:sz w:val="26"/>
          <w:szCs w:val="26"/>
          <w:lang w:val="en-US" w:eastAsia="zh-CN"/>
        </w:rPr>
        <w:t>3-10</w:t>
      </w:r>
      <w:r>
        <w:rPr>
          <w:rFonts w:hint="eastAsia" w:ascii="Arial" w:hAnsi="Arial" w:cs="Arial"/>
          <w:b/>
          <w:sz w:val="26"/>
          <w:szCs w:val="26"/>
        </w:rPr>
        <w:t xml:space="preserve">  </w:t>
      </w:r>
      <w:r>
        <w:rPr>
          <w:rFonts w:hint="eastAsia" w:ascii="Arial" w:hAnsi="Arial" w:cs="Arial"/>
          <w:b/>
          <w:sz w:val="26"/>
          <w:szCs w:val="26"/>
          <w:lang w:eastAsia="zh-CN"/>
        </w:rPr>
        <w:t>地下水环境质量监测结果一览表</w:t>
      </w:r>
      <w:r>
        <w:rPr>
          <w:rFonts w:hint="eastAsia" w:ascii="Arial" w:hAnsi="Arial" w:cs="Arial"/>
          <w:b/>
          <w:sz w:val="26"/>
          <w:szCs w:val="26"/>
          <w:lang w:val="en-US" w:eastAsia="zh-CN"/>
        </w:rPr>
        <w:t xml:space="preserve">   单位：mg/L</w:t>
      </w:r>
    </w:p>
    <w:tbl>
      <w:tblPr>
        <w:tblStyle w:val="77"/>
        <w:tblW w:w="53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119"/>
        <w:gridCol w:w="1211"/>
        <w:gridCol w:w="849"/>
        <w:gridCol w:w="1049"/>
        <w:gridCol w:w="885"/>
        <w:gridCol w:w="1175"/>
        <w:gridCol w:w="1070"/>
        <w:gridCol w:w="999"/>
      </w:tblGrid>
      <w:tr w14:paraId="6164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vMerge w:val="restart"/>
            <w:shd w:val="clear" w:color="auto" w:fill="auto"/>
            <w:vAlign w:val="center"/>
          </w:tcPr>
          <w:p w14:paraId="2B92E34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rPr>
              <w:t>检测项目</w:t>
            </w:r>
          </w:p>
        </w:tc>
        <w:tc>
          <w:tcPr>
            <w:tcW w:w="1120" w:type="dxa"/>
            <w:shd w:val="clear" w:color="auto" w:fill="auto"/>
            <w:vAlign w:val="center"/>
          </w:tcPr>
          <w:p w14:paraId="20DCB92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点位</w:t>
            </w:r>
          </w:p>
        </w:tc>
        <w:tc>
          <w:tcPr>
            <w:tcW w:w="2060" w:type="dxa"/>
            <w:gridSpan w:val="2"/>
            <w:shd w:val="clear" w:color="auto" w:fill="auto"/>
            <w:vAlign w:val="center"/>
          </w:tcPr>
          <w:p w14:paraId="184B24D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bidi="ar"/>
              </w:rPr>
              <w:t>1#</w:t>
            </w:r>
          </w:p>
        </w:tc>
        <w:tc>
          <w:tcPr>
            <w:tcW w:w="1934" w:type="dxa"/>
            <w:gridSpan w:val="2"/>
            <w:shd w:val="clear" w:color="auto" w:fill="auto"/>
            <w:vAlign w:val="center"/>
          </w:tcPr>
          <w:p w14:paraId="648B11E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bidi="ar"/>
              </w:rPr>
              <w:t>2#</w:t>
            </w:r>
          </w:p>
        </w:tc>
        <w:tc>
          <w:tcPr>
            <w:tcW w:w="2245" w:type="dxa"/>
            <w:gridSpan w:val="2"/>
            <w:shd w:val="clear" w:color="auto" w:fill="auto"/>
            <w:vAlign w:val="center"/>
          </w:tcPr>
          <w:p w14:paraId="0128748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bidi="ar"/>
              </w:rPr>
              <w:t>3#</w:t>
            </w:r>
          </w:p>
        </w:tc>
        <w:tc>
          <w:tcPr>
            <w:tcW w:w="1000" w:type="dxa"/>
            <w:shd w:val="clear" w:color="auto" w:fill="auto"/>
            <w:noWrap/>
            <w:vAlign w:val="center"/>
          </w:tcPr>
          <w:p w14:paraId="1A00CAB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标准</w:t>
            </w:r>
          </w:p>
          <w:p w14:paraId="5A0B098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限值</w:t>
            </w:r>
          </w:p>
        </w:tc>
      </w:tr>
      <w:tr w14:paraId="7F5D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vMerge w:val="continue"/>
            <w:shd w:val="clear" w:color="auto" w:fill="auto"/>
            <w:vAlign w:val="center"/>
          </w:tcPr>
          <w:p w14:paraId="3CCF986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p>
        </w:tc>
        <w:tc>
          <w:tcPr>
            <w:tcW w:w="1120" w:type="dxa"/>
            <w:shd w:val="clear" w:color="auto" w:fill="auto"/>
            <w:vAlign w:val="center"/>
          </w:tcPr>
          <w:p w14:paraId="59D1FE4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单位</w:t>
            </w:r>
          </w:p>
        </w:tc>
        <w:tc>
          <w:tcPr>
            <w:tcW w:w="1211" w:type="dxa"/>
            <w:shd w:val="clear" w:color="auto" w:fill="auto"/>
            <w:vAlign w:val="center"/>
          </w:tcPr>
          <w:p w14:paraId="7A579CEB">
            <w:pPr>
              <w:pStyle w:val="2109"/>
              <w:keepNext w:val="0"/>
              <w:keepLines w:val="0"/>
              <w:pageBreakBefore w:val="0"/>
              <w:widowControl/>
              <w:kinsoku/>
              <w:wordWrap/>
              <w:overflowPunct/>
              <w:topLinePunct w:val="0"/>
              <w:autoSpaceDE/>
              <w:autoSpaceDN/>
              <w:bidi w:val="0"/>
              <w:adjustRightInd/>
              <w:snapToGrid/>
              <w:spacing w:line="300" w:lineRule="exact"/>
              <w:jc w:val="center"/>
              <w:rPr>
                <w:rFonts w:hint="default" w:ascii="Arial" w:hAnsi="Arial" w:cs="Arial"/>
                <w:snapToGrid w:val="0"/>
                <w:color w:val="auto"/>
                <w:kern w:val="0"/>
                <w:sz w:val="22"/>
                <w:szCs w:val="22"/>
                <w:highlight w:val="none"/>
                <w:lang w:bidi="ar"/>
              </w:rPr>
            </w:pPr>
            <w:r>
              <w:rPr>
                <w:rFonts w:hint="default" w:ascii="Arial" w:hAnsi="Arial" w:cs="Arial"/>
                <w:snapToGrid w:val="0"/>
                <w:color w:val="auto"/>
                <w:kern w:val="0"/>
                <w:sz w:val="22"/>
                <w:szCs w:val="22"/>
                <w:highlight w:val="none"/>
              </w:rPr>
              <w:t>检测值</w:t>
            </w:r>
          </w:p>
        </w:tc>
        <w:tc>
          <w:tcPr>
            <w:tcW w:w="849" w:type="dxa"/>
            <w:shd w:val="clear" w:color="auto" w:fill="auto"/>
            <w:vAlign w:val="center"/>
          </w:tcPr>
          <w:p w14:paraId="5F85C12F">
            <w:pPr>
              <w:pStyle w:val="2109"/>
              <w:keepNext w:val="0"/>
              <w:keepLines w:val="0"/>
              <w:pageBreakBefore w:val="0"/>
              <w:widowControl/>
              <w:kinsoku/>
              <w:wordWrap/>
              <w:overflowPunct/>
              <w:topLinePunct w:val="0"/>
              <w:autoSpaceDE/>
              <w:autoSpaceDN/>
              <w:bidi w:val="0"/>
              <w:adjustRightInd/>
              <w:snapToGrid/>
              <w:spacing w:line="300" w:lineRule="exact"/>
              <w:jc w:val="center"/>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Pi值</w:t>
            </w:r>
          </w:p>
        </w:tc>
        <w:tc>
          <w:tcPr>
            <w:tcW w:w="1049" w:type="dxa"/>
            <w:shd w:val="clear" w:color="auto" w:fill="auto"/>
            <w:vAlign w:val="center"/>
          </w:tcPr>
          <w:p w14:paraId="6181D85B">
            <w:pPr>
              <w:pStyle w:val="2109"/>
              <w:keepNext w:val="0"/>
              <w:keepLines w:val="0"/>
              <w:pageBreakBefore w:val="0"/>
              <w:widowControl/>
              <w:kinsoku/>
              <w:wordWrap/>
              <w:overflowPunct/>
              <w:topLinePunct w:val="0"/>
              <w:autoSpaceDE/>
              <w:autoSpaceDN/>
              <w:bidi w:val="0"/>
              <w:adjustRightInd/>
              <w:snapToGrid/>
              <w:spacing w:line="300" w:lineRule="exact"/>
              <w:jc w:val="center"/>
              <w:rPr>
                <w:rFonts w:hint="default" w:ascii="Arial" w:hAnsi="Arial" w:cs="Arial"/>
                <w:snapToGrid w:val="0"/>
                <w:color w:val="auto"/>
                <w:kern w:val="0"/>
                <w:sz w:val="22"/>
                <w:szCs w:val="22"/>
                <w:highlight w:val="none"/>
                <w:lang w:bidi="ar"/>
              </w:rPr>
            </w:pPr>
            <w:r>
              <w:rPr>
                <w:rFonts w:hint="default" w:ascii="Arial" w:hAnsi="Arial" w:cs="Arial"/>
                <w:snapToGrid w:val="0"/>
                <w:color w:val="auto"/>
                <w:kern w:val="0"/>
                <w:sz w:val="22"/>
                <w:szCs w:val="22"/>
                <w:highlight w:val="none"/>
              </w:rPr>
              <w:t>检测值</w:t>
            </w:r>
          </w:p>
        </w:tc>
        <w:tc>
          <w:tcPr>
            <w:tcW w:w="885" w:type="dxa"/>
            <w:shd w:val="clear" w:color="auto" w:fill="auto"/>
            <w:vAlign w:val="center"/>
          </w:tcPr>
          <w:p w14:paraId="48755097">
            <w:pPr>
              <w:pStyle w:val="2109"/>
              <w:keepNext w:val="0"/>
              <w:keepLines w:val="0"/>
              <w:pageBreakBefore w:val="0"/>
              <w:widowControl/>
              <w:kinsoku/>
              <w:wordWrap/>
              <w:overflowPunct/>
              <w:topLinePunct w:val="0"/>
              <w:autoSpaceDE/>
              <w:autoSpaceDN/>
              <w:bidi w:val="0"/>
              <w:adjustRightInd/>
              <w:snapToGrid/>
              <w:spacing w:line="300" w:lineRule="exact"/>
              <w:jc w:val="center"/>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Pi值</w:t>
            </w:r>
          </w:p>
        </w:tc>
        <w:tc>
          <w:tcPr>
            <w:tcW w:w="1175" w:type="dxa"/>
            <w:shd w:val="clear" w:color="auto" w:fill="auto"/>
            <w:vAlign w:val="center"/>
          </w:tcPr>
          <w:p w14:paraId="289F0AC5">
            <w:pPr>
              <w:pStyle w:val="2109"/>
              <w:keepNext w:val="0"/>
              <w:keepLines w:val="0"/>
              <w:pageBreakBefore w:val="0"/>
              <w:widowControl/>
              <w:kinsoku/>
              <w:wordWrap/>
              <w:overflowPunct/>
              <w:topLinePunct w:val="0"/>
              <w:autoSpaceDE/>
              <w:autoSpaceDN/>
              <w:bidi w:val="0"/>
              <w:adjustRightInd/>
              <w:snapToGrid/>
              <w:spacing w:line="300" w:lineRule="exact"/>
              <w:jc w:val="center"/>
              <w:rPr>
                <w:rFonts w:hint="default" w:ascii="Arial" w:hAnsi="Arial" w:cs="Arial"/>
                <w:snapToGrid w:val="0"/>
                <w:color w:val="auto"/>
                <w:kern w:val="0"/>
                <w:sz w:val="22"/>
                <w:szCs w:val="22"/>
                <w:highlight w:val="none"/>
                <w:lang w:bidi="ar"/>
              </w:rPr>
            </w:pPr>
            <w:r>
              <w:rPr>
                <w:rFonts w:hint="default" w:ascii="Arial" w:hAnsi="Arial" w:cs="Arial"/>
                <w:snapToGrid w:val="0"/>
                <w:color w:val="auto"/>
                <w:kern w:val="0"/>
                <w:sz w:val="22"/>
                <w:szCs w:val="22"/>
                <w:highlight w:val="none"/>
              </w:rPr>
              <w:t>检测值</w:t>
            </w:r>
          </w:p>
        </w:tc>
        <w:tc>
          <w:tcPr>
            <w:tcW w:w="1070" w:type="dxa"/>
            <w:shd w:val="clear" w:color="auto" w:fill="auto"/>
            <w:noWrap/>
            <w:vAlign w:val="center"/>
          </w:tcPr>
          <w:p w14:paraId="148B19FC">
            <w:pPr>
              <w:pStyle w:val="2109"/>
              <w:keepNext w:val="0"/>
              <w:keepLines w:val="0"/>
              <w:pageBreakBefore w:val="0"/>
              <w:widowControl/>
              <w:kinsoku/>
              <w:wordWrap/>
              <w:overflowPunct/>
              <w:topLinePunct w:val="0"/>
              <w:autoSpaceDE/>
              <w:autoSpaceDN/>
              <w:bidi w:val="0"/>
              <w:adjustRightInd/>
              <w:snapToGrid/>
              <w:spacing w:line="300" w:lineRule="exact"/>
              <w:jc w:val="center"/>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Pi值</w:t>
            </w:r>
          </w:p>
        </w:tc>
        <w:tc>
          <w:tcPr>
            <w:tcW w:w="1000" w:type="dxa"/>
            <w:shd w:val="clear" w:color="auto" w:fill="auto"/>
            <w:noWrap/>
            <w:vAlign w:val="center"/>
          </w:tcPr>
          <w:p w14:paraId="0288311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p>
        </w:tc>
      </w:tr>
      <w:tr w14:paraId="1772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50B8412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pH值</w:t>
            </w:r>
          </w:p>
        </w:tc>
        <w:tc>
          <w:tcPr>
            <w:tcW w:w="1120" w:type="dxa"/>
            <w:shd w:val="clear" w:color="auto" w:fill="auto"/>
            <w:vAlign w:val="center"/>
          </w:tcPr>
          <w:p w14:paraId="5B64CFB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无量纲</w:t>
            </w:r>
          </w:p>
        </w:tc>
        <w:tc>
          <w:tcPr>
            <w:tcW w:w="1211" w:type="dxa"/>
            <w:shd w:val="clear" w:color="auto" w:fill="auto"/>
            <w:vAlign w:val="center"/>
          </w:tcPr>
          <w:p w14:paraId="3EFC51E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7.8</w:t>
            </w:r>
          </w:p>
        </w:tc>
        <w:tc>
          <w:tcPr>
            <w:tcW w:w="849" w:type="dxa"/>
            <w:shd w:val="clear" w:color="auto" w:fill="auto"/>
            <w:vAlign w:val="center"/>
          </w:tcPr>
          <w:p w14:paraId="3AA8BDA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0.65</w:t>
            </w:r>
          </w:p>
        </w:tc>
        <w:tc>
          <w:tcPr>
            <w:tcW w:w="1049" w:type="dxa"/>
            <w:shd w:val="clear" w:color="auto" w:fill="auto"/>
            <w:vAlign w:val="center"/>
          </w:tcPr>
          <w:p w14:paraId="1DE6868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7.7</w:t>
            </w:r>
          </w:p>
        </w:tc>
        <w:tc>
          <w:tcPr>
            <w:tcW w:w="885" w:type="dxa"/>
            <w:shd w:val="clear" w:color="auto" w:fill="auto"/>
            <w:vAlign w:val="center"/>
          </w:tcPr>
          <w:p w14:paraId="7D8031C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0.6</w:t>
            </w:r>
          </w:p>
        </w:tc>
        <w:tc>
          <w:tcPr>
            <w:tcW w:w="1175" w:type="dxa"/>
            <w:shd w:val="clear" w:color="auto" w:fill="auto"/>
            <w:vAlign w:val="center"/>
          </w:tcPr>
          <w:p w14:paraId="0236F17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7.2</w:t>
            </w:r>
          </w:p>
        </w:tc>
        <w:tc>
          <w:tcPr>
            <w:tcW w:w="1070" w:type="dxa"/>
            <w:shd w:val="clear" w:color="auto" w:fill="auto"/>
            <w:vAlign w:val="center"/>
          </w:tcPr>
          <w:p w14:paraId="1AF2910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rPr>
              <w:t>0.27</w:t>
            </w:r>
          </w:p>
        </w:tc>
        <w:tc>
          <w:tcPr>
            <w:tcW w:w="1000" w:type="dxa"/>
            <w:shd w:val="clear" w:color="auto" w:fill="auto"/>
            <w:vAlign w:val="center"/>
          </w:tcPr>
          <w:p w14:paraId="06BC30F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6.5~8.5</w:t>
            </w:r>
          </w:p>
        </w:tc>
      </w:tr>
      <w:tr w14:paraId="74763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4B00456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总硬度</w:t>
            </w:r>
          </w:p>
        </w:tc>
        <w:tc>
          <w:tcPr>
            <w:tcW w:w="1120" w:type="dxa"/>
            <w:shd w:val="clear" w:color="auto" w:fill="auto"/>
            <w:vAlign w:val="center"/>
          </w:tcPr>
          <w:p w14:paraId="48DC04D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196918B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189</w:t>
            </w:r>
          </w:p>
        </w:tc>
        <w:tc>
          <w:tcPr>
            <w:tcW w:w="849" w:type="dxa"/>
            <w:shd w:val="clear" w:color="auto" w:fill="auto"/>
            <w:vAlign w:val="center"/>
          </w:tcPr>
          <w:p w14:paraId="40A8BFA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0.42</w:t>
            </w:r>
          </w:p>
        </w:tc>
        <w:tc>
          <w:tcPr>
            <w:tcW w:w="1049" w:type="dxa"/>
            <w:shd w:val="clear" w:color="auto" w:fill="auto"/>
            <w:vAlign w:val="center"/>
          </w:tcPr>
          <w:p w14:paraId="5BF3865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244</w:t>
            </w:r>
          </w:p>
        </w:tc>
        <w:tc>
          <w:tcPr>
            <w:tcW w:w="885" w:type="dxa"/>
            <w:shd w:val="clear" w:color="auto" w:fill="auto"/>
            <w:vAlign w:val="center"/>
          </w:tcPr>
          <w:p w14:paraId="652739E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0.542</w:t>
            </w:r>
          </w:p>
        </w:tc>
        <w:tc>
          <w:tcPr>
            <w:tcW w:w="1175" w:type="dxa"/>
            <w:shd w:val="clear" w:color="auto" w:fill="auto"/>
            <w:vAlign w:val="center"/>
          </w:tcPr>
          <w:p w14:paraId="34376AA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98.4</w:t>
            </w:r>
          </w:p>
        </w:tc>
        <w:tc>
          <w:tcPr>
            <w:tcW w:w="1070" w:type="dxa"/>
            <w:shd w:val="clear" w:color="auto" w:fill="auto"/>
            <w:vAlign w:val="center"/>
          </w:tcPr>
          <w:p w14:paraId="353FFC1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rPr>
              <w:t>0.22</w:t>
            </w:r>
          </w:p>
        </w:tc>
        <w:tc>
          <w:tcPr>
            <w:tcW w:w="1000" w:type="dxa"/>
            <w:shd w:val="clear" w:color="auto" w:fill="auto"/>
            <w:vAlign w:val="center"/>
          </w:tcPr>
          <w:p w14:paraId="3D84870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450</w:t>
            </w:r>
          </w:p>
        </w:tc>
      </w:tr>
      <w:tr w14:paraId="5D250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612F232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亚硝酸盐氮</w:t>
            </w:r>
          </w:p>
        </w:tc>
        <w:tc>
          <w:tcPr>
            <w:tcW w:w="1120" w:type="dxa"/>
            <w:shd w:val="clear" w:color="auto" w:fill="auto"/>
            <w:vAlign w:val="center"/>
          </w:tcPr>
          <w:p w14:paraId="010EA62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2DA9C7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0.005L</w:t>
            </w:r>
          </w:p>
        </w:tc>
        <w:tc>
          <w:tcPr>
            <w:tcW w:w="849" w:type="dxa"/>
            <w:shd w:val="clear" w:color="auto" w:fill="auto"/>
            <w:vAlign w:val="center"/>
          </w:tcPr>
          <w:p w14:paraId="71973C9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30EC56F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0.342</w:t>
            </w:r>
          </w:p>
        </w:tc>
        <w:tc>
          <w:tcPr>
            <w:tcW w:w="885" w:type="dxa"/>
            <w:shd w:val="clear" w:color="auto" w:fill="auto"/>
            <w:vAlign w:val="center"/>
          </w:tcPr>
          <w:p w14:paraId="2C2213E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0.342</w:t>
            </w:r>
          </w:p>
        </w:tc>
        <w:tc>
          <w:tcPr>
            <w:tcW w:w="1175" w:type="dxa"/>
            <w:shd w:val="clear" w:color="auto" w:fill="auto"/>
            <w:vAlign w:val="center"/>
          </w:tcPr>
          <w:p w14:paraId="0CEB9C8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0.105</w:t>
            </w:r>
          </w:p>
        </w:tc>
        <w:tc>
          <w:tcPr>
            <w:tcW w:w="1070" w:type="dxa"/>
            <w:shd w:val="clear" w:color="auto" w:fill="auto"/>
            <w:vAlign w:val="center"/>
          </w:tcPr>
          <w:p w14:paraId="35604D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0.105</w:t>
            </w:r>
          </w:p>
        </w:tc>
        <w:tc>
          <w:tcPr>
            <w:tcW w:w="1000" w:type="dxa"/>
            <w:shd w:val="clear" w:color="auto" w:fill="auto"/>
            <w:vAlign w:val="center"/>
          </w:tcPr>
          <w:p w14:paraId="155EEB5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1</w:t>
            </w:r>
          </w:p>
        </w:tc>
      </w:tr>
      <w:tr w14:paraId="09FE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6D9D02C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硝酸盐氮</w:t>
            </w:r>
          </w:p>
        </w:tc>
        <w:tc>
          <w:tcPr>
            <w:tcW w:w="1120" w:type="dxa"/>
            <w:shd w:val="clear" w:color="auto" w:fill="auto"/>
            <w:vAlign w:val="center"/>
          </w:tcPr>
          <w:p w14:paraId="1FDF43B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1009E8B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4.72</w:t>
            </w:r>
          </w:p>
        </w:tc>
        <w:tc>
          <w:tcPr>
            <w:tcW w:w="849" w:type="dxa"/>
            <w:shd w:val="clear" w:color="auto" w:fill="auto"/>
            <w:vAlign w:val="center"/>
          </w:tcPr>
          <w:p w14:paraId="0C11079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0.236</w:t>
            </w:r>
          </w:p>
        </w:tc>
        <w:tc>
          <w:tcPr>
            <w:tcW w:w="1049" w:type="dxa"/>
            <w:shd w:val="clear" w:color="auto" w:fill="auto"/>
            <w:vAlign w:val="center"/>
          </w:tcPr>
          <w:p w14:paraId="03EF99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3.81</w:t>
            </w:r>
          </w:p>
        </w:tc>
        <w:tc>
          <w:tcPr>
            <w:tcW w:w="885" w:type="dxa"/>
            <w:shd w:val="clear" w:color="auto" w:fill="auto"/>
            <w:vAlign w:val="center"/>
          </w:tcPr>
          <w:p w14:paraId="01F8A73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0.191</w:t>
            </w:r>
          </w:p>
        </w:tc>
        <w:tc>
          <w:tcPr>
            <w:tcW w:w="1175" w:type="dxa"/>
            <w:shd w:val="clear" w:color="auto" w:fill="auto"/>
            <w:vAlign w:val="center"/>
          </w:tcPr>
          <w:p w14:paraId="77FA200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2.06</w:t>
            </w:r>
          </w:p>
        </w:tc>
        <w:tc>
          <w:tcPr>
            <w:tcW w:w="1070" w:type="dxa"/>
            <w:shd w:val="clear" w:color="auto" w:fill="auto"/>
            <w:vAlign w:val="center"/>
          </w:tcPr>
          <w:p w14:paraId="16BE329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0.103</w:t>
            </w:r>
          </w:p>
        </w:tc>
        <w:tc>
          <w:tcPr>
            <w:tcW w:w="1000" w:type="dxa"/>
            <w:shd w:val="clear" w:color="auto" w:fill="auto"/>
            <w:vAlign w:val="center"/>
          </w:tcPr>
          <w:p w14:paraId="7DEBD35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20</w:t>
            </w:r>
          </w:p>
        </w:tc>
      </w:tr>
      <w:tr w14:paraId="1E4B3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7B288F1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硫酸盐</w:t>
            </w:r>
          </w:p>
        </w:tc>
        <w:tc>
          <w:tcPr>
            <w:tcW w:w="1120" w:type="dxa"/>
            <w:shd w:val="clear" w:color="auto" w:fill="auto"/>
            <w:vAlign w:val="center"/>
          </w:tcPr>
          <w:p w14:paraId="3AF7ACF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75F8C31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50</w:t>
            </w:r>
          </w:p>
        </w:tc>
        <w:tc>
          <w:tcPr>
            <w:tcW w:w="849" w:type="dxa"/>
            <w:shd w:val="clear" w:color="auto" w:fill="auto"/>
            <w:vAlign w:val="center"/>
          </w:tcPr>
          <w:p w14:paraId="1370480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0.2</w:t>
            </w:r>
          </w:p>
        </w:tc>
        <w:tc>
          <w:tcPr>
            <w:tcW w:w="1049" w:type="dxa"/>
            <w:shd w:val="clear" w:color="auto" w:fill="auto"/>
            <w:vAlign w:val="center"/>
          </w:tcPr>
          <w:p w14:paraId="55683B2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55.8</w:t>
            </w:r>
          </w:p>
        </w:tc>
        <w:tc>
          <w:tcPr>
            <w:tcW w:w="885" w:type="dxa"/>
            <w:shd w:val="clear" w:color="auto" w:fill="auto"/>
            <w:vAlign w:val="center"/>
          </w:tcPr>
          <w:p w14:paraId="15B9088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0.223</w:t>
            </w:r>
          </w:p>
        </w:tc>
        <w:tc>
          <w:tcPr>
            <w:tcW w:w="1175" w:type="dxa"/>
            <w:shd w:val="clear" w:color="auto" w:fill="auto"/>
            <w:vAlign w:val="center"/>
          </w:tcPr>
          <w:p w14:paraId="39EF8F6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36.9</w:t>
            </w:r>
          </w:p>
        </w:tc>
        <w:tc>
          <w:tcPr>
            <w:tcW w:w="1070" w:type="dxa"/>
            <w:shd w:val="clear" w:color="auto" w:fill="auto"/>
            <w:vAlign w:val="center"/>
          </w:tcPr>
          <w:p w14:paraId="19A9130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0.1476</w:t>
            </w:r>
          </w:p>
        </w:tc>
        <w:tc>
          <w:tcPr>
            <w:tcW w:w="1000" w:type="dxa"/>
            <w:shd w:val="clear" w:color="auto" w:fill="auto"/>
            <w:vAlign w:val="center"/>
          </w:tcPr>
          <w:p w14:paraId="6AF7CBE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250</w:t>
            </w:r>
          </w:p>
        </w:tc>
      </w:tr>
      <w:tr w14:paraId="22CC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1917E6B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氯化物</w:t>
            </w:r>
          </w:p>
        </w:tc>
        <w:tc>
          <w:tcPr>
            <w:tcW w:w="1120" w:type="dxa"/>
            <w:shd w:val="clear" w:color="auto" w:fill="auto"/>
            <w:vAlign w:val="center"/>
          </w:tcPr>
          <w:p w14:paraId="72188E9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6750EE4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24.1</w:t>
            </w:r>
          </w:p>
        </w:tc>
        <w:tc>
          <w:tcPr>
            <w:tcW w:w="849" w:type="dxa"/>
            <w:shd w:val="clear" w:color="auto" w:fill="auto"/>
            <w:vAlign w:val="center"/>
          </w:tcPr>
          <w:p w14:paraId="787056E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0.096</w:t>
            </w:r>
          </w:p>
        </w:tc>
        <w:tc>
          <w:tcPr>
            <w:tcW w:w="1049" w:type="dxa"/>
            <w:shd w:val="clear" w:color="auto" w:fill="auto"/>
            <w:vAlign w:val="center"/>
          </w:tcPr>
          <w:p w14:paraId="5D9B017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29.5</w:t>
            </w:r>
          </w:p>
        </w:tc>
        <w:tc>
          <w:tcPr>
            <w:tcW w:w="885" w:type="dxa"/>
            <w:shd w:val="clear" w:color="auto" w:fill="auto"/>
            <w:vAlign w:val="center"/>
          </w:tcPr>
          <w:p w14:paraId="35F4F09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0.118</w:t>
            </w:r>
          </w:p>
        </w:tc>
        <w:tc>
          <w:tcPr>
            <w:tcW w:w="1175" w:type="dxa"/>
            <w:shd w:val="clear" w:color="auto" w:fill="auto"/>
            <w:vAlign w:val="center"/>
          </w:tcPr>
          <w:p w14:paraId="3ED32B7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8.8</w:t>
            </w:r>
          </w:p>
        </w:tc>
        <w:tc>
          <w:tcPr>
            <w:tcW w:w="1070" w:type="dxa"/>
            <w:shd w:val="clear" w:color="auto" w:fill="auto"/>
            <w:vAlign w:val="center"/>
          </w:tcPr>
          <w:p w14:paraId="1328B2A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0.0352</w:t>
            </w:r>
          </w:p>
        </w:tc>
        <w:tc>
          <w:tcPr>
            <w:tcW w:w="1000" w:type="dxa"/>
            <w:shd w:val="clear" w:color="auto" w:fill="auto"/>
            <w:vAlign w:val="center"/>
          </w:tcPr>
          <w:p w14:paraId="4D1C70D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250</w:t>
            </w:r>
          </w:p>
        </w:tc>
      </w:tr>
      <w:tr w14:paraId="398A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7C7D8F9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氰化物</w:t>
            </w:r>
          </w:p>
        </w:tc>
        <w:tc>
          <w:tcPr>
            <w:tcW w:w="1120" w:type="dxa"/>
            <w:shd w:val="clear" w:color="auto" w:fill="auto"/>
            <w:vAlign w:val="center"/>
          </w:tcPr>
          <w:p w14:paraId="7703F59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5712284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0.002L</w:t>
            </w:r>
          </w:p>
        </w:tc>
        <w:tc>
          <w:tcPr>
            <w:tcW w:w="849" w:type="dxa"/>
            <w:shd w:val="clear" w:color="auto" w:fill="auto"/>
            <w:vAlign w:val="center"/>
          </w:tcPr>
          <w:p w14:paraId="55BD9B7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58B78B7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0.002L</w:t>
            </w:r>
          </w:p>
        </w:tc>
        <w:tc>
          <w:tcPr>
            <w:tcW w:w="885" w:type="dxa"/>
            <w:shd w:val="clear" w:color="auto" w:fill="auto"/>
            <w:vAlign w:val="center"/>
          </w:tcPr>
          <w:p w14:paraId="05C3383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5F1F2C6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0.002L</w:t>
            </w:r>
          </w:p>
        </w:tc>
        <w:tc>
          <w:tcPr>
            <w:tcW w:w="1070" w:type="dxa"/>
            <w:shd w:val="clear" w:color="auto" w:fill="auto"/>
            <w:vAlign w:val="center"/>
          </w:tcPr>
          <w:p w14:paraId="4FA5816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vAlign w:val="center"/>
          </w:tcPr>
          <w:p w14:paraId="0207C5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0.05</w:t>
            </w:r>
          </w:p>
        </w:tc>
      </w:tr>
      <w:tr w14:paraId="661A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3923BB5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氟化物</w:t>
            </w:r>
          </w:p>
        </w:tc>
        <w:tc>
          <w:tcPr>
            <w:tcW w:w="1120" w:type="dxa"/>
            <w:shd w:val="clear" w:color="auto" w:fill="auto"/>
            <w:vAlign w:val="center"/>
          </w:tcPr>
          <w:p w14:paraId="06F7EA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571175C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0.135</w:t>
            </w:r>
          </w:p>
        </w:tc>
        <w:tc>
          <w:tcPr>
            <w:tcW w:w="849" w:type="dxa"/>
            <w:shd w:val="clear" w:color="auto" w:fill="auto"/>
            <w:vAlign w:val="center"/>
          </w:tcPr>
          <w:p w14:paraId="4F7794A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0.135</w:t>
            </w:r>
          </w:p>
        </w:tc>
        <w:tc>
          <w:tcPr>
            <w:tcW w:w="1049" w:type="dxa"/>
            <w:shd w:val="clear" w:color="auto" w:fill="auto"/>
            <w:vAlign w:val="center"/>
          </w:tcPr>
          <w:p w14:paraId="717F85E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0.162</w:t>
            </w:r>
          </w:p>
        </w:tc>
        <w:tc>
          <w:tcPr>
            <w:tcW w:w="885" w:type="dxa"/>
            <w:shd w:val="clear" w:color="auto" w:fill="auto"/>
            <w:vAlign w:val="center"/>
          </w:tcPr>
          <w:p w14:paraId="30868C5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0.162</w:t>
            </w:r>
          </w:p>
        </w:tc>
        <w:tc>
          <w:tcPr>
            <w:tcW w:w="1175" w:type="dxa"/>
            <w:shd w:val="clear" w:color="auto" w:fill="auto"/>
            <w:vAlign w:val="center"/>
          </w:tcPr>
          <w:p w14:paraId="2D3A184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0.04</w:t>
            </w:r>
          </w:p>
        </w:tc>
        <w:tc>
          <w:tcPr>
            <w:tcW w:w="1070" w:type="dxa"/>
            <w:shd w:val="clear" w:color="auto" w:fill="auto"/>
            <w:vAlign w:val="center"/>
          </w:tcPr>
          <w:p w14:paraId="305B5B2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0.04</w:t>
            </w:r>
          </w:p>
        </w:tc>
        <w:tc>
          <w:tcPr>
            <w:tcW w:w="1000" w:type="dxa"/>
            <w:shd w:val="clear" w:color="auto" w:fill="auto"/>
            <w:vAlign w:val="center"/>
          </w:tcPr>
          <w:p w14:paraId="4C685F0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1</w:t>
            </w:r>
          </w:p>
        </w:tc>
      </w:tr>
      <w:tr w14:paraId="6509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76A3E36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砷</w:t>
            </w:r>
          </w:p>
        </w:tc>
        <w:tc>
          <w:tcPr>
            <w:tcW w:w="1120" w:type="dxa"/>
            <w:shd w:val="clear" w:color="auto" w:fill="auto"/>
            <w:vAlign w:val="center"/>
          </w:tcPr>
          <w:p w14:paraId="0EB5F76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eastAsia" w:ascii="Arial" w:hAnsi="Arial" w:cs="Arial"/>
                <w:snapToGrid w:val="0"/>
                <w:color w:val="auto"/>
                <w:kern w:val="0"/>
                <w:sz w:val="22"/>
                <w:szCs w:val="22"/>
                <w:highlight w:val="none"/>
                <w:lang w:val="en-US" w:eastAsia="zh-CN" w:bidi="ar"/>
              </w:rPr>
              <w:t>m</w:t>
            </w:r>
            <w:r>
              <w:rPr>
                <w:rFonts w:hint="default" w:ascii="Arial" w:hAnsi="Arial" w:eastAsia="宋体" w:cs="Arial"/>
                <w:snapToGrid w:val="0"/>
                <w:color w:val="auto"/>
                <w:kern w:val="0"/>
                <w:sz w:val="22"/>
                <w:szCs w:val="22"/>
                <w:highlight w:val="none"/>
                <w:lang w:bidi="ar"/>
              </w:rPr>
              <w:t>g/L</w:t>
            </w:r>
          </w:p>
        </w:tc>
        <w:tc>
          <w:tcPr>
            <w:tcW w:w="1211" w:type="dxa"/>
            <w:shd w:val="clear" w:color="auto" w:fill="auto"/>
            <w:vAlign w:val="center"/>
          </w:tcPr>
          <w:p w14:paraId="438E07F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0.0003L</w:t>
            </w:r>
          </w:p>
        </w:tc>
        <w:tc>
          <w:tcPr>
            <w:tcW w:w="849" w:type="dxa"/>
            <w:shd w:val="clear" w:color="auto" w:fill="auto"/>
            <w:vAlign w:val="center"/>
          </w:tcPr>
          <w:p w14:paraId="5F296FA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4C43AC3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0.0003L</w:t>
            </w:r>
          </w:p>
        </w:tc>
        <w:tc>
          <w:tcPr>
            <w:tcW w:w="885" w:type="dxa"/>
            <w:shd w:val="clear" w:color="auto" w:fill="auto"/>
            <w:vAlign w:val="center"/>
          </w:tcPr>
          <w:p w14:paraId="6643CD2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0E30BB6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1.0×10</w:t>
            </w:r>
            <w:r>
              <w:rPr>
                <w:rFonts w:hint="eastAsia" w:ascii="Arial" w:hAnsi="Arial" w:cs="Arial"/>
                <w:snapToGrid w:val="0"/>
                <w:color w:val="auto"/>
                <w:kern w:val="0"/>
                <w:sz w:val="22"/>
                <w:szCs w:val="22"/>
                <w:highlight w:val="none"/>
                <w:vertAlign w:val="superscript"/>
                <w:lang w:val="en-US" w:eastAsia="zh-CN" w:bidi="ar"/>
              </w:rPr>
              <w:t>-</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1070" w:type="dxa"/>
            <w:shd w:val="clear" w:color="auto" w:fill="auto"/>
            <w:vAlign w:val="center"/>
          </w:tcPr>
          <w:p w14:paraId="771778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vAlign w:val="center"/>
          </w:tcPr>
          <w:p w14:paraId="33F66E5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0.01</w:t>
            </w:r>
          </w:p>
        </w:tc>
      </w:tr>
      <w:tr w14:paraId="789E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5E38212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汞</w:t>
            </w:r>
          </w:p>
        </w:tc>
        <w:tc>
          <w:tcPr>
            <w:tcW w:w="1120" w:type="dxa"/>
            <w:shd w:val="clear" w:color="auto" w:fill="auto"/>
            <w:vAlign w:val="center"/>
          </w:tcPr>
          <w:p w14:paraId="2E35A41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eastAsia" w:ascii="Arial" w:hAnsi="Arial" w:cs="Arial"/>
                <w:snapToGrid w:val="0"/>
                <w:color w:val="auto"/>
                <w:kern w:val="0"/>
                <w:sz w:val="22"/>
                <w:szCs w:val="22"/>
                <w:highlight w:val="none"/>
                <w:lang w:val="en-US" w:eastAsia="zh-CN" w:bidi="ar"/>
              </w:rPr>
              <w:t>m</w:t>
            </w:r>
            <w:r>
              <w:rPr>
                <w:rFonts w:hint="default" w:ascii="Arial" w:hAnsi="Arial" w:eastAsia="宋体" w:cs="Arial"/>
                <w:snapToGrid w:val="0"/>
                <w:color w:val="auto"/>
                <w:kern w:val="0"/>
                <w:sz w:val="22"/>
                <w:szCs w:val="22"/>
                <w:highlight w:val="none"/>
                <w:lang w:bidi="ar"/>
              </w:rPr>
              <w:t>g/L</w:t>
            </w:r>
          </w:p>
        </w:tc>
        <w:tc>
          <w:tcPr>
            <w:tcW w:w="1211" w:type="dxa"/>
            <w:shd w:val="clear" w:color="auto" w:fill="auto"/>
            <w:vAlign w:val="center"/>
          </w:tcPr>
          <w:p w14:paraId="704EA94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0.00004L</w:t>
            </w:r>
          </w:p>
        </w:tc>
        <w:tc>
          <w:tcPr>
            <w:tcW w:w="849" w:type="dxa"/>
            <w:shd w:val="clear" w:color="auto" w:fill="auto"/>
            <w:vAlign w:val="center"/>
          </w:tcPr>
          <w:p w14:paraId="79F0A57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03F7490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0.00006</w:t>
            </w:r>
          </w:p>
        </w:tc>
        <w:tc>
          <w:tcPr>
            <w:tcW w:w="885" w:type="dxa"/>
            <w:shd w:val="clear" w:color="auto" w:fill="auto"/>
            <w:vAlign w:val="center"/>
          </w:tcPr>
          <w:p w14:paraId="781F0F0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0.06</w:t>
            </w:r>
          </w:p>
        </w:tc>
        <w:tc>
          <w:tcPr>
            <w:tcW w:w="1175" w:type="dxa"/>
            <w:shd w:val="clear" w:color="auto" w:fill="auto"/>
            <w:vAlign w:val="center"/>
          </w:tcPr>
          <w:p w14:paraId="3120CCF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4×10</w:t>
            </w:r>
            <w:r>
              <w:rPr>
                <w:rFonts w:hint="default" w:ascii="Arial" w:hAnsi="Arial" w:eastAsia="宋体" w:cs="Arial"/>
                <w:snapToGrid w:val="0"/>
                <w:color w:val="auto"/>
                <w:kern w:val="0"/>
                <w:sz w:val="22"/>
                <w:szCs w:val="22"/>
                <w:highlight w:val="none"/>
                <w:vertAlign w:val="superscript"/>
                <w:lang w:bidi="ar"/>
              </w:rPr>
              <w:t>-4</w:t>
            </w:r>
          </w:p>
        </w:tc>
        <w:tc>
          <w:tcPr>
            <w:tcW w:w="1070" w:type="dxa"/>
            <w:shd w:val="clear" w:color="auto" w:fill="auto"/>
            <w:vAlign w:val="center"/>
          </w:tcPr>
          <w:p w14:paraId="5B20CD4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rPr>
              <w:t>0.4</w:t>
            </w:r>
          </w:p>
        </w:tc>
        <w:tc>
          <w:tcPr>
            <w:tcW w:w="1000" w:type="dxa"/>
            <w:shd w:val="clear" w:color="auto" w:fill="auto"/>
            <w:vAlign w:val="center"/>
          </w:tcPr>
          <w:p w14:paraId="68834A8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0.001</w:t>
            </w:r>
          </w:p>
        </w:tc>
      </w:tr>
      <w:tr w14:paraId="0FCB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6E6432D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镉</w:t>
            </w:r>
          </w:p>
        </w:tc>
        <w:tc>
          <w:tcPr>
            <w:tcW w:w="1120" w:type="dxa"/>
            <w:shd w:val="clear" w:color="auto" w:fill="auto"/>
            <w:vAlign w:val="center"/>
          </w:tcPr>
          <w:p w14:paraId="13DF982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eastAsia" w:ascii="Arial" w:hAnsi="Arial" w:cs="Arial"/>
                <w:snapToGrid w:val="0"/>
                <w:color w:val="auto"/>
                <w:kern w:val="0"/>
                <w:sz w:val="22"/>
                <w:szCs w:val="22"/>
                <w:highlight w:val="none"/>
                <w:lang w:val="en-US" w:eastAsia="zh-CN" w:bidi="ar"/>
              </w:rPr>
              <w:t>m</w:t>
            </w:r>
            <w:r>
              <w:rPr>
                <w:rFonts w:hint="default" w:ascii="Arial" w:hAnsi="Arial" w:eastAsia="宋体" w:cs="Arial"/>
                <w:snapToGrid w:val="0"/>
                <w:color w:val="auto"/>
                <w:kern w:val="0"/>
                <w:sz w:val="22"/>
                <w:szCs w:val="22"/>
                <w:highlight w:val="none"/>
                <w:lang w:bidi="ar"/>
              </w:rPr>
              <w:t>g/L</w:t>
            </w:r>
          </w:p>
        </w:tc>
        <w:tc>
          <w:tcPr>
            <w:tcW w:w="1211" w:type="dxa"/>
            <w:shd w:val="clear" w:color="auto" w:fill="auto"/>
            <w:vAlign w:val="center"/>
          </w:tcPr>
          <w:p w14:paraId="6814E76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0.0004</w:t>
            </w:r>
          </w:p>
        </w:tc>
        <w:tc>
          <w:tcPr>
            <w:tcW w:w="849" w:type="dxa"/>
            <w:shd w:val="clear" w:color="auto" w:fill="auto"/>
            <w:vAlign w:val="center"/>
          </w:tcPr>
          <w:p w14:paraId="0A46966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0.08</w:t>
            </w:r>
          </w:p>
        </w:tc>
        <w:tc>
          <w:tcPr>
            <w:tcW w:w="1049" w:type="dxa"/>
            <w:shd w:val="clear" w:color="auto" w:fill="auto"/>
            <w:vAlign w:val="center"/>
          </w:tcPr>
          <w:p w14:paraId="1B22A2B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0.0003</w:t>
            </w:r>
          </w:p>
        </w:tc>
        <w:tc>
          <w:tcPr>
            <w:tcW w:w="885" w:type="dxa"/>
            <w:shd w:val="clear" w:color="auto" w:fill="auto"/>
            <w:vAlign w:val="center"/>
          </w:tcPr>
          <w:p w14:paraId="36678D7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0.06</w:t>
            </w:r>
          </w:p>
        </w:tc>
        <w:tc>
          <w:tcPr>
            <w:tcW w:w="1175" w:type="dxa"/>
            <w:shd w:val="clear" w:color="auto" w:fill="auto"/>
            <w:vAlign w:val="center"/>
          </w:tcPr>
          <w:p w14:paraId="536E01E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bidi="ar"/>
              </w:rPr>
              <w:t>-4</w:t>
            </w:r>
            <w:r>
              <w:rPr>
                <w:rFonts w:hint="default" w:ascii="Arial" w:hAnsi="Arial" w:eastAsia="宋体" w:cs="Arial"/>
                <w:snapToGrid w:val="0"/>
                <w:color w:val="auto"/>
                <w:kern w:val="0"/>
                <w:sz w:val="22"/>
                <w:szCs w:val="22"/>
                <w:highlight w:val="none"/>
                <w:lang w:bidi="ar"/>
              </w:rPr>
              <w:t>L</w:t>
            </w:r>
          </w:p>
        </w:tc>
        <w:tc>
          <w:tcPr>
            <w:tcW w:w="1070" w:type="dxa"/>
            <w:shd w:val="clear" w:color="auto" w:fill="auto"/>
            <w:vAlign w:val="center"/>
          </w:tcPr>
          <w:p w14:paraId="70414D1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vAlign w:val="center"/>
          </w:tcPr>
          <w:p w14:paraId="00592CB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0.005</w:t>
            </w:r>
          </w:p>
        </w:tc>
      </w:tr>
      <w:tr w14:paraId="32A8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366" w:type="dxa"/>
            <w:shd w:val="clear" w:color="auto" w:fill="auto"/>
            <w:vAlign w:val="center"/>
          </w:tcPr>
          <w:p w14:paraId="14B932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铅</w:t>
            </w:r>
          </w:p>
        </w:tc>
        <w:tc>
          <w:tcPr>
            <w:tcW w:w="1120" w:type="dxa"/>
            <w:shd w:val="clear" w:color="auto" w:fill="auto"/>
            <w:vAlign w:val="center"/>
          </w:tcPr>
          <w:p w14:paraId="26960DE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eastAsia" w:ascii="Arial" w:hAnsi="Arial" w:cs="Arial"/>
                <w:snapToGrid w:val="0"/>
                <w:color w:val="auto"/>
                <w:kern w:val="0"/>
                <w:sz w:val="22"/>
                <w:szCs w:val="22"/>
                <w:highlight w:val="none"/>
                <w:lang w:val="en-US" w:eastAsia="zh-CN" w:bidi="ar"/>
              </w:rPr>
              <w:t>m</w:t>
            </w:r>
            <w:r>
              <w:rPr>
                <w:rFonts w:hint="default" w:ascii="Arial" w:hAnsi="Arial" w:eastAsia="宋体" w:cs="Arial"/>
                <w:snapToGrid w:val="0"/>
                <w:color w:val="auto"/>
                <w:kern w:val="0"/>
                <w:sz w:val="22"/>
                <w:szCs w:val="22"/>
                <w:highlight w:val="none"/>
                <w:lang w:bidi="ar"/>
              </w:rPr>
              <w:t>g/L</w:t>
            </w:r>
          </w:p>
        </w:tc>
        <w:tc>
          <w:tcPr>
            <w:tcW w:w="1211" w:type="dxa"/>
            <w:shd w:val="clear" w:color="auto" w:fill="auto"/>
            <w:vAlign w:val="center"/>
          </w:tcPr>
          <w:p w14:paraId="09A992C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0.001L</w:t>
            </w:r>
          </w:p>
        </w:tc>
        <w:tc>
          <w:tcPr>
            <w:tcW w:w="849" w:type="dxa"/>
            <w:shd w:val="clear" w:color="auto" w:fill="auto"/>
            <w:vAlign w:val="center"/>
          </w:tcPr>
          <w:p w14:paraId="57B0084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0CA47D9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0.001L</w:t>
            </w:r>
          </w:p>
        </w:tc>
        <w:tc>
          <w:tcPr>
            <w:tcW w:w="885" w:type="dxa"/>
            <w:shd w:val="clear" w:color="auto" w:fill="auto"/>
            <w:vAlign w:val="center"/>
          </w:tcPr>
          <w:p w14:paraId="0C0E505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1380865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1070" w:type="dxa"/>
            <w:shd w:val="clear" w:color="auto" w:fill="auto"/>
            <w:vAlign w:val="center"/>
          </w:tcPr>
          <w:p w14:paraId="45571D0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vAlign w:val="center"/>
          </w:tcPr>
          <w:p w14:paraId="334D8C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0.01</w:t>
            </w:r>
          </w:p>
        </w:tc>
      </w:tr>
      <w:tr w14:paraId="0A04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182BA2B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铜</w:t>
            </w:r>
          </w:p>
        </w:tc>
        <w:tc>
          <w:tcPr>
            <w:tcW w:w="1120" w:type="dxa"/>
            <w:shd w:val="clear" w:color="auto" w:fill="auto"/>
            <w:vAlign w:val="center"/>
          </w:tcPr>
          <w:p w14:paraId="5099C39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5D11E95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849" w:type="dxa"/>
            <w:shd w:val="clear" w:color="auto" w:fill="auto"/>
            <w:vAlign w:val="center"/>
          </w:tcPr>
          <w:p w14:paraId="2340A6F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154B732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885" w:type="dxa"/>
            <w:shd w:val="clear" w:color="auto" w:fill="auto"/>
            <w:vAlign w:val="center"/>
          </w:tcPr>
          <w:p w14:paraId="1E24F77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6C35E80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1×10</w:t>
            </w:r>
            <w:r>
              <w:rPr>
                <w:rFonts w:hint="default" w:ascii="Arial" w:hAnsi="Arial" w:eastAsia="宋体" w:cs="Arial"/>
                <w:snapToGrid w:val="0"/>
                <w:color w:val="auto"/>
                <w:kern w:val="0"/>
                <w:sz w:val="22"/>
                <w:szCs w:val="22"/>
                <w:highlight w:val="none"/>
                <w:vertAlign w:val="superscript"/>
                <w:lang w:bidi="ar"/>
              </w:rPr>
              <w:t>-3</w:t>
            </w:r>
            <w:r>
              <w:rPr>
                <w:rFonts w:hint="default" w:ascii="Arial" w:hAnsi="Arial" w:eastAsia="宋体" w:cs="Arial"/>
                <w:snapToGrid w:val="0"/>
                <w:color w:val="auto"/>
                <w:kern w:val="0"/>
                <w:sz w:val="22"/>
                <w:szCs w:val="22"/>
                <w:highlight w:val="none"/>
                <w:lang w:bidi="ar"/>
              </w:rPr>
              <w:t>L</w:t>
            </w:r>
          </w:p>
        </w:tc>
        <w:tc>
          <w:tcPr>
            <w:tcW w:w="1070" w:type="dxa"/>
            <w:shd w:val="clear" w:color="auto" w:fill="auto"/>
            <w:vAlign w:val="center"/>
          </w:tcPr>
          <w:p w14:paraId="06309C4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vAlign w:val="center"/>
          </w:tcPr>
          <w:p w14:paraId="64962CE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1</w:t>
            </w:r>
          </w:p>
        </w:tc>
      </w:tr>
      <w:tr w14:paraId="7722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6AE62EF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锌</w:t>
            </w:r>
          </w:p>
        </w:tc>
        <w:tc>
          <w:tcPr>
            <w:tcW w:w="1120" w:type="dxa"/>
            <w:shd w:val="clear" w:color="auto" w:fill="auto"/>
            <w:vAlign w:val="center"/>
          </w:tcPr>
          <w:p w14:paraId="6D5CADB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7314884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849" w:type="dxa"/>
            <w:shd w:val="clear" w:color="auto" w:fill="auto"/>
            <w:vAlign w:val="center"/>
          </w:tcPr>
          <w:p w14:paraId="3760FB0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478E0DB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885" w:type="dxa"/>
            <w:shd w:val="clear" w:color="auto" w:fill="auto"/>
            <w:vAlign w:val="center"/>
          </w:tcPr>
          <w:p w14:paraId="0BA36F9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127D12F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0.01L</w:t>
            </w:r>
          </w:p>
        </w:tc>
        <w:tc>
          <w:tcPr>
            <w:tcW w:w="1070" w:type="dxa"/>
            <w:shd w:val="clear" w:color="auto" w:fill="auto"/>
            <w:vAlign w:val="center"/>
          </w:tcPr>
          <w:p w14:paraId="1566104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vAlign w:val="center"/>
          </w:tcPr>
          <w:p w14:paraId="4AC52B7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1</w:t>
            </w:r>
          </w:p>
        </w:tc>
      </w:tr>
      <w:tr w14:paraId="4B07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15415CD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铝</w:t>
            </w:r>
          </w:p>
        </w:tc>
        <w:tc>
          <w:tcPr>
            <w:tcW w:w="1120" w:type="dxa"/>
            <w:shd w:val="clear" w:color="auto" w:fill="auto"/>
            <w:vAlign w:val="center"/>
          </w:tcPr>
          <w:p w14:paraId="3DA0DFD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678B86D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849" w:type="dxa"/>
            <w:shd w:val="clear" w:color="auto" w:fill="auto"/>
            <w:vAlign w:val="center"/>
          </w:tcPr>
          <w:p w14:paraId="2EE7B78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49A1333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885" w:type="dxa"/>
            <w:shd w:val="clear" w:color="auto" w:fill="auto"/>
            <w:vAlign w:val="center"/>
          </w:tcPr>
          <w:p w14:paraId="644564E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60670FE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0.008L</w:t>
            </w:r>
          </w:p>
        </w:tc>
        <w:tc>
          <w:tcPr>
            <w:tcW w:w="1070" w:type="dxa"/>
            <w:shd w:val="clear" w:color="auto" w:fill="auto"/>
            <w:vAlign w:val="center"/>
          </w:tcPr>
          <w:p w14:paraId="475FE6A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vAlign w:val="center"/>
          </w:tcPr>
          <w:p w14:paraId="481FB8F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0.2</w:t>
            </w:r>
          </w:p>
        </w:tc>
      </w:tr>
      <w:tr w14:paraId="5CD4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21F49B4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六价铬</w:t>
            </w:r>
          </w:p>
        </w:tc>
        <w:tc>
          <w:tcPr>
            <w:tcW w:w="1120" w:type="dxa"/>
            <w:shd w:val="clear" w:color="auto" w:fill="auto"/>
            <w:vAlign w:val="center"/>
          </w:tcPr>
          <w:p w14:paraId="02F858B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6D4FC79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0.004L</w:t>
            </w:r>
          </w:p>
        </w:tc>
        <w:tc>
          <w:tcPr>
            <w:tcW w:w="849" w:type="dxa"/>
            <w:shd w:val="clear" w:color="auto" w:fill="auto"/>
            <w:vAlign w:val="center"/>
          </w:tcPr>
          <w:p w14:paraId="6201F16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02FB12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0.004L</w:t>
            </w:r>
          </w:p>
        </w:tc>
        <w:tc>
          <w:tcPr>
            <w:tcW w:w="885" w:type="dxa"/>
            <w:shd w:val="clear" w:color="auto" w:fill="auto"/>
            <w:vAlign w:val="center"/>
          </w:tcPr>
          <w:p w14:paraId="6C991B2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31745F3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0.004L</w:t>
            </w:r>
          </w:p>
        </w:tc>
        <w:tc>
          <w:tcPr>
            <w:tcW w:w="1070" w:type="dxa"/>
            <w:shd w:val="clear" w:color="auto" w:fill="auto"/>
            <w:vAlign w:val="center"/>
          </w:tcPr>
          <w:p w14:paraId="53DC98A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vAlign w:val="center"/>
          </w:tcPr>
          <w:p w14:paraId="085444C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0.05</w:t>
            </w:r>
          </w:p>
        </w:tc>
      </w:tr>
      <w:tr w14:paraId="680C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3062902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挥发酚</w:t>
            </w:r>
          </w:p>
        </w:tc>
        <w:tc>
          <w:tcPr>
            <w:tcW w:w="1120" w:type="dxa"/>
            <w:shd w:val="clear" w:color="auto" w:fill="auto"/>
            <w:vAlign w:val="center"/>
          </w:tcPr>
          <w:p w14:paraId="5C22888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7A86830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0.0003L</w:t>
            </w:r>
          </w:p>
        </w:tc>
        <w:tc>
          <w:tcPr>
            <w:tcW w:w="849" w:type="dxa"/>
            <w:shd w:val="clear" w:color="auto" w:fill="auto"/>
            <w:vAlign w:val="center"/>
          </w:tcPr>
          <w:p w14:paraId="0F8A576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2D61B02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0.0003L</w:t>
            </w:r>
          </w:p>
        </w:tc>
        <w:tc>
          <w:tcPr>
            <w:tcW w:w="885" w:type="dxa"/>
            <w:shd w:val="clear" w:color="auto" w:fill="auto"/>
            <w:vAlign w:val="center"/>
          </w:tcPr>
          <w:p w14:paraId="7ED0DAB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6DE9D58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0.0003L</w:t>
            </w:r>
          </w:p>
        </w:tc>
        <w:tc>
          <w:tcPr>
            <w:tcW w:w="1070" w:type="dxa"/>
            <w:shd w:val="clear" w:color="auto" w:fill="auto"/>
            <w:vAlign w:val="center"/>
          </w:tcPr>
          <w:p w14:paraId="60DECD7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noWrap/>
            <w:vAlign w:val="center"/>
          </w:tcPr>
          <w:p w14:paraId="5F06F8E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0.002</w:t>
            </w:r>
          </w:p>
        </w:tc>
      </w:tr>
      <w:tr w14:paraId="1207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4DC6E9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溶解性总</w:t>
            </w:r>
          </w:p>
          <w:p w14:paraId="68B770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固体</w:t>
            </w:r>
          </w:p>
        </w:tc>
        <w:tc>
          <w:tcPr>
            <w:tcW w:w="1120" w:type="dxa"/>
            <w:shd w:val="clear" w:color="auto" w:fill="auto"/>
            <w:vAlign w:val="center"/>
          </w:tcPr>
          <w:p w14:paraId="43E282F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5DFE2C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318</w:t>
            </w:r>
          </w:p>
        </w:tc>
        <w:tc>
          <w:tcPr>
            <w:tcW w:w="849" w:type="dxa"/>
            <w:shd w:val="clear" w:color="auto" w:fill="auto"/>
            <w:vAlign w:val="center"/>
          </w:tcPr>
          <w:p w14:paraId="577EE2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0.318</w:t>
            </w:r>
          </w:p>
        </w:tc>
        <w:tc>
          <w:tcPr>
            <w:tcW w:w="1049" w:type="dxa"/>
            <w:shd w:val="clear" w:color="auto" w:fill="auto"/>
            <w:vAlign w:val="center"/>
          </w:tcPr>
          <w:p w14:paraId="7748AC5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357</w:t>
            </w:r>
          </w:p>
        </w:tc>
        <w:tc>
          <w:tcPr>
            <w:tcW w:w="885" w:type="dxa"/>
            <w:shd w:val="clear" w:color="auto" w:fill="auto"/>
            <w:vAlign w:val="center"/>
          </w:tcPr>
          <w:p w14:paraId="41710CE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0.357</w:t>
            </w:r>
          </w:p>
        </w:tc>
        <w:tc>
          <w:tcPr>
            <w:tcW w:w="1175" w:type="dxa"/>
            <w:shd w:val="clear" w:color="auto" w:fill="auto"/>
            <w:vAlign w:val="center"/>
          </w:tcPr>
          <w:p w14:paraId="0D7DFE9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1.02×10</w:t>
            </w:r>
            <w:r>
              <w:rPr>
                <w:rFonts w:hint="default" w:ascii="Arial" w:hAnsi="Arial" w:eastAsia="宋体" w:cs="Arial"/>
                <w:snapToGrid w:val="0"/>
                <w:color w:val="auto"/>
                <w:kern w:val="0"/>
                <w:sz w:val="22"/>
                <w:szCs w:val="22"/>
                <w:highlight w:val="none"/>
                <w:vertAlign w:val="superscript"/>
                <w:lang w:bidi="ar"/>
              </w:rPr>
              <w:t>2</w:t>
            </w:r>
          </w:p>
        </w:tc>
        <w:tc>
          <w:tcPr>
            <w:tcW w:w="1070" w:type="dxa"/>
            <w:shd w:val="clear" w:color="auto" w:fill="auto"/>
            <w:vAlign w:val="center"/>
          </w:tcPr>
          <w:p w14:paraId="7A317CE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rPr>
              <w:t>0.102</w:t>
            </w:r>
          </w:p>
        </w:tc>
        <w:tc>
          <w:tcPr>
            <w:tcW w:w="1000" w:type="dxa"/>
            <w:shd w:val="clear" w:color="auto" w:fill="auto"/>
            <w:noWrap/>
            <w:vAlign w:val="center"/>
          </w:tcPr>
          <w:p w14:paraId="7EA86A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1000</w:t>
            </w:r>
          </w:p>
        </w:tc>
      </w:tr>
      <w:tr w14:paraId="2F127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4D0C474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default" w:ascii="Arial" w:hAnsi="Arial" w:eastAsia="宋体" w:cs="Arial"/>
                <w:snapToGrid w:val="0"/>
                <w:color w:val="auto"/>
                <w:kern w:val="0"/>
                <w:sz w:val="22"/>
                <w:szCs w:val="22"/>
                <w:highlight w:val="none"/>
                <w:lang w:bidi="ar"/>
              </w:rPr>
              <w:t>高锰酸盐指数</w:t>
            </w:r>
            <w:r>
              <w:rPr>
                <w:rFonts w:hint="eastAsia" w:ascii="Arial" w:hAnsi="Arial" w:cs="Arial"/>
                <w:snapToGrid w:val="0"/>
                <w:color w:val="auto"/>
                <w:kern w:val="0"/>
                <w:sz w:val="22"/>
                <w:szCs w:val="22"/>
                <w:highlight w:val="none"/>
                <w:lang w:val="en-US" w:eastAsia="zh-CN" w:bidi="ar"/>
              </w:rPr>
              <w:t>/耗氧量</w:t>
            </w:r>
          </w:p>
        </w:tc>
        <w:tc>
          <w:tcPr>
            <w:tcW w:w="1120" w:type="dxa"/>
            <w:shd w:val="clear" w:color="auto" w:fill="auto"/>
            <w:vAlign w:val="center"/>
          </w:tcPr>
          <w:p w14:paraId="070A7C0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026312D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0.9</w:t>
            </w:r>
          </w:p>
        </w:tc>
        <w:tc>
          <w:tcPr>
            <w:tcW w:w="849" w:type="dxa"/>
            <w:shd w:val="clear" w:color="auto" w:fill="auto"/>
            <w:vAlign w:val="center"/>
          </w:tcPr>
          <w:p w14:paraId="4994D97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0.3</w:t>
            </w:r>
          </w:p>
        </w:tc>
        <w:tc>
          <w:tcPr>
            <w:tcW w:w="1049" w:type="dxa"/>
            <w:shd w:val="clear" w:color="auto" w:fill="auto"/>
            <w:vAlign w:val="center"/>
          </w:tcPr>
          <w:p w14:paraId="2586DEA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1.49</w:t>
            </w:r>
          </w:p>
        </w:tc>
        <w:tc>
          <w:tcPr>
            <w:tcW w:w="885" w:type="dxa"/>
            <w:shd w:val="clear" w:color="auto" w:fill="auto"/>
            <w:vAlign w:val="center"/>
          </w:tcPr>
          <w:p w14:paraId="6D3712A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0.497</w:t>
            </w:r>
          </w:p>
        </w:tc>
        <w:tc>
          <w:tcPr>
            <w:tcW w:w="1175" w:type="dxa"/>
            <w:shd w:val="clear" w:color="auto" w:fill="auto"/>
            <w:vAlign w:val="center"/>
          </w:tcPr>
          <w:p w14:paraId="53799BD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0.7</w:t>
            </w:r>
          </w:p>
        </w:tc>
        <w:tc>
          <w:tcPr>
            <w:tcW w:w="1070" w:type="dxa"/>
            <w:shd w:val="clear" w:color="auto" w:fill="auto"/>
            <w:vAlign w:val="center"/>
          </w:tcPr>
          <w:p w14:paraId="4BC5886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0.23</w:t>
            </w:r>
          </w:p>
        </w:tc>
        <w:tc>
          <w:tcPr>
            <w:tcW w:w="1000" w:type="dxa"/>
            <w:shd w:val="clear" w:color="auto" w:fill="auto"/>
            <w:noWrap/>
            <w:vAlign w:val="center"/>
          </w:tcPr>
          <w:p w14:paraId="0FB3F96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3</w:t>
            </w:r>
          </w:p>
        </w:tc>
      </w:tr>
      <w:tr w14:paraId="7F88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7BB85A9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总大肠菌群</w:t>
            </w:r>
          </w:p>
        </w:tc>
        <w:tc>
          <w:tcPr>
            <w:tcW w:w="1120" w:type="dxa"/>
            <w:shd w:val="clear" w:color="auto" w:fill="auto"/>
            <w:vAlign w:val="center"/>
          </w:tcPr>
          <w:p w14:paraId="7CE7348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MPN/100mL</w:t>
            </w:r>
          </w:p>
        </w:tc>
        <w:tc>
          <w:tcPr>
            <w:tcW w:w="1211" w:type="dxa"/>
            <w:shd w:val="clear" w:color="auto" w:fill="auto"/>
            <w:vAlign w:val="center"/>
          </w:tcPr>
          <w:p w14:paraId="65981FC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default" w:ascii="Arial" w:hAnsi="Arial" w:eastAsia="宋体" w:cs="Arial"/>
                <w:snapToGrid w:val="0"/>
                <w:color w:val="auto"/>
                <w:kern w:val="0"/>
                <w:sz w:val="22"/>
                <w:szCs w:val="22"/>
                <w:highlight w:val="none"/>
              </w:rPr>
              <w:t>&lt;</w:t>
            </w:r>
            <w:r>
              <w:rPr>
                <w:rFonts w:hint="eastAsia" w:ascii="Arial" w:hAnsi="Arial" w:cs="Arial"/>
                <w:snapToGrid w:val="0"/>
                <w:color w:val="auto"/>
                <w:kern w:val="0"/>
                <w:sz w:val="22"/>
                <w:szCs w:val="22"/>
                <w:highlight w:val="none"/>
                <w:lang w:val="en-US" w:eastAsia="zh-CN"/>
              </w:rPr>
              <w:t>2</w:t>
            </w:r>
          </w:p>
        </w:tc>
        <w:tc>
          <w:tcPr>
            <w:tcW w:w="849" w:type="dxa"/>
            <w:shd w:val="clear" w:color="auto" w:fill="auto"/>
            <w:vAlign w:val="center"/>
          </w:tcPr>
          <w:p w14:paraId="14A8300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0C7C5AE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rPr>
              <w:t>&lt;</w:t>
            </w:r>
            <w:r>
              <w:rPr>
                <w:rFonts w:hint="eastAsia" w:ascii="Arial" w:hAnsi="Arial" w:cs="Arial"/>
                <w:snapToGrid w:val="0"/>
                <w:color w:val="auto"/>
                <w:kern w:val="0"/>
                <w:sz w:val="22"/>
                <w:szCs w:val="22"/>
                <w:highlight w:val="none"/>
                <w:lang w:val="en-US" w:eastAsia="zh-CN"/>
              </w:rPr>
              <w:t>2</w:t>
            </w:r>
          </w:p>
        </w:tc>
        <w:tc>
          <w:tcPr>
            <w:tcW w:w="885" w:type="dxa"/>
            <w:shd w:val="clear" w:color="auto" w:fill="auto"/>
            <w:vAlign w:val="center"/>
          </w:tcPr>
          <w:p w14:paraId="7DB0244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457A935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未检出</w:t>
            </w:r>
          </w:p>
        </w:tc>
        <w:tc>
          <w:tcPr>
            <w:tcW w:w="1070" w:type="dxa"/>
            <w:shd w:val="clear" w:color="auto" w:fill="auto"/>
            <w:vAlign w:val="center"/>
          </w:tcPr>
          <w:p w14:paraId="6F01C9C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noWrap/>
            <w:vAlign w:val="center"/>
          </w:tcPr>
          <w:p w14:paraId="0580F34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3</w:t>
            </w:r>
          </w:p>
        </w:tc>
      </w:tr>
      <w:tr w14:paraId="7E61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5C98B40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菌落总数</w:t>
            </w:r>
          </w:p>
        </w:tc>
        <w:tc>
          <w:tcPr>
            <w:tcW w:w="1120" w:type="dxa"/>
            <w:shd w:val="clear" w:color="auto" w:fill="auto"/>
            <w:vAlign w:val="center"/>
          </w:tcPr>
          <w:p w14:paraId="1EC7919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CFU/mL</w:t>
            </w:r>
          </w:p>
        </w:tc>
        <w:tc>
          <w:tcPr>
            <w:tcW w:w="1211" w:type="dxa"/>
            <w:shd w:val="clear" w:color="auto" w:fill="auto"/>
            <w:vAlign w:val="center"/>
          </w:tcPr>
          <w:p w14:paraId="2624034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75</w:t>
            </w:r>
          </w:p>
        </w:tc>
        <w:tc>
          <w:tcPr>
            <w:tcW w:w="849" w:type="dxa"/>
            <w:shd w:val="clear" w:color="auto" w:fill="auto"/>
            <w:vAlign w:val="center"/>
          </w:tcPr>
          <w:p w14:paraId="22B8FBB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0.75</w:t>
            </w:r>
          </w:p>
        </w:tc>
        <w:tc>
          <w:tcPr>
            <w:tcW w:w="1049" w:type="dxa"/>
            <w:shd w:val="clear" w:color="auto" w:fill="auto"/>
            <w:vAlign w:val="center"/>
          </w:tcPr>
          <w:p w14:paraId="7A03950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84</w:t>
            </w:r>
          </w:p>
        </w:tc>
        <w:tc>
          <w:tcPr>
            <w:tcW w:w="885" w:type="dxa"/>
            <w:shd w:val="clear" w:color="auto" w:fill="auto"/>
            <w:vAlign w:val="center"/>
          </w:tcPr>
          <w:p w14:paraId="425CCE2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0.084</w:t>
            </w:r>
          </w:p>
        </w:tc>
        <w:tc>
          <w:tcPr>
            <w:tcW w:w="1175" w:type="dxa"/>
            <w:shd w:val="clear" w:color="auto" w:fill="auto"/>
            <w:vAlign w:val="center"/>
          </w:tcPr>
          <w:p w14:paraId="15CE556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8</w:t>
            </w:r>
          </w:p>
        </w:tc>
        <w:tc>
          <w:tcPr>
            <w:tcW w:w="1070" w:type="dxa"/>
            <w:shd w:val="clear" w:color="auto" w:fill="auto"/>
            <w:vAlign w:val="center"/>
          </w:tcPr>
          <w:p w14:paraId="502AC35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0.8</w:t>
            </w:r>
          </w:p>
        </w:tc>
        <w:tc>
          <w:tcPr>
            <w:tcW w:w="1000" w:type="dxa"/>
            <w:shd w:val="clear" w:color="auto" w:fill="auto"/>
            <w:vAlign w:val="center"/>
          </w:tcPr>
          <w:p w14:paraId="76C3427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100</w:t>
            </w:r>
          </w:p>
        </w:tc>
      </w:tr>
      <w:tr w14:paraId="2C69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13C0715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阴离子表面活性剂</w:t>
            </w:r>
          </w:p>
        </w:tc>
        <w:tc>
          <w:tcPr>
            <w:tcW w:w="1120" w:type="dxa"/>
            <w:shd w:val="clear" w:color="auto" w:fill="auto"/>
            <w:vAlign w:val="center"/>
          </w:tcPr>
          <w:p w14:paraId="124574F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32DAA22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849" w:type="dxa"/>
            <w:shd w:val="clear" w:color="auto" w:fill="auto"/>
            <w:vAlign w:val="center"/>
          </w:tcPr>
          <w:p w14:paraId="4448999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512F134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885" w:type="dxa"/>
            <w:shd w:val="clear" w:color="auto" w:fill="auto"/>
            <w:vAlign w:val="center"/>
          </w:tcPr>
          <w:p w14:paraId="2709BAA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7DB1BD4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0.05L</w:t>
            </w:r>
          </w:p>
        </w:tc>
        <w:tc>
          <w:tcPr>
            <w:tcW w:w="1070" w:type="dxa"/>
            <w:shd w:val="clear" w:color="auto" w:fill="auto"/>
            <w:vAlign w:val="center"/>
          </w:tcPr>
          <w:p w14:paraId="052DCA9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w:t>
            </w:r>
          </w:p>
        </w:tc>
        <w:tc>
          <w:tcPr>
            <w:tcW w:w="1000" w:type="dxa"/>
            <w:shd w:val="clear" w:color="auto" w:fill="auto"/>
            <w:vAlign w:val="center"/>
          </w:tcPr>
          <w:p w14:paraId="17DC6B0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0.3</w:t>
            </w:r>
          </w:p>
        </w:tc>
      </w:tr>
      <w:tr w14:paraId="77B6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366" w:type="dxa"/>
            <w:shd w:val="clear" w:color="auto" w:fill="auto"/>
            <w:vAlign w:val="center"/>
          </w:tcPr>
          <w:p w14:paraId="633B3CC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氨氮</w:t>
            </w:r>
          </w:p>
        </w:tc>
        <w:tc>
          <w:tcPr>
            <w:tcW w:w="1120" w:type="dxa"/>
            <w:shd w:val="clear" w:color="auto" w:fill="auto"/>
            <w:vAlign w:val="center"/>
          </w:tcPr>
          <w:p w14:paraId="5CB1B05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5924355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0.13</w:t>
            </w:r>
          </w:p>
        </w:tc>
        <w:tc>
          <w:tcPr>
            <w:tcW w:w="849" w:type="dxa"/>
            <w:shd w:val="clear" w:color="auto" w:fill="auto"/>
            <w:vAlign w:val="center"/>
          </w:tcPr>
          <w:p w14:paraId="29D69F1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0.26</w:t>
            </w:r>
          </w:p>
        </w:tc>
        <w:tc>
          <w:tcPr>
            <w:tcW w:w="1049" w:type="dxa"/>
            <w:shd w:val="clear" w:color="auto" w:fill="auto"/>
            <w:vAlign w:val="center"/>
          </w:tcPr>
          <w:p w14:paraId="71D475C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0.08</w:t>
            </w:r>
          </w:p>
        </w:tc>
        <w:tc>
          <w:tcPr>
            <w:tcW w:w="885" w:type="dxa"/>
            <w:shd w:val="clear" w:color="auto" w:fill="auto"/>
            <w:vAlign w:val="center"/>
          </w:tcPr>
          <w:p w14:paraId="649AEFC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0.16</w:t>
            </w:r>
          </w:p>
        </w:tc>
        <w:tc>
          <w:tcPr>
            <w:tcW w:w="1175" w:type="dxa"/>
            <w:shd w:val="clear" w:color="auto" w:fill="auto"/>
            <w:vAlign w:val="center"/>
          </w:tcPr>
          <w:p w14:paraId="7805709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0.143</w:t>
            </w:r>
          </w:p>
        </w:tc>
        <w:tc>
          <w:tcPr>
            <w:tcW w:w="1070" w:type="dxa"/>
            <w:shd w:val="clear" w:color="auto" w:fill="auto"/>
            <w:vAlign w:val="center"/>
          </w:tcPr>
          <w:p w14:paraId="5166A64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0.286</w:t>
            </w:r>
          </w:p>
        </w:tc>
        <w:tc>
          <w:tcPr>
            <w:tcW w:w="1000" w:type="dxa"/>
            <w:shd w:val="clear" w:color="auto" w:fill="auto"/>
            <w:vAlign w:val="center"/>
          </w:tcPr>
          <w:p w14:paraId="57A5DDF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0.5</w:t>
            </w:r>
          </w:p>
        </w:tc>
      </w:tr>
      <w:tr w14:paraId="2FA5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30CBA76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石油类</w:t>
            </w:r>
          </w:p>
        </w:tc>
        <w:tc>
          <w:tcPr>
            <w:tcW w:w="1120" w:type="dxa"/>
            <w:shd w:val="clear" w:color="auto" w:fill="auto"/>
            <w:vAlign w:val="center"/>
          </w:tcPr>
          <w:p w14:paraId="5CB6577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04E1776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0.03</w:t>
            </w:r>
          </w:p>
        </w:tc>
        <w:tc>
          <w:tcPr>
            <w:tcW w:w="849" w:type="dxa"/>
            <w:shd w:val="clear" w:color="auto" w:fill="auto"/>
            <w:vAlign w:val="center"/>
          </w:tcPr>
          <w:p w14:paraId="04539B0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6262705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0.04</w:t>
            </w:r>
          </w:p>
        </w:tc>
        <w:tc>
          <w:tcPr>
            <w:tcW w:w="885" w:type="dxa"/>
            <w:shd w:val="clear" w:color="auto" w:fill="auto"/>
            <w:vAlign w:val="center"/>
          </w:tcPr>
          <w:p w14:paraId="09A4F1D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570F16B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0.01L</w:t>
            </w:r>
          </w:p>
        </w:tc>
        <w:tc>
          <w:tcPr>
            <w:tcW w:w="1070" w:type="dxa"/>
            <w:shd w:val="clear" w:color="auto" w:fill="auto"/>
            <w:vAlign w:val="center"/>
          </w:tcPr>
          <w:p w14:paraId="3813A5D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rPr>
              <w:t>/</w:t>
            </w:r>
          </w:p>
        </w:tc>
        <w:tc>
          <w:tcPr>
            <w:tcW w:w="1000" w:type="dxa"/>
            <w:shd w:val="clear" w:color="auto" w:fill="auto"/>
            <w:vAlign w:val="center"/>
          </w:tcPr>
          <w:p w14:paraId="5A4C5B2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w:t>
            </w:r>
          </w:p>
        </w:tc>
      </w:tr>
      <w:tr w14:paraId="4DDD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4189C62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铁</w:t>
            </w:r>
          </w:p>
        </w:tc>
        <w:tc>
          <w:tcPr>
            <w:tcW w:w="1120" w:type="dxa"/>
            <w:shd w:val="clear" w:color="auto" w:fill="auto"/>
            <w:vAlign w:val="center"/>
          </w:tcPr>
          <w:p w14:paraId="60A670E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046248D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0.01L</w:t>
            </w:r>
          </w:p>
        </w:tc>
        <w:tc>
          <w:tcPr>
            <w:tcW w:w="849" w:type="dxa"/>
            <w:shd w:val="clear" w:color="auto" w:fill="auto"/>
            <w:vAlign w:val="center"/>
          </w:tcPr>
          <w:p w14:paraId="78C6372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22D163F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0.01L</w:t>
            </w:r>
          </w:p>
        </w:tc>
        <w:tc>
          <w:tcPr>
            <w:tcW w:w="885" w:type="dxa"/>
            <w:shd w:val="clear" w:color="auto" w:fill="auto"/>
            <w:vAlign w:val="center"/>
          </w:tcPr>
          <w:p w14:paraId="3DE6F68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60D4FE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0.03L</w:t>
            </w:r>
          </w:p>
        </w:tc>
        <w:tc>
          <w:tcPr>
            <w:tcW w:w="1070" w:type="dxa"/>
            <w:shd w:val="clear" w:color="auto" w:fill="auto"/>
            <w:vAlign w:val="center"/>
          </w:tcPr>
          <w:p w14:paraId="4BD7A7F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rPr>
              <w:t>/</w:t>
            </w:r>
          </w:p>
        </w:tc>
        <w:tc>
          <w:tcPr>
            <w:tcW w:w="1000" w:type="dxa"/>
            <w:shd w:val="clear" w:color="auto" w:fill="auto"/>
            <w:vAlign w:val="center"/>
          </w:tcPr>
          <w:p w14:paraId="684DA38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0.3</w:t>
            </w:r>
          </w:p>
        </w:tc>
      </w:tr>
      <w:tr w14:paraId="3FAB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6" w:type="dxa"/>
            <w:shd w:val="clear" w:color="auto" w:fill="auto"/>
            <w:vAlign w:val="center"/>
          </w:tcPr>
          <w:p w14:paraId="34D5D03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锰</w:t>
            </w:r>
          </w:p>
        </w:tc>
        <w:tc>
          <w:tcPr>
            <w:tcW w:w="1120" w:type="dxa"/>
            <w:shd w:val="clear" w:color="auto" w:fill="auto"/>
            <w:vAlign w:val="center"/>
          </w:tcPr>
          <w:p w14:paraId="6552E74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mg/L</w:t>
            </w:r>
          </w:p>
        </w:tc>
        <w:tc>
          <w:tcPr>
            <w:tcW w:w="1211" w:type="dxa"/>
            <w:shd w:val="clear" w:color="auto" w:fill="auto"/>
            <w:vAlign w:val="center"/>
          </w:tcPr>
          <w:p w14:paraId="540E381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0.01L</w:t>
            </w:r>
          </w:p>
        </w:tc>
        <w:tc>
          <w:tcPr>
            <w:tcW w:w="849" w:type="dxa"/>
            <w:shd w:val="clear" w:color="auto" w:fill="auto"/>
            <w:vAlign w:val="center"/>
          </w:tcPr>
          <w:p w14:paraId="4937EB4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049" w:type="dxa"/>
            <w:shd w:val="clear" w:color="auto" w:fill="auto"/>
            <w:vAlign w:val="center"/>
          </w:tcPr>
          <w:p w14:paraId="24E6D67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0.01L</w:t>
            </w:r>
          </w:p>
        </w:tc>
        <w:tc>
          <w:tcPr>
            <w:tcW w:w="885" w:type="dxa"/>
            <w:shd w:val="clear" w:color="auto" w:fill="auto"/>
            <w:vAlign w:val="center"/>
          </w:tcPr>
          <w:p w14:paraId="3B78AAE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val="en-US" w:eastAsia="zh-CN"/>
              </w:rPr>
            </w:pPr>
            <w:r>
              <w:rPr>
                <w:rFonts w:hint="eastAsia" w:ascii="Arial" w:hAnsi="Arial" w:cs="Arial"/>
                <w:snapToGrid w:val="0"/>
                <w:color w:val="auto"/>
                <w:kern w:val="0"/>
                <w:sz w:val="22"/>
                <w:szCs w:val="22"/>
                <w:highlight w:val="none"/>
                <w:lang w:val="en-US" w:eastAsia="zh-CN"/>
              </w:rPr>
              <w:t>/</w:t>
            </w:r>
          </w:p>
        </w:tc>
        <w:tc>
          <w:tcPr>
            <w:tcW w:w="1175" w:type="dxa"/>
            <w:shd w:val="clear" w:color="auto" w:fill="auto"/>
            <w:vAlign w:val="center"/>
          </w:tcPr>
          <w:p w14:paraId="7CA0C89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lang w:bidi="ar"/>
              </w:rPr>
              <w:t>0.01L</w:t>
            </w:r>
          </w:p>
        </w:tc>
        <w:tc>
          <w:tcPr>
            <w:tcW w:w="1070" w:type="dxa"/>
            <w:shd w:val="clear" w:color="auto" w:fill="auto"/>
            <w:vAlign w:val="center"/>
          </w:tcPr>
          <w:p w14:paraId="58D46F0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SA"/>
              </w:rPr>
            </w:pPr>
            <w:r>
              <w:rPr>
                <w:rFonts w:hint="default" w:ascii="Arial" w:hAnsi="Arial" w:eastAsia="宋体" w:cs="Arial"/>
                <w:snapToGrid w:val="0"/>
                <w:color w:val="auto"/>
                <w:kern w:val="0"/>
                <w:sz w:val="22"/>
                <w:szCs w:val="22"/>
                <w:highlight w:val="none"/>
              </w:rPr>
              <w:t>/</w:t>
            </w:r>
          </w:p>
        </w:tc>
        <w:tc>
          <w:tcPr>
            <w:tcW w:w="1000" w:type="dxa"/>
            <w:shd w:val="clear" w:color="auto" w:fill="auto"/>
            <w:vAlign w:val="center"/>
          </w:tcPr>
          <w:p w14:paraId="17323E1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rPr>
            </w:pPr>
            <w:r>
              <w:rPr>
                <w:rFonts w:hint="default" w:ascii="Arial" w:hAnsi="Arial" w:eastAsia="宋体" w:cs="Arial"/>
                <w:snapToGrid w:val="0"/>
                <w:color w:val="auto"/>
                <w:kern w:val="0"/>
                <w:sz w:val="22"/>
                <w:szCs w:val="22"/>
                <w:highlight w:val="none"/>
                <w:lang w:bidi="ar"/>
              </w:rPr>
              <w:t>0.1</w:t>
            </w:r>
          </w:p>
        </w:tc>
      </w:tr>
    </w:tbl>
    <w:p w14:paraId="68B7A20D">
      <w:pPr>
        <w:keepNext w:val="0"/>
        <w:keepLines w:val="0"/>
        <w:pageBreakBefore w:val="0"/>
        <w:widowControl w:val="0"/>
        <w:kinsoku/>
        <w:wordWrap/>
        <w:overflowPunct/>
        <w:topLinePunct w:val="0"/>
        <w:autoSpaceDE/>
        <w:autoSpaceDN/>
        <w:bidi w:val="0"/>
        <w:adjustRightInd w:val="0"/>
        <w:snapToGrid w:val="0"/>
        <w:spacing w:line="240" w:lineRule="exact"/>
        <w:ind w:firstLine="520" w:firstLineChars="200"/>
        <w:jc w:val="both"/>
        <w:textAlignment w:val="auto"/>
        <w:rPr>
          <w:rFonts w:hint="eastAsia" w:ascii="Arial" w:hAnsi="Arial" w:eastAsia="宋体" w:cs="Arial"/>
          <w:b w:val="0"/>
          <w:bCs/>
          <w:kern w:val="0"/>
          <w:sz w:val="26"/>
          <w:szCs w:val="26"/>
          <w:lang w:val="en-US" w:eastAsia="zh-CN" w:bidi="ar-SA"/>
        </w:rPr>
      </w:pPr>
    </w:p>
    <w:p w14:paraId="467C75CB">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Arial" w:hAnsi="Arial" w:eastAsia="宋体" w:cs="Arial"/>
          <w:b w:val="0"/>
          <w:bCs/>
          <w:kern w:val="0"/>
          <w:sz w:val="26"/>
          <w:szCs w:val="26"/>
          <w:lang w:val="en-US" w:eastAsia="zh-CN" w:bidi="ar-SA"/>
        </w:rPr>
      </w:pPr>
      <w:r>
        <w:rPr>
          <w:rFonts w:hint="eastAsia" w:ascii="Arial" w:hAnsi="Arial" w:eastAsia="宋体" w:cs="Arial"/>
          <w:b w:val="0"/>
          <w:bCs/>
          <w:kern w:val="0"/>
          <w:sz w:val="26"/>
          <w:szCs w:val="26"/>
          <w:lang w:val="en-US" w:eastAsia="zh-CN" w:bidi="ar-SA"/>
        </w:rPr>
        <w:t>由表4.3-10可知，</w:t>
      </w:r>
      <w:r>
        <w:rPr>
          <w:rFonts w:hint="eastAsia" w:ascii="Arial" w:cs="Arial"/>
          <w:spacing w:val="-4"/>
          <w:sz w:val="26"/>
          <w:szCs w:val="26"/>
          <w:lang w:val="en-US"/>
        </w:rPr>
        <w:t>本项目设置的</w:t>
      </w:r>
      <w:r>
        <w:rPr>
          <w:rFonts w:hint="eastAsia" w:ascii="Arial" w:cs="Arial"/>
          <w:spacing w:val="-4"/>
          <w:sz w:val="26"/>
          <w:szCs w:val="26"/>
          <w:lang w:val="en-US" w:eastAsia="zh-CN"/>
        </w:rPr>
        <w:t>3</w:t>
      </w:r>
      <w:r>
        <w:rPr>
          <w:rFonts w:hint="eastAsia" w:ascii="Arial" w:cs="Arial"/>
          <w:spacing w:val="-4"/>
          <w:sz w:val="26"/>
          <w:szCs w:val="26"/>
          <w:lang w:val="en-US"/>
        </w:rPr>
        <w:t>处</w:t>
      </w:r>
      <w:r>
        <w:rPr>
          <w:rFonts w:hint="eastAsia" w:ascii="Arial" w:cs="Arial"/>
          <w:spacing w:val="-4"/>
          <w:sz w:val="26"/>
          <w:szCs w:val="26"/>
          <w:lang w:val="en-US" w:eastAsia="zh-CN"/>
        </w:rPr>
        <w:t>地下水监测点</w:t>
      </w:r>
      <w:r>
        <w:rPr>
          <w:rFonts w:hint="eastAsia" w:ascii="Arial" w:cs="Arial"/>
          <w:spacing w:val="-4"/>
          <w:sz w:val="26"/>
          <w:szCs w:val="26"/>
          <w:lang w:val="en-US"/>
        </w:rPr>
        <w:t>各项监测因子均能够达到《地下水质量标准》（</w:t>
      </w:r>
      <w:r>
        <w:rPr>
          <w:rFonts w:ascii="Arial" w:cs="Arial"/>
          <w:spacing w:val="-4"/>
          <w:sz w:val="26"/>
          <w:szCs w:val="26"/>
          <w:lang w:val="en-US"/>
        </w:rPr>
        <w:t>GB/T14848-2017</w:t>
      </w:r>
      <w:r>
        <w:rPr>
          <w:rFonts w:hint="eastAsia" w:ascii="Arial" w:cs="Arial"/>
          <w:spacing w:val="-4"/>
          <w:sz w:val="26"/>
          <w:szCs w:val="26"/>
          <w:lang w:val="en-US"/>
        </w:rPr>
        <w:t>）中</w:t>
      </w:r>
      <w:r>
        <w:rPr>
          <w:rFonts w:ascii="Arial" w:cs="Arial"/>
          <w:spacing w:val="-4"/>
          <w:sz w:val="26"/>
          <w:szCs w:val="26"/>
          <w:lang w:val="en-US"/>
        </w:rPr>
        <w:fldChar w:fldCharType="begin"/>
      </w:r>
      <w:r>
        <w:rPr>
          <w:rFonts w:ascii="Arial" w:cs="Arial"/>
          <w:spacing w:val="-4"/>
          <w:sz w:val="26"/>
          <w:szCs w:val="26"/>
          <w:lang w:val="en-US"/>
        </w:rPr>
        <w:instrText xml:space="preserve"> = 3 \* ROMAN </w:instrText>
      </w:r>
      <w:r>
        <w:rPr>
          <w:rFonts w:ascii="Arial" w:cs="Arial"/>
          <w:spacing w:val="-4"/>
          <w:sz w:val="26"/>
          <w:szCs w:val="26"/>
          <w:lang w:val="en-US"/>
        </w:rPr>
        <w:fldChar w:fldCharType="separate"/>
      </w:r>
      <w:r>
        <w:rPr>
          <w:rFonts w:ascii="Arial" w:cs="Arial"/>
          <w:spacing w:val="-4"/>
          <w:sz w:val="26"/>
          <w:szCs w:val="26"/>
          <w:lang w:val="en-US"/>
        </w:rPr>
        <w:t>III</w:t>
      </w:r>
      <w:r>
        <w:rPr>
          <w:rFonts w:ascii="Arial" w:cs="Arial"/>
          <w:spacing w:val="-4"/>
          <w:sz w:val="26"/>
          <w:szCs w:val="26"/>
          <w:lang w:val="en-US"/>
        </w:rPr>
        <w:fldChar w:fldCharType="end"/>
      </w:r>
      <w:r>
        <w:rPr>
          <w:rFonts w:hint="eastAsia" w:ascii="Arial" w:cs="Arial"/>
          <w:spacing w:val="-4"/>
          <w:sz w:val="26"/>
          <w:szCs w:val="26"/>
          <w:lang w:val="en-US"/>
        </w:rPr>
        <w:t>类水质标准。</w:t>
      </w:r>
    </w:p>
    <w:p w14:paraId="1F8A72D8">
      <w:pPr>
        <w:spacing w:line="480" w:lineRule="exact"/>
        <w:ind w:firstLine="392" w:firstLineChars="150"/>
        <w:outlineLvl w:val="3"/>
        <w:rPr>
          <w:rFonts w:hint="eastAsia" w:ascii="Arial" w:eastAsia="宋体" w:cs="Arial"/>
          <w:b/>
          <w:sz w:val="26"/>
          <w:szCs w:val="26"/>
          <w:lang w:eastAsia="zh-CN"/>
        </w:rPr>
      </w:pPr>
      <w:r>
        <w:rPr>
          <w:rFonts w:hint="eastAsia" w:ascii="Arial" w:cs="Arial"/>
          <w:b/>
          <w:sz w:val="26"/>
          <w:szCs w:val="26"/>
        </w:rPr>
        <w:t>（</w:t>
      </w:r>
      <w:r>
        <w:rPr>
          <w:rFonts w:hint="eastAsia" w:ascii="Arial" w:cs="Arial"/>
          <w:b/>
          <w:sz w:val="26"/>
          <w:szCs w:val="26"/>
          <w:lang w:val="en-US" w:eastAsia="zh-CN"/>
        </w:rPr>
        <w:t>5</w:t>
      </w:r>
      <w:r>
        <w:rPr>
          <w:rFonts w:hint="eastAsia" w:ascii="Arial" w:cs="Arial"/>
          <w:b/>
          <w:sz w:val="26"/>
          <w:szCs w:val="26"/>
        </w:rPr>
        <w:t>）</w:t>
      </w:r>
      <w:r>
        <w:rPr>
          <w:rFonts w:hint="eastAsia" w:ascii="Arial" w:cs="Arial"/>
          <w:b/>
          <w:sz w:val="26"/>
          <w:szCs w:val="26"/>
          <w:lang w:eastAsia="zh-CN"/>
        </w:rPr>
        <w:t>地下水水位调查</w:t>
      </w:r>
    </w:p>
    <w:p w14:paraId="040342AD">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eastAsia" w:ascii="Arial" w:hAnsi="Arial" w:eastAsia="宋体" w:cs="Arial"/>
          <w:b w:val="0"/>
          <w:bCs/>
          <w:kern w:val="0"/>
          <w:sz w:val="26"/>
          <w:szCs w:val="26"/>
          <w:lang w:val="en-US" w:eastAsia="zh-CN" w:bidi="ar-SA"/>
        </w:rPr>
      </w:pPr>
      <w:r>
        <w:rPr>
          <w:rFonts w:hint="eastAsia" w:ascii="Arial" w:hAnsi="Arial" w:eastAsia="宋体" w:cs="Arial"/>
          <w:b w:val="0"/>
          <w:bCs/>
          <w:kern w:val="0"/>
          <w:sz w:val="26"/>
          <w:szCs w:val="26"/>
          <w:lang w:val="en-US" w:eastAsia="zh-CN" w:bidi="ar-SA"/>
        </w:rPr>
        <w:t>结果见下表。</w:t>
      </w:r>
    </w:p>
    <w:p w14:paraId="602CA5E2">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Arial" w:hAnsi="Arial" w:cs="Arial"/>
          <w:b/>
          <w:sz w:val="26"/>
          <w:szCs w:val="26"/>
          <w:highlight w:val="none"/>
        </w:rPr>
      </w:pPr>
      <w:r>
        <w:rPr>
          <w:rFonts w:hint="eastAsia" w:ascii="Arial" w:hAnsi="Arial" w:cs="Arial"/>
          <w:b/>
          <w:sz w:val="26"/>
          <w:szCs w:val="26"/>
          <w:highlight w:val="none"/>
        </w:rPr>
        <w:t>表</w:t>
      </w:r>
      <w:r>
        <w:rPr>
          <w:rFonts w:hint="eastAsia" w:ascii="Arial" w:hAnsi="Arial" w:cs="Arial"/>
          <w:b/>
          <w:sz w:val="26"/>
          <w:szCs w:val="26"/>
          <w:highlight w:val="none"/>
          <w:lang w:val="en-US" w:eastAsia="zh-CN"/>
        </w:rPr>
        <w:t xml:space="preserve">4.3-11 </w:t>
      </w:r>
      <w:r>
        <w:rPr>
          <w:rFonts w:hint="eastAsia" w:ascii="Arial" w:hAnsi="Arial" w:cs="Arial"/>
          <w:b/>
          <w:sz w:val="26"/>
          <w:szCs w:val="26"/>
          <w:highlight w:val="none"/>
        </w:rPr>
        <w:t>地下水水位调查结果一览表</w:t>
      </w:r>
    </w:p>
    <w:p w14:paraId="11B1B991">
      <w:pPr>
        <w:spacing w:line="104" w:lineRule="auto"/>
        <w:rPr>
          <w:rFonts w:ascii="Arial"/>
          <w:sz w:val="2"/>
        </w:rPr>
      </w:pPr>
    </w:p>
    <w:tbl>
      <w:tblPr>
        <w:tblStyle w:val="1893"/>
        <w:tblW w:w="90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01"/>
        <w:gridCol w:w="2997"/>
        <w:gridCol w:w="3012"/>
      </w:tblGrid>
      <w:tr w14:paraId="147BB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jc w:val="center"/>
        </w:trPr>
        <w:tc>
          <w:tcPr>
            <w:tcW w:w="3001" w:type="dxa"/>
            <w:tcBorders>
              <w:top w:val="single" w:color="000000" w:sz="12" w:space="0"/>
              <w:left w:val="single" w:color="000000" w:sz="12" w:space="0"/>
            </w:tcBorders>
            <w:vAlign w:val="center"/>
          </w:tcPr>
          <w:p w14:paraId="06589696">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5"/>
                <w:sz w:val="22"/>
                <w:szCs w:val="22"/>
              </w:rPr>
              <w:t>检测时间</w:t>
            </w:r>
          </w:p>
        </w:tc>
        <w:tc>
          <w:tcPr>
            <w:tcW w:w="2997" w:type="dxa"/>
            <w:tcBorders>
              <w:top w:val="single" w:color="000000" w:sz="12" w:space="0"/>
            </w:tcBorders>
            <w:vAlign w:val="center"/>
          </w:tcPr>
          <w:p w14:paraId="1DD1411F">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2"/>
                <w:sz w:val="22"/>
                <w:szCs w:val="22"/>
              </w:rPr>
              <w:t>检测点位及频次</w:t>
            </w:r>
          </w:p>
        </w:tc>
        <w:tc>
          <w:tcPr>
            <w:tcW w:w="3012" w:type="dxa"/>
            <w:tcBorders>
              <w:top w:val="single" w:color="000000" w:sz="12" w:space="0"/>
              <w:right w:val="single" w:color="000000" w:sz="12" w:space="0"/>
            </w:tcBorders>
            <w:vAlign w:val="center"/>
          </w:tcPr>
          <w:p w14:paraId="2B4C5782">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cs="Arial"/>
                <w:sz w:val="22"/>
                <w:szCs w:val="22"/>
              </w:rPr>
            </w:pPr>
            <w:r>
              <w:rPr>
                <w:rFonts w:hint="default" w:ascii="Arial" w:hAnsi="Arial" w:cs="Arial"/>
                <w:spacing w:val="-3"/>
                <w:sz w:val="22"/>
                <w:szCs w:val="22"/>
              </w:rPr>
              <w:t>水位/m</w:t>
            </w:r>
          </w:p>
        </w:tc>
      </w:tr>
      <w:tr w14:paraId="498BB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jc w:val="center"/>
        </w:trPr>
        <w:tc>
          <w:tcPr>
            <w:tcW w:w="3001" w:type="dxa"/>
            <w:vMerge w:val="restart"/>
            <w:tcBorders>
              <w:left w:val="single" w:color="000000" w:sz="12" w:space="0"/>
            </w:tcBorders>
            <w:vAlign w:val="center"/>
          </w:tcPr>
          <w:p w14:paraId="404256B5">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default" w:ascii="Arial" w:hAnsi="Arial" w:cs="Arial"/>
                <w:spacing w:val="3"/>
                <w:sz w:val="22"/>
                <w:szCs w:val="22"/>
                <w:lang w:val="en-US" w:eastAsia="zh-CN"/>
              </w:rPr>
              <w:t>2024.8.26</w:t>
            </w:r>
          </w:p>
        </w:tc>
        <w:tc>
          <w:tcPr>
            <w:tcW w:w="2997" w:type="dxa"/>
            <w:vAlign w:val="center"/>
          </w:tcPr>
          <w:p w14:paraId="10AFE532">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1#海螺沟水库上游</w:t>
            </w:r>
          </w:p>
        </w:tc>
        <w:tc>
          <w:tcPr>
            <w:tcW w:w="3012" w:type="dxa"/>
            <w:tcBorders>
              <w:right w:val="single" w:color="000000" w:sz="12" w:space="0"/>
            </w:tcBorders>
            <w:vAlign w:val="center"/>
          </w:tcPr>
          <w:p w14:paraId="0FC9DE13">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434.6</w:t>
            </w:r>
          </w:p>
        </w:tc>
      </w:tr>
      <w:tr w14:paraId="38C4D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3001" w:type="dxa"/>
            <w:vMerge w:val="continue"/>
            <w:tcBorders>
              <w:left w:val="single" w:color="000000" w:sz="12" w:space="0"/>
            </w:tcBorders>
            <w:vAlign w:val="center"/>
          </w:tcPr>
          <w:p w14:paraId="30D10BFD">
            <w:pPr>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cs="Arial"/>
                <w:sz w:val="22"/>
                <w:szCs w:val="22"/>
              </w:rPr>
            </w:pPr>
          </w:p>
        </w:tc>
        <w:tc>
          <w:tcPr>
            <w:tcW w:w="2997" w:type="dxa"/>
            <w:vAlign w:val="center"/>
          </w:tcPr>
          <w:p w14:paraId="3457FE5F">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2#海螺沟水库下游</w:t>
            </w:r>
          </w:p>
        </w:tc>
        <w:tc>
          <w:tcPr>
            <w:tcW w:w="3012" w:type="dxa"/>
            <w:tcBorders>
              <w:right w:val="single" w:color="000000" w:sz="12" w:space="0"/>
            </w:tcBorders>
            <w:vAlign w:val="center"/>
          </w:tcPr>
          <w:p w14:paraId="08DA9708">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412.3</w:t>
            </w:r>
          </w:p>
        </w:tc>
      </w:tr>
      <w:tr w14:paraId="2E5FC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3001" w:type="dxa"/>
            <w:tcBorders>
              <w:left w:val="single" w:color="000000" w:sz="12" w:space="0"/>
            </w:tcBorders>
            <w:vAlign w:val="center"/>
          </w:tcPr>
          <w:p w14:paraId="4DC97BDE">
            <w:pPr>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2024.1.24</w:t>
            </w:r>
          </w:p>
        </w:tc>
        <w:tc>
          <w:tcPr>
            <w:tcW w:w="2997" w:type="dxa"/>
            <w:vAlign w:val="center"/>
          </w:tcPr>
          <w:p w14:paraId="1CDA5C3C">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3#海螺沟水库周边</w:t>
            </w:r>
          </w:p>
        </w:tc>
        <w:tc>
          <w:tcPr>
            <w:tcW w:w="3012" w:type="dxa"/>
            <w:tcBorders>
              <w:right w:val="single" w:color="000000" w:sz="12" w:space="0"/>
            </w:tcBorders>
            <w:vAlign w:val="center"/>
          </w:tcPr>
          <w:p w14:paraId="73393504">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cs="Arial"/>
                <w:sz w:val="22"/>
                <w:szCs w:val="22"/>
              </w:rPr>
            </w:pPr>
            <w:r>
              <w:rPr>
                <w:rFonts w:hint="default" w:ascii="Arial" w:hAnsi="Arial" w:eastAsia="宋体" w:cs="Arial"/>
                <w:snapToGrid w:val="0"/>
                <w:color w:val="auto"/>
                <w:kern w:val="0"/>
                <w:sz w:val="22"/>
                <w:szCs w:val="22"/>
                <w:highlight w:val="none"/>
                <w:lang w:bidi="ar"/>
              </w:rPr>
              <w:t>454.6</w:t>
            </w:r>
          </w:p>
        </w:tc>
      </w:tr>
      <w:tr w14:paraId="0FA6C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3001" w:type="dxa"/>
            <w:vMerge w:val="restart"/>
            <w:tcBorders>
              <w:left w:val="single" w:color="000000" w:sz="12" w:space="0"/>
            </w:tcBorders>
            <w:vAlign w:val="center"/>
          </w:tcPr>
          <w:p w14:paraId="3FBBEBC5">
            <w:pPr>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2024.8.27</w:t>
            </w:r>
          </w:p>
        </w:tc>
        <w:tc>
          <w:tcPr>
            <w:tcW w:w="2997" w:type="dxa"/>
            <w:vAlign w:val="center"/>
          </w:tcPr>
          <w:p w14:paraId="59BC4F0F">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4#海螺沟水库周边居民水井</w:t>
            </w:r>
          </w:p>
        </w:tc>
        <w:tc>
          <w:tcPr>
            <w:tcW w:w="3012" w:type="dxa"/>
            <w:tcBorders>
              <w:right w:val="single" w:color="000000" w:sz="12" w:space="0"/>
            </w:tcBorders>
            <w:vAlign w:val="center"/>
          </w:tcPr>
          <w:p w14:paraId="7E1C1906">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527.1</w:t>
            </w:r>
          </w:p>
        </w:tc>
      </w:tr>
      <w:tr w14:paraId="3B472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3001" w:type="dxa"/>
            <w:vMerge w:val="continue"/>
            <w:tcBorders>
              <w:left w:val="single" w:color="000000" w:sz="12" w:space="0"/>
            </w:tcBorders>
            <w:vAlign w:val="center"/>
          </w:tcPr>
          <w:p w14:paraId="6B06615A">
            <w:pPr>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cs="Arial"/>
                <w:sz w:val="22"/>
                <w:szCs w:val="22"/>
              </w:rPr>
            </w:pPr>
          </w:p>
        </w:tc>
        <w:tc>
          <w:tcPr>
            <w:tcW w:w="2997" w:type="dxa"/>
            <w:vAlign w:val="center"/>
          </w:tcPr>
          <w:p w14:paraId="6C78445E">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5#海螺沟水库周边居民水井</w:t>
            </w:r>
          </w:p>
        </w:tc>
        <w:tc>
          <w:tcPr>
            <w:tcW w:w="3012" w:type="dxa"/>
            <w:tcBorders>
              <w:right w:val="single" w:color="000000" w:sz="12" w:space="0"/>
            </w:tcBorders>
            <w:vAlign w:val="center"/>
          </w:tcPr>
          <w:p w14:paraId="4E7DB17B">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531.4</w:t>
            </w:r>
          </w:p>
        </w:tc>
      </w:tr>
      <w:tr w14:paraId="4B000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3001" w:type="dxa"/>
            <w:vMerge w:val="continue"/>
            <w:tcBorders>
              <w:left w:val="single" w:color="000000" w:sz="12" w:space="0"/>
              <w:bottom w:val="single" w:color="000000" w:sz="12" w:space="0"/>
            </w:tcBorders>
            <w:vAlign w:val="center"/>
          </w:tcPr>
          <w:p w14:paraId="63566460">
            <w:pPr>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cs="Arial"/>
                <w:sz w:val="22"/>
                <w:szCs w:val="22"/>
              </w:rPr>
            </w:pPr>
          </w:p>
        </w:tc>
        <w:tc>
          <w:tcPr>
            <w:tcW w:w="2997" w:type="dxa"/>
            <w:tcBorders>
              <w:bottom w:val="single" w:color="000000" w:sz="12" w:space="0"/>
            </w:tcBorders>
            <w:vAlign w:val="center"/>
          </w:tcPr>
          <w:p w14:paraId="65362EB8">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default" w:ascii="Arial" w:hAnsi="Arial" w:cs="Arial"/>
                <w:sz w:val="22"/>
                <w:szCs w:val="22"/>
                <w:lang w:val="en-US" w:eastAsia="zh-CN"/>
              </w:rPr>
              <w:t>6#海螺沟水库周边居民水井</w:t>
            </w:r>
          </w:p>
        </w:tc>
        <w:tc>
          <w:tcPr>
            <w:tcW w:w="3012" w:type="dxa"/>
            <w:tcBorders>
              <w:bottom w:val="single" w:color="000000" w:sz="12" w:space="0"/>
              <w:right w:val="single" w:color="000000" w:sz="12" w:space="0"/>
            </w:tcBorders>
            <w:vAlign w:val="center"/>
          </w:tcPr>
          <w:p w14:paraId="6BB8201F">
            <w:pPr>
              <w:pStyle w:val="2102"/>
              <w:keepNext w:val="0"/>
              <w:keepLines w:val="0"/>
              <w:pageBreakBefore w:val="0"/>
              <w:widowControl w:val="0"/>
              <w:kinsoku/>
              <w:wordWrap/>
              <w:overflowPunct/>
              <w:topLinePunct w:val="0"/>
              <w:autoSpaceDE/>
              <w:autoSpaceDN/>
              <w:bidi/>
              <w:adjustRightInd/>
              <w:snapToGrid/>
              <w:spacing w:line="300" w:lineRule="exact"/>
              <w:ind w:left="0"/>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562.3</w:t>
            </w:r>
          </w:p>
        </w:tc>
      </w:tr>
    </w:tbl>
    <w:p w14:paraId="5A2AEDBA">
      <w:pPr>
        <w:keepNext w:val="0"/>
        <w:keepLines w:val="0"/>
        <w:pageBreakBefore w:val="0"/>
        <w:widowControl w:val="0"/>
        <w:kinsoku/>
        <w:wordWrap/>
        <w:overflowPunct/>
        <w:topLinePunct w:val="0"/>
        <w:autoSpaceDE/>
        <w:autoSpaceDN/>
        <w:bidi w:val="0"/>
        <w:adjustRightInd w:val="0"/>
        <w:snapToGrid w:val="0"/>
        <w:spacing w:line="240" w:lineRule="exact"/>
        <w:ind w:firstLine="520" w:firstLineChars="200"/>
        <w:jc w:val="both"/>
        <w:textAlignment w:val="auto"/>
        <w:rPr>
          <w:rFonts w:hint="eastAsia" w:ascii="Arial" w:hAnsi="Arial" w:eastAsia="宋体" w:cs="Arial"/>
          <w:b w:val="0"/>
          <w:bCs/>
          <w:kern w:val="0"/>
          <w:sz w:val="26"/>
          <w:szCs w:val="26"/>
          <w:lang w:val="en-US" w:eastAsia="zh-CN" w:bidi="ar-SA"/>
        </w:rPr>
      </w:pPr>
    </w:p>
    <w:p w14:paraId="6B8F35A1">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default" w:ascii="Arial" w:hAnsi="Arial" w:eastAsia="宋体" w:cs="Arial"/>
          <w:b/>
          <w:bCs w:val="0"/>
          <w:kern w:val="0"/>
          <w:sz w:val="26"/>
          <w:szCs w:val="26"/>
          <w:lang w:val="en-US" w:eastAsia="zh-CN" w:bidi="ar-SA"/>
        </w:rPr>
      </w:pPr>
      <w:r>
        <w:rPr>
          <w:rFonts w:hint="eastAsia" w:ascii="Arial" w:hAnsi="Arial" w:cs="Arial"/>
          <w:b/>
          <w:bCs w:val="0"/>
          <w:kern w:val="0"/>
          <w:sz w:val="26"/>
          <w:szCs w:val="26"/>
          <w:lang w:val="en-US" w:eastAsia="zh-CN" w:bidi="ar-SA"/>
        </w:rPr>
        <w:t>4.3.4土壤</w:t>
      </w:r>
      <w:r>
        <w:rPr>
          <w:rFonts w:hint="eastAsia" w:ascii="Arial" w:hAnsi="Arial" w:eastAsia="宋体" w:cs="Arial"/>
          <w:b/>
          <w:bCs w:val="0"/>
          <w:kern w:val="0"/>
          <w:sz w:val="26"/>
          <w:szCs w:val="26"/>
          <w:lang w:val="en-US" w:eastAsia="zh-CN" w:bidi="ar-SA"/>
        </w:rPr>
        <w:t>环境质量现状与评价</w:t>
      </w:r>
    </w:p>
    <w:p w14:paraId="3B26B800">
      <w:pPr>
        <w:keepNext w:val="0"/>
        <w:keepLines w:val="0"/>
        <w:pageBreakBefore w:val="0"/>
        <w:widowControl w:val="0"/>
        <w:kinsoku/>
        <w:wordWrap/>
        <w:overflowPunct/>
        <w:topLinePunct w:val="0"/>
        <w:autoSpaceDE/>
        <w:autoSpaceDN/>
        <w:bidi w:val="0"/>
        <w:spacing w:line="460" w:lineRule="exact"/>
        <w:ind w:firstLine="392" w:firstLineChars="150"/>
        <w:textAlignment w:val="auto"/>
        <w:rPr>
          <w:rFonts w:hint="eastAsia" w:ascii="Arial" w:cs="Arial"/>
          <w:b/>
          <w:sz w:val="26"/>
          <w:szCs w:val="26"/>
        </w:rPr>
      </w:pPr>
      <w:r>
        <w:rPr>
          <w:rFonts w:hint="eastAsia" w:ascii="Arial" w:cs="Arial"/>
          <w:b/>
          <w:sz w:val="26"/>
          <w:szCs w:val="26"/>
        </w:rPr>
        <w:t>（</w:t>
      </w:r>
      <w:r>
        <w:rPr>
          <w:rFonts w:ascii="Arial" w:cs="Arial"/>
          <w:b/>
          <w:sz w:val="26"/>
          <w:szCs w:val="26"/>
        </w:rPr>
        <w:t>1</w:t>
      </w:r>
      <w:r>
        <w:rPr>
          <w:rFonts w:hint="eastAsia" w:ascii="Arial" w:cs="Arial"/>
          <w:b/>
          <w:sz w:val="26"/>
          <w:szCs w:val="26"/>
        </w:rPr>
        <w:t>）现状监测</w:t>
      </w:r>
    </w:p>
    <w:p w14:paraId="3A3874FD">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cs="Arial"/>
          <w:sz w:val="26"/>
          <w:szCs w:val="26"/>
          <w:lang w:val="en-US" w:eastAsia="zh-CN"/>
        </w:rPr>
      </w:pPr>
      <w:r>
        <w:rPr>
          <w:rFonts w:hint="eastAsia" w:ascii="Arial" w:hAnsi="宋体" w:cs="Arial"/>
          <w:b/>
          <w:sz w:val="26"/>
          <w:szCs w:val="26"/>
        </w:rPr>
        <w:t>监测布点：</w:t>
      </w:r>
      <w:r>
        <w:rPr>
          <w:rFonts w:hint="eastAsia" w:ascii="Arial" w:hAnsi="Arial" w:cs="Arial"/>
          <w:sz w:val="26"/>
          <w:szCs w:val="26"/>
          <w:lang w:val="en-US" w:eastAsia="zh-CN"/>
        </w:rPr>
        <w:t>根据《环境影响评价技术导则 土壤环境（试行）》（HJ964-2018），本项目可不进行土壤环境影响评价。但为了解项目所在区域土壤环境背景质量情况，本报告引用</w:t>
      </w:r>
      <w:r>
        <w:rPr>
          <w:rFonts w:hint="eastAsia" w:ascii="Arial" w:hAnsi="Arial" w:cs="Arial"/>
          <w:b w:val="0"/>
          <w:bCs/>
          <w:sz w:val="26"/>
          <w:szCs w:val="26"/>
          <w:lang w:val="en-US" w:eastAsia="zh-CN"/>
        </w:rPr>
        <w:t>《重庆市渠溪河流域综合规划环境影响报告书》于海螺沟水库周边农用地进行实测得出的数据，来进行评价。</w:t>
      </w:r>
    </w:p>
    <w:p w14:paraId="184D99EE">
      <w:pPr>
        <w:spacing w:line="460" w:lineRule="exact"/>
        <w:ind w:firstLine="522" w:firstLineChars="200"/>
        <w:rPr>
          <w:rFonts w:ascii="Arial" w:hAnsi="Arial" w:eastAsia="Times New Roman" w:cs="Arial"/>
          <w:sz w:val="26"/>
          <w:szCs w:val="26"/>
        </w:rPr>
      </w:pPr>
      <w:r>
        <w:rPr>
          <w:rFonts w:hint="eastAsia" w:ascii="Arial" w:hAnsi="Arial" w:cs="Arial"/>
          <w:b/>
          <w:bCs w:val="0"/>
          <w:sz w:val="26"/>
          <w:szCs w:val="26"/>
          <w:lang w:val="en-US" w:eastAsia="zh-CN"/>
        </w:rPr>
        <w:t>监测时间及频率：</w:t>
      </w:r>
      <w:r>
        <w:rPr>
          <w:rFonts w:ascii="Arial" w:hAnsi="Arial" w:eastAsia="Times New Roman" w:cs="Arial"/>
          <w:sz w:val="26"/>
          <w:szCs w:val="26"/>
        </w:rPr>
        <w:t>20</w:t>
      </w:r>
      <w:r>
        <w:rPr>
          <w:rFonts w:hint="eastAsia" w:ascii="Arial" w:hAnsi="Arial" w:eastAsia="宋体" w:cs="Arial"/>
          <w:sz w:val="26"/>
          <w:szCs w:val="26"/>
          <w:lang w:val="en-US" w:eastAsia="zh-CN"/>
        </w:rPr>
        <w:t>24</w:t>
      </w:r>
      <w:r>
        <w:rPr>
          <w:rFonts w:ascii="Arial" w:eastAsia="Times New Roman" w:cs="Arial"/>
          <w:sz w:val="26"/>
          <w:szCs w:val="26"/>
        </w:rPr>
        <w:t>年</w:t>
      </w:r>
      <w:r>
        <w:rPr>
          <w:rFonts w:hint="eastAsia" w:ascii="Arial" w:hAnsi="Arial" w:cs="Arial"/>
          <w:sz w:val="26"/>
          <w:szCs w:val="26"/>
          <w:lang w:val="en-US" w:eastAsia="zh-CN"/>
        </w:rPr>
        <w:t>1</w:t>
      </w:r>
      <w:r>
        <w:rPr>
          <w:rFonts w:ascii="Arial" w:eastAsia="Times New Roman" w:cs="Arial"/>
          <w:sz w:val="26"/>
          <w:szCs w:val="26"/>
        </w:rPr>
        <w:t>月</w:t>
      </w:r>
      <w:r>
        <w:rPr>
          <w:rFonts w:hint="eastAsia" w:ascii="Arial" w:hAnsi="Arial" w:eastAsia="宋体" w:cs="Arial"/>
          <w:sz w:val="26"/>
          <w:szCs w:val="26"/>
          <w:lang w:val="en-US" w:eastAsia="zh-CN"/>
        </w:rPr>
        <w:t>2</w:t>
      </w:r>
      <w:r>
        <w:rPr>
          <w:rFonts w:hint="eastAsia" w:ascii="Arial" w:hAnsi="Arial" w:cs="Arial"/>
          <w:sz w:val="26"/>
          <w:szCs w:val="26"/>
          <w:lang w:val="en-US" w:eastAsia="zh-CN"/>
        </w:rPr>
        <w:t>4</w:t>
      </w:r>
      <w:r>
        <w:rPr>
          <w:rFonts w:ascii="Arial" w:eastAsia="Times New Roman" w:cs="Arial"/>
          <w:sz w:val="26"/>
          <w:szCs w:val="26"/>
        </w:rPr>
        <w:t>日</w:t>
      </w:r>
      <w:r>
        <w:rPr>
          <w:rFonts w:hint="eastAsia" w:ascii="Arial" w:eastAsia="宋体" w:cs="Arial"/>
          <w:sz w:val="26"/>
          <w:szCs w:val="26"/>
          <w:lang w:eastAsia="zh-CN"/>
        </w:rPr>
        <w:t>，</w:t>
      </w:r>
      <w:r>
        <w:rPr>
          <w:rFonts w:ascii="Arial" w:eastAsia="Times New Roman" w:cs="Arial"/>
          <w:sz w:val="26"/>
          <w:szCs w:val="26"/>
        </w:rPr>
        <w:t>取样</w:t>
      </w:r>
      <w:r>
        <w:rPr>
          <w:rFonts w:hint="eastAsia" w:ascii="Arial" w:eastAsia="宋体" w:cs="Arial"/>
          <w:sz w:val="26"/>
          <w:szCs w:val="26"/>
          <w:lang w:eastAsia="zh-CN"/>
        </w:rPr>
        <w:t>监测</w:t>
      </w:r>
      <w:r>
        <w:rPr>
          <w:rFonts w:ascii="Arial" w:hAnsi="Arial" w:eastAsia="Times New Roman" w:cs="Arial"/>
          <w:sz w:val="26"/>
          <w:szCs w:val="26"/>
        </w:rPr>
        <w:t>1</w:t>
      </w:r>
      <w:r>
        <w:rPr>
          <w:rFonts w:ascii="Arial" w:eastAsia="Times New Roman" w:cs="Arial"/>
          <w:sz w:val="26"/>
          <w:szCs w:val="26"/>
        </w:rPr>
        <w:t>次。</w:t>
      </w:r>
    </w:p>
    <w:p w14:paraId="3198B512">
      <w:pPr>
        <w:spacing w:line="460" w:lineRule="exact"/>
        <w:ind w:firstLine="522" w:firstLineChars="200"/>
        <w:rPr>
          <w:rFonts w:hint="eastAsia" w:ascii="Arial" w:hAnsi="宋体" w:eastAsia="宋体" w:cs="Arial"/>
          <w:b w:val="0"/>
          <w:bCs/>
          <w:sz w:val="26"/>
          <w:szCs w:val="26"/>
          <w:lang w:val="en-US" w:eastAsia="zh-CN"/>
        </w:rPr>
      </w:pPr>
      <w:r>
        <w:rPr>
          <w:rFonts w:hint="eastAsia" w:ascii="Arial" w:hAnsi="宋体" w:cs="Arial"/>
          <w:b/>
          <w:sz w:val="26"/>
          <w:szCs w:val="26"/>
        </w:rPr>
        <w:t>监测因子：</w:t>
      </w:r>
      <w:r>
        <w:rPr>
          <w:rFonts w:hint="eastAsia" w:ascii="Arial" w:hAnsi="宋体" w:cs="Arial"/>
          <w:b w:val="0"/>
          <w:bCs/>
          <w:sz w:val="26"/>
          <w:szCs w:val="26"/>
        </w:rPr>
        <w:t>pH、含盐量、镉、汞、砷、铅、铬、铜、镍、锌</w:t>
      </w:r>
      <w:r>
        <w:rPr>
          <w:rFonts w:hint="eastAsia" w:ascii="Arial" w:hAnsi="Arial" w:cs="Arial"/>
          <w:b w:val="0"/>
          <w:bCs/>
          <w:sz w:val="26"/>
          <w:szCs w:val="26"/>
          <w:lang w:eastAsia="zh-CN"/>
        </w:rPr>
        <w:t>。</w:t>
      </w:r>
    </w:p>
    <w:p w14:paraId="7C1C6E07">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outlineLvl w:val="3"/>
        <w:rPr>
          <w:rFonts w:hint="eastAsia" w:ascii="Arial" w:eastAsia="宋体" w:cs="Arial"/>
          <w:b/>
          <w:sz w:val="26"/>
          <w:szCs w:val="26"/>
          <w:lang w:eastAsia="zh-CN"/>
        </w:rPr>
      </w:pPr>
      <w:r>
        <w:rPr>
          <w:rFonts w:hint="eastAsia" w:ascii="Arial" w:cs="Arial"/>
          <w:b/>
          <w:sz w:val="26"/>
          <w:szCs w:val="26"/>
        </w:rPr>
        <w:t>（</w:t>
      </w:r>
      <w:r>
        <w:rPr>
          <w:rFonts w:hint="eastAsia" w:ascii="Arial" w:cs="Arial"/>
          <w:b/>
          <w:sz w:val="26"/>
          <w:szCs w:val="26"/>
          <w:lang w:val="en-US" w:eastAsia="zh-CN"/>
        </w:rPr>
        <w:t>2</w:t>
      </w:r>
      <w:r>
        <w:rPr>
          <w:rFonts w:hint="eastAsia" w:ascii="Arial" w:cs="Arial"/>
          <w:b/>
          <w:sz w:val="26"/>
          <w:szCs w:val="26"/>
        </w:rPr>
        <w:t>）评价</w:t>
      </w:r>
      <w:r>
        <w:rPr>
          <w:rFonts w:hint="eastAsia" w:ascii="Arial" w:cs="Arial"/>
          <w:b/>
          <w:sz w:val="26"/>
          <w:szCs w:val="26"/>
          <w:lang w:eastAsia="zh-CN"/>
        </w:rPr>
        <w:t>标准</w:t>
      </w:r>
    </w:p>
    <w:p w14:paraId="254A919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eastAsia="宋体" w:cs="Arial"/>
          <w:spacing w:val="-4"/>
          <w:sz w:val="26"/>
          <w:szCs w:val="26"/>
          <w:lang w:eastAsia="zh-CN"/>
        </w:rPr>
      </w:pPr>
      <w:r>
        <w:rPr>
          <w:rFonts w:ascii="Arial" w:hAnsi="Arial" w:cs="Arial"/>
          <w:sz w:val="26"/>
          <w:szCs w:val="26"/>
        </w:rPr>
        <w:t>执行《土壤环境质量农用地土壤污染风险管控标准（试行）》</w:t>
      </w:r>
      <w:r>
        <w:rPr>
          <w:rFonts w:hint="eastAsia" w:ascii="Arial" w:hAnsi="Arial" w:cs="Arial"/>
          <w:sz w:val="26"/>
          <w:szCs w:val="26"/>
        </w:rPr>
        <w:t>（</w:t>
      </w:r>
      <w:r>
        <w:rPr>
          <w:rFonts w:ascii="Arial" w:hAnsi="Arial" w:cs="Arial"/>
          <w:sz w:val="26"/>
          <w:szCs w:val="26"/>
        </w:rPr>
        <w:t>GB15618-2018</w:t>
      </w:r>
      <w:r>
        <w:rPr>
          <w:rFonts w:hint="eastAsia" w:ascii="Arial" w:hAnsi="Arial" w:cs="Arial"/>
          <w:sz w:val="26"/>
          <w:szCs w:val="26"/>
        </w:rPr>
        <w:t>）</w:t>
      </w:r>
      <w:r>
        <w:rPr>
          <w:rFonts w:ascii="Arial" w:hAnsi="Arial" w:cs="Arial"/>
          <w:sz w:val="26"/>
          <w:szCs w:val="26"/>
        </w:rPr>
        <w:t>表1农用地土壤污染风险筛选值（基本项目）</w:t>
      </w:r>
      <w:r>
        <w:rPr>
          <w:rFonts w:hint="eastAsia" w:ascii="Arial" w:cs="Arial"/>
          <w:spacing w:val="-4"/>
          <w:sz w:val="26"/>
          <w:szCs w:val="26"/>
          <w:lang w:eastAsia="zh-CN"/>
        </w:rPr>
        <w:t>。</w:t>
      </w:r>
    </w:p>
    <w:p w14:paraId="24810482">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outlineLvl w:val="3"/>
        <w:rPr>
          <w:rFonts w:hint="eastAsia" w:ascii="Arial" w:eastAsia="宋体" w:cs="Arial"/>
          <w:b/>
          <w:sz w:val="26"/>
          <w:szCs w:val="26"/>
          <w:lang w:eastAsia="zh-CN"/>
        </w:rPr>
      </w:pPr>
      <w:r>
        <w:rPr>
          <w:rFonts w:hint="eastAsia" w:ascii="Arial" w:cs="Arial"/>
          <w:b/>
          <w:sz w:val="26"/>
          <w:szCs w:val="26"/>
        </w:rPr>
        <w:t>（</w:t>
      </w:r>
      <w:r>
        <w:rPr>
          <w:rFonts w:hint="eastAsia" w:ascii="Arial" w:cs="Arial"/>
          <w:b/>
          <w:sz w:val="26"/>
          <w:szCs w:val="26"/>
          <w:lang w:val="en-US" w:eastAsia="zh-CN"/>
        </w:rPr>
        <w:t>3</w:t>
      </w:r>
      <w:r>
        <w:rPr>
          <w:rFonts w:hint="eastAsia" w:ascii="Arial" w:cs="Arial"/>
          <w:b/>
          <w:sz w:val="26"/>
          <w:szCs w:val="26"/>
        </w:rPr>
        <w:t>）评价</w:t>
      </w:r>
      <w:r>
        <w:rPr>
          <w:rFonts w:hint="eastAsia" w:ascii="Arial" w:cs="Arial"/>
          <w:b/>
          <w:sz w:val="26"/>
          <w:szCs w:val="26"/>
          <w:lang w:eastAsia="zh-CN"/>
        </w:rPr>
        <w:t>结果</w:t>
      </w:r>
    </w:p>
    <w:p w14:paraId="3B4EB92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ascii="Arial" w:hAnsi="Arial" w:cs="Arial"/>
          <w:sz w:val="26"/>
          <w:szCs w:val="26"/>
        </w:rPr>
      </w:pPr>
      <w:r>
        <w:rPr>
          <w:rFonts w:ascii="Arial" w:hAnsi="Arial" w:cs="Arial"/>
          <w:sz w:val="26"/>
          <w:szCs w:val="26"/>
        </w:rPr>
        <w:t>监测数据及评价结果见表4</w:t>
      </w:r>
      <w:r>
        <w:rPr>
          <w:rFonts w:hint="eastAsia" w:ascii="Arial" w:hAnsi="Arial" w:cs="Arial"/>
          <w:sz w:val="26"/>
          <w:szCs w:val="26"/>
          <w:lang w:val="en-US" w:eastAsia="zh-CN"/>
        </w:rPr>
        <w:t>.3-12</w:t>
      </w:r>
      <w:r>
        <w:rPr>
          <w:rFonts w:ascii="Arial" w:hAnsi="Arial" w:cs="Arial"/>
          <w:sz w:val="26"/>
          <w:szCs w:val="26"/>
        </w:rPr>
        <w:t>所示。</w:t>
      </w:r>
    </w:p>
    <w:p w14:paraId="1F36A00E">
      <w:pPr>
        <w:keepNext w:val="0"/>
        <w:keepLines w:val="0"/>
        <w:pageBreakBefore w:val="0"/>
        <w:widowControl w:val="0"/>
        <w:kinsoku/>
        <w:wordWrap/>
        <w:overflowPunct/>
        <w:topLinePunct w:val="0"/>
        <w:autoSpaceDE/>
        <w:autoSpaceDN/>
        <w:bidi w:val="0"/>
        <w:adjustRightInd/>
        <w:snapToGrid/>
        <w:spacing w:line="460" w:lineRule="exact"/>
        <w:ind w:firstLine="522"/>
        <w:jc w:val="center"/>
        <w:textAlignment w:val="auto"/>
        <w:rPr>
          <w:rFonts w:ascii="Arial" w:hAnsi="Arial" w:cs="Arial"/>
          <w:spacing w:val="-4"/>
          <w:sz w:val="26"/>
          <w:szCs w:val="26"/>
        </w:rPr>
      </w:pPr>
      <w:r>
        <w:rPr>
          <w:rFonts w:ascii="Arial" w:hAnsi="宋体" w:cs="Arial"/>
          <w:b/>
          <w:snapToGrid w:val="0"/>
          <w:kern w:val="0"/>
          <w:sz w:val="26"/>
          <w:szCs w:val="26"/>
        </w:rPr>
        <w:t>表</w:t>
      </w:r>
      <w:r>
        <w:rPr>
          <w:rFonts w:ascii="Arial" w:hAnsi="Arial" w:cs="Arial"/>
          <w:b/>
          <w:snapToGrid w:val="0"/>
          <w:kern w:val="0"/>
          <w:sz w:val="26"/>
          <w:szCs w:val="26"/>
        </w:rPr>
        <w:t>4.</w:t>
      </w:r>
      <w:r>
        <w:rPr>
          <w:rFonts w:hint="eastAsia" w:ascii="Arial" w:hAnsi="Arial" w:cs="Arial"/>
          <w:b/>
          <w:snapToGrid w:val="0"/>
          <w:kern w:val="0"/>
          <w:sz w:val="26"/>
          <w:szCs w:val="26"/>
          <w:lang w:val="en-US" w:eastAsia="zh-CN"/>
        </w:rPr>
        <w:t>3-12</w:t>
      </w:r>
      <w:r>
        <w:rPr>
          <w:rFonts w:ascii="Arial" w:hAnsi="Arial" w:cs="Arial"/>
          <w:b/>
          <w:snapToGrid w:val="0"/>
          <w:kern w:val="0"/>
          <w:sz w:val="26"/>
          <w:szCs w:val="26"/>
        </w:rPr>
        <w:t xml:space="preserve"> </w:t>
      </w:r>
      <w:r>
        <w:rPr>
          <w:rFonts w:ascii="Arial" w:hAnsi="宋体" w:cs="Arial"/>
          <w:b/>
          <w:snapToGrid w:val="0"/>
          <w:kern w:val="0"/>
          <w:sz w:val="26"/>
          <w:szCs w:val="26"/>
        </w:rPr>
        <w:t>土壤环境监测结果一览表</w:t>
      </w:r>
      <w:r>
        <w:rPr>
          <w:rFonts w:ascii="Arial" w:hAnsi="Arial" w:cs="Arial"/>
          <w:b/>
          <w:snapToGrid w:val="0"/>
          <w:kern w:val="0"/>
          <w:sz w:val="26"/>
          <w:szCs w:val="26"/>
        </w:rPr>
        <w:t xml:space="preserve">  </w:t>
      </w:r>
    </w:p>
    <w:tbl>
      <w:tblPr>
        <w:tblStyle w:val="77"/>
        <w:tblW w:w="51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659"/>
        <w:gridCol w:w="979"/>
        <w:gridCol w:w="955"/>
        <w:gridCol w:w="651"/>
        <w:gridCol w:w="795"/>
        <w:gridCol w:w="777"/>
        <w:gridCol w:w="671"/>
        <w:gridCol w:w="806"/>
        <w:gridCol w:w="623"/>
        <w:gridCol w:w="690"/>
        <w:gridCol w:w="780"/>
      </w:tblGrid>
      <w:tr w14:paraId="6C4D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2" w:type="dxa"/>
            <w:gridSpan w:val="2"/>
            <w:vMerge w:val="restart"/>
            <w:shd w:val="clear" w:color="auto" w:fill="auto"/>
            <w:vAlign w:val="center"/>
          </w:tcPr>
          <w:p w14:paraId="6A6A9161">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编号</w:t>
            </w:r>
          </w:p>
        </w:tc>
        <w:tc>
          <w:tcPr>
            <w:tcW w:w="979" w:type="dxa"/>
            <w:shd w:val="clear" w:color="auto" w:fill="auto"/>
            <w:vAlign w:val="center"/>
          </w:tcPr>
          <w:p w14:paraId="74E4C41D">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pH值</w:t>
            </w:r>
          </w:p>
        </w:tc>
        <w:tc>
          <w:tcPr>
            <w:tcW w:w="955" w:type="dxa"/>
            <w:shd w:val="clear" w:color="auto" w:fill="auto"/>
            <w:vAlign w:val="center"/>
          </w:tcPr>
          <w:p w14:paraId="67E7C773">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含盐量</w:t>
            </w:r>
          </w:p>
        </w:tc>
        <w:tc>
          <w:tcPr>
            <w:tcW w:w="651" w:type="dxa"/>
            <w:shd w:val="clear" w:color="auto" w:fill="auto"/>
            <w:vAlign w:val="center"/>
          </w:tcPr>
          <w:p w14:paraId="5A3C4724">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镉</w:t>
            </w:r>
          </w:p>
        </w:tc>
        <w:tc>
          <w:tcPr>
            <w:tcW w:w="795" w:type="dxa"/>
            <w:shd w:val="clear" w:color="auto" w:fill="auto"/>
            <w:vAlign w:val="center"/>
          </w:tcPr>
          <w:p w14:paraId="0F42A895">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汞</w:t>
            </w:r>
          </w:p>
        </w:tc>
        <w:tc>
          <w:tcPr>
            <w:tcW w:w="777" w:type="dxa"/>
            <w:shd w:val="clear" w:color="auto" w:fill="auto"/>
            <w:vAlign w:val="center"/>
          </w:tcPr>
          <w:p w14:paraId="20902DD1">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砷</w:t>
            </w:r>
          </w:p>
        </w:tc>
        <w:tc>
          <w:tcPr>
            <w:tcW w:w="671" w:type="dxa"/>
            <w:shd w:val="clear" w:color="auto" w:fill="auto"/>
            <w:vAlign w:val="center"/>
          </w:tcPr>
          <w:p w14:paraId="41144FEF">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铅</w:t>
            </w:r>
          </w:p>
        </w:tc>
        <w:tc>
          <w:tcPr>
            <w:tcW w:w="806" w:type="dxa"/>
            <w:shd w:val="clear" w:color="auto" w:fill="auto"/>
            <w:vAlign w:val="center"/>
          </w:tcPr>
          <w:p w14:paraId="111F0E9E">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铬</w:t>
            </w:r>
          </w:p>
        </w:tc>
        <w:tc>
          <w:tcPr>
            <w:tcW w:w="623" w:type="dxa"/>
            <w:shd w:val="clear" w:color="auto" w:fill="auto"/>
            <w:vAlign w:val="center"/>
          </w:tcPr>
          <w:p w14:paraId="041CC2EB">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铜</w:t>
            </w:r>
          </w:p>
        </w:tc>
        <w:tc>
          <w:tcPr>
            <w:tcW w:w="690" w:type="dxa"/>
            <w:shd w:val="clear" w:color="auto" w:fill="auto"/>
            <w:vAlign w:val="center"/>
          </w:tcPr>
          <w:p w14:paraId="0933350B">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镍</w:t>
            </w:r>
          </w:p>
        </w:tc>
        <w:tc>
          <w:tcPr>
            <w:tcW w:w="780" w:type="dxa"/>
            <w:shd w:val="clear" w:color="auto" w:fill="auto"/>
            <w:vAlign w:val="center"/>
          </w:tcPr>
          <w:p w14:paraId="1CC94DBC">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锌</w:t>
            </w:r>
          </w:p>
        </w:tc>
      </w:tr>
      <w:tr w14:paraId="2547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2" w:type="dxa"/>
            <w:gridSpan w:val="2"/>
            <w:vMerge w:val="continue"/>
            <w:shd w:val="clear" w:color="auto" w:fill="auto"/>
            <w:vAlign w:val="center"/>
          </w:tcPr>
          <w:p w14:paraId="1742E09B">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p>
        </w:tc>
        <w:tc>
          <w:tcPr>
            <w:tcW w:w="979" w:type="dxa"/>
            <w:shd w:val="clear" w:color="auto" w:fill="auto"/>
            <w:vAlign w:val="center"/>
          </w:tcPr>
          <w:p w14:paraId="2DD0AFB2">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无量纲</w:t>
            </w:r>
          </w:p>
        </w:tc>
        <w:tc>
          <w:tcPr>
            <w:tcW w:w="955" w:type="dxa"/>
            <w:shd w:val="clear" w:color="auto" w:fill="auto"/>
            <w:vAlign w:val="center"/>
          </w:tcPr>
          <w:p w14:paraId="6310894B">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g/kg</w:t>
            </w:r>
          </w:p>
        </w:tc>
        <w:tc>
          <w:tcPr>
            <w:tcW w:w="5793" w:type="dxa"/>
            <w:gridSpan w:val="8"/>
            <w:shd w:val="clear" w:color="auto" w:fill="auto"/>
            <w:vAlign w:val="center"/>
          </w:tcPr>
          <w:p w14:paraId="4C6A7FDF">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mg/kg</w:t>
            </w:r>
          </w:p>
        </w:tc>
      </w:tr>
      <w:tr w14:paraId="5FBB1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3" w:type="dxa"/>
            <w:vMerge w:val="restart"/>
            <w:shd w:val="clear" w:color="auto" w:fill="auto"/>
            <w:vAlign w:val="center"/>
          </w:tcPr>
          <w:p w14:paraId="476CBD02">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color w:val="auto"/>
                <w:kern w:val="0"/>
                <w:sz w:val="22"/>
                <w:szCs w:val="22"/>
                <w:highlight w:val="none"/>
                <w:lang w:eastAsia="zh-CN"/>
              </w:rPr>
            </w:pPr>
            <w:r>
              <w:rPr>
                <w:rFonts w:hint="eastAsia" w:ascii="Arial" w:hAnsi="Arial" w:cs="Arial"/>
                <w:snapToGrid w:val="0"/>
                <w:color w:val="auto"/>
                <w:kern w:val="0"/>
                <w:sz w:val="22"/>
                <w:szCs w:val="22"/>
                <w:highlight w:val="none"/>
                <w:lang w:eastAsia="zh-CN"/>
              </w:rPr>
              <w:t>海螺沟水库周边农用地</w:t>
            </w:r>
          </w:p>
        </w:tc>
        <w:tc>
          <w:tcPr>
            <w:tcW w:w="659" w:type="dxa"/>
            <w:shd w:val="clear" w:color="auto" w:fill="auto"/>
            <w:vAlign w:val="center"/>
          </w:tcPr>
          <w:p w14:paraId="68E427DB">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监测结果</w:t>
            </w:r>
          </w:p>
        </w:tc>
        <w:tc>
          <w:tcPr>
            <w:tcW w:w="979" w:type="dxa"/>
            <w:shd w:val="clear" w:color="auto" w:fill="auto"/>
            <w:vAlign w:val="center"/>
          </w:tcPr>
          <w:p w14:paraId="2F6AE733">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7.44</w:t>
            </w:r>
          </w:p>
        </w:tc>
        <w:tc>
          <w:tcPr>
            <w:tcW w:w="955" w:type="dxa"/>
            <w:shd w:val="clear" w:color="auto" w:fill="auto"/>
            <w:vAlign w:val="center"/>
          </w:tcPr>
          <w:p w14:paraId="0CD77300">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0.8</w:t>
            </w:r>
          </w:p>
        </w:tc>
        <w:tc>
          <w:tcPr>
            <w:tcW w:w="651" w:type="dxa"/>
            <w:shd w:val="clear" w:color="auto" w:fill="auto"/>
            <w:vAlign w:val="center"/>
          </w:tcPr>
          <w:p w14:paraId="07E17956">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0.08</w:t>
            </w:r>
          </w:p>
        </w:tc>
        <w:tc>
          <w:tcPr>
            <w:tcW w:w="795" w:type="dxa"/>
            <w:shd w:val="clear" w:color="auto" w:fill="auto"/>
            <w:vAlign w:val="center"/>
          </w:tcPr>
          <w:p w14:paraId="3C5D5D45">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0.112</w:t>
            </w:r>
          </w:p>
        </w:tc>
        <w:tc>
          <w:tcPr>
            <w:tcW w:w="777" w:type="dxa"/>
            <w:shd w:val="clear" w:color="auto" w:fill="auto"/>
            <w:vAlign w:val="center"/>
          </w:tcPr>
          <w:p w14:paraId="5666D206">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2.36</w:t>
            </w:r>
          </w:p>
        </w:tc>
        <w:tc>
          <w:tcPr>
            <w:tcW w:w="671" w:type="dxa"/>
            <w:shd w:val="clear" w:color="auto" w:fill="auto"/>
            <w:vAlign w:val="center"/>
          </w:tcPr>
          <w:p w14:paraId="143B60D0">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12.7</w:t>
            </w:r>
          </w:p>
        </w:tc>
        <w:tc>
          <w:tcPr>
            <w:tcW w:w="806" w:type="dxa"/>
            <w:shd w:val="clear" w:color="auto" w:fill="auto"/>
            <w:vAlign w:val="center"/>
          </w:tcPr>
          <w:p w14:paraId="61C148A8">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30</w:t>
            </w:r>
          </w:p>
        </w:tc>
        <w:tc>
          <w:tcPr>
            <w:tcW w:w="623" w:type="dxa"/>
            <w:shd w:val="clear" w:color="auto" w:fill="auto"/>
            <w:vAlign w:val="center"/>
          </w:tcPr>
          <w:p w14:paraId="73E71017">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21</w:t>
            </w:r>
          </w:p>
        </w:tc>
        <w:tc>
          <w:tcPr>
            <w:tcW w:w="690" w:type="dxa"/>
            <w:shd w:val="clear" w:color="auto" w:fill="auto"/>
            <w:vAlign w:val="center"/>
          </w:tcPr>
          <w:p w14:paraId="5304BB35">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27</w:t>
            </w:r>
          </w:p>
        </w:tc>
        <w:tc>
          <w:tcPr>
            <w:tcW w:w="780" w:type="dxa"/>
            <w:shd w:val="clear" w:color="auto" w:fill="auto"/>
            <w:vAlign w:val="center"/>
          </w:tcPr>
          <w:p w14:paraId="70BC5D27">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96</w:t>
            </w:r>
          </w:p>
        </w:tc>
      </w:tr>
      <w:tr w14:paraId="08DD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913" w:type="dxa"/>
            <w:vMerge w:val="continue"/>
            <w:shd w:val="clear" w:color="auto" w:fill="auto"/>
            <w:noWrap/>
            <w:vAlign w:val="center"/>
          </w:tcPr>
          <w:p w14:paraId="2D5980DF">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p>
        </w:tc>
        <w:tc>
          <w:tcPr>
            <w:tcW w:w="659" w:type="dxa"/>
            <w:shd w:val="clear" w:color="auto" w:fill="auto"/>
            <w:vAlign w:val="center"/>
          </w:tcPr>
          <w:p w14:paraId="0294DD28">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标准指数</w:t>
            </w:r>
          </w:p>
        </w:tc>
        <w:tc>
          <w:tcPr>
            <w:tcW w:w="979" w:type="dxa"/>
            <w:shd w:val="clear" w:color="auto" w:fill="auto"/>
            <w:vAlign w:val="center"/>
          </w:tcPr>
          <w:p w14:paraId="47C2A38C">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无酸化或碱化</w:t>
            </w:r>
          </w:p>
        </w:tc>
        <w:tc>
          <w:tcPr>
            <w:tcW w:w="955" w:type="dxa"/>
            <w:shd w:val="clear" w:color="auto" w:fill="auto"/>
            <w:vAlign w:val="center"/>
          </w:tcPr>
          <w:p w14:paraId="2B75CF27">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未盐化</w:t>
            </w:r>
          </w:p>
        </w:tc>
        <w:tc>
          <w:tcPr>
            <w:tcW w:w="651" w:type="dxa"/>
            <w:shd w:val="clear" w:color="auto" w:fill="auto"/>
            <w:vAlign w:val="center"/>
          </w:tcPr>
          <w:p w14:paraId="41D20ACB">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 xml:space="preserve">0.27 </w:t>
            </w:r>
          </w:p>
        </w:tc>
        <w:tc>
          <w:tcPr>
            <w:tcW w:w="795" w:type="dxa"/>
            <w:shd w:val="clear" w:color="auto" w:fill="auto"/>
            <w:vAlign w:val="center"/>
          </w:tcPr>
          <w:p w14:paraId="58CAE859">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 xml:space="preserve">0.05 </w:t>
            </w:r>
          </w:p>
        </w:tc>
        <w:tc>
          <w:tcPr>
            <w:tcW w:w="777" w:type="dxa"/>
            <w:shd w:val="clear" w:color="auto" w:fill="auto"/>
            <w:vAlign w:val="center"/>
          </w:tcPr>
          <w:p w14:paraId="52040D8F">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 xml:space="preserve">0.08 </w:t>
            </w:r>
          </w:p>
        </w:tc>
        <w:tc>
          <w:tcPr>
            <w:tcW w:w="671" w:type="dxa"/>
            <w:shd w:val="clear" w:color="auto" w:fill="auto"/>
            <w:vAlign w:val="center"/>
          </w:tcPr>
          <w:p w14:paraId="20348E73">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 xml:space="preserve">0.11 </w:t>
            </w:r>
          </w:p>
        </w:tc>
        <w:tc>
          <w:tcPr>
            <w:tcW w:w="806" w:type="dxa"/>
            <w:shd w:val="clear" w:color="auto" w:fill="auto"/>
            <w:vAlign w:val="center"/>
          </w:tcPr>
          <w:p w14:paraId="09B2902D">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0.15</w:t>
            </w:r>
          </w:p>
        </w:tc>
        <w:tc>
          <w:tcPr>
            <w:tcW w:w="623" w:type="dxa"/>
            <w:shd w:val="clear" w:color="auto" w:fill="auto"/>
            <w:vAlign w:val="center"/>
          </w:tcPr>
          <w:p w14:paraId="1025CCBA">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0.21</w:t>
            </w:r>
          </w:p>
        </w:tc>
        <w:tc>
          <w:tcPr>
            <w:tcW w:w="690" w:type="dxa"/>
            <w:shd w:val="clear" w:color="auto" w:fill="auto"/>
            <w:vAlign w:val="center"/>
          </w:tcPr>
          <w:p w14:paraId="74B76CD1">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0.27</w:t>
            </w:r>
          </w:p>
        </w:tc>
        <w:tc>
          <w:tcPr>
            <w:tcW w:w="780" w:type="dxa"/>
            <w:shd w:val="clear" w:color="auto" w:fill="auto"/>
            <w:vAlign w:val="center"/>
          </w:tcPr>
          <w:p w14:paraId="221EEF62">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0.384</w:t>
            </w:r>
          </w:p>
        </w:tc>
      </w:tr>
      <w:tr w14:paraId="3705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2" w:type="dxa"/>
            <w:gridSpan w:val="2"/>
            <w:shd w:val="clear" w:color="auto" w:fill="auto"/>
            <w:vAlign w:val="center"/>
          </w:tcPr>
          <w:p w14:paraId="320ED79D">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标准限值</w:t>
            </w:r>
          </w:p>
        </w:tc>
        <w:tc>
          <w:tcPr>
            <w:tcW w:w="979" w:type="dxa"/>
            <w:shd w:val="clear" w:color="auto" w:fill="auto"/>
            <w:vAlign w:val="center"/>
          </w:tcPr>
          <w:p w14:paraId="6BA3A02B">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lang w:bidi="ar"/>
              </w:rPr>
              <w:t>6.5&lt;pH≤7.5</w:t>
            </w:r>
          </w:p>
        </w:tc>
        <w:tc>
          <w:tcPr>
            <w:tcW w:w="955" w:type="dxa"/>
            <w:shd w:val="clear" w:color="auto" w:fill="auto"/>
            <w:vAlign w:val="center"/>
          </w:tcPr>
          <w:p w14:paraId="76021B0F">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w:t>
            </w:r>
          </w:p>
        </w:tc>
        <w:tc>
          <w:tcPr>
            <w:tcW w:w="651" w:type="dxa"/>
            <w:shd w:val="clear" w:color="auto" w:fill="auto"/>
            <w:vAlign w:val="center"/>
          </w:tcPr>
          <w:p w14:paraId="42EED7A3">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0.3</w:t>
            </w:r>
          </w:p>
        </w:tc>
        <w:tc>
          <w:tcPr>
            <w:tcW w:w="795" w:type="dxa"/>
            <w:shd w:val="clear" w:color="auto" w:fill="auto"/>
            <w:vAlign w:val="center"/>
          </w:tcPr>
          <w:p w14:paraId="73D498A9">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2.4</w:t>
            </w:r>
          </w:p>
        </w:tc>
        <w:tc>
          <w:tcPr>
            <w:tcW w:w="777" w:type="dxa"/>
            <w:shd w:val="clear" w:color="auto" w:fill="auto"/>
            <w:vAlign w:val="center"/>
          </w:tcPr>
          <w:p w14:paraId="335FD8F2">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30</w:t>
            </w:r>
          </w:p>
        </w:tc>
        <w:tc>
          <w:tcPr>
            <w:tcW w:w="671" w:type="dxa"/>
            <w:shd w:val="clear" w:color="auto" w:fill="auto"/>
            <w:vAlign w:val="center"/>
          </w:tcPr>
          <w:p w14:paraId="2D85E073">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120</w:t>
            </w:r>
          </w:p>
        </w:tc>
        <w:tc>
          <w:tcPr>
            <w:tcW w:w="806" w:type="dxa"/>
            <w:shd w:val="clear" w:color="auto" w:fill="auto"/>
            <w:vAlign w:val="center"/>
          </w:tcPr>
          <w:p w14:paraId="675859FC">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200</w:t>
            </w:r>
          </w:p>
        </w:tc>
        <w:tc>
          <w:tcPr>
            <w:tcW w:w="623" w:type="dxa"/>
            <w:shd w:val="clear" w:color="auto" w:fill="auto"/>
            <w:vAlign w:val="center"/>
          </w:tcPr>
          <w:p w14:paraId="51E40405">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100</w:t>
            </w:r>
          </w:p>
        </w:tc>
        <w:tc>
          <w:tcPr>
            <w:tcW w:w="690" w:type="dxa"/>
            <w:shd w:val="clear" w:color="auto" w:fill="auto"/>
            <w:vAlign w:val="center"/>
          </w:tcPr>
          <w:p w14:paraId="5A4A2F03">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100</w:t>
            </w:r>
          </w:p>
        </w:tc>
        <w:tc>
          <w:tcPr>
            <w:tcW w:w="780" w:type="dxa"/>
            <w:shd w:val="clear" w:color="auto" w:fill="auto"/>
            <w:vAlign w:val="center"/>
          </w:tcPr>
          <w:p w14:paraId="7582AED9">
            <w:pPr>
              <w:pStyle w:val="210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cs="Arial"/>
                <w:snapToGrid w:val="0"/>
                <w:color w:val="auto"/>
                <w:kern w:val="0"/>
                <w:sz w:val="22"/>
                <w:szCs w:val="22"/>
                <w:highlight w:val="none"/>
              </w:rPr>
            </w:pPr>
            <w:r>
              <w:rPr>
                <w:rFonts w:hint="default" w:ascii="Arial" w:hAnsi="Arial" w:cs="Arial"/>
                <w:snapToGrid w:val="0"/>
                <w:color w:val="auto"/>
                <w:kern w:val="0"/>
                <w:sz w:val="22"/>
                <w:szCs w:val="22"/>
                <w:highlight w:val="none"/>
              </w:rPr>
              <w:t>250</w:t>
            </w:r>
          </w:p>
        </w:tc>
      </w:tr>
    </w:tbl>
    <w:p w14:paraId="63C56898">
      <w:pPr>
        <w:spacing w:line="240" w:lineRule="exact"/>
        <w:ind w:firstLine="504"/>
        <w:rPr>
          <w:rFonts w:hint="eastAsia" w:ascii="Arial" w:cs="Arial"/>
          <w:spacing w:val="-4"/>
          <w:szCs w:val="26"/>
        </w:rPr>
      </w:pPr>
    </w:p>
    <w:p w14:paraId="2AC7BB7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bCs/>
          <w:sz w:val="26"/>
          <w:szCs w:val="26"/>
        </w:rPr>
        <w:t>由表</w:t>
      </w:r>
      <w:r>
        <w:rPr>
          <w:rFonts w:hint="eastAsia" w:ascii="Arial" w:hAnsi="Arial" w:cs="Arial"/>
          <w:bCs/>
          <w:sz w:val="26"/>
          <w:szCs w:val="26"/>
          <w:lang w:val="en-US" w:eastAsia="zh-CN"/>
        </w:rPr>
        <w:t>4.3-12</w:t>
      </w:r>
      <w:r>
        <w:rPr>
          <w:rFonts w:hint="eastAsia" w:ascii="Arial" w:hAnsi="Arial" w:cs="Arial"/>
          <w:bCs/>
          <w:sz w:val="26"/>
          <w:szCs w:val="26"/>
        </w:rPr>
        <w:t>监测结果可知，</w:t>
      </w:r>
      <w:r>
        <w:rPr>
          <w:rFonts w:hint="eastAsia" w:ascii="Arial" w:hAnsi="Arial" w:cs="Arial"/>
          <w:bCs/>
          <w:sz w:val="26"/>
          <w:szCs w:val="26"/>
          <w:lang w:eastAsia="zh-CN"/>
        </w:rPr>
        <w:t>海螺沟水库周边农用地内</w:t>
      </w:r>
      <w:r>
        <w:rPr>
          <w:rFonts w:ascii="Arial" w:hAnsi="Arial" w:cs="Arial"/>
          <w:bCs/>
          <w:sz w:val="26"/>
          <w:szCs w:val="26"/>
        </w:rPr>
        <w:t>各监测因子浓度均可满足</w:t>
      </w:r>
      <w:r>
        <w:rPr>
          <w:rFonts w:ascii="Arial" w:hAnsi="Arial" w:cs="Arial"/>
          <w:sz w:val="26"/>
          <w:szCs w:val="26"/>
        </w:rPr>
        <w:t>《土壤环境质量农用地土壤污染风险管控标准（试行）》</w:t>
      </w:r>
      <w:r>
        <w:rPr>
          <w:rFonts w:hint="eastAsia" w:ascii="Arial" w:hAnsi="Arial" w:cs="Arial"/>
          <w:sz w:val="26"/>
          <w:szCs w:val="26"/>
        </w:rPr>
        <w:t>（</w:t>
      </w:r>
      <w:r>
        <w:rPr>
          <w:rFonts w:ascii="Arial" w:hAnsi="Arial" w:cs="Arial"/>
          <w:sz w:val="26"/>
          <w:szCs w:val="26"/>
        </w:rPr>
        <w:t>GB15618-2018</w:t>
      </w:r>
      <w:r>
        <w:rPr>
          <w:rFonts w:hint="eastAsia" w:ascii="Arial" w:hAnsi="Arial" w:cs="Arial"/>
          <w:sz w:val="26"/>
          <w:szCs w:val="26"/>
        </w:rPr>
        <w:t>）</w:t>
      </w:r>
      <w:r>
        <w:rPr>
          <w:rFonts w:ascii="Arial" w:hAnsi="Arial" w:cs="Arial"/>
          <w:sz w:val="26"/>
          <w:szCs w:val="26"/>
        </w:rPr>
        <w:t>表1</w:t>
      </w:r>
      <w:r>
        <w:rPr>
          <w:rFonts w:hint="eastAsia" w:ascii="Arial" w:hAnsi="Arial" w:cs="Arial"/>
          <w:sz w:val="26"/>
          <w:szCs w:val="26"/>
        </w:rPr>
        <w:t>中</w:t>
      </w:r>
      <w:r>
        <w:rPr>
          <w:rFonts w:ascii="Arial" w:hAnsi="Arial" w:cs="Arial"/>
          <w:sz w:val="26"/>
          <w:szCs w:val="26"/>
        </w:rPr>
        <w:t>农用地土壤污染风险筛选值</w:t>
      </w:r>
      <w:r>
        <w:rPr>
          <w:rFonts w:hint="eastAsia" w:ascii="Arial" w:hAnsi="Arial" w:cs="Arial"/>
          <w:sz w:val="26"/>
          <w:szCs w:val="26"/>
          <w:lang w:eastAsia="zh-CN"/>
        </w:rPr>
        <w:t>，未出现盐化、酸化、碱化现象</w:t>
      </w:r>
      <w:r>
        <w:rPr>
          <w:rFonts w:hint="eastAsia" w:ascii="Arial" w:hAnsi="Arial" w:cs="Arial"/>
          <w:sz w:val="26"/>
          <w:szCs w:val="26"/>
        </w:rPr>
        <w:t>。</w:t>
      </w:r>
    </w:p>
    <w:p w14:paraId="6D704D96">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default" w:ascii="Arial" w:hAnsi="Arial" w:eastAsia="宋体" w:cs="Arial"/>
          <w:b/>
          <w:bCs w:val="0"/>
          <w:kern w:val="0"/>
          <w:sz w:val="26"/>
          <w:szCs w:val="26"/>
          <w:lang w:val="en-US" w:eastAsia="zh-CN" w:bidi="ar-SA"/>
        </w:rPr>
      </w:pPr>
      <w:r>
        <w:rPr>
          <w:rFonts w:hint="eastAsia" w:ascii="Arial" w:hAnsi="Arial" w:cs="Arial"/>
          <w:b/>
          <w:bCs w:val="0"/>
          <w:kern w:val="0"/>
          <w:sz w:val="26"/>
          <w:szCs w:val="26"/>
          <w:lang w:val="en-US" w:eastAsia="zh-CN" w:bidi="ar-SA"/>
        </w:rPr>
        <w:t>4.3.5底泥</w:t>
      </w:r>
      <w:r>
        <w:rPr>
          <w:rFonts w:hint="eastAsia" w:ascii="Arial" w:hAnsi="Arial" w:eastAsia="宋体" w:cs="Arial"/>
          <w:b/>
          <w:bCs w:val="0"/>
          <w:kern w:val="0"/>
          <w:sz w:val="26"/>
          <w:szCs w:val="26"/>
          <w:lang w:val="en-US" w:eastAsia="zh-CN" w:bidi="ar-SA"/>
        </w:rPr>
        <w:t>环境质量现状</w:t>
      </w:r>
    </w:p>
    <w:p w14:paraId="10C8BABB">
      <w:pPr>
        <w:keepNext w:val="0"/>
        <w:keepLines w:val="0"/>
        <w:pageBreakBefore w:val="0"/>
        <w:widowControl w:val="0"/>
        <w:kinsoku/>
        <w:wordWrap/>
        <w:overflowPunct/>
        <w:topLinePunct w:val="0"/>
        <w:autoSpaceDE/>
        <w:autoSpaceDN/>
        <w:bidi w:val="0"/>
        <w:spacing w:line="460" w:lineRule="exact"/>
        <w:ind w:firstLine="392" w:firstLineChars="150"/>
        <w:textAlignment w:val="auto"/>
        <w:rPr>
          <w:rFonts w:hint="eastAsia" w:ascii="Arial" w:cs="Arial"/>
          <w:b/>
          <w:sz w:val="26"/>
          <w:szCs w:val="26"/>
        </w:rPr>
      </w:pPr>
      <w:r>
        <w:rPr>
          <w:rFonts w:hint="eastAsia" w:ascii="Arial" w:cs="Arial"/>
          <w:b/>
          <w:sz w:val="26"/>
          <w:szCs w:val="26"/>
        </w:rPr>
        <w:t>（</w:t>
      </w:r>
      <w:r>
        <w:rPr>
          <w:rFonts w:ascii="Arial" w:cs="Arial"/>
          <w:b/>
          <w:sz w:val="26"/>
          <w:szCs w:val="26"/>
        </w:rPr>
        <w:t>1</w:t>
      </w:r>
      <w:r>
        <w:rPr>
          <w:rFonts w:hint="eastAsia" w:ascii="Arial" w:cs="Arial"/>
          <w:b/>
          <w:sz w:val="26"/>
          <w:szCs w:val="26"/>
        </w:rPr>
        <w:t>）现状监测</w:t>
      </w:r>
    </w:p>
    <w:p w14:paraId="787D044B">
      <w:pPr>
        <w:pStyle w:val="100"/>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本次评价引用《重庆市渠溪河流域综合规划环境影响报告书》对海螺沟水库拟建大坝处底泥进行实测得出的数据。</w:t>
      </w:r>
    </w:p>
    <w:p w14:paraId="3B25EF1C">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宋体" w:eastAsia="宋体" w:cs="Arial"/>
          <w:b w:val="0"/>
          <w:bCs/>
          <w:kern w:val="2"/>
          <w:sz w:val="26"/>
          <w:szCs w:val="26"/>
          <w:lang w:val="en-US" w:eastAsia="zh-CN" w:bidi="ar-SA"/>
        </w:rPr>
      </w:pPr>
      <w:r>
        <w:rPr>
          <w:rFonts w:hint="eastAsia" w:ascii="Arial" w:hAnsi="宋体" w:cs="Arial"/>
          <w:b/>
          <w:sz w:val="26"/>
          <w:szCs w:val="26"/>
        </w:rPr>
        <w:t>监测布点：</w:t>
      </w:r>
      <w:r>
        <w:rPr>
          <w:rFonts w:hint="eastAsia" w:ascii="Arial" w:hAnsi="宋体" w:eastAsia="宋体" w:cs="Arial"/>
          <w:b w:val="0"/>
          <w:bCs/>
          <w:kern w:val="2"/>
          <w:sz w:val="26"/>
          <w:szCs w:val="26"/>
          <w:lang w:val="en-US" w:eastAsia="zh-CN" w:bidi="ar-SA"/>
        </w:rPr>
        <w:t>共设1个取样点，位于海螺沟水库拟建</w:t>
      </w:r>
      <w:r>
        <w:rPr>
          <w:rFonts w:hint="eastAsia" w:ascii="Arial" w:hAnsi="宋体" w:cs="Arial"/>
          <w:b w:val="0"/>
          <w:bCs/>
          <w:kern w:val="2"/>
          <w:sz w:val="26"/>
          <w:szCs w:val="26"/>
          <w:lang w:val="en-US" w:eastAsia="zh-CN" w:bidi="ar-SA"/>
        </w:rPr>
        <w:t>大坝</w:t>
      </w:r>
      <w:r>
        <w:rPr>
          <w:rFonts w:hint="eastAsia" w:ascii="Arial" w:hAnsi="宋体" w:eastAsia="宋体" w:cs="Arial"/>
          <w:b w:val="0"/>
          <w:bCs/>
          <w:kern w:val="2"/>
          <w:sz w:val="26"/>
          <w:szCs w:val="26"/>
          <w:lang w:val="en-US" w:eastAsia="zh-CN" w:bidi="ar-SA"/>
        </w:rPr>
        <w:t>处</w:t>
      </w:r>
    </w:p>
    <w:p w14:paraId="690C96E0">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eastAsia" w:ascii="Arial" w:hAnsi="宋体" w:eastAsia="宋体" w:cs="Arial"/>
          <w:b w:val="0"/>
          <w:bCs/>
          <w:kern w:val="2"/>
          <w:sz w:val="26"/>
          <w:szCs w:val="26"/>
          <w:lang w:val="en-US" w:eastAsia="zh-CN" w:bidi="ar-SA"/>
        </w:rPr>
      </w:pPr>
      <w:r>
        <w:rPr>
          <w:rFonts w:hint="eastAsia" w:ascii="Arial" w:hAnsi="宋体" w:eastAsia="宋体" w:cs="Arial"/>
          <w:b/>
          <w:bCs w:val="0"/>
          <w:kern w:val="2"/>
          <w:sz w:val="26"/>
          <w:szCs w:val="26"/>
          <w:lang w:val="en-US" w:eastAsia="zh-CN" w:bidi="ar-SA"/>
        </w:rPr>
        <w:t>监测时间及频率：</w:t>
      </w:r>
      <w:r>
        <w:rPr>
          <w:rFonts w:ascii="Arial" w:hAnsi="Arial" w:eastAsia="Times New Roman" w:cs="Arial"/>
          <w:b w:val="0"/>
          <w:bCs/>
          <w:sz w:val="26"/>
          <w:szCs w:val="26"/>
        </w:rPr>
        <w:t>20</w:t>
      </w:r>
      <w:r>
        <w:rPr>
          <w:rFonts w:hint="eastAsia" w:ascii="Arial" w:hAnsi="Arial" w:eastAsia="宋体" w:cs="Arial"/>
          <w:b w:val="0"/>
          <w:bCs/>
          <w:sz w:val="26"/>
          <w:szCs w:val="26"/>
          <w:lang w:val="en-US" w:eastAsia="zh-CN"/>
        </w:rPr>
        <w:t>24</w:t>
      </w:r>
      <w:r>
        <w:rPr>
          <w:rFonts w:ascii="Arial" w:eastAsia="Times New Roman" w:cs="Arial"/>
          <w:b w:val="0"/>
          <w:bCs/>
          <w:sz w:val="26"/>
          <w:szCs w:val="26"/>
        </w:rPr>
        <w:t>年</w:t>
      </w:r>
      <w:r>
        <w:rPr>
          <w:rFonts w:hint="eastAsia" w:ascii="Arial" w:hAnsi="Arial" w:cs="Arial"/>
          <w:b w:val="0"/>
          <w:bCs/>
          <w:sz w:val="26"/>
          <w:szCs w:val="26"/>
          <w:lang w:val="en-US" w:eastAsia="zh-CN"/>
        </w:rPr>
        <w:t>1</w:t>
      </w:r>
      <w:r>
        <w:rPr>
          <w:rFonts w:ascii="Arial" w:eastAsia="Times New Roman" w:cs="Arial"/>
          <w:b w:val="0"/>
          <w:bCs/>
          <w:sz w:val="26"/>
          <w:szCs w:val="26"/>
        </w:rPr>
        <w:t>月</w:t>
      </w:r>
      <w:r>
        <w:rPr>
          <w:rFonts w:hint="eastAsia" w:ascii="Arial" w:hAnsi="Arial" w:eastAsia="宋体" w:cs="Arial"/>
          <w:b w:val="0"/>
          <w:bCs/>
          <w:sz w:val="26"/>
          <w:szCs w:val="26"/>
          <w:lang w:val="en-US" w:eastAsia="zh-CN"/>
        </w:rPr>
        <w:t>2</w:t>
      </w:r>
      <w:r>
        <w:rPr>
          <w:rFonts w:hint="eastAsia" w:ascii="Arial" w:hAnsi="Arial" w:cs="Arial"/>
          <w:b w:val="0"/>
          <w:bCs/>
          <w:sz w:val="26"/>
          <w:szCs w:val="26"/>
          <w:lang w:val="en-US" w:eastAsia="zh-CN"/>
        </w:rPr>
        <w:t>4</w:t>
      </w:r>
      <w:r>
        <w:rPr>
          <w:rFonts w:ascii="Arial" w:eastAsia="Times New Roman" w:cs="Arial"/>
          <w:b w:val="0"/>
          <w:bCs/>
          <w:sz w:val="26"/>
          <w:szCs w:val="26"/>
        </w:rPr>
        <w:t>日</w:t>
      </w:r>
      <w:r>
        <w:rPr>
          <w:rFonts w:hint="eastAsia" w:ascii="Arial" w:eastAsia="宋体" w:cs="Arial"/>
          <w:b w:val="0"/>
          <w:bCs/>
          <w:sz w:val="26"/>
          <w:szCs w:val="26"/>
          <w:lang w:eastAsia="zh-CN"/>
        </w:rPr>
        <w:t>，</w:t>
      </w:r>
      <w:r>
        <w:rPr>
          <w:rFonts w:ascii="Arial" w:eastAsia="Times New Roman" w:cs="Arial"/>
          <w:b w:val="0"/>
          <w:bCs/>
          <w:sz w:val="26"/>
          <w:szCs w:val="26"/>
        </w:rPr>
        <w:t>取样</w:t>
      </w:r>
      <w:r>
        <w:rPr>
          <w:rFonts w:hint="eastAsia" w:ascii="Arial" w:eastAsia="宋体" w:cs="Arial"/>
          <w:b w:val="0"/>
          <w:bCs/>
          <w:sz w:val="26"/>
          <w:szCs w:val="26"/>
          <w:lang w:eastAsia="zh-CN"/>
        </w:rPr>
        <w:t>监测</w:t>
      </w:r>
      <w:r>
        <w:rPr>
          <w:rFonts w:ascii="Arial" w:hAnsi="Arial" w:eastAsia="Times New Roman" w:cs="Arial"/>
          <w:b w:val="0"/>
          <w:bCs/>
          <w:sz w:val="26"/>
          <w:szCs w:val="26"/>
        </w:rPr>
        <w:t>1</w:t>
      </w:r>
      <w:r>
        <w:rPr>
          <w:rFonts w:ascii="Arial" w:eastAsia="Times New Roman" w:cs="Arial"/>
          <w:b w:val="0"/>
          <w:bCs/>
          <w:sz w:val="26"/>
          <w:szCs w:val="26"/>
        </w:rPr>
        <w:t>次。</w:t>
      </w:r>
    </w:p>
    <w:p w14:paraId="5A2C2B76">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3"/>
        <w:rPr>
          <w:rFonts w:hint="eastAsia" w:ascii="Arial" w:hAnsi="宋体" w:eastAsia="宋体" w:cs="Arial"/>
          <w:b w:val="0"/>
          <w:bCs/>
          <w:kern w:val="2"/>
          <w:sz w:val="26"/>
          <w:szCs w:val="26"/>
          <w:lang w:val="en-US" w:eastAsia="zh-CN" w:bidi="ar-SA"/>
        </w:rPr>
      </w:pPr>
      <w:r>
        <w:rPr>
          <w:rFonts w:hint="eastAsia" w:ascii="Arial" w:hAnsi="Arial" w:cs="Arial"/>
          <w:b/>
          <w:bCs w:val="0"/>
          <w:sz w:val="26"/>
          <w:szCs w:val="26"/>
          <w:lang w:val="en-US" w:eastAsia="zh-CN"/>
        </w:rPr>
        <w:t>监测因子：</w:t>
      </w:r>
      <w:r>
        <w:rPr>
          <w:rFonts w:hint="eastAsia" w:ascii="Arial" w:hAnsi="宋体" w:eastAsia="宋体" w:cs="Arial"/>
          <w:b w:val="0"/>
          <w:bCs/>
          <w:kern w:val="2"/>
          <w:sz w:val="26"/>
          <w:szCs w:val="26"/>
          <w:lang w:val="en-US" w:eastAsia="zh-CN" w:bidi="ar-SA"/>
        </w:rPr>
        <w:t>pH、含盐量、砷、镉、铬、汞、铅、铜、镍、锌</w:t>
      </w:r>
    </w:p>
    <w:p w14:paraId="1E936935">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outlineLvl w:val="3"/>
        <w:rPr>
          <w:rFonts w:hint="eastAsia" w:ascii="Arial" w:eastAsia="宋体" w:cs="Arial"/>
          <w:b/>
          <w:sz w:val="26"/>
          <w:szCs w:val="26"/>
          <w:lang w:eastAsia="zh-CN"/>
        </w:rPr>
      </w:pPr>
      <w:r>
        <w:rPr>
          <w:rFonts w:hint="eastAsia" w:ascii="Arial" w:cs="Arial"/>
          <w:b/>
          <w:sz w:val="26"/>
          <w:szCs w:val="26"/>
        </w:rPr>
        <w:t>（</w:t>
      </w:r>
      <w:r>
        <w:rPr>
          <w:rFonts w:hint="eastAsia" w:ascii="Arial" w:cs="Arial"/>
          <w:b/>
          <w:sz w:val="26"/>
          <w:szCs w:val="26"/>
          <w:lang w:val="en-US" w:eastAsia="zh-CN"/>
        </w:rPr>
        <w:t>2</w:t>
      </w:r>
      <w:r>
        <w:rPr>
          <w:rFonts w:hint="eastAsia" w:ascii="Arial" w:cs="Arial"/>
          <w:b/>
          <w:sz w:val="26"/>
          <w:szCs w:val="26"/>
        </w:rPr>
        <w:t>）评价</w:t>
      </w:r>
      <w:r>
        <w:rPr>
          <w:rFonts w:hint="eastAsia" w:ascii="Arial" w:cs="Arial"/>
          <w:b/>
          <w:sz w:val="26"/>
          <w:szCs w:val="26"/>
          <w:lang w:eastAsia="zh-CN"/>
        </w:rPr>
        <w:t>标准</w:t>
      </w:r>
    </w:p>
    <w:p w14:paraId="51FFB32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eastAsia="宋体" w:cs="Arial"/>
          <w:spacing w:val="-4"/>
          <w:sz w:val="26"/>
          <w:szCs w:val="26"/>
          <w:lang w:eastAsia="zh-CN"/>
        </w:rPr>
      </w:pPr>
      <w:r>
        <w:rPr>
          <w:rFonts w:hint="eastAsia" w:ascii="Arial" w:hAnsi="Arial" w:cs="Arial"/>
          <w:sz w:val="26"/>
          <w:szCs w:val="26"/>
          <w:lang w:eastAsia="zh-CN"/>
        </w:rPr>
        <w:t>参照</w:t>
      </w:r>
      <w:r>
        <w:rPr>
          <w:rFonts w:ascii="Arial" w:hAnsi="Arial" w:cs="Arial"/>
          <w:sz w:val="26"/>
          <w:szCs w:val="26"/>
        </w:rPr>
        <w:t>《土壤环境质量农用地土壤污染风险管控标准（试行）》</w:t>
      </w:r>
      <w:r>
        <w:rPr>
          <w:rFonts w:hint="eastAsia" w:ascii="Arial" w:hAnsi="Arial" w:cs="Arial"/>
          <w:sz w:val="26"/>
          <w:szCs w:val="26"/>
        </w:rPr>
        <w:t>（</w:t>
      </w:r>
      <w:r>
        <w:rPr>
          <w:rFonts w:ascii="Arial" w:hAnsi="Arial" w:cs="Arial"/>
          <w:sz w:val="26"/>
          <w:szCs w:val="26"/>
        </w:rPr>
        <w:t>GB15618-2018</w:t>
      </w:r>
      <w:r>
        <w:rPr>
          <w:rFonts w:hint="eastAsia" w:ascii="Arial" w:hAnsi="Arial" w:cs="Arial"/>
          <w:sz w:val="26"/>
          <w:szCs w:val="26"/>
        </w:rPr>
        <w:t>）</w:t>
      </w:r>
      <w:r>
        <w:rPr>
          <w:rFonts w:ascii="Arial" w:hAnsi="Arial" w:cs="Arial"/>
          <w:sz w:val="26"/>
          <w:szCs w:val="26"/>
        </w:rPr>
        <w:t>表1农用地土壤污染风险筛选值（基本项目）</w:t>
      </w:r>
      <w:r>
        <w:rPr>
          <w:rFonts w:hint="eastAsia" w:ascii="Arial" w:cs="Arial"/>
          <w:spacing w:val="-4"/>
          <w:sz w:val="26"/>
          <w:szCs w:val="26"/>
          <w:lang w:eastAsia="zh-CN"/>
        </w:rPr>
        <w:t>。</w:t>
      </w:r>
    </w:p>
    <w:p w14:paraId="41A4650D">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outlineLvl w:val="3"/>
        <w:rPr>
          <w:rFonts w:hint="eastAsia" w:ascii="Arial" w:eastAsia="宋体" w:cs="Arial"/>
          <w:b/>
          <w:sz w:val="26"/>
          <w:szCs w:val="26"/>
          <w:lang w:eastAsia="zh-CN"/>
        </w:rPr>
      </w:pPr>
      <w:r>
        <w:rPr>
          <w:rFonts w:hint="eastAsia" w:ascii="Arial" w:cs="Arial"/>
          <w:b/>
          <w:sz w:val="26"/>
          <w:szCs w:val="26"/>
        </w:rPr>
        <w:t>（</w:t>
      </w:r>
      <w:r>
        <w:rPr>
          <w:rFonts w:hint="eastAsia" w:ascii="Arial" w:cs="Arial"/>
          <w:b/>
          <w:sz w:val="26"/>
          <w:szCs w:val="26"/>
          <w:lang w:val="en-US" w:eastAsia="zh-CN"/>
        </w:rPr>
        <w:t>3</w:t>
      </w:r>
      <w:r>
        <w:rPr>
          <w:rFonts w:hint="eastAsia" w:ascii="Arial" w:cs="Arial"/>
          <w:b/>
          <w:sz w:val="26"/>
          <w:szCs w:val="26"/>
        </w:rPr>
        <w:t>）评价</w:t>
      </w:r>
      <w:r>
        <w:rPr>
          <w:rFonts w:hint="eastAsia" w:ascii="Arial" w:cs="Arial"/>
          <w:b/>
          <w:sz w:val="26"/>
          <w:szCs w:val="26"/>
          <w:lang w:eastAsia="zh-CN"/>
        </w:rPr>
        <w:t>结果</w:t>
      </w:r>
    </w:p>
    <w:p w14:paraId="3E55487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ascii="Arial" w:hAnsi="Arial" w:cs="Arial"/>
          <w:sz w:val="26"/>
          <w:szCs w:val="26"/>
        </w:rPr>
      </w:pPr>
      <w:r>
        <w:rPr>
          <w:rFonts w:ascii="Arial" w:hAnsi="Arial" w:cs="Arial"/>
          <w:sz w:val="26"/>
          <w:szCs w:val="26"/>
        </w:rPr>
        <w:t>监测数据及评价结果见表4</w:t>
      </w:r>
      <w:r>
        <w:rPr>
          <w:rFonts w:hint="eastAsia" w:ascii="Arial" w:hAnsi="Arial" w:cs="Arial"/>
          <w:sz w:val="26"/>
          <w:szCs w:val="26"/>
          <w:lang w:val="en-US" w:eastAsia="zh-CN"/>
        </w:rPr>
        <w:t>.3-13</w:t>
      </w:r>
      <w:r>
        <w:rPr>
          <w:rFonts w:ascii="Arial" w:hAnsi="Arial" w:cs="Arial"/>
          <w:sz w:val="26"/>
          <w:szCs w:val="26"/>
        </w:rPr>
        <w:t>所示。</w:t>
      </w:r>
    </w:p>
    <w:p w14:paraId="3F554AEE">
      <w:pPr>
        <w:keepNext w:val="0"/>
        <w:keepLines w:val="0"/>
        <w:pageBreakBefore w:val="0"/>
        <w:widowControl w:val="0"/>
        <w:kinsoku/>
        <w:wordWrap/>
        <w:overflowPunct/>
        <w:topLinePunct w:val="0"/>
        <w:autoSpaceDE/>
        <w:autoSpaceDN/>
        <w:bidi w:val="0"/>
        <w:adjustRightInd/>
        <w:snapToGrid/>
        <w:spacing w:line="460" w:lineRule="exact"/>
        <w:ind w:firstLine="522"/>
        <w:jc w:val="center"/>
        <w:textAlignment w:val="auto"/>
        <w:rPr>
          <w:rFonts w:ascii="Arial" w:hAnsi="Arial" w:cs="Arial"/>
          <w:spacing w:val="-4"/>
          <w:sz w:val="26"/>
          <w:szCs w:val="26"/>
        </w:rPr>
      </w:pPr>
      <w:r>
        <w:rPr>
          <w:rFonts w:ascii="Arial" w:hAnsi="宋体" w:cs="Arial"/>
          <w:b/>
          <w:snapToGrid w:val="0"/>
          <w:kern w:val="0"/>
          <w:sz w:val="26"/>
          <w:szCs w:val="26"/>
        </w:rPr>
        <w:t>表</w:t>
      </w:r>
      <w:r>
        <w:rPr>
          <w:rFonts w:ascii="Arial" w:hAnsi="Arial" w:cs="Arial"/>
          <w:b/>
          <w:snapToGrid w:val="0"/>
          <w:kern w:val="0"/>
          <w:sz w:val="26"/>
          <w:szCs w:val="26"/>
        </w:rPr>
        <w:t>4.</w:t>
      </w:r>
      <w:r>
        <w:rPr>
          <w:rFonts w:hint="eastAsia" w:ascii="Arial" w:hAnsi="Arial" w:cs="Arial"/>
          <w:b/>
          <w:snapToGrid w:val="0"/>
          <w:kern w:val="0"/>
          <w:sz w:val="26"/>
          <w:szCs w:val="26"/>
          <w:lang w:val="en-US" w:eastAsia="zh-CN"/>
        </w:rPr>
        <w:t>3-13</w:t>
      </w:r>
      <w:r>
        <w:rPr>
          <w:rFonts w:ascii="Arial" w:hAnsi="Arial" w:cs="Arial"/>
          <w:b/>
          <w:snapToGrid w:val="0"/>
          <w:kern w:val="0"/>
          <w:sz w:val="26"/>
          <w:szCs w:val="26"/>
        </w:rPr>
        <w:t xml:space="preserve"> </w:t>
      </w:r>
      <w:r>
        <w:rPr>
          <w:rFonts w:hint="eastAsia" w:ascii="Arial" w:hAnsi="Arial" w:cs="Arial"/>
          <w:b/>
          <w:snapToGrid w:val="0"/>
          <w:kern w:val="0"/>
          <w:sz w:val="26"/>
          <w:szCs w:val="26"/>
          <w:lang w:eastAsia="zh-CN"/>
        </w:rPr>
        <w:t>底泥</w:t>
      </w:r>
      <w:r>
        <w:rPr>
          <w:rFonts w:ascii="Arial" w:hAnsi="宋体" w:cs="Arial"/>
          <w:b/>
          <w:snapToGrid w:val="0"/>
          <w:kern w:val="0"/>
          <w:sz w:val="26"/>
          <w:szCs w:val="26"/>
        </w:rPr>
        <w:t>环境监测结果一览表</w:t>
      </w:r>
      <w:r>
        <w:rPr>
          <w:rFonts w:ascii="Arial" w:hAnsi="Arial" w:cs="Arial"/>
          <w:b/>
          <w:snapToGrid w:val="0"/>
          <w:kern w:val="0"/>
          <w:sz w:val="26"/>
          <w:szCs w:val="26"/>
        </w:rPr>
        <w:t xml:space="preserve">  </w:t>
      </w:r>
    </w:p>
    <w:tbl>
      <w:tblPr>
        <w:tblStyle w:val="78"/>
        <w:tblW w:w="51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634"/>
        <w:gridCol w:w="936"/>
        <w:gridCol w:w="655"/>
        <w:gridCol w:w="655"/>
        <w:gridCol w:w="655"/>
        <w:gridCol w:w="655"/>
        <w:gridCol w:w="655"/>
        <w:gridCol w:w="776"/>
        <w:gridCol w:w="704"/>
        <w:gridCol w:w="722"/>
      </w:tblGrid>
      <w:tr w14:paraId="3C72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61" w:type="pct"/>
            <w:vMerge w:val="restart"/>
            <w:vAlign w:val="center"/>
          </w:tcPr>
          <w:p w14:paraId="629C87F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检测点位</w:t>
            </w:r>
          </w:p>
        </w:tc>
        <w:tc>
          <w:tcPr>
            <w:tcW w:w="880" w:type="pct"/>
            <w:vAlign w:val="center"/>
          </w:tcPr>
          <w:p w14:paraId="73A8152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pH值</w:t>
            </w:r>
          </w:p>
        </w:tc>
        <w:tc>
          <w:tcPr>
            <w:tcW w:w="504" w:type="pct"/>
            <w:vAlign w:val="center"/>
          </w:tcPr>
          <w:p w14:paraId="3ED7EE7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含盐量</w:t>
            </w:r>
          </w:p>
        </w:tc>
        <w:tc>
          <w:tcPr>
            <w:tcW w:w="353" w:type="pct"/>
            <w:vAlign w:val="center"/>
          </w:tcPr>
          <w:p w14:paraId="04D5C80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砷</w:t>
            </w:r>
          </w:p>
        </w:tc>
        <w:tc>
          <w:tcPr>
            <w:tcW w:w="353" w:type="pct"/>
            <w:vAlign w:val="center"/>
          </w:tcPr>
          <w:p w14:paraId="2E40A0D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镉</w:t>
            </w:r>
          </w:p>
        </w:tc>
        <w:tc>
          <w:tcPr>
            <w:tcW w:w="353" w:type="pct"/>
            <w:vAlign w:val="center"/>
          </w:tcPr>
          <w:p w14:paraId="0DAA766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铬</w:t>
            </w:r>
          </w:p>
        </w:tc>
        <w:tc>
          <w:tcPr>
            <w:tcW w:w="353" w:type="pct"/>
            <w:vAlign w:val="center"/>
          </w:tcPr>
          <w:p w14:paraId="4D7B02F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铜</w:t>
            </w:r>
          </w:p>
        </w:tc>
        <w:tc>
          <w:tcPr>
            <w:tcW w:w="353" w:type="pct"/>
            <w:vAlign w:val="center"/>
          </w:tcPr>
          <w:p w14:paraId="63BCFDE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铅</w:t>
            </w:r>
          </w:p>
        </w:tc>
        <w:tc>
          <w:tcPr>
            <w:tcW w:w="418" w:type="pct"/>
            <w:vAlign w:val="center"/>
          </w:tcPr>
          <w:p w14:paraId="1B809E5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汞</w:t>
            </w:r>
          </w:p>
        </w:tc>
        <w:tc>
          <w:tcPr>
            <w:tcW w:w="379" w:type="pct"/>
            <w:vAlign w:val="center"/>
          </w:tcPr>
          <w:p w14:paraId="3F9F3E9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镍</w:t>
            </w:r>
          </w:p>
        </w:tc>
        <w:tc>
          <w:tcPr>
            <w:tcW w:w="389" w:type="pct"/>
            <w:vAlign w:val="center"/>
          </w:tcPr>
          <w:p w14:paraId="41776DF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锌</w:t>
            </w:r>
          </w:p>
        </w:tc>
      </w:tr>
      <w:tr w14:paraId="53B9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61" w:type="pct"/>
            <w:vMerge w:val="continue"/>
            <w:vAlign w:val="center"/>
          </w:tcPr>
          <w:p w14:paraId="1BC9A75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rPr>
            </w:pPr>
          </w:p>
        </w:tc>
        <w:tc>
          <w:tcPr>
            <w:tcW w:w="880" w:type="pct"/>
            <w:vAlign w:val="center"/>
          </w:tcPr>
          <w:p w14:paraId="7CCF36A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无量纲</w:t>
            </w:r>
          </w:p>
        </w:tc>
        <w:tc>
          <w:tcPr>
            <w:tcW w:w="504" w:type="pct"/>
            <w:vAlign w:val="center"/>
          </w:tcPr>
          <w:p w14:paraId="3E9174A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g/kg</w:t>
            </w:r>
          </w:p>
        </w:tc>
        <w:tc>
          <w:tcPr>
            <w:tcW w:w="2952" w:type="pct"/>
            <w:gridSpan w:val="8"/>
            <w:vAlign w:val="center"/>
          </w:tcPr>
          <w:p w14:paraId="19C63B7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mg/kg</w:t>
            </w:r>
          </w:p>
        </w:tc>
      </w:tr>
      <w:tr w14:paraId="09B3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61" w:type="pct"/>
            <w:vAlign w:val="center"/>
          </w:tcPr>
          <w:p w14:paraId="6AEBAF3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Arial" w:hAnsi="Arial" w:eastAsia="宋体" w:cs="Arial"/>
                <w:snapToGrid w:val="0"/>
                <w:color w:val="auto"/>
                <w:kern w:val="0"/>
                <w:sz w:val="22"/>
                <w:szCs w:val="22"/>
                <w:highlight w:val="none"/>
                <w:lang w:eastAsia="zh-CN" w:bidi="ar"/>
              </w:rPr>
            </w:pPr>
            <w:r>
              <w:rPr>
                <w:rFonts w:hint="default" w:ascii="Arial" w:hAnsi="Arial" w:eastAsia="宋体" w:cs="Arial"/>
                <w:snapToGrid w:val="0"/>
                <w:color w:val="auto"/>
                <w:kern w:val="0"/>
                <w:sz w:val="22"/>
                <w:szCs w:val="22"/>
                <w:highlight w:val="none"/>
                <w:lang w:bidi="ar"/>
              </w:rPr>
              <w:t>海螺沟水库</w:t>
            </w:r>
            <w:r>
              <w:rPr>
                <w:rFonts w:hint="eastAsia" w:ascii="Arial" w:hAnsi="Arial" w:cs="Arial"/>
                <w:snapToGrid w:val="0"/>
                <w:color w:val="auto"/>
                <w:kern w:val="0"/>
                <w:sz w:val="22"/>
                <w:szCs w:val="22"/>
                <w:highlight w:val="none"/>
                <w:lang w:eastAsia="zh-CN" w:bidi="ar"/>
              </w:rPr>
              <w:t>拟建大坝处</w:t>
            </w:r>
          </w:p>
        </w:tc>
        <w:tc>
          <w:tcPr>
            <w:tcW w:w="880" w:type="pct"/>
            <w:vAlign w:val="center"/>
          </w:tcPr>
          <w:p w14:paraId="01A766B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7.4</w:t>
            </w:r>
          </w:p>
        </w:tc>
        <w:tc>
          <w:tcPr>
            <w:tcW w:w="504" w:type="pct"/>
            <w:vAlign w:val="center"/>
          </w:tcPr>
          <w:p w14:paraId="6BAC13C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0.8</w:t>
            </w:r>
          </w:p>
        </w:tc>
        <w:tc>
          <w:tcPr>
            <w:tcW w:w="353" w:type="pct"/>
            <w:vAlign w:val="center"/>
          </w:tcPr>
          <w:p w14:paraId="18F17D0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2.82</w:t>
            </w:r>
          </w:p>
        </w:tc>
        <w:tc>
          <w:tcPr>
            <w:tcW w:w="353" w:type="pct"/>
            <w:vAlign w:val="center"/>
          </w:tcPr>
          <w:p w14:paraId="2B69338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0.03</w:t>
            </w:r>
          </w:p>
        </w:tc>
        <w:tc>
          <w:tcPr>
            <w:tcW w:w="353" w:type="pct"/>
            <w:vAlign w:val="center"/>
          </w:tcPr>
          <w:p w14:paraId="30751D2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34</w:t>
            </w:r>
          </w:p>
        </w:tc>
        <w:tc>
          <w:tcPr>
            <w:tcW w:w="353" w:type="pct"/>
            <w:vAlign w:val="center"/>
          </w:tcPr>
          <w:p w14:paraId="2842372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16</w:t>
            </w:r>
          </w:p>
        </w:tc>
        <w:tc>
          <w:tcPr>
            <w:tcW w:w="353" w:type="pct"/>
            <w:vAlign w:val="center"/>
          </w:tcPr>
          <w:p w14:paraId="1F3EA9B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8.6</w:t>
            </w:r>
          </w:p>
        </w:tc>
        <w:tc>
          <w:tcPr>
            <w:tcW w:w="418" w:type="pct"/>
            <w:vAlign w:val="center"/>
          </w:tcPr>
          <w:p w14:paraId="7C99346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0.093</w:t>
            </w:r>
          </w:p>
        </w:tc>
        <w:tc>
          <w:tcPr>
            <w:tcW w:w="379" w:type="pct"/>
            <w:vAlign w:val="center"/>
          </w:tcPr>
          <w:p w14:paraId="3D79243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21</w:t>
            </w:r>
          </w:p>
        </w:tc>
        <w:tc>
          <w:tcPr>
            <w:tcW w:w="389" w:type="pct"/>
            <w:vAlign w:val="center"/>
          </w:tcPr>
          <w:p w14:paraId="06CEB04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63</w:t>
            </w:r>
          </w:p>
        </w:tc>
      </w:tr>
      <w:tr w14:paraId="43971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61" w:type="pct"/>
            <w:vAlign w:val="center"/>
          </w:tcPr>
          <w:p w14:paraId="1D14681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cs="Arial"/>
                <w:snapToGrid w:val="0"/>
                <w:color w:val="auto"/>
                <w:kern w:val="0"/>
                <w:sz w:val="22"/>
                <w:szCs w:val="22"/>
                <w:highlight w:val="none"/>
              </w:rPr>
              <w:t>标准指数</w:t>
            </w:r>
          </w:p>
        </w:tc>
        <w:tc>
          <w:tcPr>
            <w:tcW w:w="880" w:type="pct"/>
            <w:vAlign w:val="center"/>
          </w:tcPr>
          <w:p w14:paraId="4B95592F">
            <w:pPr>
              <w:pStyle w:val="2109"/>
              <w:keepNext w:val="0"/>
              <w:keepLines w:val="0"/>
              <w:pageBreakBefore w:val="0"/>
              <w:kinsoku/>
              <w:wordWrap/>
              <w:overflowPunct/>
              <w:topLinePunct w:val="0"/>
              <w:autoSpaceDE/>
              <w:autoSpaceDN/>
              <w:bidi w:val="0"/>
              <w:adjustRightInd/>
              <w:snapToGrid/>
              <w:spacing w:line="300" w:lineRule="exact"/>
              <w:jc w:val="center"/>
              <w:rPr>
                <w:rFonts w:hint="default" w:ascii="Arial" w:hAnsi="Arial" w:cs="Arial"/>
                <w:snapToGrid w:val="0"/>
                <w:color w:val="auto"/>
                <w:kern w:val="0"/>
                <w:sz w:val="22"/>
                <w:szCs w:val="22"/>
                <w:highlight w:val="none"/>
                <w:lang w:bidi="ar"/>
              </w:rPr>
            </w:pPr>
            <w:r>
              <w:rPr>
                <w:rFonts w:hint="default" w:ascii="Arial" w:hAnsi="Arial" w:cs="Arial"/>
                <w:snapToGrid w:val="0"/>
                <w:color w:val="auto"/>
                <w:kern w:val="0"/>
                <w:sz w:val="22"/>
                <w:szCs w:val="22"/>
                <w:highlight w:val="none"/>
              </w:rPr>
              <w:t>无酸化或碱化</w:t>
            </w:r>
          </w:p>
        </w:tc>
        <w:tc>
          <w:tcPr>
            <w:tcW w:w="504" w:type="pct"/>
            <w:vAlign w:val="center"/>
          </w:tcPr>
          <w:p w14:paraId="1538099A">
            <w:pPr>
              <w:pStyle w:val="2109"/>
              <w:keepNext w:val="0"/>
              <w:keepLines w:val="0"/>
              <w:pageBreakBefore w:val="0"/>
              <w:kinsoku/>
              <w:wordWrap/>
              <w:overflowPunct/>
              <w:topLinePunct w:val="0"/>
              <w:autoSpaceDE/>
              <w:autoSpaceDN/>
              <w:bidi w:val="0"/>
              <w:adjustRightInd/>
              <w:snapToGrid/>
              <w:spacing w:line="300" w:lineRule="exact"/>
              <w:jc w:val="center"/>
              <w:rPr>
                <w:rFonts w:hint="default" w:ascii="Arial" w:hAnsi="Arial" w:cs="Arial"/>
                <w:snapToGrid w:val="0"/>
                <w:color w:val="auto"/>
                <w:kern w:val="0"/>
                <w:sz w:val="22"/>
                <w:szCs w:val="22"/>
                <w:highlight w:val="none"/>
                <w:lang w:bidi="ar"/>
              </w:rPr>
            </w:pPr>
            <w:r>
              <w:rPr>
                <w:rFonts w:hint="default" w:ascii="Arial" w:hAnsi="Arial" w:cs="Arial"/>
                <w:snapToGrid w:val="0"/>
                <w:color w:val="auto"/>
                <w:kern w:val="0"/>
                <w:sz w:val="22"/>
                <w:szCs w:val="22"/>
                <w:highlight w:val="none"/>
              </w:rPr>
              <w:t>未盐化</w:t>
            </w:r>
          </w:p>
        </w:tc>
        <w:tc>
          <w:tcPr>
            <w:tcW w:w="353" w:type="pct"/>
            <w:vAlign w:val="center"/>
          </w:tcPr>
          <w:p w14:paraId="177B919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 xml:space="preserve">0.09 </w:t>
            </w:r>
          </w:p>
        </w:tc>
        <w:tc>
          <w:tcPr>
            <w:tcW w:w="353" w:type="pct"/>
            <w:vAlign w:val="center"/>
          </w:tcPr>
          <w:p w14:paraId="0E10AD1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 xml:space="preserve">0.10 </w:t>
            </w:r>
          </w:p>
        </w:tc>
        <w:tc>
          <w:tcPr>
            <w:tcW w:w="353" w:type="pct"/>
            <w:vAlign w:val="center"/>
          </w:tcPr>
          <w:p w14:paraId="29181FA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 xml:space="preserve">0.17 </w:t>
            </w:r>
          </w:p>
        </w:tc>
        <w:tc>
          <w:tcPr>
            <w:tcW w:w="353" w:type="pct"/>
            <w:vAlign w:val="center"/>
          </w:tcPr>
          <w:p w14:paraId="7FDC0E1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 xml:space="preserve">0.16 </w:t>
            </w:r>
          </w:p>
        </w:tc>
        <w:tc>
          <w:tcPr>
            <w:tcW w:w="353" w:type="pct"/>
            <w:vAlign w:val="center"/>
          </w:tcPr>
          <w:p w14:paraId="060D36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 xml:space="preserve">0.07 </w:t>
            </w:r>
          </w:p>
        </w:tc>
        <w:tc>
          <w:tcPr>
            <w:tcW w:w="418" w:type="pct"/>
            <w:vAlign w:val="center"/>
          </w:tcPr>
          <w:p w14:paraId="0AE898C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 xml:space="preserve">0.04 </w:t>
            </w:r>
          </w:p>
        </w:tc>
        <w:tc>
          <w:tcPr>
            <w:tcW w:w="379" w:type="pct"/>
            <w:vAlign w:val="center"/>
          </w:tcPr>
          <w:p w14:paraId="0740E8E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 xml:space="preserve">0.21 </w:t>
            </w:r>
          </w:p>
        </w:tc>
        <w:tc>
          <w:tcPr>
            <w:tcW w:w="389" w:type="pct"/>
            <w:vAlign w:val="center"/>
          </w:tcPr>
          <w:p w14:paraId="1D38B46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bidi="ar"/>
              </w:rPr>
            </w:pPr>
            <w:r>
              <w:rPr>
                <w:rFonts w:hint="default" w:ascii="Arial" w:hAnsi="Arial" w:eastAsia="宋体" w:cs="Arial"/>
                <w:snapToGrid w:val="0"/>
                <w:color w:val="auto"/>
                <w:kern w:val="0"/>
                <w:sz w:val="22"/>
                <w:szCs w:val="22"/>
                <w:highlight w:val="none"/>
                <w:lang w:bidi="ar"/>
              </w:rPr>
              <w:t xml:space="preserve">0.25 </w:t>
            </w:r>
          </w:p>
        </w:tc>
      </w:tr>
      <w:tr w14:paraId="57F1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61" w:type="pct"/>
            <w:shd w:val="clear" w:color="auto" w:fill="auto"/>
            <w:vAlign w:val="center"/>
          </w:tcPr>
          <w:p w14:paraId="150AB1F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default" w:ascii="Arial" w:hAnsi="Arial" w:eastAsia="宋体" w:cs="Arial"/>
                <w:snapToGrid w:val="0"/>
                <w:color w:val="auto"/>
                <w:kern w:val="0"/>
                <w:sz w:val="22"/>
                <w:szCs w:val="22"/>
                <w:highlight w:val="none"/>
                <w:lang w:val="en-US" w:eastAsia="zh-CN" w:bidi="ar"/>
              </w:rPr>
            </w:pPr>
            <w:r>
              <w:rPr>
                <w:rFonts w:hint="default" w:ascii="Arial" w:hAnsi="Arial" w:cs="Arial"/>
                <w:snapToGrid w:val="0"/>
                <w:color w:val="auto"/>
                <w:kern w:val="0"/>
                <w:sz w:val="22"/>
                <w:szCs w:val="22"/>
                <w:highlight w:val="none"/>
                <w:lang w:eastAsia="zh-CN" w:bidi="ar"/>
              </w:rPr>
              <w:t>标准限值</w:t>
            </w:r>
          </w:p>
        </w:tc>
        <w:tc>
          <w:tcPr>
            <w:tcW w:w="880" w:type="pct"/>
            <w:shd w:val="clear" w:color="auto" w:fill="auto"/>
            <w:vAlign w:val="center"/>
          </w:tcPr>
          <w:p w14:paraId="376610E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6.5&lt;pH≤7.5</w:t>
            </w:r>
          </w:p>
        </w:tc>
        <w:tc>
          <w:tcPr>
            <w:tcW w:w="504" w:type="pct"/>
            <w:shd w:val="clear" w:color="auto" w:fill="auto"/>
            <w:vAlign w:val="center"/>
          </w:tcPr>
          <w:p w14:paraId="6A9B32F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eastAsia" w:ascii="Arial" w:hAnsi="Arial" w:cs="Arial"/>
                <w:snapToGrid w:val="0"/>
                <w:color w:val="auto"/>
                <w:kern w:val="0"/>
                <w:sz w:val="22"/>
                <w:szCs w:val="22"/>
                <w:highlight w:val="none"/>
                <w:lang w:val="en-US" w:eastAsia="zh-CN" w:bidi="ar"/>
              </w:rPr>
              <w:t>/</w:t>
            </w:r>
          </w:p>
        </w:tc>
        <w:tc>
          <w:tcPr>
            <w:tcW w:w="353" w:type="pct"/>
            <w:shd w:val="clear" w:color="auto" w:fill="auto"/>
            <w:vAlign w:val="center"/>
          </w:tcPr>
          <w:p w14:paraId="6413487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30</w:t>
            </w:r>
          </w:p>
        </w:tc>
        <w:tc>
          <w:tcPr>
            <w:tcW w:w="353" w:type="pct"/>
            <w:shd w:val="clear" w:color="auto" w:fill="auto"/>
            <w:vAlign w:val="center"/>
          </w:tcPr>
          <w:p w14:paraId="4A30A8A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0.3</w:t>
            </w:r>
          </w:p>
        </w:tc>
        <w:tc>
          <w:tcPr>
            <w:tcW w:w="353" w:type="pct"/>
            <w:shd w:val="clear" w:color="auto" w:fill="auto"/>
            <w:vAlign w:val="center"/>
          </w:tcPr>
          <w:p w14:paraId="55BB52A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200</w:t>
            </w:r>
          </w:p>
        </w:tc>
        <w:tc>
          <w:tcPr>
            <w:tcW w:w="353" w:type="pct"/>
            <w:shd w:val="clear" w:color="auto" w:fill="auto"/>
            <w:vAlign w:val="center"/>
          </w:tcPr>
          <w:p w14:paraId="19CCFFC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100</w:t>
            </w:r>
          </w:p>
        </w:tc>
        <w:tc>
          <w:tcPr>
            <w:tcW w:w="353" w:type="pct"/>
            <w:shd w:val="clear" w:color="auto" w:fill="auto"/>
            <w:vAlign w:val="center"/>
          </w:tcPr>
          <w:p w14:paraId="41781C7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120</w:t>
            </w:r>
          </w:p>
        </w:tc>
        <w:tc>
          <w:tcPr>
            <w:tcW w:w="418" w:type="pct"/>
            <w:shd w:val="clear" w:color="auto" w:fill="auto"/>
            <w:vAlign w:val="center"/>
          </w:tcPr>
          <w:p w14:paraId="6EA1843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2.4</w:t>
            </w:r>
          </w:p>
        </w:tc>
        <w:tc>
          <w:tcPr>
            <w:tcW w:w="379" w:type="pct"/>
            <w:shd w:val="clear" w:color="auto" w:fill="auto"/>
            <w:vAlign w:val="center"/>
          </w:tcPr>
          <w:p w14:paraId="2D10A04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100</w:t>
            </w:r>
          </w:p>
        </w:tc>
        <w:tc>
          <w:tcPr>
            <w:tcW w:w="389" w:type="pct"/>
            <w:shd w:val="clear" w:color="auto" w:fill="auto"/>
            <w:vAlign w:val="center"/>
          </w:tcPr>
          <w:p w14:paraId="0DB2052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Arial" w:hAnsi="Arial" w:eastAsia="宋体" w:cs="Arial"/>
                <w:snapToGrid w:val="0"/>
                <w:color w:val="auto"/>
                <w:kern w:val="0"/>
                <w:sz w:val="22"/>
                <w:szCs w:val="22"/>
                <w:highlight w:val="none"/>
                <w:lang w:val="en-US" w:eastAsia="zh-CN" w:bidi="ar"/>
              </w:rPr>
            </w:pPr>
            <w:r>
              <w:rPr>
                <w:rFonts w:hint="default" w:ascii="Arial" w:hAnsi="Arial" w:eastAsia="宋体" w:cs="Arial"/>
                <w:snapToGrid w:val="0"/>
                <w:color w:val="auto"/>
                <w:kern w:val="0"/>
                <w:sz w:val="22"/>
                <w:szCs w:val="22"/>
                <w:highlight w:val="none"/>
                <w:lang w:bidi="ar"/>
              </w:rPr>
              <w:t>250</w:t>
            </w:r>
          </w:p>
        </w:tc>
      </w:tr>
    </w:tbl>
    <w:p w14:paraId="4373112F">
      <w:pPr>
        <w:spacing w:line="240" w:lineRule="exact"/>
        <w:ind w:firstLine="504"/>
        <w:rPr>
          <w:rFonts w:hint="eastAsia" w:ascii="Arial" w:cs="Arial"/>
          <w:spacing w:val="-4"/>
          <w:szCs w:val="26"/>
        </w:rPr>
      </w:pPr>
    </w:p>
    <w:p w14:paraId="55B69DA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bCs/>
          <w:sz w:val="26"/>
          <w:szCs w:val="26"/>
        </w:rPr>
        <w:t>由表</w:t>
      </w:r>
      <w:r>
        <w:rPr>
          <w:rFonts w:hint="eastAsia" w:ascii="Arial" w:hAnsi="Arial" w:cs="Arial"/>
          <w:bCs/>
          <w:sz w:val="26"/>
          <w:szCs w:val="26"/>
          <w:lang w:val="en-US" w:eastAsia="zh-CN"/>
        </w:rPr>
        <w:t>4.3-13</w:t>
      </w:r>
      <w:r>
        <w:rPr>
          <w:rFonts w:hint="eastAsia" w:ascii="Arial" w:hAnsi="Arial" w:cs="Arial"/>
          <w:bCs/>
          <w:sz w:val="26"/>
          <w:szCs w:val="26"/>
        </w:rPr>
        <w:t>监测结果可知，</w:t>
      </w:r>
      <w:r>
        <w:rPr>
          <w:rFonts w:hint="eastAsia" w:ascii="Arial" w:hAnsi="Arial" w:cs="Arial"/>
          <w:bCs/>
          <w:sz w:val="26"/>
          <w:szCs w:val="26"/>
          <w:lang w:eastAsia="zh-CN"/>
        </w:rPr>
        <w:t>海螺沟水库拟建大坝处</w:t>
      </w:r>
      <w:r>
        <w:rPr>
          <w:rFonts w:ascii="Arial" w:hAnsi="Arial" w:cs="Arial"/>
          <w:bCs/>
          <w:sz w:val="26"/>
          <w:szCs w:val="26"/>
        </w:rPr>
        <w:t>各监测因子浓度均可满足</w:t>
      </w:r>
      <w:r>
        <w:rPr>
          <w:rFonts w:ascii="Arial" w:hAnsi="Arial" w:cs="Arial"/>
          <w:sz w:val="26"/>
          <w:szCs w:val="26"/>
        </w:rPr>
        <w:t>《土壤环境质量农用地土壤污染风险管控标准（试行）》</w:t>
      </w:r>
      <w:r>
        <w:rPr>
          <w:rFonts w:hint="eastAsia" w:ascii="Arial" w:hAnsi="Arial" w:cs="Arial"/>
          <w:sz w:val="26"/>
          <w:szCs w:val="26"/>
        </w:rPr>
        <w:t>（</w:t>
      </w:r>
      <w:r>
        <w:rPr>
          <w:rFonts w:ascii="Arial" w:hAnsi="Arial" w:cs="Arial"/>
          <w:sz w:val="26"/>
          <w:szCs w:val="26"/>
        </w:rPr>
        <w:t>GB15618-2018</w:t>
      </w:r>
      <w:r>
        <w:rPr>
          <w:rFonts w:hint="eastAsia" w:ascii="Arial" w:hAnsi="Arial" w:cs="Arial"/>
          <w:sz w:val="26"/>
          <w:szCs w:val="26"/>
        </w:rPr>
        <w:t>）</w:t>
      </w:r>
      <w:r>
        <w:rPr>
          <w:rFonts w:ascii="Arial" w:hAnsi="Arial" w:cs="Arial"/>
          <w:sz w:val="26"/>
          <w:szCs w:val="26"/>
        </w:rPr>
        <w:t>表1</w:t>
      </w:r>
      <w:r>
        <w:rPr>
          <w:rFonts w:hint="eastAsia" w:ascii="Arial" w:hAnsi="Arial" w:cs="Arial"/>
          <w:sz w:val="26"/>
          <w:szCs w:val="26"/>
        </w:rPr>
        <w:t>中</w:t>
      </w:r>
      <w:r>
        <w:rPr>
          <w:rFonts w:ascii="Arial" w:hAnsi="Arial" w:cs="Arial"/>
          <w:sz w:val="26"/>
          <w:szCs w:val="26"/>
        </w:rPr>
        <w:t>农用地土壤污染风险筛选值</w:t>
      </w:r>
      <w:r>
        <w:rPr>
          <w:rFonts w:hint="eastAsia" w:ascii="Arial" w:hAnsi="Arial" w:cs="Arial"/>
          <w:sz w:val="26"/>
          <w:szCs w:val="26"/>
          <w:lang w:eastAsia="zh-CN"/>
        </w:rPr>
        <w:t>，底泥环境质量现状良好</w:t>
      </w:r>
      <w:r>
        <w:rPr>
          <w:rFonts w:hint="eastAsia" w:ascii="Arial" w:hAnsi="Arial" w:cs="Arial"/>
          <w:sz w:val="26"/>
          <w:szCs w:val="26"/>
        </w:rPr>
        <w:t>。</w:t>
      </w:r>
    </w:p>
    <w:p w14:paraId="7C724BBA">
      <w:pPr>
        <w:pStyle w:val="1291"/>
        <w:keepNext w:val="0"/>
        <w:keepLines w:val="0"/>
        <w:pageBreakBefore w:val="0"/>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eastAsia="宋体" w:cs="Arial"/>
          <w:sz w:val="26"/>
          <w:szCs w:val="26"/>
          <w:lang w:val="en-US" w:eastAsia="zh-CN"/>
        </w:rPr>
      </w:pPr>
      <w:r>
        <w:rPr>
          <w:rFonts w:hint="eastAsia" w:ascii="Arial" w:hAnsi="Arial" w:eastAsia="宋体" w:cs="Arial"/>
          <w:sz w:val="26"/>
          <w:szCs w:val="26"/>
          <w:lang w:val="en-US" w:eastAsia="zh-CN"/>
        </w:rPr>
        <w:t>4.4项目区水资源状况</w:t>
      </w:r>
    </w:p>
    <w:bookmarkEnd w:id="98"/>
    <w:bookmarkEnd w:id="99"/>
    <w:p w14:paraId="4416AF98">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default" w:ascii="Arial" w:hAnsi="Arial" w:eastAsia="宋体" w:cs="Arial"/>
          <w:b/>
          <w:bCs w:val="0"/>
          <w:kern w:val="0"/>
          <w:sz w:val="26"/>
          <w:szCs w:val="26"/>
          <w:lang w:val="en-US" w:eastAsia="zh-CN" w:bidi="ar-SA"/>
        </w:rPr>
      </w:pPr>
      <w:r>
        <w:rPr>
          <w:rFonts w:hint="eastAsia" w:ascii="Arial" w:hAnsi="Arial" w:cs="Arial"/>
          <w:b/>
          <w:bCs w:val="0"/>
          <w:kern w:val="0"/>
          <w:sz w:val="26"/>
          <w:szCs w:val="26"/>
          <w:lang w:val="en-US" w:eastAsia="zh-CN" w:bidi="ar-SA"/>
        </w:rPr>
        <w:t>4.4.1水资源量</w:t>
      </w:r>
    </w:p>
    <w:p w14:paraId="714D37EC">
      <w:pPr>
        <w:keepNext w:val="0"/>
        <w:keepLines w:val="0"/>
        <w:pageBreakBefore w:val="0"/>
        <w:widowControl w:val="0"/>
        <w:kinsoku/>
        <w:wordWrap/>
        <w:overflowPunct/>
        <w:topLinePunct w:val="0"/>
        <w:autoSpaceDE/>
        <w:autoSpaceDN/>
        <w:bidi w:val="0"/>
        <w:adjustRightInd/>
        <w:snapToGrid w:val="0"/>
        <w:spacing w:line="460" w:lineRule="exact"/>
        <w:ind w:firstLine="468" w:firstLineChars="200"/>
        <w:textAlignment w:val="auto"/>
        <w:rPr>
          <w:rFonts w:hint="eastAsia" w:ascii="Arial" w:hAnsi="Arial" w:cs="Arial"/>
          <w:sz w:val="26"/>
          <w:szCs w:val="26"/>
          <w:lang w:val="en-US" w:eastAsia="zh-CN"/>
        </w:rPr>
      </w:pPr>
      <w:r>
        <w:rPr>
          <w:rFonts w:ascii="宋体" w:hAnsi="宋体" w:eastAsia="宋体" w:cs="宋体"/>
          <w:spacing w:val="-13"/>
          <w:sz w:val="26"/>
          <w:szCs w:val="26"/>
        </w:rPr>
        <w:t>地表水资源量是指河流、湖泊、冰川等地表水体的动态水量，用</w:t>
      </w:r>
      <w:r>
        <w:rPr>
          <w:rFonts w:ascii="宋体" w:hAnsi="宋体" w:eastAsia="宋体" w:cs="宋体"/>
          <w:spacing w:val="-14"/>
          <w:sz w:val="26"/>
          <w:szCs w:val="26"/>
        </w:rPr>
        <w:t>天然河川径流量</w:t>
      </w:r>
      <w:r>
        <w:rPr>
          <w:rFonts w:ascii="宋体" w:hAnsi="宋体" w:eastAsia="宋体" w:cs="宋体"/>
          <w:sz w:val="26"/>
          <w:szCs w:val="26"/>
        </w:rPr>
        <w:t xml:space="preserve"> </w:t>
      </w:r>
      <w:r>
        <w:rPr>
          <w:rFonts w:ascii="宋体" w:hAnsi="宋体" w:eastAsia="宋体" w:cs="宋体"/>
          <w:spacing w:val="-2"/>
          <w:sz w:val="26"/>
          <w:szCs w:val="26"/>
        </w:rPr>
        <w:t>表示。</w:t>
      </w:r>
      <w:r>
        <w:rPr>
          <w:rFonts w:hint="eastAsia" w:ascii="Arial" w:hAnsi="Arial" w:cs="Arial"/>
          <w:sz w:val="26"/>
          <w:szCs w:val="26"/>
          <w:lang w:val="en-US" w:eastAsia="zh-CN"/>
        </w:rPr>
        <w:t>根据项目初设报告，海螺沟流域集雨面积约3.48km</w:t>
      </w:r>
      <w:r>
        <w:rPr>
          <w:rFonts w:hint="eastAsia" w:ascii="Arial" w:hAnsi="Arial" w:cs="Arial"/>
          <w:sz w:val="26"/>
          <w:szCs w:val="26"/>
          <w:vertAlign w:val="superscript"/>
          <w:lang w:val="en-US" w:eastAsia="zh-CN"/>
        </w:rPr>
        <w:t>2</w:t>
      </w:r>
      <w:r>
        <w:rPr>
          <w:rFonts w:hint="eastAsia" w:ascii="Arial" w:hAnsi="Arial" w:cs="Arial"/>
          <w:sz w:val="26"/>
          <w:szCs w:val="26"/>
          <w:lang w:val="en-US" w:eastAsia="zh-CN"/>
        </w:rPr>
        <w:t>，多年平均水资源总量为183.27万m</w:t>
      </w:r>
      <w:r>
        <w:rPr>
          <w:rFonts w:hint="eastAsia" w:ascii="Arial" w:hAnsi="Arial" w:cs="Arial"/>
          <w:sz w:val="26"/>
          <w:szCs w:val="26"/>
          <w:vertAlign w:val="superscript"/>
          <w:lang w:val="en-US" w:eastAsia="zh-CN"/>
        </w:rPr>
        <w:t>3</w:t>
      </w:r>
      <w:r>
        <w:rPr>
          <w:rFonts w:hint="eastAsia" w:ascii="Arial" w:hAnsi="Arial" w:cs="Arial"/>
          <w:sz w:val="26"/>
          <w:szCs w:val="26"/>
          <w:lang w:val="en-US" w:eastAsia="zh-CN"/>
        </w:rPr>
        <w:t>，主要为地表水资源。</w:t>
      </w:r>
    </w:p>
    <w:p w14:paraId="0DE20F6C">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Arial" w:hAnsi="Arial" w:cs="Arial"/>
          <w:color w:val="auto"/>
          <w:sz w:val="26"/>
          <w:szCs w:val="26"/>
          <w:lang w:val="zh-CN"/>
        </w:rPr>
      </w:pPr>
      <w:r>
        <w:rPr>
          <w:rFonts w:hint="eastAsia" w:ascii="Arial" w:hAnsi="Arial" w:cs="Arial"/>
          <w:color w:val="auto"/>
          <w:sz w:val="26"/>
          <w:szCs w:val="26"/>
          <w:lang w:val="en-US" w:eastAsia="zh-CN"/>
        </w:rPr>
        <w:t>根据海螺沟流域</w:t>
      </w:r>
      <w:r>
        <w:rPr>
          <w:rFonts w:hint="default" w:ascii="Arial" w:hAnsi="Arial" w:cs="Arial"/>
          <w:color w:val="auto"/>
          <w:sz w:val="26"/>
          <w:szCs w:val="26"/>
          <w:lang w:val="zh-CN"/>
        </w:rPr>
        <w:t>岩性及水文地质条件，地下水主要为</w:t>
      </w:r>
      <w:r>
        <w:rPr>
          <w:rFonts w:hint="default" w:ascii="Arial" w:hAnsi="Arial" w:cs="Arial"/>
          <w:color w:val="auto"/>
          <w:sz w:val="26"/>
          <w:szCs w:val="26"/>
        </w:rPr>
        <w:t>碳酸盐岩岩溶水、碎屑岩裂隙水、红层裂隙水及松散层孔隙水</w:t>
      </w:r>
      <w:r>
        <w:rPr>
          <w:rFonts w:hint="eastAsia" w:ascii="Arial" w:hAnsi="Arial" w:cs="Arial"/>
          <w:color w:val="auto"/>
          <w:sz w:val="26"/>
          <w:szCs w:val="26"/>
          <w:lang w:eastAsia="zh-CN"/>
        </w:rPr>
        <w:t>，</w:t>
      </w:r>
      <w:r>
        <w:rPr>
          <w:rFonts w:hint="default" w:ascii="Arial" w:hAnsi="Arial" w:cs="Arial"/>
          <w:color w:val="auto"/>
          <w:sz w:val="26"/>
          <w:szCs w:val="26"/>
          <w:lang w:eastAsia="zh-CN"/>
        </w:rPr>
        <w:t>碳酸盐岩岩溶水</w:t>
      </w:r>
      <w:r>
        <w:rPr>
          <w:rFonts w:hint="default" w:ascii="Arial" w:hAnsi="Arial" w:cs="Arial"/>
          <w:color w:val="auto"/>
          <w:sz w:val="26"/>
          <w:szCs w:val="26"/>
        </w:rPr>
        <w:t>为区内富水性最好的一类地下水。地下水赋存于三叠系碳酸盐岩地层中。</w:t>
      </w:r>
      <w:r>
        <w:rPr>
          <w:rFonts w:hint="default" w:ascii="Arial" w:hAnsi="Arial" w:cs="Arial"/>
          <w:color w:val="auto"/>
          <w:sz w:val="26"/>
          <w:szCs w:val="26"/>
          <w:lang w:eastAsia="zh-CN"/>
        </w:rPr>
        <w:t>碎屑岩裂隙水主要</w:t>
      </w:r>
      <w:r>
        <w:rPr>
          <w:rFonts w:hint="default" w:ascii="Arial" w:hAnsi="Arial" w:cs="Arial"/>
          <w:color w:val="auto"/>
          <w:sz w:val="26"/>
          <w:szCs w:val="26"/>
        </w:rPr>
        <w:t>赋存于砂岩裂隙中</w:t>
      </w:r>
      <w:r>
        <w:rPr>
          <w:rFonts w:hint="eastAsia" w:ascii="Arial" w:hAnsi="Arial" w:cs="Arial"/>
          <w:color w:val="auto"/>
          <w:sz w:val="26"/>
          <w:szCs w:val="26"/>
          <w:lang w:eastAsia="zh-CN"/>
        </w:rPr>
        <w:t>，</w:t>
      </w:r>
      <w:r>
        <w:rPr>
          <w:rFonts w:hint="default" w:ascii="Arial" w:hAnsi="Arial" w:cs="Arial"/>
          <w:color w:val="auto"/>
          <w:sz w:val="26"/>
          <w:szCs w:val="26"/>
          <w:lang w:eastAsia="zh-CN"/>
        </w:rPr>
        <w:t>红层裂隙水</w:t>
      </w:r>
      <w:r>
        <w:rPr>
          <w:rFonts w:hint="default" w:ascii="Arial" w:hAnsi="Arial" w:cs="Arial"/>
          <w:color w:val="auto"/>
          <w:sz w:val="26"/>
          <w:szCs w:val="26"/>
        </w:rPr>
        <w:t>广泛分布于红层丘陵区和部分低山地带，</w:t>
      </w:r>
      <w:r>
        <w:rPr>
          <w:rFonts w:hint="default" w:ascii="Arial" w:hAnsi="Arial" w:cs="Arial"/>
          <w:color w:val="auto"/>
          <w:sz w:val="26"/>
          <w:szCs w:val="26"/>
          <w:lang w:eastAsia="zh-CN"/>
        </w:rPr>
        <w:t>松散层孔隙水</w:t>
      </w:r>
      <w:r>
        <w:rPr>
          <w:rFonts w:hint="default" w:ascii="Arial" w:hAnsi="Arial" w:cs="Arial"/>
          <w:color w:val="auto"/>
          <w:sz w:val="26"/>
          <w:szCs w:val="26"/>
        </w:rPr>
        <w:t>零星分布于河床及两岸残坡积、崩坡积覆盖层中。</w:t>
      </w:r>
      <w:r>
        <w:rPr>
          <w:rFonts w:hint="default" w:ascii="Arial" w:hAnsi="Arial" w:cs="Arial"/>
          <w:color w:val="auto"/>
          <w:sz w:val="26"/>
          <w:szCs w:val="26"/>
          <w:lang w:val="zh-CN"/>
        </w:rPr>
        <w:t>这些地下水，基本为降水及地表径流补给，已计入地表水资源量范围，因此，在水资源总量上不再计入</w:t>
      </w:r>
      <w:r>
        <w:rPr>
          <w:rFonts w:hint="eastAsia" w:ascii="Arial" w:hAnsi="Arial" w:cs="Arial"/>
          <w:color w:val="auto"/>
          <w:sz w:val="26"/>
          <w:szCs w:val="26"/>
          <w:lang w:val="zh-CN"/>
        </w:rPr>
        <w:t>。</w:t>
      </w:r>
    </w:p>
    <w:p w14:paraId="22D6C237">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default" w:ascii="Arial" w:hAnsi="Arial" w:eastAsia="宋体" w:cs="Arial"/>
          <w:b/>
          <w:bCs w:val="0"/>
          <w:kern w:val="0"/>
          <w:sz w:val="26"/>
          <w:szCs w:val="26"/>
          <w:lang w:val="en-US" w:eastAsia="zh-CN" w:bidi="ar-SA"/>
        </w:rPr>
      </w:pPr>
      <w:r>
        <w:rPr>
          <w:rFonts w:hint="eastAsia" w:ascii="Arial" w:hAnsi="Arial" w:cs="Arial"/>
          <w:b/>
          <w:bCs w:val="0"/>
          <w:kern w:val="0"/>
          <w:sz w:val="26"/>
          <w:szCs w:val="26"/>
          <w:lang w:val="en-US" w:eastAsia="zh-CN" w:bidi="ar-SA"/>
        </w:rPr>
        <w:t>4.4.2水资源开发利用现状</w:t>
      </w:r>
    </w:p>
    <w:p w14:paraId="396A93D5">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Arial" w:hAnsi="Arial" w:cs="Arial"/>
          <w:color w:val="auto"/>
          <w:sz w:val="26"/>
          <w:szCs w:val="26"/>
          <w:lang w:val="en-US" w:eastAsia="zh-CN"/>
        </w:rPr>
      </w:pPr>
      <w:r>
        <w:rPr>
          <w:rFonts w:hint="eastAsia" w:ascii="Arial" w:hAnsi="Arial" w:cs="Arial"/>
          <w:color w:val="auto"/>
          <w:sz w:val="26"/>
          <w:szCs w:val="26"/>
          <w:lang w:val="zh-CN" w:eastAsia="zh-CN"/>
        </w:rPr>
        <w:t>根据现场勘查，项目区内水资源较少，项目区现状5座山坪塘，总库容0.9万m</w:t>
      </w:r>
      <w:r>
        <w:rPr>
          <w:rFonts w:hint="eastAsia" w:ascii="Arial" w:hAnsi="Arial" w:cs="Arial"/>
          <w:color w:val="auto"/>
          <w:sz w:val="26"/>
          <w:szCs w:val="26"/>
          <w:vertAlign w:val="superscript"/>
          <w:lang w:val="en-US" w:eastAsia="zh-CN"/>
        </w:rPr>
        <w:t>3</w:t>
      </w:r>
      <w:r>
        <w:rPr>
          <w:rFonts w:hint="eastAsia" w:ascii="Arial" w:hAnsi="Arial" w:cs="Arial"/>
          <w:color w:val="auto"/>
          <w:sz w:val="26"/>
          <w:szCs w:val="26"/>
          <w:lang w:val="zh-CN" w:eastAsia="zh-CN"/>
        </w:rPr>
        <w:t>，多年平均可供水量0.94万m</w:t>
      </w:r>
      <w:r>
        <w:rPr>
          <w:rFonts w:hint="eastAsia" w:ascii="Arial" w:hAnsi="Arial" w:cs="Arial"/>
          <w:color w:val="auto"/>
          <w:sz w:val="26"/>
          <w:szCs w:val="26"/>
          <w:vertAlign w:val="superscript"/>
          <w:lang w:val="en-US" w:eastAsia="zh-CN"/>
        </w:rPr>
        <w:t>3</w:t>
      </w:r>
      <w:r>
        <w:rPr>
          <w:rFonts w:hint="eastAsia" w:ascii="Arial" w:hAnsi="Arial" w:cs="Arial"/>
          <w:color w:val="auto"/>
          <w:sz w:val="26"/>
          <w:szCs w:val="26"/>
          <w:lang w:val="zh-CN" w:eastAsia="zh-CN"/>
        </w:rPr>
        <w:t>。</w:t>
      </w:r>
      <w:r>
        <w:rPr>
          <w:rFonts w:hint="default" w:ascii="Arial" w:hAnsi="Arial" w:eastAsia="宋体" w:cs="Arial"/>
          <w:spacing w:val="-13"/>
          <w:sz w:val="26"/>
          <w:szCs w:val="26"/>
          <w:lang w:val="zh-CN" w:eastAsia="zh-CN"/>
        </w:rPr>
        <w:t>现有双龙水厂及5个农村人饮工程，</w:t>
      </w:r>
      <w:r>
        <w:rPr>
          <w:rFonts w:hint="default" w:ascii="Arial" w:hAnsi="Arial" w:eastAsia="宋体" w:cs="Arial"/>
          <w:spacing w:val="-13"/>
          <w:sz w:val="26"/>
          <w:szCs w:val="26"/>
        </w:rPr>
        <w:t>双龙水厂</w:t>
      </w:r>
      <w:r>
        <w:rPr>
          <w:rFonts w:hint="default" w:ascii="Arial" w:hAnsi="Arial" w:eastAsia="宋体" w:cs="Arial"/>
          <w:spacing w:val="-13"/>
          <w:sz w:val="26"/>
          <w:szCs w:val="26"/>
          <w:lang w:eastAsia="zh-CN"/>
        </w:rPr>
        <w:t>主要供给双龙社区居民，</w:t>
      </w:r>
      <w:r>
        <w:rPr>
          <w:rFonts w:hint="default" w:ascii="Arial" w:hAnsi="Arial" w:eastAsia="宋体" w:cs="Arial"/>
          <w:spacing w:val="-13"/>
          <w:sz w:val="26"/>
          <w:szCs w:val="26"/>
        </w:rPr>
        <w:t>设计规模日供水1000m</w:t>
      </w:r>
      <w:r>
        <w:rPr>
          <w:rFonts w:hint="default" w:ascii="Arial" w:hAnsi="Arial" w:eastAsia="宋体" w:cs="Arial"/>
          <w:spacing w:val="-13"/>
          <w:sz w:val="26"/>
          <w:szCs w:val="26"/>
          <w:vertAlign w:val="superscript"/>
        </w:rPr>
        <w:t>3</w:t>
      </w:r>
      <w:r>
        <w:rPr>
          <w:rFonts w:hint="default" w:ascii="Arial" w:hAnsi="Arial" w:eastAsia="宋体" w:cs="Arial"/>
          <w:spacing w:val="-13"/>
          <w:sz w:val="26"/>
          <w:szCs w:val="26"/>
        </w:rPr>
        <w:t>，该水厂取水口位于双龙镇灯塔村4社彭家沟山沟水</w:t>
      </w:r>
      <w:r>
        <w:rPr>
          <w:rFonts w:hint="default" w:ascii="Arial" w:hAnsi="Arial" w:eastAsia="宋体" w:cs="Arial"/>
          <w:spacing w:val="-13"/>
          <w:sz w:val="26"/>
          <w:szCs w:val="26"/>
          <w:lang w:eastAsia="zh-CN"/>
        </w:rPr>
        <w:t>；</w:t>
      </w:r>
      <w:r>
        <w:rPr>
          <w:rFonts w:hint="default" w:ascii="Arial" w:hAnsi="Arial" w:eastAsia="宋体" w:cs="Arial"/>
          <w:spacing w:val="-13"/>
          <w:sz w:val="26"/>
          <w:szCs w:val="26"/>
          <w:lang w:val="zh-CN" w:eastAsia="zh-CN"/>
        </w:rPr>
        <w:t>5个农村人饮工程</w:t>
      </w:r>
      <w:r>
        <w:rPr>
          <w:rFonts w:hint="default" w:ascii="Arial" w:hAnsi="Arial" w:eastAsia="宋体" w:cs="Arial"/>
          <w:spacing w:val="-13"/>
          <w:sz w:val="26"/>
          <w:szCs w:val="26"/>
        </w:rPr>
        <w:t>分别是位于回龙场村的新华小学供水工程、范家湾供水工程、三角冲供水工程、樊家湾供水工程</w:t>
      </w:r>
      <w:r>
        <w:rPr>
          <w:rFonts w:hint="default" w:ascii="Arial" w:hAnsi="Arial" w:eastAsia="宋体" w:cs="Arial"/>
          <w:spacing w:val="-13"/>
          <w:sz w:val="26"/>
          <w:szCs w:val="26"/>
          <w:lang w:eastAsia="zh-CN"/>
        </w:rPr>
        <w:t>和</w:t>
      </w:r>
      <w:r>
        <w:rPr>
          <w:rFonts w:hint="default" w:ascii="Arial" w:hAnsi="Arial" w:eastAsia="宋体" w:cs="Arial"/>
          <w:spacing w:val="-13"/>
          <w:sz w:val="26"/>
          <w:szCs w:val="26"/>
        </w:rPr>
        <w:t>位于双龙社区4组的鸦雀湾供水工程，水源均为地表水</w:t>
      </w:r>
      <w:r>
        <w:rPr>
          <w:rFonts w:hint="eastAsia" w:ascii="Arial" w:hAnsi="Arial" w:cs="Arial"/>
          <w:spacing w:val="-13"/>
          <w:sz w:val="26"/>
          <w:szCs w:val="26"/>
          <w:lang w:eastAsia="zh-CN"/>
        </w:rPr>
        <w:t>，</w:t>
      </w:r>
      <w:r>
        <w:rPr>
          <w:rFonts w:hint="eastAsia" w:ascii="Arial" w:hAnsi="Arial" w:cs="Arial"/>
          <w:color w:val="auto"/>
          <w:sz w:val="26"/>
          <w:szCs w:val="26"/>
          <w:lang w:val="zh-CN" w:eastAsia="zh-CN"/>
        </w:rPr>
        <w:t>水源水量较小，且稳定性差。项目区内已建供水设施统计情况详见表</w:t>
      </w:r>
      <w:r>
        <w:rPr>
          <w:rFonts w:hint="eastAsia" w:ascii="Arial" w:hAnsi="Arial" w:cs="Arial"/>
          <w:color w:val="auto"/>
          <w:sz w:val="26"/>
          <w:szCs w:val="26"/>
          <w:lang w:val="en-US" w:eastAsia="zh-CN"/>
        </w:rPr>
        <w:t>4.4-1所示。</w:t>
      </w:r>
    </w:p>
    <w:p w14:paraId="35FCF698">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表4.4-1 项目区内现有水利设施建成情况统计表</w:t>
      </w:r>
    </w:p>
    <w:tbl>
      <w:tblPr>
        <w:tblStyle w:val="77"/>
        <w:tblW w:w="94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00"/>
        <w:gridCol w:w="2136"/>
        <w:gridCol w:w="1396"/>
        <w:gridCol w:w="1993"/>
        <w:gridCol w:w="1891"/>
      </w:tblGrid>
      <w:tr w14:paraId="122EB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5" w:hRule="exact"/>
          <w:jc w:val="center"/>
        </w:trPr>
        <w:tc>
          <w:tcPr>
            <w:tcW w:w="2000" w:type="dxa"/>
            <w:tcBorders>
              <w:top w:val="single" w:color="auto" w:sz="12" w:space="0"/>
              <w:left w:val="single" w:color="auto" w:sz="12" w:space="0"/>
              <w:bottom w:val="single" w:color="auto" w:sz="4" w:space="0"/>
              <w:right w:val="single" w:color="auto" w:sz="4" w:space="0"/>
            </w:tcBorders>
            <w:noWrap w:val="0"/>
            <w:vAlign w:val="center"/>
          </w:tcPr>
          <w:p w14:paraId="357C0AD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现状水平年</w:t>
            </w:r>
          </w:p>
        </w:tc>
        <w:tc>
          <w:tcPr>
            <w:tcW w:w="2136" w:type="dxa"/>
            <w:tcBorders>
              <w:top w:val="single" w:color="auto" w:sz="12" w:space="0"/>
              <w:left w:val="single" w:color="auto" w:sz="4" w:space="0"/>
              <w:bottom w:val="single" w:color="auto" w:sz="4" w:space="0"/>
              <w:right w:val="single" w:color="auto" w:sz="4" w:space="0"/>
            </w:tcBorders>
            <w:noWrap w:val="0"/>
            <w:vAlign w:val="center"/>
          </w:tcPr>
          <w:p w14:paraId="556FBB7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工程类别</w:t>
            </w:r>
          </w:p>
        </w:tc>
        <w:tc>
          <w:tcPr>
            <w:tcW w:w="1396" w:type="dxa"/>
            <w:tcBorders>
              <w:top w:val="single" w:color="auto" w:sz="12" w:space="0"/>
              <w:left w:val="single" w:color="auto" w:sz="4" w:space="0"/>
              <w:bottom w:val="single" w:color="auto" w:sz="4" w:space="0"/>
              <w:right w:val="single" w:color="auto" w:sz="4" w:space="0"/>
            </w:tcBorders>
            <w:noWrap w:val="0"/>
            <w:vAlign w:val="center"/>
          </w:tcPr>
          <w:p w14:paraId="5CD7AB9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规模</w:t>
            </w:r>
          </w:p>
          <w:p w14:paraId="7787065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（座）</w:t>
            </w:r>
          </w:p>
        </w:tc>
        <w:tc>
          <w:tcPr>
            <w:tcW w:w="1993" w:type="dxa"/>
            <w:tcBorders>
              <w:top w:val="single" w:color="auto" w:sz="12" w:space="0"/>
              <w:left w:val="single" w:color="auto" w:sz="4" w:space="0"/>
              <w:bottom w:val="single" w:color="auto" w:sz="4" w:space="0"/>
              <w:right w:val="single" w:color="auto" w:sz="4" w:space="0"/>
            </w:tcBorders>
            <w:noWrap w:val="0"/>
            <w:vAlign w:val="center"/>
          </w:tcPr>
          <w:p w14:paraId="2DF09EC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多年平均可供水量</w:t>
            </w:r>
            <w:r>
              <w:rPr>
                <w:rFonts w:hint="eastAsia" w:ascii="Arial" w:hAnsi="Arial" w:cs="Arial"/>
                <w:color w:val="auto"/>
                <w:sz w:val="22"/>
                <w:szCs w:val="22"/>
                <w:lang w:eastAsia="zh-CN"/>
              </w:rPr>
              <w:t>（</w:t>
            </w:r>
            <w:r>
              <w:rPr>
                <w:rFonts w:hint="default" w:ascii="Arial" w:hAnsi="Arial" w:cs="Arial"/>
                <w:color w:val="auto"/>
                <w:sz w:val="22"/>
                <w:szCs w:val="22"/>
              </w:rPr>
              <w:t>万m</w:t>
            </w:r>
            <w:r>
              <w:rPr>
                <w:rFonts w:hint="eastAsia" w:ascii="Arial" w:hAnsi="Arial" w:cs="Arial"/>
                <w:color w:val="auto"/>
                <w:sz w:val="22"/>
                <w:szCs w:val="22"/>
                <w:vertAlign w:val="superscript"/>
                <w:lang w:val="en-US" w:eastAsia="zh-CN"/>
              </w:rPr>
              <w:t>3</w:t>
            </w:r>
            <w:r>
              <w:rPr>
                <w:rFonts w:hint="eastAsia" w:ascii="Arial" w:hAnsi="Arial" w:cs="Arial"/>
                <w:color w:val="auto"/>
                <w:sz w:val="22"/>
                <w:szCs w:val="22"/>
                <w:lang w:val="en-US" w:eastAsia="zh-CN"/>
              </w:rPr>
              <w:t>）</w:t>
            </w:r>
          </w:p>
        </w:tc>
        <w:tc>
          <w:tcPr>
            <w:tcW w:w="1891" w:type="dxa"/>
            <w:tcBorders>
              <w:top w:val="single" w:color="auto" w:sz="12" w:space="0"/>
              <w:left w:val="single" w:color="auto" w:sz="4" w:space="0"/>
              <w:bottom w:val="single" w:color="auto" w:sz="4" w:space="0"/>
              <w:right w:val="single" w:color="auto" w:sz="4" w:space="0"/>
            </w:tcBorders>
            <w:noWrap w:val="0"/>
            <w:vAlign w:val="center"/>
          </w:tcPr>
          <w:p w14:paraId="288DA04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P=75%最大可供水量</w:t>
            </w:r>
            <w:r>
              <w:rPr>
                <w:rFonts w:hint="eastAsia" w:ascii="Arial" w:hAnsi="Arial" w:cs="Arial"/>
                <w:color w:val="auto"/>
                <w:sz w:val="22"/>
                <w:szCs w:val="22"/>
                <w:lang w:eastAsia="zh-CN"/>
              </w:rPr>
              <w:t>（</w:t>
            </w:r>
            <w:r>
              <w:rPr>
                <w:rFonts w:hint="default" w:ascii="Arial" w:hAnsi="Arial" w:cs="Arial"/>
                <w:color w:val="auto"/>
                <w:sz w:val="22"/>
                <w:szCs w:val="22"/>
              </w:rPr>
              <w:t>万m</w:t>
            </w:r>
            <w:r>
              <w:rPr>
                <w:rFonts w:hint="eastAsia" w:ascii="Arial" w:hAnsi="Arial" w:cs="Arial"/>
                <w:color w:val="auto"/>
                <w:sz w:val="22"/>
                <w:szCs w:val="22"/>
                <w:vertAlign w:val="superscript"/>
                <w:lang w:val="en-US" w:eastAsia="zh-CN"/>
              </w:rPr>
              <w:t>3</w:t>
            </w:r>
            <w:r>
              <w:rPr>
                <w:rFonts w:hint="eastAsia" w:ascii="Arial" w:hAnsi="Arial" w:cs="Arial"/>
                <w:color w:val="auto"/>
                <w:sz w:val="22"/>
                <w:szCs w:val="22"/>
                <w:lang w:val="en-US" w:eastAsia="zh-CN"/>
              </w:rPr>
              <w:t>）</w:t>
            </w:r>
          </w:p>
        </w:tc>
      </w:tr>
      <w:tr w14:paraId="1D8681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2000" w:type="dxa"/>
            <w:vMerge w:val="restart"/>
            <w:tcBorders>
              <w:top w:val="single" w:color="auto" w:sz="4" w:space="0"/>
              <w:left w:val="single" w:color="auto" w:sz="12" w:space="0"/>
              <w:bottom w:val="single" w:color="auto" w:sz="12" w:space="0"/>
              <w:right w:val="single" w:color="auto" w:sz="4" w:space="0"/>
            </w:tcBorders>
            <w:noWrap w:val="0"/>
            <w:vAlign w:val="center"/>
          </w:tcPr>
          <w:p w14:paraId="0B959BA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2020</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656EA56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山坪塘</w:t>
            </w:r>
          </w:p>
        </w:tc>
        <w:tc>
          <w:tcPr>
            <w:tcW w:w="1396" w:type="dxa"/>
            <w:tcBorders>
              <w:top w:val="single" w:color="auto" w:sz="4" w:space="0"/>
              <w:left w:val="single" w:color="auto" w:sz="4" w:space="0"/>
              <w:bottom w:val="single" w:color="auto" w:sz="4" w:space="0"/>
              <w:right w:val="single" w:color="auto" w:sz="4" w:space="0"/>
            </w:tcBorders>
            <w:noWrap w:val="0"/>
            <w:vAlign w:val="center"/>
          </w:tcPr>
          <w:p w14:paraId="101226D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5</w:t>
            </w:r>
          </w:p>
        </w:tc>
        <w:tc>
          <w:tcPr>
            <w:tcW w:w="1993" w:type="dxa"/>
            <w:tcBorders>
              <w:top w:val="single" w:color="auto" w:sz="4" w:space="0"/>
              <w:left w:val="single" w:color="auto" w:sz="4" w:space="0"/>
              <w:bottom w:val="single" w:color="auto" w:sz="4" w:space="0"/>
              <w:right w:val="single" w:color="auto" w:sz="4" w:space="0"/>
            </w:tcBorders>
            <w:noWrap w:val="0"/>
            <w:vAlign w:val="center"/>
          </w:tcPr>
          <w:p w14:paraId="6956D08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0.94</w:t>
            </w:r>
          </w:p>
        </w:tc>
        <w:tc>
          <w:tcPr>
            <w:tcW w:w="1891" w:type="dxa"/>
            <w:tcBorders>
              <w:top w:val="single" w:color="auto" w:sz="4" w:space="0"/>
              <w:left w:val="single" w:color="auto" w:sz="4" w:space="0"/>
              <w:bottom w:val="single" w:color="auto" w:sz="4" w:space="0"/>
              <w:right w:val="single" w:color="auto" w:sz="4" w:space="0"/>
            </w:tcBorders>
            <w:noWrap w:val="0"/>
            <w:vAlign w:val="center"/>
          </w:tcPr>
          <w:p w14:paraId="407BC1A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0.74</w:t>
            </w:r>
          </w:p>
        </w:tc>
      </w:tr>
      <w:tr w14:paraId="20D69E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2000" w:type="dxa"/>
            <w:vMerge w:val="continue"/>
            <w:tcBorders>
              <w:top w:val="single" w:color="auto" w:sz="4" w:space="0"/>
              <w:left w:val="single" w:color="auto" w:sz="12" w:space="0"/>
              <w:bottom w:val="single" w:color="auto" w:sz="12" w:space="0"/>
              <w:right w:val="single" w:color="auto" w:sz="4" w:space="0"/>
            </w:tcBorders>
            <w:noWrap w:val="0"/>
            <w:vAlign w:val="center"/>
          </w:tcPr>
          <w:p w14:paraId="2903946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c>
          <w:tcPr>
            <w:tcW w:w="2136" w:type="dxa"/>
            <w:tcBorders>
              <w:top w:val="single" w:color="auto" w:sz="4" w:space="0"/>
              <w:left w:val="single" w:color="auto" w:sz="4" w:space="0"/>
              <w:bottom w:val="single" w:color="auto" w:sz="4" w:space="0"/>
              <w:right w:val="single" w:color="auto" w:sz="4" w:space="0"/>
            </w:tcBorders>
            <w:noWrap w:val="0"/>
            <w:vAlign w:val="center"/>
          </w:tcPr>
          <w:p w14:paraId="41BA301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现有水厂水源</w:t>
            </w:r>
          </w:p>
        </w:tc>
        <w:tc>
          <w:tcPr>
            <w:tcW w:w="1396" w:type="dxa"/>
            <w:tcBorders>
              <w:top w:val="single" w:color="auto" w:sz="4" w:space="0"/>
              <w:left w:val="single" w:color="auto" w:sz="4" w:space="0"/>
              <w:bottom w:val="single" w:color="auto" w:sz="4" w:space="0"/>
              <w:right w:val="single" w:color="auto" w:sz="4" w:space="0"/>
            </w:tcBorders>
            <w:noWrap w:val="0"/>
            <w:vAlign w:val="center"/>
          </w:tcPr>
          <w:p w14:paraId="76EF07F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6</w:t>
            </w:r>
          </w:p>
        </w:tc>
        <w:tc>
          <w:tcPr>
            <w:tcW w:w="1993" w:type="dxa"/>
            <w:tcBorders>
              <w:top w:val="single" w:color="auto" w:sz="4" w:space="0"/>
              <w:left w:val="single" w:color="auto" w:sz="4" w:space="0"/>
              <w:bottom w:val="single" w:color="auto" w:sz="4" w:space="0"/>
              <w:right w:val="single" w:color="auto" w:sz="4" w:space="0"/>
            </w:tcBorders>
            <w:noWrap w:val="0"/>
            <w:vAlign w:val="center"/>
          </w:tcPr>
          <w:p w14:paraId="7C8F167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1.5</w:t>
            </w:r>
          </w:p>
        </w:tc>
        <w:tc>
          <w:tcPr>
            <w:tcW w:w="1891" w:type="dxa"/>
            <w:tcBorders>
              <w:top w:val="single" w:color="auto" w:sz="4" w:space="0"/>
              <w:left w:val="single" w:color="auto" w:sz="4" w:space="0"/>
              <w:bottom w:val="single" w:color="auto" w:sz="4" w:space="0"/>
              <w:right w:val="single" w:color="auto" w:sz="4" w:space="0"/>
            </w:tcBorders>
            <w:noWrap w:val="0"/>
            <w:vAlign w:val="center"/>
          </w:tcPr>
          <w:p w14:paraId="1E8FE28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1.2</w:t>
            </w:r>
          </w:p>
        </w:tc>
      </w:tr>
      <w:tr w14:paraId="7E6789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2000" w:type="dxa"/>
            <w:vMerge w:val="continue"/>
            <w:tcBorders>
              <w:top w:val="single" w:color="auto" w:sz="4" w:space="0"/>
              <w:left w:val="single" w:color="auto" w:sz="12" w:space="0"/>
              <w:bottom w:val="single" w:color="auto" w:sz="12" w:space="0"/>
              <w:right w:val="single" w:color="auto" w:sz="4" w:space="0"/>
            </w:tcBorders>
            <w:noWrap w:val="0"/>
            <w:vAlign w:val="center"/>
          </w:tcPr>
          <w:p w14:paraId="532C560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c>
          <w:tcPr>
            <w:tcW w:w="2136" w:type="dxa"/>
            <w:tcBorders>
              <w:top w:val="single" w:color="auto" w:sz="4" w:space="0"/>
              <w:left w:val="single" w:color="auto" w:sz="4" w:space="0"/>
              <w:bottom w:val="single" w:color="auto" w:sz="12" w:space="0"/>
              <w:right w:val="single" w:color="auto" w:sz="4" w:space="0"/>
            </w:tcBorders>
            <w:noWrap w:val="0"/>
            <w:vAlign w:val="center"/>
          </w:tcPr>
          <w:p w14:paraId="2F4D9CF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合计</w:t>
            </w:r>
          </w:p>
        </w:tc>
        <w:tc>
          <w:tcPr>
            <w:tcW w:w="1396" w:type="dxa"/>
            <w:tcBorders>
              <w:top w:val="single" w:color="auto" w:sz="4" w:space="0"/>
              <w:left w:val="single" w:color="auto" w:sz="4" w:space="0"/>
              <w:bottom w:val="single" w:color="auto" w:sz="12" w:space="0"/>
              <w:right w:val="single" w:color="auto" w:sz="4" w:space="0"/>
            </w:tcBorders>
            <w:noWrap w:val="0"/>
            <w:vAlign w:val="center"/>
          </w:tcPr>
          <w:p w14:paraId="4C44BA7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11</w:t>
            </w:r>
          </w:p>
        </w:tc>
        <w:tc>
          <w:tcPr>
            <w:tcW w:w="1993" w:type="dxa"/>
            <w:tcBorders>
              <w:top w:val="single" w:color="auto" w:sz="4" w:space="0"/>
              <w:left w:val="single" w:color="auto" w:sz="4" w:space="0"/>
              <w:bottom w:val="single" w:color="auto" w:sz="12" w:space="0"/>
              <w:right w:val="single" w:color="auto" w:sz="4" w:space="0"/>
            </w:tcBorders>
            <w:noWrap w:val="0"/>
            <w:vAlign w:val="center"/>
          </w:tcPr>
          <w:p w14:paraId="560E9EB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2.44</w:t>
            </w:r>
          </w:p>
        </w:tc>
        <w:tc>
          <w:tcPr>
            <w:tcW w:w="1891" w:type="dxa"/>
            <w:tcBorders>
              <w:top w:val="single" w:color="auto" w:sz="4" w:space="0"/>
              <w:left w:val="single" w:color="auto" w:sz="4" w:space="0"/>
              <w:bottom w:val="single" w:color="auto" w:sz="12" w:space="0"/>
              <w:right w:val="single" w:color="auto" w:sz="4" w:space="0"/>
            </w:tcBorders>
            <w:noWrap w:val="0"/>
            <w:vAlign w:val="center"/>
          </w:tcPr>
          <w:p w14:paraId="773DF69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1.94</w:t>
            </w:r>
          </w:p>
        </w:tc>
      </w:tr>
    </w:tbl>
    <w:p w14:paraId="78210628">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default" w:ascii="Arial" w:hAnsi="Arial" w:cs="Arial"/>
          <w:color w:val="auto"/>
          <w:sz w:val="26"/>
          <w:szCs w:val="26"/>
          <w:lang w:val="zh-CN" w:eastAsia="zh-CN"/>
        </w:rPr>
      </w:pPr>
    </w:p>
    <w:p w14:paraId="1B2344EC">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Arial" w:hAnsi="Arial" w:cs="Arial"/>
          <w:color w:val="auto"/>
          <w:sz w:val="26"/>
          <w:szCs w:val="26"/>
          <w:lang w:val="en-US" w:eastAsia="zh-CN"/>
        </w:rPr>
      </w:pPr>
      <w:r>
        <w:rPr>
          <w:rFonts w:hint="eastAsia" w:ascii="Arial" w:hAnsi="Arial" w:cs="Arial"/>
          <w:color w:val="auto"/>
          <w:sz w:val="26"/>
          <w:szCs w:val="26"/>
          <w:lang w:val="en-US" w:eastAsia="zh-CN"/>
        </w:rPr>
        <w:t>由表4.4-1可知，项目区现状已建成的供水设施年总供水量为2.44万m</w:t>
      </w:r>
      <w:r>
        <w:rPr>
          <w:rFonts w:hint="eastAsia" w:ascii="Arial" w:hAnsi="Arial" w:cs="Arial"/>
          <w:color w:val="auto"/>
          <w:sz w:val="26"/>
          <w:szCs w:val="26"/>
          <w:vertAlign w:val="superscript"/>
          <w:lang w:val="en-US" w:eastAsia="zh-CN"/>
        </w:rPr>
        <w:t>3</w:t>
      </w:r>
      <w:r>
        <w:rPr>
          <w:rFonts w:hint="eastAsia" w:ascii="Arial" w:hAnsi="Arial" w:cs="Arial"/>
          <w:color w:val="auto"/>
          <w:sz w:val="26"/>
          <w:szCs w:val="26"/>
          <w:lang w:val="en-US" w:eastAsia="zh-CN"/>
        </w:rPr>
        <w:t>，占海螺沟流域的1.33%，开发利用效率低。现状水源及供水设施已不能满足双龙镇双龙社区、回龙场村和田家山村灌溉、人畜用水及远期发展需求。且根据丰都县农业农村现代化“十四五”规划、《丰都县国民经济和社会发展第十四个五年规划和二〇三五年远景目标纲要》、双龙镇总体规划等相关文件，项目区耕地中田土比将由现状的42.4:57.6调整为规划年的47:53，需水量进一步增大。</w:t>
      </w:r>
    </w:p>
    <w:p w14:paraId="1BEB6C6F">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cs="Arial"/>
          <w:b/>
          <w:bCs/>
          <w:color w:val="auto"/>
          <w:sz w:val="26"/>
          <w:szCs w:val="26"/>
          <w:lang w:val="en-US" w:eastAsia="zh-CN"/>
        </w:rPr>
      </w:pPr>
      <w:r>
        <w:rPr>
          <w:rFonts w:hint="eastAsia" w:ascii="Arial" w:hAnsi="Arial" w:cs="Arial"/>
          <w:b/>
          <w:bCs/>
          <w:color w:val="auto"/>
          <w:sz w:val="26"/>
          <w:szCs w:val="26"/>
          <w:lang w:val="en-US" w:eastAsia="zh-CN"/>
        </w:rPr>
        <w:t>表4.4-2 项目区内规划年水资源供需平衡一览表</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1386"/>
        <w:gridCol w:w="1361"/>
        <w:gridCol w:w="1214"/>
        <w:gridCol w:w="828"/>
        <w:gridCol w:w="828"/>
        <w:gridCol w:w="964"/>
        <w:gridCol w:w="1353"/>
      </w:tblGrid>
      <w:tr w14:paraId="6F1AA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618" w:type="pct"/>
            <w:vMerge w:val="restart"/>
            <w:tcBorders>
              <w:tl2br w:val="nil"/>
              <w:tr2bl w:val="nil"/>
            </w:tcBorders>
            <w:noWrap w:val="0"/>
            <w:vAlign w:val="center"/>
          </w:tcPr>
          <w:p w14:paraId="5077F37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阶段</w:t>
            </w:r>
          </w:p>
        </w:tc>
        <w:tc>
          <w:tcPr>
            <w:tcW w:w="765" w:type="pct"/>
            <w:vMerge w:val="restart"/>
            <w:tcBorders>
              <w:tl2br w:val="nil"/>
              <w:tr2bl w:val="nil"/>
            </w:tcBorders>
            <w:noWrap w:val="0"/>
            <w:vAlign w:val="center"/>
          </w:tcPr>
          <w:p w14:paraId="228F2B4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水平年</w:t>
            </w:r>
          </w:p>
        </w:tc>
        <w:tc>
          <w:tcPr>
            <w:tcW w:w="751" w:type="pct"/>
            <w:vMerge w:val="restart"/>
            <w:tcBorders>
              <w:tl2br w:val="nil"/>
              <w:tr2bl w:val="nil"/>
            </w:tcBorders>
            <w:noWrap w:val="0"/>
            <w:vAlign w:val="center"/>
          </w:tcPr>
          <w:p w14:paraId="43BC43B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设计保证率</w:t>
            </w:r>
          </w:p>
        </w:tc>
        <w:tc>
          <w:tcPr>
            <w:tcW w:w="670" w:type="pct"/>
            <w:vMerge w:val="restart"/>
            <w:tcBorders>
              <w:tl2br w:val="nil"/>
              <w:tr2bl w:val="nil"/>
            </w:tcBorders>
            <w:noWrap w:val="0"/>
            <w:vAlign w:val="center"/>
          </w:tcPr>
          <w:p w14:paraId="5907127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可供水量</w:t>
            </w:r>
          </w:p>
          <w:p w14:paraId="58DE2C3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w:t>
            </w:r>
            <w:r>
              <w:rPr>
                <w:rFonts w:hint="default" w:ascii="Arial" w:hAnsi="Arial" w:cs="Arial"/>
                <w:color w:val="auto"/>
                <w:sz w:val="22"/>
                <w:szCs w:val="22"/>
              </w:rPr>
              <w:t>万m</w:t>
            </w:r>
            <w:r>
              <w:rPr>
                <w:rFonts w:hint="eastAsia" w:ascii="Arial" w:hAnsi="Arial" w:cs="Arial"/>
                <w:color w:val="auto"/>
                <w:sz w:val="22"/>
                <w:szCs w:val="22"/>
                <w:vertAlign w:val="superscript"/>
                <w:lang w:val="en-US" w:eastAsia="zh-CN"/>
              </w:rPr>
              <w:t>3</w:t>
            </w:r>
            <w:r>
              <w:rPr>
                <w:rFonts w:hint="eastAsia" w:ascii="Arial" w:hAnsi="Arial" w:cs="Arial"/>
                <w:color w:val="auto"/>
                <w:sz w:val="22"/>
                <w:szCs w:val="22"/>
                <w:lang w:val="en-US" w:eastAsia="zh-CN"/>
              </w:rPr>
              <w:t>）</w:t>
            </w:r>
          </w:p>
        </w:tc>
        <w:tc>
          <w:tcPr>
            <w:tcW w:w="1446" w:type="pct"/>
            <w:gridSpan w:val="3"/>
            <w:tcBorders>
              <w:tl2br w:val="nil"/>
              <w:tr2bl w:val="nil"/>
            </w:tcBorders>
            <w:noWrap w:val="0"/>
            <w:vAlign w:val="center"/>
          </w:tcPr>
          <w:p w14:paraId="415A031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需水</w:t>
            </w:r>
            <w:r>
              <w:rPr>
                <w:rFonts w:hint="eastAsia" w:ascii="Arial" w:hAnsi="Arial" w:cs="Arial"/>
                <w:color w:val="auto"/>
                <w:sz w:val="22"/>
                <w:szCs w:val="22"/>
                <w:lang w:eastAsia="zh-CN"/>
              </w:rPr>
              <w:t>（</w:t>
            </w:r>
            <w:r>
              <w:rPr>
                <w:rFonts w:hint="default" w:ascii="Arial" w:hAnsi="Arial" w:cs="Arial"/>
                <w:color w:val="auto"/>
                <w:sz w:val="22"/>
                <w:szCs w:val="22"/>
              </w:rPr>
              <w:t>万m</w:t>
            </w:r>
            <w:r>
              <w:rPr>
                <w:rFonts w:hint="eastAsia" w:ascii="Arial" w:hAnsi="Arial" w:cs="Arial"/>
                <w:color w:val="auto"/>
                <w:sz w:val="22"/>
                <w:szCs w:val="22"/>
                <w:vertAlign w:val="superscript"/>
                <w:lang w:val="en-US" w:eastAsia="zh-CN"/>
              </w:rPr>
              <w:t>3</w:t>
            </w:r>
            <w:r>
              <w:rPr>
                <w:rFonts w:hint="eastAsia" w:ascii="Arial" w:hAnsi="Arial" w:cs="Arial"/>
                <w:color w:val="auto"/>
                <w:sz w:val="22"/>
                <w:szCs w:val="22"/>
                <w:lang w:val="en-US" w:eastAsia="zh-CN"/>
              </w:rPr>
              <w:t>）</w:t>
            </w:r>
          </w:p>
        </w:tc>
        <w:tc>
          <w:tcPr>
            <w:tcW w:w="747" w:type="pct"/>
            <w:vMerge w:val="restart"/>
            <w:tcBorders>
              <w:tl2br w:val="nil"/>
              <w:tr2bl w:val="nil"/>
            </w:tcBorders>
            <w:noWrap w:val="0"/>
            <w:vAlign w:val="center"/>
          </w:tcPr>
          <w:p w14:paraId="518641C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余缺</w:t>
            </w:r>
          </w:p>
          <w:p w14:paraId="7E4F081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eastAsia" w:ascii="Arial" w:hAnsi="Arial" w:cs="Arial"/>
                <w:color w:val="auto"/>
                <w:sz w:val="22"/>
                <w:szCs w:val="22"/>
                <w:lang w:eastAsia="zh-CN"/>
              </w:rPr>
              <w:t>（</w:t>
            </w:r>
            <w:r>
              <w:rPr>
                <w:rFonts w:hint="default" w:ascii="Arial" w:hAnsi="Arial" w:cs="Arial"/>
                <w:color w:val="auto"/>
                <w:sz w:val="22"/>
                <w:szCs w:val="22"/>
              </w:rPr>
              <w:t>万m</w:t>
            </w:r>
            <w:r>
              <w:rPr>
                <w:rFonts w:hint="eastAsia" w:ascii="Arial" w:hAnsi="Arial" w:cs="Arial"/>
                <w:color w:val="auto"/>
                <w:sz w:val="22"/>
                <w:szCs w:val="22"/>
                <w:vertAlign w:val="superscript"/>
                <w:lang w:val="en-US" w:eastAsia="zh-CN"/>
              </w:rPr>
              <w:t>3</w:t>
            </w:r>
            <w:r>
              <w:rPr>
                <w:rFonts w:hint="eastAsia" w:ascii="Arial" w:hAnsi="Arial" w:cs="Arial"/>
                <w:color w:val="auto"/>
                <w:sz w:val="22"/>
                <w:szCs w:val="22"/>
                <w:lang w:val="en-US" w:eastAsia="zh-CN"/>
              </w:rPr>
              <w:t>）</w:t>
            </w:r>
          </w:p>
        </w:tc>
      </w:tr>
      <w:tr w14:paraId="0E7A2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618" w:type="pct"/>
            <w:vMerge w:val="continue"/>
            <w:tcBorders>
              <w:tl2br w:val="nil"/>
              <w:tr2bl w:val="nil"/>
            </w:tcBorders>
            <w:noWrap w:val="0"/>
            <w:vAlign w:val="center"/>
          </w:tcPr>
          <w:p w14:paraId="7008FBE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c>
          <w:tcPr>
            <w:tcW w:w="765" w:type="pct"/>
            <w:vMerge w:val="continue"/>
            <w:tcBorders>
              <w:tl2br w:val="nil"/>
              <w:tr2bl w:val="nil"/>
            </w:tcBorders>
            <w:noWrap w:val="0"/>
            <w:vAlign w:val="center"/>
          </w:tcPr>
          <w:p w14:paraId="7B5AEC5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c>
          <w:tcPr>
            <w:tcW w:w="751" w:type="pct"/>
            <w:vMerge w:val="continue"/>
            <w:tcBorders>
              <w:tl2br w:val="nil"/>
              <w:tr2bl w:val="nil"/>
            </w:tcBorders>
            <w:noWrap w:val="0"/>
            <w:vAlign w:val="top"/>
          </w:tcPr>
          <w:p w14:paraId="7F08F13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c>
          <w:tcPr>
            <w:tcW w:w="670" w:type="pct"/>
            <w:vMerge w:val="continue"/>
            <w:tcBorders>
              <w:tl2br w:val="nil"/>
              <w:tr2bl w:val="nil"/>
            </w:tcBorders>
            <w:noWrap w:val="0"/>
            <w:vAlign w:val="center"/>
          </w:tcPr>
          <w:p w14:paraId="07F7FBA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c>
          <w:tcPr>
            <w:tcW w:w="457" w:type="pct"/>
            <w:tcBorders>
              <w:tl2br w:val="nil"/>
              <w:tr2bl w:val="nil"/>
            </w:tcBorders>
            <w:noWrap w:val="0"/>
            <w:vAlign w:val="center"/>
          </w:tcPr>
          <w:p w14:paraId="67DBE99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农灌</w:t>
            </w:r>
          </w:p>
        </w:tc>
        <w:tc>
          <w:tcPr>
            <w:tcW w:w="457" w:type="pct"/>
            <w:tcBorders>
              <w:tl2br w:val="nil"/>
              <w:tr2bl w:val="nil"/>
            </w:tcBorders>
            <w:noWrap w:val="0"/>
            <w:vAlign w:val="center"/>
          </w:tcPr>
          <w:p w14:paraId="14612BD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人畜</w:t>
            </w:r>
          </w:p>
        </w:tc>
        <w:tc>
          <w:tcPr>
            <w:tcW w:w="531" w:type="pct"/>
            <w:tcBorders>
              <w:tl2br w:val="nil"/>
              <w:tr2bl w:val="nil"/>
            </w:tcBorders>
            <w:noWrap w:val="0"/>
            <w:vAlign w:val="center"/>
          </w:tcPr>
          <w:p w14:paraId="3E16575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合计</w:t>
            </w:r>
          </w:p>
        </w:tc>
        <w:tc>
          <w:tcPr>
            <w:tcW w:w="747" w:type="pct"/>
            <w:vMerge w:val="continue"/>
            <w:tcBorders>
              <w:tl2br w:val="nil"/>
              <w:tr2bl w:val="nil"/>
            </w:tcBorders>
            <w:noWrap w:val="0"/>
            <w:vAlign w:val="center"/>
          </w:tcPr>
          <w:p w14:paraId="245111A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r>
      <w:tr w14:paraId="4B0A8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18" w:type="pct"/>
            <w:vMerge w:val="restart"/>
            <w:tcBorders>
              <w:tl2br w:val="nil"/>
              <w:tr2bl w:val="nil"/>
            </w:tcBorders>
            <w:noWrap w:val="0"/>
            <w:vAlign w:val="center"/>
          </w:tcPr>
          <w:p w14:paraId="53296C1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现状</w:t>
            </w:r>
          </w:p>
        </w:tc>
        <w:tc>
          <w:tcPr>
            <w:tcW w:w="765" w:type="pct"/>
            <w:vMerge w:val="restart"/>
            <w:tcBorders>
              <w:tl2br w:val="nil"/>
              <w:tr2bl w:val="nil"/>
            </w:tcBorders>
            <w:noWrap w:val="0"/>
            <w:vAlign w:val="center"/>
          </w:tcPr>
          <w:p w14:paraId="50D9272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2020</w:t>
            </w:r>
          </w:p>
        </w:tc>
        <w:tc>
          <w:tcPr>
            <w:tcW w:w="751" w:type="pct"/>
            <w:tcBorders>
              <w:tl2br w:val="nil"/>
              <w:tr2bl w:val="nil"/>
            </w:tcBorders>
            <w:noWrap w:val="0"/>
            <w:vAlign w:val="center"/>
          </w:tcPr>
          <w:p w14:paraId="4C0145E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多年平均</w:t>
            </w:r>
          </w:p>
        </w:tc>
        <w:tc>
          <w:tcPr>
            <w:tcW w:w="670" w:type="pct"/>
            <w:tcBorders>
              <w:tl2br w:val="nil"/>
              <w:tr2bl w:val="nil"/>
            </w:tcBorders>
            <w:noWrap w:val="0"/>
            <w:vAlign w:val="center"/>
          </w:tcPr>
          <w:p w14:paraId="2737AD8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2.44</w:t>
            </w:r>
          </w:p>
        </w:tc>
        <w:tc>
          <w:tcPr>
            <w:tcW w:w="457" w:type="pct"/>
            <w:tcBorders>
              <w:tl2br w:val="nil"/>
              <w:tr2bl w:val="nil"/>
            </w:tcBorders>
            <w:noWrap w:val="0"/>
            <w:vAlign w:val="center"/>
          </w:tcPr>
          <w:p w14:paraId="2003127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48.8</w:t>
            </w:r>
          </w:p>
        </w:tc>
        <w:tc>
          <w:tcPr>
            <w:tcW w:w="457" w:type="pct"/>
            <w:tcBorders>
              <w:tl2br w:val="nil"/>
              <w:tr2bl w:val="nil"/>
            </w:tcBorders>
            <w:noWrap w:val="0"/>
            <w:vAlign w:val="center"/>
          </w:tcPr>
          <w:p w14:paraId="05D34BD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29.58</w:t>
            </w:r>
          </w:p>
        </w:tc>
        <w:tc>
          <w:tcPr>
            <w:tcW w:w="531" w:type="pct"/>
            <w:tcBorders>
              <w:tl2br w:val="nil"/>
              <w:tr2bl w:val="nil"/>
            </w:tcBorders>
            <w:noWrap w:val="0"/>
            <w:vAlign w:val="center"/>
          </w:tcPr>
          <w:p w14:paraId="65E3F20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78.38</w:t>
            </w:r>
          </w:p>
        </w:tc>
        <w:tc>
          <w:tcPr>
            <w:tcW w:w="747" w:type="pct"/>
            <w:tcBorders>
              <w:tl2br w:val="nil"/>
              <w:tr2bl w:val="nil"/>
            </w:tcBorders>
            <w:noWrap w:val="0"/>
            <w:vAlign w:val="center"/>
          </w:tcPr>
          <w:p w14:paraId="5900620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-75.94</w:t>
            </w:r>
          </w:p>
        </w:tc>
      </w:tr>
      <w:tr w14:paraId="71959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18" w:type="pct"/>
            <w:vMerge w:val="continue"/>
            <w:tcBorders>
              <w:tl2br w:val="nil"/>
              <w:tr2bl w:val="nil"/>
            </w:tcBorders>
            <w:noWrap w:val="0"/>
            <w:vAlign w:val="center"/>
          </w:tcPr>
          <w:p w14:paraId="3D1DFC3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c>
          <w:tcPr>
            <w:tcW w:w="765" w:type="pct"/>
            <w:vMerge w:val="continue"/>
            <w:tcBorders>
              <w:tl2br w:val="nil"/>
              <w:tr2bl w:val="nil"/>
            </w:tcBorders>
            <w:noWrap w:val="0"/>
            <w:vAlign w:val="center"/>
          </w:tcPr>
          <w:p w14:paraId="31A24B3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c>
          <w:tcPr>
            <w:tcW w:w="751" w:type="pct"/>
            <w:tcBorders>
              <w:tl2br w:val="nil"/>
              <w:tr2bl w:val="nil"/>
            </w:tcBorders>
            <w:noWrap w:val="0"/>
            <w:vAlign w:val="center"/>
          </w:tcPr>
          <w:p w14:paraId="0877EC4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75%</w:t>
            </w:r>
          </w:p>
        </w:tc>
        <w:tc>
          <w:tcPr>
            <w:tcW w:w="670" w:type="pct"/>
            <w:tcBorders>
              <w:tl2br w:val="nil"/>
              <w:tr2bl w:val="nil"/>
            </w:tcBorders>
            <w:noWrap w:val="0"/>
            <w:vAlign w:val="center"/>
          </w:tcPr>
          <w:p w14:paraId="52438E0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1.94</w:t>
            </w:r>
          </w:p>
        </w:tc>
        <w:tc>
          <w:tcPr>
            <w:tcW w:w="457" w:type="pct"/>
            <w:tcBorders>
              <w:tl2br w:val="nil"/>
              <w:tr2bl w:val="nil"/>
            </w:tcBorders>
            <w:noWrap w:val="0"/>
            <w:vAlign w:val="center"/>
          </w:tcPr>
          <w:p w14:paraId="14FF5AC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52.5</w:t>
            </w:r>
          </w:p>
        </w:tc>
        <w:tc>
          <w:tcPr>
            <w:tcW w:w="457" w:type="pct"/>
            <w:tcBorders>
              <w:tl2br w:val="nil"/>
              <w:tr2bl w:val="nil"/>
            </w:tcBorders>
            <w:noWrap w:val="0"/>
            <w:vAlign w:val="center"/>
          </w:tcPr>
          <w:p w14:paraId="286C3FC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29.58</w:t>
            </w:r>
          </w:p>
        </w:tc>
        <w:tc>
          <w:tcPr>
            <w:tcW w:w="531" w:type="pct"/>
            <w:tcBorders>
              <w:tl2br w:val="nil"/>
              <w:tr2bl w:val="nil"/>
            </w:tcBorders>
            <w:noWrap w:val="0"/>
            <w:vAlign w:val="center"/>
          </w:tcPr>
          <w:p w14:paraId="2702165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82.08</w:t>
            </w:r>
          </w:p>
        </w:tc>
        <w:tc>
          <w:tcPr>
            <w:tcW w:w="747" w:type="pct"/>
            <w:tcBorders>
              <w:tl2br w:val="nil"/>
              <w:tr2bl w:val="nil"/>
            </w:tcBorders>
            <w:noWrap w:val="0"/>
            <w:vAlign w:val="center"/>
          </w:tcPr>
          <w:p w14:paraId="4299743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-80.14</w:t>
            </w:r>
          </w:p>
        </w:tc>
      </w:tr>
      <w:tr w14:paraId="0ACDC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18" w:type="pct"/>
            <w:vMerge w:val="restart"/>
            <w:tcBorders>
              <w:tl2br w:val="nil"/>
              <w:tr2bl w:val="nil"/>
            </w:tcBorders>
            <w:noWrap w:val="0"/>
            <w:vAlign w:val="center"/>
          </w:tcPr>
          <w:p w14:paraId="7DC6873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规划年</w:t>
            </w:r>
          </w:p>
        </w:tc>
        <w:tc>
          <w:tcPr>
            <w:tcW w:w="765" w:type="pct"/>
            <w:vMerge w:val="restart"/>
            <w:tcBorders>
              <w:tl2br w:val="nil"/>
              <w:tr2bl w:val="nil"/>
            </w:tcBorders>
            <w:noWrap w:val="0"/>
            <w:vAlign w:val="center"/>
          </w:tcPr>
          <w:p w14:paraId="793AF0E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2030</w:t>
            </w:r>
          </w:p>
        </w:tc>
        <w:tc>
          <w:tcPr>
            <w:tcW w:w="751" w:type="pct"/>
            <w:tcBorders>
              <w:tl2br w:val="nil"/>
              <w:tr2bl w:val="nil"/>
            </w:tcBorders>
            <w:noWrap w:val="0"/>
            <w:vAlign w:val="center"/>
          </w:tcPr>
          <w:p w14:paraId="5509B68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多年平均</w:t>
            </w:r>
          </w:p>
        </w:tc>
        <w:tc>
          <w:tcPr>
            <w:tcW w:w="670" w:type="pct"/>
            <w:tcBorders>
              <w:tl2br w:val="nil"/>
              <w:tr2bl w:val="nil"/>
            </w:tcBorders>
            <w:noWrap w:val="0"/>
            <w:vAlign w:val="center"/>
          </w:tcPr>
          <w:p w14:paraId="3B23A45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2.44</w:t>
            </w:r>
          </w:p>
        </w:tc>
        <w:tc>
          <w:tcPr>
            <w:tcW w:w="457" w:type="pct"/>
            <w:tcBorders>
              <w:tl2br w:val="nil"/>
              <w:tr2bl w:val="nil"/>
            </w:tcBorders>
            <w:noWrap w:val="0"/>
            <w:vAlign w:val="center"/>
          </w:tcPr>
          <w:p w14:paraId="77B9778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51.42</w:t>
            </w:r>
          </w:p>
        </w:tc>
        <w:tc>
          <w:tcPr>
            <w:tcW w:w="457" w:type="pct"/>
            <w:tcBorders>
              <w:tl2br w:val="nil"/>
              <w:tr2bl w:val="nil"/>
            </w:tcBorders>
            <w:noWrap w:val="0"/>
            <w:vAlign w:val="center"/>
          </w:tcPr>
          <w:p w14:paraId="164C321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28.64</w:t>
            </w:r>
          </w:p>
        </w:tc>
        <w:tc>
          <w:tcPr>
            <w:tcW w:w="531" w:type="pct"/>
            <w:tcBorders>
              <w:tl2br w:val="nil"/>
              <w:tr2bl w:val="nil"/>
            </w:tcBorders>
            <w:noWrap w:val="0"/>
            <w:vAlign w:val="center"/>
          </w:tcPr>
          <w:p w14:paraId="52BE7EE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80.06</w:t>
            </w:r>
          </w:p>
        </w:tc>
        <w:tc>
          <w:tcPr>
            <w:tcW w:w="747" w:type="pct"/>
            <w:tcBorders>
              <w:tl2br w:val="nil"/>
              <w:tr2bl w:val="nil"/>
            </w:tcBorders>
            <w:noWrap w:val="0"/>
            <w:vAlign w:val="center"/>
          </w:tcPr>
          <w:p w14:paraId="3CB1757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-77.62</w:t>
            </w:r>
          </w:p>
        </w:tc>
      </w:tr>
      <w:tr w14:paraId="68CD1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18" w:type="pct"/>
            <w:vMerge w:val="continue"/>
            <w:tcBorders>
              <w:tl2br w:val="nil"/>
              <w:tr2bl w:val="nil"/>
            </w:tcBorders>
            <w:noWrap w:val="0"/>
            <w:vAlign w:val="center"/>
          </w:tcPr>
          <w:p w14:paraId="3EC682E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c>
          <w:tcPr>
            <w:tcW w:w="765" w:type="pct"/>
            <w:vMerge w:val="continue"/>
            <w:tcBorders>
              <w:tl2br w:val="nil"/>
              <w:tr2bl w:val="nil"/>
            </w:tcBorders>
            <w:noWrap w:val="0"/>
            <w:vAlign w:val="center"/>
          </w:tcPr>
          <w:p w14:paraId="6E83A2F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p>
        </w:tc>
        <w:tc>
          <w:tcPr>
            <w:tcW w:w="751" w:type="pct"/>
            <w:tcBorders>
              <w:tl2br w:val="nil"/>
              <w:tr2bl w:val="nil"/>
            </w:tcBorders>
            <w:noWrap w:val="0"/>
            <w:vAlign w:val="center"/>
          </w:tcPr>
          <w:p w14:paraId="6873148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75%</w:t>
            </w:r>
          </w:p>
        </w:tc>
        <w:tc>
          <w:tcPr>
            <w:tcW w:w="670" w:type="pct"/>
            <w:tcBorders>
              <w:tl2br w:val="nil"/>
              <w:tr2bl w:val="nil"/>
            </w:tcBorders>
            <w:noWrap w:val="0"/>
            <w:vAlign w:val="center"/>
          </w:tcPr>
          <w:p w14:paraId="1A54FC4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1.94</w:t>
            </w:r>
          </w:p>
        </w:tc>
        <w:tc>
          <w:tcPr>
            <w:tcW w:w="457" w:type="pct"/>
            <w:tcBorders>
              <w:tl2br w:val="nil"/>
              <w:tr2bl w:val="nil"/>
            </w:tcBorders>
            <w:noWrap w:val="0"/>
            <w:vAlign w:val="center"/>
          </w:tcPr>
          <w:p w14:paraId="4066408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57.5</w:t>
            </w:r>
          </w:p>
        </w:tc>
        <w:tc>
          <w:tcPr>
            <w:tcW w:w="457" w:type="pct"/>
            <w:tcBorders>
              <w:tl2br w:val="nil"/>
              <w:tr2bl w:val="nil"/>
            </w:tcBorders>
            <w:noWrap w:val="0"/>
            <w:vAlign w:val="center"/>
          </w:tcPr>
          <w:p w14:paraId="6A01B45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28.64</w:t>
            </w:r>
          </w:p>
        </w:tc>
        <w:tc>
          <w:tcPr>
            <w:tcW w:w="531" w:type="pct"/>
            <w:tcBorders>
              <w:tl2br w:val="nil"/>
              <w:tr2bl w:val="nil"/>
            </w:tcBorders>
            <w:noWrap w:val="0"/>
            <w:vAlign w:val="center"/>
          </w:tcPr>
          <w:p w14:paraId="536414A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86.14</w:t>
            </w:r>
          </w:p>
        </w:tc>
        <w:tc>
          <w:tcPr>
            <w:tcW w:w="747" w:type="pct"/>
            <w:tcBorders>
              <w:tl2br w:val="nil"/>
              <w:tr2bl w:val="nil"/>
            </w:tcBorders>
            <w:noWrap w:val="0"/>
            <w:vAlign w:val="center"/>
          </w:tcPr>
          <w:p w14:paraId="4F40ABE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22"/>
                <w:szCs w:val="22"/>
              </w:rPr>
            </w:pPr>
            <w:r>
              <w:rPr>
                <w:rFonts w:hint="default" w:ascii="Arial" w:hAnsi="Arial" w:cs="Arial"/>
                <w:color w:val="auto"/>
                <w:sz w:val="22"/>
                <w:szCs w:val="22"/>
              </w:rPr>
              <w:t>-84.20</w:t>
            </w:r>
          </w:p>
        </w:tc>
      </w:tr>
    </w:tbl>
    <w:p w14:paraId="713CAC0D">
      <w:pPr>
        <w:pStyle w:val="5"/>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lang w:val="en-US" w:eastAsia="zh-CN"/>
        </w:rPr>
      </w:pPr>
    </w:p>
    <w:p w14:paraId="40A0B0CF">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default" w:ascii="Arial" w:hAnsi="Arial" w:eastAsia="宋体" w:cs="Arial"/>
          <w:b/>
          <w:bCs w:val="0"/>
          <w:kern w:val="0"/>
          <w:sz w:val="26"/>
          <w:szCs w:val="26"/>
          <w:lang w:val="en-US" w:eastAsia="zh-CN" w:bidi="ar-SA"/>
        </w:rPr>
      </w:pPr>
      <w:r>
        <w:rPr>
          <w:rFonts w:hint="eastAsia" w:ascii="Arial" w:hAnsi="Arial" w:cs="Arial"/>
          <w:b/>
          <w:bCs w:val="0"/>
          <w:kern w:val="0"/>
          <w:sz w:val="26"/>
          <w:szCs w:val="26"/>
          <w:lang w:val="en-US" w:eastAsia="zh-CN" w:bidi="ar-SA"/>
        </w:rPr>
        <w:t>4.4.3规划水资源配置</w:t>
      </w:r>
    </w:p>
    <w:p w14:paraId="0BCC8C69">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Arial" w:hAnsi="Arial" w:cs="Arial"/>
          <w:color w:val="auto"/>
          <w:sz w:val="26"/>
          <w:szCs w:val="26"/>
          <w:lang w:val="zh-CN" w:eastAsia="zh-CN"/>
        </w:rPr>
      </w:pPr>
      <w:r>
        <w:rPr>
          <w:rFonts w:hint="eastAsia" w:ascii="Arial" w:hAnsi="Arial" w:cs="Arial"/>
          <w:color w:val="auto"/>
          <w:sz w:val="26"/>
          <w:szCs w:val="26"/>
          <w:lang w:val="zh-CN" w:eastAsia="zh-CN"/>
        </w:rPr>
        <w:t>结合项目所在地缺水区的分布情况，决定新建海螺沟水库工程来解决区域缺水问题。由表</w:t>
      </w:r>
      <w:r>
        <w:rPr>
          <w:rFonts w:hint="eastAsia" w:ascii="Arial" w:hAnsi="Arial" w:cs="Arial"/>
          <w:color w:val="auto"/>
          <w:sz w:val="26"/>
          <w:szCs w:val="26"/>
          <w:lang w:val="en-US" w:eastAsia="zh-CN"/>
        </w:rPr>
        <w:t>4.4-2可知，至规划水平年，项目区多年平均缺水量为77.62万m</w:t>
      </w:r>
      <w:r>
        <w:rPr>
          <w:rFonts w:hint="eastAsia" w:ascii="Arial" w:hAnsi="Arial" w:cs="Arial"/>
          <w:color w:val="auto"/>
          <w:sz w:val="26"/>
          <w:szCs w:val="26"/>
          <w:vertAlign w:val="superscript"/>
          <w:lang w:val="en-US" w:eastAsia="zh-CN"/>
        </w:rPr>
        <w:t>3</w:t>
      </w:r>
      <w:r>
        <w:rPr>
          <w:rFonts w:hint="eastAsia" w:ascii="Arial" w:hAnsi="Arial" w:cs="Arial"/>
          <w:color w:val="auto"/>
          <w:sz w:val="26"/>
          <w:szCs w:val="26"/>
          <w:lang w:val="en-US" w:eastAsia="zh-CN"/>
        </w:rPr>
        <w:t>，海螺沟水库建成后可供水量为76.28万m</w:t>
      </w:r>
      <w:r>
        <w:rPr>
          <w:rFonts w:hint="eastAsia" w:ascii="Arial" w:hAnsi="Arial" w:cs="Arial"/>
          <w:color w:val="auto"/>
          <w:sz w:val="26"/>
          <w:szCs w:val="26"/>
          <w:vertAlign w:val="superscript"/>
          <w:lang w:val="en-US" w:eastAsia="zh-CN"/>
        </w:rPr>
        <w:t>3</w:t>
      </w:r>
      <w:r>
        <w:rPr>
          <w:rFonts w:hint="eastAsia" w:ascii="Arial" w:hAnsi="Arial" w:cs="Arial"/>
          <w:color w:val="auto"/>
          <w:sz w:val="26"/>
          <w:szCs w:val="26"/>
          <w:lang w:val="en-US" w:eastAsia="zh-CN"/>
        </w:rPr>
        <w:t>，供</w:t>
      </w:r>
      <w:r>
        <w:rPr>
          <w:rFonts w:hint="default" w:ascii="Arial" w:hAnsi="Arial" w:cs="Arial"/>
          <w:color w:val="auto"/>
          <w:sz w:val="26"/>
          <w:szCs w:val="26"/>
          <w:lang w:val="en-US" w:eastAsia="zh-CN"/>
        </w:rPr>
        <w:t>水量</w:t>
      </w:r>
      <w:r>
        <w:rPr>
          <w:rFonts w:hint="eastAsia" w:ascii="Arial" w:hAnsi="Arial" w:cs="Arial"/>
          <w:color w:val="auto"/>
          <w:sz w:val="26"/>
          <w:szCs w:val="26"/>
          <w:lang w:val="en-US" w:eastAsia="zh-CN"/>
        </w:rPr>
        <w:t>基本可解决</w:t>
      </w:r>
      <w:r>
        <w:rPr>
          <w:rFonts w:hint="default" w:ascii="Arial" w:hAnsi="Arial" w:cs="Arial"/>
          <w:color w:val="auto"/>
          <w:sz w:val="26"/>
          <w:szCs w:val="26"/>
          <w:lang w:val="en-US" w:eastAsia="zh-CN"/>
        </w:rPr>
        <w:t>供区</w:t>
      </w:r>
      <w:r>
        <w:rPr>
          <w:rFonts w:hint="eastAsia" w:ascii="Arial" w:hAnsi="Arial" w:cs="Arial"/>
          <w:color w:val="auto"/>
          <w:sz w:val="26"/>
          <w:szCs w:val="26"/>
          <w:lang w:val="en-US" w:eastAsia="zh-CN"/>
        </w:rPr>
        <w:t>缺水需求，同时，海螺沟水库</w:t>
      </w:r>
      <w:r>
        <w:rPr>
          <w:rFonts w:hint="default" w:ascii="Arial" w:hAnsi="Arial" w:cs="Arial"/>
          <w:color w:val="auto"/>
          <w:sz w:val="26"/>
          <w:szCs w:val="26"/>
          <w:lang w:val="en-US" w:eastAsia="zh-CN"/>
        </w:rPr>
        <w:t>库区人口密度很小，水质较好，成库条件好，无生态红线、基本农田等制约性因素</w:t>
      </w:r>
      <w:r>
        <w:rPr>
          <w:rFonts w:hint="eastAsia" w:ascii="Arial" w:hAnsi="Arial" w:cs="Arial"/>
          <w:color w:val="auto"/>
          <w:sz w:val="26"/>
          <w:szCs w:val="26"/>
          <w:lang w:val="en-US" w:eastAsia="zh-CN"/>
        </w:rPr>
        <w:t>；且海螺沟水库取水高程分布在405.5m以上，可满足重力自流供水的要求，降低了运行成本</w:t>
      </w:r>
      <w:r>
        <w:rPr>
          <w:rFonts w:hint="default" w:ascii="Arial" w:hAnsi="Arial" w:cs="Arial"/>
          <w:color w:val="auto"/>
          <w:sz w:val="26"/>
          <w:szCs w:val="26"/>
          <w:lang w:val="en-US" w:eastAsia="zh-CN"/>
        </w:rPr>
        <w:t>。</w:t>
      </w:r>
    </w:p>
    <w:p w14:paraId="1DE3225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br w:type="page"/>
      </w:r>
    </w:p>
    <w:p w14:paraId="25032B16">
      <w:pPr>
        <w:keepNext w:val="0"/>
        <w:keepLines w:val="0"/>
        <w:pageBreakBefore w:val="0"/>
        <w:widowControl w:val="0"/>
        <w:kinsoku/>
        <w:wordWrap/>
        <w:overflowPunct/>
        <w:topLinePunct w:val="0"/>
        <w:autoSpaceDE/>
        <w:autoSpaceDN/>
        <w:bidi w:val="0"/>
        <w:adjustRightInd w:val="0"/>
        <w:snapToGrid w:val="0"/>
        <w:spacing w:before="0" w:beforeLines="100" w:after="0" w:afterLines="100" w:line="460" w:lineRule="exact"/>
        <w:ind w:firstLine="0" w:firstLineChars="0"/>
        <w:jc w:val="center"/>
        <w:textAlignment w:val="auto"/>
        <w:outlineLvl w:val="0"/>
        <w:rPr>
          <w:b/>
          <w:sz w:val="26"/>
          <w:szCs w:val="26"/>
        </w:rPr>
      </w:pPr>
      <w:bookmarkStart w:id="112" w:name="_Toc18066"/>
      <w:r>
        <w:rPr>
          <w:rFonts w:hint="default" w:ascii="Arial" w:hAnsi="Arial" w:eastAsia="宋体" w:cs="Arial"/>
          <w:b/>
          <w:kern w:val="0"/>
          <w:sz w:val="26"/>
          <w:szCs w:val="26"/>
          <w:lang w:val="en-US" w:eastAsia="zh-CN" w:bidi="ar-SA"/>
        </w:rPr>
        <w:t>5 施工期环境影响分析</w:t>
      </w:r>
      <w:bookmarkEnd w:id="112"/>
    </w:p>
    <w:p w14:paraId="6A3A6AC4">
      <w:pPr>
        <w:pStyle w:val="1291"/>
        <w:keepNext w:val="0"/>
        <w:keepLines w:val="0"/>
        <w:pageBreakBefore w:val="0"/>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eastAsia="宋体" w:cs="Arial"/>
          <w:sz w:val="26"/>
          <w:szCs w:val="26"/>
        </w:rPr>
      </w:pPr>
      <w:bookmarkStart w:id="113" w:name="_Toc30742"/>
      <w:r>
        <w:rPr>
          <w:rFonts w:hint="default" w:ascii="Arial" w:hAnsi="Arial" w:eastAsia="宋体" w:cs="Arial"/>
          <w:sz w:val="26"/>
          <w:szCs w:val="26"/>
        </w:rPr>
        <w:t>5.1</w:t>
      </w:r>
      <w:r>
        <w:rPr>
          <w:rFonts w:hint="eastAsia" w:ascii="Arial" w:hAnsi="Arial" w:eastAsia="宋体" w:cs="Arial"/>
          <w:sz w:val="26"/>
          <w:szCs w:val="26"/>
        </w:rPr>
        <w:t>施工期</w:t>
      </w:r>
      <w:r>
        <w:rPr>
          <w:rFonts w:hint="eastAsia" w:ascii="Arial" w:hAnsi="Arial" w:cs="Arial"/>
          <w:sz w:val="26"/>
          <w:szCs w:val="26"/>
          <w:lang w:eastAsia="zh-CN"/>
        </w:rPr>
        <w:t>地表水环境影响分析</w:t>
      </w:r>
      <w:bookmarkEnd w:id="113"/>
    </w:p>
    <w:p w14:paraId="191DD1D5">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default" w:ascii="Arial" w:hAnsi="Arial" w:eastAsia="宋体" w:cs="Arial"/>
          <w:b/>
          <w:bCs w:val="0"/>
          <w:kern w:val="0"/>
          <w:sz w:val="26"/>
          <w:szCs w:val="26"/>
          <w:lang w:val="en-US" w:eastAsia="zh-CN" w:bidi="ar-SA"/>
        </w:rPr>
      </w:pPr>
      <w:r>
        <w:rPr>
          <w:rFonts w:hint="default" w:ascii="Arial" w:hAnsi="Arial" w:eastAsia="宋体" w:cs="Arial"/>
          <w:b/>
          <w:bCs w:val="0"/>
          <w:kern w:val="0"/>
          <w:sz w:val="26"/>
          <w:szCs w:val="26"/>
          <w:lang w:val="en-US" w:eastAsia="zh-CN" w:bidi="ar-SA"/>
        </w:rPr>
        <w:t>5.1.1</w:t>
      </w:r>
      <w:r>
        <w:rPr>
          <w:rFonts w:hint="eastAsia" w:ascii="Arial" w:hAnsi="Arial" w:eastAsia="宋体" w:cs="Arial"/>
          <w:b/>
          <w:bCs w:val="0"/>
          <w:kern w:val="0"/>
          <w:sz w:val="26"/>
          <w:szCs w:val="26"/>
          <w:lang w:val="en-US" w:eastAsia="zh-CN" w:bidi="ar-SA"/>
        </w:rPr>
        <w:t>施工污废水对地表水环境的影响分析</w:t>
      </w:r>
    </w:p>
    <w:p w14:paraId="19AA8E22">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outlineLvl w:val="2"/>
        <w:rPr>
          <w:rFonts w:hint="eastAsia" w:ascii="Arial" w:hAnsi="Arial" w:cs="Arial"/>
          <w:b w:val="0"/>
          <w:bCs/>
          <w:sz w:val="26"/>
          <w:szCs w:val="26"/>
          <w:lang w:val="en-US" w:eastAsia="zh-CN"/>
        </w:rPr>
      </w:pPr>
      <w:r>
        <w:rPr>
          <w:rFonts w:hint="eastAsia" w:ascii="Arial" w:hAnsi="Arial" w:cs="Arial"/>
          <w:b w:val="0"/>
          <w:bCs/>
          <w:sz w:val="26"/>
          <w:szCs w:val="26"/>
          <w:lang w:val="en-US" w:eastAsia="zh-CN"/>
        </w:rPr>
        <w:t>项目施工废水主要为混凝土拌合系统废水、基坑废水、车辆及施工设备冲洗等产生的含油废水、管道试压废水等生产废水，以及施工场地初期雨水和施工人员产生的生活污水。</w:t>
      </w:r>
    </w:p>
    <w:p w14:paraId="2655202E">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default" w:ascii="Arial" w:hAnsi="Arial" w:eastAsia="宋体" w:cs="Arial"/>
          <w:b/>
          <w:bCs w:val="0"/>
          <w:kern w:val="0"/>
          <w:sz w:val="26"/>
          <w:szCs w:val="26"/>
          <w:lang w:val="en-US" w:eastAsia="zh-CN" w:bidi="ar-SA"/>
        </w:rPr>
      </w:pPr>
      <w:r>
        <w:rPr>
          <w:rFonts w:hint="eastAsia" w:ascii="Arial" w:hAnsi="Arial" w:eastAsia="宋体" w:cs="Arial"/>
          <w:b/>
          <w:bCs w:val="0"/>
          <w:kern w:val="0"/>
          <w:sz w:val="26"/>
          <w:szCs w:val="26"/>
          <w:lang w:val="en-US" w:eastAsia="zh-CN" w:bidi="ar-SA"/>
        </w:rPr>
        <w:t>（1）混凝土拌合系统废水</w:t>
      </w:r>
    </w:p>
    <w:p w14:paraId="101B6370">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混凝土加工系统废水来源于混凝土转筒和料罐的冲洗、混凝土养护废水，混凝土浇筑养护也会产生少量废水，均为碱性废水，主要污染因子为pH、SS，由截排水沟收集后，经pH调节+隔油沉淀池处理后，上清液可回用作混凝土拌合、养护等生产用水，或抑尘洒水，不外排。</w:t>
      </w:r>
    </w:p>
    <w:p w14:paraId="5FB867F4">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default" w:ascii="Arial" w:hAnsi="Arial" w:eastAsia="宋体" w:cs="Arial"/>
          <w:b/>
          <w:bCs w:val="0"/>
          <w:kern w:val="0"/>
          <w:sz w:val="26"/>
          <w:szCs w:val="26"/>
          <w:lang w:val="en-US" w:eastAsia="zh-CN" w:bidi="ar-SA"/>
        </w:rPr>
      </w:pPr>
      <w:r>
        <w:rPr>
          <w:rFonts w:hint="eastAsia" w:ascii="Arial" w:hAnsi="Arial" w:eastAsia="宋体" w:cs="Arial"/>
          <w:b/>
          <w:bCs w:val="0"/>
          <w:kern w:val="0"/>
          <w:sz w:val="26"/>
          <w:szCs w:val="26"/>
          <w:lang w:val="en-US" w:eastAsia="zh-CN" w:bidi="ar-SA"/>
        </w:rPr>
        <w:t>（2）基坑废水</w:t>
      </w:r>
    </w:p>
    <w:p w14:paraId="6308A616">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bCs/>
          <w:color w:val="auto"/>
          <w:sz w:val="26"/>
          <w:szCs w:val="26"/>
          <w:lang w:val="en-US" w:eastAsia="zh-CN"/>
        </w:rPr>
      </w:pPr>
      <w:r>
        <w:rPr>
          <w:rFonts w:hint="eastAsia" w:ascii="Arial" w:hAnsi="Arial" w:eastAsia="宋体" w:cs="Arial"/>
          <w:b w:val="0"/>
          <w:bCs/>
          <w:sz w:val="26"/>
          <w:szCs w:val="26"/>
          <w:lang w:val="en-US" w:eastAsia="zh-CN"/>
        </w:rPr>
        <w:t>基坑排水分初期和经常性排水，初期排水以天然水体为主，污染物种类少、含量低，和天然河道水体水质相近，泵入下游河道后对河流水质影响较小。经常性排水</w:t>
      </w:r>
      <w:r>
        <w:rPr>
          <w:rFonts w:ascii="Arial" w:cs="Arial"/>
          <w:b w:val="0"/>
          <w:bCs/>
          <w:color w:val="auto"/>
          <w:sz w:val="26"/>
          <w:szCs w:val="26"/>
        </w:rPr>
        <w:t>主要</w:t>
      </w:r>
      <w:r>
        <w:rPr>
          <w:rFonts w:hint="eastAsia" w:ascii="Arial" w:cs="Arial"/>
          <w:b w:val="0"/>
          <w:bCs/>
          <w:color w:val="auto"/>
          <w:sz w:val="26"/>
          <w:szCs w:val="26"/>
          <w:lang w:eastAsia="zh-CN"/>
        </w:rPr>
        <w:t>受</w:t>
      </w:r>
      <w:r>
        <w:rPr>
          <w:rFonts w:ascii="Arial" w:cs="Arial"/>
          <w:b w:val="0"/>
          <w:bCs/>
          <w:color w:val="auto"/>
          <w:sz w:val="26"/>
          <w:szCs w:val="26"/>
        </w:rPr>
        <w:t>堰体渗水</w:t>
      </w:r>
      <w:r>
        <w:rPr>
          <w:rFonts w:hint="eastAsia" w:ascii="Arial" w:cs="Arial"/>
          <w:b w:val="0"/>
          <w:bCs/>
          <w:color w:val="auto"/>
          <w:sz w:val="26"/>
          <w:szCs w:val="26"/>
          <w:lang w:eastAsia="zh-CN"/>
        </w:rPr>
        <w:t>施工废水（主要是混凝土养护废水）</w:t>
      </w:r>
      <w:r>
        <w:rPr>
          <w:rFonts w:ascii="Arial" w:cs="Arial"/>
          <w:b w:val="0"/>
          <w:bCs/>
          <w:color w:val="auto"/>
          <w:sz w:val="26"/>
          <w:szCs w:val="26"/>
        </w:rPr>
        <w:t>和大气降水等</w:t>
      </w:r>
      <w:r>
        <w:rPr>
          <w:rFonts w:hint="eastAsia" w:ascii="Arial" w:cs="Arial"/>
          <w:b w:val="0"/>
          <w:bCs/>
          <w:color w:val="auto"/>
          <w:sz w:val="26"/>
          <w:szCs w:val="26"/>
          <w:lang w:eastAsia="zh-CN"/>
        </w:rPr>
        <w:t>因素影响</w:t>
      </w:r>
      <w:r>
        <w:rPr>
          <w:rFonts w:ascii="Arial" w:cs="Arial"/>
          <w:b w:val="0"/>
          <w:bCs/>
          <w:color w:val="auto"/>
          <w:sz w:val="26"/>
          <w:szCs w:val="26"/>
        </w:rPr>
        <w:t>，</w:t>
      </w:r>
      <w:r>
        <w:rPr>
          <w:rFonts w:hint="eastAsia" w:ascii="Arial" w:hAnsi="Arial" w:cs="Arial"/>
          <w:b w:val="0"/>
          <w:bCs/>
          <w:color w:val="auto"/>
          <w:sz w:val="26"/>
          <w:szCs w:val="26"/>
          <w:lang w:val="en-US" w:eastAsia="zh-CN"/>
        </w:rPr>
        <w:t>主要污染物为SS，经截水沟、集水坑收集沉淀处理后，上清液可用作施工用水，多余部分泵入下游河道。同时，输水管线穿越河道时尽量采用顶管、定向钻等不涉水施工工艺，</w:t>
      </w:r>
      <w:r>
        <w:rPr>
          <w:rFonts w:hint="eastAsia" w:ascii="Arial" w:hAnsi="宋体" w:cs="Arial"/>
          <w:b w:val="0"/>
          <w:bCs/>
          <w:color w:val="auto"/>
          <w:spacing w:val="-4"/>
          <w:sz w:val="26"/>
          <w:szCs w:val="26"/>
        </w:rPr>
        <w:t>设置围挡，严格控制施工活动，做好废弃土石方的收集处理工作，严禁向</w:t>
      </w:r>
      <w:r>
        <w:rPr>
          <w:rFonts w:hint="eastAsia" w:ascii="Arial" w:hAnsi="宋体" w:cs="Arial"/>
          <w:b w:val="0"/>
          <w:bCs/>
          <w:color w:val="auto"/>
          <w:spacing w:val="-4"/>
          <w:sz w:val="26"/>
          <w:szCs w:val="26"/>
          <w:lang w:eastAsia="zh-CN"/>
        </w:rPr>
        <w:t>河道</w:t>
      </w:r>
      <w:r>
        <w:rPr>
          <w:rFonts w:hint="eastAsia" w:ascii="Arial" w:hAnsi="宋体" w:cs="Arial"/>
          <w:b w:val="0"/>
          <w:bCs/>
          <w:color w:val="auto"/>
          <w:spacing w:val="-4"/>
          <w:sz w:val="26"/>
          <w:szCs w:val="26"/>
        </w:rPr>
        <w:t>内倾倒废渣，减轻涉水作业对</w:t>
      </w:r>
      <w:r>
        <w:rPr>
          <w:rFonts w:hint="eastAsia" w:ascii="Arial" w:hAnsi="宋体" w:cs="Arial"/>
          <w:b w:val="0"/>
          <w:bCs/>
          <w:color w:val="auto"/>
          <w:spacing w:val="-4"/>
          <w:sz w:val="26"/>
          <w:szCs w:val="26"/>
          <w:lang w:eastAsia="zh-CN"/>
        </w:rPr>
        <w:t>河道</w:t>
      </w:r>
      <w:r>
        <w:rPr>
          <w:rFonts w:hint="eastAsia" w:ascii="Arial" w:hAnsi="宋体" w:cs="Arial"/>
          <w:b w:val="0"/>
          <w:bCs/>
          <w:color w:val="auto"/>
          <w:spacing w:val="-4"/>
          <w:sz w:val="26"/>
          <w:szCs w:val="26"/>
        </w:rPr>
        <w:t>水质影响。</w:t>
      </w:r>
    </w:p>
    <w:p w14:paraId="68B7EADB">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default" w:ascii="Arial" w:hAnsi="Arial" w:eastAsia="宋体" w:cs="Arial"/>
          <w:b/>
          <w:bCs w:val="0"/>
          <w:kern w:val="0"/>
          <w:sz w:val="26"/>
          <w:szCs w:val="26"/>
          <w:lang w:val="en-US" w:eastAsia="zh-CN" w:bidi="ar-SA"/>
        </w:rPr>
      </w:pPr>
      <w:r>
        <w:rPr>
          <w:rFonts w:hint="eastAsia" w:ascii="Arial" w:hAnsi="Arial" w:eastAsia="宋体" w:cs="Arial"/>
          <w:b/>
          <w:bCs w:val="0"/>
          <w:kern w:val="0"/>
          <w:sz w:val="26"/>
          <w:szCs w:val="26"/>
          <w:lang w:val="en-US" w:eastAsia="zh-CN" w:bidi="ar-SA"/>
        </w:rPr>
        <w:t>（3）含油废水</w:t>
      </w:r>
    </w:p>
    <w:p w14:paraId="027DC49E">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eastAsia="宋体" w:cs="Arial"/>
          <w:b w:val="0"/>
          <w:bCs/>
          <w:sz w:val="26"/>
          <w:szCs w:val="26"/>
          <w:lang w:eastAsia="zh-CN"/>
        </w:rPr>
      </w:pPr>
      <w:r>
        <w:rPr>
          <w:rFonts w:hint="eastAsia" w:ascii="Arial" w:hAnsi="Arial" w:eastAsia="宋体" w:cs="Arial"/>
          <w:b w:val="0"/>
          <w:bCs/>
          <w:sz w:val="26"/>
          <w:szCs w:val="26"/>
          <w:lang w:val="en-US" w:eastAsia="zh-CN"/>
        </w:rPr>
        <w:t>施工机械、运输车辆在保养、冲洗过程中均会有含油废水产生，主要污染因子为石油类、SS，间歇产生。</w:t>
      </w:r>
      <w:r>
        <w:rPr>
          <w:rFonts w:ascii="Arial" w:cs="Arial"/>
          <w:b w:val="0"/>
          <w:bCs/>
          <w:sz w:val="26"/>
          <w:szCs w:val="26"/>
        </w:rPr>
        <w:t>含油废水直接排放会对土壤的理化性质产生影响，对周边农作物的生长不利，造成农作物减产。因此，为避免含油废水对周边农田及农作物的不利影响，有利于工程结束后施工迹地的恢复，保证施工占地复耕后的土地质量，</w:t>
      </w:r>
      <w:r>
        <w:rPr>
          <w:rFonts w:hint="eastAsia" w:ascii="Arial" w:cs="Arial"/>
          <w:b w:val="0"/>
          <w:bCs/>
          <w:sz w:val="26"/>
          <w:szCs w:val="26"/>
          <w:lang w:eastAsia="zh-CN"/>
        </w:rPr>
        <w:t>枢纽工程、输水工程施工场地内均设置隔油池，将含油废水收集处理后全部回用，不外排。</w:t>
      </w:r>
    </w:p>
    <w:p w14:paraId="4EA0F435">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default" w:ascii="Arial" w:hAnsi="Arial" w:eastAsia="宋体" w:cs="Arial"/>
          <w:b/>
          <w:bCs w:val="0"/>
          <w:kern w:val="0"/>
          <w:sz w:val="26"/>
          <w:szCs w:val="26"/>
          <w:lang w:val="en-US" w:eastAsia="zh-CN" w:bidi="ar-SA"/>
        </w:rPr>
      </w:pPr>
      <w:r>
        <w:rPr>
          <w:rFonts w:hint="eastAsia" w:ascii="Arial" w:hAnsi="Arial" w:eastAsia="宋体" w:cs="Arial"/>
          <w:b/>
          <w:bCs w:val="0"/>
          <w:kern w:val="0"/>
          <w:sz w:val="26"/>
          <w:szCs w:val="26"/>
          <w:lang w:val="en-US" w:eastAsia="zh-CN" w:bidi="ar-SA"/>
        </w:rPr>
        <w:t>（4）初期雨水</w:t>
      </w:r>
    </w:p>
    <w:p w14:paraId="7758E2A1">
      <w:pPr>
        <w:spacing w:line="460" w:lineRule="exact"/>
        <w:ind w:firstLine="520" w:firstLineChars="200"/>
        <w:rPr>
          <w:rFonts w:hint="eastAsia" w:ascii="Arial" w:cs="Arial"/>
          <w:sz w:val="26"/>
          <w:szCs w:val="26"/>
          <w:lang w:eastAsia="zh-CN"/>
        </w:rPr>
      </w:pPr>
      <w:r>
        <w:rPr>
          <w:rFonts w:hint="eastAsia" w:ascii="Arial" w:cs="Arial"/>
          <w:b w:val="0"/>
          <w:bCs/>
          <w:sz w:val="26"/>
          <w:szCs w:val="26"/>
          <w:lang w:eastAsia="zh-CN"/>
        </w:rPr>
        <w:t>项目施工期遇雨天产生初期雨水，会伴有泥沙形成“黄泥水”，此类地表径流中的主要污染物为SS，其浓度取决于降雨强度、浮土量和前期干旱时间等多种因素。根据国内研究资料和评价资料统计，初期雨水对水体的污染多发生在一次降雨的初期，一般来说，降雨初期到形成地表径流的30min内，地表径流中的SS浓度比较高，30min后，其浓度随降雨历时的延长下降较快，SS 浓度一般在300</w:t>
      </w:r>
      <w:r>
        <w:rPr>
          <w:rFonts w:hint="eastAsia" w:ascii="Arial" w:cs="Arial"/>
          <w:b w:val="0"/>
          <w:bCs/>
          <w:sz w:val="26"/>
          <w:szCs w:val="26"/>
          <w:lang w:val="en-US" w:eastAsia="zh-CN"/>
        </w:rPr>
        <w:t>~</w:t>
      </w:r>
      <w:r>
        <w:rPr>
          <w:rFonts w:hint="eastAsia" w:ascii="Arial" w:cs="Arial"/>
          <w:b w:val="0"/>
          <w:bCs/>
          <w:sz w:val="26"/>
          <w:szCs w:val="26"/>
          <w:lang w:eastAsia="zh-CN"/>
        </w:rPr>
        <w:t>700mg</w:t>
      </w:r>
      <w:r>
        <w:rPr>
          <w:rFonts w:hint="eastAsia" w:ascii="Arial" w:cs="Arial"/>
          <w:b w:val="0"/>
          <w:bCs/>
          <w:sz w:val="26"/>
          <w:szCs w:val="26"/>
          <w:lang w:val="en-US" w:eastAsia="zh-CN"/>
        </w:rPr>
        <w:t>/</w:t>
      </w:r>
      <w:r>
        <w:rPr>
          <w:rFonts w:hint="eastAsia" w:ascii="Arial" w:cs="Arial"/>
          <w:b w:val="0"/>
          <w:bCs/>
          <w:sz w:val="26"/>
          <w:szCs w:val="26"/>
          <w:lang w:eastAsia="zh-CN"/>
        </w:rPr>
        <w:t>L。主要发生区域为施工临时用地区，尤其是砂石料及土方堆放场所，若不加以处理大量含泥沙废水进入附近水体会导致水体中SS 浓度升高。因此，施工单位需在</w:t>
      </w:r>
      <w:r>
        <w:rPr>
          <w:rFonts w:hint="eastAsia" w:ascii="Arial" w:cs="Arial"/>
          <w:sz w:val="26"/>
          <w:szCs w:val="26"/>
          <w:lang w:eastAsia="zh-CN"/>
        </w:rPr>
        <w:t>各施工作业点地势较高一侧设置截水沟，在场地地势较低一侧设置排水沟和沉砂池，一方面减少场地雨水汇入量，二是将初期雨水沉淀后回用作施工用水或排入环境。</w:t>
      </w:r>
    </w:p>
    <w:p w14:paraId="7407ED95">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eastAsia" w:ascii="Arial" w:hAnsi="Arial" w:eastAsia="宋体" w:cs="Arial"/>
          <w:b/>
          <w:bCs w:val="0"/>
          <w:kern w:val="0"/>
          <w:sz w:val="26"/>
          <w:szCs w:val="26"/>
          <w:lang w:val="en-US" w:eastAsia="zh-CN" w:bidi="ar-SA"/>
        </w:rPr>
      </w:pPr>
      <w:r>
        <w:rPr>
          <w:rFonts w:hint="eastAsia" w:ascii="Arial" w:hAnsi="Arial" w:eastAsia="宋体" w:cs="Arial"/>
          <w:b/>
          <w:bCs w:val="0"/>
          <w:kern w:val="0"/>
          <w:sz w:val="26"/>
          <w:szCs w:val="26"/>
          <w:lang w:val="en-US" w:eastAsia="zh-CN" w:bidi="ar-SA"/>
        </w:rPr>
        <w:t>（5）生活污水</w:t>
      </w:r>
    </w:p>
    <w:p w14:paraId="72EF07F8">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outlineLvl w:val="2"/>
        <w:rPr>
          <w:rFonts w:hint="eastAsia" w:ascii="Arial" w:hAnsi="Arial" w:eastAsia="宋体" w:cs="Arial"/>
          <w:b/>
          <w:bCs w:val="0"/>
          <w:kern w:val="0"/>
          <w:sz w:val="26"/>
          <w:szCs w:val="26"/>
          <w:lang w:val="en-US" w:eastAsia="zh-CN" w:bidi="ar-SA"/>
        </w:rPr>
      </w:pPr>
      <w:r>
        <w:rPr>
          <w:rFonts w:ascii="Arial" w:cs="Arial"/>
          <w:sz w:val="26"/>
          <w:szCs w:val="26"/>
        </w:rPr>
        <w:t>本项目施工期枢纽工程、输水管线工程施工区内生活污水产生量合计约</w:t>
      </w:r>
      <w:r>
        <w:rPr>
          <w:rFonts w:hint="eastAsia" w:ascii="Arial" w:hAnsi="Arial" w:cs="Arial"/>
          <w:sz w:val="26"/>
          <w:szCs w:val="26"/>
          <w:lang w:val="en-US" w:eastAsia="zh-CN"/>
        </w:rPr>
        <w:t>11.7</w:t>
      </w:r>
      <w:r>
        <w:rPr>
          <w:rFonts w:ascii="Arial" w:hAnsi="Arial" w:cs="Arial"/>
          <w:sz w:val="26"/>
          <w:szCs w:val="26"/>
        </w:rPr>
        <w:t>m</w:t>
      </w:r>
      <w:r>
        <w:rPr>
          <w:rFonts w:ascii="Arial" w:hAnsi="Arial" w:cs="Arial"/>
          <w:sz w:val="26"/>
          <w:szCs w:val="26"/>
          <w:vertAlign w:val="superscript"/>
        </w:rPr>
        <w:t>3</w:t>
      </w:r>
      <w:r>
        <w:rPr>
          <w:rFonts w:ascii="Arial" w:hAnsi="Arial" w:cs="Arial"/>
          <w:sz w:val="26"/>
          <w:szCs w:val="26"/>
        </w:rPr>
        <w:t>/d</w:t>
      </w:r>
      <w:r>
        <w:rPr>
          <w:rFonts w:hint="eastAsia" w:ascii="Arial" w:cs="Arial"/>
          <w:sz w:val="26"/>
          <w:szCs w:val="26"/>
        </w:rPr>
        <w:t>。</w:t>
      </w:r>
      <w:r>
        <w:rPr>
          <w:rFonts w:hint="eastAsia" w:ascii="Arial" w:cs="Arial"/>
          <w:b w:val="0"/>
          <w:bCs/>
          <w:sz w:val="26"/>
          <w:szCs w:val="26"/>
          <w:lang w:eastAsia="zh-CN"/>
        </w:rPr>
        <w:t>经租赁居民房屋内已有的旱厕收集处理后，全部用作农肥，不外排。根据现场勘查，项目地处山区，周围农耕作业覆盖范围大，有足够的田地可消纳本项目经处理后的生活污水。</w:t>
      </w:r>
    </w:p>
    <w:p w14:paraId="64548D5D">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default" w:ascii="Arial" w:hAnsi="Arial" w:eastAsia="宋体" w:cs="Arial"/>
          <w:b/>
          <w:bCs w:val="0"/>
          <w:kern w:val="0"/>
          <w:sz w:val="26"/>
          <w:szCs w:val="26"/>
          <w:lang w:val="en-US" w:eastAsia="zh-CN" w:bidi="ar-SA"/>
        </w:rPr>
      </w:pPr>
      <w:r>
        <w:rPr>
          <w:rFonts w:hint="eastAsia" w:ascii="Arial" w:hAnsi="Arial" w:eastAsia="宋体" w:cs="Arial"/>
          <w:b/>
          <w:bCs w:val="0"/>
          <w:kern w:val="0"/>
          <w:sz w:val="26"/>
          <w:szCs w:val="26"/>
          <w:lang w:val="en-US" w:eastAsia="zh-CN" w:bidi="ar-SA"/>
        </w:rPr>
        <w:t>（6）管道试压废水</w:t>
      </w:r>
    </w:p>
    <w:p w14:paraId="30AD3D20">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Times New Roman" w:eastAsia="宋体" w:cs="Arial"/>
          <w:b w:val="0"/>
          <w:bCs/>
          <w:kern w:val="2"/>
          <w:sz w:val="26"/>
          <w:szCs w:val="26"/>
          <w:lang w:val="en-US" w:eastAsia="zh-CN" w:bidi="ar-SA"/>
        </w:rPr>
      </w:pPr>
      <w:r>
        <w:rPr>
          <w:rFonts w:hint="eastAsia" w:ascii="Arial" w:hAnsi="Times New Roman" w:eastAsia="宋体" w:cs="Arial"/>
          <w:b w:val="0"/>
          <w:bCs/>
          <w:kern w:val="2"/>
          <w:sz w:val="26"/>
          <w:szCs w:val="26"/>
          <w:lang w:val="en-US" w:eastAsia="zh-CN" w:bidi="ar-SA"/>
        </w:rPr>
        <w:t>输送管道敷设完成后，将按照《给水排水管道工程施工及验收规范》（GB50268-2008）进行试压作业，试压采用河道清水，且试压点相对分散，局部排水量小，试压排水水质较好，属于清净下水，可直接用于浇灌周边林草，无污废水产生。</w:t>
      </w:r>
    </w:p>
    <w:p w14:paraId="3D283AA4">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outlineLvl w:val="2"/>
        <w:rPr>
          <w:rFonts w:hint="default" w:ascii="Arial" w:hAnsi="Arial" w:eastAsia="宋体" w:cs="Arial"/>
          <w:b/>
          <w:bCs w:val="0"/>
          <w:kern w:val="0"/>
          <w:sz w:val="26"/>
          <w:szCs w:val="26"/>
          <w:lang w:val="en-US" w:eastAsia="zh-CN" w:bidi="ar-SA"/>
        </w:rPr>
      </w:pPr>
      <w:r>
        <w:rPr>
          <w:rFonts w:hint="eastAsia" w:ascii="Arial" w:hAnsi="Arial" w:eastAsia="宋体" w:cs="Arial"/>
          <w:b/>
          <w:bCs w:val="0"/>
          <w:kern w:val="0"/>
          <w:sz w:val="26"/>
          <w:szCs w:val="26"/>
          <w:lang w:val="en-US" w:eastAsia="zh-CN" w:bidi="ar-SA"/>
        </w:rPr>
        <w:t>（7）小结</w:t>
      </w:r>
    </w:p>
    <w:p w14:paraId="76BC614B">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cs="Arial"/>
          <w:b w:val="0"/>
          <w:bCs/>
          <w:sz w:val="26"/>
          <w:szCs w:val="26"/>
          <w:lang w:eastAsia="zh-CN"/>
        </w:rPr>
        <w:t>在采取上述措施后，，拟建项目施工期污废水可得到有效控制，对地表水环境影响很小。</w:t>
      </w:r>
    </w:p>
    <w:p w14:paraId="4F355368">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outlineLvl w:val="2"/>
        <w:rPr>
          <w:rFonts w:hint="default" w:ascii="Arial" w:hAnsi="Arial" w:eastAsia="宋体" w:cs="Arial"/>
          <w:b/>
          <w:bCs w:val="0"/>
          <w:kern w:val="0"/>
          <w:sz w:val="26"/>
          <w:szCs w:val="26"/>
          <w:lang w:val="en-US" w:eastAsia="zh-CN" w:bidi="ar-SA"/>
        </w:rPr>
      </w:pPr>
      <w:r>
        <w:rPr>
          <w:rFonts w:hint="default" w:ascii="Arial" w:hAnsi="Arial" w:eastAsia="宋体" w:cs="Arial"/>
          <w:b/>
          <w:bCs w:val="0"/>
          <w:kern w:val="0"/>
          <w:sz w:val="26"/>
          <w:szCs w:val="26"/>
          <w:lang w:val="en-US" w:eastAsia="zh-CN" w:bidi="ar-SA"/>
        </w:rPr>
        <w:t>5.1.</w:t>
      </w:r>
      <w:r>
        <w:rPr>
          <w:rFonts w:hint="eastAsia" w:ascii="Arial" w:hAnsi="Arial" w:eastAsia="宋体" w:cs="Arial"/>
          <w:b/>
          <w:bCs w:val="0"/>
          <w:kern w:val="0"/>
          <w:sz w:val="26"/>
          <w:szCs w:val="26"/>
          <w:lang w:val="en-US" w:eastAsia="zh-CN" w:bidi="ar-SA"/>
        </w:rPr>
        <w:t>2施工导流对地表水环境的影响分析</w:t>
      </w:r>
    </w:p>
    <w:p w14:paraId="113BA2BF">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eastAsia="宋体" w:cs="Arial"/>
          <w:b w:val="0"/>
          <w:bCs/>
          <w:sz w:val="26"/>
          <w:szCs w:val="26"/>
          <w:lang w:eastAsia="zh-CN"/>
        </w:rPr>
      </w:pPr>
      <w:r>
        <w:rPr>
          <w:rFonts w:hint="eastAsia" w:ascii="Arial" w:eastAsia="宋体" w:cs="Arial"/>
          <w:b w:val="0"/>
          <w:bCs/>
          <w:sz w:val="26"/>
          <w:szCs w:val="26"/>
          <w:lang w:eastAsia="zh-CN"/>
        </w:rPr>
        <w:t>施工导流采用上、下游围堰预留缺口和导流底孔联合导流。搭建围堰的土石进入水体将造成局部地表水环境中SS浓度增高，对地表水水质产生一定不利影响。</w:t>
      </w:r>
    </w:p>
    <w:p w14:paraId="01DDEDEB">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eastAsia="宋体" w:cs="Arial"/>
          <w:b w:val="0"/>
          <w:bCs/>
          <w:sz w:val="26"/>
          <w:szCs w:val="26"/>
          <w:lang w:eastAsia="zh-CN"/>
        </w:rPr>
      </w:pPr>
      <w:r>
        <w:rPr>
          <w:rFonts w:hint="eastAsia" w:ascii="Arial" w:eastAsia="宋体" w:cs="Arial"/>
          <w:b w:val="0"/>
          <w:bCs/>
          <w:sz w:val="26"/>
          <w:szCs w:val="26"/>
          <w:lang w:eastAsia="zh-CN"/>
        </w:rPr>
        <w:t>考虑围堰在枯水期施工搭建，直接影响的地表水水面面积较小，且围堰搭建周期较短，对地表水环境造成的不利影响空间、时间有限，对地表水水质影响较小。</w:t>
      </w:r>
    </w:p>
    <w:p w14:paraId="3BA0851B">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default" w:ascii="Arial" w:hAnsi="Arial" w:eastAsia="宋体" w:cs="Arial"/>
          <w:sz w:val="26"/>
          <w:szCs w:val="26"/>
        </w:rPr>
        <w:t>5.</w:t>
      </w:r>
      <w:r>
        <w:rPr>
          <w:rFonts w:hint="eastAsia" w:ascii="Arial" w:hAnsi="Arial" w:eastAsia="宋体" w:cs="Arial"/>
          <w:sz w:val="26"/>
          <w:szCs w:val="26"/>
          <w:lang w:val="en-US" w:eastAsia="zh-CN"/>
        </w:rPr>
        <w:t>2</w:t>
      </w:r>
      <w:r>
        <w:rPr>
          <w:rFonts w:hint="eastAsia" w:ascii="Arial" w:hAnsi="Arial" w:eastAsia="宋体" w:cs="Arial"/>
          <w:sz w:val="26"/>
          <w:szCs w:val="26"/>
        </w:rPr>
        <w:t>施工期</w:t>
      </w:r>
      <w:r>
        <w:rPr>
          <w:rFonts w:hint="eastAsia" w:ascii="Arial" w:hAnsi="Arial" w:cs="Arial"/>
          <w:sz w:val="26"/>
          <w:szCs w:val="26"/>
          <w:lang w:eastAsia="zh-CN"/>
        </w:rPr>
        <w:t>地下水环境影响分析</w:t>
      </w:r>
    </w:p>
    <w:p w14:paraId="337E60A4">
      <w:pPr>
        <w:spacing w:line="460" w:lineRule="exact"/>
        <w:ind w:firstLine="520" w:firstLineChars="200"/>
        <w:rPr>
          <w:rFonts w:hint="eastAsia" w:ascii="Arial" w:hAnsi="宋体" w:cs="Arial"/>
          <w:b w:val="0"/>
          <w:bCs w:val="0"/>
          <w:sz w:val="26"/>
          <w:szCs w:val="26"/>
        </w:rPr>
      </w:pPr>
      <w:r>
        <w:rPr>
          <w:rFonts w:hint="eastAsia" w:ascii="Arial" w:hAnsi="宋体" w:cs="Arial"/>
          <w:b w:val="0"/>
          <w:bCs w:val="0"/>
          <w:sz w:val="26"/>
          <w:szCs w:val="26"/>
        </w:rPr>
        <w:t>施工期间，枢纽工程、输水工程施工场地均存放有少量施工机械用</w:t>
      </w:r>
      <w:r>
        <w:rPr>
          <w:rFonts w:hint="eastAsia" w:ascii="Arial" w:hAnsi="宋体" w:cs="Arial"/>
          <w:b w:val="0"/>
          <w:bCs w:val="0"/>
          <w:sz w:val="26"/>
          <w:szCs w:val="26"/>
          <w:lang w:eastAsia="zh-CN"/>
        </w:rPr>
        <w:t>燃</w:t>
      </w:r>
      <w:r>
        <w:rPr>
          <w:rFonts w:hint="eastAsia" w:ascii="Arial" w:hAnsi="宋体" w:cs="Arial"/>
          <w:b w:val="0"/>
          <w:bCs w:val="0"/>
          <w:sz w:val="26"/>
          <w:szCs w:val="26"/>
        </w:rPr>
        <w:t>油，施工机械和车辆维修产生的少量废油亦暂存于施工场地内，定期交有资质的单位处置。评价认为油品泄漏是施工期间对地下水环境的主要影响因素。油品存储装置一旦泄漏，将直接污染土壤环境，进而进入含水层。参考相关资料，非水相液体（</w:t>
      </w:r>
      <w:r>
        <w:rPr>
          <w:rFonts w:ascii="Arial" w:hAnsi="宋体" w:cs="Arial"/>
          <w:b w:val="0"/>
          <w:bCs w:val="0"/>
          <w:sz w:val="26"/>
          <w:szCs w:val="26"/>
        </w:rPr>
        <w:t>NAPL</w:t>
      </w:r>
      <w:r>
        <w:rPr>
          <w:rFonts w:hint="eastAsia" w:ascii="Arial" w:hAnsi="宋体" w:cs="Arial"/>
          <w:b w:val="0"/>
          <w:bCs w:val="0"/>
          <w:sz w:val="26"/>
          <w:szCs w:val="26"/>
        </w:rPr>
        <w:t>）泄漏后，在非饱和带一般进行的是垂向为主的入渗过程，进入地下水饱和带后，水平方向上的扩散开始变得非常显著。本工程所在区域地下水丰富，坝址下游岩溶裂隙发育，泄漏物易对地下水环境造成一定的影响，并随地下水运动排泄，污染区域地表水环境。</w:t>
      </w:r>
    </w:p>
    <w:p w14:paraId="78C50995">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val="0"/>
          <w:sz w:val="26"/>
          <w:szCs w:val="26"/>
          <w:lang w:eastAsia="zh-CN"/>
        </w:rPr>
      </w:pPr>
      <w:r>
        <w:rPr>
          <w:rFonts w:hint="eastAsia" w:ascii="Arial" w:hAnsi="宋体" w:cs="Arial"/>
          <w:b w:val="0"/>
          <w:bCs w:val="0"/>
          <w:sz w:val="26"/>
          <w:szCs w:val="26"/>
        </w:rPr>
        <w:t>为避免此类情况发生，</w:t>
      </w:r>
      <w:r>
        <w:rPr>
          <w:rFonts w:hint="eastAsia" w:ascii="Arial" w:hAnsi="宋体" w:cs="Arial"/>
          <w:b w:val="0"/>
          <w:bCs w:val="0"/>
          <w:sz w:val="26"/>
          <w:szCs w:val="26"/>
          <w:lang w:eastAsia="zh-CN"/>
        </w:rPr>
        <w:t>燃油均为密闭桶装储存，暂存区四周设位于，并对地面和围堰进行重点</w:t>
      </w:r>
      <w:r>
        <w:rPr>
          <w:rFonts w:hint="eastAsia" w:ascii="Arial" w:hAnsi="宋体" w:cs="Arial"/>
          <w:b w:val="0"/>
          <w:bCs w:val="0"/>
          <w:sz w:val="26"/>
          <w:szCs w:val="26"/>
        </w:rPr>
        <w:t>防渗处理，防渗性能不应低于</w:t>
      </w:r>
      <w:r>
        <w:rPr>
          <w:rFonts w:ascii="Arial" w:hAnsi="宋体" w:cs="Arial"/>
          <w:b w:val="0"/>
          <w:bCs w:val="0"/>
          <w:sz w:val="26"/>
          <w:szCs w:val="26"/>
        </w:rPr>
        <w:t>6.0m</w:t>
      </w:r>
      <w:r>
        <w:rPr>
          <w:rFonts w:hint="eastAsia" w:ascii="Arial" w:hAnsi="宋体" w:cs="Arial"/>
          <w:b w:val="0"/>
          <w:bCs w:val="0"/>
          <w:sz w:val="26"/>
          <w:szCs w:val="26"/>
        </w:rPr>
        <w:t>厚渗透系数为</w:t>
      </w:r>
      <w:r>
        <w:rPr>
          <w:rFonts w:ascii="Arial" w:hAnsi="宋体" w:cs="Arial"/>
          <w:b w:val="0"/>
          <w:bCs w:val="0"/>
          <w:sz w:val="26"/>
          <w:szCs w:val="26"/>
        </w:rPr>
        <w:t>1.0*10</w:t>
      </w:r>
      <w:r>
        <w:rPr>
          <w:rFonts w:ascii="Arial" w:hAnsi="宋体" w:cs="Arial"/>
          <w:b w:val="0"/>
          <w:bCs w:val="0"/>
          <w:sz w:val="26"/>
          <w:szCs w:val="26"/>
          <w:vertAlign w:val="superscript"/>
        </w:rPr>
        <w:t>-10</w:t>
      </w:r>
      <w:r>
        <w:rPr>
          <w:rFonts w:ascii="Arial" w:hAnsi="宋体" w:cs="Arial"/>
          <w:b w:val="0"/>
          <w:bCs w:val="0"/>
          <w:sz w:val="26"/>
          <w:szCs w:val="26"/>
        </w:rPr>
        <w:t>cm/s</w:t>
      </w:r>
      <w:r>
        <w:rPr>
          <w:rFonts w:hint="eastAsia" w:ascii="Arial" w:hAnsi="宋体" w:cs="Arial"/>
          <w:b w:val="0"/>
          <w:bCs w:val="0"/>
          <w:sz w:val="26"/>
          <w:szCs w:val="26"/>
        </w:rPr>
        <w:t>的黏土层的防渗性能要求</w:t>
      </w:r>
      <w:r>
        <w:rPr>
          <w:rFonts w:hint="eastAsia" w:ascii="Arial" w:hAnsi="宋体" w:cs="Arial"/>
          <w:b w:val="0"/>
          <w:bCs w:val="0"/>
          <w:sz w:val="26"/>
          <w:szCs w:val="26"/>
          <w:lang w:eastAsia="zh-CN"/>
        </w:rPr>
        <w:t>，</w:t>
      </w:r>
      <w:r>
        <w:rPr>
          <w:rFonts w:hint="eastAsia" w:ascii="Arial" w:hAnsi="宋体" w:cs="Arial"/>
          <w:b w:val="0"/>
          <w:bCs w:val="0"/>
          <w:sz w:val="26"/>
          <w:szCs w:val="26"/>
        </w:rPr>
        <w:t>防止油品渗漏或外泄</w:t>
      </w:r>
      <w:r>
        <w:rPr>
          <w:rFonts w:hint="eastAsia" w:ascii="Arial" w:hAnsi="宋体" w:cs="Arial"/>
          <w:b w:val="0"/>
          <w:bCs w:val="0"/>
          <w:sz w:val="26"/>
          <w:szCs w:val="26"/>
          <w:lang w:eastAsia="zh-CN"/>
        </w:rPr>
        <w:t>；废物桶装收集后，暂存于施工场地所设危废贮存间内，危废贮存间按规定进行“六防”处置，储存区下方加设托盘。</w:t>
      </w:r>
      <w:r>
        <w:rPr>
          <w:rFonts w:hint="eastAsia" w:ascii="Arial" w:hAnsi="宋体" w:cs="Arial"/>
          <w:b w:val="0"/>
          <w:bCs w:val="0"/>
          <w:sz w:val="26"/>
          <w:szCs w:val="26"/>
        </w:rPr>
        <w:t>从而减轻对地下水环境的影响。</w:t>
      </w:r>
    </w:p>
    <w:p w14:paraId="0BAB390F">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default" w:ascii="Arial" w:hAnsi="Arial" w:eastAsia="宋体" w:cs="Arial"/>
          <w:sz w:val="26"/>
          <w:szCs w:val="26"/>
        </w:rPr>
        <w:t>5.</w:t>
      </w:r>
      <w:r>
        <w:rPr>
          <w:rFonts w:hint="eastAsia" w:ascii="Arial" w:hAnsi="Arial" w:eastAsia="宋体" w:cs="Arial"/>
          <w:sz w:val="26"/>
          <w:szCs w:val="26"/>
          <w:lang w:val="en-US" w:eastAsia="zh-CN"/>
        </w:rPr>
        <w:t>3</w:t>
      </w:r>
      <w:r>
        <w:rPr>
          <w:rFonts w:hint="eastAsia" w:ascii="Arial" w:hAnsi="Arial" w:eastAsia="宋体" w:cs="Arial"/>
          <w:sz w:val="26"/>
          <w:szCs w:val="26"/>
        </w:rPr>
        <w:t>施工期</w:t>
      </w:r>
      <w:r>
        <w:rPr>
          <w:rFonts w:hint="eastAsia" w:ascii="Arial" w:hAnsi="Arial" w:cs="Arial"/>
          <w:sz w:val="26"/>
          <w:szCs w:val="26"/>
          <w:lang w:eastAsia="zh-CN"/>
        </w:rPr>
        <w:t>环境空气环境影响分析</w:t>
      </w:r>
    </w:p>
    <w:p w14:paraId="6D2B007A">
      <w:pPr>
        <w:spacing w:line="460" w:lineRule="exact"/>
        <w:ind w:firstLine="520" w:firstLineChars="200"/>
        <w:rPr>
          <w:rFonts w:hint="eastAsia" w:ascii="Arial" w:hAnsi="宋体" w:eastAsia="宋体" w:cs="Arial"/>
          <w:b w:val="0"/>
          <w:bCs w:val="0"/>
          <w:sz w:val="26"/>
          <w:szCs w:val="26"/>
          <w:lang w:eastAsia="zh-CN"/>
        </w:rPr>
      </w:pPr>
      <w:r>
        <w:rPr>
          <w:rFonts w:hint="eastAsia" w:ascii="Arial" w:hAnsi="宋体" w:eastAsia="宋体" w:cs="Arial"/>
          <w:b w:val="0"/>
          <w:bCs w:val="0"/>
          <w:sz w:val="26"/>
          <w:szCs w:val="26"/>
          <w:lang w:eastAsia="zh-CN"/>
        </w:rPr>
        <w:t>本项目</w:t>
      </w:r>
      <w:r>
        <w:rPr>
          <w:rFonts w:hint="eastAsia" w:ascii="Arial" w:hAnsi="宋体" w:eastAsia="宋体" w:cs="Arial"/>
          <w:b w:val="0"/>
          <w:bCs w:val="0"/>
          <w:sz w:val="26"/>
          <w:szCs w:val="26"/>
        </w:rPr>
        <w:t>施工期环境空气污染物主要是土石方开挖、</w:t>
      </w:r>
      <w:r>
        <w:rPr>
          <w:rFonts w:hint="eastAsia" w:ascii="Arial" w:hAnsi="宋体" w:eastAsia="宋体" w:cs="Arial"/>
          <w:b w:val="0"/>
          <w:bCs w:val="0"/>
          <w:sz w:val="26"/>
          <w:szCs w:val="26"/>
          <w:lang w:eastAsia="zh-CN"/>
        </w:rPr>
        <w:t>物料</w:t>
      </w:r>
      <w:r>
        <w:rPr>
          <w:rFonts w:hint="eastAsia" w:ascii="Arial" w:hAnsi="宋体" w:eastAsia="宋体" w:cs="Arial"/>
          <w:b w:val="0"/>
          <w:bCs w:val="0"/>
          <w:sz w:val="26"/>
          <w:szCs w:val="26"/>
        </w:rPr>
        <w:t>运输等施工过程中产生的扬尘、混凝土拌和系统粉尘、施工机械和运输车辆废气。</w:t>
      </w:r>
    </w:p>
    <w:p w14:paraId="26271B4F">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cs="Arial"/>
          <w:b/>
          <w:sz w:val="26"/>
          <w:szCs w:val="26"/>
        </w:rPr>
      </w:pPr>
      <w:r>
        <w:rPr>
          <w:rFonts w:hint="eastAsia" w:ascii="Arial" w:hAnsi="宋体" w:cs="Arial"/>
          <w:b/>
          <w:sz w:val="26"/>
          <w:szCs w:val="26"/>
          <w:lang w:val="en-US" w:eastAsia="zh-CN"/>
        </w:rPr>
        <w:t>5.3.1</w:t>
      </w:r>
      <w:r>
        <w:rPr>
          <w:rFonts w:hint="eastAsia" w:ascii="Arial" w:hAnsi="宋体" w:cs="Arial"/>
          <w:b/>
          <w:sz w:val="26"/>
          <w:szCs w:val="26"/>
        </w:rPr>
        <w:t>施工机具废气</w:t>
      </w:r>
    </w:p>
    <w:p w14:paraId="58CAF16D">
      <w:pPr>
        <w:spacing w:line="460" w:lineRule="exact"/>
        <w:ind w:firstLine="520" w:firstLineChars="200"/>
        <w:rPr>
          <w:rFonts w:ascii="Arial" w:hAnsi="Times New Roman" w:eastAsia="宋体" w:cs="Arial"/>
          <w:sz w:val="26"/>
          <w:szCs w:val="26"/>
        </w:rPr>
      </w:pPr>
      <w:r>
        <w:rPr>
          <w:rFonts w:ascii="Arial" w:hAnsi="Times New Roman" w:eastAsia="宋体" w:cs="Arial"/>
          <w:sz w:val="26"/>
          <w:szCs w:val="26"/>
        </w:rPr>
        <w:t>工程施工机具主要以柴油和汽油为燃料，燃油施工机械设备尾气污染物主要为THC、CO、NO</w:t>
      </w:r>
      <w:r>
        <w:rPr>
          <w:rFonts w:ascii="Arial" w:hAnsi="Times New Roman" w:eastAsia="宋体" w:cs="Arial"/>
          <w:sz w:val="26"/>
          <w:szCs w:val="26"/>
          <w:vertAlign w:val="subscript"/>
        </w:rPr>
        <w:t>X</w:t>
      </w:r>
      <w:r>
        <w:rPr>
          <w:rFonts w:hint="eastAsia" w:ascii="Arial" w:hAnsi="Times New Roman" w:eastAsia="宋体" w:cs="Arial"/>
          <w:sz w:val="26"/>
          <w:szCs w:val="26"/>
          <w:lang w:eastAsia="zh-CN"/>
        </w:rPr>
        <w:t>，</w:t>
      </w:r>
      <w:r>
        <w:rPr>
          <w:rFonts w:ascii="Arial" w:hAnsi="Times New Roman" w:eastAsia="宋体" w:cs="Arial"/>
          <w:sz w:val="26"/>
          <w:szCs w:val="26"/>
        </w:rPr>
        <w:t>其排放量较小，且为不连续排放，对环境的影响较小。但施工单位必须使用污染物排放符合国家标准的运输车辆和施工设备，加强设备、车辆的维护保养，使机械、车辆处于良好工作状态严禁用报废和淘汰设备辆的维护保养，使机械、车辆处于良好工作状态，严禁使用报废车辆和淘汰设备。</w:t>
      </w:r>
    </w:p>
    <w:p w14:paraId="6D3CA418">
      <w:pPr>
        <w:spacing w:line="460" w:lineRule="exact"/>
        <w:ind w:firstLine="520" w:firstLineChars="200"/>
        <w:rPr>
          <w:rFonts w:ascii="Arial" w:hAnsi="Times New Roman" w:eastAsia="宋体" w:cs="Arial"/>
          <w:sz w:val="26"/>
          <w:szCs w:val="26"/>
        </w:rPr>
      </w:pPr>
      <w:r>
        <w:rPr>
          <w:rFonts w:ascii="Arial" w:hAnsi="Times New Roman" w:eastAsia="宋体" w:cs="Arial"/>
          <w:sz w:val="26"/>
          <w:szCs w:val="26"/>
        </w:rPr>
        <w:t>施工机械废气属于低架点源无组织排放性质，具有间断性产生、产生量较小、产生点相对分散、易被稀释扩散等特点。加之项目区施工范围相对较大，施工场地周围较空旷，大气扩散条件相对较好，故一般情况下，施工机械和运输车辆所产生的废气污染在空气中经自然扩散和稀释后，对评价区域的空气环境质量影响</w:t>
      </w:r>
      <w:r>
        <w:rPr>
          <w:rFonts w:hint="eastAsia" w:ascii="Arial" w:hAnsi="Times New Roman" w:eastAsia="宋体" w:cs="Arial"/>
          <w:sz w:val="26"/>
          <w:szCs w:val="26"/>
          <w:lang w:eastAsia="zh-CN"/>
        </w:rPr>
        <w:t>较小</w:t>
      </w:r>
      <w:r>
        <w:rPr>
          <w:rFonts w:ascii="Arial" w:hAnsi="Times New Roman" w:eastAsia="宋体" w:cs="Arial"/>
          <w:sz w:val="26"/>
          <w:szCs w:val="26"/>
        </w:rPr>
        <w:t>。</w:t>
      </w:r>
    </w:p>
    <w:p w14:paraId="7E364809">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sz w:val="26"/>
          <w:szCs w:val="26"/>
          <w:lang w:eastAsia="zh-CN"/>
        </w:rPr>
      </w:pPr>
      <w:r>
        <w:rPr>
          <w:rFonts w:hint="eastAsia" w:ascii="Arial" w:hAnsi="宋体" w:cs="Arial"/>
          <w:b/>
          <w:sz w:val="26"/>
          <w:szCs w:val="26"/>
          <w:lang w:val="en-US" w:eastAsia="zh-CN"/>
        </w:rPr>
        <w:t>5.3.2</w:t>
      </w:r>
      <w:r>
        <w:rPr>
          <w:rFonts w:hint="eastAsia" w:ascii="Arial" w:hAnsi="宋体" w:cs="Arial"/>
          <w:b/>
          <w:sz w:val="26"/>
          <w:szCs w:val="26"/>
          <w:lang w:eastAsia="zh-CN"/>
        </w:rPr>
        <w:t>施工扬尘</w:t>
      </w:r>
    </w:p>
    <w:p w14:paraId="6D36BFBC">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hAnsi="宋体" w:cs="Arial"/>
          <w:b w:val="0"/>
          <w:bCs/>
          <w:sz w:val="26"/>
          <w:szCs w:val="26"/>
        </w:rPr>
        <w:t>施工扬尘主要来自施工土石方开挖和以及水泥等易扬散物料的运输、装卸、堆放过程，主要污染物为</w:t>
      </w:r>
      <w:r>
        <w:rPr>
          <w:rFonts w:ascii="Arial" w:hAnsi="宋体" w:cs="Arial"/>
          <w:b w:val="0"/>
          <w:bCs/>
          <w:sz w:val="26"/>
          <w:szCs w:val="26"/>
        </w:rPr>
        <w:t>TSP</w:t>
      </w:r>
      <w:r>
        <w:rPr>
          <w:rFonts w:hint="eastAsia" w:ascii="Arial" w:hAnsi="宋体" w:cs="Arial"/>
          <w:b w:val="0"/>
          <w:bCs/>
          <w:sz w:val="26"/>
          <w:szCs w:val="26"/>
        </w:rPr>
        <w:t>。在不采取措施情况下，其影响范围主要在高空</w:t>
      </w:r>
      <w:r>
        <w:rPr>
          <w:rFonts w:ascii="Arial" w:hAnsi="宋体" w:cs="Arial"/>
          <w:b w:val="0"/>
          <w:bCs/>
          <w:sz w:val="26"/>
          <w:szCs w:val="26"/>
        </w:rPr>
        <w:t>10m</w:t>
      </w:r>
      <w:r>
        <w:rPr>
          <w:rFonts w:hint="eastAsia" w:ascii="Arial" w:hAnsi="宋体" w:cs="Arial"/>
          <w:b w:val="0"/>
          <w:bCs/>
          <w:sz w:val="26"/>
          <w:szCs w:val="26"/>
        </w:rPr>
        <w:t>、水平</w:t>
      </w:r>
      <w:r>
        <w:rPr>
          <w:rFonts w:ascii="Arial" w:hAnsi="宋体" w:cs="Arial"/>
          <w:b w:val="0"/>
          <w:bCs/>
          <w:sz w:val="26"/>
          <w:szCs w:val="26"/>
        </w:rPr>
        <w:t>100m</w:t>
      </w:r>
      <w:r>
        <w:rPr>
          <w:rFonts w:hint="eastAsia" w:ascii="Arial" w:hAnsi="宋体" w:cs="Arial"/>
          <w:b w:val="0"/>
          <w:bCs/>
          <w:sz w:val="26"/>
          <w:szCs w:val="26"/>
        </w:rPr>
        <w:t>范围内。施工区域内浮于空气中的粉尘被施工人员和周围居民吸入，不但会引起各种呼吸道疾病，而且粉尘可能带病原菌传染各种疾病，影响施工人员及周围居民的身体健康。</w:t>
      </w:r>
    </w:p>
    <w:p w14:paraId="1C6E15B9">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cs="Arial"/>
          <w:b w:val="0"/>
          <w:bCs/>
          <w:sz w:val="26"/>
          <w:szCs w:val="26"/>
          <w:lang w:eastAsia="zh-CN"/>
        </w:rPr>
        <w:t>本项目采取湿法作业，安排专人洒水抑尘，大风天气增加洒水频次，并采取篷布等对开挖裸露面、粉质物料堆放区等进行遮盖；硬化施工便道，安排专人清扫，运输过程中限速限载，密闭运输；物料装卸严格控制作业高度；施工场地内设置车辆冲洗装置，避免带泥上路，引起二次扬尘；及时回填、清运土石方，避免在场地内长时间暂存。在采取前述抑尘措施后，本项目施工扬尘对区域外环境影响小，且随着施工的结束而结束。</w:t>
      </w:r>
    </w:p>
    <w:p w14:paraId="3EB96C87">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sz w:val="26"/>
          <w:szCs w:val="26"/>
          <w:lang w:eastAsia="zh-CN"/>
        </w:rPr>
      </w:pPr>
      <w:r>
        <w:rPr>
          <w:rFonts w:hint="eastAsia" w:ascii="Arial" w:hAnsi="宋体" w:cs="Arial"/>
          <w:b/>
          <w:sz w:val="26"/>
          <w:szCs w:val="26"/>
          <w:lang w:val="en-US" w:eastAsia="zh-CN"/>
        </w:rPr>
        <w:t>5.3.3混凝土</w:t>
      </w:r>
      <w:r>
        <w:rPr>
          <w:rFonts w:hint="eastAsia" w:ascii="Arial" w:hAnsi="宋体" w:cs="Arial"/>
          <w:b/>
          <w:sz w:val="26"/>
          <w:szCs w:val="26"/>
          <w:lang w:eastAsia="zh-CN"/>
        </w:rPr>
        <w:t>拌合站粉尘</w:t>
      </w:r>
    </w:p>
    <w:p w14:paraId="1EA8D8A8">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val="en-US" w:eastAsia="zh-CN"/>
        </w:rPr>
      </w:pPr>
      <w:r>
        <w:rPr>
          <w:rFonts w:hint="eastAsia" w:ascii="Arial" w:hAnsi="Arial" w:cs="Arial"/>
          <w:b w:val="0"/>
          <w:bCs/>
          <w:kern w:val="0"/>
          <w:sz w:val="26"/>
          <w:szCs w:val="26"/>
          <w:lang w:val="en-US" w:eastAsia="zh-CN" w:bidi="ar-SA"/>
        </w:rPr>
        <w:t>混凝土</w:t>
      </w:r>
      <w:r>
        <w:rPr>
          <w:rFonts w:hint="eastAsia" w:ascii="Arial" w:hAnsi="Arial" w:eastAsia="宋体" w:cs="Arial"/>
          <w:b w:val="0"/>
          <w:bCs/>
          <w:kern w:val="0"/>
          <w:sz w:val="26"/>
          <w:szCs w:val="26"/>
          <w:lang w:val="en-US" w:eastAsia="zh-CN" w:bidi="ar-SA"/>
        </w:rPr>
        <w:t>拌和站粉尘主要来自砂石、水泥原料堆放、拌和装料过程，</w:t>
      </w:r>
      <w:r>
        <w:rPr>
          <w:rFonts w:hint="eastAsia" w:ascii="Arial" w:hAnsi="Arial" w:cs="Arial"/>
          <w:b w:val="0"/>
          <w:bCs/>
          <w:kern w:val="0"/>
          <w:sz w:val="26"/>
          <w:szCs w:val="26"/>
          <w:lang w:val="en-US" w:eastAsia="zh-CN" w:bidi="ar-SA"/>
        </w:rPr>
        <w:t>本评价要求施工单位采取密闭式筒仓暂存水泥、粉煤灰等粉质物料，并配置仓顶除尘器；</w:t>
      </w:r>
      <w:r>
        <w:rPr>
          <w:rFonts w:hint="eastAsia" w:ascii="Arial" w:hAnsi="Arial" w:eastAsia="宋体" w:cs="Arial"/>
          <w:b w:val="0"/>
          <w:bCs/>
          <w:kern w:val="0"/>
          <w:sz w:val="26"/>
          <w:szCs w:val="26"/>
          <w:lang w:val="en-US" w:eastAsia="zh-CN" w:bidi="ar-SA"/>
        </w:rPr>
        <w:t>对搅拌机、料斗、输送皮带及转载点设施等产尘点进行洒水降尘，原料堆放场地设置围挡和顶棚</w:t>
      </w:r>
      <w:r>
        <w:rPr>
          <w:rFonts w:hint="eastAsia" w:ascii="Arial" w:hAnsi="Arial" w:cs="Arial"/>
          <w:b w:val="0"/>
          <w:bCs/>
          <w:kern w:val="0"/>
          <w:sz w:val="26"/>
          <w:szCs w:val="26"/>
          <w:lang w:val="en-US" w:eastAsia="zh-CN" w:bidi="ar-SA"/>
        </w:rPr>
        <w:t>。经处理后，项目枢纽工程施工场地所设混凝土拌合系统粉尘排放量小，对</w:t>
      </w:r>
      <w:r>
        <w:rPr>
          <w:rFonts w:hint="eastAsia" w:ascii="Arial" w:cs="Arial"/>
          <w:b w:val="0"/>
          <w:bCs/>
          <w:sz w:val="26"/>
          <w:szCs w:val="26"/>
          <w:lang w:eastAsia="zh-CN"/>
        </w:rPr>
        <w:t>区域外环境影响小，且随着施工的结束而结束。</w:t>
      </w:r>
    </w:p>
    <w:p w14:paraId="2AC1F9C0">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hAnsi="宋体" w:cs="Arial"/>
          <w:b/>
          <w:sz w:val="26"/>
          <w:szCs w:val="26"/>
          <w:lang w:val="en-US" w:eastAsia="zh-CN"/>
        </w:rPr>
        <w:t>5.3.4生活燃料废气</w:t>
      </w:r>
    </w:p>
    <w:p w14:paraId="33BEEE95">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hAnsi="Arial" w:cs="Arial"/>
          <w:b w:val="0"/>
          <w:bCs/>
          <w:sz w:val="26"/>
          <w:szCs w:val="26"/>
          <w:lang w:val="en-US" w:eastAsia="zh-CN"/>
        </w:rPr>
        <w:t>本项目租赁项目区已有居民房屋作施工营地，施工人员就近招用，仅少量管理、施工人员在施工营地内食宿，供热及生活主要采取电、液化石油气等清洁能源，排放废气少。</w:t>
      </w:r>
    </w:p>
    <w:p w14:paraId="535157E0">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hAnsi="宋体" w:cs="Arial"/>
          <w:b/>
          <w:sz w:val="26"/>
          <w:szCs w:val="26"/>
          <w:lang w:val="en-US" w:eastAsia="zh-CN"/>
        </w:rPr>
        <w:t>5.3.5小结</w:t>
      </w:r>
    </w:p>
    <w:p w14:paraId="56E6131D">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cs="Arial"/>
          <w:b w:val="0"/>
          <w:bCs/>
          <w:sz w:val="26"/>
          <w:szCs w:val="26"/>
          <w:lang w:eastAsia="zh-CN"/>
        </w:rPr>
        <w:t>本项目施工期各类废气均可得到合理有效的处置，粉尘、燃油废气等外排量较小，经稀释扩散后，对区域外环境影响小，且随着施工的结束而结束。</w:t>
      </w:r>
    </w:p>
    <w:p w14:paraId="4DFD1FC0">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default" w:ascii="Arial" w:hAnsi="Arial" w:eastAsia="宋体" w:cs="Arial"/>
          <w:sz w:val="26"/>
          <w:szCs w:val="26"/>
        </w:rPr>
        <w:t>5.</w:t>
      </w:r>
      <w:r>
        <w:rPr>
          <w:rFonts w:hint="eastAsia" w:ascii="Arial" w:hAnsi="Arial" w:cs="Arial"/>
          <w:sz w:val="26"/>
          <w:szCs w:val="26"/>
          <w:lang w:val="en-US" w:eastAsia="zh-CN"/>
        </w:rPr>
        <w:t>4</w:t>
      </w:r>
      <w:r>
        <w:rPr>
          <w:rFonts w:hint="eastAsia" w:ascii="Arial" w:hAnsi="Arial" w:eastAsia="宋体" w:cs="Arial"/>
          <w:sz w:val="26"/>
          <w:szCs w:val="26"/>
        </w:rPr>
        <w:t>施工期</w:t>
      </w:r>
      <w:r>
        <w:rPr>
          <w:rFonts w:hint="eastAsia" w:ascii="Arial" w:hAnsi="Arial" w:cs="Arial"/>
          <w:sz w:val="26"/>
          <w:szCs w:val="26"/>
          <w:lang w:eastAsia="zh-CN"/>
        </w:rPr>
        <w:t>声环境影响分析</w:t>
      </w:r>
    </w:p>
    <w:p w14:paraId="06014AB9">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hAnsi="宋体" w:cs="Arial"/>
          <w:b/>
          <w:sz w:val="26"/>
          <w:szCs w:val="26"/>
          <w:lang w:val="en-US" w:eastAsia="zh-CN"/>
        </w:rPr>
        <w:t>5.4.1噪声源强分析</w:t>
      </w:r>
    </w:p>
    <w:p w14:paraId="4D5E3324">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default" w:ascii="Arial" w:cs="Arial"/>
          <w:b w:val="0"/>
          <w:bCs/>
          <w:sz w:val="26"/>
          <w:szCs w:val="26"/>
          <w:lang w:eastAsia="zh-CN"/>
        </w:rPr>
        <w:t>施工期噪声源</w:t>
      </w:r>
      <w:r>
        <w:rPr>
          <w:rFonts w:hint="eastAsia" w:ascii="Arial" w:cs="Arial"/>
          <w:b w:val="0"/>
          <w:bCs/>
          <w:sz w:val="26"/>
          <w:szCs w:val="26"/>
          <w:lang w:eastAsia="zh-CN"/>
        </w:rPr>
        <w:t>主要</w:t>
      </w:r>
      <w:r>
        <w:rPr>
          <w:rFonts w:hint="default" w:ascii="Arial" w:cs="Arial"/>
          <w:b w:val="0"/>
          <w:bCs/>
          <w:sz w:val="26"/>
          <w:szCs w:val="26"/>
          <w:lang w:eastAsia="zh-CN"/>
        </w:rPr>
        <w:t>有挖掘机、破碎机、夯实机、振动碾、钻机、起重机</w:t>
      </w:r>
      <w:r>
        <w:rPr>
          <w:rFonts w:hint="eastAsia" w:ascii="Arial" w:cs="Arial"/>
          <w:b w:val="0"/>
          <w:bCs/>
          <w:sz w:val="26"/>
          <w:szCs w:val="26"/>
          <w:lang w:eastAsia="zh-CN"/>
        </w:rPr>
        <w:t>、</w:t>
      </w:r>
      <w:r>
        <w:rPr>
          <w:rFonts w:hint="default" w:ascii="Arial" w:cs="Arial"/>
          <w:b w:val="0"/>
          <w:bCs/>
          <w:sz w:val="26"/>
          <w:szCs w:val="26"/>
          <w:lang w:eastAsia="zh-CN"/>
        </w:rPr>
        <w:t>运输用载重汽车，</w:t>
      </w:r>
      <w:r>
        <w:rPr>
          <w:rFonts w:hint="eastAsia" w:ascii="Arial" w:cs="Arial"/>
          <w:b w:val="0"/>
          <w:bCs/>
          <w:sz w:val="26"/>
          <w:szCs w:val="26"/>
          <w:lang w:eastAsia="zh-CN"/>
        </w:rPr>
        <w:t>噪声源强</w:t>
      </w:r>
      <w:r>
        <w:rPr>
          <w:rFonts w:hint="eastAsia" w:ascii="Arial" w:cs="Arial"/>
          <w:b w:val="0"/>
          <w:bCs/>
          <w:sz w:val="26"/>
          <w:szCs w:val="26"/>
          <w:lang w:val="en-US" w:eastAsia="zh-CN"/>
        </w:rPr>
        <w:t>75~120dB（A），</w:t>
      </w:r>
      <w:r>
        <w:rPr>
          <w:rFonts w:hint="eastAsia" w:ascii="Arial" w:cs="Arial"/>
          <w:b w:val="0"/>
          <w:bCs/>
          <w:sz w:val="26"/>
          <w:szCs w:val="26"/>
          <w:lang w:eastAsia="zh-CN"/>
        </w:rPr>
        <w:t>噪声源强详见表</w:t>
      </w:r>
      <w:r>
        <w:rPr>
          <w:rFonts w:hint="eastAsia" w:ascii="Arial" w:cs="Arial"/>
          <w:b w:val="0"/>
          <w:bCs/>
          <w:sz w:val="26"/>
          <w:szCs w:val="26"/>
          <w:lang w:val="en-US" w:eastAsia="zh-CN"/>
        </w:rPr>
        <w:t>3.1-4所示</w:t>
      </w:r>
      <w:r>
        <w:rPr>
          <w:rFonts w:hint="default" w:ascii="Arial" w:cs="Arial"/>
          <w:b w:val="0"/>
          <w:bCs/>
          <w:sz w:val="26"/>
          <w:szCs w:val="26"/>
          <w:lang w:eastAsia="zh-CN"/>
        </w:rPr>
        <w:t>。</w:t>
      </w:r>
    </w:p>
    <w:p w14:paraId="573F53E7">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hAnsi="宋体" w:cs="Arial"/>
          <w:b/>
          <w:sz w:val="26"/>
          <w:szCs w:val="26"/>
          <w:lang w:val="en-US" w:eastAsia="zh-CN"/>
        </w:rPr>
        <w:t>5.4.2施工场界噪声影响预测</w:t>
      </w:r>
    </w:p>
    <w:p w14:paraId="2B0BED79">
      <w:pPr>
        <w:pStyle w:val="73"/>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ascii="Arial" w:hAnsi="Times New Roman" w:eastAsia="宋体" w:cs="Arial"/>
          <w:b w:val="0"/>
          <w:bCs w:val="0"/>
          <w:color w:val="auto"/>
          <w:sz w:val="26"/>
          <w:szCs w:val="26"/>
        </w:rPr>
      </w:pPr>
      <w:r>
        <w:rPr>
          <w:rFonts w:hint="eastAsia" w:ascii="Arial" w:hAnsi="Times New Roman" w:eastAsia="宋体" w:cs="Arial"/>
          <w:b w:val="0"/>
          <w:bCs w:val="0"/>
          <w:color w:val="auto"/>
          <w:sz w:val="26"/>
          <w:szCs w:val="26"/>
          <w:lang w:val="en-US" w:eastAsia="zh-CN"/>
        </w:rPr>
        <w:t>施工机械噪声可近似作为点声源处理，根据点声源噪声传播衰减模式，可估算施工期间离噪声声源不同距离处的噪声值，从而可就施工噪声对敏感点的影响作出分析评价。本次预测主要考虑点声源的几何发散衰减，预测模式如下：</w:t>
      </w:r>
    </w:p>
    <w:p w14:paraId="586BD761">
      <w:pPr>
        <w:pStyle w:val="73"/>
        <w:keepNext w:val="0"/>
        <w:keepLines w:val="0"/>
        <w:pageBreakBefore w:val="0"/>
        <w:widowControl w:val="0"/>
        <w:kinsoku/>
        <w:wordWrap/>
        <w:overflowPunct/>
        <w:topLinePunct w:val="0"/>
        <w:autoSpaceDE/>
        <w:autoSpaceDN/>
        <w:bidi w:val="0"/>
        <w:adjustRightInd/>
        <w:snapToGrid/>
        <w:spacing w:line="460" w:lineRule="exact"/>
        <w:ind w:firstLine="520" w:firstLineChars="200"/>
        <w:jc w:val="center"/>
        <w:textAlignment w:val="auto"/>
        <w:rPr>
          <w:rFonts w:hint="eastAsia" w:ascii="Arial" w:hAnsi="Times New Roman" w:eastAsia="宋体" w:cs="Arial"/>
          <w:b w:val="0"/>
          <w:bCs w:val="0"/>
          <w:color w:val="auto"/>
          <w:sz w:val="26"/>
          <w:szCs w:val="26"/>
          <w:lang w:val="en-US" w:eastAsia="zh-CN"/>
        </w:rPr>
      </w:pPr>
      <w:r>
        <w:rPr>
          <w:rFonts w:hint="eastAsia" w:ascii="Arial" w:hAnsi="Times New Roman" w:eastAsia="宋体" w:cs="Arial"/>
          <w:b w:val="0"/>
          <w:bCs w:val="0"/>
          <w:color w:val="auto"/>
          <w:sz w:val="26"/>
          <w:szCs w:val="26"/>
          <w:lang w:val="en-US" w:eastAsia="zh-CN"/>
        </w:rPr>
        <w:t>L</w:t>
      </w:r>
      <w:r>
        <w:rPr>
          <w:rFonts w:hint="eastAsia" w:ascii="Arial" w:hAnsi="Times New Roman" w:eastAsia="宋体" w:cs="Arial"/>
          <w:b w:val="0"/>
          <w:bCs w:val="0"/>
          <w:color w:val="auto"/>
          <w:sz w:val="26"/>
          <w:szCs w:val="26"/>
          <w:vertAlign w:val="subscript"/>
          <w:lang w:val="en-US" w:eastAsia="zh-CN"/>
        </w:rPr>
        <w:t>A</w:t>
      </w:r>
      <w:r>
        <w:rPr>
          <w:rFonts w:hint="eastAsia" w:ascii="Arial" w:hAnsi="Times New Roman" w:eastAsia="宋体" w:cs="Arial"/>
          <w:b w:val="0"/>
          <w:bCs w:val="0"/>
          <w:color w:val="auto"/>
          <w:sz w:val="26"/>
          <w:szCs w:val="26"/>
          <w:lang w:val="en-US" w:eastAsia="zh-CN"/>
        </w:rPr>
        <w:t>（r）=L</w:t>
      </w:r>
      <w:r>
        <w:rPr>
          <w:rFonts w:hint="eastAsia" w:ascii="Arial" w:hAnsi="Times New Roman" w:eastAsia="宋体" w:cs="Arial"/>
          <w:b w:val="0"/>
          <w:bCs w:val="0"/>
          <w:color w:val="auto"/>
          <w:sz w:val="26"/>
          <w:szCs w:val="26"/>
          <w:vertAlign w:val="subscript"/>
          <w:lang w:val="en-US" w:eastAsia="zh-CN"/>
        </w:rPr>
        <w:t>A</w:t>
      </w:r>
      <w:r>
        <w:rPr>
          <w:rFonts w:hint="eastAsia" w:ascii="Arial" w:hAnsi="Times New Roman" w:eastAsia="宋体" w:cs="Arial"/>
          <w:b w:val="0"/>
          <w:bCs w:val="0"/>
          <w:color w:val="auto"/>
          <w:sz w:val="26"/>
          <w:szCs w:val="26"/>
          <w:lang w:val="en-US" w:eastAsia="zh-CN"/>
        </w:rPr>
        <w:t>（r</w:t>
      </w:r>
      <w:r>
        <w:rPr>
          <w:rFonts w:hint="eastAsia" w:ascii="Arial" w:hAnsi="Times New Roman" w:eastAsia="宋体" w:cs="Arial"/>
          <w:b w:val="0"/>
          <w:bCs w:val="0"/>
          <w:color w:val="auto"/>
          <w:sz w:val="26"/>
          <w:szCs w:val="26"/>
          <w:vertAlign w:val="subscript"/>
          <w:lang w:val="en-US" w:eastAsia="zh-CN"/>
        </w:rPr>
        <w:t>0</w:t>
      </w:r>
      <w:r>
        <w:rPr>
          <w:rFonts w:hint="eastAsia" w:ascii="Arial" w:hAnsi="Times New Roman" w:eastAsia="宋体" w:cs="Arial"/>
          <w:b w:val="0"/>
          <w:bCs w:val="0"/>
          <w:color w:val="auto"/>
          <w:sz w:val="26"/>
          <w:szCs w:val="26"/>
          <w:lang w:val="en-US" w:eastAsia="zh-CN"/>
        </w:rPr>
        <w:t>）-20lg（r/r0）</w:t>
      </w:r>
    </w:p>
    <w:p w14:paraId="2EF628C4">
      <w:pPr>
        <w:pStyle w:val="73"/>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Arial" w:hAnsi="Times New Roman" w:eastAsia="宋体" w:cs="Arial"/>
          <w:b w:val="0"/>
          <w:bCs w:val="0"/>
          <w:color w:val="auto"/>
          <w:sz w:val="26"/>
          <w:szCs w:val="26"/>
          <w:lang w:val="en-US" w:eastAsia="zh-CN"/>
        </w:rPr>
      </w:pPr>
      <w:r>
        <w:rPr>
          <w:rFonts w:hint="eastAsia" w:ascii="Arial" w:hAnsi="Times New Roman" w:eastAsia="宋体" w:cs="Arial"/>
          <w:b w:val="0"/>
          <w:bCs w:val="0"/>
          <w:color w:val="auto"/>
          <w:sz w:val="26"/>
          <w:szCs w:val="26"/>
          <w:lang w:val="en-US" w:eastAsia="zh-CN"/>
        </w:rPr>
        <w:t>式中：L</w:t>
      </w:r>
      <w:r>
        <w:rPr>
          <w:rFonts w:hint="eastAsia" w:ascii="Arial" w:hAnsi="Times New Roman" w:eastAsia="宋体" w:cs="Arial"/>
          <w:b w:val="0"/>
          <w:bCs w:val="0"/>
          <w:color w:val="auto"/>
          <w:sz w:val="26"/>
          <w:szCs w:val="26"/>
          <w:vertAlign w:val="subscript"/>
          <w:lang w:val="en-US" w:eastAsia="zh-CN"/>
        </w:rPr>
        <w:t>A</w:t>
      </w:r>
      <w:r>
        <w:rPr>
          <w:rFonts w:hint="eastAsia" w:ascii="Arial" w:hAnsi="Times New Roman" w:eastAsia="宋体" w:cs="Arial"/>
          <w:b w:val="0"/>
          <w:bCs w:val="0"/>
          <w:color w:val="auto"/>
          <w:sz w:val="26"/>
          <w:szCs w:val="26"/>
          <w:lang w:val="en-US" w:eastAsia="zh-CN"/>
        </w:rPr>
        <w:t>（r）——预测点声压级，dB</w:t>
      </w:r>
      <w:r>
        <w:rPr>
          <w:rFonts w:hint="eastAsia" w:ascii="宋体" w:hAnsi="宋体" w:eastAsia="宋体" w:cs="宋体"/>
          <w:b w:val="0"/>
          <w:bCs w:val="0"/>
          <w:color w:val="auto"/>
          <w:sz w:val="26"/>
          <w:szCs w:val="26"/>
          <w:lang w:val="en-US" w:eastAsia="zh-CN"/>
        </w:rPr>
        <w:t>(</w:t>
      </w:r>
      <w:r>
        <w:rPr>
          <w:rFonts w:hint="eastAsia" w:ascii="Arial" w:hAnsi="Times New Roman" w:eastAsia="宋体" w:cs="Arial"/>
          <w:b w:val="0"/>
          <w:bCs w:val="0"/>
          <w:color w:val="auto"/>
          <w:sz w:val="26"/>
          <w:szCs w:val="26"/>
          <w:lang w:val="en-US" w:eastAsia="zh-CN"/>
        </w:rPr>
        <w:t>A</w:t>
      </w:r>
      <w:r>
        <w:rPr>
          <w:rFonts w:hint="eastAsia" w:ascii="宋体" w:hAnsi="宋体" w:eastAsia="宋体" w:cs="宋体"/>
          <w:b w:val="0"/>
          <w:bCs w:val="0"/>
          <w:color w:val="auto"/>
          <w:sz w:val="26"/>
          <w:szCs w:val="26"/>
          <w:lang w:val="en-US" w:eastAsia="zh-CN"/>
        </w:rPr>
        <w:t>)</w:t>
      </w:r>
      <w:r>
        <w:rPr>
          <w:rFonts w:hint="eastAsia" w:ascii="Arial" w:hAnsi="Times New Roman" w:eastAsia="宋体" w:cs="Arial"/>
          <w:b w:val="0"/>
          <w:bCs w:val="0"/>
          <w:color w:val="auto"/>
          <w:sz w:val="26"/>
          <w:szCs w:val="26"/>
          <w:lang w:val="en-US" w:eastAsia="zh-CN"/>
        </w:rPr>
        <w:t>；</w:t>
      </w:r>
    </w:p>
    <w:p w14:paraId="19E36072">
      <w:pPr>
        <w:pStyle w:val="73"/>
        <w:keepNext w:val="0"/>
        <w:keepLines w:val="0"/>
        <w:pageBreakBefore w:val="0"/>
        <w:widowControl w:val="0"/>
        <w:kinsoku/>
        <w:wordWrap/>
        <w:overflowPunct/>
        <w:topLinePunct w:val="0"/>
        <w:autoSpaceDE/>
        <w:autoSpaceDN/>
        <w:bidi w:val="0"/>
        <w:adjustRightInd/>
        <w:snapToGrid/>
        <w:spacing w:line="460" w:lineRule="exact"/>
        <w:ind w:firstLine="1300" w:firstLineChars="500"/>
        <w:jc w:val="both"/>
        <w:textAlignment w:val="auto"/>
        <w:rPr>
          <w:rFonts w:hint="eastAsia" w:ascii="Arial" w:hAnsi="Times New Roman" w:eastAsia="宋体" w:cs="Arial"/>
          <w:b w:val="0"/>
          <w:bCs w:val="0"/>
          <w:color w:val="auto"/>
          <w:sz w:val="26"/>
          <w:szCs w:val="26"/>
          <w:lang w:val="en-US" w:eastAsia="zh-CN"/>
        </w:rPr>
      </w:pPr>
      <w:r>
        <w:rPr>
          <w:rFonts w:hint="eastAsia" w:ascii="Arial" w:hAnsi="Times New Roman" w:eastAsia="宋体" w:cs="Arial"/>
          <w:b w:val="0"/>
          <w:bCs w:val="0"/>
          <w:color w:val="auto"/>
          <w:sz w:val="26"/>
          <w:szCs w:val="26"/>
          <w:lang w:val="en-US" w:eastAsia="zh-CN"/>
        </w:rPr>
        <w:t>L</w:t>
      </w:r>
      <w:r>
        <w:rPr>
          <w:rFonts w:hint="eastAsia" w:ascii="Arial" w:hAnsi="Times New Roman" w:eastAsia="宋体" w:cs="Arial"/>
          <w:b w:val="0"/>
          <w:bCs w:val="0"/>
          <w:color w:val="auto"/>
          <w:sz w:val="26"/>
          <w:szCs w:val="26"/>
          <w:vertAlign w:val="subscript"/>
          <w:lang w:val="en-US" w:eastAsia="zh-CN"/>
        </w:rPr>
        <w:t>A</w:t>
      </w:r>
      <w:r>
        <w:rPr>
          <w:rFonts w:hint="eastAsia" w:ascii="Arial" w:hAnsi="Times New Roman" w:eastAsia="宋体" w:cs="Arial"/>
          <w:b w:val="0"/>
          <w:bCs w:val="0"/>
          <w:color w:val="auto"/>
          <w:sz w:val="26"/>
          <w:szCs w:val="26"/>
          <w:lang w:val="en-US" w:eastAsia="zh-CN"/>
        </w:rPr>
        <w:t>（r</w:t>
      </w:r>
      <w:r>
        <w:rPr>
          <w:rFonts w:hint="eastAsia" w:ascii="Arial" w:hAnsi="Times New Roman" w:eastAsia="宋体" w:cs="Arial"/>
          <w:b w:val="0"/>
          <w:bCs w:val="0"/>
          <w:color w:val="auto"/>
          <w:sz w:val="26"/>
          <w:szCs w:val="26"/>
          <w:vertAlign w:val="subscript"/>
          <w:lang w:val="en-US" w:eastAsia="zh-CN"/>
        </w:rPr>
        <w:t>0</w:t>
      </w:r>
      <w:r>
        <w:rPr>
          <w:rFonts w:hint="eastAsia" w:ascii="Arial" w:hAnsi="Times New Roman" w:eastAsia="宋体" w:cs="Arial"/>
          <w:b w:val="0"/>
          <w:bCs w:val="0"/>
          <w:color w:val="auto"/>
          <w:sz w:val="26"/>
          <w:szCs w:val="26"/>
          <w:lang w:val="en-US" w:eastAsia="zh-CN"/>
        </w:rPr>
        <w:t>）——参考位置r0处的噪声源强，dB</w:t>
      </w:r>
      <w:r>
        <w:rPr>
          <w:rFonts w:hint="eastAsia" w:ascii="宋体" w:hAnsi="宋体" w:eastAsia="宋体" w:cs="宋体"/>
          <w:b w:val="0"/>
          <w:bCs w:val="0"/>
          <w:color w:val="auto"/>
          <w:sz w:val="26"/>
          <w:szCs w:val="26"/>
          <w:lang w:val="en-US" w:eastAsia="zh-CN"/>
        </w:rPr>
        <w:t>(</w:t>
      </w:r>
      <w:r>
        <w:rPr>
          <w:rFonts w:hint="eastAsia" w:ascii="Arial" w:hAnsi="Times New Roman" w:eastAsia="宋体" w:cs="Arial"/>
          <w:b w:val="0"/>
          <w:bCs w:val="0"/>
          <w:color w:val="auto"/>
          <w:sz w:val="26"/>
          <w:szCs w:val="26"/>
          <w:lang w:val="en-US" w:eastAsia="zh-CN"/>
        </w:rPr>
        <w:t>A</w:t>
      </w:r>
      <w:r>
        <w:rPr>
          <w:rFonts w:hint="eastAsia" w:ascii="宋体" w:hAnsi="宋体" w:eastAsia="宋体" w:cs="宋体"/>
          <w:b w:val="0"/>
          <w:bCs w:val="0"/>
          <w:color w:val="auto"/>
          <w:sz w:val="26"/>
          <w:szCs w:val="26"/>
          <w:lang w:val="en-US" w:eastAsia="zh-CN"/>
        </w:rPr>
        <w:t>)</w:t>
      </w:r>
      <w:r>
        <w:rPr>
          <w:rFonts w:hint="eastAsia" w:ascii="Arial" w:hAnsi="Times New Roman" w:eastAsia="宋体" w:cs="Arial"/>
          <w:b w:val="0"/>
          <w:bCs w:val="0"/>
          <w:color w:val="auto"/>
          <w:sz w:val="26"/>
          <w:szCs w:val="26"/>
          <w:lang w:val="en-US" w:eastAsia="zh-CN"/>
        </w:rPr>
        <w:t>；</w:t>
      </w:r>
    </w:p>
    <w:p w14:paraId="112537AD">
      <w:pPr>
        <w:pStyle w:val="73"/>
        <w:keepNext w:val="0"/>
        <w:keepLines w:val="0"/>
        <w:pageBreakBefore w:val="0"/>
        <w:widowControl w:val="0"/>
        <w:kinsoku/>
        <w:wordWrap/>
        <w:overflowPunct/>
        <w:topLinePunct w:val="0"/>
        <w:autoSpaceDE/>
        <w:autoSpaceDN/>
        <w:bidi w:val="0"/>
        <w:adjustRightInd/>
        <w:snapToGrid/>
        <w:spacing w:line="460" w:lineRule="exact"/>
        <w:ind w:firstLine="1300" w:firstLineChars="500"/>
        <w:jc w:val="both"/>
        <w:textAlignment w:val="auto"/>
        <w:rPr>
          <w:rFonts w:hint="default" w:ascii="Arial" w:hAnsi="Times New Roman" w:eastAsia="宋体" w:cs="Arial"/>
          <w:b w:val="0"/>
          <w:bCs w:val="0"/>
          <w:color w:val="auto"/>
          <w:sz w:val="26"/>
          <w:szCs w:val="26"/>
          <w:lang w:val="en-US" w:eastAsia="zh-CN"/>
        </w:rPr>
      </w:pPr>
      <w:r>
        <w:rPr>
          <w:rFonts w:hint="eastAsia" w:ascii="Arial" w:hAnsi="Times New Roman" w:eastAsia="宋体" w:cs="Arial"/>
          <w:b w:val="0"/>
          <w:bCs w:val="0"/>
          <w:color w:val="auto"/>
          <w:sz w:val="26"/>
          <w:szCs w:val="26"/>
          <w:lang w:val="en-US" w:eastAsia="zh-CN"/>
        </w:rPr>
        <w:t>r——预测点离噪声源的距离，m；</w:t>
      </w:r>
    </w:p>
    <w:p w14:paraId="2F52934C">
      <w:pPr>
        <w:pStyle w:val="73"/>
        <w:keepNext w:val="0"/>
        <w:keepLines w:val="0"/>
        <w:pageBreakBefore w:val="0"/>
        <w:widowControl w:val="0"/>
        <w:kinsoku/>
        <w:wordWrap/>
        <w:overflowPunct/>
        <w:topLinePunct w:val="0"/>
        <w:autoSpaceDE/>
        <w:autoSpaceDN/>
        <w:bidi w:val="0"/>
        <w:adjustRightInd/>
        <w:snapToGrid/>
        <w:spacing w:line="460" w:lineRule="exact"/>
        <w:ind w:firstLine="1300" w:firstLineChars="500"/>
        <w:jc w:val="both"/>
        <w:textAlignment w:val="auto"/>
        <w:rPr>
          <w:rFonts w:hint="eastAsia" w:ascii="Arial" w:hAnsi="Times New Roman" w:eastAsia="宋体" w:cs="Arial"/>
          <w:b w:val="0"/>
          <w:bCs w:val="0"/>
          <w:color w:val="auto"/>
          <w:sz w:val="26"/>
          <w:szCs w:val="26"/>
          <w:lang w:val="en-US" w:eastAsia="zh-CN"/>
        </w:rPr>
      </w:pPr>
      <w:r>
        <w:rPr>
          <w:rFonts w:hint="eastAsia" w:ascii="Arial" w:hAnsi="Times New Roman" w:eastAsia="宋体" w:cs="Arial"/>
          <w:b w:val="0"/>
          <w:bCs w:val="0"/>
          <w:color w:val="auto"/>
          <w:sz w:val="26"/>
          <w:szCs w:val="26"/>
          <w:lang w:val="en-US" w:eastAsia="zh-CN"/>
        </w:rPr>
        <w:t>r</w:t>
      </w:r>
      <w:r>
        <w:rPr>
          <w:rFonts w:hint="eastAsia" w:ascii="Arial" w:hAnsi="Times New Roman" w:eastAsia="宋体" w:cs="Arial"/>
          <w:b w:val="0"/>
          <w:bCs w:val="0"/>
          <w:color w:val="auto"/>
          <w:sz w:val="26"/>
          <w:szCs w:val="26"/>
          <w:vertAlign w:val="subscript"/>
          <w:lang w:val="en-US" w:eastAsia="zh-CN"/>
        </w:rPr>
        <w:t>0</w:t>
      </w:r>
      <w:r>
        <w:rPr>
          <w:rFonts w:hint="eastAsia" w:ascii="Arial" w:hAnsi="Times New Roman" w:eastAsia="宋体" w:cs="Arial"/>
          <w:b w:val="0"/>
          <w:bCs w:val="0"/>
          <w:color w:val="auto"/>
          <w:sz w:val="26"/>
          <w:szCs w:val="26"/>
          <w:lang w:val="en-US" w:eastAsia="zh-CN"/>
        </w:rPr>
        <w:t>——参考位置距声源的距离，m。</w:t>
      </w:r>
    </w:p>
    <w:p w14:paraId="0452B0EB">
      <w:pPr>
        <w:pStyle w:val="73"/>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Times New Roman" w:eastAsia="宋体" w:cs="Arial"/>
          <w:b w:val="0"/>
          <w:bCs w:val="0"/>
          <w:color w:val="auto"/>
          <w:sz w:val="26"/>
          <w:szCs w:val="26"/>
          <w:lang w:val="en-US" w:eastAsia="zh-CN"/>
        </w:rPr>
      </w:pPr>
      <w:r>
        <w:rPr>
          <w:rFonts w:hint="eastAsia" w:ascii="Arial" w:hAnsi="Times New Roman" w:eastAsia="宋体" w:cs="Arial"/>
          <w:b w:val="0"/>
          <w:bCs w:val="0"/>
          <w:color w:val="auto"/>
          <w:sz w:val="26"/>
          <w:szCs w:val="26"/>
          <w:lang w:val="en-US" w:eastAsia="zh-CN"/>
        </w:rPr>
        <w:t>主要施工机械运行噪声预测值详见表5.4-1所示。</w:t>
      </w:r>
    </w:p>
    <w:p w14:paraId="52CEF427">
      <w:pPr>
        <w:pStyle w:val="100"/>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cs="Arial"/>
          <w:b w:val="0"/>
          <w:bCs/>
          <w:sz w:val="26"/>
          <w:szCs w:val="26"/>
          <w:lang w:eastAsia="zh-CN"/>
        </w:rPr>
      </w:pPr>
      <w:r>
        <w:rPr>
          <w:rFonts w:hint="eastAsia" w:ascii="Arial" w:hAnsi="Arial" w:eastAsia="宋体" w:cs="Arial"/>
          <w:b/>
          <w:bCs/>
          <w:color w:val="auto"/>
          <w:sz w:val="26"/>
          <w:szCs w:val="26"/>
          <w:lang w:val="en-US" w:eastAsia="zh-CN"/>
        </w:rPr>
        <w:t>表5.4-1主要施工机械噪声级随距离衰减预测  单位：dB（A）</w:t>
      </w:r>
    </w:p>
    <w:tbl>
      <w:tblPr>
        <w:tblStyle w:val="77"/>
        <w:tblW w:w="487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788"/>
        <w:gridCol w:w="810"/>
        <w:gridCol w:w="810"/>
        <w:gridCol w:w="810"/>
        <w:gridCol w:w="769"/>
        <w:gridCol w:w="971"/>
        <w:gridCol w:w="971"/>
        <w:gridCol w:w="968"/>
      </w:tblGrid>
      <w:tr w14:paraId="33496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vMerge w:val="restart"/>
            <w:tcBorders>
              <w:tl2br w:val="nil"/>
              <w:tr2bl w:val="nil"/>
            </w:tcBorders>
            <w:noWrap/>
            <w:vAlign w:val="center"/>
          </w:tcPr>
          <w:p w14:paraId="4532D112">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rPr>
            </w:pPr>
            <w:r>
              <w:rPr>
                <w:rFonts w:hint="default" w:ascii="Arial" w:hAnsi="Arial" w:eastAsia="宋体" w:cs="Arial"/>
                <w:color w:val="auto"/>
                <w:sz w:val="22"/>
                <w:szCs w:val="22"/>
              </w:rPr>
              <w:t>机械类型</w:t>
            </w:r>
          </w:p>
        </w:tc>
        <w:tc>
          <w:tcPr>
            <w:tcW w:w="3910" w:type="pct"/>
            <w:gridSpan w:val="8"/>
            <w:tcBorders>
              <w:tl2br w:val="nil"/>
              <w:tr2bl w:val="nil"/>
            </w:tcBorders>
            <w:noWrap w:val="0"/>
            <w:vAlign w:val="center"/>
          </w:tcPr>
          <w:p w14:paraId="3FED2AEE">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rPr>
            </w:pPr>
            <w:r>
              <w:rPr>
                <w:rFonts w:hint="default" w:ascii="Arial" w:hAnsi="Arial" w:eastAsia="宋体" w:cs="Arial"/>
                <w:color w:val="auto"/>
                <w:sz w:val="22"/>
                <w:szCs w:val="22"/>
              </w:rPr>
              <w:t>距施工机械的距离</w:t>
            </w:r>
          </w:p>
        </w:tc>
      </w:tr>
      <w:tr w14:paraId="60558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vMerge w:val="continue"/>
            <w:tcBorders>
              <w:tl2br w:val="nil"/>
              <w:tr2bl w:val="nil"/>
            </w:tcBorders>
            <w:noWrap/>
            <w:vAlign w:val="center"/>
          </w:tcPr>
          <w:p w14:paraId="17CF81BA">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rPr>
            </w:pPr>
          </w:p>
        </w:tc>
        <w:tc>
          <w:tcPr>
            <w:tcW w:w="446" w:type="pct"/>
            <w:tcBorders>
              <w:tl2br w:val="nil"/>
              <w:tr2bl w:val="nil"/>
            </w:tcBorders>
            <w:noWrap/>
            <w:vAlign w:val="center"/>
          </w:tcPr>
          <w:p w14:paraId="511FCDBD">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lang w:val="en-US" w:eastAsia="zh-CN"/>
              </w:rPr>
            </w:pPr>
            <w:r>
              <w:rPr>
                <w:rFonts w:hint="default" w:ascii="Arial" w:hAnsi="Arial" w:eastAsia="宋体" w:cs="Arial"/>
                <w:color w:val="auto"/>
                <w:sz w:val="22"/>
                <w:szCs w:val="22"/>
                <w:lang w:val="en-US" w:eastAsia="zh-CN"/>
              </w:rPr>
              <w:t>10m</w:t>
            </w:r>
          </w:p>
        </w:tc>
        <w:tc>
          <w:tcPr>
            <w:tcW w:w="459" w:type="pct"/>
            <w:tcBorders>
              <w:tl2br w:val="nil"/>
              <w:tr2bl w:val="nil"/>
            </w:tcBorders>
            <w:noWrap/>
            <w:vAlign w:val="center"/>
          </w:tcPr>
          <w:p w14:paraId="51B587A5">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lang w:val="en-US" w:eastAsia="zh-CN"/>
              </w:rPr>
            </w:pPr>
            <w:r>
              <w:rPr>
                <w:rFonts w:hint="default" w:ascii="Arial" w:hAnsi="Arial" w:eastAsia="宋体" w:cs="Arial"/>
                <w:color w:val="auto"/>
                <w:sz w:val="22"/>
                <w:szCs w:val="22"/>
                <w:lang w:val="en-US" w:eastAsia="zh-CN"/>
              </w:rPr>
              <w:t>20m</w:t>
            </w:r>
          </w:p>
        </w:tc>
        <w:tc>
          <w:tcPr>
            <w:tcW w:w="459" w:type="pct"/>
            <w:tcBorders>
              <w:tl2br w:val="nil"/>
              <w:tr2bl w:val="nil"/>
            </w:tcBorders>
            <w:noWrap/>
            <w:vAlign w:val="center"/>
          </w:tcPr>
          <w:p w14:paraId="2803BB68">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lang w:val="en-US" w:eastAsia="zh-CN"/>
              </w:rPr>
            </w:pPr>
            <w:r>
              <w:rPr>
                <w:rFonts w:hint="default" w:ascii="Arial" w:hAnsi="Arial" w:eastAsia="宋体" w:cs="Arial"/>
                <w:color w:val="auto"/>
                <w:sz w:val="22"/>
                <w:szCs w:val="22"/>
                <w:lang w:val="en-US" w:eastAsia="zh-CN"/>
              </w:rPr>
              <w:t>30m</w:t>
            </w:r>
          </w:p>
        </w:tc>
        <w:tc>
          <w:tcPr>
            <w:tcW w:w="459" w:type="pct"/>
            <w:tcBorders>
              <w:tl2br w:val="nil"/>
              <w:tr2bl w:val="nil"/>
            </w:tcBorders>
            <w:noWrap/>
            <w:vAlign w:val="center"/>
          </w:tcPr>
          <w:p w14:paraId="18CBD71A">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lang w:val="en-US" w:eastAsia="zh-CN"/>
              </w:rPr>
            </w:pPr>
            <w:r>
              <w:rPr>
                <w:rFonts w:hint="default" w:ascii="Arial" w:hAnsi="Arial" w:eastAsia="宋体" w:cs="Arial"/>
                <w:color w:val="auto"/>
                <w:sz w:val="22"/>
                <w:szCs w:val="22"/>
                <w:lang w:val="en-US" w:eastAsia="zh-CN"/>
              </w:rPr>
              <w:t>40m</w:t>
            </w:r>
          </w:p>
        </w:tc>
        <w:tc>
          <w:tcPr>
            <w:tcW w:w="435" w:type="pct"/>
            <w:tcBorders>
              <w:tl2br w:val="nil"/>
              <w:tr2bl w:val="nil"/>
            </w:tcBorders>
            <w:noWrap/>
            <w:vAlign w:val="center"/>
          </w:tcPr>
          <w:p w14:paraId="75D2BE87">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lang w:val="en-US" w:eastAsia="zh-CN"/>
              </w:rPr>
            </w:pPr>
            <w:r>
              <w:rPr>
                <w:rFonts w:hint="default" w:ascii="Arial" w:hAnsi="Arial" w:eastAsia="宋体" w:cs="Arial"/>
                <w:color w:val="auto"/>
                <w:sz w:val="22"/>
                <w:szCs w:val="22"/>
                <w:lang w:val="en-US" w:eastAsia="zh-CN"/>
              </w:rPr>
              <w:t>50m</w:t>
            </w:r>
          </w:p>
        </w:tc>
        <w:tc>
          <w:tcPr>
            <w:tcW w:w="550" w:type="pct"/>
            <w:tcBorders>
              <w:tl2br w:val="nil"/>
              <w:tr2bl w:val="nil"/>
            </w:tcBorders>
            <w:noWrap/>
            <w:vAlign w:val="center"/>
          </w:tcPr>
          <w:p w14:paraId="2316A03D">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lang w:val="en-US" w:eastAsia="zh-CN"/>
              </w:rPr>
            </w:pPr>
            <w:r>
              <w:rPr>
                <w:rFonts w:hint="default" w:ascii="Arial" w:hAnsi="Arial" w:eastAsia="宋体" w:cs="Arial"/>
                <w:color w:val="auto"/>
                <w:sz w:val="22"/>
                <w:szCs w:val="22"/>
                <w:lang w:val="en-US" w:eastAsia="zh-CN"/>
              </w:rPr>
              <w:t>100m</w:t>
            </w:r>
          </w:p>
        </w:tc>
        <w:tc>
          <w:tcPr>
            <w:tcW w:w="550" w:type="pct"/>
            <w:tcBorders>
              <w:tl2br w:val="nil"/>
              <w:tr2bl w:val="nil"/>
            </w:tcBorders>
            <w:noWrap/>
            <w:vAlign w:val="center"/>
          </w:tcPr>
          <w:p w14:paraId="7F29C12F">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lang w:val="en-US" w:eastAsia="zh-CN"/>
              </w:rPr>
            </w:pPr>
            <w:r>
              <w:rPr>
                <w:rFonts w:hint="default" w:ascii="Arial" w:hAnsi="Arial" w:eastAsia="宋体" w:cs="Arial"/>
                <w:color w:val="auto"/>
                <w:sz w:val="22"/>
                <w:szCs w:val="22"/>
                <w:lang w:val="en-US" w:eastAsia="zh-CN"/>
              </w:rPr>
              <w:t>150m</w:t>
            </w:r>
          </w:p>
        </w:tc>
        <w:tc>
          <w:tcPr>
            <w:tcW w:w="548" w:type="pct"/>
            <w:tcBorders>
              <w:tl2br w:val="nil"/>
              <w:tr2bl w:val="nil"/>
            </w:tcBorders>
            <w:noWrap/>
            <w:vAlign w:val="center"/>
          </w:tcPr>
          <w:p w14:paraId="752493ED">
            <w:pPr>
              <w:pStyle w:val="1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Arial" w:hAnsi="Arial" w:eastAsia="宋体" w:cs="Arial"/>
                <w:color w:val="auto"/>
                <w:sz w:val="22"/>
                <w:szCs w:val="22"/>
                <w:lang w:val="en-US" w:eastAsia="zh-CN"/>
              </w:rPr>
            </w:pPr>
            <w:r>
              <w:rPr>
                <w:rFonts w:hint="default" w:ascii="Arial" w:hAnsi="Arial" w:eastAsia="宋体" w:cs="Arial"/>
                <w:color w:val="auto"/>
                <w:sz w:val="22"/>
                <w:szCs w:val="22"/>
                <w:lang w:val="en-US" w:eastAsia="zh-CN"/>
              </w:rPr>
              <w:t>200m</w:t>
            </w:r>
          </w:p>
        </w:tc>
      </w:tr>
      <w:tr w14:paraId="7A489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ign w:val="center"/>
          </w:tcPr>
          <w:p w14:paraId="483C9B4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搅拌机</w:t>
            </w:r>
          </w:p>
        </w:tc>
        <w:tc>
          <w:tcPr>
            <w:tcW w:w="446" w:type="pct"/>
            <w:tcBorders>
              <w:tl2br w:val="nil"/>
              <w:tr2bl w:val="nil"/>
            </w:tcBorders>
            <w:noWrap/>
            <w:vAlign w:val="center"/>
          </w:tcPr>
          <w:p w14:paraId="65DC0CE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55.0 </w:t>
            </w:r>
          </w:p>
        </w:tc>
        <w:tc>
          <w:tcPr>
            <w:tcW w:w="459" w:type="pct"/>
            <w:tcBorders>
              <w:tl2br w:val="nil"/>
              <w:tr2bl w:val="nil"/>
            </w:tcBorders>
            <w:noWrap/>
            <w:vAlign w:val="center"/>
          </w:tcPr>
          <w:p w14:paraId="580F737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49.0 </w:t>
            </w:r>
          </w:p>
        </w:tc>
        <w:tc>
          <w:tcPr>
            <w:tcW w:w="459" w:type="pct"/>
            <w:tcBorders>
              <w:tl2br w:val="nil"/>
              <w:tr2bl w:val="nil"/>
            </w:tcBorders>
            <w:noWrap/>
            <w:vAlign w:val="center"/>
          </w:tcPr>
          <w:p w14:paraId="234F8F4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45.5 </w:t>
            </w:r>
          </w:p>
        </w:tc>
        <w:tc>
          <w:tcPr>
            <w:tcW w:w="459" w:type="pct"/>
            <w:tcBorders>
              <w:tl2br w:val="nil"/>
              <w:tr2bl w:val="nil"/>
            </w:tcBorders>
            <w:noWrap/>
            <w:vAlign w:val="center"/>
          </w:tcPr>
          <w:p w14:paraId="69FB725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43.0 </w:t>
            </w:r>
          </w:p>
        </w:tc>
        <w:tc>
          <w:tcPr>
            <w:tcW w:w="435" w:type="pct"/>
            <w:tcBorders>
              <w:tl2br w:val="nil"/>
              <w:tr2bl w:val="nil"/>
            </w:tcBorders>
            <w:noWrap/>
            <w:vAlign w:val="center"/>
          </w:tcPr>
          <w:p w14:paraId="4AB59F3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41.0 </w:t>
            </w:r>
          </w:p>
        </w:tc>
        <w:tc>
          <w:tcPr>
            <w:tcW w:w="550" w:type="pct"/>
            <w:tcBorders>
              <w:tl2br w:val="nil"/>
              <w:tr2bl w:val="nil"/>
            </w:tcBorders>
            <w:noWrap/>
            <w:vAlign w:val="center"/>
          </w:tcPr>
          <w:p w14:paraId="1442024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35.0 </w:t>
            </w:r>
          </w:p>
        </w:tc>
        <w:tc>
          <w:tcPr>
            <w:tcW w:w="550" w:type="pct"/>
            <w:tcBorders>
              <w:tl2br w:val="nil"/>
              <w:tr2bl w:val="nil"/>
            </w:tcBorders>
            <w:noWrap/>
            <w:vAlign w:val="center"/>
          </w:tcPr>
          <w:p w14:paraId="0E2B247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31.5 </w:t>
            </w:r>
          </w:p>
        </w:tc>
        <w:tc>
          <w:tcPr>
            <w:tcW w:w="548" w:type="pct"/>
            <w:tcBorders>
              <w:tl2br w:val="nil"/>
              <w:tr2bl w:val="nil"/>
            </w:tcBorders>
            <w:noWrap/>
            <w:vAlign w:val="center"/>
          </w:tcPr>
          <w:p w14:paraId="7B89ABF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29.0 </w:t>
            </w:r>
          </w:p>
        </w:tc>
      </w:tr>
      <w:tr w14:paraId="77C567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ign w:val="center"/>
          </w:tcPr>
          <w:p w14:paraId="0AD951C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破碎机</w:t>
            </w:r>
          </w:p>
        </w:tc>
        <w:tc>
          <w:tcPr>
            <w:tcW w:w="446" w:type="pct"/>
            <w:tcBorders>
              <w:tl2br w:val="nil"/>
              <w:tr2bl w:val="nil"/>
            </w:tcBorders>
            <w:noWrap/>
            <w:vAlign w:val="center"/>
          </w:tcPr>
          <w:p w14:paraId="19F871A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60.0 </w:t>
            </w:r>
          </w:p>
        </w:tc>
        <w:tc>
          <w:tcPr>
            <w:tcW w:w="459" w:type="pct"/>
            <w:tcBorders>
              <w:tl2br w:val="nil"/>
              <w:tr2bl w:val="nil"/>
            </w:tcBorders>
            <w:noWrap/>
            <w:vAlign w:val="center"/>
          </w:tcPr>
          <w:p w14:paraId="69A73C4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54.0 </w:t>
            </w:r>
          </w:p>
        </w:tc>
        <w:tc>
          <w:tcPr>
            <w:tcW w:w="459" w:type="pct"/>
            <w:tcBorders>
              <w:tl2br w:val="nil"/>
              <w:tr2bl w:val="nil"/>
            </w:tcBorders>
            <w:noWrap/>
            <w:vAlign w:val="center"/>
          </w:tcPr>
          <w:p w14:paraId="5A9E0A3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50.5 </w:t>
            </w:r>
          </w:p>
        </w:tc>
        <w:tc>
          <w:tcPr>
            <w:tcW w:w="459" w:type="pct"/>
            <w:tcBorders>
              <w:tl2br w:val="nil"/>
              <w:tr2bl w:val="nil"/>
            </w:tcBorders>
            <w:noWrap/>
            <w:vAlign w:val="center"/>
          </w:tcPr>
          <w:p w14:paraId="21A6224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48.0 </w:t>
            </w:r>
          </w:p>
        </w:tc>
        <w:tc>
          <w:tcPr>
            <w:tcW w:w="435" w:type="pct"/>
            <w:tcBorders>
              <w:tl2br w:val="nil"/>
              <w:tr2bl w:val="nil"/>
            </w:tcBorders>
            <w:noWrap/>
            <w:vAlign w:val="center"/>
          </w:tcPr>
          <w:p w14:paraId="61D9ABC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46.0 </w:t>
            </w:r>
          </w:p>
        </w:tc>
        <w:tc>
          <w:tcPr>
            <w:tcW w:w="550" w:type="pct"/>
            <w:tcBorders>
              <w:tl2br w:val="nil"/>
              <w:tr2bl w:val="nil"/>
            </w:tcBorders>
            <w:noWrap/>
            <w:vAlign w:val="center"/>
          </w:tcPr>
          <w:p w14:paraId="1F8ED40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40.0 </w:t>
            </w:r>
          </w:p>
        </w:tc>
        <w:tc>
          <w:tcPr>
            <w:tcW w:w="550" w:type="pct"/>
            <w:tcBorders>
              <w:tl2br w:val="nil"/>
              <w:tr2bl w:val="nil"/>
            </w:tcBorders>
            <w:noWrap/>
            <w:vAlign w:val="center"/>
          </w:tcPr>
          <w:p w14:paraId="2444048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36.5 </w:t>
            </w:r>
          </w:p>
        </w:tc>
        <w:tc>
          <w:tcPr>
            <w:tcW w:w="548" w:type="pct"/>
            <w:tcBorders>
              <w:tl2br w:val="nil"/>
              <w:tr2bl w:val="nil"/>
            </w:tcBorders>
            <w:noWrap/>
            <w:vAlign w:val="center"/>
          </w:tcPr>
          <w:p w14:paraId="1C22613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34.0 </w:t>
            </w:r>
          </w:p>
        </w:tc>
      </w:tr>
      <w:tr w14:paraId="57ED4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ign w:val="center"/>
          </w:tcPr>
          <w:p w14:paraId="231B00A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混凝土振捣器</w:t>
            </w:r>
          </w:p>
        </w:tc>
        <w:tc>
          <w:tcPr>
            <w:tcW w:w="446" w:type="pct"/>
            <w:tcBorders>
              <w:tl2br w:val="nil"/>
              <w:tr2bl w:val="nil"/>
            </w:tcBorders>
            <w:noWrap/>
            <w:vAlign w:val="center"/>
          </w:tcPr>
          <w:p w14:paraId="36A6410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67.0 </w:t>
            </w:r>
          </w:p>
        </w:tc>
        <w:tc>
          <w:tcPr>
            <w:tcW w:w="459" w:type="pct"/>
            <w:tcBorders>
              <w:tl2br w:val="nil"/>
              <w:tr2bl w:val="nil"/>
            </w:tcBorders>
            <w:noWrap/>
            <w:vAlign w:val="center"/>
          </w:tcPr>
          <w:p w14:paraId="0C98ECB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61.0 </w:t>
            </w:r>
          </w:p>
        </w:tc>
        <w:tc>
          <w:tcPr>
            <w:tcW w:w="459" w:type="pct"/>
            <w:tcBorders>
              <w:tl2br w:val="nil"/>
              <w:tr2bl w:val="nil"/>
            </w:tcBorders>
            <w:noWrap/>
            <w:vAlign w:val="center"/>
          </w:tcPr>
          <w:p w14:paraId="51E5763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57.5 </w:t>
            </w:r>
          </w:p>
        </w:tc>
        <w:tc>
          <w:tcPr>
            <w:tcW w:w="459" w:type="pct"/>
            <w:tcBorders>
              <w:tl2br w:val="nil"/>
              <w:tr2bl w:val="nil"/>
            </w:tcBorders>
            <w:noWrap/>
            <w:vAlign w:val="center"/>
          </w:tcPr>
          <w:p w14:paraId="320174F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55.0 </w:t>
            </w:r>
          </w:p>
        </w:tc>
        <w:tc>
          <w:tcPr>
            <w:tcW w:w="435" w:type="pct"/>
            <w:tcBorders>
              <w:tl2br w:val="nil"/>
              <w:tr2bl w:val="nil"/>
            </w:tcBorders>
            <w:noWrap/>
            <w:vAlign w:val="center"/>
          </w:tcPr>
          <w:p w14:paraId="5334E2A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53.0 </w:t>
            </w:r>
          </w:p>
        </w:tc>
        <w:tc>
          <w:tcPr>
            <w:tcW w:w="550" w:type="pct"/>
            <w:tcBorders>
              <w:tl2br w:val="nil"/>
              <w:tr2bl w:val="nil"/>
            </w:tcBorders>
            <w:noWrap/>
            <w:vAlign w:val="center"/>
          </w:tcPr>
          <w:p w14:paraId="592CE95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47.0 </w:t>
            </w:r>
          </w:p>
        </w:tc>
        <w:tc>
          <w:tcPr>
            <w:tcW w:w="550" w:type="pct"/>
            <w:tcBorders>
              <w:tl2br w:val="nil"/>
              <w:tr2bl w:val="nil"/>
            </w:tcBorders>
            <w:noWrap/>
            <w:vAlign w:val="center"/>
          </w:tcPr>
          <w:p w14:paraId="3CE92C1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43.5 </w:t>
            </w:r>
          </w:p>
        </w:tc>
        <w:tc>
          <w:tcPr>
            <w:tcW w:w="548" w:type="pct"/>
            <w:tcBorders>
              <w:tl2br w:val="nil"/>
              <w:tr2bl w:val="nil"/>
            </w:tcBorders>
            <w:noWrap/>
            <w:vAlign w:val="center"/>
          </w:tcPr>
          <w:p w14:paraId="0574015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41.0 </w:t>
            </w:r>
          </w:p>
        </w:tc>
      </w:tr>
      <w:tr w14:paraId="02959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ign w:val="center"/>
          </w:tcPr>
          <w:p w14:paraId="0A50A96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卷扬机</w:t>
            </w:r>
          </w:p>
        </w:tc>
        <w:tc>
          <w:tcPr>
            <w:tcW w:w="446" w:type="pct"/>
            <w:tcBorders>
              <w:tl2br w:val="nil"/>
              <w:tr2bl w:val="nil"/>
            </w:tcBorders>
            <w:noWrap/>
            <w:vAlign w:val="center"/>
          </w:tcPr>
          <w:p w14:paraId="66D29BD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55.0 </w:t>
            </w:r>
          </w:p>
        </w:tc>
        <w:tc>
          <w:tcPr>
            <w:tcW w:w="459" w:type="pct"/>
            <w:tcBorders>
              <w:tl2br w:val="nil"/>
              <w:tr2bl w:val="nil"/>
            </w:tcBorders>
            <w:noWrap/>
            <w:vAlign w:val="center"/>
          </w:tcPr>
          <w:p w14:paraId="10856C0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49.0 </w:t>
            </w:r>
          </w:p>
        </w:tc>
        <w:tc>
          <w:tcPr>
            <w:tcW w:w="459" w:type="pct"/>
            <w:tcBorders>
              <w:tl2br w:val="nil"/>
              <w:tr2bl w:val="nil"/>
            </w:tcBorders>
            <w:noWrap/>
            <w:vAlign w:val="center"/>
          </w:tcPr>
          <w:p w14:paraId="3927D4C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45.5 </w:t>
            </w:r>
          </w:p>
        </w:tc>
        <w:tc>
          <w:tcPr>
            <w:tcW w:w="459" w:type="pct"/>
            <w:tcBorders>
              <w:tl2br w:val="nil"/>
              <w:tr2bl w:val="nil"/>
            </w:tcBorders>
            <w:noWrap/>
            <w:vAlign w:val="center"/>
          </w:tcPr>
          <w:p w14:paraId="163ACF8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43.0 </w:t>
            </w:r>
          </w:p>
        </w:tc>
        <w:tc>
          <w:tcPr>
            <w:tcW w:w="435" w:type="pct"/>
            <w:tcBorders>
              <w:tl2br w:val="nil"/>
              <w:tr2bl w:val="nil"/>
            </w:tcBorders>
            <w:noWrap/>
            <w:vAlign w:val="center"/>
          </w:tcPr>
          <w:p w14:paraId="1E8FED3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41.0 </w:t>
            </w:r>
          </w:p>
        </w:tc>
        <w:tc>
          <w:tcPr>
            <w:tcW w:w="550" w:type="pct"/>
            <w:tcBorders>
              <w:tl2br w:val="nil"/>
              <w:tr2bl w:val="nil"/>
            </w:tcBorders>
            <w:noWrap/>
            <w:vAlign w:val="center"/>
          </w:tcPr>
          <w:p w14:paraId="33585EE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35.0 </w:t>
            </w:r>
          </w:p>
        </w:tc>
        <w:tc>
          <w:tcPr>
            <w:tcW w:w="550" w:type="pct"/>
            <w:tcBorders>
              <w:tl2br w:val="nil"/>
              <w:tr2bl w:val="nil"/>
            </w:tcBorders>
            <w:noWrap/>
            <w:vAlign w:val="center"/>
          </w:tcPr>
          <w:p w14:paraId="7A1E01B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31.5 </w:t>
            </w:r>
          </w:p>
        </w:tc>
        <w:tc>
          <w:tcPr>
            <w:tcW w:w="548" w:type="pct"/>
            <w:tcBorders>
              <w:tl2br w:val="nil"/>
              <w:tr2bl w:val="nil"/>
            </w:tcBorders>
            <w:noWrap/>
            <w:vAlign w:val="center"/>
          </w:tcPr>
          <w:p w14:paraId="6C7DE0D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29.0 </w:t>
            </w:r>
          </w:p>
        </w:tc>
      </w:tr>
      <w:tr w14:paraId="50A0CA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ign w:val="center"/>
          </w:tcPr>
          <w:p w14:paraId="7D6B4BB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振动碾</w:t>
            </w:r>
          </w:p>
        </w:tc>
        <w:tc>
          <w:tcPr>
            <w:tcW w:w="446" w:type="pct"/>
            <w:tcBorders>
              <w:tl2br w:val="nil"/>
              <w:tr2bl w:val="nil"/>
            </w:tcBorders>
            <w:noWrap/>
            <w:vAlign w:val="center"/>
          </w:tcPr>
          <w:p w14:paraId="634DE9F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75.0 </w:t>
            </w:r>
          </w:p>
        </w:tc>
        <w:tc>
          <w:tcPr>
            <w:tcW w:w="459" w:type="pct"/>
            <w:tcBorders>
              <w:tl2br w:val="nil"/>
              <w:tr2bl w:val="nil"/>
            </w:tcBorders>
            <w:noWrap/>
            <w:vAlign w:val="center"/>
          </w:tcPr>
          <w:p w14:paraId="5CA45FD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69.0 </w:t>
            </w:r>
          </w:p>
        </w:tc>
        <w:tc>
          <w:tcPr>
            <w:tcW w:w="459" w:type="pct"/>
            <w:tcBorders>
              <w:tl2br w:val="nil"/>
              <w:tr2bl w:val="nil"/>
            </w:tcBorders>
            <w:noWrap/>
            <w:vAlign w:val="center"/>
          </w:tcPr>
          <w:p w14:paraId="22735E5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65.5 </w:t>
            </w:r>
          </w:p>
        </w:tc>
        <w:tc>
          <w:tcPr>
            <w:tcW w:w="459" w:type="pct"/>
            <w:tcBorders>
              <w:tl2br w:val="nil"/>
              <w:tr2bl w:val="nil"/>
            </w:tcBorders>
            <w:noWrap/>
            <w:vAlign w:val="center"/>
          </w:tcPr>
          <w:p w14:paraId="7C426C6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63.0 </w:t>
            </w:r>
          </w:p>
        </w:tc>
        <w:tc>
          <w:tcPr>
            <w:tcW w:w="435" w:type="pct"/>
            <w:tcBorders>
              <w:tl2br w:val="nil"/>
              <w:tr2bl w:val="nil"/>
            </w:tcBorders>
            <w:noWrap/>
            <w:vAlign w:val="center"/>
          </w:tcPr>
          <w:p w14:paraId="6F3BF69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61.0 </w:t>
            </w:r>
          </w:p>
        </w:tc>
        <w:tc>
          <w:tcPr>
            <w:tcW w:w="550" w:type="pct"/>
            <w:tcBorders>
              <w:tl2br w:val="nil"/>
              <w:tr2bl w:val="nil"/>
            </w:tcBorders>
            <w:noWrap/>
            <w:vAlign w:val="center"/>
          </w:tcPr>
          <w:p w14:paraId="63C1BFC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55.0 </w:t>
            </w:r>
          </w:p>
        </w:tc>
        <w:tc>
          <w:tcPr>
            <w:tcW w:w="550" w:type="pct"/>
            <w:tcBorders>
              <w:tl2br w:val="nil"/>
              <w:tr2bl w:val="nil"/>
            </w:tcBorders>
            <w:noWrap/>
            <w:vAlign w:val="center"/>
          </w:tcPr>
          <w:p w14:paraId="4A4A0C2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51.5 </w:t>
            </w:r>
          </w:p>
        </w:tc>
        <w:tc>
          <w:tcPr>
            <w:tcW w:w="548" w:type="pct"/>
            <w:tcBorders>
              <w:tl2br w:val="nil"/>
              <w:tr2bl w:val="nil"/>
            </w:tcBorders>
            <w:noWrap/>
            <w:vAlign w:val="center"/>
          </w:tcPr>
          <w:p w14:paraId="137E34E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49.0 </w:t>
            </w:r>
          </w:p>
        </w:tc>
      </w:tr>
      <w:tr w14:paraId="0FCCFD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ign w:val="center"/>
          </w:tcPr>
          <w:p w14:paraId="3E50E5E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装载机</w:t>
            </w:r>
          </w:p>
        </w:tc>
        <w:tc>
          <w:tcPr>
            <w:tcW w:w="446" w:type="pct"/>
            <w:tcBorders>
              <w:tl2br w:val="nil"/>
              <w:tr2bl w:val="nil"/>
            </w:tcBorders>
            <w:noWrap/>
            <w:vAlign w:val="center"/>
          </w:tcPr>
          <w:p w14:paraId="0F7178C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65.0 </w:t>
            </w:r>
          </w:p>
        </w:tc>
        <w:tc>
          <w:tcPr>
            <w:tcW w:w="459" w:type="pct"/>
            <w:tcBorders>
              <w:tl2br w:val="nil"/>
              <w:tr2bl w:val="nil"/>
            </w:tcBorders>
            <w:noWrap/>
            <w:vAlign w:val="center"/>
          </w:tcPr>
          <w:p w14:paraId="3A2BEBA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59.0 </w:t>
            </w:r>
          </w:p>
        </w:tc>
        <w:tc>
          <w:tcPr>
            <w:tcW w:w="459" w:type="pct"/>
            <w:tcBorders>
              <w:tl2br w:val="nil"/>
              <w:tr2bl w:val="nil"/>
            </w:tcBorders>
            <w:noWrap/>
            <w:vAlign w:val="center"/>
          </w:tcPr>
          <w:p w14:paraId="00EC3C2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55.5 </w:t>
            </w:r>
          </w:p>
        </w:tc>
        <w:tc>
          <w:tcPr>
            <w:tcW w:w="459" w:type="pct"/>
            <w:tcBorders>
              <w:tl2br w:val="nil"/>
              <w:tr2bl w:val="nil"/>
            </w:tcBorders>
            <w:noWrap/>
            <w:vAlign w:val="center"/>
          </w:tcPr>
          <w:p w14:paraId="28EB312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53.0 </w:t>
            </w:r>
          </w:p>
        </w:tc>
        <w:tc>
          <w:tcPr>
            <w:tcW w:w="435" w:type="pct"/>
            <w:tcBorders>
              <w:tl2br w:val="nil"/>
              <w:tr2bl w:val="nil"/>
            </w:tcBorders>
            <w:noWrap/>
            <w:vAlign w:val="center"/>
          </w:tcPr>
          <w:p w14:paraId="60E968F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51.0 </w:t>
            </w:r>
          </w:p>
        </w:tc>
        <w:tc>
          <w:tcPr>
            <w:tcW w:w="550" w:type="pct"/>
            <w:tcBorders>
              <w:tl2br w:val="nil"/>
              <w:tr2bl w:val="nil"/>
            </w:tcBorders>
            <w:noWrap/>
            <w:vAlign w:val="center"/>
          </w:tcPr>
          <w:p w14:paraId="2FE5247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45.0 </w:t>
            </w:r>
          </w:p>
        </w:tc>
        <w:tc>
          <w:tcPr>
            <w:tcW w:w="550" w:type="pct"/>
            <w:tcBorders>
              <w:tl2br w:val="nil"/>
              <w:tr2bl w:val="nil"/>
            </w:tcBorders>
            <w:noWrap/>
            <w:vAlign w:val="center"/>
          </w:tcPr>
          <w:p w14:paraId="2181BDC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41.5 </w:t>
            </w:r>
          </w:p>
        </w:tc>
        <w:tc>
          <w:tcPr>
            <w:tcW w:w="548" w:type="pct"/>
            <w:tcBorders>
              <w:tl2br w:val="nil"/>
              <w:tr2bl w:val="nil"/>
            </w:tcBorders>
            <w:noWrap/>
            <w:vAlign w:val="center"/>
          </w:tcPr>
          <w:p w14:paraId="6F203AD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39.0 </w:t>
            </w:r>
          </w:p>
        </w:tc>
      </w:tr>
      <w:tr w14:paraId="7AFDAA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0"/>
            <w:vAlign w:val="center"/>
          </w:tcPr>
          <w:p w14:paraId="6CF90F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挖掘机</w:t>
            </w:r>
          </w:p>
        </w:tc>
        <w:tc>
          <w:tcPr>
            <w:tcW w:w="446" w:type="pct"/>
            <w:tcBorders>
              <w:tl2br w:val="nil"/>
              <w:tr2bl w:val="nil"/>
            </w:tcBorders>
            <w:noWrap w:val="0"/>
            <w:vAlign w:val="center"/>
          </w:tcPr>
          <w:p w14:paraId="7C170E2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70.0 </w:t>
            </w:r>
          </w:p>
        </w:tc>
        <w:tc>
          <w:tcPr>
            <w:tcW w:w="459" w:type="pct"/>
            <w:tcBorders>
              <w:tl2br w:val="nil"/>
              <w:tr2bl w:val="nil"/>
            </w:tcBorders>
            <w:noWrap w:val="0"/>
            <w:vAlign w:val="center"/>
          </w:tcPr>
          <w:p w14:paraId="72701E2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64.0 </w:t>
            </w:r>
          </w:p>
        </w:tc>
        <w:tc>
          <w:tcPr>
            <w:tcW w:w="459" w:type="pct"/>
            <w:tcBorders>
              <w:tl2br w:val="nil"/>
              <w:tr2bl w:val="nil"/>
            </w:tcBorders>
            <w:noWrap w:val="0"/>
            <w:vAlign w:val="center"/>
          </w:tcPr>
          <w:p w14:paraId="3D5FBE1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60.5 </w:t>
            </w:r>
          </w:p>
        </w:tc>
        <w:tc>
          <w:tcPr>
            <w:tcW w:w="459" w:type="pct"/>
            <w:tcBorders>
              <w:tl2br w:val="nil"/>
              <w:tr2bl w:val="nil"/>
            </w:tcBorders>
            <w:noWrap w:val="0"/>
            <w:vAlign w:val="center"/>
          </w:tcPr>
          <w:p w14:paraId="3737368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58.0 </w:t>
            </w:r>
          </w:p>
        </w:tc>
        <w:tc>
          <w:tcPr>
            <w:tcW w:w="435" w:type="pct"/>
            <w:tcBorders>
              <w:tl2br w:val="nil"/>
              <w:tr2bl w:val="nil"/>
            </w:tcBorders>
            <w:noWrap w:val="0"/>
            <w:vAlign w:val="center"/>
          </w:tcPr>
          <w:p w14:paraId="2445549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56.0 </w:t>
            </w:r>
          </w:p>
        </w:tc>
        <w:tc>
          <w:tcPr>
            <w:tcW w:w="550" w:type="pct"/>
            <w:tcBorders>
              <w:tl2br w:val="nil"/>
              <w:tr2bl w:val="nil"/>
            </w:tcBorders>
            <w:noWrap w:val="0"/>
            <w:vAlign w:val="center"/>
          </w:tcPr>
          <w:p w14:paraId="1852FA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50.0 </w:t>
            </w:r>
          </w:p>
        </w:tc>
        <w:tc>
          <w:tcPr>
            <w:tcW w:w="550" w:type="pct"/>
            <w:tcBorders>
              <w:tl2br w:val="nil"/>
              <w:tr2bl w:val="nil"/>
            </w:tcBorders>
            <w:noWrap w:val="0"/>
            <w:vAlign w:val="center"/>
          </w:tcPr>
          <w:p w14:paraId="3697DB0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46.5 </w:t>
            </w:r>
          </w:p>
        </w:tc>
        <w:tc>
          <w:tcPr>
            <w:tcW w:w="548" w:type="pct"/>
            <w:tcBorders>
              <w:tl2br w:val="nil"/>
              <w:tr2bl w:val="nil"/>
            </w:tcBorders>
            <w:noWrap w:val="0"/>
            <w:vAlign w:val="center"/>
          </w:tcPr>
          <w:p w14:paraId="0E25949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44.0 </w:t>
            </w:r>
          </w:p>
        </w:tc>
      </w:tr>
      <w:tr w14:paraId="7C93F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0"/>
            <w:vAlign w:val="center"/>
          </w:tcPr>
          <w:p w14:paraId="1C23922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空压机</w:t>
            </w:r>
          </w:p>
        </w:tc>
        <w:tc>
          <w:tcPr>
            <w:tcW w:w="446" w:type="pct"/>
            <w:tcBorders>
              <w:tl2br w:val="nil"/>
              <w:tr2bl w:val="nil"/>
            </w:tcBorders>
            <w:noWrap w:val="0"/>
            <w:vAlign w:val="center"/>
          </w:tcPr>
          <w:p w14:paraId="2DA0AFE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65.0 </w:t>
            </w:r>
          </w:p>
        </w:tc>
        <w:tc>
          <w:tcPr>
            <w:tcW w:w="459" w:type="pct"/>
            <w:tcBorders>
              <w:tl2br w:val="nil"/>
              <w:tr2bl w:val="nil"/>
            </w:tcBorders>
            <w:noWrap w:val="0"/>
            <w:vAlign w:val="center"/>
          </w:tcPr>
          <w:p w14:paraId="3B20383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59.0 </w:t>
            </w:r>
          </w:p>
        </w:tc>
        <w:tc>
          <w:tcPr>
            <w:tcW w:w="459" w:type="pct"/>
            <w:tcBorders>
              <w:tl2br w:val="nil"/>
              <w:tr2bl w:val="nil"/>
            </w:tcBorders>
            <w:noWrap w:val="0"/>
            <w:vAlign w:val="center"/>
          </w:tcPr>
          <w:p w14:paraId="5997FD8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55.5 </w:t>
            </w:r>
          </w:p>
        </w:tc>
        <w:tc>
          <w:tcPr>
            <w:tcW w:w="459" w:type="pct"/>
            <w:tcBorders>
              <w:tl2br w:val="nil"/>
              <w:tr2bl w:val="nil"/>
            </w:tcBorders>
            <w:noWrap w:val="0"/>
            <w:vAlign w:val="center"/>
          </w:tcPr>
          <w:p w14:paraId="645FC97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53.0 </w:t>
            </w:r>
          </w:p>
        </w:tc>
        <w:tc>
          <w:tcPr>
            <w:tcW w:w="435" w:type="pct"/>
            <w:tcBorders>
              <w:tl2br w:val="nil"/>
              <w:tr2bl w:val="nil"/>
            </w:tcBorders>
            <w:noWrap w:val="0"/>
            <w:vAlign w:val="center"/>
          </w:tcPr>
          <w:p w14:paraId="00983A8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51.0 </w:t>
            </w:r>
          </w:p>
        </w:tc>
        <w:tc>
          <w:tcPr>
            <w:tcW w:w="550" w:type="pct"/>
            <w:tcBorders>
              <w:tl2br w:val="nil"/>
              <w:tr2bl w:val="nil"/>
            </w:tcBorders>
            <w:noWrap w:val="0"/>
            <w:vAlign w:val="center"/>
          </w:tcPr>
          <w:p w14:paraId="0DE0110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45.0 </w:t>
            </w:r>
          </w:p>
        </w:tc>
        <w:tc>
          <w:tcPr>
            <w:tcW w:w="550" w:type="pct"/>
            <w:tcBorders>
              <w:tl2br w:val="nil"/>
              <w:tr2bl w:val="nil"/>
            </w:tcBorders>
            <w:noWrap w:val="0"/>
            <w:vAlign w:val="center"/>
          </w:tcPr>
          <w:p w14:paraId="2D73B48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41.5 </w:t>
            </w:r>
          </w:p>
        </w:tc>
        <w:tc>
          <w:tcPr>
            <w:tcW w:w="548" w:type="pct"/>
            <w:tcBorders>
              <w:tl2br w:val="nil"/>
              <w:tr2bl w:val="nil"/>
            </w:tcBorders>
            <w:noWrap w:val="0"/>
            <w:vAlign w:val="center"/>
          </w:tcPr>
          <w:p w14:paraId="39EC228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39.0 </w:t>
            </w:r>
          </w:p>
        </w:tc>
      </w:tr>
      <w:tr w14:paraId="1867FB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0"/>
            <w:vAlign w:val="center"/>
          </w:tcPr>
          <w:p w14:paraId="26723C7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风钻</w:t>
            </w:r>
          </w:p>
        </w:tc>
        <w:tc>
          <w:tcPr>
            <w:tcW w:w="446" w:type="pct"/>
            <w:tcBorders>
              <w:tl2br w:val="nil"/>
              <w:tr2bl w:val="nil"/>
            </w:tcBorders>
            <w:noWrap w:val="0"/>
            <w:vAlign w:val="center"/>
          </w:tcPr>
          <w:p w14:paraId="1EEA4A2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75.0 </w:t>
            </w:r>
          </w:p>
        </w:tc>
        <w:tc>
          <w:tcPr>
            <w:tcW w:w="459" w:type="pct"/>
            <w:tcBorders>
              <w:tl2br w:val="nil"/>
              <w:tr2bl w:val="nil"/>
            </w:tcBorders>
            <w:noWrap w:val="0"/>
            <w:vAlign w:val="center"/>
          </w:tcPr>
          <w:p w14:paraId="50EF3C0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69.0 </w:t>
            </w:r>
          </w:p>
        </w:tc>
        <w:tc>
          <w:tcPr>
            <w:tcW w:w="459" w:type="pct"/>
            <w:tcBorders>
              <w:tl2br w:val="nil"/>
              <w:tr2bl w:val="nil"/>
            </w:tcBorders>
            <w:noWrap w:val="0"/>
            <w:vAlign w:val="center"/>
          </w:tcPr>
          <w:p w14:paraId="3E8377F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65.5 </w:t>
            </w:r>
          </w:p>
        </w:tc>
        <w:tc>
          <w:tcPr>
            <w:tcW w:w="459" w:type="pct"/>
            <w:tcBorders>
              <w:tl2br w:val="nil"/>
              <w:tr2bl w:val="nil"/>
            </w:tcBorders>
            <w:noWrap w:val="0"/>
            <w:vAlign w:val="center"/>
          </w:tcPr>
          <w:p w14:paraId="4C270EF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63.0 </w:t>
            </w:r>
          </w:p>
        </w:tc>
        <w:tc>
          <w:tcPr>
            <w:tcW w:w="435" w:type="pct"/>
            <w:tcBorders>
              <w:tl2br w:val="nil"/>
              <w:tr2bl w:val="nil"/>
            </w:tcBorders>
            <w:noWrap w:val="0"/>
            <w:vAlign w:val="center"/>
          </w:tcPr>
          <w:p w14:paraId="069B0E6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61.0 </w:t>
            </w:r>
          </w:p>
        </w:tc>
        <w:tc>
          <w:tcPr>
            <w:tcW w:w="550" w:type="pct"/>
            <w:tcBorders>
              <w:tl2br w:val="nil"/>
              <w:tr2bl w:val="nil"/>
            </w:tcBorders>
            <w:noWrap w:val="0"/>
            <w:vAlign w:val="center"/>
          </w:tcPr>
          <w:p w14:paraId="1F78A12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55.0 </w:t>
            </w:r>
          </w:p>
        </w:tc>
        <w:tc>
          <w:tcPr>
            <w:tcW w:w="550" w:type="pct"/>
            <w:tcBorders>
              <w:tl2br w:val="nil"/>
              <w:tr2bl w:val="nil"/>
            </w:tcBorders>
            <w:noWrap w:val="0"/>
            <w:vAlign w:val="center"/>
          </w:tcPr>
          <w:p w14:paraId="2E32F6A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51.5 </w:t>
            </w:r>
          </w:p>
        </w:tc>
        <w:tc>
          <w:tcPr>
            <w:tcW w:w="548" w:type="pct"/>
            <w:tcBorders>
              <w:tl2br w:val="nil"/>
              <w:tr2bl w:val="nil"/>
            </w:tcBorders>
            <w:noWrap w:val="0"/>
            <w:vAlign w:val="center"/>
          </w:tcPr>
          <w:p w14:paraId="52BB54F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49.0 </w:t>
            </w:r>
          </w:p>
        </w:tc>
      </w:tr>
      <w:tr w14:paraId="4D8BE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0"/>
            <w:vAlign w:val="center"/>
          </w:tcPr>
          <w:p w14:paraId="1E34C49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泵类</w:t>
            </w:r>
          </w:p>
        </w:tc>
        <w:tc>
          <w:tcPr>
            <w:tcW w:w="446" w:type="pct"/>
            <w:tcBorders>
              <w:tl2br w:val="nil"/>
              <w:tr2bl w:val="nil"/>
            </w:tcBorders>
            <w:noWrap w:val="0"/>
            <w:vAlign w:val="center"/>
          </w:tcPr>
          <w:p w14:paraId="2D7F557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70.0 </w:t>
            </w:r>
          </w:p>
        </w:tc>
        <w:tc>
          <w:tcPr>
            <w:tcW w:w="459" w:type="pct"/>
            <w:tcBorders>
              <w:tl2br w:val="nil"/>
              <w:tr2bl w:val="nil"/>
            </w:tcBorders>
            <w:noWrap w:val="0"/>
            <w:vAlign w:val="center"/>
          </w:tcPr>
          <w:p w14:paraId="03D4A55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64.0 </w:t>
            </w:r>
          </w:p>
        </w:tc>
        <w:tc>
          <w:tcPr>
            <w:tcW w:w="459" w:type="pct"/>
            <w:tcBorders>
              <w:tl2br w:val="nil"/>
              <w:tr2bl w:val="nil"/>
            </w:tcBorders>
            <w:noWrap w:val="0"/>
            <w:vAlign w:val="center"/>
          </w:tcPr>
          <w:p w14:paraId="3405654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60.5 </w:t>
            </w:r>
          </w:p>
        </w:tc>
        <w:tc>
          <w:tcPr>
            <w:tcW w:w="459" w:type="pct"/>
            <w:tcBorders>
              <w:tl2br w:val="nil"/>
              <w:tr2bl w:val="nil"/>
            </w:tcBorders>
            <w:noWrap w:val="0"/>
            <w:vAlign w:val="center"/>
          </w:tcPr>
          <w:p w14:paraId="675CDB2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58.0 </w:t>
            </w:r>
          </w:p>
        </w:tc>
        <w:tc>
          <w:tcPr>
            <w:tcW w:w="435" w:type="pct"/>
            <w:tcBorders>
              <w:tl2br w:val="nil"/>
              <w:tr2bl w:val="nil"/>
            </w:tcBorders>
            <w:noWrap w:val="0"/>
            <w:vAlign w:val="center"/>
          </w:tcPr>
          <w:p w14:paraId="441D0D7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56.0 </w:t>
            </w:r>
          </w:p>
        </w:tc>
        <w:tc>
          <w:tcPr>
            <w:tcW w:w="550" w:type="pct"/>
            <w:tcBorders>
              <w:tl2br w:val="nil"/>
              <w:tr2bl w:val="nil"/>
            </w:tcBorders>
            <w:noWrap w:val="0"/>
            <w:vAlign w:val="center"/>
          </w:tcPr>
          <w:p w14:paraId="3C0D683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50.0 </w:t>
            </w:r>
          </w:p>
        </w:tc>
        <w:tc>
          <w:tcPr>
            <w:tcW w:w="550" w:type="pct"/>
            <w:tcBorders>
              <w:tl2br w:val="nil"/>
              <w:tr2bl w:val="nil"/>
            </w:tcBorders>
            <w:noWrap w:val="0"/>
            <w:vAlign w:val="center"/>
          </w:tcPr>
          <w:p w14:paraId="47858A9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46.5 </w:t>
            </w:r>
          </w:p>
        </w:tc>
        <w:tc>
          <w:tcPr>
            <w:tcW w:w="548" w:type="pct"/>
            <w:tcBorders>
              <w:tl2br w:val="nil"/>
              <w:tr2bl w:val="nil"/>
            </w:tcBorders>
            <w:noWrap w:val="0"/>
            <w:vAlign w:val="center"/>
          </w:tcPr>
          <w:p w14:paraId="179B6FE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44.0 </w:t>
            </w:r>
          </w:p>
        </w:tc>
      </w:tr>
      <w:tr w14:paraId="44B8C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0"/>
            <w:vAlign w:val="center"/>
          </w:tcPr>
          <w:p w14:paraId="29634DD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综合加工设备</w:t>
            </w:r>
          </w:p>
        </w:tc>
        <w:tc>
          <w:tcPr>
            <w:tcW w:w="446" w:type="pct"/>
            <w:tcBorders>
              <w:tl2br w:val="nil"/>
              <w:tr2bl w:val="nil"/>
            </w:tcBorders>
            <w:noWrap w:val="0"/>
            <w:vAlign w:val="center"/>
          </w:tcPr>
          <w:p w14:paraId="039259E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75.0 </w:t>
            </w:r>
          </w:p>
        </w:tc>
        <w:tc>
          <w:tcPr>
            <w:tcW w:w="459" w:type="pct"/>
            <w:tcBorders>
              <w:tl2br w:val="nil"/>
              <w:tr2bl w:val="nil"/>
            </w:tcBorders>
            <w:noWrap w:val="0"/>
            <w:vAlign w:val="center"/>
          </w:tcPr>
          <w:p w14:paraId="42CFA42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69.0 </w:t>
            </w:r>
          </w:p>
        </w:tc>
        <w:tc>
          <w:tcPr>
            <w:tcW w:w="459" w:type="pct"/>
            <w:tcBorders>
              <w:tl2br w:val="nil"/>
              <w:tr2bl w:val="nil"/>
            </w:tcBorders>
            <w:noWrap w:val="0"/>
            <w:vAlign w:val="center"/>
          </w:tcPr>
          <w:p w14:paraId="313A6AB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65.5 </w:t>
            </w:r>
          </w:p>
        </w:tc>
        <w:tc>
          <w:tcPr>
            <w:tcW w:w="459" w:type="pct"/>
            <w:tcBorders>
              <w:tl2br w:val="nil"/>
              <w:tr2bl w:val="nil"/>
            </w:tcBorders>
            <w:noWrap w:val="0"/>
            <w:vAlign w:val="center"/>
          </w:tcPr>
          <w:p w14:paraId="2FFA7D1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63.0 </w:t>
            </w:r>
          </w:p>
        </w:tc>
        <w:tc>
          <w:tcPr>
            <w:tcW w:w="435" w:type="pct"/>
            <w:tcBorders>
              <w:tl2br w:val="nil"/>
              <w:tr2bl w:val="nil"/>
            </w:tcBorders>
            <w:noWrap w:val="0"/>
            <w:vAlign w:val="center"/>
          </w:tcPr>
          <w:p w14:paraId="7498C35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61.0 </w:t>
            </w:r>
          </w:p>
        </w:tc>
        <w:tc>
          <w:tcPr>
            <w:tcW w:w="550" w:type="pct"/>
            <w:tcBorders>
              <w:tl2br w:val="nil"/>
              <w:tr2bl w:val="nil"/>
            </w:tcBorders>
            <w:noWrap w:val="0"/>
            <w:vAlign w:val="center"/>
          </w:tcPr>
          <w:p w14:paraId="6993E5C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55.0 </w:t>
            </w:r>
          </w:p>
        </w:tc>
        <w:tc>
          <w:tcPr>
            <w:tcW w:w="550" w:type="pct"/>
            <w:tcBorders>
              <w:tl2br w:val="nil"/>
              <w:tr2bl w:val="nil"/>
            </w:tcBorders>
            <w:noWrap w:val="0"/>
            <w:vAlign w:val="center"/>
          </w:tcPr>
          <w:p w14:paraId="06317AE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51.5 </w:t>
            </w:r>
          </w:p>
        </w:tc>
        <w:tc>
          <w:tcPr>
            <w:tcW w:w="548" w:type="pct"/>
            <w:tcBorders>
              <w:tl2br w:val="nil"/>
              <w:tr2bl w:val="nil"/>
            </w:tcBorders>
            <w:noWrap w:val="0"/>
            <w:vAlign w:val="center"/>
          </w:tcPr>
          <w:p w14:paraId="5F1AD8E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49.0 </w:t>
            </w:r>
          </w:p>
        </w:tc>
      </w:tr>
      <w:tr w14:paraId="56F53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0"/>
            <w:vAlign w:val="center"/>
          </w:tcPr>
          <w:p w14:paraId="7DEBACA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载重汽车</w:t>
            </w:r>
          </w:p>
        </w:tc>
        <w:tc>
          <w:tcPr>
            <w:tcW w:w="446" w:type="pct"/>
            <w:tcBorders>
              <w:tl2br w:val="nil"/>
              <w:tr2bl w:val="nil"/>
            </w:tcBorders>
            <w:noWrap w:val="0"/>
            <w:vAlign w:val="center"/>
          </w:tcPr>
          <w:p w14:paraId="45E4A90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70.0 </w:t>
            </w:r>
          </w:p>
        </w:tc>
        <w:tc>
          <w:tcPr>
            <w:tcW w:w="459" w:type="pct"/>
            <w:tcBorders>
              <w:tl2br w:val="nil"/>
              <w:tr2bl w:val="nil"/>
            </w:tcBorders>
            <w:noWrap w:val="0"/>
            <w:vAlign w:val="center"/>
          </w:tcPr>
          <w:p w14:paraId="6378CF3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64.0 </w:t>
            </w:r>
          </w:p>
        </w:tc>
        <w:tc>
          <w:tcPr>
            <w:tcW w:w="459" w:type="pct"/>
            <w:tcBorders>
              <w:tl2br w:val="nil"/>
              <w:tr2bl w:val="nil"/>
            </w:tcBorders>
            <w:noWrap w:val="0"/>
            <w:vAlign w:val="center"/>
          </w:tcPr>
          <w:p w14:paraId="7CD00B2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60.5 </w:t>
            </w:r>
          </w:p>
        </w:tc>
        <w:tc>
          <w:tcPr>
            <w:tcW w:w="459" w:type="pct"/>
            <w:tcBorders>
              <w:tl2br w:val="nil"/>
              <w:tr2bl w:val="nil"/>
            </w:tcBorders>
            <w:noWrap w:val="0"/>
            <w:vAlign w:val="center"/>
          </w:tcPr>
          <w:p w14:paraId="3815779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58.0 </w:t>
            </w:r>
          </w:p>
        </w:tc>
        <w:tc>
          <w:tcPr>
            <w:tcW w:w="435" w:type="pct"/>
            <w:tcBorders>
              <w:tl2br w:val="nil"/>
              <w:tr2bl w:val="nil"/>
            </w:tcBorders>
            <w:noWrap w:val="0"/>
            <w:vAlign w:val="center"/>
          </w:tcPr>
          <w:p w14:paraId="7CF55C4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56.0 </w:t>
            </w:r>
          </w:p>
        </w:tc>
        <w:tc>
          <w:tcPr>
            <w:tcW w:w="550" w:type="pct"/>
            <w:tcBorders>
              <w:tl2br w:val="nil"/>
              <w:tr2bl w:val="nil"/>
            </w:tcBorders>
            <w:noWrap w:val="0"/>
            <w:vAlign w:val="center"/>
          </w:tcPr>
          <w:p w14:paraId="3A3F4D8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50.0 </w:t>
            </w:r>
          </w:p>
        </w:tc>
        <w:tc>
          <w:tcPr>
            <w:tcW w:w="550" w:type="pct"/>
            <w:tcBorders>
              <w:tl2br w:val="nil"/>
              <w:tr2bl w:val="nil"/>
            </w:tcBorders>
            <w:noWrap w:val="0"/>
            <w:vAlign w:val="center"/>
          </w:tcPr>
          <w:p w14:paraId="3296083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46.5 </w:t>
            </w:r>
          </w:p>
        </w:tc>
        <w:tc>
          <w:tcPr>
            <w:tcW w:w="548" w:type="pct"/>
            <w:tcBorders>
              <w:tl2br w:val="nil"/>
              <w:tr2bl w:val="nil"/>
            </w:tcBorders>
            <w:noWrap w:val="0"/>
            <w:vAlign w:val="center"/>
          </w:tcPr>
          <w:p w14:paraId="5E6E6CC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44.0 </w:t>
            </w:r>
          </w:p>
        </w:tc>
      </w:tr>
      <w:tr w14:paraId="0048FF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pct"/>
            <w:tcBorders>
              <w:tl2br w:val="nil"/>
              <w:tr2bl w:val="nil"/>
            </w:tcBorders>
            <w:noWrap w:val="0"/>
            <w:vAlign w:val="center"/>
          </w:tcPr>
          <w:p w14:paraId="1FC6539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推土机</w:t>
            </w:r>
          </w:p>
        </w:tc>
        <w:tc>
          <w:tcPr>
            <w:tcW w:w="446" w:type="pct"/>
            <w:tcBorders>
              <w:tl2br w:val="nil"/>
              <w:tr2bl w:val="nil"/>
            </w:tcBorders>
            <w:noWrap w:val="0"/>
            <w:vAlign w:val="center"/>
          </w:tcPr>
          <w:p w14:paraId="563EF1E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75.0 </w:t>
            </w:r>
          </w:p>
        </w:tc>
        <w:tc>
          <w:tcPr>
            <w:tcW w:w="459" w:type="pct"/>
            <w:tcBorders>
              <w:tl2br w:val="nil"/>
              <w:tr2bl w:val="nil"/>
            </w:tcBorders>
            <w:noWrap w:val="0"/>
            <w:vAlign w:val="center"/>
          </w:tcPr>
          <w:p w14:paraId="5F33345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69.0 </w:t>
            </w:r>
          </w:p>
        </w:tc>
        <w:tc>
          <w:tcPr>
            <w:tcW w:w="459" w:type="pct"/>
            <w:tcBorders>
              <w:tl2br w:val="nil"/>
              <w:tr2bl w:val="nil"/>
            </w:tcBorders>
            <w:noWrap w:val="0"/>
            <w:vAlign w:val="center"/>
          </w:tcPr>
          <w:p w14:paraId="1CC2D6B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65.5 </w:t>
            </w:r>
          </w:p>
        </w:tc>
        <w:tc>
          <w:tcPr>
            <w:tcW w:w="459" w:type="pct"/>
            <w:tcBorders>
              <w:tl2br w:val="nil"/>
              <w:tr2bl w:val="nil"/>
            </w:tcBorders>
            <w:noWrap w:val="0"/>
            <w:vAlign w:val="center"/>
          </w:tcPr>
          <w:p w14:paraId="6D977F6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63.0 </w:t>
            </w:r>
          </w:p>
        </w:tc>
        <w:tc>
          <w:tcPr>
            <w:tcW w:w="435" w:type="pct"/>
            <w:tcBorders>
              <w:tl2br w:val="nil"/>
              <w:tr2bl w:val="nil"/>
            </w:tcBorders>
            <w:noWrap w:val="0"/>
            <w:vAlign w:val="center"/>
          </w:tcPr>
          <w:p w14:paraId="3022C56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61.0 </w:t>
            </w:r>
          </w:p>
        </w:tc>
        <w:tc>
          <w:tcPr>
            <w:tcW w:w="550" w:type="pct"/>
            <w:tcBorders>
              <w:tl2br w:val="nil"/>
              <w:tr2bl w:val="nil"/>
            </w:tcBorders>
            <w:noWrap w:val="0"/>
            <w:vAlign w:val="center"/>
          </w:tcPr>
          <w:p w14:paraId="6BF21F9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55.0 </w:t>
            </w:r>
          </w:p>
        </w:tc>
        <w:tc>
          <w:tcPr>
            <w:tcW w:w="550" w:type="pct"/>
            <w:tcBorders>
              <w:tl2br w:val="nil"/>
              <w:tr2bl w:val="nil"/>
            </w:tcBorders>
            <w:noWrap w:val="0"/>
            <w:vAlign w:val="center"/>
          </w:tcPr>
          <w:p w14:paraId="63BE0CC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51.5 </w:t>
            </w:r>
          </w:p>
        </w:tc>
        <w:tc>
          <w:tcPr>
            <w:tcW w:w="548" w:type="pct"/>
            <w:tcBorders>
              <w:tl2br w:val="nil"/>
              <w:tr2bl w:val="nil"/>
            </w:tcBorders>
            <w:noWrap w:val="0"/>
            <w:vAlign w:val="center"/>
          </w:tcPr>
          <w:p w14:paraId="0882D17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Arial" w:hAnsi="Arial" w:eastAsia="宋体" w:cs="Arial"/>
                <w:color w:val="auto"/>
                <w:kern w:val="2"/>
                <w:sz w:val="22"/>
                <w:szCs w:val="22"/>
                <w:vertAlign w:val="baseline"/>
                <w:lang w:val="en-US" w:eastAsia="zh-CN" w:bidi="ar-SA"/>
              </w:rPr>
            </w:pPr>
            <w:r>
              <w:rPr>
                <w:rFonts w:hint="eastAsia" w:ascii="Arial" w:hAnsi="Arial" w:eastAsia="宋体" w:cs="Arial"/>
                <w:color w:val="auto"/>
                <w:kern w:val="2"/>
                <w:sz w:val="22"/>
                <w:szCs w:val="22"/>
                <w:vertAlign w:val="baseline"/>
                <w:lang w:val="en-US" w:eastAsia="zh-CN" w:bidi="ar-SA"/>
              </w:rPr>
              <w:t xml:space="preserve">49.0 </w:t>
            </w:r>
          </w:p>
        </w:tc>
      </w:tr>
    </w:tbl>
    <w:p w14:paraId="2E260C93">
      <w:pPr>
        <w:pStyle w:val="100"/>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Arial" w:cs="Arial"/>
          <w:b w:val="0"/>
          <w:bCs/>
          <w:sz w:val="26"/>
          <w:szCs w:val="26"/>
          <w:lang w:eastAsia="zh-CN"/>
        </w:rPr>
      </w:pPr>
    </w:p>
    <w:p w14:paraId="5FD85911">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20" w:firstLineChars="200"/>
        <w:jc w:val="both"/>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由上表计算得出，按《建筑施工场界环境噪声排放标准》（GB12523-2011）限值要求，施工机械噪声在无任何遮挡的情况下，单台机械对环境的影响范围为昼间18m、夜间142m。实际施工过程中可能会出现多台机械同在一处作业，则此时的施工噪声影响的范围比预测值还要大。</w:t>
      </w:r>
    </w:p>
    <w:p w14:paraId="5991FD27">
      <w:pPr>
        <w:spacing w:line="460" w:lineRule="exact"/>
        <w:ind w:firstLine="520" w:firstLineChars="200"/>
        <w:rPr>
          <w:rFonts w:ascii="Arial" w:cs="Arial"/>
          <w:sz w:val="26"/>
          <w:szCs w:val="26"/>
        </w:rPr>
      </w:pPr>
      <w:r>
        <w:rPr>
          <w:rFonts w:ascii="Arial" w:cs="Arial"/>
          <w:sz w:val="26"/>
          <w:szCs w:val="26"/>
        </w:rPr>
        <w:t>为减轻施工噪声对环境的影响，应选用符合国家要求的低噪声设备；对空压机、</w:t>
      </w:r>
      <w:r>
        <w:rPr>
          <w:rFonts w:hint="eastAsia" w:ascii="Arial" w:cs="Arial"/>
          <w:sz w:val="26"/>
          <w:szCs w:val="26"/>
        </w:rPr>
        <w:t>柴油发电机</w:t>
      </w:r>
      <w:r>
        <w:rPr>
          <w:rFonts w:ascii="Arial" w:cs="Arial"/>
          <w:sz w:val="26"/>
          <w:szCs w:val="26"/>
        </w:rPr>
        <w:t>等高噪声源采取消声、隔声措施；施工过程中，应合理安排</w:t>
      </w:r>
      <w:r>
        <w:rPr>
          <w:rFonts w:ascii="Arial" w:cs="Arial"/>
          <w:color w:val="auto"/>
          <w:sz w:val="26"/>
          <w:szCs w:val="26"/>
        </w:rPr>
        <w:t>施工机具的工作时间；工程基础施工过程中</w:t>
      </w:r>
      <w:r>
        <w:rPr>
          <w:rFonts w:hint="eastAsia" w:ascii="Arial" w:cs="Arial"/>
          <w:color w:val="auto"/>
          <w:sz w:val="26"/>
          <w:szCs w:val="26"/>
        </w:rPr>
        <w:t>合理使用土石方开挖机械（如潜孔钻、风钻等）</w:t>
      </w:r>
      <w:r>
        <w:rPr>
          <w:rFonts w:ascii="Arial" w:cs="Arial"/>
          <w:sz w:val="26"/>
          <w:szCs w:val="26"/>
        </w:rPr>
        <w:t>，减少噪声振动对周围环境的影响。</w:t>
      </w:r>
    </w:p>
    <w:p w14:paraId="1F429563">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hAnsi="宋体" w:cs="Arial"/>
          <w:b/>
          <w:sz w:val="26"/>
          <w:szCs w:val="26"/>
          <w:lang w:val="en-US" w:eastAsia="zh-CN"/>
        </w:rPr>
        <w:t>5.4.3敏感点噪声影响预测</w:t>
      </w:r>
    </w:p>
    <w:p w14:paraId="0069812F">
      <w:pPr>
        <w:spacing w:line="460" w:lineRule="exact"/>
        <w:ind w:firstLine="520" w:firstLineChars="200"/>
        <w:rPr>
          <w:rFonts w:ascii="Arial" w:hAnsi="Times New Roman" w:eastAsia="宋体" w:cs="Arial"/>
          <w:b w:val="0"/>
          <w:bCs w:val="0"/>
          <w:color w:val="auto"/>
          <w:sz w:val="21"/>
          <w:szCs w:val="21"/>
        </w:rPr>
      </w:pPr>
      <w:r>
        <w:rPr>
          <w:rFonts w:hint="eastAsia" w:ascii="Arial" w:cs="Arial"/>
          <w:color w:val="auto"/>
          <w:sz w:val="26"/>
          <w:szCs w:val="26"/>
        </w:rPr>
        <w:t>根据现场勘查，</w:t>
      </w:r>
      <w:r>
        <w:rPr>
          <w:rFonts w:hint="eastAsia" w:ascii="Arial" w:cs="Arial"/>
          <w:color w:val="auto"/>
          <w:sz w:val="26"/>
          <w:szCs w:val="26"/>
          <w:lang w:eastAsia="zh-CN"/>
        </w:rPr>
        <w:t>本项目</w:t>
      </w:r>
      <w:r>
        <w:rPr>
          <w:rFonts w:hint="eastAsia" w:ascii="Arial" w:cs="Arial"/>
          <w:color w:val="auto"/>
          <w:sz w:val="26"/>
          <w:szCs w:val="26"/>
        </w:rPr>
        <w:t>枢纽工程施工</w:t>
      </w:r>
      <w:r>
        <w:rPr>
          <w:rFonts w:hint="eastAsia" w:ascii="Arial" w:cs="Arial"/>
          <w:color w:val="auto"/>
          <w:sz w:val="26"/>
          <w:szCs w:val="26"/>
          <w:lang w:eastAsia="zh-CN"/>
        </w:rPr>
        <w:t>区</w:t>
      </w:r>
      <w:r>
        <w:rPr>
          <w:rFonts w:hint="eastAsia" w:ascii="Arial" w:cs="Arial"/>
          <w:color w:val="auto"/>
          <w:sz w:val="26"/>
          <w:szCs w:val="26"/>
        </w:rPr>
        <w:t>四周200m范围内</w:t>
      </w:r>
      <w:r>
        <w:rPr>
          <w:rFonts w:hint="eastAsia" w:ascii="Arial" w:cs="Arial"/>
          <w:color w:val="auto"/>
          <w:sz w:val="26"/>
          <w:szCs w:val="26"/>
          <w:lang w:eastAsia="zh-CN"/>
        </w:rPr>
        <w:t>无居民点分布，但库周、输水管道沿线均有敏感点分布，由于管道铺设以人工作业为主，噪声源强较低，对敏感点噪声影响小</w:t>
      </w:r>
      <w:r>
        <w:rPr>
          <w:rFonts w:hint="eastAsia" w:ascii="Arial" w:cs="Arial"/>
          <w:sz w:val="26"/>
          <w:szCs w:val="26"/>
          <w:lang w:val="en-US" w:eastAsia="zh-CN"/>
        </w:rPr>
        <w:t>。</w:t>
      </w:r>
      <w:r>
        <w:rPr>
          <w:rFonts w:ascii="Arial" w:cs="Arial"/>
          <w:sz w:val="26"/>
          <w:szCs w:val="26"/>
        </w:rPr>
        <w:t>施工期间建设单位、施工单位还应加强与敏感点人群的沟通，施工前在</w:t>
      </w:r>
      <w:r>
        <w:rPr>
          <w:rFonts w:hint="eastAsia" w:ascii="Arial" w:cs="Arial"/>
          <w:sz w:val="26"/>
          <w:szCs w:val="26"/>
          <w:lang w:eastAsia="zh-CN"/>
        </w:rPr>
        <w:t>双龙镇（田家山村</w:t>
      </w:r>
      <w:r>
        <w:rPr>
          <w:rFonts w:ascii="Arial" w:cs="Arial"/>
          <w:sz w:val="26"/>
          <w:szCs w:val="26"/>
        </w:rPr>
        <w:t>）等敏感点张贴公示，争取获得谅解；公示内容包括工程名称、施工单位、施工时间安排，建设单位及主要联系人的名称与联系方式，并对公众提出的环境影响投诉及时予以反馈与解决。</w:t>
      </w:r>
    </w:p>
    <w:p w14:paraId="67C51751">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eastAsia" w:ascii="Arial" w:hAnsi="宋体" w:cs="Arial"/>
          <w:b/>
          <w:sz w:val="26"/>
          <w:szCs w:val="26"/>
          <w:lang w:val="en-US" w:eastAsia="zh-CN"/>
        </w:rPr>
        <w:t>5.4.4物料运输噪声影响分析</w:t>
      </w:r>
    </w:p>
    <w:p w14:paraId="16216EAA">
      <w:pPr>
        <w:spacing w:line="460" w:lineRule="exact"/>
        <w:ind w:firstLine="520" w:firstLineChars="200"/>
        <w:rPr>
          <w:rFonts w:hint="eastAsia" w:ascii="Arial" w:hAnsi="Times New Roman" w:eastAsia="宋体" w:cs="Arial"/>
          <w:sz w:val="26"/>
          <w:szCs w:val="26"/>
          <w:lang w:val="en-US" w:eastAsia="zh-CN"/>
        </w:rPr>
      </w:pPr>
      <w:r>
        <w:rPr>
          <w:rFonts w:hint="eastAsia" w:ascii="Arial" w:hAnsi="Times New Roman" w:eastAsia="宋体" w:cs="Arial"/>
          <w:sz w:val="26"/>
          <w:szCs w:val="26"/>
          <w:lang w:eastAsia="zh-CN"/>
        </w:rPr>
        <w:t>工程对外交通依托当地乡村道路，水泥、钢材、砂石骨料等主要原辅材料均外购，沿途敏感点主要为双龙镇及沿途住户，运输汽车途经敏感点集中分布区时应采取降低车速和禁止午间、夜间运输等措施，以最大限度地减小运输车辆噪声对沿途敏感目标影响。且运输车辆噪声影响是暂时的，间歇发生的，随着施工结束而消失。因此，施工期需要采取相应的防噪措施减小运输车辆噪声对道路两侧居民的影响。</w:t>
      </w:r>
    </w:p>
    <w:p w14:paraId="423CD6A2">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default" w:ascii="Arial" w:hAnsi="Arial" w:eastAsia="宋体" w:cs="Arial"/>
          <w:sz w:val="26"/>
          <w:szCs w:val="26"/>
        </w:rPr>
        <w:t>5.</w:t>
      </w:r>
      <w:r>
        <w:rPr>
          <w:rFonts w:hint="eastAsia" w:ascii="Arial" w:hAnsi="Arial" w:cs="Arial"/>
          <w:sz w:val="26"/>
          <w:szCs w:val="26"/>
          <w:lang w:val="en-US" w:eastAsia="zh-CN"/>
        </w:rPr>
        <w:t>5</w:t>
      </w:r>
      <w:r>
        <w:rPr>
          <w:rFonts w:hint="eastAsia" w:ascii="Arial" w:hAnsi="Arial" w:eastAsia="宋体" w:cs="Arial"/>
          <w:sz w:val="26"/>
          <w:szCs w:val="26"/>
        </w:rPr>
        <w:t>施工期</w:t>
      </w:r>
      <w:r>
        <w:rPr>
          <w:rFonts w:hint="eastAsia" w:ascii="Arial" w:hAnsi="Arial" w:cs="Arial"/>
          <w:sz w:val="26"/>
          <w:szCs w:val="26"/>
          <w:lang w:eastAsia="zh-CN"/>
        </w:rPr>
        <w:t>固体废物影响分析</w:t>
      </w:r>
    </w:p>
    <w:p w14:paraId="1D8880C7">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Times New Roman" w:eastAsia="宋体" w:cs="Arial"/>
          <w:b w:val="0"/>
          <w:color w:val="auto"/>
          <w:kern w:val="2"/>
          <w:sz w:val="26"/>
          <w:szCs w:val="26"/>
          <w:lang w:val="en-US" w:eastAsia="zh-CN" w:bidi="ar-SA"/>
        </w:rPr>
      </w:pPr>
      <w:r>
        <w:rPr>
          <w:rFonts w:hint="eastAsia" w:ascii="Arial" w:hAnsi="Times New Roman" w:eastAsia="宋体" w:cs="Arial"/>
          <w:b w:val="0"/>
          <w:color w:val="auto"/>
          <w:kern w:val="2"/>
          <w:sz w:val="26"/>
          <w:szCs w:val="26"/>
          <w:lang w:val="en-US" w:eastAsia="zh-CN" w:bidi="ar-SA"/>
        </w:rPr>
        <w:t>施工期固体废物来自场地清理出的表土、开挖产生的弃渣、施工机械及运输车辆维修废油、施工人员产生的生活垃圾和餐厨垃圾，以及库区清理出的林木。</w:t>
      </w:r>
    </w:p>
    <w:p w14:paraId="1B73F94C">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bCs/>
          <w:color w:val="auto"/>
          <w:sz w:val="26"/>
          <w:szCs w:val="26"/>
          <w:lang w:val="en-US" w:eastAsia="zh-CN"/>
        </w:rPr>
      </w:pPr>
      <w:r>
        <w:rPr>
          <w:rFonts w:hint="eastAsia" w:ascii="Arial" w:hAnsi="Arial" w:cs="Arial"/>
          <w:bCs/>
          <w:color w:val="auto"/>
          <w:sz w:val="26"/>
          <w:szCs w:val="26"/>
          <w:lang w:eastAsia="zh-CN"/>
        </w:rPr>
        <w:t>本项目施工期清表产生的表土约</w:t>
      </w:r>
      <w:r>
        <w:rPr>
          <w:rFonts w:hint="eastAsia" w:ascii="Arial" w:hAnsi="Arial" w:cs="Arial"/>
          <w:bCs/>
          <w:color w:val="auto"/>
          <w:sz w:val="26"/>
          <w:szCs w:val="26"/>
          <w:lang w:val="en-US" w:eastAsia="zh-CN"/>
        </w:rPr>
        <w:t>2.51万m</w:t>
      </w:r>
      <w:r>
        <w:rPr>
          <w:rFonts w:hint="eastAsia" w:ascii="Arial" w:hAnsi="Arial" w:cs="Arial"/>
          <w:bCs/>
          <w:color w:val="auto"/>
          <w:sz w:val="26"/>
          <w:szCs w:val="26"/>
          <w:vertAlign w:val="superscript"/>
          <w:lang w:val="en-US" w:eastAsia="zh-CN"/>
        </w:rPr>
        <w:t>3</w:t>
      </w:r>
      <w:r>
        <w:rPr>
          <w:rFonts w:hint="eastAsia" w:ascii="Arial" w:hAnsi="Arial" w:cs="Arial"/>
          <w:bCs/>
          <w:color w:val="auto"/>
          <w:sz w:val="26"/>
          <w:szCs w:val="26"/>
          <w:lang w:val="en-US" w:eastAsia="zh-CN"/>
        </w:rPr>
        <w:t>，集中收集后，分区暂存于项目所设弃渣场内，后期全部用作绿化覆土，不外排。</w:t>
      </w:r>
    </w:p>
    <w:p w14:paraId="5C0E5BC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cs="Arial"/>
          <w:bCs/>
          <w:color w:val="auto"/>
          <w:sz w:val="26"/>
        </w:rPr>
      </w:pPr>
      <w:r>
        <w:rPr>
          <w:rFonts w:hint="eastAsia" w:ascii="Arial" w:hAnsi="宋体" w:cs="Arial"/>
          <w:color w:val="auto"/>
          <w:sz w:val="26"/>
          <w:szCs w:val="26"/>
        </w:rPr>
        <w:t>经土石方平衡后，</w:t>
      </w:r>
      <w:r>
        <w:rPr>
          <w:rFonts w:hint="eastAsia" w:ascii="Arial" w:hAnsi="Arial" w:cs="Arial"/>
          <w:bCs/>
          <w:color w:val="auto"/>
          <w:sz w:val="26"/>
          <w:szCs w:val="26"/>
          <w:lang w:eastAsia="zh-CN"/>
        </w:rPr>
        <w:t>本项目枢纽工程、输水工程</w:t>
      </w:r>
      <w:r>
        <w:rPr>
          <w:rFonts w:hint="eastAsia" w:ascii="Arial" w:hAnsi="Arial" w:cs="Arial"/>
          <w:bCs/>
          <w:color w:val="auto"/>
          <w:sz w:val="26"/>
          <w:szCs w:val="26"/>
          <w:lang w:val="en-US" w:eastAsia="zh-CN"/>
        </w:rPr>
        <w:t>弃渣产生量为6.81万m</w:t>
      </w:r>
      <w:r>
        <w:rPr>
          <w:rFonts w:hint="eastAsia" w:ascii="Arial" w:hAnsi="Arial" w:cs="Arial"/>
          <w:bCs/>
          <w:color w:val="auto"/>
          <w:sz w:val="26"/>
          <w:szCs w:val="26"/>
          <w:vertAlign w:val="superscript"/>
          <w:lang w:val="en-US" w:eastAsia="zh-CN"/>
        </w:rPr>
        <w:t>3</w:t>
      </w:r>
      <w:r>
        <w:rPr>
          <w:rFonts w:hint="eastAsia" w:ascii="Arial" w:hAnsi="Arial" w:cs="Arial"/>
          <w:bCs/>
          <w:color w:val="auto"/>
          <w:sz w:val="26"/>
          <w:szCs w:val="26"/>
          <w:lang w:val="en-US" w:eastAsia="zh-CN"/>
        </w:rPr>
        <w:t>。</w:t>
      </w:r>
      <w:r>
        <w:rPr>
          <w:rFonts w:hint="eastAsia" w:ascii="Arial" w:cs="Arial"/>
          <w:color w:val="auto"/>
          <w:sz w:val="26"/>
          <w:szCs w:val="26"/>
        </w:rPr>
        <w:t>本项目施工期共设1处渣场，位于</w:t>
      </w:r>
      <w:r>
        <w:rPr>
          <w:rFonts w:hint="eastAsia" w:ascii="Arial" w:cs="Arial"/>
          <w:color w:val="auto"/>
          <w:sz w:val="26"/>
          <w:szCs w:val="26"/>
          <w:lang w:eastAsia="zh-CN"/>
        </w:rPr>
        <w:t>田家山村村委会附近</w:t>
      </w:r>
      <w:r>
        <w:rPr>
          <w:rFonts w:hint="eastAsia" w:ascii="Arial" w:cs="Arial"/>
          <w:color w:val="auto"/>
          <w:sz w:val="26"/>
          <w:szCs w:val="26"/>
        </w:rPr>
        <w:t>，占地面积约为</w:t>
      </w:r>
      <w:r>
        <w:rPr>
          <w:rFonts w:hint="eastAsia" w:ascii="Arial" w:cs="Arial"/>
          <w:color w:val="auto"/>
          <w:sz w:val="26"/>
          <w:szCs w:val="26"/>
          <w:lang w:val="en-US" w:eastAsia="zh-CN"/>
        </w:rPr>
        <w:t>49.47亩</w:t>
      </w:r>
      <w:r>
        <w:rPr>
          <w:rFonts w:hint="eastAsia" w:ascii="Arial" w:cs="Arial"/>
          <w:color w:val="auto"/>
          <w:sz w:val="26"/>
          <w:szCs w:val="26"/>
        </w:rPr>
        <w:t>，</w:t>
      </w:r>
      <w:r>
        <w:rPr>
          <w:rFonts w:hint="eastAsia" w:ascii="Arial" w:cs="Arial"/>
          <w:bCs/>
          <w:color w:val="auto"/>
          <w:sz w:val="26"/>
        </w:rPr>
        <w:t>堆渣量</w:t>
      </w:r>
      <w:r>
        <w:rPr>
          <w:rFonts w:hint="eastAsia" w:ascii="Arial" w:cs="Arial"/>
          <w:bCs/>
          <w:color w:val="auto"/>
          <w:sz w:val="26"/>
          <w:lang w:val="en-US" w:eastAsia="zh-CN"/>
        </w:rPr>
        <w:t>1</w:t>
      </w:r>
      <w:r>
        <w:rPr>
          <w:rFonts w:hint="eastAsia" w:ascii="Arial" w:cs="Arial"/>
          <w:bCs/>
          <w:color w:val="auto"/>
          <w:sz w:val="26"/>
        </w:rPr>
        <w:t>2万</w:t>
      </w:r>
      <w:r>
        <w:rPr>
          <w:rFonts w:ascii="Arial" w:cs="Arial"/>
          <w:bCs/>
          <w:color w:val="auto"/>
          <w:sz w:val="26"/>
        </w:rPr>
        <w:t>m</w:t>
      </w:r>
      <w:r>
        <w:rPr>
          <w:rFonts w:ascii="Arial" w:cs="Arial"/>
          <w:bCs/>
          <w:color w:val="auto"/>
          <w:sz w:val="26"/>
          <w:vertAlign w:val="superscript"/>
        </w:rPr>
        <w:t>3</w:t>
      </w:r>
      <w:r>
        <w:rPr>
          <w:rFonts w:hint="eastAsia" w:ascii="Arial" w:cs="Arial"/>
          <w:bCs/>
          <w:color w:val="auto"/>
          <w:sz w:val="26"/>
        </w:rPr>
        <w:t>，用于堆存</w:t>
      </w:r>
      <w:r>
        <w:rPr>
          <w:rFonts w:hint="eastAsia" w:ascii="Arial" w:cs="Arial"/>
          <w:bCs/>
          <w:color w:val="auto"/>
          <w:sz w:val="26"/>
          <w:lang w:eastAsia="zh-CN"/>
        </w:rPr>
        <w:t>施工过程中</w:t>
      </w:r>
      <w:r>
        <w:rPr>
          <w:rFonts w:hint="eastAsia" w:ascii="Arial" w:cs="Arial"/>
          <w:bCs/>
          <w:color w:val="auto"/>
          <w:sz w:val="26"/>
        </w:rPr>
        <w:t>产生的</w:t>
      </w:r>
      <w:r>
        <w:rPr>
          <w:rFonts w:hint="eastAsia" w:ascii="Arial" w:cs="Arial"/>
          <w:bCs/>
          <w:color w:val="auto"/>
          <w:sz w:val="26"/>
          <w:lang w:eastAsia="zh-CN"/>
        </w:rPr>
        <w:t>弃渣</w:t>
      </w:r>
      <w:r>
        <w:rPr>
          <w:rFonts w:hint="eastAsia" w:ascii="Arial" w:cs="Arial"/>
          <w:bCs/>
          <w:color w:val="auto"/>
          <w:sz w:val="26"/>
        </w:rPr>
        <w:t>。同时，输水管线施工段应设置临时围挡，严格控制施工活动，做好废弃土石方的暂存、清运工作，严禁向河道内倾倒废渣，减轻对流域</w:t>
      </w:r>
      <w:r>
        <w:rPr>
          <w:rFonts w:hint="eastAsia" w:ascii="Arial" w:cs="Arial"/>
          <w:bCs/>
          <w:color w:val="auto"/>
          <w:sz w:val="26"/>
          <w:lang w:eastAsia="zh-CN"/>
        </w:rPr>
        <w:t>水生生态、水质</w:t>
      </w:r>
      <w:r>
        <w:rPr>
          <w:rFonts w:hint="eastAsia" w:ascii="Arial" w:cs="Arial"/>
          <w:bCs/>
          <w:color w:val="auto"/>
          <w:sz w:val="26"/>
        </w:rPr>
        <w:t>的影响。</w:t>
      </w:r>
    </w:p>
    <w:p w14:paraId="0A0735CC">
      <w:pPr>
        <w:autoSpaceDE w:val="0"/>
        <w:autoSpaceDN w:val="0"/>
        <w:adjustRightInd w:val="0"/>
        <w:spacing w:line="460" w:lineRule="exact"/>
        <w:ind w:firstLine="520" w:firstLineChars="200"/>
        <w:rPr>
          <w:rFonts w:ascii="Arial" w:hAnsi="宋体" w:cs="Arial"/>
          <w:color w:val="auto"/>
          <w:sz w:val="26"/>
          <w:szCs w:val="26"/>
        </w:rPr>
      </w:pPr>
      <w:r>
        <w:rPr>
          <w:rFonts w:hint="eastAsia" w:ascii="Arial" w:hAnsi="Arial" w:cs="Arial"/>
          <w:color w:val="auto"/>
          <w:sz w:val="26"/>
          <w:szCs w:val="26"/>
        </w:rPr>
        <w:t>施工机械及运输车辆检修、维修等产生少量废油，统一收集于油桶中，暂存于施工</w:t>
      </w:r>
      <w:r>
        <w:rPr>
          <w:rFonts w:hint="eastAsia" w:ascii="Arial" w:hAnsi="Arial" w:cs="Arial"/>
          <w:color w:val="auto"/>
          <w:sz w:val="26"/>
          <w:szCs w:val="26"/>
          <w:lang w:eastAsia="zh-CN"/>
        </w:rPr>
        <w:t>场地</w:t>
      </w:r>
      <w:r>
        <w:rPr>
          <w:rFonts w:hint="eastAsia" w:ascii="Arial" w:hAnsi="Arial" w:cs="Arial"/>
          <w:color w:val="auto"/>
          <w:sz w:val="26"/>
          <w:szCs w:val="26"/>
        </w:rPr>
        <w:t>内独立设置的危废</w:t>
      </w:r>
      <w:r>
        <w:rPr>
          <w:rFonts w:hint="eastAsia" w:ascii="Arial" w:hAnsi="Arial" w:cs="Arial"/>
          <w:color w:val="auto"/>
          <w:sz w:val="26"/>
          <w:szCs w:val="26"/>
          <w:lang w:eastAsia="zh-CN"/>
        </w:rPr>
        <w:t>贮存区内</w:t>
      </w:r>
      <w:r>
        <w:rPr>
          <w:rFonts w:hint="eastAsia" w:ascii="Arial" w:hAnsi="Arial" w:cs="Arial"/>
          <w:color w:val="auto"/>
          <w:sz w:val="26"/>
          <w:szCs w:val="26"/>
        </w:rPr>
        <w:t>，按规定进行“</w:t>
      </w:r>
      <w:r>
        <w:rPr>
          <w:rFonts w:hint="eastAsia" w:ascii="Arial" w:hAnsi="Arial" w:cs="Arial"/>
          <w:color w:val="auto"/>
          <w:sz w:val="26"/>
          <w:szCs w:val="26"/>
          <w:lang w:eastAsia="zh-CN"/>
        </w:rPr>
        <w:t>六</w:t>
      </w:r>
      <w:r>
        <w:rPr>
          <w:rFonts w:hint="eastAsia" w:ascii="Arial" w:hAnsi="Arial" w:cs="Arial"/>
          <w:color w:val="auto"/>
          <w:sz w:val="26"/>
          <w:szCs w:val="26"/>
        </w:rPr>
        <w:t>防”处置，最终交有有资质的单位回收处置。</w:t>
      </w:r>
    </w:p>
    <w:p w14:paraId="00A364B2">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default" w:ascii="Arial" w:hAnsi="Arial" w:cs="Arial"/>
          <w:bCs/>
          <w:color w:val="auto"/>
          <w:sz w:val="26"/>
          <w:szCs w:val="26"/>
          <w:lang w:val="en-US" w:eastAsia="zh-CN"/>
        </w:rPr>
      </w:pPr>
      <w:r>
        <w:rPr>
          <w:rFonts w:hint="eastAsia" w:ascii="Arial" w:hAnsi="宋体" w:cs="Arial"/>
          <w:color w:val="auto"/>
          <w:sz w:val="26"/>
          <w:szCs w:val="26"/>
        </w:rPr>
        <w:t>工程施工期最大生活垃圾产生量为</w:t>
      </w:r>
      <w:r>
        <w:rPr>
          <w:rFonts w:hint="eastAsia" w:ascii="Arial" w:hAnsi="宋体" w:cs="Arial"/>
          <w:color w:val="auto"/>
          <w:sz w:val="26"/>
          <w:szCs w:val="26"/>
          <w:lang w:val="en-US" w:eastAsia="zh-CN"/>
        </w:rPr>
        <w:t>26</w:t>
      </w:r>
      <w:r>
        <w:rPr>
          <w:rFonts w:ascii="Arial" w:hAnsi="宋体" w:cs="Arial"/>
          <w:color w:val="auto"/>
          <w:sz w:val="26"/>
          <w:szCs w:val="26"/>
        </w:rPr>
        <w:t>kg/d</w:t>
      </w:r>
      <w:r>
        <w:rPr>
          <w:rFonts w:hint="eastAsia" w:ascii="Arial" w:hAnsi="宋体" w:cs="Arial"/>
          <w:color w:val="auto"/>
          <w:sz w:val="26"/>
          <w:szCs w:val="26"/>
          <w:lang w:eastAsia="zh-CN"/>
        </w:rPr>
        <w:t>，</w:t>
      </w:r>
      <w:r>
        <w:rPr>
          <w:rFonts w:hint="eastAsia" w:ascii="Arial" w:hAnsi="宋体" w:cs="Arial"/>
          <w:color w:val="auto"/>
          <w:sz w:val="26"/>
          <w:szCs w:val="26"/>
        </w:rPr>
        <w:t>生活垃圾若随意堆放或清运不及时，将可能造成堆放场周围污水四溢、蚊蝇滋生，对施工人员健康产生不利影响。若在河边堆放，则可能对水体水质产生污染。因此，施工人员生活垃圾应定点收集，统一交当地环卫部门清运并无害化处理。</w:t>
      </w:r>
      <w:r>
        <w:rPr>
          <w:rFonts w:hint="eastAsia" w:ascii="Arial" w:hAnsi="Arial" w:cs="Arial"/>
          <w:color w:val="auto"/>
          <w:sz w:val="26"/>
          <w:szCs w:val="26"/>
          <w:lang w:eastAsia="zh-CN"/>
        </w:rPr>
        <w:t>餐厨垃圾产生量为</w:t>
      </w:r>
      <w:r>
        <w:rPr>
          <w:rFonts w:hint="eastAsia" w:ascii="Arial" w:hAnsi="Arial" w:cs="Arial"/>
          <w:color w:val="auto"/>
          <w:sz w:val="26"/>
          <w:szCs w:val="26"/>
          <w:lang w:val="en-US" w:eastAsia="zh-CN"/>
        </w:rPr>
        <w:t>16kg/d，</w:t>
      </w:r>
      <w:r>
        <w:rPr>
          <w:rFonts w:hint="eastAsia" w:ascii="Arial" w:hAnsi="Arial" w:cs="Arial"/>
          <w:color w:val="auto"/>
          <w:sz w:val="26"/>
          <w:szCs w:val="26"/>
        </w:rPr>
        <w:t>桶装收集后，交有资质的单位清运处置。</w:t>
      </w:r>
    </w:p>
    <w:p w14:paraId="4E18215A">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宋体" w:cs="Arial"/>
          <w:color w:val="auto"/>
          <w:sz w:val="26"/>
          <w:szCs w:val="26"/>
          <w:lang w:eastAsia="zh-CN"/>
        </w:rPr>
      </w:pPr>
      <w:r>
        <w:rPr>
          <w:rFonts w:hint="eastAsia" w:ascii="Arial" w:hAnsi="宋体" w:cs="Arial"/>
          <w:color w:val="auto"/>
          <w:sz w:val="26"/>
          <w:szCs w:val="26"/>
        </w:rPr>
        <w:t>此外，根据现场调查和估算，</w:t>
      </w:r>
      <w:r>
        <w:rPr>
          <w:rFonts w:hint="eastAsia" w:ascii="Arial" w:hAnsi="宋体" w:cs="Arial"/>
          <w:color w:val="auto"/>
          <w:sz w:val="26"/>
          <w:szCs w:val="26"/>
          <w:lang w:eastAsia="zh-CN"/>
        </w:rPr>
        <w:t>海螺沟水库</w:t>
      </w:r>
      <w:r>
        <w:rPr>
          <w:rFonts w:hint="eastAsia" w:ascii="Arial" w:hAnsi="宋体" w:cs="Arial"/>
          <w:color w:val="auto"/>
          <w:sz w:val="26"/>
          <w:szCs w:val="26"/>
        </w:rPr>
        <w:t>清库垃圾量约</w:t>
      </w:r>
      <w:r>
        <w:rPr>
          <w:rFonts w:hint="eastAsia" w:ascii="Arial" w:hAnsi="宋体" w:cs="Arial"/>
          <w:color w:val="auto"/>
          <w:sz w:val="26"/>
          <w:szCs w:val="26"/>
          <w:lang w:val="en-US" w:eastAsia="zh-CN"/>
        </w:rPr>
        <w:t>85</w:t>
      </w:r>
      <w:r>
        <w:rPr>
          <w:rFonts w:hint="eastAsia" w:ascii="Arial" w:hAnsi="宋体" w:cs="Arial"/>
          <w:color w:val="auto"/>
          <w:sz w:val="26"/>
          <w:szCs w:val="26"/>
        </w:rPr>
        <w:t>0t，清理出来的废物按要求进行分类收集，</w:t>
      </w:r>
      <w:r>
        <w:rPr>
          <w:rFonts w:hint="eastAsia" w:ascii="Arial" w:hAnsi="Arial" w:cs="Arial"/>
          <w:bCs/>
          <w:color w:val="auto"/>
          <w:sz w:val="26"/>
          <w:szCs w:val="26"/>
          <w:lang w:eastAsia="zh-CN"/>
        </w:rPr>
        <w:t>生活垃圾等交当地市政环卫部门统一清运处置</w:t>
      </w:r>
      <w:r>
        <w:rPr>
          <w:rFonts w:hint="eastAsia" w:ascii="Arial" w:hAnsi="宋体" w:cs="Arial"/>
          <w:color w:val="auto"/>
          <w:sz w:val="26"/>
          <w:szCs w:val="26"/>
        </w:rPr>
        <w:t>，林木外卖进行综合利用，运输过程中需加盖、遮挡，避免二次污染，不得擅自丢弃或违法处置，对环境影响小。</w:t>
      </w:r>
    </w:p>
    <w:p w14:paraId="744D3F82">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cs="Arial"/>
          <w:b w:val="0"/>
          <w:bCs/>
          <w:sz w:val="26"/>
          <w:szCs w:val="26"/>
          <w:lang w:eastAsia="zh-CN"/>
        </w:rPr>
      </w:pPr>
      <w:r>
        <w:rPr>
          <w:rFonts w:hint="default" w:ascii="Arial" w:hAnsi="Arial" w:eastAsia="宋体" w:cs="Arial"/>
          <w:sz w:val="26"/>
          <w:szCs w:val="26"/>
        </w:rPr>
        <w:t>5.</w:t>
      </w:r>
      <w:r>
        <w:rPr>
          <w:rFonts w:hint="eastAsia" w:ascii="Arial" w:hAnsi="Arial" w:cs="Arial"/>
          <w:sz w:val="26"/>
          <w:szCs w:val="26"/>
          <w:lang w:val="en-US" w:eastAsia="zh-CN"/>
        </w:rPr>
        <w:t>5</w:t>
      </w:r>
      <w:r>
        <w:rPr>
          <w:rFonts w:hint="eastAsia" w:ascii="Arial" w:hAnsi="Arial" w:eastAsia="宋体" w:cs="Arial"/>
          <w:sz w:val="26"/>
          <w:szCs w:val="26"/>
        </w:rPr>
        <w:t>施工期</w:t>
      </w:r>
      <w:r>
        <w:rPr>
          <w:rFonts w:hint="eastAsia" w:ascii="Arial" w:hAnsi="Arial" w:cs="Arial"/>
          <w:sz w:val="26"/>
          <w:szCs w:val="26"/>
          <w:lang w:eastAsia="zh-CN"/>
        </w:rPr>
        <w:t>生态环境影响分析</w:t>
      </w:r>
    </w:p>
    <w:p w14:paraId="57D4DDCD">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宋体" w:cs="Arial"/>
          <w:b/>
          <w:sz w:val="26"/>
          <w:szCs w:val="26"/>
          <w:lang w:val="en-US" w:eastAsia="zh-CN"/>
        </w:rPr>
      </w:pPr>
      <w:r>
        <w:rPr>
          <w:rFonts w:hint="eastAsia" w:ascii="Arial" w:hAnsi="宋体" w:cs="Arial"/>
          <w:b/>
          <w:sz w:val="26"/>
          <w:szCs w:val="26"/>
          <w:lang w:val="en-US" w:eastAsia="zh-CN"/>
        </w:rPr>
        <w:t>5.5.1工程占地对土地利用的影响</w:t>
      </w:r>
    </w:p>
    <w:p w14:paraId="41E5EDFD">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color w:val="auto"/>
          <w:sz w:val="26"/>
          <w:szCs w:val="26"/>
          <w:lang w:val="en-US" w:eastAsia="zh-CN"/>
        </w:rPr>
      </w:pPr>
      <w:r>
        <w:rPr>
          <w:rFonts w:hint="eastAsia" w:ascii="Arial" w:hAnsi="Arial" w:cs="Arial"/>
          <w:color w:val="auto"/>
          <w:sz w:val="26"/>
          <w:szCs w:val="26"/>
          <w:lang w:val="en-US" w:eastAsia="zh-CN"/>
        </w:rPr>
        <w:t>本项目枢纽工程、附属设施工程属于永久占地，输水管线均为临时占地。其中永久占地对区域土地利用结构具有不可逆的影响，临时占地经生态恢复后，土地原利用属性可恢复。因此，本评价主要分析项目永久占地对区域土地利用结构的影响。</w:t>
      </w:r>
    </w:p>
    <w:p w14:paraId="53DA5AD2">
      <w:pPr>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jc w:val="both"/>
        <w:textAlignment w:val="auto"/>
        <w:rPr>
          <w:rFonts w:hint="eastAsia" w:ascii="Arial" w:hAnsi="Arial" w:cs="Arial"/>
          <w:color w:val="auto"/>
          <w:sz w:val="26"/>
          <w:szCs w:val="26"/>
          <w:lang w:val="en-US" w:eastAsia="zh-CN"/>
        </w:rPr>
      </w:pPr>
      <w:r>
        <w:rPr>
          <w:rFonts w:hint="eastAsia" w:ascii="Arial" w:hAnsi="Arial" w:cs="Arial"/>
          <w:color w:val="auto"/>
          <w:sz w:val="26"/>
          <w:szCs w:val="26"/>
          <w:lang w:val="en-US" w:eastAsia="zh-CN"/>
        </w:rPr>
        <w:t>本项目永久占地面积为11.3182hm</w:t>
      </w:r>
      <w:r>
        <w:rPr>
          <w:rFonts w:hint="eastAsia" w:ascii="Arial" w:hAnsi="Arial" w:cs="Arial"/>
          <w:color w:val="auto"/>
          <w:sz w:val="26"/>
          <w:szCs w:val="26"/>
          <w:vertAlign w:val="superscript"/>
          <w:lang w:val="en-US" w:eastAsia="zh-CN"/>
        </w:rPr>
        <w:t>2</w:t>
      </w:r>
      <w:r>
        <w:rPr>
          <w:rFonts w:hint="eastAsia" w:ascii="Arial" w:hAnsi="Arial" w:cs="Arial"/>
          <w:color w:val="auto"/>
          <w:sz w:val="26"/>
          <w:szCs w:val="26"/>
          <w:lang w:val="en-US" w:eastAsia="zh-CN"/>
        </w:rPr>
        <w:t>，其中水库淹没区占地面积为8.3026hm</w:t>
      </w:r>
      <w:r>
        <w:rPr>
          <w:rFonts w:hint="eastAsia" w:ascii="Arial" w:hAnsi="Arial" w:cs="Arial"/>
          <w:color w:val="auto"/>
          <w:sz w:val="26"/>
          <w:szCs w:val="26"/>
          <w:vertAlign w:val="superscript"/>
          <w:lang w:val="en-US" w:eastAsia="zh-CN"/>
        </w:rPr>
        <w:t>2</w:t>
      </w:r>
      <w:r>
        <w:rPr>
          <w:rFonts w:hint="eastAsia" w:ascii="Arial" w:hAnsi="Arial" w:cs="Arial"/>
          <w:color w:val="auto"/>
          <w:sz w:val="26"/>
          <w:szCs w:val="26"/>
          <w:lang w:val="en-US" w:eastAsia="zh-CN"/>
        </w:rPr>
        <w:t>，占比为73.36%。按占地类型分，主要占用林地、耕地。工程建成后，区域内林草地、耕地面积有所减少，库区水域面积相应增加，但从区域整体分析，林草地、耕地减少率较小，对林草地、耕地利用结构的影响较小。库区蓄水后，水域面积增大，对水资源利用、水生生物数量增加是有利的。</w:t>
      </w:r>
    </w:p>
    <w:p w14:paraId="102B1C66">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工程临时占地面积为12.7944hm</w:t>
      </w:r>
      <w:r>
        <w:rPr>
          <w:rFonts w:hint="eastAsia" w:ascii="Arial" w:hAnsi="Arial" w:eastAsia="宋体" w:cs="Arial"/>
          <w:b w:val="0"/>
          <w:color w:val="auto"/>
          <w:kern w:val="2"/>
          <w:sz w:val="26"/>
          <w:szCs w:val="26"/>
          <w:vertAlign w:val="superscript"/>
          <w:lang w:val="en-US" w:eastAsia="zh-CN" w:bidi="ar-SA"/>
        </w:rPr>
        <w:t>2</w:t>
      </w:r>
      <w:r>
        <w:rPr>
          <w:rFonts w:hint="eastAsia" w:ascii="Arial" w:hAnsi="Arial" w:eastAsia="宋体" w:cs="Arial"/>
          <w:b w:val="0"/>
          <w:color w:val="auto"/>
          <w:kern w:val="2"/>
          <w:sz w:val="26"/>
          <w:szCs w:val="26"/>
          <w:lang w:val="en-US" w:eastAsia="zh-CN" w:bidi="ar-SA"/>
        </w:rPr>
        <w:t>，主要占用林地、耕地。项目施工完成后，所有脸上占地均将进行植被恢复。因此，临时占地对土地利用方式的影响主要发生在施工期，属于暂时性的影响，施工结束进行绿化覆土后，对土地利用方式的影响基本不存在。</w:t>
      </w:r>
    </w:p>
    <w:p w14:paraId="29A8ED95">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宋体" w:cs="Arial"/>
          <w:b/>
          <w:sz w:val="26"/>
          <w:szCs w:val="26"/>
          <w:lang w:val="en-US" w:eastAsia="zh-CN"/>
        </w:rPr>
      </w:pPr>
      <w:r>
        <w:rPr>
          <w:rFonts w:hint="eastAsia" w:ascii="Arial" w:hAnsi="宋体" w:cs="Arial"/>
          <w:b/>
          <w:sz w:val="26"/>
          <w:szCs w:val="26"/>
          <w:lang w:val="en-US" w:eastAsia="zh-CN"/>
        </w:rPr>
        <w:t>5.5.2对景观格局的影响</w:t>
      </w:r>
    </w:p>
    <w:p w14:paraId="48A27426">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项目施工期对景观生态系统的影响，主要表现在施工占地对农用地景观、林草地景观的影响。在整个评价区内对景观的影响为施工场地、施工便道、</w:t>
      </w:r>
      <w:r>
        <w:rPr>
          <w:rFonts w:hint="eastAsia" w:ascii="Arial" w:hAnsi="Arial" w:cs="Arial"/>
          <w:b w:val="0"/>
          <w:color w:val="auto"/>
          <w:kern w:val="2"/>
          <w:sz w:val="26"/>
          <w:szCs w:val="26"/>
          <w:lang w:val="en-US" w:eastAsia="zh-CN" w:bidi="ar-SA"/>
        </w:rPr>
        <w:t>输水管道和枢纽工程</w:t>
      </w:r>
      <w:r>
        <w:rPr>
          <w:rFonts w:hint="eastAsia" w:ascii="Arial" w:hAnsi="Arial" w:eastAsia="宋体" w:cs="Arial"/>
          <w:b w:val="0"/>
          <w:color w:val="auto"/>
          <w:kern w:val="2"/>
          <w:sz w:val="26"/>
          <w:szCs w:val="26"/>
          <w:lang w:val="en-US" w:eastAsia="zh-CN" w:bidi="ar-SA"/>
        </w:rPr>
        <w:t>施工区、弃渣场</w:t>
      </w:r>
      <w:r>
        <w:rPr>
          <w:rFonts w:hint="eastAsia" w:ascii="Arial" w:hAnsi="Arial" w:cs="Arial"/>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等设施平整开挖造成的挖面裸露，对原地貌景观有一定的影响。由于</w:t>
      </w:r>
      <w:r>
        <w:rPr>
          <w:rFonts w:hint="eastAsia" w:ascii="Arial" w:hAnsi="Arial" w:cs="Arial"/>
          <w:b w:val="0"/>
          <w:color w:val="auto"/>
          <w:kern w:val="2"/>
          <w:sz w:val="26"/>
          <w:szCs w:val="26"/>
          <w:lang w:val="en-US" w:eastAsia="zh-CN" w:bidi="ar-SA"/>
        </w:rPr>
        <w:t>项目</w:t>
      </w:r>
      <w:r>
        <w:rPr>
          <w:rFonts w:hint="eastAsia" w:ascii="Arial" w:hAnsi="Arial" w:eastAsia="宋体" w:cs="Arial"/>
          <w:b w:val="0"/>
          <w:color w:val="auto"/>
          <w:kern w:val="2"/>
          <w:sz w:val="26"/>
          <w:szCs w:val="26"/>
          <w:lang w:val="en-US" w:eastAsia="zh-CN" w:bidi="ar-SA"/>
        </w:rPr>
        <w:t>施工占地会用到农耕地及周围林地，所以农用地景观优势度降低，林地景观也有所减少。</w:t>
      </w:r>
      <w:r>
        <w:rPr>
          <w:rFonts w:hint="eastAsia" w:ascii="Arial" w:hAnsi="Arial" w:cs="Arial"/>
          <w:b w:val="0"/>
          <w:color w:val="auto"/>
          <w:kern w:val="2"/>
          <w:sz w:val="26"/>
          <w:szCs w:val="26"/>
          <w:lang w:val="en-US" w:eastAsia="zh-CN" w:bidi="ar-SA"/>
        </w:rPr>
        <w:t>但相对整个区域来说，景观格局变化幅度不大，且施工结束后将进行绿化布置，减少对区域景观格局的影响。</w:t>
      </w:r>
    </w:p>
    <w:p w14:paraId="34CEC791">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宋体" w:cs="Arial"/>
          <w:b/>
          <w:sz w:val="26"/>
          <w:szCs w:val="26"/>
          <w:lang w:val="en-US" w:eastAsia="zh-CN"/>
        </w:rPr>
      </w:pPr>
      <w:r>
        <w:rPr>
          <w:rFonts w:hint="eastAsia" w:ascii="Arial" w:hAnsi="宋体" w:cs="Arial"/>
          <w:b/>
          <w:sz w:val="26"/>
          <w:szCs w:val="26"/>
          <w:lang w:val="en-US" w:eastAsia="zh-CN"/>
        </w:rPr>
        <w:t>5.5.3对陆生植被的影响</w:t>
      </w:r>
    </w:p>
    <w:p w14:paraId="163AF65C">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default" w:ascii="Arial" w:hAnsi="宋体" w:cs="Arial"/>
          <w:b/>
          <w:sz w:val="26"/>
          <w:szCs w:val="26"/>
          <w:lang w:val="en-US" w:eastAsia="zh-CN"/>
        </w:rPr>
      </w:pPr>
      <w:r>
        <w:rPr>
          <w:rFonts w:hint="eastAsia" w:ascii="Arial" w:hAnsi="宋体" w:cs="Arial"/>
          <w:b/>
          <w:sz w:val="26"/>
          <w:szCs w:val="26"/>
          <w:lang w:val="en-US" w:eastAsia="zh-CN"/>
        </w:rPr>
        <w:t>（1）对植被面积的影响</w:t>
      </w:r>
    </w:p>
    <w:p w14:paraId="25367C4E">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施工期受工程占地影响较大的是林草地及农田植被，根据现场勘查，项目所在地受人为活动影响较大，林地主要为次生林，林地以马尾松、桉树、枫杨、柏木、水竹、麻栎、化香、构树为主，草地主要为</w:t>
      </w:r>
      <w:r>
        <w:rPr>
          <w:rFonts w:hint="eastAsia" w:ascii="Arial" w:hAnsi="Arial" w:cs="Arial"/>
          <w:b w:val="0"/>
          <w:color w:val="auto"/>
          <w:kern w:val="2"/>
          <w:sz w:val="26"/>
          <w:szCs w:val="26"/>
          <w:lang w:val="en-US" w:eastAsia="zh-CN" w:bidi="ar-SA"/>
        </w:rPr>
        <w:t>喜水河滩植被水麻、糯米团、茅叶荩草、黑麦草、鸢尾、芒萁、狗牙根、苍耳等，耕地种植的主要为水稻、玉米、红薯及季节性蔬菜。施工占地将直接剥离植被，造成各类植被面积减少，但</w:t>
      </w:r>
      <w:r>
        <w:rPr>
          <w:rFonts w:hint="eastAsia" w:ascii="Arial" w:hAnsi="Arial" w:eastAsia="宋体" w:cs="Arial"/>
          <w:b w:val="0"/>
          <w:color w:val="auto"/>
          <w:kern w:val="2"/>
          <w:sz w:val="26"/>
          <w:szCs w:val="26"/>
          <w:lang w:val="en-US" w:eastAsia="zh-CN" w:bidi="ar-SA"/>
        </w:rPr>
        <w:t>在整个评价区内</w:t>
      </w:r>
      <w:r>
        <w:rPr>
          <w:rFonts w:hint="eastAsia" w:ascii="Arial" w:hAnsi="Arial" w:cs="Arial"/>
          <w:b w:val="0"/>
          <w:color w:val="auto"/>
          <w:kern w:val="2"/>
          <w:sz w:val="26"/>
          <w:szCs w:val="26"/>
          <w:lang w:val="en-US" w:eastAsia="zh-CN" w:bidi="ar-SA"/>
        </w:rPr>
        <w:t>各类植被面积减少量小，施工结束后，</w:t>
      </w:r>
      <w:r>
        <w:rPr>
          <w:rFonts w:hint="eastAsia" w:ascii="Arial" w:hAnsi="Arial" w:eastAsia="宋体" w:cs="Arial"/>
          <w:b w:val="0"/>
          <w:color w:val="auto"/>
          <w:kern w:val="2"/>
          <w:sz w:val="26"/>
          <w:szCs w:val="26"/>
          <w:lang w:val="en-US" w:eastAsia="zh-CN" w:bidi="ar-SA"/>
        </w:rPr>
        <w:t>不仅临时占用的植被可以得到生态恢复，永久占地的坝上部及两侧大部分也可以进行植被恢复，因此工程对植被</w:t>
      </w:r>
      <w:r>
        <w:rPr>
          <w:rFonts w:hint="eastAsia" w:ascii="Arial" w:hAnsi="Arial" w:cs="Arial"/>
          <w:b w:val="0"/>
          <w:color w:val="auto"/>
          <w:kern w:val="2"/>
          <w:sz w:val="26"/>
          <w:szCs w:val="26"/>
          <w:lang w:val="en-US" w:eastAsia="zh-CN" w:bidi="ar-SA"/>
        </w:rPr>
        <w:t>面积</w:t>
      </w:r>
      <w:r>
        <w:rPr>
          <w:rFonts w:hint="eastAsia" w:ascii="Arial" w:hAnsi="Arial" w:eastAsia="宋体" w:cs="Arial"/>
          <w:b w:val="0"/>
          <w:color w:val="auto"/>
          <w:kern w:val="2"/>
          <w:sz w:val="26"/>
          <w:szCs w:val="26"/>
          <w:lang w:val="en-US" w:eastAsia="zh-CN" w:bidi="ar-SA"/>
        </w:rPr>
        <w:t>的</w:t>
      </w:r>
      <w:r>
        <w:rPr>
          <w:rFonts w:hint="eastAsia" w:ascii="Arial" w:hAnsi="Arial" w:cs="Arial"/>
          <w:b w:val="0"/>
          <w:color w:val="auto"/>
          <w:kern w:val="2"/>
          <w:sz w:val="26"/>
          <w:szCs w:val="26"/>
          <w:lang w:val="en-US" w:eastAsia="zh-CN" w:bidi="ar-SA"/>
        </w:rPr>
        <w:t>损坏</w:t>
      </w:r>
      <w:r>
        <w:rPr>
          <w:rFonts w:hint="eastAsia" w:ascii="Arial" w:hAnsi="Arial" w:eastAsia="宋体" w:cs="Arial"/>
          <w:b w:val="0"/>
          <w:color w:val="auto"/>
          <w:kern w:val="2"/>
          <w:sz w:val="26"/>
          <w:szCs w:val="26"/>
          <w:lang w:val="en-US" w:eastAsia="zh-CN" w:bidi="ar-SA"/>
        </w:rPr>
        <w:t>影响不大。</w:t>
      </w:r>
    </w:p>
    <w:p w14:paraId="6F2FC961">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（2）对生物量的影响</w:t>
      </w:r>
    </w:p>
    <w:p w14:paraId="01AA8037">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工程对植被的占用将直接造成生物量减少，根据各类用地类型的占地面积和单位面积的生物量值，可推算出工程导致的生物量损失。工程的实施，直接会导致耕地、林地、草地面积被破坏，从而造成</w:t>
      </w:r>
      <w:r>
        <w:rPr>
          <w:rFonts w:hint="eastAsia" w:ascii="Arial" w:hAnsi="Arial" w:cs="Arial"/>
          <w:b w:val="0"/>
          <w:color w:val="auto"/>
          <w:kern w:val="2"/>
          <w:sz w:val="26"/>
          <w:szCs w:val="26"/>
          <w:highlight w:val="none"/>
          <w:lang w:val="en-US" w:eastAsia="zh-CN" w:bidi="ar-SA"/>
        </w:rPr>
        <w:t>生物量</w:t>
      </w:r>
      <w:r>
        <w:rPr>
          <w:rFonts w:hint="eastAsia" w:ascii="Arial" w:hAnsi="Arial" w:cs="Arial"/>
          <w:b w:val="0"/>
          <w:color w:val="auto"/>
          <w:kern w:val="2"/>
          <w:sz w:val="26"/>
          <w:szCs w:val="26"/>
          <w:lang w:val="en-US" w:eastAsia="zh-CN" w:bidi="ar-SA"/>
        </w:rPr>
        <w:t>损失。工程施工结束后，</w:t>
      </w:r>
      <w:r>
        <w:rPr>
          <w:rFonts w:hint="eastAsia" w:ascii="Arial" w:hAnsi="Arial" w:eastAsia="宋体" w:cs="Arial"/>
          <w:b w:val="0"/>
          <w:color w:val="auto"/>
          <w:kern w:val="2"/>
          <w:sz w:val="26"/>
          <w:szCs w:val="26"/>
          <w:lang w:val="en-US" w:eastAsia="zh-CN" w:bidi="ar-SA"/>
        </w:rPr>
        <w:t>不仅临时占用的植被可以得到生态恢复，永久占地的坝上部及两侧大部分也可以进行植被恢复，</w:t>
      </w:r>
      <w:r>
        <w:rPr>
          <w:rFonts w:hint="eastAsia" w:ascii="Arial" w:hAnsi="Arial" w:cs="Arial"/>
          <w:b w:val="0"/>
          <w:color w:val="auto"/>
          <w:kern w:val="2"/>
          <w:sz w:val="26"/>
          <w:szCs w:val="26"/>
          <w:lang w:val="en-US" w:eastAsia="zh-CN" w:bidi="ar-SA"/>
        </w:rPr>
        <w:t>撒播草籽、植树造林，将减缓工程建设占地对区域生物量造成的损失。</w:t>
      </w:r>
    </w:p>
    <w:p w14:paraId="5DE10841">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（3）对植物资源的影响</w:t>
      </w:r>
    </w:p>
    <w:p w14:paraId="6B1C3F46">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根据现场调查可知，项目所在区域受人为活动影响较大，原生植被较少，多为次生植被，项目占地及影响范围内均未发现国家及重庆市重点保护的珍稀濒危野生植被、名木古树。</w:t>
      </w:r>
    </w:p>
    <w:p w14:paraId="6B8D7674">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施工期间，工程地面开挖及坝前水库蓄水淹没等会造成局部地表植被被破坏，对陆生植物产生不利影响。项目占地和水库淹没破坏林草地造成林草覆盖率下降，属于不可逆不利环境影响。对于项目占用的林业用地，项目业主将按规定交纳植被恢复费，从而完善林业征占地手续，用以实施异地造林恢复森林植被。随着施工活动的结束，施工场地平整、回填，水土保持措施得到实施后，受破坏植被</w:t>
      </w:r>
      <w:r>
        <w:rPr>
          <w:rFonts w:hint="eastAsia" w:ascii="Arial" w:hAnsi="Arial" w:cs="Arial"/>
          <w:b w:val="0"/>
          <w:color w:val="auto"/>
          <w:kern w:val="2"/>
          <w:sz w:val="26"/>
          <w:szCs w:val="26"/>
          <w:lang w:val="en-US" w:eastAsia="zh-CN" w:bidi="ar-SA"/>
        </w:rPr>
        <w:t>将得到一定程度的</w:t>
      </w:r>
      <w:r>
        <w:rPr>
          <w:rFonts w:hint="eastAsia" w:ascii="Arial" w:hAnsi="Arial" w:eastAsia="宋体" w:cs="Arial"/>
          <w:b w:val="0"/>
          <w:color w:val="auto"/>
          <w:kern w:val="2"/>
          <w:sz w:val="26"/>
          <w:szCs w:val="26"/>
          <w:lang w:val="en-US" w:eastAsia="zh-CN" w:bidi="ar-SA"/>
        </w:rPr>
        <w:t>恢复，不会因本项目的施工而导致植物物种的灭绝和植物群落类型的消失</w:t>
      </w:r>
      <w:r>
        <w:rPr>
          <w:rFonts w:hint="eastAsia" w:ascii="Arial" w:hAnsi="Arial" w:cs="Arial"/>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植被覆盖率</w:t>
      </w:r>
      <w:r>
        <w:rPr>
          <w:rFonts w:hint="eastAsia" w:ascii="Arial" w:hAnsi="Arial" w:cs="Arial"/>
          <w:b w:val="0"/>
          <w:color w:val="auto"/>
          <w:kern w:val="2"/>
          <w:sz w:val="26"/>
          <w:szCs w:val="26"/>
          <w:lang w:val="en-US" w:eastAsia="zh-CN" w:bidi="ar-SA"/>
        </w:rPr>
        <w:t>也将</w:t>
      </w:r>
      <w:r>
        <w:rPr>
          <w:rFonts w:hint="eastAsia" w:ascii="Arial" w:hAnsi="Arial" w:eastAsia="宋体" w:cs="Arial"/>
          <w:b w:val="0"/>
          <w:color w:val="auto"/>
          <w:kern w:val="2"/>
          <w:sz w:val="26"/>
          <w:szCs w:val="26"/>
          <w:lang w:val="en-US" w:eastAsia="zh-CN" w:bidi="ar-SA"/>
        </w:rPr>
        <w:t>有所回升。</w:t>
      </w:r>
    </w:p>
    <w:p w14:paraId="03BFC576">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工程建设征地总占地124.81hm</w:t>
      </w:r>
      <w:r>
        <w:rPr>
          <w:rFonts w:hint="eastAsia" w:ascii="Arial" w:hAnsi="Arial" w:cs="Arial"/>
          <w:b w:val="0"/>
          <w:color w:val="auto"/>
          <w:kern w:val="2"/>
          <w:sz w:val="26"/>
          <w:szCs w:val="26"/>
          <w:vertAlign w:val="superscript"/>
          <w:lang w:val="en-US" w:eastAsia="zh-CN" w:bidi="ar-SA"/>
        </w:rPr>
        <w:t>2</w:t>
      </w:r>
      <w:r>
        <w:rPr>
          <w:rFonts w:hint="eastAsia" w:ascii="Arial" w:hAnsi="Arial" w:cs="Arial"/>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其中永久征地</w:t>
      </w:r>
      <w:r>
        <w:rPr>
          <w:rFonts w:hint="eastAsia" w:ascii="Arial" w:hAnsi="Arial" w:cs="Arial"/>
          <w:b w:val="0"/>
          <w:color w:val="auto"/>
          <w:kern w:val="2"/>
          <w:sz w:val="26"/>
          <w:szCs w:val="26"/>
          <w:lang w:val="en-US" w:eastAsia="zh-CN" w:bidi="ar-SA"/>
        </w:rPr>
        <w:t>11.3182</w:t>
      </w:r>
      <w:r>
        <w:rPr>
          <w:rFonts w:hint="eastAsia" w:ascii="Arial" w:hAnsi="Arial" w:eastAsia="宋体" w:cs="Arial"/>
          <w:b w:val="0"/>
          <w:color w:val="auto"/>
          <w:kern w:val="2"/>
          <w:sz w:val="26"/>
          <w:szCs w:val="26"/>
          <w:lang w:val="en-US" w:eastAsia="zh-CN" w:bidi="ar-SA"/>
        </w:rPr>
        <w:t>hm</w:t>
      </w:r>
      <w:r>
        <w:rPr>
          <w:rFonts w:hint="eastAsia" w:ascii="Arial" w:hAnsi="Arial" w:cs="Arial"/>
          <w:b w:val="0"/>
          <w:color w:val="auto"/>
          <w:kern w:val="2"/>
          <w:sz w:val="26"/>
          <w:szCs w:val="26"/>
          <w:vertAlign w:val="superscript"/>
          <w:lang w:val="en-US" w:eastAsia="zh-CN" w:bidi="ar-SA"/>
        </w:rPr>
        <w:t>2</w:t>
      </w:r>
      <w:r>
        <w:rPr>
          <w:rFonts w:hint="eastAsia" w:ascii="Arial" w:hAnsi="Arial" w:cs="Arial"/>
          <w:b w:val="0"/>
          <w:color w:val="auto"/>
          <w:kern w:val="2"/>
          <w:sz w:val="26"/>
          <w:szCs w:val="26"/>
          <w:lang w:val="en-US" w:eastAsia="zh-CN" w:bidi="ar-SA"/>
        </w:rPr>
        <w:t>，</w:t>
      </w:r>
      <w:r>
        <w:rPr>
          <w:rFonts w:hint="eastAsia" w:ascii="Arial" w:hAnsi="Arial" w:eastAsia="宋体" w:cs="Arial"/>
          <w:b w:val="0"/>
          <w:color w:val="auto"/>
          <w:kern w:val="2"/>
          <w:sz w:val="26"/>
          <w:szCs w:val="26"/>
          <w:lang w:val="en-US" w:eastAsia="zh-CN" w:bidi="ar-SA"/>
        </w:rPr>
        <w:t>施工临时占地</w:t>
      </w:r>
      <w:r>
        <w:rPr>
          <w:rFonts w:hint="eastAsia" w:ascii="Arial" w:hAnsi="Arial" w:cs="Arial"/>
          <w:b w:val="0"/>
          <w:color w:val="auto"/>
          <w:kern w:val="2"/>
          <w:sz w:val="26"/>
          <w:szCs w:val="26"/>
          <w:lang w:val="en-US" w:eastAsia="zh-CN" w:bidi="ar-SA"/>
        </w:rPr>
        <w:t>127944</w:t>
      </w:r>
      <w:r>
        <w:rPr>
          <w:rFonts w:hint="eastAsia" w:ascii="Arial" w:hAnsi="Arial" w:eastAsia="宋体" w:cs="Arial"/>
          <w:b w:val="0"/>
          <w:color w:val="auto"/>
          <w:kern w:val="2"/>
          <w:sz w:val="26"/>
          <w:szCs w:val="26"/>
          <w:lang w:val="en-US" w:eastAsia="zh-CN" w:bidi="ar-SA"/>
        </w:rPr>
        <w:t>hm</w:t>
      </w:r>
      <w:r>
        <w:rPr>
          <w:rFonts w:hint="eastAsia" w:ascii="Arial" w:hAnsi="Arial" w:cs="Arial"/>
          <w:b w:val="0"/>
          <w:color w:val="auto"/>
          <w:kern w:val="2"/>
          <w:sz w:val="26"/>
          <w:szCs w:val="26"/>
          <w:vertAlign w:val="superscript"/>
          <w:lang w:val="en-US" w:eastAsia="zh-CN" w:bidi="ar-SA"/>
        </w:rPr>
        <w:t>2</w:t>
      </w:r>
      <w:r>
        <w:rPr>
          <w:rFonts w:hint="eastAsia" w:ascii="Arial" w:hAnsi="Arial" w:eastAsia="宋体" w:cs="Arial"/>
          <w:b w:val="0"/>
          <w:color w:val="auto"/>
          <w:kern w:val="2"/>
          <w:sz w:val="26"/>
          <w:szCs w:val="26"/>
          <w:lang w:val="en-US" w:eastAsia="zh-CN" w:bidi="ar-SA"/>
        </w:rPr>
        <w:t>。</w:t>
      </w:r>
    </w:p>
    <w:p w14:paraId="7F1F2D36">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宋体" w:cs="Arial"/>
          <w:b/>
          <w:sz w:val="26"/>
          <w:szCs w:val="26"/>
          <w:lang w:val="en-US" w:eastAsia="zh-CN"/>
        </w:rPr>
      </w:pPr>
      <w:r>
        <w:rPr>
          <w:rFonts w:hint="eastAsia" w:ascii="Arial" w:hAnsi="宋体" w:cs="Arial"/>
          <w:b/>
          <w:sz w:val="26"/>
          <w:szCs w:val="26"/>
          <w:lang w:val="en-US" w:eastAsia="zh-CN"/>
        </w:rPr>
        <w:t>① 永久占地的影响</w:t>
      </w:r>
    </w:p>
    <w:p w14:paraId="49BBC381">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eastAsia="宋体"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永久占地范围内植被以耕地、林地、灌草地为主，</w:t>
      </w:r>
      <w:r>
        <w:rPr>
          <w:rFonts w:hint="eastAsia" w:ascii="Arial" w:hAnsi="Arial" w:eastAsia="宋体" w:cs="Arial"/>
          <w:b w:val="0"/>
          <w:color w:val="auto"/>
          <w:kern w:val="2"/>
          <w:sz w:val="26"/>
          <w:szCs w:val="26"/>
          <w:lang w:val="en-US" w:eastAsia="zh-CN" w:bidi="ar-SA"/>
        </w:rPr>
        <w:t>林地以马尾松、桉树、枫杨、柏木、水竹、麻栎、化香、构树为主，草地主要为</w:t>
      </w:r>
      <w:r>
        <w:rPr>
          <w:rFonts w:hint="eastAsia" w:ascii="Arial" w:hAnsi="Arial" w:cs="Arial"/>
          <w:b w:val="0"/>
          <w:color w:val="auto"/>
          <w:kern w:val="2"/>
          <w:sz w:val="26"/>
          <w:szCs w:val="26"/>
          <w:lang w:val="en-US" w:eastAsia="zh-CN" w:bidi="ar-SA"/>
        </w:rPr>
        <w:t>喜水河滩植被水麻、糯米团、茅叶荩草、黑麦草、鸢尾、芒萁、狗牙根、苍耳等，耕地种植的主要为水稻、玉米、红薯及季节性蔬菜。</w:t>
      </w:r>
    </w:p>
    <w:p w14:paraId="2D54B901">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工程施工建设对区域内的植物产生直接的破坏，导致植物个体数量减少。永久占地将直接对植物群落和植被所在区域造成破坏，其破坏是长期的、不可逆的。但工程建设区破坏植被均为常见种，且在整个评价区内面积占比较小，对项目所在区域植被及植被生物量影响小。因此，项目永久占地对评价区野生植被的影响较小。</w:t>
      </w:r>
    </w:p>
    <w:p w14:paraId="2237A4C2">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宋体" w:cs="Arial"/>
          <w:b/>
          <w:sz w:val="26"/>
          <w:szCs w:val="26"/>
          <w:lang w:val="en-US" w:eastAsia="zh-CN"/>
        </w:rPr>
      </w:pPr>
      <w:r>
        <w:rPr>
          <w:rFonts w:hint="default" w:ascii="Arial" w:hAnsi="宋体" w:cs="Arial"/>
          <w:b/>
          <w:sz w:val="26"/>
          <w:szCs w:val="26"/>
          <w:lang w:val="en-US" w:eastAsia="zh-CN"/>
        </w:rPr>
        <w:t>②</w:t>
      </w:r>
      <w:r>
        <w:rPr>
          <w:rFonts w:hint="eastAsia" w:ascii="Arial" w:hAnsi="宋体" w:cs="Arial"/>
          <w:b/>
          <w:sz w:val="26"/>
          <w:szCs w:val="26"/>
          <w:lang w:val="en-US" w:eastAsia="zh-CN"/>
        </w:rPr>
        <w:t xml:space="preserve"> 临时占地的影响</w:t>
      </w:r>
    </w:p>
    <w:p w14:paraId="13A3BB70">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项目临时占地内植被仍以耕地、林地、灌草地为主，植被类型与项目永久占地范围内大致相同，工程施工建设对区域内的植物产生直接的破坏，导致植物个体数量减少。临时占地虽然将直接剥离地表植被，但属于短期、可逆不利影响，受影响的植物及植被在评价区均广泛分布，不存在因局部植物物种损失而导致工程区内植物物种多样性减少或种群消失或灭绝。此外，项目施工结束后，将选用当地常见植被对临时占地进行覆土绿化，可以有效地减缓、弥补临时占地对评价区植物的影响。</w:t>
      </w:r>
    </w:p>
    <w:p w14:paraId="68EA93AD">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宋体" w:cs="Arial"/>
          <w:b/>
          <w:sz w:val="26"/>
          <w:szCs w:val="26"/>
          <w:lang w:val="en-US" w:eastAsia="zh-CN"/>
        </w:rPr>
      </w:pPr>
      <w:r>
        <w:rPr>
          <w:rFonts w:hint="eastAsia" w:ascii="Arial" w:hAnsi="宋体" w:cs="Arial"/>
          <w:b/>
          <w:sz w:val="26"/>
          <w:szCs w:val="26"/>
          <w:lang w:val="en-US" w:eastAsia="zh-CN"/>
        </w:rPr>
        <w:t>③ 施工活动对植物的影响</w:t>
      </w:r>
    </w:p>
    <w:p w14:paraId="39E962FC">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施工活动对植物的影响方式可分为直接影响及间接影响。直接影响主要是指施工人员活动、施工车辆碾压等使得周围植被损失，生物量减少；间接影响主要是指施工过程中产生的废气、废水、废渣、扬尘以及带入外来物种等对植物的产生的影响，使得周围植物生长变缓、发育不良，危害严重是会导致植物死亡。同时，施工过程中还应注意外来物种的影响，施工期机械车辆、人为活动增多，运输材料和施工材料可能会带入外来物种，导致当地本土植物生长受到威胁，评价区内外来入侵物种有空心莲子草、藿香蓟等，施工活动的进行必然会加剧区域内原本存在的外来物种的传播，也可能带入新的外来物种。外来物种的入侵将会迅速占领生态位，对本地种的生存造成危害。</w:t>
      </w:r>
    </w:p>
    <w:p w14:paraId="7D2FB412">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（4）小结</w:t>
      </w:r>
    </w:p>
    <w:p w14:paraId="0778D267">
      <w:pPr>
        <w:pStyle w:val="2113"/>
        <w:spacing w:line="460" w:lineRule="exact"/>
        <w:ind w:firstLine="520"/>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综上，工程建设虽然减少了评价范围内一定的植被生物量，但破坏量有限，不会造成地表植被物种个体数量骤减，且本项目影响范围内不涉及</w:t>
      </w:r>
      <w:r>
        <w:rPr>
          <w:rFonts w:hint="eastAsia" w:ascii="Arial" w:hAnsi="Arial" w:cs="Arial"/>
          <w:b w:val="0"/>
          <w:color w:val="auto"/>
          <w:kern w:val="2"/>
          <w:sz w:val="26"/>
          <w:szCs w:val="26"/>
          <w:lang w:val="en-US" w:eastAsia="zh-CN" w:bidi="ar-SA"/>
        </w:rPr>
        <w:t>珍稀濒危保护型野生</w:t>
      </w:r>
      <w:r>
        <w:rPr>
          <w:rFonts w:hint="eastAsia" w:ascii="Arial" w:hAnsi="Arial" w:eastAsia="宋体" w:cs="Arial"/>
          <w:b w:val="0"/>
          <w:color w:val="auto"/>
          <w:kern w:val="2"/>
          <w:sz w:val="26"/>
          <w:szCs w:val="26"/>
          <w:lang w:val="en-US" w:eastAsia="zh-CN" w:bidi="ar-SA"/>
        </w:rPr>
        <w:t>植物</w:t>
      </w:r>
      <w:r>
        <w:rPr>
          <w:rFonts w:hint="eastAsia" w:ascii="Arial" w:hAnsi="Arial" w:cs="Arial"/>
          <w:b w:val="0"/>
          <w:color w:val="auto"/>
          <w:kern w:val="2"/>
          <w:sz w:val="26"/>
          <w:szCs w:val="26"/>
          <w:lang w:val="en-US" w:eastAsia="zh-CN" w:bidi="ar-SA"/>
        </w:rPr>
        <w:t>、名木古树</w:t>
      </w:r>
      <w:r>
        <w:rPr>
          <w:rFonts w:hint="eastAsia" w:ascii="Arial" w:hAnsi="Arial" w:eastAsia="宋体" w:cs="Arial"/>
          <w:b w:val="0"/>
          <w:color w:val="auto"/>
          <w:kern w:val="2"/>
          <w:sz w:val="26"/>
          <w:szCs w:val="26"/>
          <w:lang w:val="en-US" w:eastAsia="zh-CN" w:bidi="ar-SA"/>
        </w:rPr>
        <w:t>，均为恢复力强的常见植物。因此本项目对区域植物生物多样性不会造成较大的影响，也不会破坏整个生态系统的结构和稳定性。</w:t>
      </w:r>
    </w:p>
    <w:p w14:paraId="7298BB7F">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Arial" w:cs="Arial"/>
          <w:b w:val="0"/>
          <w:color w:val="auto"/>
          <w:kern w:val="2"/>
          <w:sz w:val="26"/>
          <w:szCs w:val="26"/>
          <w:lang w:val="en-US" w:eastAsia="zh-CN" w:bidi="ar-SA"/>
        </w:rPr>
      </w:pPr>
      <w:r>
        <w:rPr>
          <w:rFonts w:hint="eastAsia" w:ascii="Arial" w:hAnsi="宋体" w:cs="Arial"/>
          <w:b/>
          <w:sz w:val="26"/>
          <w:szCs w:val="26"/>
          <w:lang w:val="en-US" w:eastAsia="zh-CN"/>
        </w:rPr>
        <w:t>5.5.4对陆生动物的影响</w:t>
      </w:r>
    </w:p>
    <w:p w14:paraId="076BA6E8">
      <w:pPr>
        <w:pStyle w:val="2113"/>
        <w:spacing w:line="460" w:lineRule="exact"/>
        <w:ind w:firstLine="520"/>
        <w:rPr>
          <w:rFonts w:hint="eastAsia" w:ascii="Arial" w:hAnsi="Arial" w:eastAsia="宋体" w:cs="Arial"/>
          <w:b w:val="0"/>
          <w:color w:val="auto"/>
          <w:kern w:val="2"/>
          <w:sz w:val="26"/>
          <w:szCs w:val="26"/>
          <w:lang w:val="en-US" w:eastAsia="zh-CN" w:bidi="ar-SA"/>
        </w:rPr>
      </w:pPr>
      <w:bookmarkStart w:id="114" w:name="_Hlk155362372"/>
      <w:r>
        <w:rPr>
          <w:rFonts w:hint="eastAsia" w:ascii="Arial" w:hAnsi="Arial" w:cs="Arial"/>
          <w:b w:val="0"/>
          <w:color w:val="auto"/>
          <w:kern w:val="2"/>
          <w:sz w:val="26"/>
          <w:szCs w:val="26"/>
          <w:lang w:val="en-US" w:eastAsia="zh-CN" w:bidi="ar-SA"/>
        </w:rPr>
        <w:t>根据现场勘查，项目区动物群落分布与生境分化有着密切关系，主要有河岸湿地动物群落、低山灌丛动物群落、居民点动物群落等三种类型。本项目影响区山体陡峭、坡度较大，</w:t>
      </w:r>
      <w:r>
        <w:rPr>
          <w:rFonts w:hint="eastAsia" w:ascii="Arial" w:hAnsi="Arial" w:eastAsia="宋体" w:cs="Arial"/>
          <w:b w:val="0"/>
          <w:color w:val="auto"/>
          <w:kern w:val="2"/>
          <w:sz w:val="26"/>
          <w:szCs w:val="26"/>
          <w:lang w:val="en-US" w:eastAsia="zh-CN" w:bidi="ar-SA"/>
        </w:rPr>
        <w:t>加之评价区内主要廊道为水体，对野生动物活动构成天然屏障，人类干扰强度大，不是大型野生动物主要活动范围。</w:t>
      </w:r>
    </w:p>
    <w:p w14:paraId="60D2A756">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（1）对动物多样性的影响</w:t>
      </w:r>
    </w:p>
    <w:p w14:paraId="19F0F07D">
      <w:pPr>
        <w:pStyle w:val="2113"/>
        <w:spacing w:line="460" w:lineRule="exact"/>
        <w:ind w:firstLine="520"/>
        <w:rPr>
          <w:rFonts w:hint="eastAsia" w:ascii="Arial" w:hAnsi="Arial" w:eastAsia="宋体"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本项目施工区对陆生动物的影响主要集中在以下方面：工程施工、土石方开挖及 弃渣堆放等活动造成对陆生动物生境的占用和破坏；施工人员及施工机械设备噪声、震动等对动物的惊吓、驱赶、摄食及休息等日常活动造成影响；施工期该区域的陆生脊椎动物的种类和数量将出现暂时的波动。</w:t>
      </w:r>
    </w:p>
    <w:p w14:paraId="73C0DB5E">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宋体" w:cs="Arial"/>
          <w:b/>
          <w:sz w:val="26"/>
          <w:szCs w:val="26"/>
          <w:lang w:val="en-US" w:eastAsia="zh-CN"/>
        </w:rPr>
      </w:pPr>
      <w:r>
        <w:rPr>
          <w:rFonts w:hint="default" w:ascii="Arial" w:hAnsi="宋体" w:cs="Arial"/>
          <w:b/>
          <w:sz w:val="26"/>
          <w:szCs w:val="26"/>
          <w:lang w:val="en-US" w:eastAsia="zh-CN"/>
        </w:rPr>
        <w:t>①</w:t>
      </w:r>
      <w:r>
        <w:rPr>
          <w:rFonts w:hint="eastAsia" w:ascii="Arial" w:hAnsi="宋体" w:cs="Arial"/>
          <w:b/>
          <w:sz w:val="26"/>
          <w:szCs w:val="26"/>
          <w:lang w:val="en-US" w:eastAsia="zh-CN"/>
        </w:rPr>
        <w:t>枢纽工程区的影响</w:t>
      </w:r>
    </w:p>
    <w:p w14:paraId="01083554">
      <w:pPr>
        <w:pStyle w:val="2113"/>
        <w:spacing w:line="460" w:lineRule="exact"/>
        <w:ind w:firstLine="520"/>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坝枢为永久性占地区域，施工地主要为耕地、林地、灌草地。施工占地导致的生境破坏，对生活在该区域的少量脊椎动物和小型哺乳动物造成直接影响，该段施工将破坏其隐匿场所而造成其少量个体损失，迫使其暂时离开该区域活动。但本项目占地类型在附近有大量分布，受影响动物可迁移至临近合适的生境中，待施工完毕，将会有一定数量的迁回，故而影响不大。</w:t>
      </w:r>
    </w:p>
    <w:p w14:paraId="1431302C">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Arial" w:hAnsi="宋体" w:cs="Arial"/>
          <w:b/>
          <w:sz w:val="26"/>
          <w:szCs w:val="26"/>
          <w:lang w:val="en-US" w:eastAsia="zh-CN"/>
        </w:rPr>
      </w:pPr>
      <w:r>
        <w:rPr>
          <w:rFonts w:hint="default" w:ascii="Arial" w:hAnsi="宋体" w:cs="Arial"/>
          <w:b/>
          <w:sz w:val="26"/>
          <w:szCs w:val="26"/>
          <w:lang w:val="en-US" w:eastAsia="zh-CN"/>
        </w:rPr>
        <w:t>②</w:t>
      </w:r>
      <w:r>
        <w:rPr>
          <w:rFonts w:hint="eastAsia" w:ascii="Arial" w:hAnsi="宋体" w:cs="Arial"/>
          <w:b/>
          <w:sz w:val="26"/>
          <w:szCs w:val="26"/>
          <w:lang w:val="en-US" w:eastAsia="zh-CN"/>
        </w:rPr>
        <w:t>淹没区的影响</w:t>
      </w:r>
    </w:p>
    <w:p w14:paraId="43CA0AB3">
      <w:pPr>
        <w:pStyle w:val="2113"/>
        <w:spacing w:line="460" w:lineRule="exact"/>
        <w:ind w:firstLine="520"/>
        <w:rPr>
          <w:rFonts w:hint="eastAsia" w:ascii="Arial" w:hAnsi="Arial" w:cs="Arial"/>
          <w:b w:val="0"/>
          <w:color w:val="auto"/>
          <w:kern w:val="2"/>
          <w:sz w:val="26"/>
          <w:szCs w:val="26"/>
          <w:lang w:val="en-US" w:eastAsia="zh-CN" w:bidi="ar-SA"/>
        </w:rPr>
      </w:pPr>
      <w:r>
        <w:rPr>
          <w:rFonts w:hint="eastAsia" w:ascii="Arial" w:hAnsi="Arial" w:cs="Arial"/>
          <w:b w:val="0"/>
          <w:color w:val="auto"/>
          <w:kern w:val="2"/>
          <w:sz w:val="26"/>
          <w:szCs w:val="26"/>
          <w:lang w:val="en-US" w:eastAsia="zh-CN" w:bidi="ar-SA"/>
        </w:rPr>
        <w:t>淹没区为永久占地，水位上涨将占用评价区的森林植被，水库蓄水过程中，将彻底损毁其生存环境，对其原生活的脊椎动物和小型哺乳动物有直接影响，使其原有巢穴及避难所遭到破坏。但它们躲避能力强，较易适应人类居住环境，繁殖力强，会在短期内受到一定的干扰，但很快便会适应。</w:t>
      </w:r>
    </w:p>
    <w:p w14:paraId="1EAA1B95">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宋体" w:cs="Arial"/>
          <w:b/>
          <w:sz w:val="26"/>
          <w:szCs w:val="26"/>
          <w:lang w:val="en-US" w:eastAsia="zh-CN"/>
        </w:rPr>
      </w:pPr>
      <w:r>
        <w:rPr>
          <w:rFonts w:hint="eastAsia" w:ascii="Arial" w:hAnsi="宋体" w:cs="Arial"/>
          <w:b/>
          <w:sz w:val="26"/>
          <w:szCs w:val="26"/>
          <w:lang w:val="en-US" w:eastAsia="zh-CN"/>
        </w:rPr>
        <w:t>③输水工程区的影响</w:t>
      </w:r>
    </w:p>
    <w:p w14:paraId="70409477">
      <w:pPr>
        <w:pStyle w:val="2113"/>
        <w:spacing w:line="460" w:lineRule="exact"/>
        <w:ind w:firstLine="520"/>
        <w:rPr>
          <w:rFonts w:hint="eastAsia"/>
          <w:color w:val="auto"/>
          <w:sz w:val="26"/>
          <w:szCs w:val="26"/>
        </w:rPr>
      </w:pPr>
      <w:r>
        <w:rPr>
          <w:rFonts w:hint="eastAsia"/>
          <w:color w:val="auto"/>
          <w:sz w:val="26"/>
          <w:szCs w:val="26"/>
        </w:rPr>
        <w:t>管道施工其本身较为简单，主要穿越区域为耕地、荒地，野生动物种类较少，施工期的主要问题是运送管道时的人员进入和临时便道可能会破坏部分动物的巢穴和隐蔽场所，更可能直接伤害部分动物个体。主要影响类群为爬行类和小型哺乳动物，以及少量两栖类动物。施工前应该提前查看将施工区域，</w:t>
      </w:r>
      <w:r>
        <w:rPr>
          <w:rFonts w:hint="eastAsia"/>
          <w:color w:val="auto"/>
          <w:sz w:val="26"/>
          <w:szCs w:val="26"/>
          <w:lang w:eastAsia="zh-CN"/>
        </w:rPr>
        <w:t>落实</w:t>
      </w:r>
      <w:r>
        <w:rPr>
          <w:rFonts w:hint="eastAsia"/>
          <w:color w:val="auto"/>
          <w:sz w:val="26"/>
          <w:szCs w:val="26"/>
        </w:rPr>
        <w:t>是否有动物个体或巢穴，若有动物，则将之驱离，若有巢穴，则施工时注意避开，这样可以很好的起到保护的作用。对施工人员应进行一定的动物保护方面培训和要求，避免人为因素对动物个体造成伤害。</w:t>
      </w:r>
    </w:p>
    <w:p w14:paraId="4D3B4E85">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（2）对两栖动物的影响</w:t>
      </w:r>
    </w:p>
    <w:p w14:paraId="3065E563">
      <w:pPr>
        <w:pStyle w:val="2113"/>
        <w:spacing w:line="460" w:lineRule="exact"/>
        <w:ind w:firstLine="520"/>
        <w:rPr>
          <w:rFonts w:hint="eastAsia" w:ascii="Arial" w:cs="Arial"/>
          <w:color w:val="auto"/>
          <w:sz w:val="26"/>
          <w:szCs w:val="26"/>
          <w:lang w:eastAsia="zh-CN"/>
        </w:rPr>
      </w:pPr>
      <w:r>
        <w:rPr>
          <w:rFonts w:hint="eastAsia" w:ascii="Arial" w:cs="Arial"/>
          <w:color w:val="auto"/>
          <w:sz w:val="26"/>
          <w:szCs w:val="26"/>
        </w:rPr>
        <w:t>两栖动物是工程主要影响对象，</w:t>
      </w:r>
      <w:r>
        <w:rPr>
          <w:rFonts w:hint="eastAsia" w:ascii="Arial" w:cs="Arial"/>
          <w:color w:val="auto"/>
          <w:sz w:val="26"/>
          <w:szCs w:val="26"/>
          <w:lang w:eastAsia="zh-CN"/>
        </w:rPr>
        <w:t>项目影响区域内两栖动物主要为蛙科类，主要生活在离水源不远的农田及附近的草丛中。项目施工期会占用部分两栖类的生境，导致其生境范围有所缩小，</w:t>
      </w:r>
      <w:r>
        <w:rPr>
          <w:rFonts w:ascii="Arial" w:cs="Arial"/>
          <w:color w:val="auto"/>
          <w:sz w:val="26"/>
          <w:szCs w:val="26"/>
        </w:rPr>
        <w:t>施工中</w:t>
      </w:r>
      <w:r>
        <w:rPr>
          <w:rFonts w:hint="eastAsia" w:ascii="Arial" w:cs="Arial"/>
          <w:color w:val="auto"/>
          <w:sz w:val="26"/>
          <w:szCs w:val="26"/>
        </w:rPr>
        <w:t>大坝枢纽将切断自然河流上下游生活的水栖两栖动物的基因交流，形成的库区将不适宜于流水生活和繁殖的两栖类生活</w:t>
      </w:r>
      <w:r>
        <w:rPr>
          <w:rFonts w:hint="eastAsia" w:ascii="Arial" w:cs="Arial"/>
          <w:color w:val="auto"/>
          <w:sz w:val="26"/>
          <w:szCs w:val="26"/>
          <w:lang w:eastAsia="zh-CN"/>
        </w:rPr>
        <w:t>，同时，项目施工产生的各类污废水若事故排放至河流中，将对两栖类动物的生境造成污染。但这种影响是短暂且可逆的，工程附近分布有广泛的相似生境，两栖动物可以迁移至临近类似生境中，施工活动结束后，逐步迁回。</w:t>
      </w:r>
    </w:p>
    <w:p w14:paraId="796E5337">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（3）对爬行类动物的影响</w:t>
      </w:r>
    </w:p>
    <w:p w14:paraId="31C75EE3">
      <w:pPr>
        <w:pStyle w:val="2113"/>
        <w:spacing w:line="460" w:lineRule="exact"/>
        <w:ind w:firstLine="520"/>
        <w:rPr>
          <w:rFonts w:hint="eastAsia" w:ascii="Arial" w:cs="Arial"/>
          <w:color w:val="auto"/>
          <w:sz w:val="26"/>
          <w:szCs w:val="26"/>
          <w:lang w:eastAsia="zh-CN"/>
        </w:rPr>
      </w:pPr>
      <w:r>
        <w:rPr>
          <w:rFonts w:hint="eastAsia" w:ascii="Arial" w:hAnsi="Times New Roman" w:cs="Arial"/>
          <w:color w:val="auto"/>
          <w:sz w:val="26"/>
          <w:szCs w:val="26"/>
          <w:lang w:eastAsia="zh-CN"/>
        </w:rPr>
        <w:t>爬行类动物以游蛇科、</w:t>
      </w:r>
      <w:r>
        <w:rPr>
          <w:rFonts w:hint="eastAsia" w:ascii="Arial" w:hAnsi="Times New Roman" w:cs="Arial"/>
          <w:color w:val="auto"/>
          <w:sz w:val="26"/>
          <w:szCs w:val="26"/>
        </w:rPr>
        <w:t>蝰科</w:t>
      </w:r>
      <w:r>
        <w:rPr>
          <w:rFonts w:hint="eastAsia" w:ascii="Arial" w:hAnsi="Times New Roman" w:cs="Arial"/>
          <w:color w:val="auto"/>
          <w:sz w:val="26"/>
          <w:szCs w:val="26"/>
          <w:lang w:eastAsia="zh-CN"/>
        </w:rPr>
        <w:t>、石龙子科、蜥蜴科等为主，</w:t>
      </w:r>
      <w:r>
        <w:rPr>
          <w:rFonts w:hint="eastAsia" w:ascii="Arial" w:hAnsi="Times New Roman" w:cs="Arial"/>
          <w:color w:val="auto"/>
          <w:sz w:val="26"/>
          <w:szCs w:val="26"/>
        </w:rPr>
        <w:t>它们</w:t>
      </w:r>
      <w:r>
        <w:rPr>
          <w:rFonts w:hint="eastAsia" w:ascii="Arial" w:hAnsi="Times New Roman" w:cs="Arial"/>
          <w:color w:val="auto"/>
          <w:sz w:val="26"/>
          <w:szCs w:val="26"/>
          <w:lang w:eastAsia="zh-CN"/>
        </w:rPr>
        <w:t>主要</w:t>
      </w:r>
      <w:r>
        <w:rPr>
          <w:rFonts w:hint="eastAsia" w:ascii="Arial" w:hAnsi="Times New Roman" w:cs="Arial"/>
          <w:color w:val="auto"/>
          <w:sz w:val="26"/>
          <w:szCs w:val="26"/>
        </w:rPr>
        <w:t>在河流及周边的林地灌丛中栖息活动</w:t>
      </w:r>
      <w:r>
        <w:rPr>
          <w:rFonts w:hint="eastAsia" w:ascii="Arial" w:hAnsi="Times New Roman" w:cs="Arial"/>
          <w:color w:val="auto"/>
          <w:sz w:val="26"/>
          <w:szCs w:val="26"/>
          <w:lang w:eastAsia="zh-CN"/>
        </w:rPr>
        <w:t>。在项目施工期间，其生境将会被占用或污染，个体也会因为施工噪声</w:t>
      </w:r>
      <w:r>
        <w:rPr>
          <w:rFonts w:ascii="Arial" w:cs="Arial"/>
          <w:color w:val="auto"/>
          <w:sz w:val="26"/>
          <w:szCs w:val="26"/>
        </w:rPr>
        <w:t>以及施工车辆碾压等原因被迫迁移或者死亡</w:t>
      </w:r>
      <w:r>
        <w:rPr>
          <w:rFonts w:hint="eastAsia" w:ascii="Arial" w:hAnsi="Times New Roman" w:cs="Arial"/>
          <w:color w:val="auto"/>
          <w:sz w:val="26"/>
          <w:szCs w:val="26"/>
          <w:lang w:eastAsia="zh-CN"/>
        </w:rPr>
        <w:t>。</w:t>
      </w:r>
      <w:r>
        <w:rPr>
          <w:rFonts w:hint="eastAsia" w:ascii="Arial" w:cs="Arial"/>
          <w:color w:val="auto"/>
          <w:sz w:val="26"/>
          <w:szCs w:val="26"/>
        </w:rPr>
        <w:t>施工期间部分施工人员</w:t>
      </w:r>
      <w:r>
        <w:rPr>
          <w:rFonts w:hint="eastAsia" w:ascii="Arial" w:cs="Arial"/>
          <w:color w:val="auto"/>
          <w:sz w:val="26"/>
          <w:szCs w:val="26"/>
          <w:lang w:eastAsia="zh-CN"/>
        </w:rPr>
        <w:t>捕杀</w:t>
      </w:r>
      <w:r>
        <w:rPr>
          <w:rFonts w:hint="eastAsia" w:ascii="Arial" w:cs="Arial"/>
          <w:color w:val="auto"/>
          <w:sz w:val="26"/>
          <w:szCs w:val="26"/>
        </w:rPr>
        <w:t>蛇类可能导致库区及邻近地区蛇类动物多样性下降</w:t>
      </w:r>
      <w:r>
        <w:rPr>
          <w:rFonts w:hint="eastAsia" w:ascii="Arial" w:cs="Arial"/>
          <w:color w:val="auto"/>
          <w:sz w:val="26"/>
          <w:szCs w:val="26"/>
          <w:lang w:eastAsia="zh-CN"/>
        </w:rPr>
        <w:t>，库区的清理</w:t>
      </w:r>
      <w:r>
        <w:rPr>
          <w:rFonts w:hint="eastAsia" w:ascii="Arial" w:cs="Arial"/>
          <w:color w:val="auto"/>
          <w:sz w:val="26"/>
          <w:szCs w:val="26"/>
        </w:rPr>
        <w:t>可能导致一些个体的损失和当年繁殖失败</w:t>
      </w:r>
      <w:r>
        <w:rPr>
          <w:rFonts w:hint="eastAsia" w:ascii="Arial" w:cs="Arial"/>
          <w:color w:val="auto"/>
          <w:sz w:val="26"/>
          <w:szCs w:val="26"/>
          <w:lang w:eastAsia="zh-CN"/>
        </w:rPr>
        <w:t>。但这种影响是短暂且可逆的，工程附近分布有广泛的相似生境，爬行动物可以</w:t>
      </w:r>
      <w:r>
        <w:rPr>
          <w:rFonts w:hint="eastAsia" w:ascii="Arial" w:hAnsi="Times New Roman" w:cs="Arial"/>
          <w:color w:val="auto"/>
          <w:sz w:val="26"/>
          <w:szCs w:val="26"/>
          <w:lang w:eastAsia="zh-CN"/>
        </w:rPr>
        <w:t>在临近区域内寻找适宜生境，</w:t>
      </w:r>
      <w:r>
        <w:rPr>
          <w:rFonts w:hint="eastAsia" w:ascii="Arial" w:cs="Arial"/>
          <w:color w:val="auto"/>
          <w:sz w:val="26"/>
          <w:szCs w:val="26"/>
          <w:lang w:eastAsia="zh-CN"/>
        </w:rPr>
        <w:t>施工活动结束后，逐步迁回；同时加大对施工人员的管理和宣传教育，严禁捕杀。</w:t>
      </w:r>
    </w:p>
    <w:p w14:paraId="5E81CBBF">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（4）对鸟类的影响</w:t>
      </w:r>
    </w:p>
    <w:p w14:paraId="24831AC9">
      <w:pPr>
        <w:pStyle w:val="2113"/>
        <w:spacing w:line="460" w:lineRule="exact"/>
        <w:ind w:firstLine="520"/>
        <w:rPr>
          <w:rFonts w:hint="eastAsia" w:ascii="Arial" w:hAnsi="Times New Roman" w:cs="Arial"/>
          <w:color w:val="auto"/>
          <w:sz w:val="26"/>
          <w:szCs w:val="26"/>
          <w:lang w:eastAsia="zh-CN"/>
        </w:rPr>
      </w:pPr>
      <w:r>
        <w:rPr>
          <w:rFonts w:hint="eastAsia" w:ascii="Arial" w:hAnsi="Times New Roman" w:cs="Arial"/>
          <w:color w:val="auto"/>
          <w:sz w:val="26"/>
          <w:szCs w:val="26"/>
          <w:lang w:eastAsia="zh-CN"/>
        </w:rPr>
        <w:t>鸟类以雀形目的种类最多，处于明显的优势。本项目实施对鸟类的影响较小，对鸟类的影响主要来自于施工期间或运行中的生活生产中未经处理或者是未来得及处理的废物以及尘埃等干扰，同时由于项目占地造成地表覆盖减少，以及人为活动增加，会对本地区鸟类的觅食、栖息和繁殖有一定影响，使得调查区出现的鸟类物种短期内减少。施工中的噪声影响可能对其影响较大，使之暂时离开施工区域。鸟类善飞翔，且生境多样，因而受到本项目的影响相对较小。</w:t>
      </w:r>
    </w:p>
    <w:p w14:paraId="7C8FD6C8">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（5）对兽类的影响</w:t>
      </w:r>
    </w:p>
    <w:p w14:paraId="364653DC">
      <w:pPr>
        <w:pStyle w:val="2113"/>
        <w:spacing w:line="460" w:lineRule="exact"/>
        <w:ind w:firstLine="520"/>
        <w:rPr>
          <w:rFonts w:hint="eastAsia" w:ascii="Arial" w:hAnsi="Times New Roman" w:cs="Arial"/>
          <w:color w:val="auto"/>
          <w:sz w:val="26"/>
          <w:szCs w:val="26"/>
          <w:lang w:eastAsia="zh-CN"/>
        </w:rPr>
      </w:pPr>
      <w:r>
        <w:rPr>
          <w:rFonts w:hint="eastAsia" w:ascii="Arial" w:hAnsi="Times New Roman" w:cs="Arial"/>
          <w:color w:val="auto"/>
          <w:sz w:val="26"/>
          <w:szCs w:val="26"/>
          <w:lang w:eastAsia="zh-CN"/>
        </w:rPr>
        <w:t>评价区的兽类以小型兽类为主，以啮齿目的种类为最多，鼠科为优势科，其适应性强，活动范围广，施工将驱使其远离施工地，蓄水后库区范围将不适宜其生存，其最可能避开库区向周边迁移，因周边多为耕地、林草地，与原生活的河流、灌丛、农田生境相距较近，故而其迁徙路径较近，根据我们的实地考察，其最可能向生境相似的库区两岸地域迁移。故而对兽类的最大影响是迫使其离开原栖息地去寻找新的栖息地。</w:t>
      </w:r>
    </w:p>
    <w:p w14:paraId="5055F47E">
      <w:pPr>
        <w:pStyle w:val="2113"/>
        <w:spacing w:line="460" w:lineRule="exact"/>
        <w:ind w:firstLine="520"/>
        <w:rPr>
          <w:rFonts w:hint="eastAsia" w:ascii="Arial" w:hAnsi="Times New Roman" w:cs="Arial"/>
          <w:color w:val="auto"/>
          <w:sz w:val="26"/>
          <w:szCs w:val="26"/>
          <w:lang w:eastAsia="zh-CN"/>
        </w:rPr>
      </w:pPr>
      <w:r>
        <w:rPr>
          <w:rFonts w:hint="eastAsia" w:ascii="Arial" w:hAnsi="Times New Roman" w:cs="Arial"/>
          <w:color w:val="auto"/>
          <w:sz w:val="26"/>
          <w:szCs w:val="26"/>
          <w:lang w:eastAsia="zh-CN"/>
        </w:rPr>
        <w:t>另一方面，施工人员的入驻，将使鼠科等啮齿类数量有所增加，导致人类生活区域啮齿类密度增大。施工作业将对区域内兽类、两栖爬行类动物的迁移形成一定的阻隔，但由于评价区内山体较连续，且植被较一致，因而它们可以顺利迁移至其他合适生境中，总体影响较小。</w:t>
      </w:r>
    </w:p>
    <w:p w14:paraId="4BF7FC98">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（6）对保护类野生动物的影响</w:t>
      </w:r>
    </w:p>
    <w:p w14:paraId="6D32D072">
      <w:pPr>
        <w:pStyle w:val="2113"/>
        <w:spacing w:line="460" w:lineRule="exact"/>
        <w:ind w:firstLine="520"/>
        <w:rPr>
          <w:rFonts w:hint="default"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根据查阅资料和实地调查走访结果，</w:t>
      </w:r>
      <w:bookmarkEnd w:id="114"/>
      <w:r>
        <w:rPr>
          <w:rFonts w:hint="eastAsia" w:ascii="Arial" w:hAnsi="Arial" w:eastAsia="宋体" w:cs="Arial"/>
          <w:b w:val="0"/>
          <w:color w:val="auto"/>
          <w:kern w:val="2"/>
          <w:sz w:val="26"/>
          <w:szCs w:val="26"/>
          <w:lang w:val="en-US" w:eastAsia="zh-CN" w:bidi="ar-SA"/>
        </w:rPr>
        <w:t>结合《国家重点保护野生动物名录》《重庆市重点保护野生动物名录》，本项目评价范围内</w:t>
      </w:r>
      <w:r>
        <w:rPr>
          <w:rFonts w:hint="eastAsia" w:ascii="Arial" w:hAnsi="Arial" w:cs="Arial"/>
          <w:b w:val="0"/>
          <w:color w:val="auto"/>
          <w:kern w:val="2"/>
          <w:sz w:val="26"/>
          <w:szCs w:val="26"/>
          <w:lang w:val="en-US" w:eastAsia="zh-CN" w:bidi="ar-SA"/>
        </w:rPr>
        <w:t>无国家重点保护类野生动物分布，分布有重庆市重点保护动</w:t>
      </w:r>
      <w:r>
        <w:rPr>
          <w:rFonts w:hint="eastAsia" w:ascii="Arial" w:hAnsi="Arial" w:eastAsia="宋体" w:cs="Arial"/>
          <w:b w:val="0"/>
          <w:color w:val="auto"/>
          <w:kern w:val="2"/>
          <w:sz w:val="26"/>
          <w:szCs w:val="26"/>
          <w:lang w:val="en-US" w:eastAsia="zh-CN" w:bidi="ar-SA"/>
        </w:rPr>
        <w:t>物5种，为隆肛蛙、棘腹蛙、黑眉锦蛇、乌梢蛇和王锦蛇</w:t>
      </w:r>
      <w:r>
        <w:rPr>
          <w:rFonts w:hint="eastAsia" w:ascii="Arial" w:hAnsi="Arial" w:cs="Arial"/>
          <w:b w:val="0"/>
          <w:color w:val="auto"/>
          <w:kern w:val="2"/>
          <w:sz w:val="26"/>
          <w:szCs w:val="26"/>
          <w:lang w:val="en-US" w:eastAsia="zh-CN" w:bidi="ar-SA"/>
        </w:rPr>
        <w:t>。</w:t>
      </w:r>
    </w:p>
    <w:p w14:paraId="362C82D1">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cs="Arial"/>
          <w:kern w:val="0"/>
          <w:sz w:val="26"/>
          <w:szCs w:val="26"/>
          <w:lang w:val="en-US" w:eastAsia="zh-CN"/>
        </w:rPr>
      </w:pPr>
      <w:r>
        <w:rPr>
          <w:rFonts w:hint="eastAsia" w:ascii="Arial" w:hAnsi="Arial" w:cs="Arial"/>
          <w:kern w:val="0"/>
          <w:sz w:val="26"/>
          <w:szCs w:val="26"/>
          <w:lang w:val="en-US" w:eastAsia="zh-CN"/>
        </w:rPr>
        <w:t>评价范围内没有重要动物的集中分布区，也没有营巢区，仅有零星分布。重要动物中黑眉锦蛇栖息于山区河边、稻田及住宅附近；乌梢蛇栖息于田野、山边、河岸、水田及林下等处；王锦蛇栖息于山间林区、河边、库区及其他临近水域的地方；</w:t>
      </w:r>
      <w:r>
        <w:rPr>
          <w:rFonts w:hint="eastAsia" w:ascii="Arial" w:hAnsi="Arial" w:eastAsia="宋体" w:cs="Arial"/>
          <w:b w:val="0"/>
          <w:color w:val="auto"/>
          <w:kern w:val="2"/>
          <w:sz w:val="26"/>
          <w:szCs w:val="26"/>
          <w:lang w:val="en-US" w:eastAsia="zh-CN" w:bidi="ar-SA"/>
        </w:rPr>
        <w:t>隆肛蛙、棘腹蛙</w:t>
      </w:r>
      <w:r>
        <w:rPr>
          <w:rFonts w:hint="eastAsia" w:ascii="Arial" w:hAnsi="Arial" w:cs="Arial"/>
          <w:b w:val="0"/>
          <w:color w:val="auto"/>
          <w:kern w:val="2"/>
          <w:sz w:val="26"/>
          <w:szCs w:val="26"/>
          <w:lang w:val="en-US" w:eastAsia="zh-CN" w:bidi="ar-SA"/>
        </w:rPr>
        <w:t>主要栖息在河边浸水沼泽地、河内小石块上。</w:t>
      </w:r>
      <w:r>
        <w:rPr>
          <w:rFonts w:hint="eastAsia" w:ascii="Arial" w:hAnsi="Arial" w:cs="Arial"/>
          <w:kern w:val="0"/>
          <w:sz w:val="26"/>
          <w:szCs w:val="26"/>
          <w:lang w:val="en-US" w:eastAsia="zh-CN"/>
        </w:rPr>
        <w:t>项目施工会涉及上述栖息地，在开挖场地时可能会对其间栖息的动物个体造成伤害，同时施工人员捕食也将直接威胁以上动物个体。由于保护型野生动物主要为两栖类、爬行类，迁徙能力较强，且项目施工为循序推进，在感受到施工活动干扰威胁时会立即向远离施工区域的生境迁移，同时在做好施工人员野生动物保护宣传教育，杜绝施工人员捕杀的前提下，项目施工不会对</w:t>
      </w:r>
      <w:r>
        <w:rPr>
          <w:rFonts w:hint="eastAsia" w:ascii="Arial" w:hAnsi="Arial" w:eastAsia="宋体" w:cs="Arial"/>
          <w:b w:val="0"/>
          <w:color w:val="auto"/>
          <w:kern w:val="2"/>
          <w:sz w:val="26"/>
          <w:szCs w:val="26"/>
          <w:lang w:val="en-US" w:eastAsia="zh-CN" w:bidi="ar-SA"/>
        </w:rPr>
        <w:t>隆肛蛙、棘腹蛙、黑眉锦蛇、乌梢蛇和王锦蛇</w:t>
      </w:r>
      <w:r>
        <w:rPr>
          <w:rFonts w:hint="eastAsia" w:ascii="Arial" w:hAnsi="Arial" w:cs="Arial"/>
          <w:kern w:val="0"/>
          <w:sz w:val="26"/>
          <w:szCs w:val="26"/>
          <w:lang w:val="en-US" w:eastAsia="zh-CN"/>
        </w:rPr>
        <w:t>的种群数量造成大的影响。</w:t>
      </w:r>
    </w:p>
    <w:p w14:paraId="190D1E79">
      <w:pPr>
        <w:keepNext w:val="0"/>
        <w:keepLines w:val="0"/>
        <w:pageBreakBefore w:val="0"/>
        <w:widowControl w:val="0"/>
        <w:kinsoku/>
        <w:wordWrap/>
        <w:overflowPunct/>
        <w:topLinePunct w:val="0"/>
        <w:autoSpaceDE/>
        <w:autoSpaceDN/>
        <w:bidi w:val="0"/>
        <w:spacing w:line="460" w:lineRule="exact"/>
        <w:ind w:firstLine="522" w:firstLineChars="200"/>
        <w:textAlignment w:val="auto"/>
        <w:rPr>
          <w:rFonts w:hint="eastAsia" w:ascii="Arial" w:hAnsi="Arial" w:cs="Arial"/>
          <w:b/>
          <w:bCs w:val="0"/>
          <w:kern w:val="0"/>
          <w:sz w:val="26"/>
          <w:szCs w:val="26"/>
          <w:lang w:val="en-US" w:eastAsia="zh-CN" w:bidi="ar-SA"/>
        </w:rPr>
      </w:pPr>
      <w:r>
        <w:rPr>
          <w:rFonts w:hint="eastAsia" w:ascii="Arial" w:hAnsi="宋体" w:cs="Arial"/>
          <w:b/>
          <w:sz w:val="26"/>
          <w:szCs w:val="26"/>
          <w:lang w:val="en-US" w:eastAsia="zh-CN"/>
        </w:rPr>
        <w:t>5.5.5</w:t>
      </w:r>
      <w:r>
        <w:rPr>
          <w:rFonts w:hint="eastAsia" w:ascii="Arial" w:hAnsi="Arial" w:cs="Arial"/>
          <w:b/>
          <w:bCs w:val="0"/>
          <w:kern w:val="0"/>
          <w:sz w:val="26"/>
          <w:szCs w:val="26"/>
          <w:lang w:val="en-US" w:eastAsia="zh-CN" w:bidi="ar-SA"/>
        </w:rPr>
        <w:t>对生态系统的影响分析</w:t>
      </w:r>
    </w:p>
    <w:p w14:paraId="535E8ECB">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kern w:val="0"/>
          <w:sz w:val="26"/>
          <w:szCs w:val="26"/>
          <w:lang w:val="en-US" w:eastAsia="zh-CN"/>
        </w:rPr>
      </w:pPr>
      <w:r>
        <w:rPr>
          <w:rFonts w:hint="eastAsia" w:ascii="Arial" w:hAnsi="Arial" w:cs="Arial"/>
          <w:kern w:val="0"/>
          <w:sz w:val="26"/>
          <w:szCs w:val="26"/>
          <w:lang w:val="en-US" w:eastAsia="zh-CN"/>
        </w:rPr>
        <w:t>根据现场调查，本项目评价范围内分布有森林生态系统、灌丛生态系统、草地生态系统、水域生态系统、农业生态系统、聚落生态系统等，景观长时间的演变、进化，各生态之间相互联系，已形成一个完整的、稳定的生态系统，本项目施工建设带来的生态破坏影响势必会打破现有的生态破坏，改变生态系统的完整性和稳定性。</w:t>
      </w:r>
    </w:p>
    <w:p w14:paraId="70FF0F44">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cs="Arial"/>
          <w:kern w:val="0"/>
          <w:sz w:val="26"/>
          <w:szCs w:val="26"/>
          <w:lang w:val="en-US" w:eastAsia="zh-CN"/>
        </w:rPr>
      </w:pPr>
      <w:r>
        <w:rPr>
          <w:rFonts w:hint="eastAsia" w:ascii="Arial" w:hAnsi="Arial" w:cs="Arial"/>
          <w:kern w:val="0"/>
          <w:sz w:val="26"/>
          <w:szCs w:val="26"/>
          <w:lang w:val="en-US" w:eastAsia="zh-CN"/>
        </w:rPr>
        <w:t>为解决区域供水问题，海螺沟水库的建设不得不占用森林生态系统、灌丛生态系统、草地生态系统、水域生态系统、农业生态系统等，虽然将在局部地区造成物种的减少或增加、生态系统的结构发生一定程度的改变，尤其是库区淹没区，但基本不会造成区域内生物多样性的锐减，优势物种及种群也不会有较明显的改变，生态系统结构和功能基本能够维持，完整性基本不会被破坏；且施工结束后将选用当地常见植被进行覆土绿化，生态系统将重新进行自我的调控、演变，进而达到新的平衡。</w:t>
      </w:r>
    </w:p>
    <w:p w14:paraId="69822C73">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cs="Arial"/>
          <w:kern w:val="0"/>
          <w:sz w:val="26"/>
          <w:szCs w:val="26"/>
          <w:lang w:val="en-US" w:eastAsia="zh-CN"/>
        </w:rPr>
      </w:pPr>
      <w:r>
        <w:rPr>
          <w:rFonts w:hint="eastAsia" w:ascii="Arial" w:hAnsi="Arial" w:cs="Arial"/>
          <w:kern w:val="0"/>
          <w:sz w:val="26"/>
          <w:szCs w:val="26"/>
          <w:lang w:val="en-US" w:eastAsia="zh-CN"/>
        </w:rPr>
        <w:t>由此可见，项目建设对区域生态系统类型影响小。</w:t>
      </w:r>
    </w:p>
    <w:p w14:paraId="15CB2835">
      <w:pPr>
        <w:keepNext w:val="0"/>
        <w:keepLines w:val="0"/>
        <w:pageBreakBefore w:val="0"/>
        <w:widowControl w:val="0"/>
        <w:kinsoku/>
        <w:wordWrap/>
        <w:overflowPunct/>
        <w:topLinePunct w:val="0"/>
        <w:autoSpaceDE/>
        <w:autoSpaceDN/>
        <w:bidi w:val="0"/>
        <w:spacing w:line="460" w:lineRule="exact"/>
        <w:ind w:firstLine="522" w:firstLineChars="200"/>
        <w:textAlignment w:val="auto"/>
        <w:rPr>
          <w:rFonts w:hint="eastAsia" w:ascii="Arial" w:hAnsi="Arial" w:cs="Arial"/>
          <w:b/>
          <w:bCs w:val="0"/>
          <w:kern w:val="0"/>
          <w:sz w:val="26"/>
          <w:szCs w:val="26"/>
          <w:lang w:val="en-US" w:eastAsia="zh-CN" w:bidi="ar-SA"/>
        </w:rPr>
      </w:pPr>
      <w:r>
        <w:rPr>
          <w:rFonts w:hint="eastAsia" w:ascii="Arial" w:hAnsi="Arial" w:cs="Arial"/>
          <w:b/>
          <w:bCs w:val="0"/>
          <w:kern w:val="0"/>
          <w:sz w:val="26"/>
          <w:szCs w:val="26"/>
          <w:lang w:val="en-US" w:eastAsia="zh-CN" w:bidi="ar-SA"/>
        </w:rPr>
        <w:t>5.5.6对农业的影响分析</w:t>
      </w:r>
    </w:p>
    <w:p w14:paraId="634873D6">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cs="Arial"/>
          <w:kern w:val="0"/>
          <w:sz w:val="26"/>
          <w:szCs w:val="26"/>
          <w:lang w:val="en-US" w:eastAsia="zh-CN"/>
        </w:rPr>
      </w:pPr>
      <w:r>
        <w:rPr>
          <w:rFonts w:hint="eastAsia" w:ascii="Arial" w:hAnsi="Arial" w:cs="Arial"/>
          <w:kern w:val="0"/>
          <w:sz w:val="26"/>
          <w:szCs w:val="26"/>
          <w:lang w:val="en-US" w:eastAsia="zh-CN"/>
        </w:rPr>
        <w:t>本项目选址位于农村地区，项目建设将不可避免占用耕地，永久、临时占用面积分别为83.84亩、90.76亩，现状主要种植水稻、玉米、红薯及季节性蔬菜等。工程投入运营后，这部分土地的生产功能将受到彻底的破坏，耕地丧失其耕作能力，生产能力退化，从而减少工程所在地区农作物的产量，造成土地资源一定程度的紧张。根据项目周边区域粮食产量数据及耕地分布情况，按照旱地每亩产量约800斤，水田亩产约1000斤进行估算，本项目建设占地压占农田造成的农作物的损失量约为115.824</w:t>
      </w:r>
      <w:r>
        <w:rPr>
          <w:rFonts w:hint="eastAsia" w:ascii="Arial" w:hAnsi="Arial" w:cs="Arial"/>
          <w:kern w:val="0"/>
          <w:sz w:val="26"/>
          <w:szCs w:val="26"/>
          <w:highlight w:val="none"/>
          <w:lang w:val="en-US" w:eastAsia="zh-CN"/>
        </w:rPr>
        <w:t>t/a。</w:t>
      </w:r>
      <w:r>
        <w:rPr>
          <w:rFonts w:hint="eastAsia" w:ascii="Arial" w:hAnsi="Arial" w:cs="Arial"/>
          <w:kern w:val="0"/>
          <w:sz w:val="26"/>
          <w:szCs w:val="26"/>
          <w:lang w:val="en-US" w:eastAsia="zh-CN"/>
        </w:rPr>
        <w:t xml:space="preserve">此外，项目施工尘土附着在农作物叶片表面，影响植物光合作用，尤其是会对作物幼苗生理特性产生影响；施工人员和施工机械设备的践踏、碾压也会对周边农作物产生不利影响。 </w:t>
      </w:r>
    </w:p>
    <w:p w14:paraId="17DDA159">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cs="Arial"/>
          <w:kern w:val="0"/>
          <w:sz w:val="26"/>
          <w:szCs w:val="26"/>
          <w:lang w:val="en-US" w:eastAsia="zh-CN"/>
        </w:rPr>
      </w:pPr>
      <w:r>
        <w:rPr>
          <w:rFonts w:hint="eastAsia" w:ascii="Arial" w:hAnsi="Arial" w:cs="Arial"/>
          <w:kern w:val="0"/>
          <w:sz w:val="26"/>
          <w:szCs w:val="26"/>
          <w:lang w:val="en-US" w:eastAsia="zh-CN"/>
        </w:rPr>
        <w:t xml:space="preserve">对于占用耕地造成了当地农民的经济损失，建设单位应严格按照国家和地方相关赔偿政策对受影响的农户进行赔偿。工程施工期间施工单位应加快施工进度，严格控制施工作业范围，禁止随意扩大施工范围并随意损坏农作物。且本项目建成后，将为2000亩耕地供给灌溉用水，有利于灌区农业生产。由此可见，工程施工对农业环境的影响可接受。 </w:t>
      </w:r>
    </w:p>
    <w:p w14:paraId="778C0A45">
      <w:pPr>
        <w:keepNext w:val="0"/>
        <w:keepLines w:val="0"/>
        <w:pageBreakBefore w:val="0"/>
        <w:widowControl w:val="0"/>
        <w:kinsoku/>
        <w:wordWrap/>
        <w:overflowPunct/>
        <w:topLinePunct w:val="0"/>
        <w:autoSpaceDE/>
        <w:autoSpaceDN/>
        <w:bidi w:val="0"/>
        <w:spacing w:line="460" w:lineRule="exact"/>
        <w:ind w:firstLine="522" w:firstLineChars="200"/>
        <w:textAlignment w:val="auto"/>
        <w:rPr>
          <w:rFonts w:hint="eastAsia" w:ascii="Arial" w:hAnsi="Arial" w:cs="Arial"/>
          <w:b/>
          <w:bCs w:val="0"/>
          <w:kern w:val="0"/>
          <w:sz w:val="26"/>
          <w:szCs w:val="26"/>
          <w:lang w:val="en-US" w:eastAsia="zh-CN" w:bidi="ar-SA"/>
        </w:rPr>
      </w:pPr>
      <w:r>
        <w:rPr>
          <w:rFonts w:hint="eastAsia" w:ascii="Arial" w:hAnsi="Arial" w:cs="Arial"/>
          <w:b/>
          <w:bCs w:val="0"/>
          <w:kern w:val="0"/>
          <w:sz w:val="26"/>
          <w:szCs w:val="26"/>
          <w:lang w:val="en-US" w:eastAsia="zh-CN" w:bidi="ar-SA"/>
        </w:rPr>
        <w:t>5.5.7对水生生物的影响分析</w:t>
      </w:r>
    </w:p>
    <w:p w14:paraId="79DE9A4C">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cs="Arial"/>
          <w:kern w:val="0"/>
          <w:sz w:val="26"/>
          <w:szCs w:val="26"/>
          <w:lang w:val="en-US" w:eastAsia="zh-CN"/>
        </w:rPr>
      </w:pPr>
      <w:r>
        <w:rPr>
          <w:rFonts w:hint="eastAsia" w:ascii="Arial" w:hAnsi="Arial" w:cs="Arial"/>
          <w:kern w:val="0"/>
          <w:sz w:val="26"/>
          <w:szCs w:val="26"/>
          <w:lang w:val="en-US" w:eastAsia="zh-CN"/>
        </w:rPr>
        <w:t>本项目所在流域水资源量相对较小，河道底质主要为基岩、砾石，且两岸分布有散居居民，受人为活动影响较大，河道内无国家重点保护鱼类和重庆市市级保护鱼类分布，也无鱼类“三场”、鱼泉等分布。</w:t>
      </w:r>
      <w:r>
        <w:rPr>
          <w:rFonts w:hint="eastAsia" w:ascii="Arial" w:cs="Arial"/>
          <w:color w:val="auto"/>
          <w:sz w:val="26"/>
          <w:szCs w:val="26"/>
        </w:rPr>
        <w:t>工程建设对水生生物的影响主要来自于枢纽工程拦河、局部输水管道跨河施工，导致河流水质、水量变化，以及建设期的占地和人为活动也会对水生生物造成影响。</w:t>
      </w:r>
    </w:p>
    <w:p w14:paraId="7C3CB79D">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（1）对浮游生物的影响</w:t>
      </w:r>
    </w:p>
    <w:p w14:paraId="289E9E47">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color w:val="auto"/>
          <w:sz w:val="26"/>
          <w:szCs w:val="26"/>
        </w:rPr>
      </w:pPr>
      <w:r>
        <w:rPr>
          <w:rFonts w:hint="eastAsia" w:ascii="Arial" w:hAnsi="Arial" w:eastAsia="宋体" w:cs="Arial"/>
          <w:color w:val="auto"/>
          <w:sz w:val="26"/>
          <w:szCs w:val="26"/>
        </w:rPr>
        <w:t>工程施工期间，枢纽工程（主要是导流、截流等）等涉水施工，可能会造成施工河段水体悬浮物增加，水体透明度降低，浑浊度增加，导致浮游植物光合作用效率降低，不利于浮游植物生长、繁殖，将对群落结构产生影响。根据现场调查的结果，浮游植物种类均为常见种类，组成简单，施工可能造成部分河段的种类减少。</w:t>
      </w:r>
    </w:p>
    <w:p w14:paraId="4CE6301D">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color w:val="auto"/>
          <w:sz w:val="26"/>
          <w:szCs w:val="26"/>
        </w:rPr>
      </w:pPr>
      <w:r>
        <w:rPr>
          <w:rFonts w:hint="eastAsia" w:ascii="Arial" w:hAnsi="Arial" w:eastAsia="宋体" w:cs="Arial"/>
          <w:color w:val="auto"/>
          <w:sz w:val="26"/>
          <w:szCs w:val="26"/>
        </w:rPr>
        <w:t>工程施工期间，由于在坝址河段挖土填石，大量使用水泥、砂浆、混凝土等建筑材料，造成水土流失、水体浑浊、溶解氧下降、pH值及其他理化因子发生改变</w:t>
      </w:r>
      <w:r>
        <w:rPr>
          <w:rFonts w:hint="eastAsia" w:ascii="Arial" w:hAnsi="Arial" w:eastAsia="宋体" w:cs="Arial"/>
          <w:color w:val="auto"/>
          <w:sz w:val="26"/>
          <w:szCs w:val="26"/>
          <w:lang w:eastAsia="zh-CN"/>
        </w:rPr>
        <w:t>，影响水体水质</w:t>
      </w:r>
      <w:r>
        <w:rPr>
          <w:rFonts w:hint="eastAsia" w:ascii="Arial" w:hAnsi="Arial" w:eastAsia="宋体" w:cs="Arial"/>
          <w:color w:val="auto"/>
          <w:sz w:val="26"/>
          <w:szCs w:val="26"/>
        </w:rPr>
        <w:t>。受此影响，施工期间水体内多数</w:t>
      </w:r>
      <w:r>
        <w:rPr>
          <w:rFonts w:hint="eastAsia" w:ascii="Arial" w:hAnsi="Arial" w:eastAsia="宋体" w:cs="Arial"/>
          <w:color w:val="auto"/>
          <w:sz w:val="26"/>
          <w:szCs w:val="26"/>
          <w:lang w:eastAsia="zh-CN"/>
        </w:rPr>
        <w:t>浮游动物</w:t>
      </w:r>
      <w:r>
        <w:rPr>
          <w:rFonts w:hint="eastAsia" w:ascii="Arial" w:hAnsi="Arial" w:eastAsia="宋体" w:cs="Arial"/>
          <w:color w:val="auto"/>
          <w:sz w:val="26"/>
          <w:szCs w:val="26"/>
        </w:rPr>
        <w:t>种类因不能适应环境的剧烈变化或死亡，或主动迁往上游、下游适合的地方。因此，施工期间工程河段内</w:t>
      </w:r>
      <w:r>
        <w:rPr>
          <w:rFonts w:hint="eastAsia" w:ascii="Arial" w:hAnsi="Arial" w:eastAsia="宋体" w:cs="Arial"/>
          <w:color w:val="auto"/>
          <w:sz w:val="26"/>
          <w:szCs w:val="26"/>
          <w:lang w:eastAsia="zh-CN"/>
        </w:rPr>
        <w:t>浮游动物</w:t>
      </w:r>
      <w:r>
        <w:rPr>
          <w:rFonts w:hint="eastAsia" w:ascii="Arial" w:hAnsi="Arial" w:eastAsia="宋体" w:cs="Arial"/>
          <w:color w:val="auto"/>
          <w:sz w:val="26"/>
          <w:szCs w:val="26"/>
        </w:rPr>
        <w:t>在种类和数量会有</w:t>
      </w:r>
      <w:r>
        <w:rPr>
          <w:rFonts w:hint="eastAsia" w:ascii="Arial" w:hAnsi="Arial" w:eastAsia="宋体" w:cs="Arial"/>
          <w:color w:val="auto"/>
          <w:sz w:val="26"/>
          <w:szCs w:val="26"/>
          <w:lang w:eastAsia="zh-CN"/>
        </w:rPr>
        <w:t>一定</w:t>
      </w:r>
      <w:r>
        <w:rPr>
          <w:rFonts w:hint="eastAsia" w:ascii="Arial" w:hAnsi="Arial" w:eastAsia="宋体" w:cs="Arial"/>
          <w:color w:val="auto"/>
          <w:sz w:val="26"/>
          <w:szCs w:val="26"/>
        </w:rPr>
        <w:t>幅度的下降。</w:t>
      </w:r>
    </w:p>
    <w:p w14:paraId="75BDCDE9">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cs="Arial"/>
          <w:color w:val="auto"/>
          <w:sz w:val="26"/>
          <w:szCs w:val="26"/>
          <w:lang w:eastAsia="zh-CN"/>
        </w:rPr>
      </w:pPr>
      <w:r>
        <w:rPr>
          <w:rFonts w:hint="eastAsia" w:ascii="Arial" w:hAnsi="Arial" w:cs="Arial"/>
          <w:color w:val="auto"/>
          <w:sz w:val="26"/>
          <w:szCs w:val="26"/>
          <w:lang w:eastAsia="zh-CN"/>
        </w:rPr>
        <w:t>本项目施工期各类污废水经收集处理后，均可实现零排放，对海螺沟水质影响较小。且浮游生物具有普生性及种类的相似性，繁衍速度较快，总体受本项目施工影响较小。</w:t>
      </w:r>
    </w:p>
    <w:p w14:paraId="7BE93B31">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（2）对底栖动物的影响</w:t>
      </w:r>
    </w:p>
    <w:p w14:paraId="1A1AB414">
      <w:pPr>
        <w:pStyle w:val="2113"/>
        <w:spacing w:line="460" w:lineRule="exact"/>
        <w:ind w:firstLine="520"/>
        <w:rPr>
          <w:rFonts w:hint="eastAsia" w:ascii="Arial" w:hAnsi="Arial" w:cs="Arial"/>
          <w:color w:val="auto"/>
          <w:sz w:val="26"/>
          <w:szCs w:val="26"/>
        </w:rPr>
      </w:pPr>
      <w:r>
        <w:rPr>
          <w:rFonts w:hint="eastAsia" w:ascii="Arial" w:hAnsi="Arial" w:cs="Arial"/>
          <w:color w:val="auto"/>
          <w:sz w:val="26"/>
          <w:szCs w:val="26"/>
          <w:lang w:eastAsia="zh-CN"/>
        </w:rPr>
        <w:t>施工期间，由于施工开挖、导流等作用，将扰动河岸植被、水质、河床底质等，对底栖动物生存环境造成破坏，导致底栖动物种类数、平均密度和生物量都减少。</w:t>
      </w:r>
      <w:r>
        <w:rPr>
          <w:rFonts w:hint="eastAsia" w:ascii="Arial" w:hAnsi="Arial" w:cs="Arial"/>
          <w:color w:val="auto"/>
          <w:sz w:val="26"/>
          <w:szCs w:val="26"/>
        </w:rPr>
        <w:t>施工期</w:t>
      </w:r>
      <w:r>
        <w:rPr>
          <w:rFonts w:hint="eastAsia" w:ascii="Arial" w:hAnsi="Arial" w:cs="Arial"/>
          <w:color w:val="auto"/>
          <w:sz w:val="26"/>
          <w:szCs w:val="26"/>
          <w:lang w:eastAsia="zh-CN"/>
        </w:rPr>
        <w:t>坝枢</w:t>
      </w:r>
      <w:r>
        <w:rPr>
          <w:rFonts w:hint="eastAsia" w:ascii="Arial" w:hAnsi="Arial" w:cs="Arial"/>
          <w:color w:val="auto"/>
          <w:sz w:val="26"/>
          <w:szCs w:val="26"/>
        </w:rPr>
        <w:t>及输水管线施工产生的生产、生活污水，及工程建设过程引起的水土流失量增大，可能导致评价区域局部河段水质降低，部分近岸缓流坑凼可能呈现富营养化，一些缓流水滩也将被灰色污泥覆盖，影响水生底栖无脊椎动物的生存和繁衍。</w:t>
      </w:r>
    </w:p>
    <w:p w14:paraId="1904A6FE">
      <w:pPr>
        <w:pStyle w:val="2113"/>
        <w:spacing w:line="460" w:lineRule="exact"/>
        <w:ind w:firstLine="520"/>
        <w:rPr>
          <w:rFonts w:ascii="Arial" w:hAnsi="Arial" w:cs="Arial"/>
          <w:color w:val="auto"/>
          <w:sz w:val="26"/>
          <w:szCs w:val="26"/>
        </w:rPr>
      </w:pPr>
      <w:r>
        <w:rPr>
          <w:rFonts w:hint="eastAsia" w:ascii="Arial" w:hAnsi="Arial" w:cs="Arial"/>
          <w:color w:val="auto"/>
          <w:sz w:val="26"/>
          <w:szCs w:val="26"/>
        </w:rPr>
        <w:t>对比已建水坝的调查并结合相关文献表明，水坝建设会破坏底栖动物栖息生境，物种组成和生物量均会发生变化，水坝建设的时间越长，对底栖动物的影响越大。水库的形成导致库区底栖动物群落结构简单，库区静水区的形成，更有利于需氧量较低的底栖动物栖息；在水坝下游减水河段，由于河道水量减小，导致其适宜生境面积减少，底栖动物群落结构会大大降低。</w:t>
      </w:r>
    </w:p>
    <w:p w14:paraId="109F4627">
      <w:pPr>
        <w:pStyle w:val="100"/>
        <w:keepNext w:val="0"/>
        <w:keepLines w:val="0"/>
        <w:pageBreakBefore w:val="0"/>
        <w:widowControl w:val="0"/>
        <w:numPr>
          <w:ilvl w:val="0"/>
          <w:numId w:val="5"/>
        </w:numPr>
        <w:kinsoku/>
        <w:wordWrap/>
        <w:overflowPunct/>
        <w:topLinePunct w:val="0"/>
        <w:autoSpaceDE/>
        <w:autoSpaceDN/>
        <w:bidi w:val="0"/>
        <w:adjustRightInd/>
        <w:snapToGrid/>
        <w:spacing w:line="460" w:lineRule="exact"/>
        <w:ind w:firstLine="392" w:firstLineChars="150"/>
        <w:jc w:val="both"/>
        <w:textAlignment w:val="auto"/>
        <w:rPr>
          <w:rFonts w:hint="eastAsia" w:ascii="Arial" w:hAnsi="宋体" w:cs="Arial"/>
          <w:b/>
          <w:sz w:val="26"/>
          <w:szCs w:val="26"/>
          <w:lang w:val="en-US" w:eastAsia="zh-CN"/>
        </w:rPr>
      </w:pPr>
      <w:r>
        <w:rPr>
          <w:rFonts w:hint="eastAsia" w:ascii="Arial" w:hAnsi="宋体" w:cs="Arial"/>
          <w:b/>
          <w:sz w:val="26"/>
          <w:szCs w:val="26"/>
          <w:lang w:val="en-US" w:eastAsia="zh-CN"/>
        </w:rPr>
        <w:t>对水生维管束植物的影响</w:t>
      </w:r>
    </w:p>
    <w:p w14:paraId="3CEDABA8">
      <w:pPr>
        <w:autoSpaceDE w:val="0"/>
        <w:autoSpaceDN w:val="0"/>
        <w:adjustRightInd w:val="0"/>
        <w:spacing w:line="500" w:lineRule="exact"/>
        <w:ind w:firstLine="480" w:firstLineChars="200"/>
        <w:rPr>
          <w:bCs/>
          <w:kern w:val="0"/>
          <w:sz w:val="24"/>
        </w:rPr>
      </w:pPr>
      <w:r>
        <w:rPr>
          <w:rFonts w:hint="eastAsia"/>
          <w:bCs/>
          <w:kern w:val="0"/>
          <w:sz w:val="24"/>
          <w:lang w:eastAsia="zh-CN"/>
        </w:rPr>
        <w:t>海螺</w:t>
      </w:r>
      <w:r>
        <w:rPr>
          <w:rFonts w:hint="eastAsia"/>
          <w:bCs/>
          <w:kern w:val="0"/>
          <w:sz w:val="24"/>
        </w:rPr>
        <w:t>沟属于典型的山地河流，可供水生维管束植物固着生存的基质少，因此水生维管束植物种类很少，主要有浮萍、</w:t>
      </w:r>
      <w:r>
        <w:rPr>
          <w:bCs/>
          <w:sz w:val="24"/>
        </w:rPr>
        <w:t>石龙芮</w:t>
      </w:r>
      <w:r>
        <w:rPr>
          <w:rFonts w:hint="eastAsia"/>
          <w:bCs/>
          <w:kern w:val="0"/>
          <w:sz w:val="24"/>
        </w:rPr>
        <w:t>等植物。施工期间会造成数量的减少，但均是常见物种，施工结束后采取恢复措施，对水生维管束植物影响较小。</w:t>
      </w:r>
    </w:p>
    <w:p w14:paraId="6A5B801B">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（4）对鱼类资源的影响</w:t>
      </w:r>
    </w:p>
    <w:p w14:paraId="2251ED46">
      <w:pPr>
        <w:pStyle w:val="2113"/>
        <w:spacing w:line="460" w:lineRule="exact"/>
        <w:ind w:firstLine="520"/>
        <w:rPr>
          <w:rFonts w:hint="eastAsia" w:ascii="Arial" w:hAnsi="Arial" w:cs="Arial"/>
          <w:color w:val="auto"/>
          <w:sz w:val="26"/>
          <w:szCs w:val="26"/>
        </w:rPr>
      </w:pPr>
      <w:r>
        <w:rPr>
          <w:rFonts w:hint="eastAsia" w:ascii="Arial" w:hAnsi="Arial" w:cs="Arial"/>
          <w:color w:val="auto"/>
          <w:sz w:val="26"/>
          <w:szCs w:val="26"/>
        </w:rPr>
        <w:t>施工期修建水坝、拦河堰、导流及围堰工程，土石方开挖会使河流水体变得混浊，会对鱼类的生存环境产生一定影响。</w:t>
      </w:r>
      <w:r>
        <w:rPr>
          <w:rFonts w:hint="eastAsia" w:ascii="Arial" w:hAnsi="Arial" w:cs="Arial"/>
          <w:color w:val="auto"/>
          <w:sz w:val="26"/>
          <w:szCs w:val="26"/>
          <w:lang w:eastAsia="zh-CN"/>
        </w:rPr>
        <w:t>施工期导流设施选择在</w:t>
      </w:r>
      <w:r>
        <w:rPr>
          <w:rFonts w:hint="eastAsia" w:ascii="Arial" w:hAnsi="Arial" w:cs="Arial"/>
          <w:color w:val="auto"/>
          <w:sz w:val="26"/>
          <w:szCs w:val="26"/>
        </w:rPr>
        <w:t>枯水期作业，</w:t>
      </w:r>
      <w:r>
        <w:rPr>
          <w:rFonts w:hint="eastAsia" w:ascii="Arial" w:hAnsi="Arial" w:cs="Arial"/>
          <w:color w:val="auto"/>
          <w:sz w:val="26"/>
          <w:szCs w:val="26"/>
          <w:lang w:eastAsia="zh-CN"/>
        </w:rPr>
        <w:t>输水管线跨越河段优先选用顶管、定向钻等不涉水施工工艺</w:t>
      </w:r>
      <w:r>
        <w:rPr>
          <w:rFonts w:hint="eastAsia" w:ascii="Arial" w:hAnsi="Arial" w:cs="Arial"/>
          <w:color w:val="auto"/>
          <w:sz w:val="26"/>
          <w:szCs w:val="26"/>
        </w:rPr>
        <w:t>，同时做好各类污废水的收集处理工作。由于工程施工仅局限在极短的河段，影响范围有限，只要加强施工管理，严禁施工人员随意捕捞鱼类，避开鱼类的繁殖时期施工，严禁向河道倾倒渣土，且根据调查，</w:t>
      </w:r>
      <w:r>
        <w:rPr>
          <w:rFonts w:hint="eastAsia" w:ascii="Arial" w:hAnsi="Arial" w:cs="Arial"/>
          <w:color w:val="auto"/>
          <w:sz w:val="26"/>
          <w:szCs w:val="26"/>
          <w:lang w:eastAsia="zh-CN"/>
        </w:rPr>
        <w:t>海螺沟流域</w:t>
      </w:r>
      <w:r>
        <w:rPr>
          <w:rFonts w:hint="eastAsia" w:ascii="Arial" w:hAnsi="Arial" w:cs="Arial"/>
          <w:color w:val="auto"/>
          <w:sz w:val="26"/>
          <w:szCs w:val="26"/>
        </w:rPr>
        <w:t>内鱼类资源</w:t>
      </w:r>
      <w:r>
        <w:rPr>
          <w:rFonts w:hint="eastAsia" w:ascii="Arial" w:hAnsi="Arial" w:cs="Arial"/>
          <w:color w:val="auto"/>
          <w:sz w:val="26"/>
          <w:szCs w:val="26"/>
          <w:lang w:eastAsia="zh-CN"/>
        </w:rPr>
        <w:t>较少，</w:t>
      </w:r>
      <w:r>
        <w:rPr>
          <w:rFonts w:hint="eastAsia" w:ascii="Arial" w:hAnsi="Arial" w:cs="Arial"/>
          <w:color w:val="auto"/>
          <w:sz w:val="26"/>
          <w:szCs w:val="26"/>
        </w:rPr>
        <w:t>以鲤型目为主，</w:t>
      </w:r>
      <w:r>
        <w:rPr>
          <w:rFonts w:ascii="Arial" w:cs="Arial"/>
          <w:bCs/>
          <w:color w:val="auto"/>
          <w:sz w:val="26"/>
        </w:rPr>
        <w:t>无珍稀鱼类</w:t>
      </w:r>
      <w:r>
        <w:rPr>
          <w:rFonts w:hint="eastAsia" w:ascii="Arial" w:cs="Arial"/>
          <w:bCs/>
          <w:color w:val="auto"/>
          <w:sz w:val="26"/>
        </w:rPr>
        <w:t>、鱼类“三场”</w:t>
      </w:r>
      <w:r>
        <w:rPr>
          <w:rFonts w:ascii="Arial" w:cs="Arial"/>
          <w:bCs/>
          <w:color w:val="auto"/>
          <w:sz w:val="26"/>
        </w:rPr>
        <w:t>分布，</w:t>
      </w:r>
      <w:r>
        <w:rPr>
          <w:rFonts w:hint="eastAsia" w:ascii="Arial" w:cs="Arial"/>
          <w:bCs/>
          <w:color w:val="auto"/>
          <w:sz w:val="26"/>
        </w:rPr>
        <w:t>对环境适应能力强，</w:t>
      </w:r>
      <w:r>
        <w:rPr>
          <w:rFonts w:hint="eastAsia" w:ascii="Arial" w:hAnsi="Arial" w:cs="Arial"/>
          <w:color w:val="auto"/>
          <w:sz w:val="26"/>
          <w:szCs w:val="26"/>
        </w:rPr>
        <w:t>施工对鱼类的影响可减至最低。</w:t>
      </w:r>
    </w:p>
    <w:p w14:paraId="144AF184">
      <w:pPr>
        <w:pStyle w:val="1291"/>
        <w:keepNext w:val="0"/>
        <w:keepLines w:val="0"/>
        <w:pageBreakBefore w:val="0"/>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eastAsia="宋体" w:cs="Arial"/>
          <w:sz w:val="26"/>
          <w:szCs w:val="26"/>
          <w:lang w:val="en-US" w:eastAsia="zh-CN"/>
        </w:rPr>
      </w:pPr>
      <w:r>
        <w:rPr>
          <w:rFonts w:hint="eastAsia" w:ascii="Arial" w:hAnsi="Arial" w:eastAsia="宋体" w:cs="Arial"/>
          <w:sz w:val="26"/>
          <w:szCs w:val="26"/>
          <w:lang w:val="en-US" w:eastAsia="zh-CN"/>
        </w:rPr>
        <w:t>5.6环境风险影响评价</w:t>
      </w:r>
    </w:p>
    <w:p w14:paraId="3A1DA65D">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default" w:ascii="Arial" w:hAnsi="Arial" w:cs="Arial"/>
          <w:b/>
          <w:bCs/>
          <w:kern w:val="0"/>
          <w:sz w:val="26"/>
          <w:szCs w:val="26"/>
          <w:lang w:val="en-US" w:eastAsia="zh-CN"/>
        </w:rPr>
      </w:pPr>
      <w:r>
        <w:rPr>
          <w:rFonts w:hint="eastAsia" w:ascii="Arial" w:hAnsi="Arial" w:cs="Arial"/>
          <w:b/>
          <w:bCs/>
          <w:kern w:val="0"/>
          <w:sz w:val="26"/>
          <w:szCs w:val="26"/>
          <w:lang w:val="en-US" w:eastAsia="zh-CN"/>
        </w:rPr>
        <w:t>5.6.1风险物质识别</w:t>
      </w:r>
    </w:p>
    <w:p w14:paraId="6C0283EC">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cs="Arial"/>
          <w:kern w:val="0"/>
          <w:sz w:val="26"/>
          <w:szCs w:val="26"/>
          <w:lang w:val="en-US" w:eastAsia="zh-CN"/>
        </w:rPr>
      </w:pPr>
      <w:r>
        <w:rPr>
          <w:rFonts w:hint="eastAsia" w:ascii="Arial" w:hAnsi="Arial" w:cs="Arial"/>
          <w:kern w:val="0"/>
          <w:sz w:val="26"/>
          <w:szCs w:val="26"/>
          <w:lang w:val="en-US" w:eastAsia="zh-CN"/>
        </w:rPr>
        <w:t>根据本项目施工期所消耗的各类物质情况，对照《建设项目环境风险评价技术导则》（H169-2018）附录B临界量所涉及风险物质以及《危险化学品目录》（2015年版）和《危险化学品重大危险源辨识录》（GB18218-2018）文件，本项目施工期环境风险物质主要考虑柴油、汽油。</w:t>
      </w:r>
    </w:p>
    <w:p w14:paraId="2B9FA48C">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cs="Arial"/>
          <w:kern w:val="0"/>
          <w:sz w:val="26"/>
          <w:szCs w:val="26"/>
          <w:lang w:val="en-US" w:eastAsia="zh-CN"/>
        </w:rPr>
      </w:pPr>
      <w:r>
        <w:rPr>
          <w:rFonts w:hint="eastAsia" w:ascii="Arial" w:hAnsi="Arial" w:cs="Arial"/>
          <w:kern w:val="0"/>
          <w:sz w:val="26"/>
          <w:szCs w:val="26"/>
          <w:lang w:val="en-US" w:eastAsia="zh-CN"/>
        </w:rPr>
        <w:t>本项目枢纽工程施工场地内设置有1处油罐区，用于暂存施工燃油机械所需柴油、汽油，容积均为200L/桶，最大储量分别约1.68t、1.44t。</w:t>
      </w:r>
    </w:p>
    <w:p w14:paraId="71489C4E">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default" w:ascii="Arial" w:hAnsi="Arial" w:cs="Arial"/>
          <w:b/>
          <w:bCs/>
          <w:kern w:val="0"/>
          <w:sz w:val="26"/>
          <w:szCs w:val="26"/>
          <w:lang w:val="en-US" w:eastAsia="zh-CN"/>
        </w:rPr>
      </w:pPr>
      <w:r>
        <w:rPr>
          <w:rFonts w:hint="eastAsia" w:ascii="Arial" w:hAnsi="Arial" w:cs="Arial"/>
          <w:b/>
          <w:bCs/>
          <w:kern w:val="0"/>
          <w:sz w:val="26"/>
          <w:szCs w:val="26"/>
          <w:lang w:val="en-US" w:eastAsia="zh-CN"/>
        </w:rPr>
        <w:t>5.6.2环境风险潜势初判</w:t>
      </w:r>
    </w:p>
    <w:p w14:paraId="0D4C9FD1">
      <w:pPr>
        <w:pStyle w:val="31"/>
        <w:keepNext w:val="0"/>
        <w:keepLines w:val="0"/>
        <w:pageBreakBefore w:val="0"/>
        <w:widowControl w:val="0"/>
        <w:kinsoku/>
        <w:wordWrap/>
        <w:overflowPunct/>
        <w:topLinePunct w:val="0"/>
        <w:autoSpaceDE/>
        <w:autoSpaceDN/>
        <w:bidi w:val="0"/>
        <w:snapToGrid w:val="0"/>
        <w:spacing w:before="0" w:after="0" w:line="460" w:lineRule="exact"/>
        <w:ind w:left="0" w:right="0" w:firstLine="520" w:firstLineChars="200"/>
        <w:textAlignment w:val="auto"/>
        <w:rPr>
          <w:rFonts w:hint="default" w:ascii="Arial" w:hAnsi="Arial" w:eastAsia="宋体" w:cs="Arial"/>
          <w:color w:val="auto"/>
          <w:sz w:val="26"/>
          <w:szCs w:val="26"/>
          <w:highlight w:val="none"/>
          <w:lang w:val="en-US" w:eastAsia="zh-CN"/>
        </w:rPr>
      </w:pPr>
      <w:r>
        <w:rPr>
          <w:rFonts w:hint="default" w:ascii="Arial" w:hAnsi="Arial" w:eastAsia="宋体" w:cs="Arial"/>
          <w:color w:val="auto"/>
          <w:sz w:val="26"/>
          <w:szCs w:val="26"/>
          <w:highlight w:val="none"/>
          <w:lang w:val="en-US" w:eastAsia="zh-CN"/>
        </w:rPr>
        <w:t>根据《建设项目环境风险评价技术导则》（HJ169-2018），当只涉及一种危险物质时，计算该物质的总量与其临界量比值，即为Q；当存在多种危险物质时，则按下式计算物质总量与其临界量比值（Q）：</w:t>
      </w:r>
    </w:p>
    <w:p w14:paraId="0D91A0FB">
      <w:pPr>
        <w:pStyle w:val="31"/>
        <w:keepNext w:val="0"/>
        <w:keepLines w:val="0"/>
        <w:pageBreakBefore w:val="0"/>
        <w:widowControl w:val="0"/>
        <w:kinsoku/>
        <w:wordWrap/>
        <w:overflowPunct/>
        <w:topLinePunct w:val="0"/>
        <w:autoSpaceDE/>
        <w:autoSpaceDN/>
        <w:bidi w:val="0"/>
        <w:snapToGrid w:val="0"/>
        <w:spacing w:before="0" w:after="0" w:line="460" w:lineRule="exact"/>
        <w:ind w:left="0" w:right="0" w:firstLine="480" w:firstLineChars="200"/>
        <w:jc w:val="center"/>
        <w:textAlignment w:val="auto"/>
        <w:rPr>
          <w:rFonts w:hint="default" w:ascii="Arial" w:hAnsi="Arial" w:cs="Arial"/>
          <w:bCs/>
          <w:color w:val="auto"/>
          <w:spacing w:val="-10"/>
          <w:sz w:val="26"/>
          <w:szCs w:val="26"/>
          <w:highlight w:val="none"/>
        </w:rPr>
      </w:pPr>
      <w:r>
        <w:rPr>
          <w:rFonts w:hint="default" w:ascii="Arial" w:hAnsi="Arial" w:cs="Arial"/>
          <w:bCs/>
          <w:color w:val="auto"/>
          <w:spacing w:val="-10"/>
          <w:sz w:val="26"/>
          <w:szCs w:val="26"/>
          <w:highlight w:val="none"/>
        </w:rPr>
        <w:t>Q=q</w:t>
      </w:r>
      <w:r>
        <w:rPr>
          <w:rFonts w:hint="default" w:ascii="Arial" w:hAnsi="Arial" w:cs="Arial"/>
          <w:bCs/>
          <w:color w:val="auto"/>
          <w:spacing w:val="-10"/>
          <w:sz w:val="26"/>
          <w:szCs w:val="26"/>
          <w:highlight w:val="none"/>
          <w:vertAlign w:val="subscript"/>
        </w:rPr>
        <w:t>1</w:t>
      </w:r>
      <w:r>
        <w:rPr>
          <w:rFonts w:hint="default" w:ascii="Arial" w:hAnsi="Arial" w:cs="Arial"/>
          <w:bCs/>
          <w:color w:val="auto"/>
          <w:spacing w:val="-10"/>
          <w:sz w:val="26"/>
          <w:szCs w:val="26"/>
          <w:highlight w:val="none"/>
        </w:rPr>
        <w:t>/Q</w:t>
      </w:r>
      <w:r>
        <w:rPr>
          <w:rFonts w:hint="default" w:ascii="Arial" w:hAnsi="Arial" w:cs="Arial"/>
          <w:bCs/>
          <w:color w:val="auto"/>
          <w:spacing w:val="-10"/>
          <w:sz w:val="26"/>
          <w:szCs w:val="26"/>
          <w:highlight w:val="none"/>
          <w:vertAlign w:val="subscript"/>
        </w:rPr>
        <w:t>1</w:t>
      </w:r>
      <w:r>
        <w:rPr>
          <w:rFonts w:hint="default" w:ascii="Arial" w:hAnsi="Arial" w:cs="Arial"/>
          <w:bCs/>
          <w:color w:val="auto"/>
          <w:spacing w:val="-10"/>
          <w:sz w:val="26"/>
          <w:szCs w:val="26"/>
          <w:highlight w:val="none"/>
        </w:rPr>
        <w:t>+ q</w:t>
      </w:r>
      <w:r>
        <w:rPr>
          <w:rFonts w:hint="default" w:ascii="Arial" w:hAnsi="Arial" w:cs="Arial"/>
          <w:bCs/>
          <w:color w:val="auto"/>
          <w:spacing w:val="-10"/>
          <w:sz w:val="26"/>
          <w:szCs w:val="26"/>
          <w:highlight w:val="none"/>
          <w:vertAlign w:val="subscript"/>
        </w:rPr>
        <w:t>2</w:t>
      </w:r>
      <w:r>
        <w:rPr>
          <w:rFonts w:hint="default" w:ascii="Arial" w:hAnsi="Arial" w:cs="Arial"/>
          <w:bCs/>
          <w:color w:val="auto"/>
          <w:spacing w:val="-10"/>
          <w:sz w:val="26"/>
          <w:szCs w:val="26"/>
          <w:highlight w:val="none"/>
        </w:rPr>
        <w:t>/Q</w:t>
      </w:r>
      <w:r>
        <w:rPr>
          <w:rFonts w:hint="default" w:ascii="Arial" w:hAnsi="Arial" w:cs="Arial"/>
          <w:bCs/>
          <w:color w:val="auto"/>
          <w:spacing w:val="-10"/>
          <w:sz w:val="26"/>
          <w:szCs w:val="26"/>
          <w:highlight w:val="none"/>
          <w:vertAlign w:val="subscript"/>
        </w:rPr>
        <w:t>2</w:t>
      </w:r>
      <w:r>
        <w:rPr>
          <w:rFonts w:hint="default" w:ascii="Arial" w:hAnsi="Arial" w:cs="Arial"/>
          <w:bCs/>
          <w:color w:val="auto"/>
          <w:spacing w:val="-10"/>
          <w:sz w:val="26"/>
          <w:szCs w:val="26"/>
          <w:highlight w:val="none"/>
        </w:rPr>
        <w:t>+……+ q</w:t>
      </w:r>
      <w:r>
        <w:rPr>
          <w:rFonts w:hint="default" w:ascii="Arial" w:hAnsi="Arial" w:cs="Arial"/>
          <w:bCs/>
          <w:color w:val="auto"/>
          <w:spacing w:val="-10"/>
          <w:sz w:val="26"/>
          <w:szCs w:val="26"/>
          <w:highlight w:val="none"/>
          <w:vertAlign w:val="subscript"/>
        </w:rPr>
        <w:t>n</w:t>
      </w:r>
      <w:r>
        <w:rPr>
          <w:rFonts w:hint="default" w:ascii="Arial" w:hAnsi="Arial" w:cs="Arial"/>
          <w:bCs/>
          <w:color w:val="auto"/>
          <w:spacing w:val="-10"/>
          <w:sz w:val="26"/>
          <w:szCs w:val="26"/>
          <w:highlight w:val="none"/>
        </w:rPr>
        <w:t>/Q</w:t>
      </w:r>
      <w:r>
        <w:rPr>
          <w:rFonts w:hint="default" w:ascii="Arial" w:hAnsi="Arial" w:cs="Arial"/>
          <w:bCs/>
          <w:color w:val="auto"/>
          <w:spacing w:val="-10"/>
          <w:sz w:val="26"/>
          <w:szCs w:val="26"/>
          <w:highlight w:val="none"/>
          <w:vertAlign w:val="subscript"/>
        </w:rPr>
        <w:t>n</w:t>
      </w:r>
    </w:p>
    <w:p w14:paraId="41752325">
      <w:pPr>
        <w:pStyle w:val="31"/>
        <w:keepNext w:val="0"/>
        <w:keepLines w:val="0"/>
        <w:pageBreakBefore w:val="0"/>
        <w:widowControl w:val="0"/>
        <w:kinsoku/>
        <w:wordWrap/>
        <w:overflowPunct/>
        <w:topLinePunct w:val="0"/>
        <w:autoSpaceDE/>
        <w:autoSpaceDN/>
        <w:bidi w:val="0"/>
        <w:snapToGrid w:val="0"/>
        <w:spacing w:before="0" w:after="0" w:line="460" w:lineRule="exact"/>
        <w:ind w:left="0" w:right="0" w:firstLine="520" w:firstLineChars="200"/>
        <w:textAlignment w:val="auto"/>
        <w:rPr>
          <w:rFonts w:hint="default" w:ascii="Arial" w:hAnsi="Arial" w:eastAsia="宋体" w:cs="Arial"/>
          <w:color w:val="auto"/>
          <w:sz w:val="26"/>
          <w:szCs w:val="26"/>
          <w:highlight w:val="none"/>
          <w:lang w:val="en-US" w:eastAsia="zh-CN"/>
        </w:rPr>
      </w:pPr>
      <w:r>
        <w:rPr>
          <w:rFonts w:hint="default" w:ascii="Arial" w:hAnsi="Arial" w:eastAsia="宋体" w:cs="Arial"/>
          <w:color w:val="auto"/>
          <w:sz w:val="26"/>
          <w:szCs w:val="26"/>
          <w:highlight w:val="none"/>
          <w:lang w:val="en-US" w:eastAsia="zh-CN"/>
        </w:rPr>
        <w:t>式中：q</w:t>
      </w:r>
      <w:r>
        <w:rPr>
          <w:rFonts w:hint="default" w:ascii="Arial" w:hAnsi="Arial" w:eastAsia="宋体" w:cs="Arial"/>
          <w:color w:val="auto"/>
          <w:sz w:val="26"/>
          <w:szCs w:val="26"/>
          <w:highlight w:val="none"/>
          <w:vertAlign w:val="subscript"/>
          <w:lang w:val="en-US" w:eastAsia="zh-CN"/>
        </w:rPr>
        <w:t>1</w:t>
      </w:r>
      <w:r>
        <w:rPr>
          <w:rFonts w:hint="default" w:ascii="Arial" w:hAnsi="Arial" w:eastAsia="宋体" w:cs="Arial"/>
          <w:color w:val="auto"/>
          <w:sz w:val="26"/>
          <w:szCs w:val="26"/>
          <w:highlight w:val="none"/>
          <w:lang w:val="en-US" w:eastAsia="zh-CN"/>
        </w:rPr>
        <w:t>，q</w:t>
      </w:r>
      <w:r>
        <w:rPr>
          <w:rFonts w:hint="default" w:ascii="Arial" w:hAnsi="Arial" w:eastAsia="宋体" w:cs="Arial"/>
          <w:color w:val="auto"/>
          <w:sz w:val="26"/>
          <w:szCs w:val="26"/>
          <w:highlight w:val="none"/>
          <w:vertAlign w:val="subscript"/>
          <w:lang w:val="en-US" w:eastAsia="zh-CN"/>
        </w:rPr>
        <w:t>2</w:t>
      </w:r>
      <w:r>
        <w:rPr>
          <w:rFonts w:hint="default" w:ascii="Arial" w:hAnsi="Arial" w:eastAsia="宋体" w:cs="Arial"/>
          <w:color w:val="auto"/>
          <w:sz w:val="26"/>
          <w:szCs w:val="26"/>
          <w:highlight w:val="none"/>
          <w:lang w:val="en-US" w:eastAsia="zh-CN"/>
        </w:rPr>
        <w:t>，…，q</w:t>
      </w:r>
      <w:r>
        <w:rPr>
          <w:rFonts w:hint="default" w:ascii="Arial" w:hAnsi="Arial" w:eastAsia="宋体" w:cs="Arial"/>
          <w:color w:val="auto"/>
          <w:sz w:val="26"/>
          <w:szCs w:val="26"/>
          <w:highlight w:val="none"/>
          <w:vertAlign w:val="subscript"/>
          <w:lang w:val="en-US" w:eastAsia="zh-CN"/>
        </w:rPr>
        <w:t>n</w:t>
      </w:r>
      <w:r>
        <w:rPr>
          <w:rFonts w:hint="default" w:ascii="Arial" w:hAnsi="Arial" w:eastAsia="宋体" w:cs="Arial"/>
          <w:color w:val="auto"/>
          <w:sz w:val="26"/>
          <w:szCs w:val="26"/>
          <w:highlight w:val="none"/>
          <w:lang w:val="en-US" w:eastAsia="zh-CN"/>
        </w:rPr>
        <w:t>——每种危险物质的最大存在总量，t；</w:t>
      </w:r>
    </w:p>
    <w:p w14:paraId="3A0C7AD2">
      <w:pPr>
        <w:pStyle w:val="31"/>
        <w:keepNext w:val="0"/>
        <w:keepLines w:val="0"/>
        <w:pageBreakBefore w:val="0"/>
        <w:widowControl w:val="0"/>
        <w:kinsoku/>
        <w:wordWrap/>
        <w:overflowPunct/>
        <w:topLinePunct w:val="0"/>
        <w:autoSpaceDE/>
        <w:autoSpaceDN/>
        <w:bidi w:val="0"/>
        <w:snapToGrid w:val="0"/>
        <w:spacing w:before="0" w:after="0" w:line="460" w:lineRule="exact"/>
        <w:ind w:left="0" w:right="0" w:firstLine="520" w:firstLineChars="200"/>
        <w:textAlignment w:val="auto"/>
        <w:rPr>
          <w:rFonts w:hint="default" w:ascii="Arial" w:hAnsi="Arial" w:eastAsia="宋体" w:cs="Arial"/>
          <w:color w:val="auto"/>
          <w:sz w:val="26"/>
          <w:szCs w:val="26"/>
          <w:highlight w:val="none"/>
          <w:lang w:val="en-US" w:eastAsia="zh-CN"/>
        </w:rPr>
      </w:pPr>
      <w:r>
        <w:rPr>
          <w:rFonts w:hint="default" w:ascii="Arial" w:hAnsi="Arial" w:eastAsia="宋体" w:cs="Arial"/>
          <w:color w:val="auto"/>
          <w:sz w:val="26"/>
          <w:szCs w:val="26"/>
          <w:highlight w:val="none"/>
          <w:lang w:val="en-US" w:eastAsia="zh-CN"/>
        </w:rPr>
        <w:t xml:space="preserve">      Q</w:t>
      </w:r>
      <w:r>
        <w:rPr>
          <w:rFonts w:hint="default" w:ascii="Arial" w:hAnsi="Arial" w:eastAsia="宋体" w:cs="Arial"/>
          <w:color w:val="auto"/>
          <w:sz w:val="26"/>
          <w:szCs w:val="26"/>
          <w:highlight w:val="none"/>
          <w:vertAlign w:val="subscript"/>
          <w:lang w:val="en-US" w:eastAsia="zh-CN"/>
        </w:rPr>
        <w:t>1</w:t>
      </w:r>
      <w:r>
        <w:rPr>
          <w:rFonts w:hint="default" w:ascii="Arial" w:hAnsi="Arial" w:eastAsia="宋体" w:cs="Arial"/>
          <w:color w:val="auto"/>
          <w:sz w:val="26"/>
          <w:szCs w:val="26"/>
          <w:highlight w:val="none"/>
          <w:lang w:val="en-US" w:eastAsia="zh-CN"/>
        </w:rPr>
        <w:t>，Q</w:t>
      </w:r>
      <w:r>
        <w:rPr>
          <w:rFonts w:hint="default" w:ascii="Arial" w:hAnsi="Arial" w:eastAsia="宋体" w:cs="Arial"/>
          <w:color w:val="auto"/>
          <w:sz w:val="26"/>
          <w:szCs w:val="26"/>
          <w:highlight w:val="none"/>
          <w:vertAlign w:val="subscript"/>
          <w:lang w:val="en-US" w:eastAsia="zh-CN"/>
        </w:rPr>
        <w:t>2</w:t>
      </w:r>
      <w:r>
        <w:rPr>
          <w:rFonts w:hint="default" w:ascii="Arial" w:hAnsi="Arial" w:eastAsia="宋体" w:cs="Arial"/>
          <w:color w:val="auto"/>
          <w:sz w:val="26"/>
          <w:szCs w:val="26"/>
          <w:highlight w:val="none"/>
          <w:lang w:val="en-US" w:eastAsia="zh-CN"/>
        </w:rPr>
        <w:t>，…，Q</w:t>
      </w:r>
      <w:r>
        <w:rPr>
          <w:rFonts w:hint="default" w:ascii="Arial" w:hAnsi="Arial" w:eastAsia="宋体" w:cs="Arial"/>
          <w:color w:val="auto"/>
          <w:sz w:val="26"/>
          <w:szCs w:val="26"/>
          <w:highlight w:val="none"/>
          <w:vertAlign w:val="subscript"/>
          <w:lang w:val="en-US" w:eastAsia="zh-CN"/>
        </w:rPr>
        <w:t>n</w:t>
      </w:r>
      <w:r>
        <w:rPr>
          <w:rFonts w:hint="default" w:ascii="Arial" w:hAnsi="Arial" w:eastAsia="宋体" w:cs="Arial"/>
          <w:color w:val="auto"/>
          <w:sz w:val="26"/>
          <w:szCs w:val="26"/>
          <w:highlight w:val="none"/>
          <w:lang w:val="en-US" w:eastAsia="zh-CN"/>
        </w:rPr>
        <w:t>——每种危险物质的临界量，t。</w:t>
      </w:r>
    </w:p>
    <w:p w14:paraId="238DFE40">
      <w:pPr>
        <w:pStyle w:val="31"/>
        <w:keepNext w:val="0"/>
        <w:keepLines w:val="0"/>
        <w:pageBreakBefore w:val="0"/>
        <w:widowControl w:val="0"/>
        <w:kinsoku/>
        <w:wordWrap/>
        <w:overflowPunct/>
        <w:topLinePunct w:val="0"/>
        <w:autoSpaceDE/>
        <w:autoSpaceDN/>
        <w:bidi w:val="0"/>
        <w:snapToGrid w:val="0"/>
        <w:spacing w:before="0" w:after="0" w:line="460" w:lineRule="exact"/>
        <w:ind w:left="0" w:right="0" w:firstLine="520" w:firstLineChars="200"/>
        <w:textAlignment w:val="auto"/>
        <w:rPr>
          <w:rFonts w:hint="default" w:ascii="Arial" w:hAnsi="Arial" w:eastAsia="宋体" w:cs="Arial"/>
          <w:color w:val="auto"/>
          <w:sz w:val="26"/>
          <w:szCs w:val="26"/>
          <w:highlight w:val="none"/>
          <w:lang w:val="en-US" w:eastAsia="zh-CN"/>
        </w:rPr>
      </w:pPr>
      <w:r>
        <w:rPr>
          <w:rFonts w:hint="default" w:ascii="Arial" w:hAnsi="Arial" w:eastAsia="宋体" w:cs="Arial"/>
          <w:color w:val="auto"/>
          <w:sz w:val="26"/>
          <w:szCs w:val="26"/>
          <w:highlight w:val="none"/>
          <w:lang w:val="en-US" w:eastAsia="zh-CN"/>
        </w:rPr>
        <w:t>当Q＜1时，该项目环境风险潜势为I；当Q</w:t>
      </w:r>
      <w:r>
        <w:rPr>
          <w:rFonts w:hint="eastAsia" w:ascii="宋体" w:hAnsi="宋体" w:eastAsia="宋体" w:cs="宋体"/>
          <w:color w:val="auto"/>
          <w:sz w:val="26"/>
          <w:szCs w:val="26"/>
          <w:highlight w:val="none"/>
          <w:lang w:val="en-US" w:eastAsia="zh-CN"/>
        </w:rPr>
        <w:t>≥</w:t>
      </w:r>
      <w:r>
        <w:rPr>
          <w:rFonts w:hint="default" w:ascii="Arial" w:hAnsi="Arial" w:eastAsia="宋体" w:cs="Arial"/>
          <w:color w:val="auto"/>
          <w:sz w:val="26"/>
          <w:szCs w:val="26"/>
          <w:highlight w:val="none"/>
          <w:lang w:val="en-US" w:eastAsia="zh-CN"/>
        </w:rPr>
        <w:t>1时，将Q值划分为①1</w:t>
      </w:r>
      <w:r>
        <w:rPr>
          <w:rFonts w:hint="eastAsia" w:ascii="宋体" w:hAnsi="宋体" w:eastAsia="宋体" w:cs="宋体"/>
          <w:color w:val="auto"/>
          <w:sz w:val="26"/>
          <w:szCs w:val="26"/>
          <w:highlight w:val="none"/>
          <w:lang w:val="en-US" w:eastAsia="zh-CN"/>
        </w:rPr>
        <w:t>≤</w:t>
      </w:r>
      <w:r>
        <w:rPr>
          <w:rFonts w:hint="default" w:ascii="Arial" w:hAnsi="Arial" w:eastAsia="宋体" w:cs="Arial"/>
          <w:color w:val="auto"/>
          <w:sz w:val="26"/>
          <w:szCs w:val="26"/>
          <w:highlight w:val="none"/>
          <w:lang w:val="en-US" w:eastAsia="zh-CN"/>
        </w:rPr>
        <w:t>Q＜10；②10</w:t>
      </w:r>
      <w:r>
        <w:rPr>
          <w:rFonts w:hint="eastAsia" w:ascii="宋体" w:hAnsi="宋体" w:eastAsia="宋体" w:cs="宋体"/>
          <w:color w:val="auto"/>
          <w:sz w:val="26"/>
          <w:szCs w:val="26"/>
          <w:highlight w:val="none"/>
          <w:lang w:val="en-US" w:eastAsia="zh-CN"/>
        </w:rPr>
        <w:t>≤</w:t>
      </w:r>
      <w:r>
        <w:rPr>
          <w:rFonts w:hint="default" w:ascii="Arial" w:hAnsi="Arial" w:eastAsia="宋体" w:cs="Arial"/>
          <w:color w:val="auto"/>
          <w:sz w:val="26"/>
          <w:szCs w:val="26"/>
          <w:highlight w:val="none"/>
          <w:lang w:val="en-US" w:eastAsia="zh-CN"/>
        </w:rPr>
        <w:t>Q＜100；③Q＞100。</w:t>
      </w:r>
    </w:p>
    <w:p w14:paraId="1F335902">
      <w:pPr>
        <w:keepNext w:val="0"/>
        <w:keepLines w:val="0"/>
        <w:pageBreakBefore w:val="0"/>
        <w:widowControl w:val="0"/>
        <w:kinsoku/>
        <w:wordWrap/>
        <w:overflowPunct/>
        <w:topLinePunct w:val="0"/>
        <w:autoSpaceDE/>
        <w:autoSpaceDN/>
        <w:bidi w:val="0"/>
        <w:adjustRightInd w:val="0"/>
        <w:snapToGrid w:val="0"/>
        <w:spacing w:line="460" w:lineRule="exact"/>
        <w:ind w:left="0" w:firstLine="520" w:firstLineChars="200"/>
        <w:textAlignment w:val="auto"/>
        <w:rPr>
          <w:rFonts w:hint="default" w:ascii="Arial" w:hAnsi="Arial" w:cs="Arial"/>
          <w:kern w:val="0"/>
          <w:sz w:val="26"/>
          <w:szCs w:val="26"/>
          <w:lang w:val="en-US" w:eastAsia="zh-CN"/>
        </w:rPr>
      </w:pPr>
      <w:r>
        <w:rPr>
          <w:rFonts w:hint="default" w:ascii="Arial" w:hAnsi="Arial" w:eastAsia="宋体" w:cs="Arial"/>
          <w:color w:val="auto"/>
          <w:sz w:val="26"/>
          <w:szCs w:val="26"/>
          <w:highlight w:val="none"/>
          <w:lang w:val="en-US" w:eastAsia="zh-CN"/>
        </w:rPr>
        <w:t>对照《建设项目环境风险评价技术导则》（H169-2018）附录B所涉及风险物质</w:t>
      </w:r>
      <w:r>
        <w:rPr>
          <w:rFonts w:hint="eastAsia" w:ascii="Arial" w:hAnsi="Arial" w:eastAsia="宋体" w:cs="Arial"/>
          <w:color w:val="auto"/>
          <w:sz w:val="26"/>
          <w:szCs w:val="26"/>
          <w:highlight w:val="none"/>
          <w:lang w:val="en-US" w:eastAsia="zh-CN"/>
        </w:rPr>
        <w:t>的</w:t>
      </w:r>
      <w:r>
        <w:rPr>
          <w:rFonts w:hint="default" w:ascii="Arial" w:hAnsi="Arial" w:eastAsia="宋体" w:cs="Arial"/>
          <w:color w:val="auto"/>
          <w:sz w:val="26"/>
          <w:szCs w:val="26"/>
          <w:highlight w:val="none"/>
          <w:lang w:val="en-US" w:eastAsia="zh-CN"/>
        </w:rPr>
        <w:t>临界量</w:t>
      </w:r>
      <w:r>
        <w:rPr>
          <w:rFonts w:hint="eastAsia" w:ascii="Arial" w:hAnsi="Arial" w:eastAsia="宋体" w:cs="Arial"/>
          <w:color w:val="auto"/>
          <w:sz w:val="26"/>
          <w:szCs w:val="26"/>
          <w:highlight w:val="none"/>
          <w:lang w:val="en-US" w:eastAsia="zh-CN"/>
        </w:rPr>
        <w:t>，</w:t>
      </w:r>
      <w:r>
        <w:rPr>
          <w:rFonts w:hint="default" w:ascii="Arial" w:hAnsi="Arial" w:eastAsia="宋体" w:cs="Arial"/>
          <w:color w:val="auto"/>
          <w:sz w:val="26"/>
          <w:szCs w:val="26"/>
          <w:highlight w:val="none"/>
          <w:lang w:val="en-US" w:eastAsia="zh-CN"/>
        </w:rPr>
        <w:t>计算出危险物质数量与临界量比值</w:t>
      </w:r>
      <w:r>
        <w:rPr>
          <w:rFonts w:hint="eastAsia" w:ascii="宋体" w:hAnsi="宋体" w:eastAsia="宋体" w:cs="宋体"/>
          <w:color w:val="auto"/>
          <w:sz w:val="26"/>
          <w:szCs w:val="26"/>
          <w:highlight w:val="none"/>
          <w:lang w:val="en-US" w:eastAsia="zh-CN"/>
        </w:rPr>
        <w:t>(</w:t>
      </w:r>
      <w:r>
        <w:rPr>
          <w:rFonts w:hint="default" w:ascii="Arial" w:hAnsi="Arial" w:eastAsia="宋体" w:cs="Arial"/>
          <w:color w:val="auto"/>
          <w:sz w:val="26"/>
          <w:szCs w:val="26"/>
          <w:highlight w:val="none"/>
          <w:lang w:val="en-US" w:eastAsia="zh-CN"/>
        </w:rPr>
        <w:t>Q</w:t>
      </w:r>
      <w:r>
        <w:rPr>
          <w:rFonts w:hint="eastAsia" w:ascii="宋体" w:hAnsi="宋体" w:eastAsia="宋体" w:cs="宋体"/>
          <w:color w:val="auto"/>
          <w:sz w:val="26"/>
          <w:szCs w:val="26"/>
          <w:highlight w:val="none"/>
          <w:lang w:val="en-US" w:eastAsia="zh-CN"/>
        </w:rPr>
        <w:t>)</w:t>
      </w:r>
      <w:r>
        <w:rPr>
          <w:rFonts w:hint="default" w:ascii="Arial" w:hAnsi="Arial" w:eastAsia="宋体" w:cs="Arial"/>
          <w:color w:val="auto"/>
          <w:sz w:val="26"/>
          <w:szCs w:val="26"/>
          <w:highlight w:val="none"/>
          <w:lang w:val="en-US" w:eastAsia="zh-CN"/>
        </w:rPr>
        <w:t>，计算结果详见下表。</w:t>
      </w:r>
    </w:p>
    <w:p w14:paraId="76D36CCC">
      <w:pPr>
        <w:pStyle w:val="31"/>
        <w:keepNext w:val="0"/>
        <w:keepLines w:val="0"/>
        <w:pageBreakBefore w:val="0"/>
        <w:widowControl/>
        <w:kinsoku/>
        <w:wordWrap/>
        <w:overflowPunct/>
        <w:topLinePunct w:val="0"/>
        <w:autoSpaceDE/>
        <w:autoSpaceDN/>
        <w:bidi w:val="0"/>
        <w:adjustRightInd/>
        <w:snapToGrid w:val="0"/>
        <w:spacing w:before="0" w:after="0" w:line="460" w:lineRule="exact"/>
        <w:ind w:left="0" w:right="0" w:firstLine="0" w:firstLineChars="0"/>
        <w:jc w:val="center"/>
        <w:textAlignment w:val="auto"/>
        <w:rPr>
          <w:rFonts w:hint="eastAsia" w:ascii="Arial" w:hAnsi="Arial" w:eastAsia="宋体" w:cs="Arial"/>
          <w:b/>
          <w:bCs/>
          <w:color w:val="auto"/>
          <w:sz w:val="26"/>
          <w:szCs w:val="26"/>
          <w:highlight w:val="none"/>
          <w:lang w:val="en-US" w:eastAsia="zh-CN"/>
        </w:rPr>
      </w:pPr>
      <w:r>
        <w:rPr>
          <w:rFonts w:hint="eastAsia" w:ascii="Arial" w:hAnsi="Arial" w:eastAsia="宋体" w:cs="Arial"/>
          <w:b/>
          <w:bCs/>
          <w:color w:val="auto"/>
          <w:sz w:val="26"/>
          <w:szCs w:val="26"/>
          <w:highlight w:val="none"/>
          <w:lang w:val="en-US" w:eastAsia="zh-CN"/>
        </w:rPr>
        <w:t>表5.6-1 环境风险物质单元、设施及物质情况</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1530"/>
        <w:gridCol w:w="1509"/>
        <w:gridCol w:w="1212"/>
        <w:gridCol w:w="1631"/>
      </w:tblGrid>
      <w:tr w14:paraId="2ECFB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tblHeader/>
          <w:jc w:val="center"/>
        </w:trPr>
        <w:tc>
          <w:tcPr>
            <w:tcW w:w="1995" w:type="dxa"/>
            <w:tcBorders>
              <w:tl2br w:val="nil"/>
              <w:tr2bl w:val="nil"/>
            </w:tcBorders>
            <w:noWrap w:val="0"/>
            <w:vAlign w:val="center"/>
          </w:tcPr>
          <w:p w14:paraId="22AFD692">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eastAsia"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风险单元</w:t>
            </w:r>
          </w:p>
        </w:tc>
        <w:tc>
          <w:tcPr>
            <w:tcW w:w="1530" w:type="dxa"/>
            <w:tcBorders>
              <w:tl2br w:val="nil"/>
              <w:tr2bl w:val="nil"/>
            </w:tcBorders>
            <w:noWrap w:val="0"/>
            <w:vAlign w:val="center"/>
          </w:tcPr>
          <w:p w14:paraId="3BADC0BC">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eastAsia"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物质名称及存储量</w:t>
            </w:r>
          </w:p>
        </w:tc>
        <w:tc>
          <w:tcPr>
            <w:tcW w:w="1509" w:type="dxa"/>
            <w:tcBorders>
              <w:tl2br w:val="nil"/>
              <w:tr2bl w:val="nil"/>
            </w:tcBorders>
            <w:noWrap w:val="0"/>
            <w:vAlign w:val="center"/>
          </w:tcPr>
          <w:p w14:paraId="719CCCC0">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eastAsia"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最大储存量q（t）</w:t>
            </w:r>
          </w:p>
        </w:tc>
        <w:tc>
          <w:tcPr>
            <w:tcW w:w="1212" w:type="dxa"/>
            <w:tcBorders>
              <w:tl2br w:val="nil"/>
              <w:tr2bl w:val="nil"/>
            </w:tcBorders>
            <w:noWrap w:val="0"/>
            <w:vAlign w:val="center"/>
          </w:tcPr>
          <w:p w14:paraId="13F6351E">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eastAsia"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临界量Q（t）</w:t>
            </w:r>
          </w:p>
        </w:tc>
        <w:tc>
          <w:tcPr>
            <w:tcW w:w="1631" w:type="dxa"/>
            <w:tcBorders>
              <w:tl2br w:val="nil"/>
              <w:tr2bl w:val="nil"/>
            </w:tcBorders>
            <w:noWrap w:val="0"/>
            <w:vAlign w:val="center"/>
          </w:tcPr>
          <w:p w14:paraId="56D8DC20">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eastAsia"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q/Q</w:t>
            </w:r>
          </w:p>
        </w:tc>
      </w:tr>
      <w:tr w14:paraId="609B2C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995" w:type="dxa"/>
            <w:vMerge w:val="restart"/>
            <w:tcBorders>
              <w:tl2br w:val="nil"/>
              <w:tr2bl w:val="nil"/>
            </w:tcBorders>
            <w:noWrap w:val="0"/>
            <w:vAlign w:val="center"/>
          </w:tcPr>
          <w:p w14:paraId="76F86AA0">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rightChars="0"/>
              <w:jc w:val="center"/>
              <w:textAlignment w:val="auto"/>
              <w:rPr>
                <w:rFonts w:hint="default" w:ascii="Arial" w:hAnsi="Arial" w:eastAsia="宋体" w:cs="Arial"/>
                <w:color w:val="auto"/>
                <w:sz w:val="22"/>
                <w:szCs w:val="22"/>
                <w:highlight w:val="none"/>
                <w:vertAlign w:val="baseline"/>
                <w:lang w:val="en-US" w:eastAsia="zh-CN"/>
              </w:rPr>
            </w:pPr>
            <w:bookmarkStart w:id="115" w:name="_Hlk2848700"/>
            <w:r>
              <w:rPr>
                <w:rFonts w:hint="eastAsia" w:ascii="Arial" w:hAnsi="Arial" w:eastAsia="宋体" w:cs="Arial"/>
                <w:color w:val="auto"/>
                <w:sz w:val="22"/>
                <w:szCs w:val="22"/>
                <w:highlight w:val="none"/>
                <w:vertAlign w:val="baseline"/>
                <w:lang w:val="en-US" w:eastAsia="zh-CN"/>
              </w:rPr>
              <w:t>油罐区</w:t>
            </w:r>
          </w:p>
        </w:tc>
        <w:tc>
          <w:tcPr>
            <w:tcW w:w="1530" w:type="dxa"/>
            <w:tcBorders>
              <w:tl2br w:val="nil"/>
              <w:tr2bl w:val="nil"/>
            </w:tcBorders>
            <w:noWrap w:val="0"/>
            <w:vAlign w:val="center"/>
          </w:tcPr>
          <w:p w14:paraId="76D40238">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rightChars="0"/>
              <w:jc w:val="center"/>
              <w:textAlignment w:val="auto"/>
              <w:rPr>
                <w:rFonts w:hint="eastAsia"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柴油</w:t>
            </w:r>
          </w:p>
        </w:tc>
        <w:tc>
          <w:tcPr>
            <w:tcW w:w="1509" w:type="dxa"/>
            <w:tcBorders>
              <w:tl2br w:val="nil"/>
              <w:tr2bl w:val="nil"/>
            </w:tcBorders>
            <w:noWrap w:val="0"/>
            <w:vAlign w:val="center"/>
          </w:tcPr>
          <w:p w14:paraId="3B61C81D">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default"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1.68</w:t>
            </w:r>
          </w:p>
        </w:tc>
        <w:tc>
          <w:tcPr>
            <w:tcW w:w="1212" w:type="dxa"/>
            <w:tcBorders>
              <w:tl2br w:val="nil"/>
              <w:tr2bl w:val="nil"/>
            </w:tcBorders>
            <w:noWrap w:val="0"/>
            <w:vAlign w:val="center"/>
          </w:tcPr>
          <w:p w14:paraId="5F3894AB">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default"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2500</w:t>
            </w:r>
          </w:p>
        </w:tc>
        <w:tc>
          <w:tcPr>
            <w:tcW w:w="1631" w:type="dxa"/>
            <w:tcBorders>
              <w:tl2br w:val="nil"/>
              <w:tr2bl w:val="nil"/>
            </w:tcBorders>
            <w:noWrap w:val="0"/>
            <w:vAlign w:val="center"/>
          </w:tcPr>
          <w:p w14:paraId="1DE2999D">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default"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0.000672</w:t>
            </w:r>
          </w:p>
        </w:tc>
      </w:tr>
      <w:tr w14:paraId="096298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995" w:type="dxa"/>
            <w:vMerge w:val="continue"/>
            <w:tcBorders>
              <w:tl2br w:val="nil"/>
              <w:tr2bl w:val="nil"/>
            </w:tcBorders>
            <w:noWrap w:val="0"/>
            <w:vAlign w:val="center"/>
          </w:tcPr>
          <w:p w14:paraId="1797787B">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rightChars="0"/>
              <w:jc w:val="center"/>
              <w:textAlignment w:val="auto"/>
              <w:rPr>
                <w:rFonts w:hint="default" w:ascii="Arial" w:hAnsi="Arial" w:eastAsia="宋体" w:cs="Arial"/>
                <w:color w:val="auto"/>
                <w:sz w:val="22"/>
                <w:szCs w:val="22"/>
                <w:highlight w:val="none"/>
                <w:vertAlign w:val="baseline"/>
                <w:lang w:val="en-US" w:eastAsia="zh-CN"/>
              </w:rPr>
            </w:pPr>
          </w:p>
        </w:tc>
        <w:tc>
          <w:tcPr>
            <w:tcW w:w="1530" w:type="dxa"/>
            <w:tcBorders>
              <w:tl2br w:val="nil"/>
              <w:tr2bl w:val="nil"/>
            </w:tcBorders>
            <w:noWrap w:val="0"/>
            <w:vAlign w:val="center"/>
          </w:tcPr>
          <w:p w14:paraId="400FB475">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rightChars="0"/>
              <w:jc w:val="center"/>
              <w:textAlignment w:val="auto"/>
              <w:rPr>
                <w:rFonts w:hint="default"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汽油</w:t>
            </w:r>
          </w:p>
        </w:tc>
        <w:tc>
          <w:tcPr>
            <w:tcW w:w="1509" w:type="dxa"/>
            <w:tcBorders>
              <w:tl2br w:val="nil"/>
              <w:tr2bl w:val="nil"/>
            </w:tcBorders>
            <w:noWrap w:val="0"/>
            <w:vAlign w:val="center"/>
          </w:tcPr>
          <w:p w14:paraId="7EBBB55C">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default"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1.44</w:t>
            </w:r>
          </w:p>
        </w:tc>
        <w:tc>
          <w:tcPr>
            <w:tcW w:w="1212" w:type="dxa"/>
            <w:tcBorders>
              <w:tl2br w:val="nil"/>
              <w:tr2bl w:val="nil"/>
            </w:tcBorders>
            <w:noWrap w:val="0"/>
            <w:vAlign w:val="center"/>
          </w:tcPr>
          <w:p w14:paraId="55DC330C">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default"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2500</w:t>
            </w:r>
          </w:p>
        </w:tc>
        <w:tc>
          <w:tcPr>
            <w:tcW w:w="1631" w:type="dxa"/>
            <w:tcBorders>
              <w:tl2br w:val="nil"/>
              <w:tr2bl w:val="nil"/>
            </w:tcBorders>
            <w:noWrap w:val="0"/>
            <w:vAlign w:val="center"/>
          </w:tcPr>
          <w:p w14:paraId="73C8D034">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default"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0.000576</w:t>
            </w:r>
          </w:p>
        </w:tc>
      </w:tr>
      <w:tr w14:paraId="6FD27A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6246" w:type="dxa"/>
            <w:gridSpan w:val="4"/>
            <w:tcBorders>
              <w:tl2br w:val="nil"/>
              <w:tr2bl w:val="nil"/>
            </w:tcBorders>
            <w:noWrap w:val="0"/>
            <w:vAlign w:val="center"/>
          </w:tcPr>
          <w:p w14:paraId="50FCB879">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default"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合计</w:t>
            </w:r>
          </w:p>
        </w:tc>
        <w:tc>
          <w:tcPr>
            <w:tcW w:w="1631" w:type="dxa"/>
            <w:tcBorders>
              <w:tl2br w:val="nil"/>
              <w:tr2bl w:val="nil"/>
            </w:tcBorders>
            <w:noWrap w:val="0"/>
            <w:vAlign w:val="center"/>
          </w:tcPr>
          <w:p w14:paraId="277965D9">
            <w:pPr>
              <w:pStyle w:val="31"/>
              <w:keepNext w:val="0"/>
              <w:keepLines w:val="0"/>
              <w:pageBreakBefore w:val="0"/>
              <w:widowControl/>
              <w:kinsoku/>
              <w:wordWrap/>
              <w:overflowPunct/>
              <w:topLinePunct w:val="0"/>
              <w:autoSpaceDE/>
              <w:autoSpaceDN/>
              <w:bidi w:val="0"/>
              <w:adjustRightInd/>
              <w:snapToGrid w:val="0"/>
              <w:spacing w:before="0" w:after="0" w:line="300" w:lineRule="exact"/>
              <w:ind w:left="0" w:right="0"/>
              <w:jc w:val="center"/>
              <w:textAlignment w:val="auto"/>
              <w:rPr>
                <w:rFonts w:hint="default" w:ascii="Arial" w:hAnsi="Arial" w:eastAsia="宋体" w:cs="Arial"/>
                <w:color w:val="auto"/>
                <w:sz w:val="22"/>
                <w:szCs w:val="22"/>
                <w:highlight w:val="none"/>
                <w:vertAlign w:val="baseline"/>
                <w:lang w:val="en-US" w:eastAsia="zh-CN"/>
              </w:rPr>
            </w:pPr>
            <w:r>
              <w:rPr>
                <w:rFonts w:hint="eastAsia" w:ascii="Arial" w:hAnsi="Arial" w:eastAsia="宋体" w:cs="Arial"/>
                <w:color w:val="auto"/>
                <w:sz w:val="22"/>
                <w:szCs w:val="22"/>
                <w:highlight w:val="none"/>
                <w:vertAlign w:val="baseline"/>
                <w:lang w:val="en-US" w:eastAsia="zh-CN"/>
              </w:rPr>
              <w:t>0.00125</w:t>
            </w:r>
          </w:p>
        </w:tc>
      </w:tr>
      <w:bookmarkEnd w:id="115"/>
    </w:tbl>
    <w:p w14:paraId="338E622E">
      <w:pPr>
        <w:keepNext w:val="0"/>
        <w:keepLines w:val="0"/>
        <w:pageBreakBefore w:val="0"/>
        <w:widowControl w:val="0"/>
        <w:kinsoku/>
        <w:wordWrap/>
        <w:overflowPunct/>
        <w:topLinePunct w:val="0"/>
        <w:autoSpaceDE/>
        <w:autoSpaceDN/>
        <w:bidi w:val="0"/>
        <w:adjustRightInd w:val="0"/>
        <w:snapToGrid w:val="0"/>
        <w:spacing w:line="240" w:lineRule="exact"/>
        <w:ind w:firstLine="520" w:firstLineChars="200"/>
        <w:textAlignment w:val="auto"/>
        <w:rPr>
          <w:rFonts w:hint="eastAsia" w:ascii="Arial" w:hAnsi="Arial" w:cs="Arial"/>
          <w:kern w:val="0"/>
          <w:sz w:val="26"/>
          <w:szCs w:val="26"/>
          <w:lang w:val="en-US" w:eastAsia="zh-CN"/>
        </w:rPr>
      </w:pPr>
    </w:p>
    <w:p w14:paraId="71CA1C1F">
      <w:pPr>
        <w:keepNext w:val="0"/>
        <w:keepLines w:val="0"/>
        <w:pageBreakBefore w:val="0"/>
        <w:widowControl w:val="0"/>
        <w:kinsoku/>
        <w:wordWrap/>
        <w:overflowPunct/>
        <w:topLinePunct w:val="0"/>
        <w:autoSpaceDE/>
        <w:autoSpaceDN/>
        <w:bidi w:val="0"/>
        <w:adjustRightInd w:val="0"/>
        <w:snapToGrid w:val="0"/>
        <w:spacing w:line="460" w:lineRule="exact"/>
        <w:ind w:left="0" w:firstLine="520" w:firstLineChars="200"/>
        <w:textAlignment w:val="auto"/>
        <w:rPr>
          <w:rFonts w:hint="eastAsia" w:ascii="Arial" w:hAnsi="Arial" w:eastAsia="宋体" w:cs="Arial"/>
          <w:color w:val="auto"/>
          <w:sz w:val="26"/>
          <w:szCs w:val="26"/>
          <w:highlight w:val="none"/>
          <w:lang w:val="en-US" w:eastAsia="zh-CN"/>
        </w:rPr>
      </w:pPr>
      <w:r>
        <w:rPr>
          <w:rFonts w:hint="eastAsia" w:ascii="Arial" w:hAnsi="Arial" w:eastAsia="宋体" w:cs="Arial"/>
          <w:color w:val="auto"/>
          <w:sz w:val="26"/>
          <w:szCs w:val="26"/>
          <w:highlight w:val="none"/>
          <w:lang w:val="en-US" w:eastAsia="zh-CN"/>
        </w:rPr>
        <w:t>由此可见，本项目施工期枢纽工程施工场地内暂存风险物质的Q值合计为0.00125</w:t>
      </w:r>
      <w:r>
        <w:rPr>
          <w:rFonts w:hint="default" w:ascii="Arial" w:hAnsi="Arial" w:eastAsia="宋体" w:cs="Arial"/>
          <w:color w:val="auto"/>
          <w:sz w:val="26"/>
          <w:szCs w:val="26"/>
          <w:highlight w:val="none"/>
          <w:lang w:val="en-US" w:eastAsia="zh-CN"/>
        </w:rPr>
        <w:t>，小于1</w:t>
      </w:r>
      <w:r>
        <w:rPr>
          <w:rFonts w:hint="eastAsia" w:ascii="Arial" w:hAnsi="Arial" w:eastAsia="宋体" w:cs="Arial"/>
          <w:color w:val="auto"/>
          <w:sz w:val="26"/>
          <w:szCs w:val="26"/>
          <w:highlight w:val="none"/>
          <w:lang w:val="en-US" w:eastAsia="zh-CN"/>
        </w:rPr>
        <w:t>，</w:t>
      </w:r>
      <w:r>
        <w:rPr>
          <w:rFonts w:hint="default" w:ascii="Arial" w:hAnsi="Arial" w:eastAsia="宋体" w:cs="Arial"/>
          <w:color w:val="auto"/>
          <w:sz w:val="26"/>
          <w:szCs w:val="26"/>
          <w:highlight w:val="none"/>
          <w:lang w:val="en-US" w:eastAsia="zh-CN"/>
        </w:rPr>
        <w:t>故环境风险潜势直接判定为I级</w:t>
      </w:r>
      <w:r>
        <w:rPr>
          <w:rFonts w:hint="eastAsia" w:ascii="Arial" w:hAnsi="Arial" w:eastAsia="宋体" w:cs="Arial"/>
          <w:color w:val="auto"/>
          <w:sz w:val="26"/>
          <w:szCs w:val="26"/>
          <w:highlight w:val="none"/>
          <w:lang w:val="en-US" w:eastAsia="zh-CN"/>
        </w:rPr>
        <w:t>，简单分析即可</w:t>
      </w:r>
      <w:r>
        <w:rPr>
          <w:rFonts w:hint="default" w:ascii="Arial" w:hAnsi="Arial" w:eastAsia="宋体" w:cs="Arial"/>
          <w:color w:val="auto"/>
          <w:sz w:val="26"/>
          <w:szCs w:val="26"/>
          <w:highlight w:val="none"/>
          <w:lang w:val="en-US" w:eastAsia="zh-CN"/>
        </w:rPr>
        <w:t>。</w:t>
      </w:r>
    </w:p>
    <w:p w14:paraId="679B6680">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default" w:ascii="Arial" w:hAnsi="Arial" w:cs="Arial"/>
          <w:b/>
          <w:bCs/>
          <w:kern w:val="0"/>
          <w:sz w:val="26"/>
          <w:szCs w:val="26"/>
          <w:lang w:val="en-US" w:eastAsia="zh-CN"/>
        </w:rPr>
      </w:pPr>
      <w:r>
        <w:rPr>
          <w:rFonts w:hint="eastAsia" w:ascii="Arial" w:hAnsi="Arial" w:cs="Arial"/>
          <w:b/>
          <w:bCs/>
          <w:kern w:val="0"/>
          <w:sz w:val="26"/>
          <w:szCs w:val="26"/>
          <w:lang w:val="en-US" w:eastAsia="zh-CN"/>
        </w:rPr>
        <w:t>5.6.3环境风险事故类型</w:t>
      </w:r>
    </w:p>
    <w:p w14:paraId="333D21B8">
      <w:pPr>
        <w:keepNext w:val="0"/>
        <w:keepLines w:val="0"/>
        <w:pageBreakBefore w:val="0"/>
        <w:widowControl w:val="0"/>
        <w:kinsoku/>
        <w:wordWrap/>
        <w:overflowPunct/>
        <w:topLinePunct w:val="0"/>
        <w:autoSpaceDE/>
        <w:autoSpaceDN/>
        <w:bidi w:val="0"/>
        <w:adjustRightInd w:val="0"/>
        <w:snapToGrid w:val="0"/>
        <w:spacing w:line="460" w:lineRule="exact"/>
        <w:ind w:left="0" w:firstLine="520" w:firstLineChars="200"/>
        <w:textAlignment w:val="auto"/>
        <w:rPr>
          <w:rFonts w:hint="eastAsia" w:ascii="Arial" w:hAnsi="Arial" w:eastAsia="宋体" w:cs="Arial"/>
          <w:color w:val="auto"/>
          <w:sz w:val="26"/>
          <w:szCs w:val="26"/>
          <w:highlight w:val="none"/>
          <w:lang w:val="en-US" w:eastAsia="zh-CN"/>
        </w:rPr>
      </w:pPr>
      <w:r>
        <w:rPr>
          <w:rFonts w:hint="eastAsia" w:ascii="Arial" w:hAnsi="Arial" w:eastAsia="宋体" w:cs="Arial"/>
          <w:color w:val="auto"/>
          <w:sz w:val="26"/>
          <w:szCs w:val="26"/>
          <w:highlight w:val="none"/>
          <w:lang w:val="en-US" w:eastAsia="zh-CN"/>
        </w:rPr>
        <w:t>本项目施工期可能发生的环境风险类型为油料泄漏及火灾、爆炸产生的次生污染物</w:t>
      </w:r>
      <w:r>
        <w:rPr>
          <w:rFonts w:hint="default" w:ascii="Arial" w:hAnsi="Arial" w:eastAsia="宋体" w:cs="Arial"/>
          <w:color w:val="auto"/>
          <w:sz w:val="26"/>
          <w:szCs w:val="26"/>
          <w:highlight w:val="none"/>
          <w:lang w:val="en-US" w:eastAsia="zh-CN"/>
        </w:rPr>
        <w:t>造成的环境污染事件</w:t>
      </w:r>
      <w:r>
        <w:rPr>
          <w:rFonts w:hint="eastAsia" w:ascii="Arial" w:hAnsi="Arial" w:eastAsia="宋体" w:cs="Arial"/>
          <w:color w:val="auto"/>
          <w:sz w:val="26"/>
          <w:szCs w:val="26"/>
          <w:highlight w:val="none"/>
          <w:lang w:val="en-US" w:eastAsia="zh-CN"/>
        </w:rPr>
        <w:t>，可能造成区域大气、水、土壤环境污染。</w:t>
      </w:r>
    </w:p>
    <w:p w14:paraId="154F4E42">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eastAsia" w:ascii="Arial" w:hAnsi="Arial" w:cs="Arial"/>
          <w:kern w:val="0"/>
          <w:sz w:val="26"/>
          <w:szCs w:val="26"/>
          <w:lang w:val="en-US" w:eastAsia="zh-CN"/>
        </w:rPr>
      </w:pPr>
      <w:r>
        <w:rPr>
          <w:rFonts w:hint="eastAsia" w:ascii="Arial" w:hAnsi="Arial" w:cs="Arial"/>
          <w:b/>
          <w:bCs/>
          <w:kern w:val="0"/>
          <w:sz w:val="26"/>
          <w:szCs w:val="26"/>
          <w:lang w:val="en-US" w:eastAsia="zh-CN"/>
        </w:rPr>
        <w:t>5.6.4环境风险分析</w:t>
      </w:r>
    </w:p>
    <w:p w14:paraId="138F1746">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b/>
          <w:bCs/>
          <w:kern w:val="0"/>
          <w:sz w:val="26"/>
          <w:szCs w:val="26"/>
          <w:lang w:val="en-US" w:eastAsia="zh-CN"/>
        </w:rPr>
      </w:pPr>
      <w:r>
        <w:rPr>
          <w:rFonts w:hint="eastAsia" w:ascii="Arial" w:hAnsi="Arial" w:eastAsia="宋体" w:cs="Arial"/>
          <w:b/>
          <w:bCs/>
          <w:kern w:val="0"/>
          <w:sz w:val="26"/>
          <w:szCs w:val="26"/>
          <w:lang w:val="en-US" w:eastAsia="zh-CN"/>
        </w:rPr>
        <w:t>（1）泄漏事故分析</w:t>
      </w:r>
    </w:p>
    <w:p w14:paraId="14C6DD91">
      <w:pPr>
        <w:pStyle w:val="2113"/>
        <w:keepNext w:val="0"/>
        <w:keepLines w:val="0"/>
        <w:pageBreakBefore w:val="0"/>
        <w:widowControl w:val="0"/>
        <w:kinsoku/>
        <w:wordWrap/>
        <w:overflowPunct/>
        <w:topLinePunct w:val="0"/>
        <w:autoSpaceDE/>
        <w:autoSpaceDN/>
        <w:bidi w:val="0"/>
        <w:spacing w:line="460" w:lineRule="exact"/>
        <w:ind w:firstLine="520"/>
        <w:textAlignment w:val="auto"/>
        <w:rPr>
          <w:rFonts w:hint="eastAsia" w:ascii="Arial" w:hAnsi="Arial" w:cs="Arial"/>
          <w:color w:val="auto"/>
          <w:sz w:val="26"/>
          <w:szCs w:val="26"/>
        </w:rPr>
      </w:pPr>
      <w:r>
        <w:rPr>
          <w:rFonts w:hint="eastAsia" w:ascii="Arial" w:hAnsi="Arial" w:eastAsia="宋体" w:cs="Arial"/>
          <w:color w:val="auto"/>
          <w:sz w:val="26"/>
          <w:szCs w:val="26"/>
          <w:highlight w:val="none"/>
          <w:lang w:val="en-US" w:eastAsia="zh-CN"/>
        </w:rPr>
        <w:t>油料泄漏进入地表水体后，</w:t>
      </w:r>
      <w:r>
        <w:rPr>
          <w:rFonts w:hint="eastAsia" w:ascii="Arial" w:hAnsi="Arial" w:cs="Arial"/>
          <w:color w:val="auto"/>
          <w:sz w:val="26"/>
          <w:szCs w:val="26"/>
        </w:rPr>
        <w:t>由于石油类难溶于水，且密度比水小，溢出油会浮于水面上形成油膜，首先造成对河流的景观破坏，产生严重的刺鼻气味；其次油膜使空气与水隔离，造成水中溶解氧浓度降低，逐渐形成死水，致使水中生物死亡；再次，燃料油的主要成分是</w:t>
      </w:r>
      <w:r>
        <w:rPr>
          <w:rFonts w:ascii="Arial" w:hAnsi="Arial" w:cs="Arial"/>
          <w:color w:val="auto"/>
          <w:sz w:val="26"/>
          <w:szCs w:val="26"/>
        </w:rPr>
        <w:t>C4~C9</w:t>
      </w:r>
      <w:r>
        <w:rPr>
          <w:rFonts w:hint="eastAsia" w:ascii="Arial" w:hAnsi="Arial" w:cs="Arial"/>
          <w:color w:val="auto"/>
          <w:sz w:val="26"/>
          <w:szCs w:val="26"/>
        </w:rPr>
        <w:t>的烃类、芳烃类、醇酮类以及卤代烃类有机物，一旦进入水环境，由于可生化性差，可能造成被污染水体长时间得不到净化，造成水体污染。进入土壤层后，使土壤层中吸附大量的燃料油，在土壤团粒中形成膜网结构，环境中的空气难以进入土壤颗粒中，从而造成植物生物的死亡。</w:t>
      </w:r>
    </w:p>
    <w:p w14:paraId="58E1F243">
      <w:pPr>
        <w:pStyle w:val="2113"/>
        <w:keepNext w:val="0"/>
        <w:keepLines w:val="0"/>
        <w:pageBreakBefore w:val="0"/>
        <w:widowControl w:val="0"/>
        <w:kinsoku/>
        <w:wordWrap/>
        <w:overflowPunct/>
        <w:topLinePunct w:val="0"/>
        <w:autoSpaceDE/>
        <w:autoSpaceDN/>
        <w:bidi w:val="0"/>
        <w:spacing w:line="460" w:lineRule="exact"/>
        <w:ind w:firstLine="520"/>
        <w:textAlignment w:val="auto"/>
        <w:rPr>
          <w:rFonts w:hint="eastAsia" w:ascii="Arial" w:hAnsi="Arial" w:eastAsia="宋体" w:cs="Arial"/>
          <w:color w:val="auto"/>
          <w:sz w:val="26"/>
          <w:szCs w:val="26"/>
          <w:lang w:eastAsia="zh-CN"/>
        </w:rPr>
      </w:pPr>
      <w:r>
        <w:rPr>
          <w:rFonts w:hint="eastAsia" w:ascii="Arial" w:hAnsi="Arial" w:cs="Arial"/>
          <w:color w:val="auto"/>
          <w:sz w:val="26"/>
          <w:szCs w:val="26"/>
          <w:lang w:eastAsia="zh-CN"/>
        </w:rPr>
        <w:t>本项目枢纽工程施工场地所设油罐区远离河道，地面采取混凝土硬化，并进行防渗处理，四周修建围堰后，</w:t>
      </w:r>
      <w:r>
        <w:rPr>
          <w:rFonts w:hint="eastAsia" w:ascii="Arial" w:hAnsi="Arial" w:cs="Arial"/>
          <w:color w:val="auto"/>
          <w:sz w:val="26"/>
          <w:szCs w:val="26"/>
        </w:rPr>
        <w:t>油料泄露进入</w:t>
      </w:r>
      <w:r>
        <w:rPr>
          <w:rFonts w:hint="eastAsia" w:ascii="Arial" w:hAnsi="Arial" w:cs="Arial"/>
          <w:color w:val="auto"/>
          <w:sz w:val="26"/>
          <w:szCs w:val="26"/>
          <w:lang w:eastAsia="zh-CN"/>
        </w:rPr>
        <w:t>水、土壤环境的</w:t>
      </w:r>
      <w:r>
        <w:rPr>
          <w:rFonts w:hint="eastAsia" w:ascii="Arial" w:hAnsi="Arial" w:cs="Arial"/>
          <w:color w:val="auto"/>
          <w:sz w:val="26"/>
          <w:szCs w:val="26"/>
        </w:rPr>
        <w:t>可能性较小，</w:t>
      </w:r>
      <w:r>
        <w:rPr>
          <w:rFonts w:hint="eastAsia" w:ascii="Arial" w:hAnsi="Arial" w:cs="Arial"/>
          <w:color w:val="auto"/>
          <w:sz w:val="26"/>
          <w:szCs w:val="26"/>
          <w:lang w:eastAsia="zh-CN"/>
        </w:rPr>
        <w:t>造成污染风险的可能性较小，影响有限</w:t>
      </w:r>
      <w:r>
        <w:rPr>
          <w:rFonts w:hint="eastAsia" w:ascii="Arial" w:hAnsi="Arial" w:cs="Arial"/>
          <w:color w:val="auto"/>
          <w:sz w:val="26"/>
          <w:szCs w:val="26"/>
        </w:rPr>
        <w:t>。</w:t>
      </w:r>
    </w:p>
    <w:p w14:paraId="0D6E0F81">
      <w:pPr>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b/>
          <w:bCs/>
          <w:kern w:val="0"/>
          <w:sz w:val="26"/>
          <w:szCs w:val="26"/>
          <w:lang w:val="en-US" w:eastAsia="zh-CN"/>
        </w:rPr>
      </w:pPr>
      <w:r>
        <w:rPr>
          <w:rFonts w:hint="eastAsia" w:ascii="Arial" w:hAnsi="Arial" w:eastAsia="宋体" w:cs="Arial"/>
          <w:b/>
          <w:bCs/>
          <w:kern w:val="0"/>
          <w:sz w:val="26"/>
          <w:szCs w:val="26"/>
          <w:lang w:val="en-US" w:eastAsia="zh-CN"/>
        </w:rPr>
        <w:t>（2）火灾爆炸事故分析</w:t>
      </w:r>
    </w:p>
    <w:p w14:paraId="43427E48">
      <w:pPr>
        <w:keepNext w:val="0"/>
        <w:keepLines w:val="0"/>
        <w:pageBreakBefore w:val="0"/>
        <w:widowControl w:val="0"/>
        <w:kinsoku/>
        <w:wordWrap/>
        <w:overflowPunct/>
        <w:topLinePunct w:val="0"/>
        <w:autoSpaceDE/>
        <w:autoSpaceDN/>
        <w:bidi w:val="0"/>
        <w:adjustRightInd w:val="0"/>
        <w:snapToGrid w:val="0"/>
        <w:spacing w:line="460" w:lineRule="exact"/>
        <w:ind w:left="0" w:firstLine="520" w:firstLineChars="200"/>
        <w:textAlignment w:val="auto"/>
        <w:rPr>
          <w:rFonts w:hint="default" w:ascii="Arial" w:hAnsi="Arial" w:eastAsia="宋体" w:cs="Arial"/>
          <w:color w:val="auto"/>
          <w:kern w:val="2"/>
          <w:sz w:val="26"/>
          <w:szCs w:val="26"/>
          <w:lang w:val="en-US" w:eastAsia="zh-CN" w:bidi="ar-SA"/>
        </w:rPr>
      </w:pPr>
      <w:r>
        <w:rPr>
          <w:rFonts w:hint="default" w:ascii="Arial" w:hAnsi="Arial" w:eastAsia="宋体" w:cs="Arial"/>
          <w:color w:val="auto"/>
          <w:kern w:val="2"/>
          <w:sz w:val="26"/>
          <w:szCs w:val="26"/>
          <w:lang w:val="en-US" w:eastAsia="zh-CN" w:bidi="ar-SA"/>
        </w:rPr>
        <w:t>主要</w:t>
      </w:r>
      <w:r>
        <w:rPr>
          <w:rFonts w:hint="eastAsia" w:ascii="Arial" w:hAnsi="Arial" w:eastAsia="宋体" w:cs="Arial"/>
          <w:color w:val="auto"/>
          <w:kern w:val="2"/>
          <w:sz w:val="26"/>
          <w:szCs w:val="26"/>
          <w:lang w:val="en-US" w:eastAsia="zh-CN" w:bidi="ar-SA"/>
        </w:rPr>
        <w:t>为油料</w:t>
      </w:r>
      <w:r>
        <w:rPr>
          <w:rFonts w:hint="default" w:ascii="Arial" w:hAnsi="Arial" w:eastAsia="宋体" w:cs="Arial"/>
          <w:color w:val="auto"/>
          <w:kern w:val="2"/>
          <w:sz w:val="26"/>
          <w:szCs w:val="26"/>
          <w:lang w:val="en-US" w:eastAsia="zh-CN" w:bidi="ar-SA"/>
        </w:rPr>
        <w:t>泄漏遇明火或高温引起的火灾及爆炸事故伴生/次生污染</w:t>
      </w:r>
      <w:r>
        <w:rPr>
          <w:rFonts w:hint="eastAsia" w:ascii="Arial" w:hAnsi="Arial" w:eastAsia="宋体" w:cs="Arial"/>
          <w:color w:val="auto"/>
          <w:kern w:val="2"/>
          <w:sz w:val="26"/>
          <w:szCs w:val="26"/>
          <w:lang w:val="en-US" w:eastAsia="zh-CN" w:bidi="ar-SA"/>
        </w:rPr>
        <w:t>，</w:t>
      </w:r>
      <w:r>
        <w:rPr>
          <w:rFonts w:hint="default" w:ascii="Arial" w:hAnsi="Arial" w:eastAsia="宋体" w:cs="Arial"/>
          <w:color w:val="auto"/>
          <w:kern w:val="2"/>
          <w:sz w:val="26"/>
          <w:szCs w:val="26"/>
          <w:lang w:val="en-US" w:eastAsia="zh-CN" w:bidi="ar-SA"/>
        </w:rPr>
        <w:t>燃烧产生的CO可能会</w:t>
      </w:r>
      <w:r>
        <w:rPr>
          <w:rFonts w:hint="eastAsia" w:ascii="Arial" w:hAnsi="Arial" w:eastAsia="宋体" w:cs="Arial"/>
          <w:color w:val="auto"/>
          <w:kern w:val="2"/>
          <w:sz w:val="26"/>
          <w:szCs w:val="26"/>
          <w:lang w:val="en-US" w:eastAsia="zh-CN" w:bidi="ar-SA"/>
        </w:rPr>
        <w:t>对大气环境造成一定的影响。</w:t>
      </w:r>
      <w:r>
        <w:rPr>
          <w:rFonts w:hint="default" w:ascii="Arial" w:hAnsi="Arial" w:eastAsia="宋体" w:cs="Arial"/>
          <w:color w:val="auto"/>
          <w:kern w:val="2"/>
          <w:sz w:val="26"/>
          <w:szCs w:val="26"/>
          <w:lang w:val="en-US" w:eastAsia="zh-CN" w:bidi="ar-SA"/>
        </w:rPr>
        <w:t>此类火灾发生时，在热辐射的作用下，人或设备、设施、建筑物都有可能遭受不同程度的伤害和破坏。</w:t>
      </w:r>
    </w:p>
    <w:p w14:paraId="3E66AB6D">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eastAsia" w:ascii="Arial" w:hAnsi="Arial" w:cs="Arial"/>
          <w:kern w:val="0"/>
          <w:sz w:val="26"/>
          <w:szCs w:val="26"/>
          <w:lang w:val="en-US" w:eastAsia="zh-CN"/>
        </w:rPr>
      </w:pPr>
      <w:r>
        <w:rPr>
          <w:rFonts w:hint="eastAsia" w:ascii="Arial" w:hAnsi="Arial" w:cs="Arial"/>
          <w:b/>
          <w:bCs/>
          <w:kern w:val="0"/>
          <w:sz w:val="26"/>
          <w:szCs w:val="26"/>
          <w:lang w:val="en-US" w:eastAsia="zh-CN"/>
        </w:rPr>
        <w:t>5.6.5环境风险防范措施</w:t>
      </w:r>
    </w:p>
    <w:p w14:paraId="5FFFA185">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eastAsia" w:ascii="Arial" w:hAnsi="Arial" w:eastAsia="宋体" w:cs="Arial"/>
          <w:color w:val="auto"/>
          <w:kern w:val="2"/>
          <w:sz w:val="26"/>
          <w:szCs w:val="26"/>
          <w:lang w:val="en-US" w:eastAsia="zh-CN" w:bidi="ar-SA"/>
        </w:rPr>
      </w:pPr>
      <w:r>
        <w:rPr>
          <w:rFonts w:hint="eastAsia" w:ascii="Arial" w:hAnsi="Arial" w:eastAsia="宋体" w:cs="Arial"/>
          <w:color w:val="auto"/>
          <w:kern w:val="2"/>
          <w:sz w:val="26"/>
          <w:szCs w:val="26"/>
          <w:lang w:val="en-US" w:eastAsia="zh-CN" w:bidi="ar-SA"/>
        </w:rPr>
        <w:t>① 施工期油桶储存区地面采取混凝土进行硬化处置，四周修建围堰，确保事故泄漏的油料全部收集在围堰内，不进入周边外环境。</w:t>
      </w:r>
      <w:r>
        <w:rPr>
          <w:rFonts w:hint="default" w:ascii="Arial" w:hAnsi="Arial" w:eastAsia="宋体" w:cs="Arial"/>
          <w:color w:val="auto"/>
          <w:kern w:val="2"/>
          <w:sz w:val="26"/>
          <w:szCs w:val="26"/>
          <w:lang w:val="en-US" w:eastAsia="zh-CN" w:bidi="ar-SA"/>
        </w:rPr>
        <w:t>远离火种、热 源，防止阳光直射，</w:t>
      </w:r>
      <w:r>
        <w:rPr>
          <w:rFonts w:hint="eastAsia" w:ascii="Arial" w:hAnsi="Arial" w:eastAsia="宋体" w:cs="Arial"/>
          <w:color w:val="auto"/>
          <w:kern w:val="2"/>
          <w:sz w:val="26"/>
          <w:szCs w:val="26"/>
          <w:lang w:val="en-US" w:eastAsia="zh-CN" w:bidi="ar-SA"/>
        </w:rPr>
        <w:t>禁止一切烟火；</w:t>
      </w:r>
      <w:r>
        <w:rPr>
          <w:rFonts w:hint="default" w:ascii="Arial" w:hAnsi="Arial" w:eastAsia="宋体" w:cs="Arial"/>
          <w:color w:val="auto"/>
          <w:kern w:val="2"/>
          <w:sz w:val="26"/>
          <w:szCs w:val="26"/>
          <w:lang w:val="en-US" w:eastAsia="zh-CN" w:bidi="ar-SA"/>
        </w:rPr>
        <w:t>搬运时轻装轻卸，防止</w:t>
      </w:r>
      <w:r>
        <w:rPr>
          <w:rFonts w:hint="eastAsia" w:ascii="Arial" w:hAnsi="Arial" w:eastAsia="宋体" w:cs="Arial"/>
          <w:color w:val="auto"/>
          <w:kern w:val="2"/>
          <w:sz w:val="26"/>
          <w:szCs w:val="26"/>
          <w:lang w:val="en-US" w:eastAsia="zh-CN" w:bidi="ar-SA"/>
        </w:rPr>
        <w:t>储</w:t>
      </w:r>
      <w:r>
        <w:rPr>
          <w:rFonts w:hint="default" w:ascii="Arial" w:hAnsi="Arial" w:eastAsia="宋体" w:cs="Arial"/>
          <w:color w:val="auto"/>
          <w:kern w:val="2"/>
          <w:sz w:val="26"/>
          <w:szCs w:val="26"/>
          <w:lang w:val="en-US" w:eastAsia="zh-CN" w:bidi="ar-SA"/>
        </w:rPr>
        <w:t>桶破损或倾倒</w:t>
      </w:r>
      <w:r>
        <w:rPr>
          <w:rFonts w:hint="eastAsia" w:ascii="Arial" w:hAnsi="Arial" w:eastAsia="宋体" w:cs="Arial"/>
          <w:color w:val="auto"/>
          <w:kern w:val="2"/>
          <w:sz w:val="26"/>
          <w:szCs w:val="26"/>
          <w:lang w:val="en-US" w:eastAsia="zh-CN" w:bidi="ar-SA"/>
        </w:rPr>
        <w:t>，配置铁桶、铁铲、消防砂等应急物资；安排专人管理，加强巡视。</w:t>
      </w:r>
      <w:r>
        <w:rPr>
          <w:rFonts w:hint="eastAsia"/>
          <w:bCs/>
          <w:sz w:val="26"/>
          <w:szCs w:val="26"/>
        </w:rPr>
        <w:t>建立出入库检查、登记制度，做到账目清楚，账物相符。</w:t>
      </w:r>
    </w:p>
    <w:p w14:paraId="125E80B0">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eastAsia" w:ascii="Arial" w:hAnsi="Arial" w:eastAsia="宋体" w:cs="Arial"/>
          <w:color w:val="auto"/>
          <w:kern w:val="2"/>
          <w:sz w:val="26"/>
          <w:szCs w:val="26"/>
          <w:lang w:val="en-US" w:eastAsia="zh-CN" w:bidi="ar-SA"/>
        </w:rPr>
      </w:pPr>
      <w:r>
        <w:rPr>
          <w:rFonts w:hint="eastAsia" w:ascii="Arial" w:hAnsi="Arial" w:eastAsia="宋体" w:cs="Arial"/>
          <w:color w:val="auto"/>
          <w:kern w:val="2"/>
          <w:sz w:val="26"/>
          <w:szCs w:val="26"/>
          <w:lang w:val="en-US" w:eastAsia="zh-CN" w:bidi="ar-SA"/>
        </w:rPr>
        <w:t>② 油料运输司机必须危险品行业从业资格证；严禁违章驾驶、严禁酒后驾车、严禁疲劳驾车，树立良好的安全意识，养成良好的驾驶习惯。随车辆配置的各种消防设施及器材，运输过程中，遇有天气、道路路面状况发生变化，应及时采取安全防护措施。遇有雷雨时，不得在树下、电线杆、高压线、铁塔、高层建筑及容易遇到雷击和产生火花的地点停车。若要避雨时，应选择安全地点停放。遇有泥泞、冰冻、颠簸、狭窄及山崖等路段时，应低速缓慢行驶，防止车辆侧滑、打滑及危险品剧烈震荡等，确保运输安全。</w:t>
      </w:r>
    </w:p>
    <w:p w14:paraId="0A9A54F2">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eastAsia" w:ascii="Arial" w:hAnsi="Arial" w:eastAsia="宋体" w:cs="Arial"/>
          <w:color w:val="auto"/>
          <w:kern w:val="2"/>
          <w:sz w:val="26"/>
          <w:szCs w:val="26"/>
          <w:lang w:val="en-US" w:eastAsia="zh-CN" w:bidi="ar-SA"/>
        </w:rPr>
      </w:pPr>
      <w:r>
        <w:rPr>
          <w:rFonts w:hint="eastAsia" w:ascii="Arial" w:hAnsi="Arial" w:eastAsia="宋体" w:cs="Arial"/>
          <w:color w:val="auto"/>
          <w:kern w:val="2"/>
          <w:sz w:val="26"/>
          <w:szCs w:val="26"/>
          <w:lang w:val="en-US" w:eastAsia="zh-CN" w:bidi="ar-SA"/>
        </w:rPr>
        <w:t>③ 在工程建设过程中，组建临时安全环保管理机构，配备管理人员，通过技能培训，建立健全环保和安全管理制度。</w:t>
      </w:r>
    </w:p>
    <w:p w14:paraId="396315DA">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eastAsia" w:ascii="Arial" w:hAnsi="Arial" w:cs="Arial"/>
          <w:kern w:val="0"/>
          <w:sz w:val="26"/>
          <w:szCs w:val="26"/>
          <w:lang w:val="en-US" w:eastAsia="zh-CN"/>
        </w:rPr>
      </w:pPr>
      <w:r>
        <w:rPr>
          <w:rFonts w:hint="eastAsia" w:ascii="Arial" w:hAnsi="Arial" w:cs="Arial"/>
          <w:b/>
          <w:bCs/>
          <w:kern w:val="0"/>
          <w:sz w:val="26"/>
          <w:szCs w:val="26"/>
          <w:lang w:val="en-US" w:eastAsia="zh-CN"/>
        </w:rPr>
        <w:t>5.6.6小结</w:t>
      </w:r>
    </w:p>
    <w:p w14:paraId="20FC28EE">
      <w:pPr>
        <w:pStyle w:val="2113"/>
        <w:keepNext w:val="0"/>
        <w:keepLines w:val="0"/>
        <w:pageBreakBefore w:val="0"/>
        <w:widowControl w:val="0"/>
        <w:kinsoku/>
        <w:wordWrap/>
        <w:overflowPunct/>
        <w:topLinePunct w:val="0"/>
        <w:autoSpaceDE/>
        <w:autoSpaceDN/>
        <w:bidi w:val="0"/>
        <w:spacing w:line="460" w:lineRule="exact"/>
        <w:ind w:firstLine="520"/>
        <w:textAlignment w:val="auto"/>
        <w:rPr>
          <w:rFonts w:hint="eastAsia" w:ascii="Arial" w:hAnsi="Arial" w:cs="Arial"/>
          <w:color w:val="auto"/>
          <w:sz w:val="26"/>
          <w:szCs w:val="26"/>
        </w:rPr>
      </w:pPr>
      <w:r>
        <w:rPr>
          <w:rFonts w:hint="eastAsia" w:ascii="Arial" w:hAnsi="Arial" w:cs="Arial"/>
          <w:color w:val="auto"/>
          <w:sz w:val="26"/>
          <w:szCs w:val="26"/>
        </w:rPr>
        <w:t>综上所述，</w:t>
      </w:r>
      <w:r>
        <w:rPr>
          <w:rFonts w:hint="eastAsia" w:ascii="Arial" w:hAnsi="Arial" w:cs="Arial"/>
          <w:color w:val="auto"/>
          <w:sz w:val="26"/>
          <w:szCs w:val="26"/>
          <w:lang w:eastAsia="zh-CN"/>
        </w:rPr>
        <w:t>海螺沟</w:t>
      </w:r>
      <w:r>
        <w:rPr>
          <w:rFonts w:hint="eastAsia" w:ascii="Arial" w:hAnsi="Arial" w:cs="Arial"/>
          <w:color w:val="auto"/>
          <w:sz w:val="26"/>
          <w:szCs w:val="26"/>
        </w:rPr>
        <w:t>水库</w:t>
      </w:r>
      <w:r>
        <w:rPr>
          <w:rFonts w:hint="eastAsia" w:ascii="Arial" w:hAnsi="Arial" w:cs="Arial"/>
          <w:color w:val="auto"/>
          <w:sz w:val="26"/>
          <w:szCs w:val="26"/>
          <w:lang w:eastAsia="zh-CN"/>
        </w:rPr>
        <w:t>在施工过程中</w:t>
      </w:r>
      <w:r>
        <w:rPr>
          <w:rFonts w:hint="eastAsia" w:ascii="Arial" w:hAnsi="Arial" w:cs="Arial"/>
          <w:color w:val="auto"/>
          <w:sz w:val="26"/>
          <w:szCs w:val="26"/>
        </w:rPr>
        <w:t>存在一定的环境风险，但在加强管理，建立健全风险防范措施和应急措施，并予以认真落实和实施的基础上，</w:t>
      </w:r>
      <w:r>
        <w:rPr>
          <w:rFonts w:hint="eastAsia" w:ascii="Arial" w:hAnsi="Arial" w:cs="Arial"/>
          <w:color w:val="auto"/>
          <w:sz w:val="26"/>
          <w:szCs w:val="26"/>
          <w:lang w:eastAsia="zh-CN"/>
        </w:rPr>
        <w:t>施工期的</w:t>
      </w:r>
      <w:r>
        <w:rPr>
          <w:rFonts w:hint="eastAsia" w:ascii="Arial" w:hAnsi="Arial" w:cs="Arial"/>
          <w:color w:val="auto"/>
          <w:sz w:val="26"/>
          <w:szCs w:val="26"/>
        </w:rPr>
        <w:t>环境风险是可以接受的。</w:t>
      </w:r>
    </w:p>
    <w:p w14:paraId="5EFE53CF">
      <w:pPr>
        <w:rPr>
          <w:rFonts w:hint="eastAsia" w:ascii="Arial" w:hAnsi="Arial" w:cs="Arial"/>
          <w:color w:val="auto"/>
          <w:sz w:val="26"/>
          <w:szCs w:val="26"/>
        </w:rPr>
      </w:pPr>
      <w:r>
        <w:rPr>
          <w:rFonts w:hint="eastAsia" w:ascii="Arial" w:hAnsi="Arial" w:cs="Arial"/>
          <w:color w:val="auto"/>
          <w:sz w:val="26"/>
          <w:szCs w:val="26"/>
        </w:rPr>
        <w:br w:type="page"/>
      </w:r>
    </w:p>
    <w:p w14:paraId="7A104AEB">
      <w:pPr>
        <w:pStyle w:val="1873"/>
        <w:keepNext w:val="0"/>
        <w:keepLines w:val="0"/>
        <w:pageBreakBefore w:val="0"/>
        <w:widowControl w:val="0"/>
        <w:kinsoku/>
        <w:wordWrap/>
        <w:overflowPunct/>
        <w:topLinePunct w:val="0"/>
        <w:autoSpaceDE/>
        <w:autoSpaceDN/>
        <w:bidi w:val="0"/>
        <w:adjustRightInd w:val="0"/>
        <w:snapToGrid w:val="0"/>
        <w:spacing w:before="0" w:beforeLines="100" w:after="0" w:afterLines="100" w:line="460" w:lineRule="exact"/>
        <w:ind w:firstLine="0" w:firstLineChars="0"/>
        <w:jc w:val="center"/>
        <w:textAlignment w:val="auto"/>
        <w:outlineLvl w:val="0"/>
        <w:rPr>
          <w:rFonts w:hint="default" w:ascii="Arial" w:hAnsi="Arial" w:cs="Arial"/>
          <w:b/>
          <w:color w:val="auto"/>
          <w:sz w:val="26"/>
          <w:szCs w:val="26"/>
        </w:rPr>
      </w:pPr>
      <w:bookmarkStart w:id="116" w:name="_Toc3224"/>
      <w:r>
        <w:rPr>
          <w:rFonts w:hint="default" w:ascii="Arial" w:hAnsi="Arial" w:cs="Arial"/>
          <w:b/>
          <w:color w:val="auto"/>
          <w:sz w:val="26"/>
          <w:szCs w:val="26"/>
        </w:rPr>
        <w:t>6 营运期环境影响分析</w:t>
      </w:r>
      <w:bookmarkEnd w:id="116"/>
    </w:p>
    <w:p w14:paraId="5755294C">
      <w:pPr>
        <w:pStyle w:val="1291"/>
        <w:keepNext w:val="0"/>
        <w:keepLines w:val="0"/>
        <w:pageBreakBefore w:val="0"/>
        <w:kinsoku/>
        <w:wordWrap/>
        <w:overflowPunct/>
        <w:topLinePunct w:val="0"/>
        <w:autoSpaceDE/>
        <w:autoSpaceDN/>
        <w:bidi w:val="0"/>
        <w:spacing w:line="460" w:lineRule="exact"/>
        <w:ind w:firstLine="522" w:firstLineChars="200"/>
        <w:jc w:val="both"/>
        <w:textAlignment w:val="auto"/>
        <w:rPr>
          <w:rFonts w:hint="eastAsia" w:ascii="Arial" w:hAnsi="Arial" w:eastAsia="宋体" w:cs="Arial"/>
          <w:color w:val="auto"/>
          <w:sz w:val="26"/>
          <w:szCs w:val="26"/>
          <w:lang w:eastAsia="zh-CN"/>
        </w:rPr>
      </w:pPr>
      <w:bookmarkStart w:id="117" w:name="_Toc7071"/>
      <w:r>
        <w:rPr>
          <w:rFonts w:hint="default" w:ascii="Arial" w:hAnsi="Arial" w:cs="Arial"/>
          <w:color w:val="auto"/>
          <w:sz w:val="26"/>
          <w:szCs w:val="26"/>
        </w:rPr>
        <w:t>6.1</w:t>
      </w:r>
      <w:bookmarkEnd w:id="117"/>
      <w:r>
        <w:rPr>
          <w:rFonts w:hint="eastAsia" w:ascii="Arial" w:hAnsi="Arial" w:cs="Arial"/>
          <w:color w:val="auto"/>
          <w:sz w:val="26"/>
          <w:szCs w:val="26"/>
          <w:lang w:eastAsia="zh-CN"/>
        </w:rPr>
        <w:t>环境空气影响分析</w:t>
      </w:r>
    </w:p>
    <w:p w14:paraId="2BE350FC">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工程营运期间，不产生工艺性大气污染物，管理人员生活用能源采用电能或液化石油天然气，均属于清洁能源，烟尘、SO</w:t>
      </w:r>
      <w:r>
        <w:rPr>
          <w:rFonts w:hint="eastAsia" w:ascii="Arial" w:hAnsi="Arial" w:eastAsia="宋体" w:cs="Arial"/>
          <w:color w:val="000000"/>
          <w:sz w:val="26"/>
          <w:szCs w:val="26"/>
          <w:vertAlign w:val="subscript"/>
          <w:lang w:val="en-US" w:eastAsia="zh-CN"/>
        </w:rPr>
        <w:t>2</w:t>
      </w:r>
      <w:r>
        <w:rPr>
          <w:rFonts w:hint="eastAsia" w:ascii="Arial" w:hAnsi="Arial" w:eastAsia="宋体" w:cs="Arial"/>
          <w:color w:val="000000"/>
          <w:sz w:val="26"/>
          <w:szCs w:val="26"/>
          <w:lang w:val="en-US" w:eastAsia="zh-CN"/>
        </w:rPr>
        <w:t>、NO</w:t>
      </w:r>
      <w:r>
        <w:rPr>
          <w:rFonts w:hint="eastAsia" w:ascii="Arial" w:hAnsi="Arial" w:eastAsia="宋体" w:cs="Arial"/>
          <w:color w:val="000000"/>
          <w:sz w:val="26"/>
          <w:szCs w:val="26"/>
          <w:vertAlign w:val="subscript"/>
          <w:lang w:val="en-US" w:eastAsia="zh-CN"/>
        </w:rPr>
        <w:t>x</w:t>
      </w:r>
      <w:r>
        <w:rPr>
          <w:rFonts w:hint="eastAsia" w:ascii="Arial" w:hAnsi="Arial" w:eastAsia="宋体" w:cs="Arial"/>
          <w:color w:val="000000"/>
          <w:sz w:val="26"/>
          <w:szCs w:val="26"/>
          <w:lang w:val="en-US" w:eastAsia="zh-CN"/>
        </w:rPr>
        <w:t>和油烟等大气污染物产生量极少。食堂仅提供简易工作餐，烹饪油烟采用油烟净化器处理后引至超屋顶排放，对区域环境空气基本无影响。</w:t>
      </w:r>
    </w:p>
    <w:p w14:paraId="40238A91">
      <w:pPr>
        <w:pStyle w:val="1291"/>
        <w:keepNext w:val="0"/>
        <w:keepLines w:val="0"/>
        <w:pageBreakBefore w:val="0"/>
        <w:kinsoku/>
        <w:wordWrap/>
        <w:overflowPunct/>
        <w:topLinePunct w:val="0"/>
        <w:autoSpaceDE/>
        <w:autoSpaceDN/>
        <w:bidi w:val="0"/>
        <w:spacing w:line="460" w:lineRule="exact"/>
        <w:ind w:firstLine="522" w:firstLineChars="200"/>
        <w:jc w:val="both"/>
        <w:textAlignment w:val="auto"/>
        <w:rPr>
          <w:rFonts w:hint="eastAsia" w:ascii="Arial" w:hAnsi="Arial" w:eastAsia="宋体" w:cs="Arial"/>
          <w:color w:val="auto"/>
          <w:sz w:val="26"/>
          <w:szCs w:val="26"/>
          <w:lang w:eastAsia="zh-CN"/>
        </w:rPr>
      </w:pPr>
      <w:r>
        <w:rPr>
          <w:rFonts w:hint="default" w:ascii="Arial" w:hAnsi="Arial" w:cs="Arial"/>
          <w:color w:val="auto"/>
          <w:sz w:val="26"/>
          <w:szCs w:val="26"/>
        </w:rPr>
        <w:t>6.</w:t>
      </w:r>
      <w:r>
        <w:rPr>
          <w:rFonts w:hint="eastAsia" w:ascii="Arial" w:hAnsi="Arial" w:cs="Arial"/>
          <w:color w:val="auto"/>
          <w:sz w:val="26"/>
          <w:szCs w:val="26"/>
          <w:lang w:val="en-US" w:eastAsia="zh-CN"/>
        </w:rPr>
        <w:t>2</w:t>
      </w:r>
      <w:r>
        <w:rPr>
          <w:rFonts w:hint="eastAsia" w:ascii="Arial" w:hAnsi="Arial" w:cs="Arial"/>
          <w:color w:val="auto"/>
          <w:sz w:val="26"/>
          <w:szCs w:val="26"/>
          <w:lang w:eastAsia="zh-CN"/>
        </w:rPr>
        <w:t>声环境影响分析</w:t>
      </w:r>
    </w:p>
    <w:p w14:paraId="3FDC6CA3">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本工程属水源项目，枢纽工程主要噪声源为闸阀房内控制阀、溢洪道启闭设备运行噪声，属于偶发、瞬时性噪声源，无水泵等固定噪声源，且其四周200m范围内无居民点居住，对外环境影响小。</w:t>
      </w:r>
    </w:p>
    <w:p w14:paraId="22D241B8">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输水工程均为重力自流，沿线未设置提升泵站等，对外环境影响小。</w:t>
      </w:r>
    </w:p>
    <w:p w14:paraId="2922819C">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上坝道路主要链接区域已建农村公路、大坝、闸阀房，车流量小，主要为库区人员、物料流动，且距离周边居民点较远，交通噪声对外环境影响小。</w:t>
      </w:r>
    </w:p>
    <w:p w14:paraId="15D49E98">
      <w:pPr>
        <w:pStyle w:val="1291"/>
        <w:keepNext w:val="0"/>
        <w:keepLines w:val="0"/>
        <w:pageBreakBefore w:val="0"/>
        <w:kinsoku/>
        <w:wordWrap/>
        <w:overflowPunct/>
        <w:topLinePunct w:val="0"/>
        <w:autoSpaceDE/>
        <w:autoSpaceDN/>
        <w:bidi w:val="0"/>
        <w:spacing w:line="460" w:lineRule="exact"/>
        <w:ind w:firstLine="522" w:firstLineChars="200"/>
        <w:jc w:val="both"/>
        <w:textAlignment w:val="auto"/>
        <w:rPr>
          <w:rFonts w:hint="eastAsia" w:ascii="Arial" w:hAnsi="Arial" w:eastAsia="宋体" w:cs="Arial"/>
          <w:color w:val="auto"/>
          <w:sz w:val="26"/>
          <w:szCs w:val="26"/>
          <w:lang w:eastAsia="zh-CN"/>
        </w:rPr>
      </w:pPr>
      <w:r>
        <w:rPr>
          <w:rFonts w:hint="default" w:ascii="Arial" w:hAnsi="Arial" w:cs="Arial"/>
          <w:color w:val="auto"/>
          <w:sz w:val="26"/>
          <w:szCs w:val="26"/>
        </w:rPr>
        <w:t>6.</w:t>
      </w:r>
      <w:r>
        <w:rPr>
          <w:rFonts w:hint="eastAsia" w:ascii="Arial" w:hAnsi="Arial" w:cs="Arial"/>
          <w:color w:val="auto"/>
          <w:sz w:val="26"/>
          <w:szCs w:val="26"/>
          <w:lang w:val="en-US" w:eastAsia="zh-CN"/>
        </w:rPr>
        <w:t>3固体废弃物</w:t>
      </w:r>
      <w:r>
        <w:rPr>
          <w:rFonts w:hint="eastAsia" w:ascii="Arial" w:hAnsi="Arial" w:cs="Arial"/>
          <w:color w:val="auto"/>
          <w:sz w:val="26"/>
          <w:szCs w:val="26"/>
          <w:lang w:eastAsia="zh-CN"/>
        </w:rPr>
        <w:t>影响分析</w:t>
      </w:r>
    </w:p>
    <w:p w14:paraId="632C5B0F">
      <w:pPr>
        <w:pStyle w:val="2113"/>
        <w:ind w:firstLine="520"/>
        <w:rPr>
          <w:rFonts w:ascii="Arial" w:hAnsi="宋体" w:cs="Arial"/>
          <w:color w:val="auto"/>
          <w:sz w:val="26"/>
          <w:szCs w:val="26"/>
        </w:rPr>
      </w:pPr>
      <w:r>
        <w:rPr>
          <w:rFonts w:ascii="Arial" w:cs="Arial"/>
          <w:color w:val="auto"/>
          <w:sz w:val="26"/>
          <w:szCs w:val="26"/>
        </w:rPr>
        <w:t>营运期固体废物以管理人员生活垃圾、餐厨垃圾和库内漂浮物为主。生活垃圾、餐厨垃圾产生量</w:t>
      </w:r>
      <w:r>
        <w:rPr>
          <w:rFonts w:hint="eastAsia" w:ascii="Arial" w:cs="Arial"/>
          <w:color w:val="auto"/>
          <w:sz w:val="26"/>
          <w:szCs w:val="26"/>
        </w:rPr>
        <w:t>分别</w:t>
      </w:r>
      <w:r>
        <w:rPr>
          <w:rFonts w:ascii="Arial" w:cs="Arial"/>
          <w:color w:val="auto"/>
          <w:sz w:val="26"/>
          <w:szCs w:val="26"/>
        </w:rPr>
        <w:t>为</w:t>
      </w:r>
      <w:r>
        <w:rPr>
          <w:rFonts w:hint="eastAsia" w:ascii="Arial" w:hAnsi="Arial" w:cs="Arial"/>
          <w:color w:val="auto"/>
          <w:sz w:val="26"/>
          <w:szCs w:val="26"/>
          <w:lang w:val="en-US" w:eastAsia="zh-CN"/>
        </w:rPr>
        <w:t>2</w:t>
      </w:r>
      <w:r>
        <w:rPr>
          <w:rFonts w:ascii="Arial" w:hAnsi="Arial" w:cs="Arial"/>
          <w:color w:val="auto"/>
          <w:sz w:val="26"/>
          <w:szCs w:val="26"/>
        </w:rPr>
        <w:t>kg/d</w:t>
      </w:r>
      <w:r>
        <w:rPr>
          <w:rFonts w:hint="eastAsia" w:ascii="Arial" w:hAnsi="Arial" w:cs="Arial"/>
          <w:color w:val="auto"/>
          <w:sz w:val="26"/>
          <w:szCs w:val="26"/>
        </w:rPr>
        <w:t>（</w:t>
      </w:r>
      <w:r>
        <w:rPr>
          <w:rFonts w:hint="eastAsia" w:ascii="Arial" w:hAnsi="Arial" w:cs="Arial"/>
          <w:color w:val="auto"/>
          <w:sz w:val="26"/>
          <w:szCs w:val="26"/>
          <w:lang w:val="en-US" w:eastAsia="zh-CN"/>
        </w:rPr>
        <w:t>0.73</w:t>
      </w:r>
      <w:r>
        <w:rPr>
          <w:rFonts w:ascii="Arial" w:hAnsi="Arial" w:cs="Arial"/>
          <w:color w:val="auto"/>
          <w:sz w:val="26"/>
          <w:szCs w:val="26"/>
        </w:rPr>
        <w:t>t/a</w:t>
      </w:r>
      <w:r>
        <w:rPr>
          <w:rFonts w:hint="eastAsia" w:ascii="Arial" w:hAnsi="Arial" w:cs="Arial"/>
          <w:color w:val="auto"/>
          <w:sz w:val="26"/>
          <w:szCs w:val="26"/>
        </w:rPr>
        <w:t>）</w:t>
      </w:r>
      <w:r>
        <w:rPr>
          <w:rFonts w:ascii="Arial" w:cs="Arial"/>
          <w:color w:val="auto"/>
          <w:sz w:val="26"/>
          <w:szCs w:val="26"/>
        </w:rPr>
        <w:t>、</w:t>
      </w:r>
      <w:r>
        <w:rPr>
          <w:rFonts w:hint="eastAsia" w:ascii="Arial" w:hAnsi="Arial" w:cs="Arial"/>
          <w:color w:val="auto"/>
          <w:sz w:val="26"/>
          <w:szCs w:val="26"/>
          <w:lang w:val="en-US" w:eastAsia="zh-CN"/>
        </w:rPr>
        <w:t>0.8</w:t>
      </w:r>
      <w:r>
        <w:rPr>
          <w:rFonts w:ascii="Arial" w:hAnsi="Arial" w:cs="Arial"/>
          <w:color w:val="auto"/>
          <w:sz w:val="26"/>
          <w:szCs w:val="26"/>
        </w:rPr>
        <w:t>kg/d</w:t>
      </w:r>
      <w:r>
        <w:rPr>
          <w:rFonts w:hint="eastAsia" w:ascii="Arial" w:hAnsi="Arial" w:cs="Arial"/>
          <w:color w:val="auto"/>
          <w:sz w:val="26"/>
          <w:szCs w:val="26"/>
        </w:rPr>
        <w:t>（</w:t>
      </w:r>
      <w:r>
        <w:rPr>
          <w:rFonts w:hint="eastAsia" w:ascii="Arial" w:hAnsi="Arial" w:cs="Arial"/>
          <w:color w:val="auto"/>
          <w:sz w:val="26"/>
          <w:szCs w:val="26"/>
          <w:lang w:val="en-US" w:eastAsia="zh-CN"/>
        </w:rPr>
        <w:t>0.292</w:t>
      </w:r>
      <w:r>
        <w:rPr>
          <w:rFonts w:ascii="Arial" w:hAnsi="Arial" w:cs="Arial"/>
          <w:color w:val="auto"/>
          <w:sz w:val="26"/>
          <w:szCs w:val="26"/>
        </w:rPr>
        <w:t>t/a</w:t>
      </w:r>
      <w:r>
        <w:rPr>
          <w:rFonts w:hint="eastAsia" w:ascii="Arial" w:hAnsi="Arial" w:cs="Arial"/>
          <w:color w:val="auto"/>
          <w:sz w:val="26"/>
          <w:szCs w:val="26"/>
        </w:rPr>
        <w:t>）</w:t>
      </w:r>
      <w:r>
        <w:rPr>
          <w:rFonts w:hint="eastAsia" w:ascii="Arial" w:cs="Arial"/>
          <w:color w:val="auto"/>
          <w:sz w:val="26"/>
          <w:szCs w:val="26"/>
        </w:rPr>
        <w:t>，</w:t>
      </w:r>
      <w:r>
        <w:rPr>
          <w:rFonts w:ascii="Arial" w:cs="Arial"/>
          <w:color w:val="auto"/>
          <w:sz w:val="26"/>
          <w:szCs w:val="26"/>
        </w:rPr>
        <w:t>生活垃圾</w:t>
      </w:r>
      <w:r>
        <w:rPr>
          <w:rFonts w:hint="eastAsia" w:ascii="Arial" w:cs="Arial"/>
          <w:color w:val="auto"/>
          <w:sz w:val="26"/>
          <w:szCs w:val="26"/>
        </w:rPr>
        <w:t>集中收集后，交当地环卫部门统一清运处置；餐厨垃圾桶装收集后，交有资质单位清运处置</w:t>
      </w:r>
      <w:r>
        <w:rPr>
          <w:rFonts w:hint="eastAsia" w:ascii="Arial" w:hAnsi="宋体" w:cs="Arial"/>
          <w:color w:val="auto"/>
          <w:sz w:val="26"/>
          <w:szCs w:val="26"/>
        </w:rPr>
        <w:t>。</w:t>
      </w:r>
    </w:p>
    <w:p w14:paraId="44E88759">
      <w:pPr>
        <w:pStyle w:val="2113"/>
        <w:ind w:firstLine="520"/>
        <w:rPr>
          <w:rFonts w:ascii="Arial" w:hAnsi="宋体" w:cs="Arial"/>
          <w:color w:val="auto"/>
          <w:sz w:val="26"/>
          <w:szCs w:val="26"/>
        </w:rPr>
      </w:pPr>
      <w:r>
        <w:rPr>
          <w:rFonts w:hint="eastAsia" w:ascii="Arial" w:hAnsi="宋体" w:cs="Arial"/>
          <w:color w:val="auto"/>
          <w:sz w:val="26"/>
          <w:szCs w:val="26"/>
        </w:rPr>
        <w:t>由于水库的筑坝会阻挡水中漂浮物的流动，截流在坝前，影响水质和景观。因此，为了保护水库水质和水库景观，</w:t>
      </w:r>
      <w:r>
        <w:rPr>
          <w:rFonts w:hint="eastAsia" w:ascii="Arial" w:hAnsi="宋体" w:cs="Arial"/>
          <w:color w:val="auto"/>
          <w:sz w:val="26"/>
          <w:szCs w:val="26"/>
          <w:lang w:eastAsia="zh-CN"/>
        </w:rPr>
        <w:t>库区建有环库巡检步道，同时</w:t>
      </w:r>
      <w:r>
        <w:rPr>
          <w:rFonts w:hint="eastAsia" w:ascii="Arial" w:hAnsi="宋体" w:cs="Arial"/>
          <w:color w:val="auto"/>
          <w:sz w:val="26"/>
          <w:szCs w:val="26"/>
        </w:rPr>
        <w:t>配备</w:t>
      </w:r>
      <w:r>
        <w:rPr>
          <w:rFonts w:ascii="Arial" w:hAnsi="宋体" w:cs="Arial"/>
          <w:color w:val="auto"/>
          <w:sz w:val="26"/>
          <w:szCs w:val="26"/>
        </w:rPr>
        <w:t>1-2</w:t>
      </w:r>
      <w:r>
        <w:rPr>
          <w:rFonts w:hint="eastAsia" w:ascii="Arial" w:hAnsi="宋体" w:cs="Arial"/>
          <w:color w:val="auto"/>
          <w:sz w:val="26"/>
          <w:szCs w:val="26"/>
        </w:rPr>
        <w:t>艘打捞船打捞库区漂浮物。打捞出的漂浮物约</w:t>
      </w:r>
      <w:r>
        <w:rPr>
          <w:rFonts w:hint="eastAsia" w:ascii="Arial" w:hAnsi="宋体" w:cs="Arial"/>
          <w:color w:val="auto"/>
          <w:sz w:val="26"/>
          <w:szCs w:val="26"/>
          <w:lang w:val="en-US" w:eastAsia="zh-CN"/>
        </w:rPr>
        <w:t>18</w:t>
      </w:r>
      <w:r>
        <w:rPr>
          <w:rFonts w:ascii="Arial" w:hAnsi="宋体" w:cs="Arial"/>
          <w:color w:val="auto"/>
          <w:sz w:val="26"/>
          <w:szCs w:val="26"/>
        </w:rPr>
        <w:t>0t/a</w:t>
      </w:r>
      <w:r>
        <w:rPr>
          <w:rFonts w:hint="eastAsia" w:ascii="Arial" w:hAnsi="宋体" w:cs="Arial"/>
          <w:color w:val="auto"/>
          <w:sz w:val="26"/>
          <w:szCs w:val="26"/>
        </w:rPr>
        <w:t>，统一收集后</w:t>
      </w:r>
      <w:r>
        <w:rPr>
          <w:rFonts w:hint="eastAsia" w:ascii="Arial" w:hAnsi="宋体" w:cs="Arial"/>
          <w:color w:val="auto"/>
          <w:sz w:val="26"/>
          <w:szCs w:val="26"/>
          <w:lang w:eastAsia="zh-CN"/>
        </w:rPr>
        <w:t>交当地市政环卫部门统一清运处置</w:t>
      </w:r>
      <w:r>
        <w:rPr>
          <w:rFonts w:hint="eastAsia" w:ascii="Arial" w:hAnsi="宋体" w:cs="Arial"/>
          <w:color w:val="auto"/>
          <w:sz w:val="26"/>
          <w:szCs w:val="26"/>
        </w:rPr>
        <w:t>。</w:t>
      </w:r>
    </w:p>
    <w:p w14:paraId="1421316A">
      <w:pPr>
        <w:pStyle w:val="2113"/>
        <w:ind w:firstLine="520"/>
        <w:rPr>
          <w:rFonts w:hint="eastAsia" w:ascii="Arial" w:hAnsi="宋体" w:cs="Arial"/>
          <w:color w:val="auto"/>
          <w:sz w:val="26"/>
          <w:szCs w:val="26"/>
        </w:rPr>
      </w:pPr>
      <w:r>
        <w:rPr>
          <w:rFonts w:hint="eastAsia" w:ascii="Arial" w:hAnsi="宋体" w:cs="Arial"/>
          <w:color w:val="auto"/>
          <w:sz w:val="26"/>
          <w:szCs w:val="26"/>
        </w:rPr>
        <w:t>综上，上述固体废物均得到合理处置，避免了对环境产生二次污染。</w:t>
      </w:r>
    </w:p>
    <w:p w14:paraId="7FDD4F22">
      <w:pPr>
        <w:pStyle w:val="1291"/>
        <w:keepNext w:val="0"/>
        <w:keepLines w:val="0"/>
        <w:pageBreakBefore w:val="0"/>
        <w:kinsoku/>
        <w:wordWrap/>
        <w:overflowPunct/>
        <w:topLinePunct w:val="0"/>
        <w:autoSpaceDE/>
        <w:autoSpaceDN/>
        <w:bidi w:val="0"/>
        <w:spacing w:line="460" w:lineRule="exact"/>
        <w:ind w:firstLine="522" w:firstLineChars="200"/>
        <w:jc w:val="both"/>
        <w:textAlignment w:val="auto"/>
        <w:rPr>
          <w:rFonts w:hint="eastAsia" w:ascii="Arial" w:hAnsi="Arial" w:eastAsia="宋体" w:cs="Arial"/>
          <w:color w:val="auto"/>
          <w:sz w:val="26"/>
          <w:szCs w:val="26"/>
          <w:lang w:eastAsia="zh-CN"/>
        </w:rPr>
      </w:pPr>
      <w:r>
        <w:rPr>
          <w:rFonts w:hint="default" w:ascii="Arial" w:hAnsi="Arial" w:cs="Arial"/>
          <w:color w:val="auto"/>
          <w:sz w:val="26"/>
          <w:szCs w:val="26"/>
        </w:rPr>
        <w:t>6.</w:t>
      </w:r>
      <w:r>
        <w:rPr>
          <w:rFonts w:hint="eastAsia" w:ascii="Arial" w:hAnsi="Arial" w:cs="Arial"/>
          <w:color w:val="auto"/>
          <w:sz w:val="26"/>
          <w:szCs w:val="26"/>
          <w:lang w:val="en-US" w:eastAsia="zh-CN"/>
        </w:rPr>
        <w:t>4地下水环境影响</w:t>
      </w:r>
      <w:r>
        <w:rPr>
          <w:rFonts w:hint="eastAsia" w:ascii="Arial" w:hAnsi="Arial" w:cs="Arial"/>
          <w:color w:val="auto"/>
          <w:sz w:val="26"/>
          <w:szCs w:val="26"/>
          <w:lang w:eastAsia="zh-CN"/>
        </w:rPr>
        <w:t>分析</w:t>
      </w:r>
    </w:p>
    <w:p w14:paraId="33683425">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default" w:ascii="Arial" w:hAnsi="Arial" w:eastAsia="宋体" w:cs="Arial"/>
          <w:b/>
          <w:bCs/>
          <w:color w:val="000000"/>
          <w:sz w:val="26"/>
          <w:szCs w:val="26"/>
          <w:lang w:val="en-US" w:eastAsia="zh-CN"/>
        </w:rPr>
      </w:pPr>
      <w:r>
        <w:rPr>
          <w:rFonts w:hint="eastAsia" w:ascii="Arial" w:hAnsi="Arial" w:eastAsia="宋体" w:cs="Arial"/>
          <w:b/>
          <w:bCs/>
          <w:color w:val="000000"/>
          <w:sz w:val="26"/>
          <w:szCs w:val="26"/>
          <w:lang w:val="en-US" w:eastAsia="zh-CN"/>
        </w:rPr>
        <w:t>6.4.1库区对地下水环境的影响分析</w:t>
      </w:r>
    </w:p>
    <w:p w14:paraId="6FA54828">
      <w:pPr>
        <w:pStyle w:val="2113"/>
        <w:ind w:firstLine="520"/>
        <w:rPr>
          <w:rFonts w:hint="eastAsia" w:ascii="Arial" w:cs="Arial"/>
          <w:color w:val="auto"/>
          <w:sz w:val="26"/>
          <w:szCs w:val="26"/>
        </w:rPr>
      </w:pPr>
      <w:r>
        <w:rPr>
          <w:rFonts w:hint="eastAsia" w:ascii="Arial" w:cs="Arial"/>
          <w:color w:val="auto"/>
          <w:sz w:val="26"/>
          <w:szCs w:val="26"/>
        </w:rPr>
        <w:t>水库蓄水后，水面由原来的河流型变为湖泊型，水位抬高，水面面积增大。当地下水位低于水库正常高水位时，如果岩层具有一定的透水性时，水库会发生渗漏，使地下水水位升高造成坝后浸没；水位升高还会导致次生盐渍化、砂土液化、地面不均匀沉降等问题。</w:t>
      </w:r>
    </w:p>
    <w:p w14:paraId="2D8AD59E">
      <w:pPr>
        <w:pStyle w:val="2113"/>
        <w:ind w:firstLine="520"/>
        <w:rPr>
          <w:rFonts w:hint="eastAsia" w:ascii="Arial" w:cs="Arial"/>
          <w:color w:val="auto"/>
          <w:sz w:val="26"/>
          <w:szCs w:val="26"/>
        </w:rPr>
      </w:pPr>
      <w:r>
        <w:rPr>
          <w:rFonts w:hint="eastAsia" w:ascii="Arial" w:cs="Arial"/>
          <w:color w:val="auto"/>
          <w:sz w:val="26"/>
          <w:szCs w:val="26"/>
        </w:rPr>
        <w:t>库区地下水按其埋藏条件和含水层岩性不同，可分为</w:t>
      </w:r>
      <w:r>
        <w:rPr>
          <w:rFonts w:hint="default" w:ascii="Arial" w:hAnsi="Arial" w:cs="Arial"/>
          <w:color w:val="auto"/>
          <w:sz w:val="26"/>
          <w:szCs w:val="26"/>
        </w:rPr>
        <w:t>碳酸盐岩岩溶水、碎屑岩裂隙水、红层裂隙水及松散层孔隙水</w:t>
      </w:r>
      <w:r>
        <w:rPr>
          <w:rFonts w:hint="eastAsia" w:ascii="Arial" w:hAnsi="Arial" w:cs="Arial"/>
          <w:color w:val="auto"/>
          <w:sz w:val="26"/>
          <w:szCs w:val="26"/>
          <w:lang w:eastAsia="zh-CN"/>
        </w:rPr>
        <w:t>，主要</w:t>
      </w:r>
      <w:r>
        <w:rPr>
          <w:rFonts w:hint="default" w:ascii="Arial" w:hAnsi="Arial" w:cs="Arial"/>
          <w:color w:val="auto"/>
          <w:sz w:val="26"/>
          <w:szCs w:val="26"/>
        </w:rPr>
        <w:t>受大气降水或地表水的补给</w:t>
      </w:r>
      <w:r>
        <w:rPr>
          <w:rFonts w:hint="eastAsia" w:ascii="Arial" w:cs="Arial"/>
          <w:color w:val="auto"/>
          <w:sz w:val="26"/>
          <w:szCs w:val="26"/>
        </w:rPr>
        <w:t>，通过两岸及河床岩（土）体的孔隙、裂隙通道径流向</w:t>
      </w:r>
      <w:r>
        <w:rPr>
          <w:rFonts w:hint="eastAsia" w:ascii="Arial" w:cs="Arial"/>
          <w:color w:val="auto"/>
          <w:sz w:val="26"/>
          <w:szCs w:val="26"/>
          <w:lang w:eastAsia="zh-CN"/>
        </w:rPr>
        <w:t>海螺沟</w:t>
      </w:r>
      <w:r>
        <w:rPr>
          <w:rFonts w:hint="eastAsia" w:ascii="Arial" w:cs="Arial"/>
          <w:color w:val="auto"/>
          <w:sz w:val="26"/>
          <w:szCs w:val="26"/>
        </w:rPr>
        <w:t>排泄，</w:t>
      </w:r>
      <w:r>
        <w:rPr>
          <w:rFonts w:hint="eastAsia" w:ascii="Arial" w:cs="Arial"/>
          <w:color w:val="auto"/>
          <w:sz w:val="26"/>
          <w:szCs w:val="26"/>
          <w:lang w:eastAsia="zh-CN"/>
        </w:rPr>
        <w:t>海螺沟</w:t>
      </w:r>
      <w:r>
        <w:rPr>
          <w:rFonts w:hint="eastAsia" w:ascii="Arial" w:cs="Arial"/>
          <w:color w:val="auto"/>
          <w:sz w:val="26"/>
          <w:szCs w:val="26"/>
        </w:rPr>
        <w:t>为本区地下水的最低排泄基准面。</w:t>
      </w:r>
    </w:p>
    <w:p w14:paraId="755FE957">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color w:val="000000"/>
          <w:sz w:val="26"/>
          <w:szCs w:val="26"/>
          <w:lang w:val="en-US" w:eastAsia="zh-CN"/>
        </w:rPr>
      </w:pPr>
      <w:r>
        <w:rPr>
          <w:rFonts w:hint="eastAsia" w:ascii="Arial" w:cs="Arial"/>
          <w:color w:val="auto"/>
          <w:sz w:val="26"/>
          <w:szCs w:val="26"/>
        </w:rPr>
        <w:t>库区两岸地形完整，分水岭宽厚，两岸分水岭地带植被发育，地形封闭条件较好，库区两岸均有高于正常蓄水位的地下分水岭存在，水库蓄水后产生渗漏的可能性小。但水库蓄水后，会引起水库周边地下水位雍高。由于水库主要是拦截地表水，不会减少</w:t>
      </w:r>
      <w:r>
        <w:rPr>
          <w:rFonts w:hint="eastAsia" w:ascii="Arial" w:cs="Arial"/>
          <w:color w:val="auto"/>
          <w:sz w:val="26"/>
          <w:szCs w:val="26"/>
          <w:lang w:eastAsia="zh-CN"/>
        </w:rPr>
        <w:t>库区四周</w:t>
      </w:r>
      <w:r>
        <w:rPr>
          <w:rFonts w:hint="eastAsia" w:ascii="Arial" w:cs="Arial"/>
          <w:color w:val="auto"/>
          <w:sz w:val="26"/>
          <w:szCs w:val="26"/>
        </w:rPr>
        <w:t>地下水量，因此不会引起土地沙化。由于库区位于山区丘陵峡谷之中，岸坡高陡，且基岩大面积出露，不会造成盐渍化。</w:t>
      </w:r>
    </w:p>
    <w:p w14:paraId="21059AF2">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default" w:ascii="Arial" w:hAnsi="Arial" w:eastAsia="宋体" w:cs="Arial"/>
          <w:b/>
          <w:bCs/>
          <w:color w:val="000000"/>
          <w:sz w:val="26"/>
          <w:szCs w:val="26"/>
          <w:lang w:val="en-US" w:eastAsia="zh-CN"/>
        </w:rPr>
      </w:pPr>
      <w:r>
        <w:rPr>
          <w:rFonts w:hint="eastAsia" w:ascii="Arial" w:hAnsi="Arial" w:eastAsia="宋体" w:cs="Arial"/>
          <w:b/>
          <w:bCs/>
          <w:color w:val="000000"/>
          <w:sz w:val="26"/>
          <w:szCs w:val="26"/>
          <w:lang w:val="en-US" w:eastAsia="zh-CN"/>
        </w:rPr>
        <w:t>6.4.2坝后减水对地下水环境的影响分析</w:t>
      </w:r>
    </w:p>
    <w:p w14:paraId="0A1C262F">
      <w:pPr>
        <w:pStyle w:val="2113"/>
        <w:ind w:firstLine="520"/>
        <w:rPr>
          <w:rFonts w:hint="eastAsia" w:ascii="Arial" w:cs="Arial"/>
          <w:color w:val="auto"/>
          <w:sz w:val="26"/>
          <w:szCs w:val="26"/>
        </w:rPr>
      </w:pPr>
      <w:r>
        <w:rPr>
          <w:rFonts w:hint="eastAsia" w:ascii="Arial" w:cs="Arial"/>
          <w:color w:val="auto"/>
          <w:sz w:val="26"/>
          <w:szCs w:val="26"/>
        </w:rPr>
        <w:t>拟建坝址下会形成</w:t>
      </w:r>
      <w:r>
        <w:rPr>
          <w:rFonts w:hint="eastAsia" w:ascii="Arial" w:cs="Arial"/>
          <w:color w:val="auto"/>
          <w:sz w:val="26"/>
          <w:szCs w:val="26"/>
          <w:lang w:val="en-US" w:eastAsia="zh-CN"/>
        </w:rPr>
        <w:t>1.54</w:t>
      </w:r>
      <w:r>
        <w:rPr>
          <w:rFonts w:ascii="Arial" w:cs="Arial"/>
          <w:color w:val="auto"/>
          <w:sz w:val="26"/>
          <w:szCs w:val="26"/>
        </w:rPr>
        <w:t>km</w:t>
      </w:r>
      <w:r>
        <w:rPr>
          <w:rFonts w:hint="eastAsia" w:ascii="Arial" w:cs="Arial"/>
          <w:color w:val="auto"/>
          <w:sz w:val="26"/>
          <w:szCs w:val="26"/>
        </w:rPr>
        <w:t>的减水河段，但减水河段内无天然地下溶洞、泉眼等出露。根据区域水文地质情况，地下水类型以</w:t>
      </w:r>
      <w:r>
        <w:rPr>
          <w:rFonts w:hint="default" w:ascii="Arial" w:hAnsi="Arial" w:cs="Arial"/>
          <w:color w:val="auto"/>
          <w:sz w:val="26"/>
          <w:szCs w:val="26"/>
        </w:rPr>
        <w:t>碳酸盐岩岩溶水、碎屑岩裂隙水、红层裂隙水及松散层孔隙水</w:t>
      </w:r>
      <w:r>
        <w:rPr>
          <w:rFonts w:hint="eastAsia" w:ascii="Arial" w:cs="Arial"/>
          <w:color w:val="auto"/>
          <w:sz w:val="26"/>
          <w:szCs w:val="26"/>
        </w:rPr>
        <w:t>为主，主要接受大气降水</w:t>
      </w:r>
      <w:r>
        <w:rPr>
          <w:rFonts w:hint="default" w:ascii="Arial" w:hAnsi="Arial" w:cs="Arial"/>
          <w:color w:val="auto"/>
          <w:sz w:val="26"/>
          <w:szCs w:val="26"/>
        </w:rPr>
        <w:t>或地表水的补给</w:t>
      </w:r>
      <w:r>
        <w:rPr>
          <w:rFonts w:hint="eastAsia" w:ascii="Arial" w:cs="Arial"/>
          <w:color w:val="auto"/>
          <w:sz w:val="26"/>
          <w:szCs w:val="26"/>
        </w:rPr>
        <w:t>补给</w:t>
      </w:r>
      <w:r>
        <w:rPr>
          <w:rFonts w:hint="eastAsia" w:ascii="Arial" w:cs="Arial"/>
          <w:color w:val="auto"/>
          <w:sz w:val="26"/>
          <w:szCs w:val="26"/>
          <w:lang w:eastAsia="zh-CN"/>
        </w:rPr>
        <w:t>。下游减水河段内</w:t>
      </w:r>
      <w:r>
        <w:rPr>
          <w:rFonts w:hint="eastAsia" w:ascii="Arial" w:cs="Arial"/>
          <w:color w:val="auto"/>
          <w:sz w:val="26"/>
          <w:szCs w:val="26"/>
        </w:rPr>
        <w:t>地下水接受补给的范围大，含水丰富，水量相对较稳定。坝后多年平均弃水量为</w:t>
      </w:r>
      <w:r>
        <w:rPr>
          <w:rFonts w:hint="eastAsia" w:ascii="Arial" w:cs="Arial"/>
          <w:color w:val="auto"/>
          <w:sz w:val="26"/>
          <w:szCs w:val="26"/>
          <w:lang w:val="en-US" w:eastAsia="zh-CN"/>
        </w:rPr>
        <w:t>12.97</w:t>
      </w:r>
      <w:r>
        <w:rPr>
          <w:rFonts w:hint="eastAsia" w:ascii="Arial" w:cs="Arial"/>
          <w:color w:val="auto"/>
          <w:sz w:val="26"/>
          <w:szCs w:val="26"/>
        </w:rPr>
        <w:t>万</w:t>
      </w:r>
      <w:r>
        <w:rPr>
          <w:rFonts w:ascii="Arial" w:cs="Arial"/>
          <w:color w:val="auto"/>
          <w:sz w:val="26"/>
          <w:szCs w:val="26"/>
        </w:rPr>
        <w:t>m</w:t>
      </w:r>
      <w:r>
        <w:rPr>
          <w:rFonts w:ascii="Arial" w:cs="Arial"/>
          <w:color w:val="auto"/>
          <w:sz w:val="26"/>
          <w:szCs w:val="26"/>
          <w:vertAlign w:val="superscript"/>
        </w:rPr>
        <w:t>3</w:t>
      </w:r>
      <w:r>
        <w:rPr>
          <w:rFonts w:hint="eastAsia" w:ascii="Arial" w:cs="Arial"/>
          <w:color w:val="auto"/>
          <w:sz w:val="26"/>
          <w:szCs w:val="26"/>
        </w:rPr>
        <w:t>，加之生态水量年</w:t>
      </w:r>
      <w:r>
        <w:rPr>
          <w:rFonts w:hint="eastAsia" w:ascii="Arial" w:cs="Arial"/>
          <w:color w:val="auto"/>
          <w:sz w:val="26"/>
          <w:szCs w:val="26"/>
          <w:lang w:val="en-US" w:eastAsia="zh-CN"/>
        </w:rPr>
        <w:t>15.75</w:t>
      </w:r>
      <w:r>
        <w:rPr>
          <w:rFonts w:hint="eastAsia" w:ascii="Arial" w:cs="Arial"/>
          <w:color w:val="auto"/>
          <w:sz w:val="26"/>
          <w:szCs w:val="26"/>
        </w:rPr>
        <w:t>万m</w:t>
      </w:r>
      <w:r>
        <w:rPr>
          <w:rFonts w:hint="eastAsia" w:ascii="Arial" w:cs="Arial"/>
          <w:color w:val="auto"/>
          <w:sz w:val="26"/>
          <w:szCs w:val="26"/>
          <w:vertAlign w:val="superscript"/>
        </w:rPr>
        <w:t>3</w:t>
      </w:r>
      <w:r>
        <w:rPr>
          <w:rFonts w:hint="eastAsia" w:ascii="Arial" w:cs="Arial"/>
          <w:color w:val="auto"/>
          <w:sz w:val="26"/>
          <w:szCs w:val="26"/>
        </w:rPr>
        <w:t>的下渗，评价认为工程建成后虽然在坝后形成减水河段，但有坝后弃水、生态流量下渗以及沿途接受大气降水补给，坝后水量的减少对地下水环境的影响不大。</w:t>
      </w:r>
    </w:p>
    <w:p w14:paraId="499025DF">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eastAsia" w:ascii="Arial" w:hAnsi="Arial" w:eastAsia="宋体" w:cs="Arial"/>
          <w:color w:val="000000"/>
          <w:sz w:val="26"/>
          <w:szCs w:val="26"/>
          <w:lang w:val="en-US" w:eastAsia="zh-CN"/>
        </w:rPr>
      </w:pPr>
      <w:r>
        <w:rPr>
          <w:rFonts w:hint="eastAsia" w:ascii="Arial" w:hAnsi="Arial" w:eastAsia="宋体" w:cs="Arial"/>
          <w:b/>
          <w:bCs/>
          <w:color w:val="000000"/>
          <w:sz w:val="26"/>
          <w:szCs w:val="26"/>
          <w:lang w:val="en-US" w:eastAsia="zh-CN"/>
        </w:rPr>
        <w:t>6.4.3灌区对地下水环境的影响分析</w:t>
      </w:r>
    </w:p>
    <w:p w14:paraId="6F7CD1BC">
      <w:pPr>
        <w:pStyle w:val="2113"/>
        <w:ind w:firstLine="520"/>
        <w:rPr>
          <w:rFonts w:ascii="Arial" w:cs="Arial"/>
          <w:color w:val="auto"/>
          <w:sz w:val="26"/>
          <w:szCs w:val="26"/>
        </w:rPr>
      </w:pPr>
      <w:r>
        <w:rPr>
          <w:rFonts w:hint="eastAsia" w:ascii="Arial" w:cs="Arial"/>
          <w:color w:val="auto"/>
          <w:sz w:val="26"/>
          <w:szCs w:val="26"/>
        </w:rPr>
        <w:t>灌区退水少部分经土壤层渗入浅层地下含水层，由于土壤层具有较强的吸附净化能力，灌区退水中</w:t>
      </w:r>
      <w:r>
        <w:rPr>
          <w:rFonts w:ascii="Arial" w:cs="Arial"/>
          <w:color w:val="auto"/>
          <w:sz w:val="26"/>
          <w:szCs w:val="26"/>
        </w:rPr>
        <w:t>N</w:t>
      </w:r>
      <w:r>
        <w:rPr>
          <w:rFonts w:hint="eastAsia" w:ascii="Arial" w:cs="Arial"/>
          <w:color w:val="auto"/>
          <w:sz w:val="26"/>
          <w:szCs w:val="26"/>
        </w:rPr>
        <w:t>、</w:t>
      </w:r>
      <w:r>
        <w:rPr>
          <w:rFonts w:ascii="Arial" w:cs="Arial"/>
          <w:color w:val="auto"/>
          <w:sz w:val="26"/>
          <w:szCs w:val="26"/>
        </w:rPr>
        <w:t>P</w:t>
      </w:r>
      <w:r>
        <w:rPr>
          <w:rFonts w:hint="eastAsia" w:ascii="Arial" w:cs="Arial"/>
          <w:color w:val="auto"/>
          <w:sz w:val="26"/>
          <w:szCs w:val="26"/>
        </w:rPr>
        <w:t>等物质将大部分吸附在土壤层，进入地下含水层量较少，因此灌区退水对地下水水质影响较小。</w:t>
      </w:r>
    </w:p>
    <w:p w14:paraId="128A3C81">
      <w:pPr>
        <w:pStyle w:val="2113"/>
        <w:ind w:firstLine="520"/>
        <w:rPr>
          <w:rFonts w:hint="eastAsia" w:ascii="Arial" w:cs="Arial"/>
          <w:color w:val="auto"/>
          <w:sz w:val="26"/>
          <w:szCs w:val="26"/>
        </w:rPr>
      </w:pPr>
      <w:r>
        <w:rPr>
          <w:rFonts w:hint="eastAsia" w:ascii="Arial" w:cs="Arial"/>
          <w:color w:val="auto"/>
          <w:sz w:val="26"/>
          <w:szCs w:val="26"/>
        </w:rPr>
        <w:t>水库管理人员生活污水由</w:t>
      </w:r>
      <w:r>
        <w:rPr>
          <w:rFonts w:hint="eastAsia" w:ascii="Arial" w:cs="Arial"/>
          <w:color w:val="auto"/>
          <w:sz w:val="26"/>
          <w:szCs w:val="26"/>
          <w:lang w:eastAsia="zh-CN"/>
        </w:rPr>
        <w:t>化粪池</w:t>
      </w:r>
      <w:r>
        <w:rPr>
          <w:rFonts w:hint="eastAsia" w:ascii="Arial" w:cs="Arial"/>
          <w:color w:val="auto"/>
          <w:sz w:val="26"/>
          <w:szCs w:val="26"/>
        </w:rPr>
        <w:t>统一收集</w:t>
      </w:r>
      <w:r>
        <w:rPr>
          <w:rFonts w:hint="eastAsia" w:ascii="Arial" w:cs="Arial"/>
          <w:color w:val="auto"/>
          <w:sz w:val="26"/>
          <w:szCs w:val="26"/>
          <w:lang w:eastAsia="zh-CN"/>
        </w:rPr>
        <w:t>处理</w:t>
      </w:r>
      <w:r>
        <w:rPr>
          <w:rFonts w:hint="eastAsia" w:ascii="Arial" w:cs="Arial"/>
          <w:color w:val="auto"/>
          <w:sz w:val="26"/>
          <w:szCs w:val="26"/>
        </w:rPr>
        <w:t>后，</w:t>
      </w:r>
      <w:r>
        <w:rPr>
          <w:rFonts w:hint="eastAsia" w:ascii="Arial" w:cs="Arial"/>
          <w:color w:val="auto"/>
          <w:sz w:val="26"/>
          <w:szCs w:val="26"/>
          <w:lang w:eastAsia="zh-CN"/>
        </w:rPr>
        <w:t>交附近居民作农肥，不外排</w:t>
      </w:r>
      <w:r>
        <w:rPr>
          <w:rFonts w:hint="eastAsia" w:ascii="Arial" w:cs="Arial"/>
          <w:color w:val="auto"/>
          <w:sz w:val="26"/>
          <w:szCs w:val="26"/>
        </w:rPr>
        <w:t>。生活污水产生量仅为</w:t>
      </w:r>
      <w:r>
        <w:rPr>
          <w:rFonts w:hint="eastAsia" w:ascii="Arial" w:cs="Arial"/>
          <w:color w:val="auto"/>
          <w:sz w:val="26"/>
          <w:szCs w:val="26"/>
          <w:lang w:val="en-US" w:eastAsia="zh-CN"/>
        </w:rPr>
        <w:t>0.54</w:t>
      </w:r>
      <w:r>
        <w:rPr>
          <w:rFonts w:ascii="Arial" w:cs="Arial"/>
          <w:color w:val="auto"/>
          <w:sz w:val="26"/>
          <w:szCs w:val="26"/>
        </w:rPr>
        <w:t>m</w:t>
      </w:r>
      <w:r>
        <w:rPr>
          <w:rFonts w:ascii="Arial" w:cs="Arial"/>
          <w:color w:val="auto"/>
          <w:sz w:val="26"/>
          <w:szCs w:val="26"/>
          <w:vertAlign w:val="superscript"/>
        </w:rPr>
        <w:t>3</w:t>
      </w:r>
      <w:r>
        <w:rPr>
          <w:rFonts w:ascii="Arial" w:cs="Arial"/>
          <w:color w:val="auto"/>
          <w:sz w:val="26"/>
          <w:szCs w:val="26"/>
        </w:rPr>
        <w:t>/d</w:t>
      </w:r>
      <w:r>
        <w:rPr>
          <w:rFonts w:hint="eastAsia" w:ascii="Arial" w:cs="Arial"/>
          <w:color w:val="auto"/>
          <w:sz w:val="26"/>
          <w:szCs w:val="26"/>
        </w:rPr>
        <w:t>，有机污染物、氮元素等经林木吸收后，基本不会对地下水环境造成污染。</w:t>
      </w:r>
    </w:p>
    <w:p w14:paraId="3E46624A">
      <w:pPr>
        <w:pStyle w:val="1291"/>
        <w:keepNext w:val="0"/>
        <w:keepLines w:val="0"/>
        <w:pageBreakBefore w:val="0"/>
        <w:kinsoku/>
        <w:wordWrap/>
        <w:overflowPunct/>
        <w:topLinePunct w:val="0"/>
        <w:autoSpaceDE/>
        <w:autoSpaceDN/>
        <w:bidi w:val="0"/>
        <w:spacing w:line="460" w:lineRule="exact"/>
        <w:ind w:firstLine="522" w:firstLineChars="200"/>
        <w:jc w:val="both"/>
        <w:textAlignment w:val="auto"/>
        <w:rPr>
          <w:rFonts w:hint="eastAsia" w:ascii="Arial" w:hAnsi="Arial" w:eastAsia="宋体" w:cs="Arial"/>
          <w:color w:val="auto"/>
          <w:sz w:val="26"/>
          <w:szCs w:val="26"/>
          <w:lang w:eastAsia="zh-CN"/>
        </w:rPr>
      </w:pPr>
      <w:r>
        <w:rPr>
          <w:rFonts w:hint="default" w:ascii="Arial" w:hAnsi="Arial" w:cs="Arial"/>
          <w:color w:val="auto"/>
          <w:sz w:val="26"/>
          <w:szCs w:val="26"/>
        </w:rPr>
        <w:t>6.</w:t>
      </w:r>
      <w:r>
        <w:rPr>
          <w:rFonts w:hint="eastAsia" w:ascii="Arial" w:hAnsi="Arial" w:cs="Arial"/>
          <w:color w:val="auto"/>
          <w:sz w:val="26"/>
          <w:szCs w:val="26"/>
          <w:lang w:val="en-US" w:eastAsia="zh-CN"/>
        </w:rPr>
        <w:t>5地表水环境影响</w:t>
      </w:r>
      <w:r>
        <w:rPr>
          <w:rFonts w:hint="eastAsia" w:ascii="Arial" w:hAnsi="Arial" w:cs="Arial"/>
          <w:color w:val="auto"/>
          <w:sz w:val="26"/>
          <w:szCs w:val="26"/>
          <w:lang w:eastAsia="zh-CN"/>
        </w:rPr>
        <w:t>分析</w:t>
      </w:r>
    </w:p>
    <w:p w14:paraId="245E86F0">
      <w:pPr>
        <w:keepNext w:val="0"/>
        <w:keepLines w:val="0"/>
        <w:pageBreakBefore w:val="0"/>
        <w:widowControl w:val="0"/>
        <w:kinsoku/>
        <w:wordWrap/>
        <w:overflowPunct/>
        <w:topLinePunct w:val="0"/>
        <w:autoSpaceDE/>
        <w:autoSpaceDN/>
        <w:bidi w:val="0"/>
        <w:adjustRightInd w:val="0"/>
        <w:snapToGrid w:val="0"/>
        <w:spacing w:line="460" w:lineRule="exact"/>
        <w:ind w:firstLine="522" w:firstLineChars="200"/>
        <w:textAlignment w:val="auto"/>
        <w:rPr>
          <w:rFonts w:hint="default" w:ascii="Arial" w:hAnsi="Arial" w:eastAsia="宋体" w:cs="Arial"/>
          <w:b/>
          <w:bCs/>
          <w:color w:val="000000"/>
          <w:sz w:val="26"/>
          <w:szCs w:val="26"/>
          <w:lang w:val="en-US" w:eastAsia="zh-CN"/>
        </w:rPr>
      </w:pPr>
      <w:r>
        <w:rPr>
          <w:rFonts w:hint="eastAsia" w:ascii="Arial" w:hAnsi="Arial" w:eastAsia="宋体" w:cs="Arial"/>
          <w:b/>
          <w:bCs/>
          <w:color w:val="000000"/>
          <w:sz w:val="26"/>
          <w:szCs w:val="26"/>
          <w:lang w:val="en-US" w:eastAsia="zh-CN"/>
        </w:rPr>
        <w:t>6.5.1水资源时空分布的影响</w:t>
      </w:r>
    </w:p>
    <w:p w14:paraId="7B7D1C67">
      <w:pPr>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outlineLvl w:val="9"/>
        <w:rPr>
          <w:rFonts w:hint="default" w:ascii="Arial" w:hAnsi="Arial" w:eastAsia="宋体" w:cs="Arial"/>
          <w:b/>
          <w:bCs w:val="0"/>
          <w:snapToGrid w:val="0"/>
          <w:kern w:val="0"/>
          <w:sz w:val="26"/>
          <w:szCs w:val="26"/>
          <w:lang w:val="en-US" w:eastAsia="zh-CN"/>
        </w:rPr>
      </w:pPr>
      <w:r>
        <w:rPr>
          <w:rFonts w:hint="eastAsia" w:ascii="Arial" w:hAnsi="Arial" w:cs="Arial"/>
          <w:b/>
          <w:bCs w:val="0"/>
          <w:snapToGrid w:val="0"/>
          <w:kern w:val="0"/>
          <w:sz w:val="26"/>
          <w:szCs w:val="26"/>
          <w:lang w:eastAsia="zh-CN"/>
        </w:rPr>
        <w:t>（</w:t>
      </w:r>
      <w:r>
        <w:rPr>
          <w:rFonts w:hint="eastAsia" w:ascii="Arial" w:hAnsi="Arial" w:cs="Arial"/>
          <w:b/>
          <w:bCs w:val="0"/>
          <w:snapToGrid w:val="0"/>
          <w:kern w:val="0"/>
          <w:sz w:val="26"/>
          <w:szCs w:val="26"/>
          <w:lang w:val="en-US" w:eastAsia="zh-CN"/>
        </w:rPr>
        <w:t>1）水资源时空分布特点</w:t>
      </w:r>
    </w:p>
    <w:p w14:paraId="344F2517">
      <w:pPr>
        <w:spacing w:line="460" w:lineRule="exact"/>
        <w:ind w:firstLine="520" w:firstLineChars="200"/>
        <w:rPr>
          <w:rFonts w:hint="eastAsia" w:ascii="Arial" w:hAnsi="宋体" w:eastAsia="宋体" w:cs="Arial"/>
          <w:sz w:val="26"/>
          <w:szCs w:val="26"/>
          <w:lang w:eastAsia="zh-CN"/>
        </w:rPr>
      </w:pPr>
      <w:r>
        <w:rPr>
          <w:rFonts w:hint="eastAsia" w:ascii="Arial" w:hAnsi="宋体" w:cs="Arial"/>
          <w:sz w:val="26"/>
          <w:szCs w:val="26"/>
        </w:rPr>
        <w:t>根据项目设计文件径流资料可知，</w:t>
      </w:r>
      <w:r>
        <w:rPr>
          <w:rFonts w:hint="eastAsia" w:ascii="Arial" w:hAnsi="宋体" w:cs="Arial"/>
          <w:sz w:val="26"/>
          <w:szCs w:val="26"/>
          <w:lang w:eastAsia="zh-CN"/>
        </w:rPr>
        <w:t>海螺沟</w:t>
      </w:r>
      <w:r>
        <w:rPr>
          <w:rFonts w:hint="eastAsia" w:ascii="Arial" w:hAnsi="宋体" w:cs="Arial"/>
          <w:sz w:val="26"/>
          <w:szCs w:val="26"/>
        </w:rPr>
        <w:t>水库坝址以上流域内径流量年际年内变化大，时空分配差异大。</w:t>
      </w:r>
      <w:r>
        <w:rPr>
          <w:rFonts w:hint="eastAsia" w:ascii="Arial" w:hAnsi="宋体" w:cs="Arial"/>
          <w:sz w:val="26"/>
          <w:szCs w:val="26"/>
          <w:lang w:eastAsia="zh-CN"/>
        </w:rPr>
        <w:t>海螺沟</w:t>
      </w:r>
      <w:r>
        <w:rPr>
          <w:rFonts w:hint="eastAsia" w:ascii="Arial" w:hAnsi="宋体" w:cs="Arial"/>
          <w:sz w:val="26"/>
          <w:szCs w:val="26"/>
        </w:rPr>
        <w:t>为山溪性河流，河道狭窄，河道内径流受季节影响大，汛期河水陡涨陡落的特点比较明显，径流难以利用；而到枯季，基本无水量。</w:t>
      </w:r>
      <w:r>
        <w:rPr>
          <w:rFonts w:hint="eastAsia" w:ascii="Arial" w:hAnsi="宋体" w:cs="Arial"/>
          <w:sz w:val="26"/>
          <w:szCs w:val="26"/>
          <w:lang w:eastAsia="zh-CN"/>
        </w:rPr>
        <w:t>通过类比两河站径流特点，</w:t>
      </w:r>
      <w:r>
        <w:rPr>
          <w:rFonts w:hint="eastAsia" w:ascii="Arial" w:hAnsi="宋体" w:eastAsia="宋体" w:cs="Arial"/>
          <w:sz w:val="26"/>
          <w:szCs w:val="26"/>
          <w:lang w:eastAsia="zh-CN"/>
        </w:rPr>
        <w:t>求得海螺沟水库坝址年径流为105万m</w:t>
      </w:r>
      <w:r>
        <w:rPr>
          <w:rFonts w:hint="eastAsia" w:ascii="Arial" w:hAnsi="宋体" w:eastAsia="宋体" w:cs="Arial"/>
          <w:sz w:val="26"/>
          <w:szCs w:val="26"/>
          <w:vertAlign w:val="superscript"/>
          <w:lang w:eastAsia="zh-CN"/>
        </w:rPr>
        <w:t>3</w:t>
      </w:r>
      <w:r>
        <w:rPr>
          <w:rFonts w:hint="eastAsia" w:ascii="Arial" w:hAnsi="宋体" w:eastAsia="宋体" w:cs="Arial"/>
          <w:sz w:val="26"/>
          <w:szCs w:val="26"/>
          <w:lang w:eastAsia="zh-CN"/>
        </w:rPr>
        <w:t>，平均流量为0.033m</w:t>
      </w:r>
      <w:r>
        <w:rPr>
          <w:rFonts w:hint="eastAsia" w:ascii="Arial" w:hAnsi="宋体" w:eastAsia="宋体" w:cs="Arial"/>
          <w:sz w:val="26"/>
          <w:szCs w:val="26"/>
          <w:vertAlign w:val="superscript"/>
          <w:lang w:eastAsia="zh-CN"/>
        </w:rPr>
        <w:t>3</w:t>
      </w:r>
      <w:r>
        <w:rPr>
          <w:rFonts w:hint="eastAsia" w:ascii="Arial" w:hAnsi="宋体" w:eastAsia="宋体" w:cs="Arial"/>
          <w:sz w:val="26"/>
          <w:szCs w:val="26"/>
          <w:lang w:eastAsia="zh-CN"/>
        </w:rPr>
        <w:t>/s。按水利年（4月~次年3月）、丰水期（4~10月）、枯水期（11月~次年3月）分别进行统计，其计算成果见表</w:t>
      </w:r>
      <w:r>
        <w:rPr>
          <w:rFonts w:hint="eastAsia" w:ascii="Arial" w:hAnsi="宋体" w:eastAsia="宋体" w:cs="Arial"/>
          <w:sz w:val="26"/>
          <w:szCs w:val="26"/>
          <w:lang w:val="en-US" w:eastAsia="zh-CN"/>
        </w:rPr>
        <w:t>6.5-1所示</w:t>
      </w:r>
      <w:r>
        <w:rPr>
          <w:rFonts w:hint="eastAsia" w:ascii="Arial" w:hAnsi="宋体" w:eastAsia="宋体" w:cs="Arial"/>
          <w:sz w:val="26"/>
          <w:szCs w:val="26"/>
          <w:lang w:eastAsia="zh-CN"/>
        </w:rPr>
        <w:t>。</w:t>
      </w:r>
    </w:p>
    <w:p w14:paraId="24E5155B">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宋体" w:cs="Arial"/>
          <w:b/>
          <w:bCs/>
          <w:sz w:val="26"/>
          <w:szCs w:val="26"/>
          <w:lang w:val="en-US" w:eastAsia="zh-CN"/>
        </w:rPr>
      </w:pPr>
      <w:r>
        <w:rPr>
          <w:rFonts w:hint="eastAsia" w:ascii="Arial" w:hAnsi="宋体" w:cs="Arial"/>
          <w:b/>
          <w:bCs/>
          <w:sz w:val="26"/>
          <w:szCs w:val="26"/>
          <w:lang w:eastAsia="zh-CN"/>
        </w:rPr>
        <w:t>表</w:t>
      </w:r>
      <w:r>
        <w:rPr>
          <w:rFonts w:hint="eastAsia" w:ascii="Arial" w:hAnsi="宋体" w:cs="Arial"/>
          <w:b/>
          <w:bCs/>
          <w:sz w:val="26"/>
          <w:szCs w:val="26"/>
          <w:lang w:val="en-US" w:eastAsia="zh-CN"/>
        </w:rPr>
        <w:t>6.5-1 海螺沟水库坝址处径流计算成果表</w:t>
      </w:r>
    </w:p>
    <w:tbl>
      <w:tblPr>
        <w:tblStyle w:val="77"/>
        <w:tblW w:w="526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224"/>
        <w:gridCol w:w="1015"/>
        <w:gridCol w:w="676"/>
        <w:gridCol w:w="713"/>
        <w:gridCol w:w="765"/>
        <w:gridCol w:w="820"/>
        <w:gridCol w:w="820"/>
        <w:gridCol w:w="821"/>
        <w:gridCol w:w="820"/>
        <w:gridCol w:w="820"/>
        <w:gridCol w:w="835"/>
      </w:tblGrid>
      <w:tr w14:paraId="18BC84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4" w:hRule="exact"/>
          <w:tblHeader/>
          <w:jc w:val="center"/>
        </w:trPr>
        <w:tc>
          <w:tcPr>
            <w:tcW w:w="656" w:type="pct"/>
            <w:vMerge w:val="restart"/>
            <w:noWrap w:val="0"/>
            <w:vAlign w:val="center"/>
          </w:tcPr>
          <w:p w14:paraId="42E3B55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项目</w:t>
            </w:r>
          </w:p>
        </w:tc>
        <w:tc>
          <w:tcPr>
            <w:tcW w:w="544" w:type="pct"/>
            <w:vMerge w:val="restart"/>
            <w:noWrap w:val="0"/>
            <w:vAlign w:val="center"/>
          </w:tcPr>
          <w:p w14:paraId="540CFE0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均值</w:t>
            </w:r>
          </w:p>
          <w:p w14:paraId="2FA1E95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（m</w:t>
            </w:r>
            <w:r>
              <w:rPr>
                <w:rFonts w:hint="eastAsia" w:ascii="Arial" w:hAnsi="Arial" w:cs="Arial"/>
                <w:sz w:val="22"/>
                <w:szCs w:val="22"/>
                <w:vertAlign w:val="superscript"/>
                <w:lang w:val="en-US" w:eastAsia="zh-CN"/>
              </w:rPr>
              <w:t>3</w:t>
            </w:r>
            <w:r>
              <w:rPr>
                <w:rFonts w:hint="default" w:ascii="Arial" w:hAnsi="Arial" w:cs="Arial"/>
                <w:sz w:val="22"/>
                <w:szCs w:val="22"/>
              </w:rPr>
              <w:t>/s）</w:t>
            </w:r>
          </w:p>
        </w:tc>
        <w:tc>
          <w:tcPr>
            <w:tcW w:w="362" w:type="pct"/>
            <w:vMerge w:val="restart"/>
            <w:noWrap w:val="0"/>
            <w:vAlign w:val="center"/>
          </w:tcPr>
          <w:p w14:paraId="54A1A86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p w14:paraId="1FB888B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Cv</w:t>
            </w:r>
          </w:p>
        </w:tc>
        <w:tc>
          <w:tcPr>
            <w:tcW w:w="382" w:type="pct"/>
            <w:vMerge w:val="restart"/>
            <w:noWrap w:val="0"/>
            <w:vAlign w:val="center"/>
          </w:tcPr>
          <w:p w14:paraId="5DC9A4D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p w14:paraId="038B5A3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Cs/Cv</w:t>
            </w:r>
          </w:p>
        </w:tc>
        <w:tc>
          <w:tcPr>
            <w:tcW w:w="3053" w:type="pct"/>
            <w:gridSpan w:val="7"/>
            <w:noWrap w:val="0"/>
            <w:vAlign w:val="center"/>
          </w:tcPr>
          <w:p w14:paraId="4DE4794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设</w:t>
            </w:r>
            <w:r>
              <w:rPr>
                <w:rFonts w:hint="default" w:ascii="Arial" w:hAnsi="Arial" w:cs="Arial"/>
                <w:sz w:val="22"/>
                <w:szCs w:val="22"/>
              </w:rPr>
              <w:tab/>
            </w:r>
            <w:r>
              <w:rPr>
                <w:rFonts w:hint="default" w:ascii="Arial" w:hAnsi="Arial" w:cs="Arial"/>
                <w:sz w:val="22"/>
                <w:szCs w:val="22"/>
              </w:rPr>
              <w:t>计</w:t>
            </w:r>
            <w:r>
              <w:rPr>
                <w:rFonts w:hint="default" w:ascii="Arial" w:hAnsi="Arial" w:cs="Arial"/>
                <w:sz w:val="22"/>
                <w:szCs w:val="22"/>
              </w:rPr>
              <w:tab/>
            </w:r>
            <w:r>
              <w:rPr>
                <w:rFonts w:hint="default" w:ascii="Arial" w:hAnsi="Arial" w:cs="Arial"/>
                <w:sz w:val="22"/>
                <w:szCs w:val="22"/>
              </w:rPr>
              <w:t>径</w:t>
            </w:r>
            <w:r>
              <w:rPr>
                <w:rFonts w:hint="default" w:ascii="Arial" w:hAnsi="Arial" w:cs="Arial"/>
                <w:sz w:val="22"/>
                <w:szCs w:val="22"/>
              </w:rPr>
              <w:tab/>
            </w:r>
            <w:r>
              <w:rPr>
                <w:rFonts w:hint="default" w:ascii="Arial" w:hAnsi="Arial" w:cs="Arial"/>
                <w:sz w:val="22"/>
                <w:szCs w:val="22"/>
              </w:rPr>
              <w:t>流（m</w:t>
            </w:r>
            <w:r>
              <w:rPr>
                <w:rFonts w:hint="default" w:ascii="Arial" w:hAnsi="Arial" w:cs="Arial"/>
                <w:position w:val="8"/>
                <w:sz w:val="22"/>
                <w:szCs w:val="22"/>
              </w:rPr>
              <w:t>3</w:t>
            </w:r>
            <w:r>
              <w:rPr>
                <w:rFonts w:hint="default" w:ascii="Arial" w:hAnsi="Arial" w:cs="Arial"/>
                <w:sz w:val="22"/>
                <w:szCs w:val="22"/>
              </w:rPr>
              <w:t>/s）</w:t>
            </w:r>
          </w:p>
        </w:tc>
      </w:tr>
      <w:tr w14:paraId="7E74BD2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4" w:hRule="exact"/>
          <w:tblHeader/>
          <w:jc w:val="center"/>
        </w:trPr>
        <w:tc>
          <w:tcPr>
            <w:tcW w:w="656" w:type="pct"/>
            <w:vMerge w:val="continue"/>
            <w:noWrap w:val="0"/>
            <w:vAlign w:val="center"/>
          </w:tcPr>
          <w:p w14:paraId="5C68529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544" w:type="pct"/>
            <w:vMerge w:val="continue"/>
            <w:noWrap w:val="0"/>
            <w:vAlign w:val="center"/>
          </w:tcPr>
          <w:p w14:paraId="11FA097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362" w:type="pct"/>
            <w:vMerge w:val="continue"/>
            <w:noWrap w:val="0"/>
            <w:vAlign w:val="center"/>
          </w:tcPr>
          <w:p w14:paraId="3A5A7B7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382" w:type="pct"/>
            <w:vMerge w:val="continue"/>
            <w:noWrap w:val="0"/>
            <w:vAlign w:val="center"/>
          </w:tcPr>
          <w:p w14:paraId="3461E70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p>
        </w:tc>
        <w:tc>
          <w:tcPr>
            <w:tcW w:w="410" w:type="pct"/>
            <w:noWrap w:val="0"/>
            <w:vAlign w:val="center"/>
          </w:tcPr>
          <w:p w14:paraId="668EAFA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P=5%</w:t>
            </w:r>
          </w:p>
        </w:tc>
        <w:tc>
          <w:tcPr>
            <w:tcW w:w="439" w:type="pct"/>
            <w:noWrap w:val="0"/>
            <w:vAlign w:val="center"/>
          </w:tcPr>
          <w:p w14:paraId="2285E50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P=10%</w:t>
            </w:r>
          </w:p>
        </w:tc>
        <w:tc>
          <w:tcPr>
            <w:tcW w:w="439" w:type="pct"/>
            <w:noWrap w:val="0"/>
            <w:vAlign w:val="center"/>
          </w:tcPr>
          <w:p w14:paraId="476C543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P=20%</w:t>
            </w:r>
          </w:p>
        </w:tc>
        <w:tc>
          <w:tcPr>
            <w:tcW w:w="440" w:type="pct"/>
            <w:noWrap w:val="0"/>
            <w:vAlign w:val="center"/>
          </w:tcPr>
          <w:p w14:paraId="4764AFA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P=50%</w:t>
            </w:r>
          </w:p>
        </w:tc>
        <w:tc>
          <w:tcPr>
            <w:tcW w:w="439" w:type="pct"/>
            <w:noWrap w:val="0"/>
            <w:vAlign w:val="center"/>
          </w:tcPr>
          <w:p w14:paraId="6E75D4C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P=80%</w:t>
            </w:r>
          </w:p>
        </w:tc>
        <w:tc>
          <w:tcPr>
            <w:tcW w:w="439" w:type="pct"/>
            <w:noWrap w:val="0"/>
            <w:vAlign w:val="center"/>
          </w:tcPr>
          <w:p w14:paraId="3990F99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P=90%</w:t>
            </w:r>
          </w:p>
        </w:tc>
        <w:tc>
          <w:tcPr>
            <w:tcW w:w="444" w:type="pct"/>
            <w:noWrap w:val="0"/>
            <w:vAlign w:val="center"/>
          </w:tcPr>
          <w:p w14:paraId="6A091BD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P=95%</w:t>
            </w:r>
          </w:p>
        </w:tc>
      </w:tr>
      <w:tr w14:paraId="3450CE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4" w:hRule="exact"/>
          <w:jc w:val="center"/>
        </w:trPr>
        <w:tc>
          <w:tcPr>
            <w:tcW w:w="656" w:type="pct"/>
            <w:noWrap w:val="0"/>
            <w:vAlign w:val="center"/>
          </w:tcPr>
          <w:p w14:paraId="549544D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水文年</w:t>
            </w:r>
          </w:p>
        </w:tc>
        <w:tc>
          <w:tcPr>
            <w:tcW w:w="544" w:type="pct"/>
            <w:noWrap w:val="0"/>
            <w:vAlign w:val="center"/>
          </w:tcPr>
          <w:p w14:paraId="0D09731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kern w:val="0"/>
                <w:sz w:val="22"/>
                <w:szCs w:val="22"/>
              </w:rPr>
            </w:pPr>
            <w:r>
              <w:rPr>
                <w:rFonts w:hint="default" w:ascii="Arial" w:hAnsi="Arial" w:cs="Arial"/>
                <w:sz w:val="22"/>
                <w:szCs w:val="22"/>
              </w:rPr>
              <w:t xml:space="preserve">0.033 </w:t>
            </w:r>
          </w:p>
        </w:tc>
        <w:tc>
          <w:tcPr>
            <w:tcW w:w="362" w:type="pct"/>
            <w:noWrap w:val="0"/>
            <w:vAlign w:val="center"/>
          </w:tcPr>
          <w:p w14:paraId="77B55C2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0.32</w:t>
            </w:r>
          </w:p>
        </w:tc>
        <w:tc>
          <w:tcPr>
            <w:tcW w:w="382" w:type="pct"/>
            <w:noWrap w:val="0"/>
            <w:vAlign w:val="center"/>
          </w:tcPr>
          <w:p w14:paraId="3DE9738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2.5</w:t>
            </w:r>
          </w:p>
        </w:tc>
        <w:tc>
          <w:tcPr>
            <w:tcW w:w="410" w:type="pct"/>
            <w:noWrap w:val="0"/>
            <w:vAlign w:val="center"/>
          </w:tcPr>
          <w:p w14:paraId="70300F2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kern w:val="0"/>
                <w:sz w:val="22"/>
                <w:szCs w:val="22"/>
              </w:rPr>
            </w:pPr>
            <w:r>
              <w:rPr>
                <w:rFonts w:hint="default" w:ascii="Arial" w:hAnsi="Arial" w:cs="Arial"/>
                <w:sz w:val="22"/>
                <w:szCs w:val="22"/>
              </w:rPr>
              <w:t xml:space="preserve">0.0528 </w:t>
            </w:r>
          </w:p>
        </w:tc>
        <w:tc>
          <w:tcPr>
            <w:tcW w:w="439" w:type="pct"/>
            <w:noWrap w:val="0"/>
            <w:vAlign w:val="center"/>
          </w:tcPr>
          <w:p w14:paraId="43ADE70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0.0475 </w:t>
            </w:r>
          </w:p>
        </w:tc>
        <w:tc>
          <w:tcPr>
            <w:tcW w:w="439" w:type="pct"/>
            <w:noWrap w:val="0"/>
            <w:vAlign w:val="center"/>
          </w:tcPr>
          <w:p w14:paraId="52FDA4B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0.0415 </w:t>
            </w:r>
          </w:p>
        </w:tc>
        <w:tc>
          <w:tcPr>
            <w:tcW w:w="440" w:type="pct"/>
            <w:noWrap w:val="0"/>
            <w:vAlign w:val="center"/>
          </w:tcPr>
          <w:p w14:paraId="1A10FA9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0.0318 </w:t>
            </w:r>
          </w:p>
        </w:tc>
        <w:tc>
          <w:tcPr>
            <w:tcW w:w="439" w:type="pct"/>
            <w:noWrap w:val="0"/>
            <w:vAlign w:val="center"/>
          </w:tcPr>
          <w:p w14:paraId="22CF9C5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0.0241 </w:t>
            </w:r>
          </w:p>
        </w:tc>
        <w:tc>
          <w:tcPr>
            <w:tcW w:w="439" w:type="pct"/>
            <w:noWrap w:val="0"/>
            <w:vAlign w:val="center"/>
          </w:tcPr>
          <w:p w14:paraId="3D2C930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0.0208 </w:t>
            </w:r>
          </w:p>
        </w:tc>
        <w:tc>
          <w:tcPr>
            <w:tcW w:w="444" w:type="pct"/>
            <w:noWrap w:val="0"/>
            <w:vAlign w:val="center"/>
          </w:tcPr>
          <w:p w14:paraId="4883C7C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0.0186 </w:t>
            </w:r>
          </w:p>
        </w:tc>
      </w:tr>
      <w:tr w14:paraId="4719014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4" w:hRule="exact"/>
          <w:jc w:val="center"/>
        </w:trPr>
        <w:tc>
          <w:tcPr>
            <w:tcW w:w="656" w:type="pct"/>
            <w:noWrap w:val="0"/>
            <w:vAlign w:val="center"/>
          </w:tcPr>
          <w:p w14:paraId="7B2C895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4～10月</w:t>
            </w:r>
          </w:p>
        </w:tc>
        <w:tc>
          <w:tcPr>
            <w:tcW w:w="544" w:type="pct"/>
            <w:noWrap w:val="0"/>
            <w:vAlign w:val="center"/>
          </w:tcPr>
          <w:p w14:paraId="7DD3270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0.049 </w:t>
            </w:r>
          </w:p>
        </w:tc>
        <w:tc>
          <w:tcPr>
            <w:tcW w:w="362" w:type="pct"/>
            <w:noWrap w:val="0"/>
            <w:vAlign w:val="center"/>
          </w:tcPr>
          <w:p w14:paraId="245CA26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0.40</w:t>
            </w:r>
          </w:p>
        </w:tc>
        <w:tc>
          <w:tcPr>
            <w:tcW w:w="382" w:type="pct"/>
            <w:noWrap w:val="0"/>
            <w:vAlign w:val="center"/>
          </w:tcPr>
          <w:p w14:paraId="23F5B8D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2.0</w:t>
            </w:r>
          </w:p>
        </w:tc>
        <w:tc>
          <w:tcPr>
            <w:tcW w:w="410" w:type="pct"/>
            <w:noWrap w:val="0"/>
            <w:vAlign w:val="center"/>
          </w:tcPr>
          <w:p w14:paraId="1D1CE95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0.0847 </w:t>
            </w:r>
          </w:p>
        </w:tc>
        <w:tc>
          <w:tcPr>
            <w:tcW w:w="439" w:type="pct"/>
            <w:noWrap w:val="0"/>
            <w:vAlign w:val="center"/>
          </w:tcPr>
          <w:p w14:paraId="01F6F44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0.0750 </w:t>
            </w:r>
          </w:p>
        </w:tc>
        <w:tc>
          <w:tcPr>
            <w:tcW w:w="439" w:type="pct"/>
            <w:noWrap w:val="0"/>
            <w:vAlign w:val="center"/>
          </w:tcPr>
          <w:p w14:paraId="610C2D8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0.0640 </w:t>
            </w:r>
          </w:p>
        </w:tc>
        <w:tc>
          <w:tcPr>
            <w:tcW w:w="440" w:type="pct"/>
            <w:noWrap w:val="0"/>
            <w:vAlign w:val="center"/>
          </w:tcPr>
          <w:p w14:paraId="429B868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0.0462 </w:t>
            </w:r>
          </w:p>
        </w:tc>
        <w:tc>
          <w:tcPr>
            <w:tcW w:w="439" w:type="pct"/>
            <w:noWrap w:val="0"/>
            <w:vAlign w:val="center"/>
          </w:tcPr>
          <w:p w14:paraId="16539EC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0.0322 </w:t>
            </w:r>
          </w:p>
        </w:tc>
        <w:tc>
          <w:tcPr>
            <w:tcW w:w="439" w:type="pct"/>
            <w:noWrap w:val="0"/>
            <w:vAlign w:val="center"/>
          </w:tcPr>
          <w:p w14:paraId="13C1816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0.0260 </w:t>
            </w:r>
          </w:p>
        </w:tc>
        <w:tc>
          <w:tcPr>
            <w:tcW w:w="444" w:type="pct"/>
            <w:noWrap w:val="0"/>
            <w:vAlign w:val="center"/>
          </w:tcPr>
          <w:p w14:paraId="44262D9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0.0218 </w:t>
            </w:r>
          </w:p>
        </w:tc>
      </w:tr>
      <w:tr w14:paraId="0B245A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4" w:hRule="exact"/>
          <w:jc w:val="center"/>
        </w:trPr>
        <w:tc>
          <w:tcPr>
            <w:tcW w:w="656" w:type="pct"/>
            <w:noWrap w:val="0"/>
            <w:vAlign w:val="center"/>
          </w:tcPr>
          <w:p w14:paraId="509B860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11～3月</w:t>
            </w:r>
          </w:p>
        </w:tc>
        <w:tc>
          <w:tcPr>
            <w:tcW w:w="544" w:type="pct"/>
            <w:noWrap w:val="0"/>
            <w:vAlign w:val="center"/>
          </w:tcPr>
          <w:p w14:paraId="6705878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0.011 </w:t>
            </w:r>
          </w:p>
        </w:tc>
        <w:tc>
          <w:tcPr>
            <w:tcW w:w="362" w:type="pct"/>
            <w:noWrap w:val="0"/>
            <w:vAlign w:val="center"/>
          </w:tcPr>
          <w:p w14:paraId="0E35F78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0.46</w:t>
            </w:r>
          </w:p>
        </w:tc>
        <w:tc>
          <w:tcPr>
            <w:tcW w:w="382" w:type="pct"/>
            <w:noWrap w:val="0"/>
            <w:vAlign w:val="center"/>
          </w:tcPr>
          <w:p w14:paraId="2A40D25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2.0</w:t>
            </w:r>
          </w:p>
        </w:tc>
        <w:tc>
          <w:tcPr>
            <w:tcW w:w="410" w:type="pct"/>
            <w:noWrap w:val="0"/>
            <w:vAlign w:val="center"/>
          </w:tcPr>
          <w:p w14:paraId="65FEB8F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0.0209 </w:t>
            </w:r>
          </w:p>
        </w:tc>
        <w:tc>
          <w:tcPr>
            <w:tcW w:w="439" w:type="pct"/>
            <w:noWrap w:val="0"/>
            <w:vAlign w:val="center"/>
          </w:tcPr>
          <w:p w14:paraId="3B74DC0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0.0182 </w:t>
            </w:r>
          </w:p>
        </w:tc>
        <w:tc>
          <w:tcPr>
            <w:tcW w:w="439" w:type="pct"/>
            <w:noWrap w:val="0"/>
            <w:vAlign w:val="center"/>
          </w:tcPr>
          <w:p w14:paraId="16FA08B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0.0152 </w:t>
            </w:r>
          </w:p>
        </w:tc>
        <w:tc>
          <w:tcPr>
            <w:tcW w:w="440" w:type="pct"/>
            <w:noWrap w:val="0"/>
            <w:vAlign w:val="center"/>
          </w:tcPr>
          <w:p w14:paraId="2F4D01D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0.0104 </w:t>
            </w:r>
          </w:p>
        </w:tc>
        <w:tc>
          <w:tcPr>
            <w:tcW w:w="439" w:type="pct"/>
            <w:noWrap w:val="0"/>
            <w:vAlign w:val="center"/>
          </w:tcPr>
          <w:p w14:paraId="0E08340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0.0068 </w:t>
            </w:r>
          </w:p>
        </w:tc>
        <w:tc>
          <w:tcPr>
            <w:tcW w:w="439" w:type="pct"/>
            <w:noWrap w:val="0"/>
            <w:vAlign w:val="center"/>
          </w:tcPr>
          <w:p w14:paraId="4041A92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0.0053 </w:t>
            </w:r>
          </w:p>
        </w:tc>
        <w:tc>
          <w:tcPr>
            <w:tcW w:w="444" w:type="pct"/>
            <w:noWrap w:val="0"/>
            <w:vAlign w:val="center"/>
          </w:tcPr>
          <w:p w14:paraId="5BB3F11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sz w:val="22"/>
                <w:szCs w:val="22"/>
              </w:rPr>
            </w:pPr>
            <w:r>
              <w:rPr>
                <w:rFonts w:hint="default" w:ascii="Arial" w:hAnsi="Arial" w:cs="Arial"/>
                <w:sz w:val="22"/>
                <w:szCs w:val="22"/>
              </w:rPr>
              <w:t xml:space="preserve">0.0043 </w:t>
            </w:r>
          </w:p>
        </w:tc>
      </w:tr>
    </w:tbl>
    <w:p w14:paraId="0D3EC8B0">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default" w:ascii="Arial" w:hAnsi="宋体" w:cs="Arial"/>
          <w:sz w:val="26"/>
          <w:szCs w:val="26"/>
          <w:lang w:val="en-US" w:eastAsia="zh-CN"/>
        </w:rPr>
      </w:pPr>
    </w:p>
    <w:p w14:paraId="20A78660">
      <w:pPr>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outlineLvl w:val="9"/>
        <w:rPr>
          <w:rFonts w:hint="default" w:ascii="Arial" w:hAnsi="Arial" w:eastAsia="宋体" w:cs="Arial"/>
          <w:b/>
          <w:bCs w:val="0"/>
          <w:snapToGrid w:val="0"/>
          <w:kern w:val="0"/>
          <w:sz w:val="26"/>
          <w:szCs w:val="26"/>
          <w:lang w:val="en-US" w:eastAsia="zh-CN"/>
        </w:rPr>
      </w:pPr>
      <w:r>
        <w:rPr>
          <w:rFonts w:hint="eastAsia" w:ascii="Arial" w:hAnsi="Arial" w:cs="Arial"/>
          <w:b/>
          <w:bCs w:val="0"/>
          <w:snapToGrid w:val="0"/>
          <w:kern w:val="0"/>
          <w:sz w:val="26"/>
          <w:szCs w:val="26"/>
          <w:lang w:eastAsia="zh-CN"/>
        </w:rPr>
        <w:t>（</w:t>
      </w:r>
      <w:r>
        <w:rPr>
          <w:rFonts w:hint="eastAsia" w:ascii="Arial" w:hAnsi="Arial" w:cs="Arial"/>
          <w:b/>
          <w:bCs w:val="0"/>
          <w:snapToGrid w:val="0"/>
          <w:kern w:val="0"/>
          <w:sz w:val="26"/>
          <w:szCs w:val="26"/>
          <w:lang w:val="en-US" w:eastAsia="zh-CN"/>
        </w:rPr>
        <w:t>2）对上游区域水资源的影响</w:t>
      </w:r>
    </w:p>
    <w:p w14:paraId="3BF60781">
      <w:pPr>
        <w:spacing w:line="460" w:lineRule="exact"/>
        <w:ind w:firstLine="520" w:firstLineChars="200"/>
        <w:rPr>
          <w:rFonts w:hint="eastAsia" w:ascii="Arial" w:hAnsi="宋体" w:cs="Arial"/>
          <w:sz w:val="26"/>
          <w:szCs w:val="26"/>
        </w:rPr>
      </w:pPr>
      <w:r>
        <w:rPr>
          <w:rFonts w:hint="eastAsia" w:ascii="Arial" w:hAnsi="宋体" w:cs="Arial"/>
          <w:sz w:val="26"/>
          <w:szCs w:val="26"/>
          <w:lang w:eastAsia="zh-CN"/>
        </w:rPr>
        <w:t>海螺沟水库具有多年调节能力，</w:t>
      </w:r>
      <w:r>
        <w:rPr>
          <w:rFonts w:hint="eastAsia" w:ascii="Arial" w:hAnsi="宋体" w:cs="Arial"/>
          <w:sz w:val="26"/>
          <w:szCs w:val="26"/>
        </w:rPr>
        <w:t>建成后</w:t>
      </w:r>
      <w:r>
        <w:rPr>
          <w:rFonts w:hint="eastAsia" w:ascii="Arial" w:hAnsi="宋体" w:cs="Arial"/>
          <w:sz w:val="26"/>
          <w:szCs w:val="26"/>
          <w:lang w:eastAsia="zh-CN"/>
        </w:rPr>
        <w:t>通过径流调节</w:t>
      </w:r>
      <w:r>
        <w:rPr>
          <w:rFonts w:hint="eastAsia" w:ascii="Arial" w:hAnsi="宋体" w:cs="Arial"/>
          <w:sz w:val="26"/>
          <w:szCs w:val="26"/>
        </w:rPr>
        <w:t>，一方面在汛期拦截了洪峰，减缓了洪峰速度，解决了因水资源时空分配不均</w:t>
      </w:r>
      <w:r>
        <w:rPr>
          <w:rFonts w:hint="eastAsia" w:ascii="Arial" w:hAnsi="宋体" w:cs="Arial"/>
          <w:sz w:val="26"/>
          <w:szCs w:val="26"/>
          <w:lang w:eastAsia="zh-CN"/>
        </w:rPr>
        <w:t>；</w:t>
      </w:r>
      <w:r>
        <w:rPr>
          <w:rFonts w:hint="eastAsia" w:ascii="Arial" w:hAnsi="宋体" w:cs="Arial"/>
          <w:sz w:val="26"/>
          <w:szCs w:val="26"/>
        </w:rPr>
        <w:t>另一方面，坝址上游来水量仅占</w:t>
      </w:r>
      <w:r>
        <w:rPr>
          <w:rFonts w:hint="eastAsia" w:ascii="Arial" w:hAnsi="宋体" w:cs="Arial"/>
          <w:sz w:val="26"/>
          <w:szCs w:val="26"/>
          <w:lang w:eastAsia="zh-CN"/>
        </w:rPr>
        <w:t>海螺沟</w:t>
      </w:r>
      <w:r>
        <w:rPr>
          <w:rFonts w:hint="eastAsia" w:ascii="Arial" w:hAnsi="宋体" w:cs="Arial"/>
          <w:sz w:val="26"/>
          <w:szCs w:val="26"/>
        </w:rPr>
        <w:t>流域水量的</w:t>
      </w:r>
      <w:r>
        <w:rPr>
          <w:rFonts w:hint="eastAsia" w:ascii="Arial" w:hAnsi="宋体" w:cs="Arial"/>
          <w:sz w:val="26"/>
          <w:szCs w:val="26"/>
          <w:lang w:val="en-US" w:eastAsia="zh-CN"/>
        </w:rPr>
        <w:t>57.29</w:t>
      </w:r>
      <w:r>
        <w:rPr>
          <w:rFonts w:ascii="Arial" w:hAnsi="宋体" w:cs="Arial"/>
          <w:sz w:val="26"/>
          <w:szCs w:val="26"/>
        </w:rPr>
        <w:t>%</w:t>
      </w:r>
      <w:r>
        <w:rPr>
          <w:rFonts w:hint="eastAsia" w:ascii="Arial" w:hAnsi="宋体" w:cs="Arial"/>
          <w:sz w:val="26"/>
          <w:szCs w:val="26"/>
        </w:rPr>
        <w:t>，河道中流量很小，水库通过蓄水及一定的调蓄作用，可将丰水期的部分水量调蓄至枯水期利用，在一定程度上也增加枯水期坝址上游的水资源利用量</w:t>
      </w:r>
      <w:r>
        <w:rPr>
          <w:rFonts w:hint="eastAsia"/>
          <w:sz w:val="26"/>
          <w:szCs w:val="26"/>
        </w:rPr>
        <w:t>，起到蓄丰补枯的作用</w:t>
      </w:r>
      <w:r>
        <w:rPr>
          <w:rFonts w:hint="eastAsia" w:ascii="Arial" w:hAnsi="宋体" w:cs="Arial"/>
          <w:sz w:val="26"/>
          <w:szCs w:val="26"/>
        </w:rPr>
        <w:t>。</w:t>
      </w:r>
    </w:p>
    <w:p w14:paraId="396B357C">
      <w:pPr>
        <w:spacing w:line="460" w:lineRule="exact"/>
        <w:ind w:firstLine="520" w:firstLineChars="200"/>
        <w:rPr>
          <w:rFonts w:hint="eastAsia" w:ascii="Arial" w:hAnsi="宋体" w:cs="Arial"/>
          <w:sz w:val="26"/>
          <w:szCs w:val="26"/>
        </w:rPr>
      </w:pPr>
      <w:r>
        <w:rPr>
          <w:rFonts w:hint="eastAsia" w:ascii="Arial" w:hAnsi="宋体" w:cs="Arial"/>
          <w:sz w:val="26"/>
          <w:szCs w:val="26"/>
        </w:rPr>
        <w:t>水库蓄水后，库区水位明显增高，越靠近坝前，库内流速越小；越靠近库尾，流速越接近天然河流；水域环境总体从河道型转为缓流静水型。当水位达到正常蓄水位4</w:t>
      </w:r>
      <w:r>
        <w:rPr>
          <w:rFonts w:hint="eastAsia" w:ascii="Arial" w:hAnsi="宋体" w:cs="Arial"/>
          <w:sz w:val="26"/>
          <w:szCs w:val="26"/>
          <w:lang w:val="en-US" w:eastAsia="zh-CN"/>
        </w:rPr>
        <w:t>20</w:t>
      </w:r>
      <w:r>
        <w:rPr>
          <w:rFonts w:ascii="Arial" w:hAnsi="宋体" w:cs="Arial"/>
          <w:sz w:val="26"/>
          <w:szCs w:val="26"/>
        </w:rPr>
        <w:t>m</w:t>
      </w:r>
      <w:r>
        <w:rPr>
          <w:rFonts w:hint="eastAsia" w:ascii="Arial" w:hAnsi="宋体" w:cs="Arial"/>
          <w:sz w:val="26"/>
          <w:szCs w:val="26"/>
        </w:rPr>
        <w:t>时，水库回水约</w:t>
      </w:r>
      <w:r>
        <w:rPr>
          <w:rFonts w:hint="eastAsia" w:ascii="Arial" w:hAnsi="宋体" w:cs="Arial"/>
          <w:sz w:val="26"/>
          <w:szCs w:val="26"/>
          <w:lang w:val="en-US" w:eastAsia="zh-CN"/>
        </w:rPr>
        <w:t>0.55</w:t>
      </w:r>
      <w:r>
        <w:rPr>
          <w:rFonts w:ascii="Arial" w:hAnsi="宋体" w:cs="Arial"/>
          <w:sz w:val="26"/>
          <w:szCs w:val="26"/>
        </w:rPr>
        <w:t>km</w:t>
      </w:r>
      <w:r>
        <w:rPr>
          <w:rFonts w:hint="eastAsia" w:ascii="Arial" w:hAnsi="宋体" w:cs="Arial"/>
          <w:sz w:val="26"/>
          <w:szCs w:val="26"/>
        </w:rPr>
        <w:t>，库区水面面积为</w:t>
      </w:r>
      <w:r>
        <w:rPr>
          <w:rFonts w:hint="eastAsia" w:ascii="Arial" w:hAnsi="宋体" w:cs="Arial"/>
          <w:sz w:val="26"/>
          <w:szCs w:val="26"/>
          <w:lang w:val="en-US" w:eastAsia="zh-CN"/>
        </w:rPr>
        <w:t>8.3028</w:t>
      </w:r>
      <w:r>
        <w:rPr>
          <w:rFonts w:hint="eastAsia" w:ascii="Arial" w:hAnsi="宋体" w:cs="Arial"/>
          <w:sz w:val="26"/>
          <w:szCs w:val="26"/>
        </w:rPr>
        <w:t>万</w:t>
      </w:r>
      <w:r>
        <w:rPr>
          <w:rFonts w:ascii="Arial" w:hAnsi="宋体" w:cs="Arial"/>
          <w:sz w:val="26"/>
          <w:szCs w:val="26"/>
        </w:rPr>
        <w:t>m</w:t>
      </w:r>
      <w:r>
        <w:rPr>
          <w:rFonts w:ascii="Arial" w:hAnsi="宋体" w:cs="Arial"/>
          <w:sz w:val="26"/>
          <w:szCs w:val="26"/>
          <w:vertAlign w:val="superscript"/>
        </w:rPr>
        <w:t>2</w:t>
      </w:r>
      <w:r>
        <w:rPr>
          <w:rFonts w:hint="eastAsia" w:ascii="Arial" w:hAnsi="宋体" w:cs="Arial"/>
          <w:sz w:val="26"/>
          <w:szCs w:val="26"/>
        </w:rPr>
        <w:t>，库区滞洪能力明显增强。水库调度运行时，水位在正常蓄水位</w:t>
      </w:r>
      <w:r>
        <w:rPr>
          <w:rFonts w:hint="eastAsia" w:ascii="Arial" w:hAnsi="宋体" w:cs="Arial"/>
          <w:sz w:val="26"/>
          <w:szCs w:val="26"/>
          <w:lang w:val="en-US" w:eastAsia="zh-CN"/>
        </w:rPr>
        <w:t>420</w:t>
      </w:r>
      <w:r>
        <w:rPr>
          <w:rFonts w:ascii="Arial" w:hAnsi="宋体" w:cs="Arial"/>
          <w:sz w:val="26"/>
          <w:szCs w:val="26"/>
        </w:rPr>
        <w:t>m</w:t>
      </w:r>
      <w:r>
        <w:rPr>
          <w:rFonts w:hint="eastAsia" w:ascii="Arial" w:hAnsi="宋体" w:cs="Arial"/>
          <w:sz w:val="26"/>
          <w:szCs w:val="26"/>
        </w:rPr>
        <w:t>与死水位</w:t>
      </w:r>
      <w:r>
        <w:rPr>
          <w:rFonts w:hint="eastAsia" w:ascii="Arial" w:hAnsi="宋体" w:cs="Arial"/>
          <w:sz w:val="26"/>
          <w:szCs w:val="26"/>
          <w:lang w:val="en-US" w:eastAsia="zh-CN"/>
        </w:rPr>
        <w:t>407.5</w:t>
      </w:r>
      <w:r>
        <w:rPr>
          <w:rFonts w:ascii="Arial" w:hAnsi="宋体" w:cs="Arial"/>
          <w:sz w:val="26"/>
          <w:szCs w:val="26"/>
        </w:rPr>
        <w:t>m</w:t>
      </w:r>
      <w:r>
        <w:rPr>
          <w:rFonts w:hint="eastAsia" w:ascii="Arial" w:hAnsi="宋体" w:cs="Arial"/>
          <w:sz w:val="26"/>
          <w:szCs w:val="26"/>
        </w:rPr>
        <w:t>之间变化，水位变幅为</w:t>
      </w:r>
      <w:r>
        <w:rPr>
          <w:rFonts w:hint="eastAsia" w:ascii="Arial" w:hAnsi="宋体" w:cs="Arial"/>
          <w:sz w:val="26"/>
          <w:szCs w:val="26"/>
          <w:lang w:val="en-US" w:eastAsia="zh-CN"/>
        </w:rPr>
        <w:t>12.5</w:t>
      </w:r>
      <w:r>
        <w:rPr>
          <w:rFonts w:ascii="Arial" w:hAnsi="宋体" w:cs="Arial"/>
          <w:sz w:val="26"/>
          <w:szCs w:val="26"/>
        </w:rPr>
        <w:t>m</w:t>
      </w:r>
      <w:r>
        <w:rPr>
          <w:rFonts w:hint="eastAsia" w:ascii="Arial" w:hAnsi="宋体" w:cs="Arial"/>
          <w:sz w:val="26"/>
          <w:szCs w:val="26"/>
        </w:rPr>
        <w:t>，水库水位、水体体积、水面面积均产生相应变化，该变化仅限于坝址至库尾长约</w:t>
      </w:r>
      <w:r>
        <w:rPr>
          <w:rFonts w:hint="eastAsia" w:ascii="Arial" w:hAnsi="宋体" w:cs="Arial"/>
          <w:sz w:val="26"/>
          <w:szCs w:val="26"/>
          <w:lang w:val="en-US" w:eastAsia="zh-CN"/>
        </w:rPr>
        <w:t>0.55</w:t>
      </w:r>
      <w:r>
        <w:rPr>
          <w:rFonts w:ascii="Arial" w:hAnsi="宋体" w:cs="Arial"/>
          <w:sz w:val="26"/>
          <w:szCs w:val="26"/>
        </w:rPr>
        <w:t>km</w:t>
      </w:r>
      <w:r>
        <w:rPr>
          <w:rFonts w:hint="eastAsia" w:ascii="Arial" w:hAnsi="宋体" w:cs="Arial"/>
          <w:sz w:val="26"/>
          <w:szCs w:val="26"/>
        </w:rPr>
        <w:t>的回水河段。</w:t>
      </w:r>
    </w:p>
    <w:p w14:paraId="4D3DA89B">
      <w:pPr>
        <w:spacing w:line="460" w:lineRule="exact"/>
        <w:ind w:firstLine="520" w:firstLineChars="200"/>
        <w:rPr>
          <w:rFonts w:hint="eastAsia" w:ascii="Arial" w:hAnsi="宋体" w:cs="Arial"/>
          <w:sz w:val="26"/>
          <w:szCs w:val="26"/>
        </w:rPr>
      </w:pPr>
      <w:r>
        <w:rPr>
          <w:rFonts w:hint="eastAsia" w:ascii="Arial" w:hAnsi="宋体" w:cs="Arial"/>
          <w:sz w:val="26"/>
          <w:szCs w:val="26"/>
        </w:rPr>
        <w:t>水库建成后，不但减少了流域的洪水灾害的发生，而且形成的水域将会生长多种水生植物和动物，成为人工湿地，为湿地动、植物提供了生存条件。因此，建设项目修建形成的水库，一方面减少了流域的洪水灾害，另一方面也改善了上游区域的水生态环境，有利于上游区域生态环境的改善。</w:t>
      </w:r>
    </w:p>
    <w:p w14:paraId="5EA2A0B2">
      <w:pPr>
        <w:spacing w:line="460" w:lineRule="exact"/>
        <w:ind w:firstLine="392" w:firstLineChars="150"/>
        <w:rPr>
          <w:rFonts w:hint="eastAsia" w:ascii="Arial" w:hAnsi="宋体" w:cs="Arial"/>
          <w:b/>
          <w:sz w:val="26"/>
          <w:szCs w:val="26"/>
        </w:rPr>
      </w:pPr>
      <w:r>
        <w:rPr>
          <w:rFonts w:hint="eastAsia" w:ascii="Arial" w:hAnsi="宋体" w:cs="Arial"/>
          <w:b/>
          <w:sz w:val="26"/>
          <w:szCs w:val="26"/>
        </w:rPr>
        <w:t>（3）对下游区域水资源的影响</w:t>
      </w:r>
    </w:p>
    <w:p w14:paraId="42023C08">
      <w:pPr>
        <w:spacing w:line="460" w:lineRule="exact"/>
        <w:ind w:firstLine="520" w:firstLineChars="200"/>
        <w:rPr>
          <w:rFonts w:ascii="Arial" w:hAnsi="宋体" w:cs="Arial"/>
          <w:sz w:val="26"/>
          <w:szCs w:val="26"/>
        </w:rPr>
      </w:pPr>
      <w:r>
        <w:rPr>
          <w:rFonts w:hint="eastAsia" w:ascii="Arial" w:hAnsi="宋体" w:cs="Arial"/>
          <w:sz w:val="26"/>
          <w:szCs w:val="26"/>
        </w:rPr>
        <w:t>水库通过修建拦水坝将河道中的水蓄入水库，以满足灌区灌溉用水、石林景区居民生活用水、平山组团生产用水，由于拦水坝的修建，导致坝下河道中的水量减小，</w:t>
      </w:r>
      <w:r>
        <w:rPr>
          <w:rFonts w:hint="eastAsia" w:ascii="Arial" w:hAnsi="宋体" w:cs="Arial"/>
          <w:sz w:val="26"/>
          <w:szCs w:val="26"/>
          <w:lang w:eastAsia="zh-CN"/>
        </w:rPr>
        <w:t>改变了下游区域水资源量情势和大小分配，并</w:t>
      </w:r>
      <w:r>
        <w:rPr>
          <w:rFonts w:hint="eastAsia" w:ascii="Arial" w:hAnsi="宋体" w:cs="Arial"/>
          <w:sz w:val="26"/>
          <w:szCs w:val="26"/>
        </w:rPr>
        <w:t>在水库坝址～</w:t>
      </w:r>
      <w:r>
        <w:rPr>
          <w:rFonts w:hint="eastAsia" w:ascii="Arial" w:hAnsi="宋体" w:cs="Arial"/>
          <w:sz w:val="26"/>
          <w:szCs w:val="26"/>
          <w:lang w:eastAsia="zh-CN"/>
        </w:rPr>
        <w:t>高洞桥河</w:t>
      </w:r>
      <w:r>
        <w:rPr>
          <w:rFonts w:hint="eastAsia" w:ascii="Arial" w:hAnsi="宋体" w:cs="Arial"/>
          <w:sz w:val="26"/>
          <w:szCs w:val="26"/>
        </w:rPr>
        <w:t>河口形成长约</w:t>
      </w:r>
      <w:r>
        <w:rPr>
          <w:rFonts w:hint="eastAsia" w:ascii="Arial" w:hAnsi="宋体" w:cs="Arial"/>
          <w:sz w:val="26"/>
          <w:szCs w:val="26"/>
          <w:lang w:val="en-US" w:eastAsia="zh-CN"/>
        </w:rPr>
        <w:t>1.54</w:t>
      </w:r>
      <w:r>
        <w:rPr>
          <w:rFonts w:ascii="Arial" w:hAnsi="宋体" w:cs="Arial"/>
          <w:sz w:val="26"/>
          <w:szCs w:val="26"/>
        </w:rPr>
        <w:t>km</w:t>
      </w:r>
      <w:r>
        <w:rPr>
          <w:rFonts w:hint="eastAsia" w:ascii="Arial" w:hAnsi="宋体" w:cs="Arial"/>
          <w:sz w:val="26"/>
          <w:szCs w:val="26"/>
        </w:rPr>
        <w:t>的减水河段。</w:t>
      </w:r>
    </w:p>
    <w:p w14:paraId="0475E062">
      <w:pPr>
        <w:spacing w:line="460" w:lineRule="exact"/>
        <w:ind w:firstLine="520" w:firstLineChars="200"/>
        <w:rPr>
          <w:rFonts w:hint="default" w:ascii="Arial" w:hAnsi="宋体" w:eastAsia="宋体" w:cs="Arial"/>
          <w:sz w:val="26"/>
          <w:szCs w:val="26"/>
          <w:lang w:val="en-US" w:eastAsia="zh-CN"/>
        </w:rPr>
      </w:pPr>
      <w:r>
        <w:rPr>
          <w:rFonts w:hint="eastAsia" w:ascii="Arial" w:hAnsi="宋体" w:eastAsia="宋体" w:cs="Arial"/>
          <w:sz w:val="26"/>
          <w:szCs w:val="26"/>
          <w:lang w:eastAsia="zh-CN"/>
        </w:rPr>
        <w:t>在枯水期，坝址上游来水量仅占全年来水量的</w:t>
      </w:r>
      <w:r>
        <w:rPr>
          <w:rFonts w:hint="eastAsia" w:ascii="Arial" w:hAnsi="宋体" w:eastAsia="宋体" w:cs="Arial"/>
          <w:sz w:val="26"/>
          <w:szCs w:val="26"/>
          <w:lang w:val="en-US" w:eastAsia="zh-CN"/>
        </w:rPr>
        <w:t>7.78%，这部分水量江北海螺沟水库拦截利用。海螺沟水库坝址下游有1.44km</w:t>
      </w:r>
      <w:r>
        <w:rPr>
          <w:rFonts w:hint="eastAsia" w:ascii="Arial" w:hAnsi="宋体" w:eastAsia="宋体" w:cs="Arial"/>
          <w:sz w:val="26"/>
          <w:szCs w:val="26"/>
          <w:vertAlign w:val="superscript"/>
          <w:lang w:val="en-US" w:eastAsia="zh-CN"/>
        </w:rPr>
        <w:t>2</w:t>
      </w:r>
      <w:r>
        <w:rPr>
          <w:rFonts w:hint="eastAsia" w:ascii="Arial" w:hAnsi="宋体" w:eastAsia="宋体" w:cs="Arial"/>
          <w:sz w:val="26"/>
          <w:szCs w:val="26"/>
          <w:lang w:val="en-US" w:eastAsia="zh-CN"/>
        </w:rPr>
        <w:t>的集雨面积产流、汇流，维持坝址下游的水资源量，使得本项目取水对下游的影响得到一定的缓解。</w:t>
      </w:r>
    </w:p>
    <w:p w14:paraId="292E1187">
      <w:pPr>
        <w:spacing w:line="460" w:lineRule="exact"/>
        <w:ind w:firstLine="520" w:firstLineChars="200"/>
        <w:rPr>
          <w:rFonts w:hint="eastAsia" w:ascii="Arial" w:hAnsi="宋体" w:cs="Arial"/>
          <w:color w:val="auto"/>
          <w:sz w:val="26"/>
          <w:szCs w:val="26"/>
        </w:rPr>
      </w:pPr>
      <w:r>
        <w:rPr>
          <w:rFonts w:hint="eastAsia" w:ascii="Arial" w:hAnsi="宋体" w:cs="Arial"/>
          <w:color w:val="auto"/>
          <w:sz w:val="26"/>
          <w:szCs w:val="26"/>
        </w:rPr>
        <w:t>另一方面，为保证减水河段河道生态用水，本工程设计下泄必要的生态流量</w:t>
      </w:r>
      <w:r>
        <w:rPr>
          <w:rFonts w:hint="eastAsia" w:ascii="Arial" w:hAnsi="宋体" w:cs="Arial"/>
          <w:color w:val="auto"/>
          <w:sz w:val="26"/>
          <w:szCs w:val="26"/>
          <w:lang w:eastAsia="zh-CN"/>
        </w:rPr>
        <w:t>，</w:t>
      </w:r>
      <w:r>
        <w:rPr>
          <w:rFonts w:hint="eastAsia" w:ascii="Arial" w:hAnsi="宋体" w:cs="Arial"/>
          <w:color w:val="auto"/>
          <w:sz w:val="26"/>
          <w:szCs w:val="26"/>
        </w:rPr>
        <w:t>为</w:t>
      </w:r>
      <w:r>
        <w:rPr>
          <w:rFonts w:hint="eastAsia" w:ascii="Arial" w:hAnsi="宋体" w:cs="Arial"/>
          <w:color w:val="auto"/>
          <w:sz w:val="26"/>
          <w:szCs w:val="26"/>
          <w:lang w:val="en-US" w:eastAsia="zh-CN"/>
        </w:rPr>
        <w:t>0.005</w:t>
      </w:r>
      <w:r>
        <w:rPr>
          <w:rFonts w:ascii="Arial" w:hAnsi="宋体" w:cs="Arial"/>
          <w:color w:val="auto"/>
          <w:sz w:val="26"/>
          <w:szCs w:val="26"/>
        </w:rPr>
        <w:t>m</w:t>
      </w:r>
      <w:r>
        <w:rPr>
          <w:rFonts w:ascii="Arial" w:hAnsi="宋体" w:cs="Arial"/>
          <w:color w:val="auto"/>
          <w:sz w:val="26"/>
          <w:szCs w:val="26"/>
          <w:vertAlign w:val="superscript"/>
        </w:rPr>
        <w:t>3</w:t>
      </w:r>
      <w:r>
        <w:rPr>
          <w:rFonts w:ascii="Arial" w:hAnsi="宋体" w:cs="Arial"/>
          <w:color w:val="auto"/>
          <w:sz w:val="26"/>
          <w:szCs w:val="26"/>
        </w:rPr>
        <w:t>/s</w:t>
      </w:r>
      <w:r>
        <w:rPr>
          <w:rFonts w:hint="eastAsia" w:ascii="Arial" w:hAnsi="宋体" w:cs="Arial"/>
          <w:color w:val="auto"/>
          <w:sz w:val="26"/>
          <w:szCs w:val="26"/>
        </w:rPr>
        <w:t>，</w:t>
      </w:r>
      <w:r>
        <w:rPr>
          <w:rFonts w:ascii="Arial" w:hAnsi="宋体" w:cs="Arial"/>
          <w:color w:val="auto"/>
          <w:sz w:val="26"/>
          <w:szCs w:val="26"/>
        </w:rPr>
        <w:t>多年平均生态流量为</w:t>
      </w:r>
      <w:r>
        <w:rPr>
          <w:rFonts w:hint="eastAsia" w:ascii="Arial" w:hAnsi="宋体" w:cs="Arial"/>
          <w:color w:val="auto"/>
          <w:sz w:val="26"/>
          <w:szCs w:val="26"/>
          <w:lang w:val="en-US" w:eastAsia="zh-CN"/>
        </w:rPr>
        <w:t>15.75</w:t>
      </w:r>
      <w:r>
        <w:rPr>
          <w:rFonts w:ascii="Arial" w:hAnsi="宋体" w:cs="Arial"/>
          <w:color w:val="auto"/>
          <w:sz w:val="26"/>
          <w:szCs w:val="26"/>
        </w:rPr>
        <w:t>万m</w:t>
      </w:r>
      <w:r>
        <w:rPr>
          <w:rFonts w:ascii="Arial" w:hAnsi="宋体" w:cs="Arial"/>
          <w:color w:val="auto"/>
          <w:sz w:val="26"/>
          <w:szCs w:val="26"/>
          <w:vertAlign w:val="superscript"/>
        </w:rPr>
        <w:t>3</w:t>
      </w:r>
      <w:r>
        <w:rPr>
          <w:rFonts w:hint="eastAsia" w:ascii="Arial" w:hAnsi="宋体" w:cs="Arial"/>
          <w:color w:val="auto"/>
          <w:sz w:val="26"/>
          <w:szCs w:val="26"/>
        </w:rPr>
        <w:t>，能够满足坝址下游减水河段的用水需求。</w:t>
      </w:r>
      <w:r>
        <w:rPr>
          <w:rFonts w:hint="eastAsia" w:ascii="Arial" w:hAnsi="宋体" w:cs="Arial"/>
          <w:color w:val="auto"/>
          <w:sz w:val="26"/>
          <w:szCs w:val="26"/>
          <w:lang w:eastAsia="zh-CN"/>
        </w:rPr>
        <w:t>海螺沟</w:t>
      </w:r>
      <w:r>
        <w:rPr>
          <w:rFonts w:hint="eastAsia" w:ascii="Arial" w:hAnsi="宋体" w:cs="Arial"/>
          <w:color w:val="auto"/>
          <w:sz w:val="26"/>
          <w:szCs w:val="26"/>
        </w:rPr>
        <w:t>水库建成后，坝后多年平均弃水量为</w:t>
      </w:r>
      <w:r>
        <w:rPr>
          <w:rFonts w:hint="eastAsia" w:ascii="Arial" w:hAnsi="宋体" w:cs="Arial"/>
          <w:color w:val="auto"/>
          <w:sz w:val="26"/>
          <w:szCs w:val="26"/>
          <w:lang w:val="en-US" w:eastAsia="zh-CN"/>
        </w:rPr>
        <w:t>12.97</w:t>
      </w:r>
      <w:r>
        <w:rPr>
          <w:rFonts w:hint="eastAsia" w:ascii="Arial" w:hAnsi="宋体" w:cs="Arial"/>
          <w:color w:val="auto"/>
          <w:sz w:val="26"/>
          <w:szCs w:val="26"/>
        </w:rPr>
        <w:t>万</w:t>
      </w:r>
      <w:r>
        <w:rPr>
          <w:rFonts w:ascii="Arial" w:hAnsi="宋体" w:cs="Arial"/>
          <w:color w:val="auto"/>
          <w:sz w:val="26"/>
          <w:szCs w:val="26"/>
        </w:rPr>
        <w:t>m</w:t>
      </w:r>
      <w:r>
        <w:rPr>
          <w:rFonts w:ascii="Arial" w:hAnsi="宋体" w:cs="Arial"/>
          <w:color w:val="auto"/>
          <w:sz w:val="26"/>
          <w:szCs w:val="26"/>
          <w:vertAlign w:val="superscript"/>
        </w:rPr>
        <w:t>3</w:t>
      </w:r>
      <w:r>
        <w:rPr>
          <w:rFonts w:hint="eastAsia" w:ascii="Arial" w:hAnsi="宋体" w:cs="Arial"/>
          <w:color w:val="auto"/>
          <w:sz w:val="26"/>
          <w:szCs w:val="26"/>
        </w:rPr>
        <w:t>，加之生态泄流量</w:t>
      </w:r>
      <w:r>
        <w:rPr>
          <w:rFonts w:hint="eastAsia" w:ascii="Arial" w:hAnsi="宋体" w:cs="Arial"/>
          <w:color w:val="auto"/>
          <w:sz w:val="26"/>
          <w:szCs w:val="26"/>
          <w:lang w:eastAsia="zh-CN"/>
        </w:rPr>
        <w:t>的下泄</w:t>
      </w:r>
      <w:r>
        <w:rPr>
          <w:rFonts w:hint="eastAsia" w:ascii="Arial" w:hAnsi="宋体" w:cs="Arial"/>
          <w:color w:val="auto"/>
          <w:sz w:val="26"/>
          <w:szCs w:val="26"/>
        </w:rPr>
        <w:t>，</w:t>
      </w:r>
      <w:r>
        <w:rPr>
          <w:rFonts w:hint="eastAsia" w:ascii="Arial" w:hAnsi="宋体" w:cs="Arial"/>
          <w:color w:val="auto"/>
          <w:sz w:val="26"/>
          <w:szCs w:val="26"/>
          <w:lang w:eastAsia="zh-CN"/>
        </w:rPr>
        <w:t>海螺沟</w:t>
      </w:r>
      <w:r>
        <w:rPr>
          <w:rFonts w:hint="eastAsia" w:ascii="Arial" w:hAnsi="宋体" w:cs="Arial"/>
          <w:color w:val="auto"/>
          <w:sz w:val="26"/>
          <w:szCs w:val="26"/>
        </w:rPr>
        <w:t>水库工程取水对下游减水河段的不利影响可得到进一步的缓解。</w:t>
      </w:r>
    </w:p>
    <w:p w14:paraId="1FFFD076">
      <w:pPr>
        <w:spacing w:line="460" w:lineRule="exact"/>
        <w:ind w:firstLine="520" w:firstLineChars="200"/>
        <w:rPr>
          <w:rFonts w:hint="eastAsia" w:ascii="Arial" w:hAnsi="宋体" w:cs="Arial"/>
          <w:sz w:val="26"/>
          <w:szCs w:val="26"/>
        </w:rPr>
      </w:pPr>
      <w:r>
        <w:rPr>
          <w:rFonts w:hint="eastAsia" w:ascii="Arial" w:hAnsi="宋体" w:cs="Arial"/>
          <w:sz w:val="26"/>
          <w:szCs w:val="26"/>
        </w:rPr>
        <w:t>水库投运后，经水库调节，坝址下游</w:t>
      </w:r>
      <w:r>
        <w:rPr>
          <w:rFonts w:hint="eastAsia" w:ascii="Arial" w:hAnsi="宋体" w:cs="Arial"/>
          <w:sz w:val="26"/>
          <w:szCs w:val="26"/>
          <w:lang w:val="en-US" w:eastAsia="zh-CN"/>
        </w:rPr>
        <w:t>1.54</w:t>
      </w:r>
      <w:r>
        <w:rPr>
          <w:rFonts w:ascii="Arial" w:hAnsi="宋体" w:cs="Arial"/>
          <w:sz w:val="26"/>
          <w:szCs w:val="26"/>
        </w:rPr>
        <w:t>km</w:t>
      </w:r>
      <w:r>
        <w:rPr>
          <w:rFonts w:hint="eastAsia" w:ascii="Arial" w:hAnsi="宋体" w:cs="Arial"/>
          <w:sz w:val="26"/>
          <w:szCs w:val="26"/>
        </w:rPr>
        <w:t>减水河段内，枯水期下泄生态流量可在一定程度上改善坝后河段减水现象，对坝后生态用水有利；丰水期雨量丰沛，进入坝后河道的地表径流流量增加，同时下放生态流量后，可进一步减缓对生态用水的影响。</w:t>
      </w:r>
    </w:p>
    <w:p w14:paraId="44336AFD">
      <w:pPr>
        <w:spacing w:line="460" w:lineRule="exact"/>
        <w:ind w:firstLine="522" w:firstLineChars="200"/>
        <w:rPr>
          <w:rFonts w:hint="eastAsia" w:ascii="Arial" w:hAnsi="宋体" w:cs="Arial"/>
          <w:sz w:val="26"/>
          <w:szCs w:val="26"/>
        </w:rPr>
      </w:pPr>
      <w:r>
        <w:rPr>
          <w:rFonts w:hint="eastAsia" w:ascii="Arial" w:hAnsi="Arial" w:eastAsia="宋体" w:cs="Arial"/>
          <w:b/>
          <w:bCs/>
          <w:color w:val="000000"/>
          <w:sz w:val="26"/>
          <w:szCs w:val="26"/>
          <w:lang w:val="en-US" w:eastAsia="zh-CN"/>
        </w:rPr>
        <w:t>6.5.2对水文情势的影响</w:t>
      </w:r>
    </w:p>
    <w:p w14:paraId="3A3406B8">
      <w:pPr>
        <w:spacing w:line="460" w:lineRule="exact"/>
        <w:ind w:firstLine="392" w:firstLineChars="150"/>
        <w:rPr>
          <w:rFonts w:hint="eastAsia" w:ascii="Arial" w:hAnsi="宋体" w:eastAsia="宋体" w:cs="Arial"/>
          <w:b/>
          <w:sz w:val="26"/>
          <w:szCs w:val="26"/>
          <w:lang w:eastAsia="zh-CN"/>
        </w:rPr>
      </w:pPr>
      <w:r>
        <w:rPr>
          <w:rFonts w:hint="eastAsia" w:ascii="Arial" w:hAnsi="宋体" w:cs="Arial"/>
          <w:b/>
          <w:sz w:val="26"/>
          <w:szCs w:val="26"/>
        </w:rPr>
        <w:t>（</w:t>
      </w:r>
      <w:r>
        <w:rPr>
          <w:rFonts w:hint="eastAsia" w:ascii="Arial" w:hAnsi="宋体" w:cs="Arial"/>
          <w:b/>
          <w:sz w:val="26"/>
          <w:szCs w:val="26"/>
          <w:lang w:val="en-US" w:eastAsia="zh-CN"/>
        </w:rPr>
        <w:t>1</w:t>
      </w:r>
      <w:r>
        <w:rPr>
          <w:rFonts w:hint="eastAsia" w:ascii="Arial" w:hAnsi="宋体" w:cs="Arial"/>
          <w:b/>
          <w:sz w:val="26"/>
          <w:szCs w:val="26"/>
        </w:rPr>
        <w:t>）</w:t>
      </w:r>
      <w:r>
        <w:rPr>
          <w:rFonts w:hint="eastAsia" w:ascii="Arial" w:hAnsi="宋体" w:cs="Arial"/>
          <w:b/>
          <w:sz w:val="26"/>
          <w:szCs w:val="26"/>
          <w:lang w:eastAsia="zh-CN"/>
        </w:rPr>
        <w:t>初期蓄水对水文情势的影响</w:t>
      </w:r>
    </w:p>
    <w:p w14:paraId="51146E65">
      <w:pPr>
        <w:spacing w:line="460" w:lineRule="exact"/>
        <w:ind w:firstLine="520" w:firstLineChars="200"/>
        <w:rPr>
          <w:rFonts w:hint="default" w:ascii="Arial" w:hAnsi="Arial" w:eastAsia="宋体" w:cs="Arial"/>
          <w:bCs/>
          <w:sz w:val="26"/>
          <w:szCs w:val="26"/>
          <w:lang w:val="en-US" w:eastAsia="zh-CN"/>
        </w:rPr>
      </w:pPr>
      <w:r>
        <w:rPr>
          <w:rFonts w:hint="eastAsia" w:ascii="Arial" w:hAnsi="Arial" w:cs="Arial"/>
          <w:bCs/>
          <w:sz w:val="26"/>
          <w:szCs w:val="26"/>
        </w:rPr>
        <w:t>在</w:t>
      </w:r>
      <w:r>
        <w:rPr>
          <w:rFonts w:hint="eastAsia" w:ascii="Arial" w:hAnsi="Arial" w:cs="Arial"/>
          <w:bCs/>
          <w:sz w:val="26"/>
          <w:szCs w:val="26"/>
          <w:lang w:eastAsia="zh-CN"/>
        </w:rPr>
        <w:t>海螺沟</w:t>
      </w:r>
      <w:r>
        <w:rPr>
          <w:rFonts w:hint="eastAsia" w:ascii="Arial" w:hAnsi="Arial" w:cs="Arial"/>
          <w:bCs/>
          <w:sz w:val="26"/>
          <w:szCs w:val="26"/>
        </w:rPr>
        <w:t>水库建成后，</w:t>
      </w:r>
      <w:r>
        <w:rPr>
          <w:rFonts w:hint="eastAsia" w:ascii="Arial" w:hAnsi="Arial" w:cs="Arial"/>
          <w:bCs/>
          <w:sz w:val="26"/>
          <w:szCs w:val="26"/>
          <w:lang w:eastAsia="zh-CN"/>
        </w:rPr>
        <w:t>当坝址来水小于生态流量</w:t>
      </w:r>
      <w:r>
        <w:rPr>
          <w:rFonts w:hint="eastAsia" w:ascii="Arial" w:hAnsi="Arial" w:cs="Arial"/>
          <w:bCs/>
          <w:sz w:val="26"/>
          <w:szCs w:val="26"/>
          <w:lang w:val="en-US" w:eastAsia="zh-CN"/>
        </w:rPr>
        <w:t>0.005m</w:t>
      </w:r>
      <w:r>
        <w:rPr>
          <w:rFonts w:hint="eastAsia" w:ascii="Arial" w:hAnsi="Arial" w:cs="Arial"/>
          <w:bCs/>
          <w:sz w:val="26"/>
          <w:szCs w:val="26"/>
          <w:vertAlign w:val="superscript"/>
          <w:lang w:val="en-US" w:eastAsia="zh-CN"/>
        </w:rPr>
        <w:t>3</w:t>
      </w:r>
      <w:r>
        <w:rPr>
          <w:rFonts w:hint="eastAsia" w:ascii="Arial" w:hAnsi="Arial" w:cs="Arial"/>
          <w:bCs/>
          <w:sz w:val="26"/>
          <w:szCs w:val="26"/>
          <w:lang w:val="en-US" w:eastAsia="zh-CN"/>
        </w:rPr>
        <w:t>/s时不蓄水，保证下游河道的生态用水；</w:t>
      </w:r>
      <w:r>
        <w:rPr>
          <w:rFonts w:hint="eastAsia" w:ascii="Arial" w:hAnsi="Arial" w:cs="Arial"/>
          <w:bCs/>
          <w:sz w:val="26"/>
          <w:szCs w:val="26"/>
        </w:rPr>
        <w:t>封堵导流设施蓄水至死水位</w:t>
      </w:r>
      <w:r>
        <w:rPr>
          <w:rFonts w:hint="eastAsia" w:ascii="Arial" w:hAnsi="Arial" w:cs="Arial"/>
          <w:bCs/>
          <w:sz w:val="26"/>
          <w:szCs w:val="26"/>
          <w:lang w:val="en-US" w:eastAsia="zh-CN"/>
        </w:rPr>
        <w:t>407.5</w:t>
      </w:r>
      <w:r>
        <w:rPr>
          <w:rFonts w:ascii="Arial" w:hAnsi="Arial" w:cs="Arial"/>
          <w:bCs/>
          <w:sz w:val="26"/>
          <w:szCs w:val="26"/>
        </w:rPr>
        <w:t>m</w:t>
      </w:r>
      <w:r>
        <w:rPr>
          <w:rFonts w:hint="eastAsia" w:ascii="Arial" w:hAnsi="Arial" w:cs="Arial"/>
          <w:bCs/>
          <w:sz w:val="26"/>
          <w:szCs w:val="26"/>
          <w:lang w:eastAsia="zh-CN"/>
        </w:rPr>
        <w:t>时</w:t>
      </w:r>
      <w:r>
        <w:rPr>
          <w:rFonts w:hint="eastAsia" w:ascii="Arial" w:hAnsi="Arial" w:cs="Arial"/>
          <w:bCs/>
          <w:sz w:val="26"/>
          <w:szCs w:val="26"/>
        </w:rPr>
        <w:t>，</w:t>
      </w:r>
      <w:r>
        <w:rPr>
          <w:rFonts w:hint="eastAsia" w:ascii="Arial" w:hAnsi="Arial" w:cs="Arial"/>
          <w:bCs/>
          <w:sz w:val="26"/>
          <w:szCs w:val="26"/>
          <w:lang w:eastAsia="zh-CN"/>
        </w:rPr>
        <w:t>通过水泵抽水来满足下游河道的生态蓄水；当水位在</w:t>
      </w:r>
      <w:r>
        <w:rPr>
          <w:rFonts w:hint="eastAsia" w:ascii="Arial" w:hAnsi="Arial" w:cs="Arial"/>
          <w:bCs/>
          <w:sz w:val="26"/>
          <w:szCs w:val="26"/>
          <w:lang w:val="en-US" w:eastAsia="zh-CN"/>
        </w:rPr>
        <w:t>407.5m~420m之间时，直接通过生</w:t>
      </w:r>
      <w:r>
        <w:rPr>
          <w:rFonts w:hint="eastAsia" w:ascii="Arial" w:hAnsi="Arial" w:eastAsia="宋体" w:cs="Arial"/>
          <w:bCs/>
          <w:sz w:val="26"/>
          <w:szCs w:val="26"/>
          <w:lang w:val="en-US" w:eastAsia="zh-CN"/>
        </w:rPr>
        <w:t>态放流管下泄生态流量。</w:t>
      </w:r>
      <w:r>
        <w:rPr>
          <w:rFonts w:hint="eastAsia" w:ascii="Arial" w:hAnsi="Arial" w:eastAsia="宋体" w:cs="Arial"/>
          <w:bCs/>
          <w:sz w:val="26"/>
          <w:szCs w:val="26"/>
          <w:lang w:eastAsia="zh-CN"/>
        </w:rPr>
        <w:t>海螺沟</w:t>
      </w:r>
      <w:r>
        <w:rPr>
          <w:rFonts w:hint="default" w:ascii="Arial" w:hAnsi="Arial" w:eastAsia="宋体" w:cs="Arial"/>
          <w:bCs/>
          <w:sz w:val="26"/>
          <w:szCs w:val="26"/>
        </w:rPr>
        <w:t>水库生态放水采用内径D100×8mm钢管，管道长15.0m，从取水闸阀房中控制分水，沿消力池左边墙外侧埋地铺设，出口置于护坦上放水。</w:t>
      </w:r>
    </w:p>
    <w:p w14:paraId="06173B5D">
      <w:pPr>
        <w:spacing w:line="460" w:lineRule="exact"/>
        <w:ind w:firstLine="520" w:firstLineChars="200"/>
        <w:rPr>
          <w:rFonts w:hint="eastAsia" w:ascii="Arial" w:hAnsi="Arial" w:eastAsia="宋体" w:cs="Arial"/>
          <w:bCs/>
          <w:sz w:val="26"/>
          <w:szCs w:val="26"/>
        </w:rPr>
      </w:pPr>
      <w:r>
        <w:rPr>
          <w:rFonts w:hint="eastAsia" w:ascii="Arial" w:hAnsi="Arial" w:eastAsia="宋体" w:cs="Arial"/>
          <w:bCs/>
          <w:sz w:val="26"/>
          <w:szCs w:val="26"/>
        </w:rPr>
        <w:t>在采取调度下泄生态流量措施后，不会造成坝后</w:t>
      </w:r>
      <w:r>
        <w:rPr>
          <w:rFonts w:hint="eastAsia" w:ascii="Arial" w:hAnsi="Arial" w:eastAsia="宋体" w:cs="Arial"/>
          <w:bCs/>
          <w:sz w:val="26"/>
          <w:szCs w:val="26"/>
          <w:lang w:eastAsia="zh-CN"/>
        </w:rPr>
        <w:t>河段流量骤减，也不会形成</w:t>
      </w:r>
      <w:r>
        <w:rPr>
          <w:rFonts w:hint="eastAsia" w:ascii="Arial" w:hAnsi="Arial" w:eastAsia="宋体" w:cs="Arial"/>
          <w:bCs/>
          <w:sz w:val="26"/>
          <w:szCs w:val="26"/>
        </w:rPr>
        <w:t>脱水河段</w:t>
      </w:r>
      <w:r>
        <w:rPr>
          <w:rFonts w:hint="eastAsia" w:ascii="Arial" w:hAnsi="Arial" w:eastAsia="宋体" w:cs="Arial"/>
          <w:bCs/>
          <w:sz w:val="26"/>
          <w:szCs w:val="26"/>
          <w:lang w:eastAsia="zh-CN"/>
        </w:rPr>
        <w:t>，对坝后水文情势影响小</w:t>
      </w:r>
      <w:r>
        <w:rPr>
          <w:rFonts w:hint="eastAsia" w:ascii="Arial" w:hAnsi="Arial" w:eastAsia="宋体" w:cs="Arial"/>
          <w:bCs/>
          <w:sz w:val="26"/>
          <w:szCs w:val="26"/>
        </w:rPr>
        <w:t>。</w:t>
      </w:r>
    </w:p>
    <w:p w14:paraId="522B4622">
      <w:pPr>
        <w:spacing w:line="460" w:lineRule="exact"/>
        <w:ind w:firstLine="520" w:firstLineChars="200"/>
        <w:rPr>
          <w:rFonts w:hint="eastAsia" w:ascii="Arial" w:hAnsi="Arial" w:eastAsia="宋体" w:cs="Arial"/>
          <w:bCs/>
          <w:sz w:val="26"/>
          <w:szCs w:val="26"/>
        </w:rPr>
      </w:pPr>
      <w:r>
        <w:rPr>
          <w:rFonts w:hint="eastAsia" w:ascii="Arial" w:hAnsi="Arial" w:eastAsia="宋体" w:cs="Arial"/>
          <w:bCs/>
          <w:sz w:val="26"/>
          <w:szCs w:val="26"/>
        </w:rPr>
        <w:t>此外，由于初期蓄水过程中，岸边原有松散物质易冲入水库，影响水质，因此评价要求蓄水前清库工作严格按照《长江三峡水库库底固体废物清理技术规范》</w:t>
      </w:r>
      <w:r>
        <w:rPr>
          <w:rFonts w:hint="eastAsia" w:ascii="Arial" w:hAnsi="Arial" w:eastAsia="宋体" w:cs="Arial"/>
          <w:bCs/>
          <w:sz w:val="26"/>
          <w:szCs w:val="26"/>
          <w:lang w:eastAsia="zh-CN"/>
        </w:rPr>
        <w:t>（</w:t>
      </w:r>
      <w:r>
        <w:rPr>
          <w:rFonts w:hint="eastAsia" w:ascii="Arial" w:hAnsi="Arial" w:eastAsia="宋体" w:cs="Arial"/>
          <w:bCs/>
          <w:sz w:val="26"/>
          <w:szCs w:val="26"/>
        </w:rPr>
        <w:t>HJ85-2005</w:t>
      </w:r>
      <w:r>
        <w:rPr>
          <w:rFonts w:hint="eastAsia" w:ascii="Arial" w:hAnsi="Arial" w:eastAsia="宋体" w:cs="Arial"/>
          <w:bCs/>
          <w:sz w:val="26"/>
          <w:szCs w:val="26"/>
          <w:lang w:eastAsia="zh-CN"/>
        </w:rPr>
        <w:t>）</w:t>
      </w:r>
      <w:r>
        <w:rPr>
          <w:rFonts w:hint="eastAsia" w:ascii="Arial" w:hAnsi="Arial" w:eastAsia="宋体" w:cs="Arial"/>
          <w:bCs/>
          <w:sz w:val="26"/>
          <w:szCs w:val="26"/>
        </w:rPr>
        <w:t>、《长江三峡水库库底卫生清理规范》</w:t>
      </w:r>
      <w:r>
        <w:rPr>
          <w:rFonts w:hint="eastAsia" w:ascii="Arial" w:hAnsi="Arial" w:eastAsia="宋体" w:cs="Arial"/>
          <w:bCs/>
          <w:sz w:val="26"/>
          <w:szCs w:val="26"/>
          <w:lang w:eastAsia="zh-CN"/>
        </w:rPr>
        <w:t>（</w:t>
      </w:r>
      <w:r>
        <w:rPr>
          <w:rFonts w:hint="eastAsia" w:ascii="Arial" w:hAnsi="Arial" w:eastAsia="宋体" w:cs="Arial"/>
          <w:bCs/>
          <w:sz w:val="26"/>
          <w:szCs w:val="26"/>
        </w:rPr>
        <w:t>卫疾控发</w:t>
      </w:r>
      <w:r>
        <w:rPr>
          <w:rFonts w:hint="eastAsia" w:ascii="宋体" w:hAnsi="宋体" w:eastAsia="宋体" w:cs="宋体"/>
          <w:bCs/>
          <w:sz w:val="26"/>
          <w:szCs w:val="26"/>
        </w:rPr>
        <w:t>〔</w:t>
      </w:r>
      <w:r>
        <w:rPr>
          <w:rFonts w:hint="eastAsia" w:ascii="Arial" w:hAnsi="Arial" w:eastAsia="宋体" w:cs="Arial"/>
          <w:bCs/>
          <w:sz w:val="26"/>
          <w:szCs w:val="26"/>
        </w:rPr>
        <w:t>2005</w:t>
      </w:r>
      <w:r>
        <w:rPr>
          <w:rFonts w:hint="eastAsia" w:ascii="宋体" w:hAnsi="宋体" w:eastAsia="宋体" w:cs="宋体"/>
          <w:bCs/>
          <w:sz w:val="26"/>
          <w:szCs w:val="26"/>
        </w:rPr>
        <w:t>〕</w:t>
      </w:r>
      <w:r>
        <w:rPr>
          <w:rFonts w:hint="eastAsia" w:ascii="Arial" w:hAnsi="Arial" w:eastAsia="宋体" w:cs="Arial"/>
          <w:bCs/>
          <w:sz w:val="26"/>
          <w:szCs w:val="26"/>
        </w:rPr>
        <w:t>261号</w:t>
      </w:r>
      <w:r>
        <w:rPr>
          <w:rFonts w:hint="eastAsia" w:ascii="Arial" w:hAnsi="Arial" w:eastAsia="宋体" w:cs="Arial"/>
          <w:bCs/>
          <w:sz w:val="26"/>
          <w:szCs w:val="26"/>
          <w:lang w:eastAsia="zh-CN"/>
        </w:rPr>
        <w:t>）</w:t>
      </w:r>
      <w:r>
        <w:rPr>
          <w:rFonts w:hint="eastAsia" w:ascii="Arial" w:hAnsi="Arial" w:eastAsia="宋体" w:cs="Arial"/>
          <w:bCs/>
          <w:sz w:val="26"/>
          <w:szCs w:val="26"/>
        </w:rPr>
        <w:t>等要求进行；蓄水后，及时对库区漂浮物进行打捞，避免影响水库水质。</w:t>
      </w:r>
    </w:p>
    <w:p w14:paraId="49B4660D">
      <w:pPr>
        <w:spacing w:line="460" w:lineRule="exact"/>
        <w:ind w:firstLine="392" w:firstLineChars="150"/>
        <w:rPr>
          <w:rFonts w:hint="eastAsia" w:ascii="Arial" w:hAnsi="宋体" w:eastAsia="宋体" w:cs="Arial"/>
          <w:b/>
          <w:sz w:val="26"/>
          <w:szCs w:val="26"/>
          <w:lang w:eastAsia="zh-CN"/>
        </w:rPr>
      </w:pPr>
      <w:r>
        <w:rPr>
          <w:rFonts w:hint="eastAsia" w:ascii="Arial" w:hAnsi="宋体" w:cs="Arial"/>
          <w:b/>
          <w:sz w:val="26"/>
          <w:szCs w:val="26"/>
        </w:rPr>
        <w:t>（</w:t>
      </w:r>
      <w:r>
        <w:rPr>
          <w:rFonts w:hint="eastAsia" w:ascii="Arial" w:hAnsi="宋体" w:cs="Arial"/>
          <w:b/>
          <w:sz w:val="26"/>
          <w:szCs w:val="26"/>
          <w:lang w:val="en-US" w:eastAsia="zh-CN"/>
        </w:rPr>
        <w:t>2</w:t>
      </w:r>
      <w:r>
        <w:rPr>
          <w:rFonts w:hint="eastAsia" w:ascii="Arial" w:hAnsi="宋体" w:cs="Arial"/>
          <w:b/>
          <w:sz w:val="26"/>
          <w:szCs w:val="26"/>
        </w:rPr>
        <w:t>）</w:t>
      </w:r>
      <w:r>
        <w:rPr>
          <w:rFonts w:hint="eastAsia" w:ascii="Arial" w:hAnsi="宋体" w:cs="Arial"/>
          <w:b/>
          <w:sz w:val="26"/>
          <w:szCs w:val="26"/>
          <w:lang w:eastAsia="zh-CN"/>
        </w:rPr>
        <w:t>运营期对水文情势的影响</w:t>
      </w:r>
    </w:p>
    <w:p w14:paraId="64408900">
      <w:pPr>
        <w:spacing w:line="460" w:lineRule="exact"/>
        <w:ind w:firstLine="522" w:firstLineChars="200"/>
        <w:rPr>
          <w:rFonts w:hint="eastAsia" w:ascii="Arial" w:hAnsi="Arial" w:eastAsia="宋体" w:cs="Arial"/>
          <w:b/>
          <w:bCs/>
          <w:color w:val="000000"/>
          <w:sz w:val="26"/>
          <w:szCs w:val="26"/>
          <w:lang w:val="en-US" w:eastAsia="zh-CN"/>
        </w:rPr>
      </w:pPr>
      <w:r>
        <w:rPr>
          <w:rFonts w:hint="eastAsia" w:ascii="Arial" w:hAnsi="Arial" w:eastAsia="宋体" w:cs="Arial"/>
          <w:b/>
          <w:bCs/>
          <w:color w:val="000000"/>
          <w:sz w:val="26"/>
          <w:szCs w:val="26"/>
          <w:lang w:val="en-US" w:eastAsia="zh-CN"/>
        </w:rPr>
        <w:t>①库区水文情势影响分析</w:t>
      </w:r>
    </w:p>
    <w:p w14:paraId="5EC6B791">
      <w:pPr>
        <w:spacing w:line="460" w:lineRule="exact"/>
        <w:ind w:firstLine="520" w:firstLineChars="200"/>
        <w:rPr>
          <w:rFonts w:hint="eastAsia" w:ascii="Arial" w:hAnsi="Arial" w:eastAsia="宋体" w:cs="Arial"/>
          <w:bCs/>
          <w:sz w:val="26"/>
          <w:szCs w:val="26"/>
          <w:lang w:eastAsia="zh-CN"/>
        </w:rPr>
      </w:pPr>
      <w:r>
        <w:rPr>
          <w:rFonts w:hint="eastAsia" w:ascii="Arial" w:hAnsi="Arial" w:eastAsia="宋体" w:cs="Arial"/>
          <w:bCs/>
          <w:sz w:val="26"/>
          <w:szCs w:val="26"/>
        </w:rPr>
        <w:t>水库蓄水水位达到正常蓄水位4</w:t>
      </w:r>
      <w:r>
        <w:rPr>
          <w:rFonts w:hint="eastAsia" w:ascii="Arial" w:hAnsi="Arial" w:eastAsia="宋体" w:cs="Arial"/>
          <w:bCs/>
          <w:sz w:val="26"/>
          <w:szCs w:val="26"/>
          <w:lang w:val="en-US" w:eastAsia="zh-CN"/>
        </w:rPr>
        <w:t>20</w:t>
      </w:r>
      <w:r>
        <w:rPr>
          <w:rFonts w:hint="eastAsia" w:ascii="Arial" w:hAnsi="Arial" w:eastAsia="宋体" w:cs="Arial"/>
          <w:bCs/>
          <w:sz w:val="26"/>
          <w:szCs w:val="26"/>
        </w:rPr>
        <w:t>m时，水库回水约</w:t>
      </w:r>
      <w:r>
        <w:rPr>
          <w:rFonts w:hint="eastAsia" w:ascii="Arial" w:hAnsi="Arial" w:eastAsia="宋体" w:cs="Arial"/>
          <w:bCs/>
          <w:sz w:val="26"/>
          <w:szCs w:val="26"/>
          <w:lang w:val="en-US" w:eastAsia="zh-CN"/>
        </w:rPr>
        <w:t>0.55</w:t>
      </w:r>
      <w:r>
        <w:rPr>
          <w:rFonts w:hint="eastAsia" w:ascii="Arial" w:hAnsi="Arial" w:eastAsia="宋体" w:cs="Arial"/>
          <w:bCs/>
          <w:sz w:val="26"/>
          <w:szCs w:val="26"/>
        </w:rPr>
        <w:t>km，</w:t>
      </w:r>
      <w:r>
        <w:rPr>
          <w:rFonts w:hint="eastAsia" w:ascii="Arial" w:hAnsi="Arial" w:eastAsia="宋体" w:cs="Arial"/>
          <w:bCs/>
          <w:sz w:val="26"/>
          <w:szCs w:val="26"/>
          <w:lang w:eastAsia="zh-CN"/>
        </w:rPr>
        <w:t>各典型断面水文情势变化情况详见表</w:t>
      </w:r>
      <w:r>
        <w:rPr>
          <w:rFonts w:hint="eastAsia" w:ascii="Arial" w:hAnsi="Arial" w:eastAsia="宋体" w:cs="Arial"/>
          <w:bCs/>
          <w:sz w:val="26"/>
          <w:szCs w:val="26"/>
          <w:lang w:val="en-US" w:eastAsia="zh-CN"/>
        </w:rPr>
        <w:t>6.5-2所示</w:t>
      </w:r>
      <w:r>
        <w:rPr>
          <w:rFonts w:hint="eastAsia" w:ascii="Arial" w:hAnsi="Arial" w:eastAsia="宋体" w:cs="Arial"/>
          <w:bCs/>
          <w:sz w:val="26"/>
          <w:szCs w:val="26"/>
          <w:lang w:eastAsia="zh-CN"/>
        </w:rPr>
        <w:t>。</w:t>
      </w:r>
    </w:p>
    <w:p w14:paraId="272FAFB1">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default" w:ascii="Arial" w:hAnsi="宋体" w:cs="Arial"/>
          <w:b/>
          <w:bCs/>
          <w:sz w:val="26"/>
          <w:szCs w:val="26"/>
          <w:lang w:val="en-US" w:eastAsia="zh-CN"/>
        </w:rPr>
      </w:pPr>
      <w:r>
        <w:rPr>
          <w:rFonts w:hint="eastAsia" w:ascii="Arial" w:hAnsi="宋体" w:cs="Arial"/>
          <w:b/>
          <w:bCs/>
          <w:sz w:val="26"/>
          <w:szCs w:val="26"/>
          <w:lang w:eastAsia="zh-CN"/>
        </w:rPr>
        <w:t>表</w:t>
      </w:r>
      <w:r>
        <w:rPr>
          <w:rFonts w:hint="eastAsia" w:ascii="Arial" w:hAnsi="宋体" w:cs="Arial"/>
          <w:b/>
          <w:bCs/>
          <w:sz w:val="26"/>
          <w:szCs w:val="26"/>
          <w:lang w:val="en-US" w:eastAsia="zh-CN"/>
        </w:rPr>
        <w:t>6.5-2 海螺沟水库库区各断面回水成果表  单位：m</w:t>
      </w:r>
    </w:p>
    <w:tbl>
      <w:tblPr>
        <w:tblStyle w:val="77"/>
        <w:tblW w:w="478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0"/>
        <w:gridCol w:w="830"/>
        <w:gridCol w:w="830"/>
        <w:gridCol w:w="830"/>
        <w:gridCol w:w="830"/>
        <w:gridCol w:w="967"/>
        <w:gridCol w:w="830"/>
        <w:gridCol w:w="967"/>
        <w:gridCol w:w="830"/>
        <w:gridCol w:w="963"/>
      </w:tblGrid>
      <w:tr w14:paraId="3E0654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455" w:type="pct"/>
            <w:vMerge w:val="restart"/>
            <w:noWrap w:val="0"/>
            <w:vAlign w:val="center"/>
          </w:tcPr>
          <w:p w14:paraId="6A18DCC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断面</w:t>
            </w:r>
          </w:p>
          <w:p w14:paraId="2AB9A34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编号</w:t>
            </w:r>
          </w:p>
        </w:tc>
        <w:tc>
          <w:tcPr>
            <w:tcW w:w="478" w:type="pct"/>
            <w:vMerge w:val="restart"/>
            <w:noWrap w:val="0"/>
            <w:vAlign w:val="center"/>
          </w:tcPr>
          <w:p w14:paraId="770DD65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里程</w:t>
            </w:r>
          </w:p>
        </w:tc>
        <w:tc>
          <w:tcPr>
            <w:tcW w:w="957" w:type="pct"/>
            <w:gridSpan w:val="2"/>
            <w:noWrap w:val="0"/>
            <w:vAlign w:val="center"/>
          </w:tcPr>
          <w:p w14:paraId="0C7BA5E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P=5%</w:t>
            </w:r>
            <w:r>
              <w:rPr>
                <w:rFonts w:hint="eastAsia" w:ascii="Arial" w:hAnsi="Arial" w:cs="Arial"/>
                <w:color w:val="auto"/>
                <w:sz w:val="18"/>
                <w:szCs w:val="18"/>
                <w:lang w:eastAsia="zh-CN"/>
              </w:rPr>
              <w:t>、</w:t>
            </w:r>
            <w:r>
              <w:rPr>
                <w:rFonts w:hint="default" w:ascii="Arial" w:hAnsi="Arial" w:cs="Arial"/>
                <w:color w:val="auto"/>
                <w:sz w:val="18"/>
                <w:szCs w:val="18"/>
              </w:rPr>
              <w:t>Qp=38.5m</w:t>
            </w:r>
            <w:r>
              <w:rPr>
                <w:rFonts w:hint="eastAsia" w:ascii="Arial" w:hAnsi="Arial" w:cs="Arial"/>
                <w:color w:val="auto"/>
                <w:sz w:val="18"/>
                <w:szCs w:val="18"/>
                <w:vertAlign w:val="superscript"/>
                <w:lang w:val="en-US" w:eastAsia="zh-CN"/>
              </w:rPr>
              <w:t>3</w:t>
            </w:r>
            <w:r>
              <w:rPr>
                <w:rFonts w:hint="default" w:ascii="Arial" w:hAnsi="Arial" w:cs="Arial"/>
                <w:color w:val="auto"/>
                <w:sz w:val="18"/>
                <w:szCs w:val="18"/>
              </w:rPr>
              <w:t>/s</w:t>
            </w:r>
          </w:p>
        </w:tc>
        <w:tc>
          <w:tcPr>
            <w:tcW w:w="1036" w:type="pct"/>
            <w:gridSpan w:val="2"/>
            <w:noWrap w:val="0"/>
            <w:vAlign w:val="center"/>
          </w:tcPr>
          <w:p w14:paraId="2B4D0D4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P=10%</w:t>
            </w:r>
            <w:r>
              <w:rPr>
                <w:rFonts w:hint="eastAsia" w:ascii="Arial" w:hAnsi="Arial" w:cs="Arial"/>
                <w:color w:val="auto"/>
                <w:sz w:val="18"/>
                <w:szCs w:val="18"/>
                <w:lang w:eastAsia="zh-CN"/>
              </w:rPr>
              <w:t>、</w:t>
            </w:r>
            <w:r>
              <w:rPr>
                <w:rFonts w:hint="default" w:ascii="Arial" w:hAnsi="Arial" w:cs="Arial"/>
                <w:color w:val="auto"/>
                <w:sz w:val="18"/>
                <w:szCs w:val="18"/>
              </w:rPr>
              <w:t>Qp=32.7m</w:t>
            </w:r>
            <w:r>
              <w:rPr>
                <w:rFonts w:hint="default" w:ascii="Arial" w:hAnsi="Arial" w:cs="Arial"/>
                <w:color w:val="auto"/>
                <w:sz w:val="18"/>
                <w:szCs w:val="18"/>
                <w:vertAlign w:val="superscript"/>
              </w:rPr>
              <w:t>3</w:t>
            </w:r>
            <w:r>
              <w:rPr>
                <w:rFonts w:hint="default" w:ascii="Arial" w:hAnsi="Arial" w:cs="Arial"/>
                <w:color w:val="auto"/>
                <w:sz w:val="18"/>
                <w:szCs w:val="18"/>
              </w:rPr>
              <w:t>/s</w:t>
            </w:r>
          </w:p>
        </w:tc>
        <w:tc>
          <w:tcPr>
            <w:tcW w:w="1036" w:type="pct"/>
            <w:gridSpan w:val="2"/>
            <w:noWrap w:val="0"/>
            <w:vAlign w:val="center"/>
          </w:tcPr>
          <w:p w14:paraId="65A3AE8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P=20%</w:t>
            </w:r>
            <w:r>
              <w:rPr>
                <w:rFonts w:hint="eastAsia" w:ascii="Arial" w:hAnsi="Arial" w:cs="Arial"/>
                <w:color w:val="auto"/>
                <w:sz w:val="18"/>
                <w:szCs w:val="18"/>
                <w:lang w:eastAsia="zh-CN"/>
              </w:rPr>
              <w:t>、</w:t>
            </w:r>
            <w:r>
              <w:rPr>
                <w:rFonts w:hint="default" w:ascii="Arial" w:hAnsi="Arial" w:cs="Arial"/>
                <w:color w:val="auto"/>
                <w:sz w:val="18"/>
                <w:szCs w:val="18"/>
              </w:rPr>
              <w:t>Qp=26.2m</w:t>
            </w:r>
            <w:r>
              <w:rPr>
                <w:rFonts w:hint="default" w:ascii="Arial" w:hAnsi="Arial" w:cs="Arial"/>
                <w:color w:val="auto"/>
                <w:sz w:val="18"/>
                <w:szCs w:val="18"/>
                <w:vertAlign w:val="superscript"/>
              </w:rPr>
              <w:t>3</w:t>
            </w:r>
            <w:r>
              <w:rPr>
                <w:rFonts w:hint="default" w:ascii="Arial" w:hAnsi="Arial" w:cs="Arial"/>
                <w:color w:val="auto"/>
                <w:sz w:val="18"/>
                <w:szCs w:val="18"/>
              </w:rPr>
              <w:t>/s</w:t>
            </w:r>
          </w:p>
        </w:tc>
        <w:tc>
          <w:tcPr>
            <w:tcW w:w="478" w:type="pct"/>
            <w:vMerge w:val="restart"/>
            <w:noWrap w:val="0"/>
            <w:vAlign w:val="center"/>
          </w:tcPr>
          <w:p w14:paraId="78F8292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河底</w:t>
            </w:r>
            <w:r>
              <w:rPr>
                <w:rFonts w:hint="eastAsia" w:ascii="Arial" w:hAnsi="Arial" w:cs="Arial"/>
                <w:color w:val="auto"/>
                <w:sz w:val="18"/>
                <w:szCs w:val="18"/>
                <w:lang w:eastAsia="zh-CN"/>
              </w:rPr>
              <w:t>天然</w:t>
            </w:r>
            <w:r>
              <w:rPr>
                <w:rFonts w:hint="default" w:ascii="Arial" w:hAnsi="Arial" w:cs="Arial"/>
                <w:color w:val="auto"/>
                <w:sz w:val="18"/>
                <w:szCs w:val="18"/>
              </w:rPr>
              <w:t>高程</w:t>
            </w:r>
          </w:p>
        </w:tc>
        <w:tc>
          <w:tcPr>
            <w:tcW w:w="555" w:type="pct"/>
            <w:vMerge w:val="restart"/>
            <w:noWrap w:val="0"/>
            <w:vAlign w:val="center"/>
          </w:tcPr>
          <w:p w14:paraId="3D1C3BD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淤积后河底高程</w:t>
            </w:r>
          </w:p>
        </w:tc>
      </w:tr>
      <w:tr w14:paraId="321C3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blHeader/>
          <w:jc w:val="center"/>
        </w:trPr>
        <w:tc>
          <w:tcPr>
            <w:tcW w:w="455" w:type="pct"/>
            <w:vMerge w:val="continue"/>
            <w:noWrap w:val="0"/>
            <w:vAlign w:val="center"/>
          </w:tcPr>
          <w:p w14:paraId="124E646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p>
        </w:tc>
        <w:tc>
          <w:tcPr>
            <w:tcW w:w="478" w:type="pct"/>
            <w:vMerge w:val="continue"/>
            <w:noWrap w:val="0"/>
            <w:vAlign w:val="center"/>
          </w:tcPr>
          <w:p w14:paraId="0A4A235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p>
        </w:tc>
        <w:tc>
          <w:tcPr>
            <w:tcW w:w="478" w:type="pct"/>
            <w:noWrap w:val="0"/>
            <w:vAlign w:val="center"/>
          </w:tcPr>
          <w:p w14:paraId="6B94560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建库前</w:t>
            </w:r>
          </w:p>
        </w:tc>
        <w:tc>
          <w:tcPr>
            <w:tcW w:w="478" w:type="pct"/>
            <w:noWrap w:val="0"/>
            <w:vAlign w:val="center"/>
          </w:tcPr>
          <w:p w14:paraId="3153945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建库后</w:t>
            </w:r>
          </w:p>
        </w:tc>
        <w:tc>
          <w:tcPr>
            <w:tcW w:w="478" w:type="pct"/>
            <w:noWrap w:val="0"/>
            <w:vAlign w:val="center"/>
          </w:tcPr>
          <w:p w14:paraId="38A9042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建库前</w:t>
            </w:r>
          </w:p>
        </w:tc>
        <w:tc>
          <w:tcPr>
            <w:tcW w:w="557" w:type="pct"/>
            <w:noWrap w:val="0"/>
            <w:vAlign w:val="center"/>
          </w:tcPr>
          <w:p w14:paraId="55D2BFD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建库后</w:t>
            </w:r>
          </w:p>
        </w:tc>
        <w:tc>
          <w:tcPr>
            <w:tcW w:w="478" w:type="pct"/>
            <w:noWrap w:val="0"/>
            <w:vAlign w:val="center"/>
          </w:tcPr>
          <w:p w14:paraId="618DB8A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建库前</w:t>
            </w:r>
          </w:p>
        </w:tc>
        <w:tc>
          <w:tcPr>
            <w:tcW w:w="557" w:type="pct"/>
            <w:noWrap w:val="0"/>
            <w:vAlign w:val="center"/>
          </w:tcPr>
          <w:p w14:paraId="24C7D06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建库后</w:t>
            </w:r>
          </w:p>
        </w:tc>
        <w:tc>
          <w:tcPr>
            <w:tcW w:w="478" w:type="pct"/>
            <w:vMerge w:val="continue"/>
            <w:noWrap w:val="0"/>
            <w:vAlign w:val="center"/>
          </w:tcPr>
          <w:p w14:paraId="326DFB1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p>
        </w:tc>
        <w:tc>
          <w:tcPr>
            <w:tcW w:w="555" w:type="pct"/>
            <w:vMerge w:val="continue"/>
            <w:noWrap w:val="0"/>
            <w:vAlign w:val="center"/>
          </w:tcPr>
          <w:p w14:paraId="5360B52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p>
        </w:tc>
      </w:tr>
      <w:tr w14:paraId="09EA4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2D280FE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kern w:val="0"/>
                <w:sz w:val="18"/>
                <w:szCs w:val="18"/>
              </w:rPr>
            </w:pPr>
            <w:r>
              <w:rPr>
                <w:rFonts w:hint="default" w:ascii="Arial" w:hAnsi="Arial" w:cs="Arial"/>
                <w:color w:val="auto"/>
                <w:sz w:val="18"/>
                <w:szCs w:val="18"/>
              </w:rPr>
              <w:t>CS1</w:t>
            </w:r>
          </w:p>
        </w:tc>
        <w:tc>
          <w:tcPr>
            <w:tcW w:w="478" w:type="pct"/>
            <w:noWrap w:val="0"/>
            <w:vAlign w:val="center"/>
          </w:tcPr>
          <w:p w14:paraId="12D9197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0+000</w:t>
            </w:r>
          </w:p>
        </w:tc>
        <w:tc>
          <w:tcPr>
            <w:tcW w:w="478" w:type="pct"/>
            <w:noWrap w:val="0"/>
            <w:vAlign w:val="center"/>
          </w:tcPr>
          <w:p w14:paraId="49AEEEB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402.22</w:t>
            </w:r>
          </w:p>
        </w:tc>
        <w:tc>
          <w:tcPr>
            <w:tcW w:w="478" w:type="pct"/>
            <w:noWrap w:val="0"/>
            <w:vAlign w:val="center"/>
          </w:tcPr>
          <w:p w14:paraId="680E114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2784BC5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402.11</w:t>
            </w:r>
          </w:p>
        </w:tc>
        <w:tc>
          <w:tcPr>
            <w:tcW w:w="557" w:type="pct"/>
            <w:noWrap w:val="0"/>
            <w:vAlign w:val="center"/>
          </w:tcPr>
          <w:p w14:paraId="7D0BC41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3696A4B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401.98</w:t>
            </w:r>
          </w:p>
        </w:tc>
        <w:tc>
          <w:tcPr>
            <w:tcW w:w="557" w:type="pct"/>
            <w:noWrap w:val="0"/>
            <w:vAlign w:val="center"/>
          </w:tcPr>
          <w:p w14:paraId="59CEF41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373DF64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399.3</w:t>
            </w:r>
          </w:p>
        </w:tc>
        <w:tc>
          <w:tcPr>
            <w:tcW w:w="555" w:type="pct"/>
            <w:noWrap w:val="0"/>
            <w:vAlign w:val="center"/>
          </w:tcPr>
          <w:p w14:paraId="708D74A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404.70 </w:t>
            </w:r>
          </w:p>
        </w:tc>
      </w:tr>
      <w:tr w14:paraId="77EE72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794D684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CS2</w:t>
            </w:r>
          </w:p>
        </w:tc>
        <w:tc>
          <w:tcPr>
            <w:tcW w:w="478" w:type="pct"/>
            <w:noWrap w:val="0"/>
            <w:vAlign w:val="center"/>
          </w:tcPr>
          <w:p w14:paraId="7D8BE9F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0+026</w:t>
            </w:r>
          </w:p>
        </w:tc>
        <w:tc>
          <w:tcPr>
            <w:tcW w:w="478" w:type="pct"/>
            <w:noWrap w:val="0"/>
            <w:vAlign w:val="center"/>
          </w:tcPr>
          <w:p w14:paraId="0A24C3B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402.38</w:t>
            </w:r>
          </w:p>
        </w:tc>
        <w:tc>
          <w:tcPr>
            <w:tcW w:w="478" w:type="pct"/>
            <w:noWrap w:val="0"/>
            <w:vAlign w:val="center"/>
          </w:tcPr>
          <w:p w14:paraId="1B1DEA8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42B13DE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402.28</w:t>
            </w:r>
          </w:p>
        </w:tc>
        <w:tc>
          <w:tcPr>
            <w:tcW w:w="557" w:type="pct"/>
            <w:noWrap w:val="0"/>
            <w:vAlign w:val="center"/>
          </w:tcPr>
          <w:p w14:paraId="74AD609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0E9F5A6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402.16</w:t>
            </w:r>
          </w:p>
        </w:tc>
        <w:tc>
          <w:tcPr>
            <w:tcW w:w="557" w:type="pct"/>
            <w:noWrap w:val="0"/>
            <w:vAlign w:val="center"/>
          </w:tcPr>
          <w:p w14:paraId="28711E8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1578D06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399.7</w:t>
            </w:r>
          </w:p>
        </w:tc>
        <w:tc>
          <w:tcPr>
            <w:tcW w:w="555" w:type="pct"/>
            <w:noWrap w:val="0"/>
            <w:vAlign w:val="center"/>
          </w:tcPr>
          <w:p w14:paraId="65AC532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405.57 </w:t>
            </w:r>
          </w:p>
        </w:tc>
      </w:tr>
      <w:tr w14:paraId="12BD4B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18667C9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CS3</w:t>
            </w:r>
          </w:p>
        </w:tc>
        <w:tc>
          <w:tcPr>
            <w:tcW w:w="478" w:type="pct"/>
            <w:noWrap w:val="0"/>
            <w:vAlign w:val="center"/>
          </w:tcPr>
          <w:p w14:paraId="565380F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0+079</w:t>
            </w:r>
          </w:p>
        </w:tc>
        <w:tc>
          <w:tcPr>
            <w:tcW w:w="478" w:type="pct"/>
            <w:noWrap w:val="0"/>
            <w:vAlign w:val="center"/>
          </w:tcPr>
          <w:p w14:paraId="54DEDCB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402.82</w:t>
            </w:r>
          </w:p>
        </w:tc>
        <w:tc>
          <w:tcPr>
            <w:tcW w:w="478" w:type="pct"/>
            <w:noWrap w:val="0"/>
            <w:vAlign w:val="center"/>
          </w:tcPr>
          <w:p w14:paraId="6D34C0D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0DFA716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402.73</w:t>
            </w:r>
          </w:p>
        </w:tc>
        <w:tc>
          <w:tcPr>
            <w:tcW w:w="557" w:type="pct"/>
            <w:noWrap w:val="0"/>
            <w:vAlign w:val="center"/>
          </w:tcPr>
          <w:p w14:paraId="40EA3B5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710C7F8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402.62</w:t>
            </w:r>
          </w:p>
        </w:tc>
        <w:tc>
          <w:tcPr>
            <w:tcW w:w="557" w:type="pct"/>
            <w:noWrap w:val="0"/>
            <w:vAlign w:val="center"/>
          </w:tcPr>
          <w:p w14:paraId="30990D4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2A16518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400.6</w:t>
            </w:r>
          </w:p>
        </w:tc>
        <w:tc>
          <w:tcPr>
            <w:tcW w:w="555" w:type="pct"/>
            <w:noWrap w:val="0"/>
            <w:vAlign w:val="center"/>
          </w:tcPr>
          <w:p w14:paraId="3061315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407.36 </w:t>
            </w:r>
          </w:p>
        </w:tc>
      </w:tr>
      <w:tr w14:paraId="519A62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53895F6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CS4</w:t>
            </w:r>
          </w:p>
        </w:tc>
        <w:tc>
          <w:tcPr>
            <w:tcW w:w="478" w:type="pct"/>
            <w:noWrap w:val="0"/>
            <w:vAlign w:val="center"/>
          </w:tcPr>
          <w:p w14:paraId="3C6A3FD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0+134</w:t>
            </w:r>
          </w:p>
        </w:tc>
        <w:tc>
          <w:tcPr>
            <w:tcW w:w="478" w:type="pct"/>
            <w:noWrap w:val="0"/>
            <w:vAlign w:val="center"/>
          </w:tcPr>
          <w:p w14:paraId="0F85478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403.51</w:t>
            </w:r>
          </w:p>
        </w:tc>
        <w:tc>
          <w:tcPr>
            <w:tcW w:w="478" w:type="pct"/>
            <w:noWrap w:val="0"/>
            <w:vAlign w:val="center"/>
          </w:tcPr>
          <w:p w14:paraId="5123F73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77DD524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403.42</w:t>
            </w:r>
          </w:p>
        </w:tc>
        <w:tc>
          <w:tcPr>
            <w:tcW w:w="557" w:type="pct"/>
            <w:noWrap w:val="0"/>
            <w:vAlign w:val="center"/>
          </w:tcPr>
          <w:p w14:paraId="3A06F2E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65997CD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403.32</w:t>
            </w:r>
          </w:p>
        </w:tc>
        <w:tc>
          <w:tcPr>
            <w:tcW w:w="557" w:type="pct"/>
            <w:noWrap w:val="0"/>
            <w:vAlign w:val="center"/>
          </w:tcPr>
          <w:p w14:paraId="2C1789A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7F8EC26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401.4</w:t>
            </w:r>
          </w:p>
        </w:tc>
        <w:tc>
          <w:tcPr>
            <w:tcW w:w="555" w:type="pct"/>
            <w:noWrap w:val="0"/>
            <w:vAlign w:val="center"/>
          </w:tcPr>
          <w:p w14:paraId="4D60AA7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409.21 </w:t>
            </w:r>
          </w:p>
        </w:tc>
      </w:tr>
      <w:tr w14:paraId="15B9FF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2C0852B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CS5</w:t>
            </w:r>
          </w:p>
        </w:tc>
        <w:tc>
          <w:tcPr>
            <w:tcW w:w="478" w:type="pct"/>
            <w:noWrap w:val="0"/>
            <w:vAlign w:val="center"/>
          </w:tcPr>
          <w:p w14:paraId="4FC7FA2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0+206</w:t>
            </w:r>
          </w:p>
        </w:tc>
        <w:tc>
          <w:tcPr>
            <w:tcW w:w="478" w:type="pct"/>
            <w:noWrap w:val="0"/>
            <w:vAlign w:val="center"/>
          </w:tcPr>
          <w:p w14:paraId="0712A94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404.14</w:t>
            </w:r>
          </w:p>
        </w:tc>
        <w:tc>
          <w:tcPr>
            <w:tcW w:w="478" w:type="pct"/>
            <w:noWrap w:val="0"/>
            <w:vAlign w:val="center"/>
          </w:tcPr>
          <w:p w14:paraId="0653270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13F9D48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404.06</w:t>
            </w:r>
          </w:p>
        </w:tc>
        <w:tc>
          <w:tcPr>
            <w:tcW w:w="557" w:type="pct"/>
            <w:noWrap w:val="0"/>
            <w:vAlign w:val="center"/>
          </w:tcPr>
          <w:p w14:paraId="11C83B6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42186E4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403.96</w:t>
            </w:r>
          </w:p>
        </w:tc>
        <w:tc>
          <w:tcPr>
            <w:tcW w:w="557" w:type="pct"/>
            <w:noWrap w:val="0"/>
            <w:vAlign w:val="center"/>
          </w:tcPr>
          <w:p w14:paraId="40FB00E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7FA6A92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402.3</w:t>
            </w:r>
          </w:p>
        </w:tc>
        <w:tc>
          <w:tcPr>
            <w:tcW w:w="555" w:type="pct"/>
            <w:noWrap w:val="0"/>
            <w:vAlign w:val="center"/>
          </w:tcPr>
          <w:p w14:paraId="72769654">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411.63 </w:t>
            </w:r>
          </w:p>
        </w:tc>
      </w:tr>
      <w:tr w14:paraId="10D476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455" w:type="pct"/>
            <w:noWrap w:val="0"/>
            <w:vAlign w:val="center"/>
          </w:tcPr>
          <w:p w14:paraId="4DA83A9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CS6</w:t>
            </w:r>
          </w:p>
        </w:tc>
        <w:tc>
          <w:tcPr>
            <w:tcW w:w="478" w:type="pct"/>
            <w:noWrap w:val="0"/>
            <w:vAlign w:val="center"/>
          </w:tcPr>
          <w:p w14:paraId="0B4BEAB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0+295</w:t>
            </w:r>
          </w:p>
        </w:tc>
        <w:tc>
          <w:tcPr>
            <w:tcW w:w="478" w:type="pct"/>
            <w:noWrap w:val="0"/>
            <w:vAlign w:val="center"/>
          </w:tcPr>
          <w:p w14:paraId="51E7051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404.96</w:t>
            </w:r>
          </w:p>
        </w:tc>
        <w:tc>
          <w:tcPr>
            <w:tcW w:w="478" w:type="pct"/>
            <w:noWrap w:val="0"/>
            <w:vAlign w:val="center"/>
          </w:tcPr>
          <w:p w14:paraId="4468624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181E8AF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404.87</w:t>
            </w:r>
          </w:p>
        </w:tc>
        <w:tc>
          <w:tcPr>
            <w:tcW w:w="557" w:type="pct"/>
            <w:noWrap w:val="0"/>
            <w:vAlign w:val="center"/>
          </w:tcPr>
          <w:p w14:paraId="04EA45A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2C825A1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404.76</w:t>
            </w:r>
          </w:p>
        </w:tc>
        <w:tc>
          <w:tcPr>
            <w:tcW w:w="557" w:type="pct"/>
            <w:noWrap w:val="0"/>
            <w:vAlign w:val="center"/>
          </w:tcPr>
          <w:p w14:paraId="62BDAED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6844E88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402.82</w:t>
            </w:r>
          </w:p>
        </w:tc>
        <w:tc>
          <w:tcPr>
            <w:tcW w:w="555" w:type="pct"/>
            <w:noWrap w:val="0"/>
            <w:vAlign w:val="center"/>
          </w:tcPr>
          <w:p w14:paraId="737C96D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414.62 </w:t>
            </w:r>
          </w:p>
        </w:tc>
      </w:tr>
      <w:tr w14:paraId="6387EE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412AD89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CS7</w:t>
            </w:r>
          </w:p>
        </w:tc>
        <w:tc>
          <w:tcPr>
            <w:tcW w:w="478" w:type="pct"/>
            <w:noWrap w:val="0"/>
            <w:vAlign w:val="center"/>
          </w:tcPr>
          <w:p w14:paraId="4E79AE8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0+337</w:t>
            </w:r>
          </w:p>
        </w:tc>
        <w:tc>
          <w:tcPr>
            <w:tcW w:w="478" w:type="pct"/>
            <w:noWrap w:val="0"/>
            <w:vAlign w:val="center"/>
          </w:tcPr>
          <w:p w14:paraId="45BD8CA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405.98</w:t>
            </w:r>
          </w:p>
        </w:tc>
        <w:tc>
          <w:tcPr>
            <w:tcW w:w="478" w:type="pct"/>
            <w:noWrap w:val="0"/>
            <w:vAlign w:val="center"/>
          </w:tcPr>
          <w:p w14:paraId="7D88A8E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10118DB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405.89</w:t>
            </w:r>
          </w:p>
        </w:tc>
        <w:tc>
          <w:tcPr>
            <w:tcW w:w="557" w:type="pct"/>
            <w:noWrap w:val="0"/>
            <w:vAlign w:val="center"/>
          </w:tcPr>
          <w:p w14:paraId="7647143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7BE01EB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405.77</w:t>
            </w:r>
          </w:p>
        </w:tc>
        <w:tc>
          <w:tcPr>
            <w:tcW w:w="557" w:type="pct"/>
            <w:noWrap w:val="0"/>
            <w:vAlign w:val="center"/>
          </w:tcPr>
          <w:p w14:paraId="2DD1F60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0B43D95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403.8</w:t>
            </w:r>
          </w:p>
        </w:tc>
        <w:tc>
          <w:tcPr>
            <w:tcW w:w="555" w:type="pct"/>
            <w:noWrap w:val="0"/>
            <w:vAlign w:val="center"/>
          </w:tcPr>
          <w:p w14:paraId="7413DE1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416.03 </w:t>
            </w:r>
          </w:p>
        </w:tc>
      </w:tr>
      <w:tr w14:paraId="50A660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6AE85BB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CS8</w:t>
            </w:r>
          </w:p>
        </w:tc>
        <w:tc>
          <w:tcPr>
            <w:tcW w:w="478" w:type="pct"/>
            <w:noWrap w:val="0"/>
            <w:vAlign w:val="center"/>
          </w:tcPr>
          <w:p w14:paraId="7044282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0+370</w:t>
            </w:r>
          </w:p>
        </w:tc>
        <w:tc>
          <w:tcPr>
            <w:tcW w:w="478" w:type="pct"/>
            <w:noWrap w:val="0"/>
            <w:vAlign w:val="center"/>
          </w:tcPr>
          <w:p w14:paraId="3DE133A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407.33</w:t>
            </w:r>
          </w:p>
        </w:tc>
        <w:tc>
          <w:tcPr>
            <w:tcW w:w="478" w:type="pct"/>
            <w:noWrap w:val="0"/>
            <w:vAlign w:val="center"/>
          </w:tcPr>
          <w:p w14:paraId="4CCC3B0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4148A9F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407.2</w:t>
            </w:r>
          </w:p>
        </w:tc>
        <w:tc>
          <w:tcPr>
            <w:tcW w:w="557" w:type="pct"/>
            <w:noWrap w:val="0"/>
            <w:vAlign w:val="center"/>
          </w:tcPr>
          <w:p w14:paraId="32A8237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5F68DD8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407.05</w:t>
            </w:r>
          </w:p>
        </w:tc>
        <w:tc>
          <w:tcPr>
            <w:tcW w:w="557" w:type="pct"/>
            <w:noWrap w:val="0"/>
            <w:vAlign w:val="center"/>
          </w:tcPr>
          <w:p w14:paraId="3F4AAB3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64A44CE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405.6</w:t>
            </w:r>
          </w:p>
        </w:tc>
        <w:tc>
          <w:tcPr>
            <w:tcW w:w="555" w:type="pct"/>
            <w:noWrap w:val="0"/>
            <w:vAlign w:val="center"/>
          </w:tcPr>
          <w:p w14:paraId="4C369E6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417.14 </w:t>
            </w:r>
          </w:p>
        </w:tc>
      </w:tr>
      <w:tr w14:paraId="0AB20D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0B54A23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CS9</w:t>
            </w:r>
          </w:p>
        </w:tc>
        <w:tc>
          <w:tcPr>
            <w:tcW w:w="478" w:type="pct"/>
            <w:noWrap w:val="0"/>
            <w:vAlign w:val="center"/>
          </w:tcPr>
          <w:p w14:paraId="0ABB8C4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0+407</w:t>
            </w:r>
          </w:p>
        </w:tc>
        <w:tc>
          <w:tcPr>
            <w:tcW w:w="478" w:type="pct"/>
            <w:noWrap w:val="0"/>
            <w:vAlign w:val="center"/>
          </w:tcPr>
          <w:p w14:paraId="7AEC428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409.74</w:t>
            </w:r>
          </w:p>
        </w:tc>
        <w:tc>
          <w:tcPr>
            <w:tcW w:w="478" w:type="pct"/>
            <w:noWrap w:val="0"/>
            <w:vAlign w:val="center"/>
          </w:tcPr>
          <w:p w14:paraId="6111D23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72010CA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409.62</w:t>
            </w:r>
          </w:p>
        </w:tc>
        <w:tc>
          <w:tcPr>
            <w:tcW w:w="557" w:type="pct"/>
            <w:noWrap w:val="0"/>
            <w:vAlign w:val="center"/>
          </w:tcPr>
          <w:p w14:paraId="7D6C602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7701A93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409.46</w:t>
            </w:r>
          </w:p>
        </w:tc>
        <w:tc>
          <w:tcPr>
            <w:tcW w:w="557" w:type="pct"/>
            <w:noWrap w:val="0"/>
            <w:vAlign w:val="center"/>
          </w:tcPr>
          <w:p w14:paraId="7C86773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21DAC5E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407.7</w:t>
            </w:r>
          </w:p>
        </w:tc>
        <w:tc>
          <w:tcPr>
            <w:tcW w:w="555" w:type="pct"/>
            <w:noWrap w:val="0"/>
            <w:vAlign w:val="center"/>
          </w:tcPr>
          <w:p w14:paraId="79E0F64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418.38 </w:t>
            </w:r>
          </w:p>
        </w:tc>
      </w:tr>
      <w:tr w14:paraId="4CC683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3299F3C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CS10</w:t>
            </w:r>
          </w:p>
        </w:tc>
        <w:tc>
          <w:tcPr>
            <w:tcW w:w="478" w:type="pct"/>
            <w:noWrap w:val="0"/>
            <w:vAlign w:val="center"/>
          </w:tcPr>
          <w:p w14:paraId="79D3023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0+448</w:t>
            </w:r>
          </w:p>
        </w:tc>
        <w:tc>
          <w:tcPr>
            <w:tcW w:w="478" w:type="pct"/>
            <w:noWrap w:val="0"/>
            <w:vAlign w:val="center"/>
          </w:tcPr>
          <w:p w14:paraId="1EE826C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413.6</w:t>
            </w:r>
          </w:p>
        </w:tc>
        <w:tc>
          <w:tcPr>
            <w:tcW w:w="478" w:type="pct"/>
            <w:noWrap w:val="0"/>
            <w:vAlign w:val="center"/>
          </w:tcPr>
          <w:p w14:paraId="5A7BE6D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3527F7A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413.53</w:t>
            </w:r>
          </w:p>
        </w:tc>
        <w:tc>
          <w:tcPr>
            <w:tcW w:w="557" w:type="pct"/>
            <w:noWrap w:val="0"/>
            <w:vAlign w:val="center"/>
          </w:tcPr>
          <w:p w14:paraId="78301A8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389FCAA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413.43</w:t>
            </w:r>
          </w:p>
        </w:tc>
        <w:tc>
          <w:tcPr>
            <w:tcW w:w="557" w:type="pct"/>
            <w:noWrap w:val="0"/>
            <w:vAlign w:val="center"/>
          </w:tcPr>
          <w:p w14:paraId="136695B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492F89A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411</w:t>
            </w:r>
          </w:p>
        </w:tc>
        <w:tc>
          <w:tcPr>
            <w:tcW w:w="555" w:type="pct"/>
            <w:noWrap w:val="0"/>
            <w:vAlign w:val="center"/>
          </w:tcPr>
          <w:p w14:paraId="3766E23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419.76 </w:t>
            </w:r>
          </w:p>
        </w:tc>
      </w:tr>
      <w:tr w14:paraId="1A08CA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369A05F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CS11</w:t>
            </w:r>
          </w:p>
        </w:tc>
        <w:tc>
          <w:tcPr>
            <w:tcW w:w="478" w:type="pct"/>
            <w:noWrap w:val="0"/>
            <w:vAlign w:val="center"/>
          </w:tcPr>
          <w:p w14:paraId="4E227BA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0+475</w:t>
            </w:r>
          </w:p>
        </w:tc>
        <w:tc>
          <w:tcPr>
            <w:tcW w:w="478" w:type="pct"/>
            <w:noWrap w:val="0"/>
            <w:vAlign w:val="center"/>
          </w:tcPr>
          <w:p w14:paraId="721840A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416.54</w:t>
            </w:r>
          </w:p>
        </w:tc>
        <w:tc>
          <w:tcPr>
            <w:tcW w:w="478" w:type="pct"/>
            <w:noWrap w:val="0"/>
            <w:vAlign w:val="center"/>
          </w:tcPr>
          <w:p w14:paraId="3632330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421.3</w:t>
            </w:r>
          </w:p>
        </w:tc>
        <w:tc>
          <w:tcPr>
            <w:tcW w:w="478" w:type="pct"/>
            <w:noWrap w:val="0"/>
            <w:vAlign w:val="center"/>
          </w:tcPr>
          <w:p w14:paraId="5D0319C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416.45</w:t>
            </w:r>
          </w:p>
        </w:tc>
        <w:tc>
          <w:tcPr>
            <w:tcW w:w="557" w:type="pct"/>
            <w:noWrap w:val="0"/>
            <w:vAlign w:val="center"/>
          </w:tcPr>
          <w:p w14:paraId="2ADB445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421.13</w:t>
            </w:r>
          </w:p>
        </w:tc>
        <w:tc>
          <w:tcPr>
            <w:tcW w:w="478" w:type="pct"/>
            <w:noWrap w:val="0"/>
            <w:vAlign w:val="center"/>
          </w:tcPr>
          <w:p w14:paraId="3634AD3B">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416.33</w:t>
            </w:r>
          </w:p>
        </w:tc>
        <w:tc>
          <w:tcPr>
            <w:tcW w:w="557" w:type="pct"/>
            <w:noWrap w:val="0"/>
            <w:vAlign w:val="center"/>
          </w:tcPr>
          <w:p w14:paraId="449FAF7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420.96</w:t>
            </w:r>
          </w:p>
        </w:tc>
        <w:tc>
          <w:tcPr>
            <w:tcW w:w="478" w:type="pct"/>
            <w:noWrap w:val="0"/>
            <w:vAlign w:val="center"/>
          </w:tcPr>
          <w:p w14:paraId="65F126F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414.6</w:t>
            </w:r>
          </w:p>
        </w:tc>
        <w:tc>
          <w:tcPr>
            <w:tcW w:w="555" w:type="pct"/>
            <w:noWrap w:val="0"/>
            <w:vAlign w:val="center"/>
          </w:tcPr>
          <w:p w14:paraId="3803CF05">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420.67 </w:t>
            </w:r>
          </w:p>
        </w:tc>
      </w:tr>
      <w:tr w14:paraId="504108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31C8676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CS12</w:t>
            </w:r>
          </w:p>
        </w:tc>
        <w:tc>
          <w:tcPr>
            <w:tcW w:w="478" w:type="pct"/>
            <w:noWrap w:val="0"/>
            <w:vAlign w:val="center"/>
          </w:tcPr>
          <w:p w14:paraId="254EB6A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0+511</w:t>
            </w:r>
          </w:p>
        </w:tc>
        <w:tc>
          <w:tcPr>
            <w:tcW w:w="478" w:type="pct"/>
            <w:noWrap w:val="0"/>
            <w:vAlign w:val="center"/>
          </w:tcPr>
          <w:p w14:paraId="11B2CF7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422.81</w:t>
            </w:r>
          </w:p>
        </w:tc>
        <w:tc>
          <w:tcPr>
            <w:tcW w:w="478" w:type="pct"/>
            <w:noWrap w:val="0"/>
            <w:vAlign w:val="center"/>
          </w:tcPr>
          <w:p w14:paraId="44E8D45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422.93</w:t>
            </w:r>
          </w:p>
        </w:tc>
        <w:tc>
          <w:tcPr>
            <w:tcW w:w="478" w:type="pct"/>
            <w:noWrap w:val="0"/>
            <w:vAlign w:val="center"/>
          </w:tcPr>
          <w:p w14:paraId="4D2DED6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422.78</w:t>
            </w:r>
          </w:p>
        </w:tc>
        <w:tc>
          <w:tcPr>
            <w:tcW w:w="557" w:type="pct"/>
            <w:noWrap w:val="0"/>
            <w:vAlign w:val="center"/>
          </w:tcPr>
          <w:p w14:paraId="3480EB9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422.88</w:t>
            </w:r>
          </w:p>
        </w:tc>
        <w:tc>
          <w:tcPr>
            <w:tcW w:w="478" w:type="pct"/>
            <w:noWrap w:val="0"/>
            <w:vAlign w:val="center"/>
          </w:tcPr>
          <w:p w14:paraId="551E7E6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422.73</w:t>
            </w:r>
          </w:p>
        </w:tc>
        <w:tc>
          <w:tcPr>
            <w:tcW w:w="557" w:type="pct"/>
            <w:noWrap w:val="0"/>
            <w:vAlign w:val="center"/>
          </w:tcPr>
          <w:p w14:paraId="13D70D1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422.82</w:t>
            </w:r>
          </w:p>
        </w:tc>
        <w:tc>
          <w:tcPr>
            <w:tcW w:w="478" w:type="pct"/>
            <w:noWrap w:val="0"/>
            <w:vAlign w:val="center"/>
          </w:tcPr>
          <w:p w14:paraId="0C41405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421.88</w:t>
            </w:r>
          </w:p>
        </w:tc>
        <w:tc>
          <w:tcPr>
            <w:tcW w:w="555" w:type="pct"/>
            <w:noWrap w:val="0"/>
            <w:vAlign w:val="center"/>
          </w:tcPr>
          <w:p w14:paraId="028246F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421.88 </w:t>
            </w:r>
          </w:p>
        </w:tc>
      </w:tr>
      <w:tr w14:paraId="74957E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55" w:type="pct"/>
            <w:noWrap w:val="0"/>
            <w:vAlign w:val="center"/>
          </w:tcPr>
          <w:p w14:paraId="0F63E64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CS13</w:t>
            </w:r>
          </w:p>
        </w:tc>
        <w:tc>
          <w:tcPr>
            <w:tcW w:w="478" w:type="pct"/>
            <w:noWrap w:val="0"/>
            <w:vAlign w:val="center"/>
          </w:tcPr>
          <w:p w14:paraId="5D268DF0">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0+533</w:t>
            </w:r>
          </w:p>
        </w:tc>
        <w:tc>
          <w:tcPr>
            <w:tcW w:w="478" w:type="pct"/>
            <w:noWrap w:val="0"/>
            <w:vAlign w:val="center"/>
          </w:tcPr>
          <w:p w14:paraId="72CD920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425.77</w:t>
            </w:r>
          </w:p>
        </w:tc>
        <w:tc>
          <w:tcPr>
            <w:tcW w:w="478" w:type="pct"/>
            <w:noWrap w:val="0"/>
            <w:vAlign w:val="center"/>
          </w:tcPr>
          <w:p w14:paraId="0AB6E01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425.77</w:t>
            </w:r>
          </w:p>
        </w:tc>
        <w:tc>
          <w:tcPr>
            <w:tcW w:w="478" w:type="pct"/>
            <w:noWrap w:val="0"/>
            <w:vAlign w:val="center"/>
          </w:tcPr>
          <w:p w14:paraId="32950EAC">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425.73</w:t>
            </w:r>
          </w:p>
        </w:tc>
        <w:tc>
          <w:tcPr>
            <w:tcW w:w="557" w:type="pct"/>
            <w:noWrap w:val="0"/>
            <w:vAlign w:val="center"/>
          </w:tcPr>
          <w:p w14:paraId="2A2F75C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425.73</w:t>
            </w:r>
          </w:p>
        </w:tc>
        <w:tc>
          <w:tcPr>
            <w:tcW w:w="478" w:type="pct"/>
            <w:noWrap w:val="0"/>
            <w:vAlign w:val="center"/>
          </w:tcPr>
          <w:p w14:paraId="5EBA883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425.6</w:t>
            </w:r>
          </w:p>
        </w:tc>
        <w:tc>
          <w:tcPr>
            <w:tcW w:w="557" w:type="pct"/>
            <w:noWrap w:val="0"/>
            <w:vAlign w:val="center"/>
          </w:tcPr>
          <w:p w14:paraId="22372989">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425.6</w:t>
            </w:r>
          </w:p>
        </w:tc>
        <w:tc>
          <w:tcPr>
            <w:tcW w:w="478" w:type="pct"/>
            <w:noWrap w:val="0"/>
            <w:vAlign w:val="center"/>
          </w:tcPr>
          <w:p w14:paraId="797A7016">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424.2</w:t>
            </w:r>
          </w:p>
        </w:tc>
        <w:tc>
          <w:tcPr>
            <w:tcW w:w="555" w:type="pct"/>
            <w:noWrap w:val="0"/>
            <w:vAlign w:val="center"/>
          </w:tcPr>
          <w:p w14:paraId="6C3C0FE3">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 xml:space="preserve">424.20 </w:t>
            </w:r>
          </w:p>
        </w:tc>
      </w:tr>
    </w:tbl>
    <w:p w14:paraId="4DF6642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Arial" w:hAnsi="宋体" w:cs="Arial"/>
          <w:b/>
          <w:bCs/>
          <w:sz w:val="26"/>
          <w:szCs w:val="26"/>
          <w:lang w:val="en-US" w:eastAsia="zh-CN"/>
        </w:rPr>
      </w:pPr>
    </w:p>
    <w:p w14:paraId="4080E4E8">
      <w:pPr>
        <w:spacing w:line="460" w:lineRule="exact"/>
        <w:ind w:firstLine="520" w:firstLineChars="200"/>
        <w:rPr>
          <w:rFonts w:hint="default" w:ascii="Arial" w:hAnsi="Arial" w:eastAsia="宋体" w:cs="Arial"/>
          <w:bCs/>
          <w:sz w:val="26"/>
          <w:szCs w:val="26"/>
          <w:lang w:val="en-US"/>
        </w:rPr>
      </w:pPr>
      <w:r>
        <w:rPr>
          <w:rFonts w:hint="eastAsia" w:ascii="Arial" w:hAnsi="Arial" w:eastAsia="宋体" w:cs="Arial"/>
          <w:bCs/>
          <w:sz w:val="26"/>
          <w:szCs w:val="26"/>
          <w:lang w:eastAsia="zh-CN"/>
        </w:rPr>
        <w:t>水库建成后，</w:t>
      </w:r>
      <w:r>
        <w:rPr>
          <w:rFonts w:hint="eastAsia" w:ascii="Arial" w:hAnsi="Arial" w:eastAsia="宋体" w:cs="Arial"/>
          <w:bCs/>
          <w:sz w:val="26"/>
          <w:szCs w:val="26"/>
        </w:rPr>
        <w:t>库区河段水位均较原水位有不同程度的抬升，越靠近坝址抬升越明显</w:t>
      </w:r>
      <w:r>
        <w:rPr>
          <w:rFonts w:hint="eastAsia" w:ascii="Arial" w:hAnsi="Arial" w:eastAsia="宋体" w:cs="Arial"/>
          <w:bCs/>
          <w:sz w:val="26"/>
          <w:szCs w:val="26"/>
          <w:lang w:eastAsia="zh-CN"/>
        </w:rPr>
        <w:t>。因水位抬升，坝前水深增加、水面变宽，水面抬升</w:t>
      </w:r>
      <w:r>
        <w:rPr>
          <w:rFonts w:hint="eastAsia" w:ascii="Arial" w:hAnsi="Arial" w:eastAsia="宋体" w:cs="Arial"/>
          <w:bCs/>
          <w:sz w:val="26"/>
          <w:szCs w:val="26"/>
          <w:lang w:val="en-US" w:eastAsia="zh-CN"/>
        </w:rPr>
        <w:t>0~12.23m。断面平均流速也将减小，越靠近坝址减缓越明显，至坝前接近为0。</w:t>
      </w:r>
    </w:p>
    <w:p w14:paraId="57370902">
      <w:pPr>
        <w:spacing w:line="460" w:lineRule="exact"/>
        <w:ind w:firstLine="522" w:firstLineChars="200"/>
        <w:rPr>
          <w:rFonts w:hint="eastAsia" w:ascii="Arial" w:hAnsi="Arial" w:eastAsia="宋体" w:cs="Arial"/>
          <w:b/>
          <w:bCs/>
          <w:color w:val="000000"/>
          <w:sz w:val="26"/>
          <w:szCs w:val="26"/>
          <w:highlight w:val="none"/>
          <w:lang w:val="en-US" w:eastAsia="zh-CN"/>
        </w:rPr>
      </w:pPr>
      <w:r>
        <w:rPr>
          <w:rFonts w:hint="default" w:ascii="Arial" w:hAnsi="Arial" w:eastAsia="宋体" w:cs="Arial"/>
          <w:b/>
          <w:bCs/>
          <w:color w:val="000000"/>
          <w:sz w:val="26"/>
          <w:szCs w:val="26"/>
          <w:highlight w:val="none"/>
          <w:lang w:val="en-US" w:eastAsia="zh-CN"/>
        </w:rPr>
        <w:t>②</w:t>
      </w:r>
      <w:r>
        <w:rPr>
          <w:rFonts w:hint="eastAsia" w:ascii="Arial" w:hAnsi="Arial" w:eastAsia="宋体" w:cs="Arial"/>
          <w:b/>
          <w:bCs/>
          <w:color w:val="000000"/>
          <w:sz w:val="26"/>
          <w:szCs w:val="26"/>
          <w:highlight w:val="none"/>
          <w:lang w:val="en-US" w:eastAsia="zh-CN"/>
        </w:rPr>
        <w:t>坝址下游水文情势影响分析</w:t>
      </w:r>
    </w:p>
    <w:p w14:paraId="5F12715A">
      <w:pPr>
        <w:spacing w:line="460" w:lineRule="exact"/>
        <w:ind w:firstLine="520" w:firstLineChars="200"/>
        <w:rPr>
          <w:rFonts w:hint="eastAsia" w:ascii="Arial" w:hAnsi="Arial" w:eastAsia="宋体" w:cs="Arial"/>
          <w:bCs/>
          <w:sz w:val="26"/>
          <w:szCs w:val="26"/>
          <w:lang w:eastAsia="zh-CN"/>
        </w:rPr>
      </w:pPr>
      <w:r>
        <w:rPr>
          <w:rFonts w:hint="eastAsia" w:ascii="Arial" w:hAnsi="Arial" w:eastAsia="宋体" w:cs="Arial"/>
          <w:bCs/>
          <w:sz w:val="26"/>
          <w:szCs w:val="26"/>
          <w:lang w:eastAsia="zh-CN"/>
        </w:rPr>
        <w:t xml:space="preserve">工程建成运行后，将会改变水库大坝下游的水文情势，水库坝下将形成约 </w:t>
      </w:r>
      <w:r>
        <w:rPr>
          <w:rFonts w:hint="eastAsia" w:ascii="Arial" w:hAnsi="Arial" w:eastAsia="宋体" w:cs="Arial"/>
          <w:bCs/>
          <w:sz w:val="26"/>
          <w:szCs w:val="26"/>
          <w:lang w:val="en-US" w:eastAsia="zh-CN"/>
        </w:rPr>
        <w:t>1.54</w:t>
      </w:r>
      <w:r>
        <w:rPr>
          <w:rFonts w:hint="eastAsia" w:ascii="Arial" w:hAnsi="Arial" w:eastAsia="宋体" w:cs="Arial"/>
          <w:bCs/>
          <w:sz w:val="26"/>
          <w:szCs w:val="26"/>
          <w:lang w:eastAsia="zh-CN"/>
        </w:rPr>
        <w:t>km长的减水河段。减水河段沿河两岸主要为林地、耕地，无居民居住，河道内无取水口分布，对河流水文情势影响较小，其水文情势主要受水库的调蓄作用影响。为减缓水库运行对坝址下游减水段水文情势影响，保护水生生态环境，本项目采取了生态流量下放措施，下泄生态流量</w:t>
      </w:r>
      <w:r>
        <w:rPr>
          <w:rFonts w:hint="eastAsia" w:ascii="Arial" w:hAnsi="Arial" w:eastAsia="宋体" w:cs="Arial"/>
          <w:bCs/>
          <w:sz w:val="26"/>
          <w:szCs w:val="26"/>
          <w:lang w:val="en-US" w:eastAsia="zh-CN"/>
        </w:rPr>
        <w:t>0.005</w:t>
      </w:r>
      <w:r>
        <w:rPr>
          <w:rFonts w:hint="eastAsia" w:ascii="Arial" w:hAnsi="Arial" w:eastAsia="宋体" w:cs="Arial"/>
          <w:bCs/>
          <w:sz w:val="26"/>
          <w:szCs w:val="26"/>
          <w:lang w:eastAsia="zh-CN"/>
        </w:rPr>
        <w:t>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eastAsia="zh-CN"/>
        </w:rPr>
        <w:t>/s。设置闸阀房和控制阀，可保证任意时段均能下泄流量，因此不会造成减水河段断流情况。</w:t>
      </w:r>
    </w:p>
    <w:p w14:paraId="36D96C31">
      <w:pPr>
        <w:spacing w:line="460" w:lineRule="exact"/>
        <w:ind w:firstLine="522" w:firstLineChars="200"/>
        <w:rPr>
          <w:rFonts w:hint="eastAsia" w:ascii="Arial" w:hAnsi="Arial" w:eastAsia="宋体" w:cs="Arial"/>
          <w:b/>
          <w:bCs/>
          <w:color w:val="000000"/>
          <w:sz w:val="26"/>
          <w:szCs w:val="26"/>
          <w:lang w:val="en-US" w:eastAsia="zh-CN"/>
        </w:rPr>
      </w:pPr>
      <w:r>
        <w:rPr>
          <w:rFonts w:hint="eastAsia" w:ascii="Arial" w:hAnsi="Arial" w:eastAsia="宋体" w:cs="Arial"/>
          <w:b/>
          <w:bCs/>
          <w:color w:val="000000"/>
          <w:sz w:val="26"/>
          <w:szCs w:val="26"/>
          <w:lang w:val="en-US" w:eastAsia="zh-CN"/>
        </w:rPr>
        <w:t>③洪水</w:t>
      </w:r>
    </w:p>
    <w:p w14:paraId="37AD1EA0">
      <w:pPr>
        <w:spacing w:line="460" w:lineRule="exact"/>
        <w:ind w:firstLine="520" w:firstLineChars="200"/>
        <w:rPr>
          <w:rFonts w:hint="eastAsia" w:ascii="Arial" w:hAnsi="Arial" w:eastAsia="宋体" w:cs="Arial"/>
          <w:bCs/>
          <w:sz w:val="26"/>
          <w:szCs w:val="26"/>
          <w:lang w:eastAsia="zh-CN"/>
        </w:rPr>
      </w:pPr>
      <w:r>
        <w:rPr>
          <w:rFonts w:hint="eastAsia" w:ascii="Arial" w:hAnsi="Arial" w:eastAsia="宋体" w:cs="Arial"/>
          <w:bCs/>
          <w:sz w:val="26"/>
          <w:szCs w:val="26"/>
          <w:lang w:eastAsia="zh-CN"/>
        </w:rPr>
        <w:t>本工程无防洪任务，</w:t>
      </w:r>
      <w:r>
        <w:rPr>
          <w:rFonts w:hint="eastAsia" w:ascii="Arial" w:hAnsi="Arial" w:cs="Arial"/>
          <w:bCs/>
          <w:sz w:val="26"/>
          <w:szCs w:val="26"/>
          <w:lang w:eastAsia="zh-CN"/>
        </w:rPr>
        <w:t>海螺沟</w:t>
      </w:r>
      <w:r>
        <w:rPr>
          <w:rFonts w:hint="eastAsia" w:ascii="Arial" w:hAnsi="Arial" w:eastAsia="宋体" w:cs="Arial"/>
          <w:bCs/>
          <w:sz w:val="26"/>
          <w:szCs w:val="26"/>
          <w:lang w:eastAsia="zh-CN"/>
        </w:rPr>
        <w:t>水库洪水计算的起调水位为正常蓄水位</w:t>
      </w:r>
      <w:r>
        <w:rPr>
          <w:rFonts w:hint="eastAsia" w:ascii="Arial" w:hAnsi="Arial" w:cs="Arial"/>
          <w:bCs/>
          <w:sz w:val="26"/>
          <w:szCs w:val="26"/>
          <w:lang w:val="en-US" w:eastAsia="zh-CN"/>
        </w:rPr>
        <w:t>420m</w:t>
      </w:r>
      <w:r>
        <w:rPr>
          <w:rFonts w:hint="eastAsia" w:ascii="Arial" w:hAnsi="Arial" w:eastAsia="宋体" w:cs="Arial"/>
          <w:bCs/>
          <w:sz w:val="26"/>
          <w:szCs w:val="26"/>
          <w:lang w:eastAsia="zh-CN"/>
        </w:rPr>
        <w:t>，</w:t>
      </w:r>
      <w:r>
        <w:rPr>
          <w:rFonts w:hint="eastAsia" w:ascii="Arial" w:hAnsi="Arial" w:cs="Arial"/>
          <w:bCs/>
          <w:sz w:val="26"/>
          <w:szCs w:val="26"/>
          <w:lang w:eastAsia="zh-CN"/>
        </w:rPr>
        <w:t>修建开敞式</w:t>
      </w:r>
      <w:r>
        <w:rPr>
          <w:rFonts w:hint="eastAsia" w:ascii="Arial" w:hAnsi="宋体" w:cs="Arial"/>
          <w:sz w:val="26"/>
          <w:szCs w:val="26"/>
        </w:rPr>
        <w:t>无闸溢流坝泄洪</w:t>
      </w:r>
      <w:r>
        <w:rPr>
          <w:rFonts w:hint="eastAsia" w:ascii="Arial" w:hAnsi="宋体" w:cs="Arial"/>
          <w:sz w:val="26"/>
          <w:szCs w:val="26"/>
          <w:lang w:eastAsia="zh-CN"/>
        </w:rPr>
        <w:t>，溢洪坝</w:t>
      </w:r>
      <w:r>
        <w:rPr>
          <w:rFonts w:hint="default" w:ascii="Arial" w:hAnsi="Arial" w:cs="Arial"/>
          <w:sz w:val="26"/>
          <w:szCs w:val="26"/>
        </w:rPr>
        <w:t>位于河床中部</w:t>
      </w:r>
      <w:r>
        <w:rPr>
          <w:rFonts w:hint="eastAsia" w:ascii="Arial" w:hAnsi="Arial" w:cs="Arial"/>
          <w:sz w:val="26"/>
          <w:szCs w:val="26"/>
          <w:lang w:eastAsia="zh-CN"/>
        </w:rPr>
        <w:t>，溢流净宽</w:t>
      </w:r>
      <w:r>
        <w:rPr>
          <w:rFonts w:hint="eastAsia" w:ascii="Arial" w:hAnsi="Arial" w:cs="Arial"/>
          <w:sz w:val="26"/>
          <w:szCs w:val="26"/>
          <w:lang w:val="en-US" w:eastAsia="zh-CN"/>
        </w:rPr>
        <w:t>9m，2孔布置，</w:t>
      </w:r>
      <w:r>
        <w:rPr>
          <w:rFonts w:hint="eastAsia" w:ascii="Arial" w:hAnsi="Arial" w:cs="Arial"/>
          <w:sz w:val="26"/>
          <w:szCs w:val="26"/>
          <w:lang w:eastAsia="zh-CN"/>
        </w:rPr>
        <w:t>坝顶</w:t>
      </w:r>
      <w:r>
        <w:rPr>
          <w:rFonts w:hint="default" w:ascii="Arial" w:hAnsi="Arial" w:cs="Arial"/>
          <w:sz w:val="26"/>
          <w:szCs w:val="26"/>
        </w:rPr>
        <w:t>高程420m</w:t>
      </w:r>
      <w:r>
        <w:rPr>
          <w:rFonts w:hint="eastAsia" w:ascii="Arial" w:hAnsi="Arial" w:eastAsia="宋体" w:cs="Arial"/>
          <w:bCs/>
          <w:sz w:val="26"/>
          <w:szCs w:val="26"/>
          <w:lang w:eastAsia="zh-CN"/>
        </w:rPr>
        <w:t>。根据</w:t>
      </w:r>
      <w:r>
        <w:rPr>
          <w:rFonts w:hint="eastAsia" w:ascii="Arial" w:hAnsi="Arial" w:cs="Arial"/>
          <w:bCs/>
          <w:sz w:val="26"/>
          <w:szCs w:val="26"/>
          <w:lang w:eastAsia="zh-CN"/>
        </w:rPr>
        <w:t>海螺沟</w:t>
      </w:r>
      <w:r>
        <w:rPr>
          <w:rFonts w:hint="eastAsia" w:ascii="Arial" w:hAnsi="Arial" w:eastAsia="宋体" w:cs="Arial"/>
          <w:bCs/>
          <w:sz w:val="26"/>
          <w:szCs w:val="26"/>
          <w:lang w:eastAsia="zh-CN"/>
        </w:rPr>
        <w:t>水库建筑物设计标准和相应洪水调节计算结果，</w:t>
      </w:r>
      <w:r>
        <w:rPr>
          <w:rFonts w:hint="eastAsia" w:ascii="Arial" w:hAnsi="Arial" w:cs="Arial"/>
          <w:bCs/>
          <w:sz w:val="26"/>
          <w:szCs w:val="26"/>
          <w:lang w:eastAsia="zh-CN"/>
        </w:rPr>
        <w:t>水库调节库容</w:t>
      </w:r>
      <w:r>
        <w:rPr>
          <w:rFonts w:hint="eastAsia" w:ascii="Arial" w:hAnsi="Arial" w:cs="Arial"/>
          <w:bCs/>
          <w:sz w:val="26"/>
          <w:szCs w:val="26"/>
          <w:lang w:val="en-US" w:eastAsia="zh-CN"/>
        </w:rPr>
        <w:t>59.74万m</w:t>
      </w:r>
      <w:r>
        <w:rPr>
          <w:rFonts w:hint="eastAsia" w:ascii="Arial" w:hAnsi="Arial" w:cs="Arial"/>
          <w:bCs/>
          <w:sz w:val="26"/>
          <w:szCs w:val="26"/>
          <w:vertAlign w:val="superscript"/>
          <w:lang w:val="en-US" w:eastAsia="zh-CN"/>
        </w:rPr>
        <w:t>3</w:t>
      </w:r>
      <w:r>
        <w:rPr>
          <w:rFonts w:hint="eastAsia" w:ascii="Arial" w:hAnsi="Arial" w:cs="Arial"/>
          <w:bCs/>
          <w:sz w:val="26"/>
          <w:szCs w:val="26"/>
          <w:lang w:val="en-US" w:eastAsia="zh-CN"/>
        </w:rPr>
        <w:t>，及</w:t>
      </w:r>
      <w:r>
        <w:rPr>
          <w:rFonts w:hint="eastAsia" w:ascii="Arial" w:hAnsi="Arial" w:eastAsia="宋体" w:cs="Arial"/>
          <w:bCs/>
          <w:sz w:val="26"/>
          <w:szCs w:val="26"/>
          <w:lang w:eastAsia="zh-CN"/>
        </w:rPr>
        <w:t>蓄水期间将会对洪水起到拦蓄、削峰作用，下游河道洪水有所削弱；待水库蓄水完成保持正常蓄水位后，下游河道洪水基本保持天然状态。</w:t>
      </w:r>
    </w:p>
    <w:p w14:paraId="01DC8291">
      <w:pPr>
        <w:spacing w:line="460" w:lineRule="exact"/>
        <w:ind w:firstLine="522" w:firstLineChars="200"/>
        <w:rPr>
          <w:rFonts w:hint="default" w:ascii="Arial" w:hAnsi="Arial" w:eastAsia="宋体" w:cs="Arial"/>
          <w:b/>
          <w:bCs/>
          <w:color w:val="000000"/>
          <w:sz w:val="26"/>
          <w:szCs w:val="26"/>
          <w:lang w:val="en-US" w:eastAsia="zh-CN"/>
        </w:rPr>
      </w:pPr>
      <w:r>
        <w:rPr>
          <w:rFonts w:hint="eastAsia" w:ascii="Arial" w:hAnsi="Arial" w:eastAsia="宋体" w:cs="Arial"/>
          <w:b/>
          <w:bCs/>
          <w:color w:val="000000"/>
          <w:sz w:val="26"/>
          <w:szCs w:val="26"/>
          <w:lang w:val="en-US" w:eastAsia="zh-CN"/>
        </w:rPr>
        <w:t>④泥沙淤积</w:t>
      </w:r>
    </w:p>
    <w:p w14:paraId="60237CAA">
      <w:pPr>
        <w:spacing w:line="460" w:lineRule="exact"/>
        <w:ind w:firstLine="520" w:firstLineChars="200"/>
        <w:rPr>
          <w:rFonts w:hint="default" w:ascii="Arial" w:hAnsi="Arial" w:eastAsia="宋体" w:cs="Arial"/>
          <w:bCs/>
          <w:sz w:val="26"/>
          <w:szCs w:val="26"/>
          <w:lang w:val="en-US" w:eastAsia="zh-CN"/>
        </w:rPr>
      </w:pPr>
      <w:r>
        <w:rPr>
          <w:rFonts w:hint="eastAsia" w:ascii="Arial" w:hAnsi="Arial" w:cs="Arial"/>
          <w:bCs/>
          <w:sz w:val="26"/>
          <w:szCs w:val="26"/>
          <w:lang w:val="en-US" w:eastAsia="zh-CN"/>
        </w:rPr>
        <w:t>根据现场勘查，海螺沟水库坝址上游集雨范围内，多为林地和耕地，零星有乡村分布，人类活动以农业为主，水土流失现状不明显，泥沙主要来源于岩石风化和地表侵蚀。根据项目初设报告，项目建成后库区将形成0.55km的回水区，</w:t>
      </w:r>
      <w:r>
        <w:rPr>
          <w:rFonts w:ascii="Arial" w:hAnsi="Arial" w:cs="Arial"/>
          <w:sz w:val="26"/>
          <w:szCs w:val="26"/>
        </w:rPr>
        <w:t>由于水库的作用改变了水沙的特性，使泥沙在库中淤积</w:t>
      </w:r>
      <w:r>
        <w:rPr>
          <w:rFonts w:hint="eastAsia" w:ascii="Arial" w:hAnsi="Arial" w:cs="Arial"/>
          <w:sz w:val="26"/>
          <w:szCs w:val="26"/>
          <w:lang w:eastAsia="zh-CN"/>
        </w:rPr>
        <w:t>，</w:t>
      </w:r>
      <w:r>
        <w:rPr>
          <w:rFonts w:hint="eastAsia" w:ascii="Arial" w:hAnsi="Arial" w:cs="Arial"/>
          <w:bCs/>
          <w:sz w:val="26"/>
          <w:szCs w:val="26"/>
          <w:lang w:val="en-US" w:eastAsia="zh-CN"/>
        </w:rPr>
        <w:t>坝址处多年平均输沙总量为703.8t。</w:t>
      </w:r>
    </w:p>
    <w:p w14:paraId="66E41A44">
      <w:pPr>
        <w:spacing w:line="460" w:lineRule="exact"/>
        <w:ind w:firstLine="520" w:firstLineChars="200"/>
        <w:rPr>
          <w:rFonts w:hint="eastAsia" w:ascii="Arial" w:hAnsi="Arial" w:cs="Arial"/>
          <w:sz w:val="26"/>
          <w:szCs w:val="26"/>
        </w:rPr>
      </w:pPr>
      <w:r>
        <w:rPr>
          <w:rFonts w:ascii="Arial" w:hAnsi="Arial" w:cs="Arial"/>
          <w:sz w:val="26"/>
          <w:szCs w:val="26"/>
        </w:rPr>
        <w:t>泥沙淤积会对水库产生一定的影响</w:t>
      </w:r>
      <w:r>
        <w:rPr>
          <w:rFonts w:hint="eastAsia" w:ascii="Arial" w:hAnsi="Arial" w:cs="Arial"/>
          <w:sz w:val="26"/>
          <w:szCs w:val="26"/>
        </w:rPr>
        <w:t>。</w:t>
      </w:r>
      <w:r>
        <w:rPr>
          <w:rFonts w:ascii="Arial" w:hAnsi="Arial" w:cs="Arial"/>
          <w:sz w:val="26"/>
          <w:szCs w:val="26"/>
        </w:rPr>
        <w:t>因此项目建成后应加强上游的泥沙观测，视上游水情、沙情决定冲砂塔开启情况，尽可能减小坝前泥沙淤积影响，并延长水库使用年限。</w:t>
      </w:r>
    </w:p>
    <w:p w14:paraId="6DDF271D">
      <w:pPr>
        <w:spacing w:line="460" w:lineRule="exact"/>
        <w:ind w:firstLine="520" w:firstLineChars="200"/>
        <w:rPr>
          <w:rFonts w:ascii="Arial" w:hAnsi="Arial" w:cs="Arial"/>
          <w:sz w:val="26"/>
          <w:szCs w:val="26"/>
        </w:rPr>
      </w:pPr>
      <w:r>
        <w:rPr>
          <w:rFonts w:ascii="Arial" w:hAnsi="Arial" w:cs="Arial"/>
          <w:sz w:val="26"/>
          <w:szCs w:val="26"/>
        </w:rPr>
        <w:t>项目建成后将大部分泥沙拦蓄在坝前库区，出库的少量泥沙多为细颗粒悬沙，不易在坝下河段产生淤积影响。</w:t>
      </w:r>
    </w:p>
    <w:p w14:paraId="30D48B66">
      <w:pPr>
        <w:spacing w:line="460" w:lineRule="exact"/>
        <w:ind w:firstLine="522" w:firstLineChars="200"/>
        <w:rPr>
          <w:rFonts w:hint="eastAsia" w:ascii="Arial" w:hAnsi="Arial" w:eastAsia="宋体" w:cs="Arial"/>
          <w:b/>
          <w:bCs/>
          <w:color w:val="000000"/>
          <w:sz w:val="26"/>
          <w:szCs w:val="26"/>
          <w:lang w:val="en-US" w:eastAsia="zh-CN"/>
        </w:rPr>
      </w:pPr>
      <w:r>
        <w:rPr>
          <w:rFonts w:hint="eastAsia" w:ascii="宋体" w:hAnsi="宋体" w:eastAsia="宋体" w:cs="宋体"/>
          <w:b/>
          <w:bCs/>
          <w:color w:val="000000"/>
          <w:sz w:val="26"/>
          <w:szCs w:val="26"/>
          <w:lang w:val="en-US" w:eastAsia="zh-CN"/>
        </w:rPr>
        <w:t>⑤</w:t>
      </w:r>
      <w:r>
        <w:rPr>
          <w:rFonts w:hint="eastAsia" w:ascii="Arial" w:hAnsi="Arial" w:eastAsia="宋体" w:cs="Arial"/>
          <w:b/>
          <w:bCs/>
          <w:color w:val="000000"/>
          <w:sz w:val="26"/>
          <w:szCs w:val="26"/>
          <w:lang w:val="en-US" w:eastAsia="zh-CN"/>
        </w:rPr>
        <w:t>排沙</w:t>
      </w:r>
    </w:p>
    <w:p w14:paraId="60ECD1BF">
      <w:pPr>
        <w:spacing w:line="460" w:lineRule="exact"/>
        <w:ind w:firstLine="520" w:firstLineChars="200"/>
        <w:rPr>
          <w:rFonts w:hint="default" w:ascii="Arial" w:hAnsi="Arial" w:eastAsia="宋体" w:cs="Arial"/>
          <w:bCs/>
          <w:sz w:val="26"/>
          <w:szCs w:val="26"/>
          <w:lang w:val="en-US" w:eastAsia="zh-CN"/>
        </w:rPr>
      </w:pPr>
      <w:r>
        <w:rPr>
          <w:rFonts w:hint="default" w:ascii="Arial" w:hAnsi="Arial" w:eastAsia="宋体" w:cs="Arial"/>
          <w:bCs/>
          <w:sz w:val="26"/>
          <w:szCs w:val="26"/>
          <w:lang w:val="en-US" w:eastAsia="zh-CN"/>
        </w:rPr>
        <w:t>坝址下游河段由于平时来水含沙量减少，在水库汛期泄洪时将受到水流的冲刷作用，冲刷区河段覆盖层被冲走，其总的演变趋势为河床高程逐渐降低。</w:t>
      </w:r>
      <w:r>
        <w:rPr>
          <w:rFonts w:hint="eastAsia" w:ascii="Arial" w:hAnsi="Arial" w:eastAsia="宋体" w:cs="Arial"/>
          <w:bCs/>
          <w:sz w:val="26"/>
          <w:szCs w:val="26"/>
          <w:lang w:val="en-US" w:eastAsia="zh-CN"/>
        </w:rPr>
        <w:t>盖石</w:t>
      </w:r>
      <w:r>
        <w:rPr>
          <w:rFonts w:hint="default" w:ascii="Arial" w:hAnsi="Arial" w:eastAsia="宋体" w:cs="Arial"/>
          <w:bCs/>
          <w:sz w:val="26"/>
          <w:szCs w:val="26"/>
          <w:lang w:val="en-US" w:eastAsia="zh-CN"/>
        </w:rPr>
        <w:t>沟河道下部岩体为硬质岩，抗冲刷能力较好，河床段冲刷降低至一定高程后将会停止下降达到平衡。</w:t>
      </w:r>
    </w:p>
    <w:p w14:paraId="41F30C7E">
      <w:pPr>
        <w:spacing w:line="460" w:lineRule="exact"/>
        <w:ind w:firstLine="520" w:firstLineChars="200"/>
        <w:rPr>
          <w:rFonts w:hint="default" w:ascii="Arial" w:hAnsi="Arial" w:eastAsia="宋体" w:cs="Arial"/>
          <w:bCs/>
          <w:sz w:val="26"/>
          <w:szCs w:val="26"/>
          <w:lang w:val="en-US" w:eastAsia="zh-CN"/>
        </w:rPr>
      </w:pPr>
      <w:r>
        <w:rPr>
          <w:rFonts w:hint="default" w:ascii="Arial" w:hAnsi="Arial" w:eastAsia="宋体" w:cs="Arial"/>
          <w:bCs/>
          <w:sz w:val="26"/>
          <w:szCs w:val="26"/>
          <w:lang w:val="en-US" w:eastAsia="zh-CN"/>
        </w:rPr>
        <w:t>水库内泥沙对污染物有一定的吸附作用，有利于水质改善，但相应增加了其在底泥中的含量。在水库泄洪冲沙期间，大量泥沙下泄会增加下游河段浊度，影响水体感观性状，但历时较短，一般3~5日即可恢复清澈水体。</w:t>
      </w:r>
    </w:p>
    <w:p w14:paraId="1966A02C">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宋体" w:eastAsia="宋体" w:cs="Arial"/>
          <w:b/>
          <w:sz w:val="26"/>
          <w:szCs w:val="26"/>
          <w:lang w:eastAsia="zh-CN"/>
        </w:rPr>
      </w:pPr>
      <w:r>
        <w:rPr>
          <w:rFonts w:hint="eastAsia" w:ascii="Arial" w:hAnsi="Arial" w:eastAsia="宋体" w:cs="Arial"/>
          <w:b/>
          <w:bCs/>
          <w:color w:val="000000"/>
          <w:sz w:val="26"/>
          <w:szCs w:val="26"/>
          <w:lang w:val="en-US" w:eastAsia="zh-CN"/>
        </w:rPr>
        <w:t>6.5.3</w:t>
      </w:r>
      <w:r>
        <w:rPr>
          <w:rFonts w:hint="eastAsia" w:ascii="Arial" w:hAnsi="宋体" w:cs="Arial"/>
          <w:b/>
          <w:sz w:val="26"/>
          <w:szCs w:val="26"/>
          <w:lang w:eastAsia="zh-CN"/>
        </w:rPr>
        <w:t>下泄流量论证</w:t>
      </w:r>
    </w:p>
    <w:p w14:paraId="09B01129">
      <w:pPr>
        <w:spacing w:line="460" w:lineRule="exact"/>
        <w:ind w:firstLine="520" w:firstLineChars="200"/>
        <w:rPr>
          <w:rFonts w:hint="eastAsia" w:ascii="Arial" w:hAnsi="Arial" w:cs="Arial"/>
          <w:bCs/>
          <w:sz w:val="26"/>
          <w:szCs w:val="26"/>
          <w:lang w:val="en-US" w:eastAsia="zh-CN"/>
        </w:rPr>
      </w:pPr>
      <w:r>
        <w:rPr>
          <w:rFonts w:hint="eastAsia" w:ascii="Arial" w:hAnsi="Arial" w:cs="Arial"/>
          <w:bCs/>
          <w:sz w:val="26"/>
          <w:szCs w:val="26"/>
          <w:lang w:val="en-US" w:eastAsia="zh-CN"/>
        </w:rPr>
        <w:t>海螺沟水库建成后，由于拦坝蓄水，将在坝址下游~汇入高洞桥河河口间形成长约1.54km的减水河段。</w:t>
      </w:r>
    </w:p>
    <w:p w14:paraId="1F09F4A1">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（1）用水量需求初步判断</w:t>
      </w:r>
    </w:p>
    <w:p w14:paraId="4C386BC8">
      <w:pPr>
        <w:spacing w:line="460" w:lineRule="exact"/>
        <w:ind w:firstLine="520" w:firstLineChars="200"/>
        <w:rPr>
          <w:rFonts w:hint="default" w:ascii="Arial" w:hAnsi="Arial" w:eastAsia="宋体" w:cs="Arial"/>
          <w:bCs/>
          <w:sz w:val="26"/>
          <w:szCs w:val="26"/>
          <w:lang w:val="en-US" w:eastAsia="zh-CN"/>
        </w:rPr>
      </w:pPr>
      <w:r>
        <w:rPr>
          <w:rFonts w:hint="eastAsia" w:ascii="Arial" w:hAnsi="Arial" w:eastAsia="宋体" w:cs="Arial"/>
          <w:bCs/>
          <w:sz w:val="26"/>
          <w:szCs w:val="26"/>
          <w:lang w:val="en-US" w:eastAsia="zh-CN"/>
        </w:rPr>
        <w:t>本次评价按《环境影响评价技术导则 地表水环境》（HJ2.3-2018）、《环境影响评价技术导则 水利水电工程》（HJ/T88-2003）、《水电水利建设项目河道生态用水、低温水和过鱼设施环境影响评价技术指</w:t>
      </w:r>
      <w:r>
        <w:rPr>
          <w:rFonts w:hint="eastAsia" w:ascii="宋体" w:hAnsi="宋体" w:eastAsia="宋体" w:cs="宋体"/>
          <w:bCs/>
          <w:sz w:val="26"/>
          <w:szCs w:val="26"/>
          <w:lang w:val="en-US" w:eastAsia="zh-CN"/>
        </w:rPr>
        <w:t>南(试行)》(</w:t>
      </w:r>
      <w:r>
        <w:rPr>
          <w:rFonts w:hint="eastAsia" w:ascii="Arial" w:hAnsi="Arial" w:eastAsia="宋体" w:cs="Arial"/>
          <w:bCs/>
          <w:sz w:val="26"/>
          <w:szCs w:val="26"/>
          <w:lang w:val="en-US" w:eastAsia="zh-CN"/>
        </w:rPr>
        <w:t>环评函</w:t>
      </w:r>
      <w:r>
        <w:rPr>
          <w:rFonts w:hint="eastAsia" w:ascii="宋体" w:hAnsi="宋体" w:eastAsia="宋体" w:cs="宋体"/>
          <w:bCs/>
          <w:sz w:val="26"/>
          <w:szCs w:val="26"/>
          <w:lang w:val="en-US" w:eastAsia="zh-CN"/>
        </w:rPr>
        <w:t>〔</w:t>
      </w:r>
      <w:r>
        <w:rPr>
          <w:rFonts w:hint="eastAsia" w:ascii="Arial" w:hAnsi="Arial" w:eastAsia="宋体" w:cs="Arial"/>
          <w:bCs/>
          <w:sz w:val="26"/>
          <w:szCs w:val="26"/>
          <w:lang w:val="en-US" w:eastAsia="zh-CN"/>
        </w:rPr>
        <w:t>2006</w:t>
      </w:r>
      <w:r>
        <w:rPr>
          <w:rFonts w:hint="eastAsia" w:ascii="宋体" w:hAnsi="宋体" w:eastAsia="宋体" w:cs="宋体"/>
          <w:bCs/>
          <w:sz w:val="26"/>
          <w:szCs w:val="26"/>
          <w:lang w:val="en-US" w:eastAsia="zh-CN"/>
        </w:rPr>
        <w:t>〕</w:t>
      </w:r>
      <w:r>
        <w:rPr>
          <w:rFonts w:hint="eastAsia" w:ascii="Arial" w:hAnsi="Arial" w:eastAsia="宋体" w:cs="Arial"/>
          <w:bCs/>
          <w:sz w:val="26"/>
          <w:szCs w:val="26"/>
          <w:lang w:val="en-US" w:eastAsia="zh-CN"/>
        </w:rPr>
        <w:t>4号）等来确定本项目的生态流量。河流生态环境需水包括水生生态需水、水环境需水、湿地需水、景观需水、河口压咸需水等；其他需水主要包括冲沙需水、河道蒸发和渗漏需水等；生态流量的组成包括生态基流和敏感期生态流量，工程影响河段范围无敏感生态保护对象的，生态流量为生态基流。</w:t>
      </w:r>
    </w:p>
    <w:p w14:paraId="02511149">
      <w:pPr>
        <w:spacing w:line="460" w:lineRule="exact"/>
        <w:ind w:firstLine="522" w:firstLineChars="200"/>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①水生生态需水</w:t>
      </w:r>
    </w:p>
    <w:p w14:paraId="12CCE5AF">
      <w:pPr>
        <w:spacing w:line="460" w:lineRule="exact"/>
        <w:ind w:firstLine="520" w:firstLineChars="200"/>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本项目所在海螺沟河段属于典型的山区型河流，</w:t>
      </w:r>
      <w:r>
        <w:rPr>
          <w:rFonts w:hint="eastAsia" w:ascii="Arial" w:hAnsi="Arial" w:eastAsia="宋体" w:cs="Arial"/>
          <w:color w:val="auto"/>
          <w:sz w:val="26"/>
          <w:szCs w:val="26"/>
          <w:lang w:eastAsia="zh-CN"/>
        </w:rPr>
        <w:t>鱼类资源匮乏，种类少，</w:t>
      </w:r>
      <w:r>
        <w:rPr>
          <w:rFonts w:hint="eastAsia" w:ascii="Arial" w:hAnsi="Arial" w:cs="Arial"/>
          <w:color w:val="auto"/>
          <w:sz w:val="26"/>
          <w:szCs w:val="26"/>
          <w:lang w:eastAsia="zh-CN"/>
        </w:rPr>
        <w:t>无珍稀濒危保护型鱼类分布，无鱼类“三场”</w:t>
      </w:r>
      <w:r>
        <w:rPr>
          <w:rFonts w:hint="eastAsia" w:ascii="Arial" w:hAnsi="Arial" w:eastAsia="宋体" w:cs="Arial"/>
          <w:bCs/>
          <w:sz w:val="26"/>
          <w:szCs w:val="26"/>
          <w:lang w:val="en-US" w:eastAsia="zh-CN"/>
        </w:rPr>
        <w:t>。本项目弃水量为12.96万m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val="en-US" w:eastAsia="zh-CN"/>
        </w:rPr>
        <w:t>/a，占坝址处多年平均来水量的12.34%，且下游河段两岸植被覆盖度高，水源涵养能力强，加上1.44km</w:t>
      </w:r>
      <w:r>
        <w:rPr>
          <w:rFonts w:hint="eastAsia" w:ascii="Arial" w:hAnsi="Arial" w:eastAsia="宋体" w:cs="Arial"/>
          <w:bCs/>
          <w:sz w:val="26"/>
          <w:szCs w:val="26"/>
          <w:vertAlign w:val="superscript"/>
          <w:lang w:val="en-US" w:eastAsia="zh-CN"/>
        </w:rPr>
        <w:t>2</w:t>
      </w:r>
      <w:r>
        <w:rPr>
          <w:rFonts w:hint="eastAsia" w:ascii="Arial" w:hAnsi="Arial" w:eastAsia="宋体" w:cs="Arial"/>
          <w:bCs/>
          <w:sz w:val="26"/>
          <w:szCs w:val="26"/>
          <w:lang w:val="en-US" w:eastAsia="zh-CN"/>
        </w:rPr>
        <w:t>集雨面积的产流、汇流，项目建设对减水河段水生生态影响小。但是，为了维护水生生物生态系统的稳定，必须考虑坝后下泄一定的生态基流量。</w:t>
      </w:r>
    </w:p>
    <w:p w14:paraId="5FF6A6F4">
      <w:pPr>
        <w:spacing w:line="460" w:lineRule="exact"/>
        <w:ind w:firstLine="522" w:firstLineChars="200"/>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②水环境需水</w:t>
      </w:r>
    </w:p>
    <w:p w14:paraId="57150182">
      <w:pPr>
        <w:spacing w:line="460" w:lineRule="exact"/>
        <w:ind w:firstLine="520" w:firstLineChars="200"/>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应根据水环境功能区或水功能区确定控制断面水质目标。根据现状调查，本项目坝址下游减水河段内无集中污染源排放，且未规划布置集中式工业园区、大型工矿企业，不会新增大型入河排污口，流域内污染源主要为农业面源、农村生活污染源。且根据现状监测结果可知，海螺沟流域枯水期、丰水期各监测断面各监测因子浓度均可满足</w:t>
      </w:r>
      <w:r>
        <w:rPr>
          <w:rFonts w:hint="eastAsia" w:ascii="Arial" w:hAnsi="Arial" w:eastAsia="宋体" w:cs="Arial"/>
          <w:bCs/>
          <w:sz w:val="26"/>
          <w:szCs w:val="26"/>
          <w:lang w:val="zh-CN" w:eastAsia="zh-CN"/>
        </w:rPr>
        <w:t>《地表水环境质量标准》（GB3838-2002）Ⅲ类水域标准。在采取库区水质保护、流域农业面源和生活污染源控制等措施后，</w:t>
      </w:r>
      <w:r>
        <w:rPr>
          <w:rFonts w:hint="eastAsia" w:ascii="Arial" w:hAnsi="Arial" w:eastAsia="宋体" w:cs="Arial"/>
          <w:bCs/>
          <w:sz w:val="26"/>
          <w:szCs w:val="26"/>
          <w:lang w:val="en-US" w:eastAsia="zh-CN"/>
        </w:rPr>
        <w:t>入河污染物大幅度削减，海螺沟流域内水质将进一步改善。本项目本项目弃水量为12.96万m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val="en-US" w:eastAsia="zh-CN"/>
        </w:rPr>
        <w:t>/a，占坝址处多年平均来水量的12.34%，且坝后减水河段两岸植被覆盖度高，水源涵养能力强，加上1.44km</w:t>
      </w:r>
      <w:r>
        <w:rPr>
          <w:rFonts w:hint="eastAsia" w:ascii="Arial" w:hAnsi="Arial" w:eastAsia="宋体" w:cs="Arial"/>
          <w:bCs/>
          <w:sz w:val="26"/>
          <w:szCs w:val="26"/>
          <w:vertAlign w:val="superscript"/>
          <w:lang w:val="en-US" w:eastAsia="zh-CN"/>
        </w:rPr>
        <w:t>2</w:t>
      </w:r>
      <w:r>
        <w:rPr>
          <w:rFonts w:hint="eastAsia" w:ascii="Arial" w:hAnsi="Arial" w:eastAsia="宋体" w:cs="Arial"/>
          <w:bCs/>
          <w:sz w:val="26"/>
          <w:szCs w:val="26"/>
          <w:lang w:val="en-US" w:eastAsia="zh-CN"/>
        </w:rPr>
        <w:t>集雨面积的产流、汇流，坝后减水河段不会出现水质恶化现象，无需额外增加污染物稀释、自净的环境功能用水量。</w:t>
      </w:r>
    </w:p>
    <w:p w14:paraId="2FBA0B44">
      <w:pPr>
        <w:spacing w:line="460" w:lineRule="exact"/>
        <w:ind w:firstLine="522" w:firstLineChars="200"/>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③湿地需水、景观需水和河口压咸需水</w:t>
      </w:r>
    </w:p>
    <w:p w14:paraId="16F8E425">
      <w:pPr>
        <w:spacing w:line="460" w:lineRule="exact"/>
        <w:ind w:firstLine="520" w:firstLineChars="200"/>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根据调查，本项目坝后减水河段内无自然保护区、风景名胜区、森林公园、旅游景区等，景观主要以河谷和水体为载体，视觉景观不敏感。</w:t>
      </w:r>
    </w:p>
    <w:p w14:paraId="50D3EBA2">
      <w:pPr>
        <w:spacing w:line="460" w:lineRule="exact"/>
        <w:ind w:firstLine="520" w:firstLineChars="200"/>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因此，本项目坝后不涉及湿地、景观和河口需水。</w:t>
      </w:r>
    </w:p>
    <w:p w14:paraId="7812720A">
      <w:pPr>
        <w:spacing w:line="460" w:lineRule="exact"/>
        <w:ind w:firstLine="522" w:firstLineChars="200"/>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④其他需水</w:t>
      </w:r>
    </w:p>
    <w:p w14:paraId="73298A1C">
      <w:pPr>
        <w:spacing w:line="460" w:lineRule="exact"/>
        <w:ind w:firstLine="520" w:firstLineChars="200"/>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根据水文地质调查，坝后减水段不涉及渗漏通道；项目区域降雨量大于蒸发量，同时减水河段水面蒸发消耗水量对于河道流量而言很少，由此引起的水量损耗不予考虑。</w:t>
      </w:r>
    </w:p>
    <w:p w14:paraId="2EFDB4D4">
      <w:pPr>
        <w:spacing w:line="460" w:lineRule="exact"/>
        <w:ind w:firstLine="520" w:firstLineChars="200"/>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因此坝后减水河段不涉及冲砂需水、河道蒸发和渗漏需水。</w:t>
      </w:r>
    </w:p>
    <w:p w14:paraId="6971B563">
      <w:pPr>
        <w:spacing w:line="460" w:lineRule="exact"/>
        <w:ind w:firstLine="522" w:firstLineChars="200"/>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⑤小结</w:t>
      </w:r>
    </w:p>
    <w:p w14:paraId="18CA02EC">
      <w:pPr>
        <w:spacing w:line="460" w:lineRule="exact"/>
        <w:ind w:firstLine="520" w:firstLineChars="200"/>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综上所述，海螺沟水库工程减水河段最小生态环境需水量主要考虑因素为维持水生生物生态系统稳定所需要的水生生态需水。</w:t>
      </w:r>
    </w:p>
    <w:p w14:paraId="301017BC">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（2）最低生态用水量计算</w:t>
      </w:r>
    </w:p>
    <w:p w14:paraId="4BB25723">
      <w:pPr>
        <w:spacing w:line="460" w:lineRule="exact"/>
        <w:ind w:firstLine="520" w:firstLineChars="200"/>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根据《水电水利建设项目河道生态用水、低温水和过鱼设施环境影响评价技术指</w:t>
      </w:r>
      <w:r>
        <w:rPr>
          <w:rFonts w:hint="eastAsia" w:ascii="宋体" w:hAnsi="宋体" w:eastAsia="宋体" w:cs="宋体"/>
          <w:bCs/>
          <w:sz w:val="26"/>
          <w:szCs w:val="26"/>
          <w:lang w:val="en-US" w:eastAsia="zh-CN"/>
        </w:rPr>
        <w:t>南(试行)》(环</w:t>
      </w:r>
      <w:r>
        <w:rPr>
          <w:rFonts w:hint="eastAsia" w:ascii="Arial" w:hAnsi="Arial" w:eastAsia="宋体" w:cs="Arial"/>
          <w:bCs/>
          <w:sz w:val="26"/>
          <w:szCs w:val="26"/>
          <w:lang w:val="en-US" w:eastAsia="zh-CN"/>
        </w:rPr>
        <w:t>评函</w:t>
      </w:r>
      <w:r>
        <w:rPr>
          <w:rFonts w:hint="eastAsia" w:ascii="宋体" w:hAnsi="宋体" w:eastAsia="宋体" w:cs="宋体"/>
          <w:bCs/>
          <w:sz w:val="26"/>
          <w:szCs w:val="26"/>
          <w:lang w:val="en-US" w:eastAsia="zh-CN"/>
        </w:rPr>
        <w:t>〔</w:t>
      </w:r>
      <w:r>
        <w:rPr>
          <w:rFonts w:hint="eastAsia" w:ascii="Arial" w:hAnsi="Arial" w:eastAsia="宋体" w:cs="Arial"/>
          <w:bCs/>
          <w:sz w:val="26"/>
          <w:szCs w:val="26"/>
          <w:lang w:val="en-US" w:eastAsia="zh-CN"/>
        </w:rPr>
        <w:t>2006</w:t>
      </w:r>
      <w:r>
        <w:rPr>
          <w:rFonts w:hint="eastAsia" w:ascii="宋体" w:hAnsi="宋体" w:eastAsia="宋体" w:cs="宋体"/>
          <w:bCs/>
          <w:sz w:val="26"/>
          <w:szCs w:val="26"/>
          <w:lang w:val="en-US" w:eastAsia="zh-CN"/>
        </w:rPr>
        <w:t>〕</w:t>
      </w:r>
      <w:r>
        <w:rPr>
          <w:rFonts w:hint="eastAsia" w:ascii="Arial" w:hAnsi="Arial" w:eastAsia="宋体" w:cs="Arial"/>
          <w:bCs/>
          <w:sz w:val="26"/>
          <w:szCs w:val="26"/>
          <w:lang w:val="en-US" w:eastAsia="zh-CN"/>
        </w:rPr>
        <w:t>4号）、《环境影响评价技术导则 地表水环境》（HJ2.3-2018）、《水利水电工程生态流量计算与泄放设计规范</w:t>
      </w:r>
      <w:r>
        <w:rPr>
          <w:rFonts w:hint="eastAsia" w:ascii="宋体" w:hAnsi="宋体" w:eastAsia="宋体" w:cs="宋体"/>
          <w:bCs/>
          <w:sz w:val="26"/>
          <w:szCs w:val="26"/>
          <w:lang w:val="en-US" w:eastAsia="zh-CN"/>
        </w:rPr>
        <w:t>》(</w:t>
      </w:r>
      <w:r>
        <w:rPr>
          <w:rFonts w:hint="eastAsia" w:ascii="Arial" w:hAnsi="Arial" w:eastAsia="宋体" w:cs="Arial"/>
          <w:bCs/>
          <w:sz w:val="26"/>
          <w:szCs w:val="26"/>
          <w:lang w:val="en-US" w:eastAsia="zh-CN"/>
        </w:rPr>
        <w:t>LT820 -2023），对生态基流下泄指标有多种计算方法，如下表所示：</w:t>
      </w:r>
    </w:p>
    <w:p w14:paraId="2C1D4F35">
      <w:pPr>
        <w:spacing w:line="460" w:lineRule="exact"/>
        <w:ind w:firstLine="520" w:firstLineChars="200"/>
        <w:rPr>
          <w:rFonts w:hint="eastAsia" w:ascii="Arial" w:hAnsi="Arial" w:eastAsia="宋体" w:cs="Arial"/>
          <w:bCs/>
          <w:sz w:val="26"/>
          <w:szCs w:val="26"/>
          <w:lang w:val="en-US" w:eastAsia="zh-CN"/>
        </w:rPr>
      </w:pPr>
    </w:p>
    <w:p w14:paraId="3654173C">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表6.5-6 生态基流指标计算方法</w:t>
      </w:r>
    </w:p>
    <w:tbl>
      <w:tblPr>
        <w:tblStyle w:val="1893"/>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4"/>
        <w:gridCol w:w="1279"/>
        <w:gridCol w:w="719"/>
        <w:gridCol w:w="3176"/>
        <w:gridCol w:w="3142"/>
      </w:tblGrid>
      <w:tr w14:paraId="0A938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684" w:type="dxa"/>
            <w:vAlign w:val="center"/>
          </w:tcPr>
          <w:p w14:paraId="7FF8401C">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序号</w:t>
            </w:r>
          </w:p>
        </w:tc>
        <w:tc>
          <w:tcPr>
            <w:tcW w:w="1279" w:type="dxa"/>
            <w:vAlign w:val="center"/>
          </w:tcPr>
          <w:p w14:paraId="4AE9181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3"/>
                <w:sz w:val="22"/>
                <w:szCs w:val="22"/>
              </w:rPr>
              <w:t>方法</w:t>
            </w:r>
          </w:p>
        </w:tc>
        <w:tc>
          <w:tcPr>
            <w:tcW w:w="719" w:type="dxa"/>
            <w:vAlign w:val="center"/>
          </w:tcPr>
          <w:p w14:paraId="26ED171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3"/>
                <w:sz w:val="22"/>
                <w:szCs w:val="22"/>
              </w:rPr>
              <w:t>方法</w:t>
            </w:r>
          </w:p>
        </w:tc>
        <w:tc>
          <w:tcPr>
            <w:tcW w:w="3176" w:type="dxa"/>
            <w:vAlign w:val="center"/>
          </w:tcPr>
          <w:p w14:paraId="1607577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3"/>
                <w:sz w:val="22"/>
                <w:szCs w:val="22"/>
              </w:rPr>
              <w:t>指标表达</w:t>
            </w:r>
          </w:p>
        </w:tc>
        <w:tc>
          <w:tcPr>
            <w:tcW w:w="3142" w:type="dxa"/>
            <w:vAlign w:val="center"/>
          </w:tcPr>
          <w:p w14:paraId="3F82443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适用条件及特点</w:t>
            </w:r>
          </w:p>
        </w:tc>
      </w:tr>
      <w:tr w14:paraId="65416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684" w:type="dxa"/>
            <w:vAlign w:val="center"/>
          </w:tcPr>
          <w:p w14:paraId="221721C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1</w:t>
            </w:r>
          </w:p>
        </w:tc>
        <w:tc>
          <w:tcPr>
            <w:tcW w:w="1279" w:type="dxa"/>
            <w:vAlign w:val="center"/>
          </w:tcPr>
          <w:p w14:paraId="59AB1FF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Tennant法</w:t>
            </w:r>
          </w:p>
        </w:tc>
        <w:tc>
          <w:tcPr>
            <w:tcW w:w="719" w:type="dxa"/>
            <w:vAlign w:val="center"/>
          </w:tcPr>
          <w:p w14:paraId="516348EC">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水文</w:t>
            </w:r>
            <w:r>
              <w:rPr>
                <w:rFonts w:hint="default" w:ascii="Arial" w:hAnsi="Arial" w:cs="Arial"/>
                <w:sz w:val="22"/>
                <w:szCs w:val="22"/>
              </w:rPr>
              <w:t xml:space="preserve"> </w:t>
            </w:r>
            <w:r>
              <w:rPr>
                <w:rFonts w:hint="default" w:ascii="Arial" w:hAnsi="Arial" w:cs="Arial"/>
                <w:spacing w:val="6"/>
                <w:sz w:val="22"/>
                <w:szCs w:val="22"/>
              </w:rPr>
              <w:t>法学</w:t>
            </w:r>
          </w:p>
        </w:tc>
        <w:tc>
          <w:tcPr>
            <w:tcW w:w="3176" w:type="dxa"/>
            <w:vAlign w:val="center"/>
          </w:tcPr>
          <w:p w14:paraId="3A6DC69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将多年评价流量的10%-30%作为</w:t>
            </w:r>
            <w:r>
              <w:rPr>
                <w:rFonts w:hint="default" w:ascii="Arial" w:hAnsi="Arial" w:cs="Arial"/>
                <w:spacing w:val="9"/>
                <w:sz w:val="22"/>
                <w:szCs w:val="22"/>
              </w:rPr>
              <w:t xml:space="preserve"> </w:t>
            </w:r>
            <w:r>
              <w:rPr>
                <w:rFonts w:hint="default" w:ascii="Arial" w:hAnsi="Arial" w:cs="Arial"/>
                <w:spacing w:val="-2"/>
                <w:sz w:val="22"/>
                <w:szCs w:val="22"/>
              </w:rPr>
              <w:t>生态基流</w:t>
            </w:r>
          </w:p>
        </w:tc>
        <w:tc>
          <w:tcPr>
            <w:tcW w:w="3142" w:type="dxa"/>
            <w:vAlign w:val="center"/>
          </w:tcPr>
          <w:p w14:paraId="72BFE60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适用于流量较大的河流；拥有长</w:t>
            </w:r>
          </w:p>
          <w:p w14:paraId="088AA14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序列水文资料。方法简单快速</w:t>
            </w:r>
          </w:p>
        </w:tc>
      </w:tr>
      <w:tr w14:paraId="3B61D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jc w:val="center"/>
        </w:trPr>
        <w:tc>
          <w:tcPr>
            <w:tcW w:w="684" w:type="dxa"/>
            <w:vAlign w:val="center"/>
          </w:tcPr>
          <w:p w14:paraId="09EFDD5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2</w:t>
            </w:r>
          </w:p>
        </w:tc>
        <w:tc>
          <w:tcPr>
            <w:tcW w:w="1279" w:type="dxa"/>
            <w:vAlign w:val="center"/>
          </w:tcPr>
          <w:p w14:paraId="36074C3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90%保证率</w:t>
            </w:r>
            <w:r>
              <w:rPr>
                <w:rFonts w:hint="default" w:ascii="Arial" w:hAnsi="Arial" w:cs="Arial"/>
                <w:spacing w:val="1"/>
                <w:sz w:val="22"/>
                <w:szCs w:val="22"/>
              </w:rPr>
              <w:t xml:space="preserve"> </w:t>
            </w:r>
            <w:r>
              <w:rPr>
                <w:rFonts w:hint="default" w:ascii="Arial" w:hAnsi="Arial" w:cs="Arial"/>
                <w:sz w:val="22"/>
                <w:szCs w:val="22"/>
              </w:rPr>
              <w:t>法</w:t>
            </w:r>
          </w:p>
        </w:tc>
        <w:tc>
          <w:tcPr>
            <w:tcW w:w="719" w:type="dxa"/>
            <w:vAlign w:val="center"/>
          </w:tcPr>
          <w:p w14:paraId="6496F2D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水文</w:t>
            </w:r>
            <w:r>
              <w:rPr>
                <w:rFonts w:hint="default" w:ascii="Arial" w:hAnsi="Arial" w:cs="Arial"/>
                <w:sz w:val="22"/>
                <w:szCs w:val="22"/>
              </w:rPr>
              <w:t xml:space="preserve"> </w:t>
            </w:r>
            <w:r>
              <w:rPr>
                <w:rFonts w:hint="default" w:ascii="Arial" w:hAnsi="Arial" w:cs="Arial"/>
                <w:spacing w:val="6"/>
                <w:sz w:val="22"/>
                <w:szCs w:val="22"/>
              </w:rPr>
              <w:t>法学</w:t>
            </w:r>
          </w:p>
        </w:tc>
        <w:tc>
          <w:tcPr>
            <w:tcW w:w="3176" w:type="dxa"/>
            <w:vAlign w:val="center"/>
          </w:tcPr>
          <w:p w14:paraId="009F7A1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90%保证率最枯月平均流量</w:t>
            </w:r>
          </w:p>
        </w:tc>
        <w:tc>
          <w:tcPr>
            <w:tcW w:w="3142" w:type="dxa"/>
            <w:vAlign w:val="center"/>
          </w:tcPr>
          <w:p w14:paraId="05E7CAB7">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适合水资源量小，且开发利用程</w:t>
            </w:r>
          </w:p>
          <w:p w14:paraId="3F4FCDF7">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度已经较高的河流；要求拥有长</w:t>
            </w:r>
          </w:p>
          <w:p w14:paraId="25B3D43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序列水文资料。</w:t>
            </w:r>
          </w:p>
        </w:tc>
      </w:tr>
      <w:tr w14:paraId="52467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684" w:type="dxa"/>
            <w:vAlign w:val="center"/>
          </w:tcPr>
          <w:p w14:paraId="5472722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3</w:t>
            </w:r>
          </w:p>
        </w:tc>
        <w:tc>
          <w:tcPr>
            <w:tcW w:w="1279" w:type="dxa"/>
            <w:vAlign w:val="center"/>
          </w:tcPr>
          <w:p w14:paraId="5F98484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近十年最枯</w:t>
            </w:r>
          </w:p>
          <w:p w14:paraId="73C7015A">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月流量法</w:t>
            </w:r>
          </w:p>
        </w:tc>
        <w:tc>
          <w:tcPr>
            <w:tcW w:w="719" w:type="dxa"/>
            <w:vAlign w:val="center"/>
          </w:tcPr>
          <w:p w14:paraId="7AE3215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水文</w:t>
            </w:r>
            <w:r>
              <w:rPr>
                <w:rFonts w:hint="default" w:ascii="Arial" w:hAnsi="Arial" w:cs="Arial"/>
                <w:sz w:val="22"/>
                <w:szCs w:val="22"/>
              </w:rPr>
              <w:t xml:space="preserve"> </w:t>
            </w:r>
            <w:r>
              <w:rPr>
                <w:rFonts w:hint="default" w:ascii="Arial" w:hAnsi="Arial" w:cs="Arial"/>
                <w:spacing w:val="6"/>
                <w:sz w:val="22"/>
                <w:szCs w:val="22"/>
              </w:rPr>
              <w:t>法学</w:t>
            </w:r>
          </w:p>
        </w:tc>
        <w:tc>
          <w:tcPr>
            <w:tcW w:w="3176" w:type="dxa"/>
            <w:vAlign w:val="center"/>
          </w:tcPr>
          <w:p w14:paraId="4F0DB0B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近十年最枯月平均流量</w:t>
            </w:r>
          </w:p>
        </w:tc>
        <w:tc>
          <w:tcPr>
            <w:tcW w:w="3142" w:type="dxa"/>
            <w:vAlign w:val="center"/>
          </w:tcPr>
          <w:p w14:paraId="2C3DE1C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与90%保证率法相同，均用于纳</w:t>
            </w:r>
            <w:r>
              <w:rPr>
                <w:rFonts w:hint="default" w:ascii="Arial" w:hAnsi="Arial" w:cs="Arial"/>
                <w:spacing w:val="13"/>
                <w:sz w:val="22"/>
                <w:szCs w:val="22"/>
              </w:rPr>
              <w:t xml:space="preserve"> </w:t>
            </w:r>
            <w:r>
              <w:rPr>
                <w:rFonts w:hint="default" w:ascii="Arial" w:hAnsi="Arial" w:cs="Arial"/>
                <w:spacing w:val="2"/>
                <w:sz w:val="22"/>
                <w:szCs w:val="22"/>
              </w:rPr>
              <w:t>污能力计算</w:t>
            </w:r>
          </w:p>
        </w:tc>
      </w:tr>
      <w:tr w14:paraId="5C1C2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jc w:val="center"/>
        </w:trPr>
        <w:tc>
          <w:tcPr>
            <w:tcW w:w="684" w:type="dxa"/>
            <w:vAlign w:val="center"/>
          </w:tcPr>
          <w:p w14:paraId="0935011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4</w:t>
            </w:r>
          </w:p>
        </w:tc>
        <w:tc>
          <w:tcPr>
            <w:tcW w:w="1279" w:type="dxa"/>
            <w:vAlign w:val="center"/>
          </w:tcPr>
          <w:p w14:paraId="5370C87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5"/>
                <w:sz w:val="22"/>
                <w:szCs w:val="22"/>
              </w:rPr>
              <w:t>流量历时曲</w:t>
            </w:r>
            <w:r>
              <w:rPr>
                <w:rFonts w:hint="default" w:ascii="Arial" w:hAnsi="Arial" w:cs="Arial"/>
                <w:sz w:val="22"/>
                <w:szCs w:val="22"/>
              </w:rPr>
              <w:t xml:space="preserve"> </w:t>
            </w:r>
            <w:r>
              <w:rPr>
                <w:rFonts w:hint="default" w:ascii="Arial" w:hAnsi="Arial" w:cs="Arial"/>
                <w:spacing w:val="-3"/>
                <w:sz w:val="22"/>
                <w:szCs w:val="22"/>
              </w:rPr>
              <w:t>线法</w:t>
            </w:r>
          </w:p>
        </w:tc>
        <w:tc>
          <w:tcPr>
            <w:tcW w:w="719" w:type="dxa"/>
            <w:vAlign w:val="center"/>
          </w:tcPr>
          <w:p w14:paraId="46C8FD6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水文</w:t>
            </w:r>
            <w:r>
              <w:rPr>
                <w:rFonts w:hint="default" w:ascii="Arial" w:hAnsi="Arial" w:cs="Arial"/>
                <w:sz w:val="22"/>
                <w:szCs w:val="22"/>
              </w:rPr>
              <w:t xml:space="preserve"> </w:t>
            </w:r>
            <w:r>
              <w:rPr>
                <w:rFonts w:hint="default" w:ascii="Arial" w:hAnsi="Arial" w:cs="Arial"/>
                <w:spacing w:val="6"/>
                <w:sz w:val="22"/>
                <w:szCs w:val="22"/>
              </w:rPr>
              <w:t>法学</w:t>
            </w:r>
          </w:p>
        </w:tc>
        <w:tc>
          <w:tcPr>
            <w:tcW w:w="3176" w:type="dxa"/>
            <w:vAlign w:val="center"/>
          </w:tcPr>
          <w:p w14:paraId="2CEA17B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利用历史流量资料构建各月流量</w:t>
            </w:r>
          </w:p>
          <w:p w14:paraId="357ED6B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历时曲线，以90%保证率对应流</w:t>
            </w:r>
          </w:p>
          <w:p w14:paraId="379188D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量作为生态基流</w:t>
            </w:r>
          </w:p>
        </w:tc>
        <w:tc>
          <w:tcPr>
            <w:tcW w:w="3142" w:type="dxa"/>
            <w:vAlign w:val="center"/>
          </w:tcPr>
          <w:p w14:paraId="0F82FDC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简单快速，同时考虑了各个月份</w:t>
            </w:r>
          </w:p>
          <w:p w14:paraId="540CEF9C">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流量的差异。需分析至少20年</w:t>
            </w:r>
          </w:p>
          <w:p w14:paraId="2AF880D7">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的日均流量资料</w:t>
            </w:r>
          </w:p>
        </w:tc>
      </w:tr>
      <w:tr w14:paraId="67611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jc w:val="center"/>
        </w:trPr>
        <w:tc>
          <w:tcPr>
            <w:tcW w:w="684" w:type="dxa"/>
            <w:vAlign w:val="center"/>
          </w:tcPr>
          <w:p w14:paraId="1FA5955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5</w:t>
            </w:r>
          </w:p>
        </w:tc>
        <w:tc>
          <w:tcPr>
            <w:tcW w:w="1279" w:type="dxa"/>
            <w:vAlign w:val="center"/>
          </w:tcPr>
          <w:p w14:paraId="3C5BAC0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7Q10法</w:t>
            </w:r>
          </w:p>
        </w:tc>
        <w:tc>
          <w:tcPr>
            <w:tcW w:w="719" w:type="dxa"/>
            <w:vAlign w:val="center"/>
          </w:tcPr>
          <w:p w14:paraId="2BF2A9A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6"/>
                <w:sz w:val="22"/>
                <w:szCs w:val="22"/>
              </w:rPr>
              <w:t>水文</w:t>
            </w:r>
            <w:r>
              <w:rPr>
                <w:rFonts w:hint="default" w:ascii="Arial" w:hAnsi="Arial" w:cs="Arial"/>
                <w:sz w:val="22"/>
                <w:szCs w:val="22"/>
              </w:rPr>
              <w:t xml:space="preserve"> </w:t>
            </w:r>
            <w:r>
              <w:rPr>
                <w:rFonts w:hint="default" w:ascii="Arial" w:hAnsi="Arial" w:cs="Arial"/>
                <w:spacing w:val="6"/>
                <w:sz w:val="22"/>
                <w:szCs w:val="22"/>
              </w:rPr>
              <w:t>法学</w:t>
            </w:r>
          </w:p>
        </w:tc>
        <w:tc>
          <w:tcPr>
            <w:tcW w:w="3176" w:type="dxa"/>
            <w:vAlign w:val="center"/>
          </w:tcPr>
          <w:p w14:paraId="5A15595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90%保证率最枯连续7天的平均</w:t>
            </w:r>
            <w:r>
              <w:rPr>
                <w:rFonts w:hint="default" w:ascii="Arial" w:hAnsi="Arial" w:cs="Arial"/>
                <w:spacing w:val="13"/>
                <w:sz w:val="22"/>
                <w:szCs w:val="22"/>
              </w:rPr>
              <w:t xml:space="preserve"> </w:t>
            </w:r>
            <w:r>
              <w:rPr>
                <w:rFonts w:hint="default" w:ascii="Arial" w:hAnsi="Arial" w:cs="Arial"/>
                <w:spacing w:val="-3"/>
                <w:sz w:val="22"/>
                <w:szCs w:val="22"/>
              </w:rPr>
              <w:t>流量</w:t>
            </w:r>
          </w:p>
        </w:tc>
        <w:tc>
          <w:tcPr>
            <w:tcW w:w="3142" w:type="dxa"/>
            <w:vAlign w:val="center"/>
          </w:tcPr>
          <w:p w14:paraId="5A05D8D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水资源量小，且开发利用程度已</w:t>
            </w:r>
          </w:p>
          <w:p w14:paraId="5D25C33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经较高的河流；拥有长序列水文</w:t>
            </w:r>
          </w:p>
          <w:p w14:paraId="3AF1653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3"/>
                <w:sz w:val="22"/>
                <w:szCs w:val="22"/>
              </w:rPr>
              <w:t>资料</w:t>
            </w:r>
          </w:p>
        </w:tc>
      </w:tr>
      <w:tr w14:paraId="29B48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jc w:val="center"/>
        </w:trPr>
        <w:tc>
          <w:tcPr>
            <w:tcW w:w="684" w:type="dxa"/>
            <w:vAlign w:val="center"/>
          </w:tcPr>
          <w:p w14:paraId="31B1919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6</w:t>
            </w:r>
          </w:p>
        </w:tc>
        <w:tc>
          <w:tcPr>
            <w:tcW w:w="1279" w:type="dxa"/>
            <w:vAlign w:val="center"/>
          </w:tcPr>
          <w:p w14:paraId="69AB100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R2-Cross</w:t>
            </w:r>
            <w:r>
              <w:rPr>
                <w:rFonts w:hint="default" w:ascii="Arial" w:hAnsi="Arial" w:cs="Arial"/>
                <w:sz w:val="22"/>
                <w:szCs w:val="22"/>
              </w:rPr>
              <w:t xml:space="preserve"> 法</w:t>
            </w:r>
          </w:p>
        </w:tc>
        <w:tc>
          <w:tcPr>
            <w:tcW w:w="719" w:type="dxa"/>
            <w:vAlign w:val="center"/>
          </w:tcPr>
          <w:p w14:paraId="447798E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9"/>
                <w:sz w:val="22"/>
                <w:szCs w:val="22"/>
              </w:rPr>
              <w:t>水力</w:t>
            </w:r>
            <w:r>
              <w:rPr>
                <w:rFonts w:hint="default" w:ascii="Arial" w:hAnsi="Arial" w:cs="Arial"/>
                <w:sz w:val="22"/>
                <w:szCs w:val="22"/>
              </w:rPr>
              <w:t xml:space="preserve"> </w:t>
            </w:r>
            <w:r>
              <w:rPr>
                <w:rFonts w:hint="default" w:ascii="Arial" w:hAnsi="Arial" w:cs="Arial"/>
                <w:spacing w:val="6"/>
                <w:sz w:val="22"/>
                <w:szCs w:val="22"/>
              </w:rPr>
              <w:t>法学</w:t>
            </w:r>
          </w:p>
        </w:tc>
        <w:tc>
          <w:tcPr>
            <w:tcW w:w="3176" w:type="dxa"/>
            <w:vAlign w:val="center"/>
          </w:tcPr>
          <w:p w14:paraId="7871FBD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以河流平均水深、流速及湿周率</w:t>
            </w:r>
          </w:p>
          <w:p w14:paraId="1A10C91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等水力生境参数评估鱼类生境状</w:t>
            </w:r>
          </w:p>
          <w:p w14:paraId="09185DA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况，可用于计算分析小型河流的</w:t>
            </w:r>
          </w:p>
          <w:p w14:paraId="733C315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水生生物生态基流</w:t>
            </w:r>
          </w:p>
        </w:tc>
        <w:tc>
          <w:tcPr>
            <w:tcW w:w="3142" w:type="dxa"/>
            <w:vAlign w:val="center"/>
          </w:tcPr>
          <w:p w14:paraId="52B6D591">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7CC5498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需要测量大断面地形；适用于非</w:t>
            </w:r>
            <w:r>
              <w:rPr>
                <w:rFonts w:hint="default" w:ascii="Arial" w:hAnsi="Arial" w:cs="Arial"/>
                <w:spacing w:val="8"/>
                <w:sz w:val="22"/>
                <w:szCs w:val="22"/>
              </w:rPr>
              <w:t xml:space="preserve"> </w:t>
            </w:r>
            <w:r>
              <w:rPr>
                <w:rFonts w:hint="default" w:ascii="Arial" w:hAnsi="Arial" w:cs="Arial"/>
                <w:spacing w:val="-2"/>
                <w:sz w:val="22"/>
                <w:szCs w:val="22"/>
              </w:rPr>
              <w:t>季节性中小河流</w:t>
            </w:r>
          </w:p>
        </w:tc>
      </w:tr>
      <w:tr w14:paraId="24CF3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3" w:hRule="atLeast"/>
          <w:jc w:val="center"/>
        </w:trPr>
        <w:tc>
          <w:tcPr>
            <w:tcW w:w="684" w:type="dxa"/>
            <w:vAlign w:val="center"/>
          </w:tcPr>
          <w:p w14:paraId="236ECD8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z w:val="22"/>
                <w:szCs w:val="22"/>
              </w:rPr>
              <w:t>7</w:t>
            </w:r>
          </w:p>
        </w:tc>
        <w:tc>
          <w:tcPr>
            <w:tcW w:w="1279" w:type="dxa"/>
            <w:vAlign w:val="center"/>
          </w:tcPr>
          <w:p w14:paraId="4BFFA38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2"/>
                <w:sz w:val="22"/>
                <w:szCs w:val="22"/>
              </w:rPr>
              <w:t>湿周法</w:t>
            </w:r>
          </w:p>
        </w:tc>
        <w:tc>
          <w:tcPr>
            <w:tcW w:w="719" w:type="dxa"/>
            <w:vAlign w:val="center"/>
          </w:tcPr>
          <w:p w14:paraId="51D6EAE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9"/>
                <w:sz w:val="22"/>
                <w:szCs w:val="22"/>
              </w:rPr>
              <w:t>水力</w:t>
            </w:r>
            <w:r>
              <w:rPr>
                <w:rFonts w:hint="default" w:ascii="Arial" w:hAnsi="Arial" w:cs="Arial"/>
                <w:sz w:val="22"/>
                <w:szCs w:val="22"/>
              </w:rPr>
              <w:t xml:space="preserve"> </w:t>
            </w:r>
            <w:r>
              <w:rPr>
                <w:rFonts w:hint="default" w:ascii="Arial" w:hAnsi="Arial" w:cs="Arial"/>
                <w:spacing w:val="3"/>
                <w:sz w:val="22"/>
                <w:szCs w:val="22"/>
              </w:rPr>
              <w:t>学法</w:t>
            </w:r>
          </w:p>
        </w:tc>
        <w:tc>
          <w:tcPr>
            <w:tcW w:w="3176" w:type="dxa"/>
            <w:vAlign w:val="center"/>
          </w:tcPr>
          <w:p w14:paraId="6F277D1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采用湿周作为评价水生生物栖息</w:t>
            </w:r>
          </w:p>
          <w:p w14:paraId="686FFF9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地质量的制备，通过</w:t>
            </w:r>
            <w:r>
              <w:rPr>
                <w:rFonts w:hint="default" w:ascii="Arial" w:hAnsi="Arial" w:cs="Arial"/>
                <w:spacing w:val="1"/>
                <w:sz w:val="22"/>
                <w:szCs w:val="22"/>
                <w:u w:val="single" w:color="auto"/>
              </w:rPr>
              <w:t>建</w:t>
            </w:r>
            <w:r>
              <w:rPr>
                <w:rFonts w:hint="default" w:ascii="Arial" w:hAnsi="Arial" w:cs="Arial"/>
                <w:spacing w:val="1"/>
                <w:sz w:val="22"/>
                <w:szCs w:val="22"/>
              </w:rPr>
              <w:t>立湿周与</w:t>
            </w:r>
          </w:p>
          <w:p w14:paraId="7327278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流量之间的关系曲线进行评估。</w:t>
            </w:r>
          </w:p>
          <w:p w14:paraId="4E9A631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可根据湿周流量关系曲线的转</w:t>
            </w:r>
          </w:p>
          <w:p w14:paraId="1E7344B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折点确定水生生物生态基流</w:t>
            </w:r>
          </w:p>
        </w:tc>
        <w:tc>
          <w:tcPr>
            <w:tcW w:w="3142" w:type="dxa"/>
            <w:vAlign w:val="center"/>
          </w:tcPr>
          <w:p w14:paraId="70AF2A92">
            <w:pPr>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p>
          <w:p w14:paraId="730EDC7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cs="Arial"/>
                <w:sz w:val="22"/>
                <w:szCs w:val="22"/>
              </w:rPr>
            </w:pPr>
            <w:r>
              <w:rPr>
                <w:rFonts w:hint="default" w:ascii="Arial" w:hAnsi="Arial" w:cs="Arial"/>
                <w:spacing w:val="-1"/>
                <w:sz w:val="22"/>
                <w:szCs w:val="22"/>
              </w:rPr>
              <w:t>适用于河床性状稳定的宽浅矩</w:t>
            </w:r>
            <w:r>
              <w:rPr>
                <w:rFonts w:hint="default" w:ascii="Arial" w:hAnsi="Arial" w:cs="Arial"/>
                <w:spacing w:val="3"/>
                <w:sz w:val="22"/>
                <w:szCs w:val="22"/>
              </w:rPr>
              <w:t xml:space="preserve"> </w:t>
            </w:r>
            <w:r>
              <w:rPr>
                <w:rFonts w:hint="default" w:ascii="Arial" w:hAnsi="Arial" w:cs="Arial"/>
                <w:sz w:val="22"/>
                <w:szCs w:val="22"/>
              </w:rPr>
              <w:t>形和抛物线型断面的河道</w:t>
            </w:r>
          </w:p>
        </w:tc>
      </w:tr>
    </w:tbl>
    <w:p w14:paraId="0D83FBC4">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default" w:ascii="Arial" w:hAnsi="Arial" w:eastAsia="宋体" w:cs="Arial"/>
          <w:bCs/>
          <w:sz w:val="26"/>
          <w:szCs w:val="26"/>
          <w:lang w:val="en-US" w:eastAsia="zh-CN"/>
        </w:rPr>
      </w:pPr>
    </w:p>
    <w:p w14:paraId="7FCF615D">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由项目所在河流特征，以及掌握的水文资料，本次评价分别采用Tennant法 、90%保证率法、近十年最枯月流量法进行计算分析。</w:t>
      </w:r>
    </w:p>
    <w:p w14:paraId="4D5E9A3E">
      <w:pPr>
        <w:keepNext w:val="0"/>
        <w:keepLines w:val="0"/>
        <w:pageBreakBefore w:val="0"/>
        <w:widowControl w:val="0"/>
        <w:kinsoku/>
        <w:wordWrap/>
        <w:overflowPunct/>
        <w:topLinePunct w:val="0"/>
        <w:bidi w:val="0"/>
        <w:snapToGrid/>
        <w:spacing w:line="460" w:lineRule="exact"/>
        <w:ind w:firstLine="522" w:firstLineChars="200"/>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①Tennant法</w:t>
      </w:r>
    </w:p>
    <w:p w14:paraId="53D64910">
      <w:pPr>
        <w:keepNext w:val="0"/>
        <w:keepLines w:val="0"/>
        <w:pageBreakBefore w:val="0"/>
        <w:widowControl w:val="0"/>
        <w:kinsoku/>
        <w:wordWrap/>
        <w:overflowPunct/>
        <w:topLinePunct w:val="0"/>
        <w:bidi w:val="0"/>
        <w:snapToGrid/>
        <w:spacing w:line="460" w:lineRule="exact"/>
        <w:ind w:firstLine="520" w:firstLineChars="200"/>
        <w:textAlignment w:val="auto"/>
        <w:rPr>
          <w:rFonts w:hint="default" w:ascii="Arial" w:hAnsi="Arial" w:eastAsia="宋体" w:cs="Arial"/>
          <w:bCs/>
          <w:sz w:val="26"/>
          <w:szCs w:val="26"/>
          <w:lang w:val="en-US" w:eastAsia="zh-CN"/>
        </w:rPr>
      </w:pPr>
      <w:r>
        <w:rPr>
          <w:rFonts w:hint="eastAsia" w:ascii="Arial" w:hAnsi="Arial" w:eastAsia="宋体" w:cs="Arial"/>
          <w:bCs/>
          <w:sz w:val="26"/>
          <w:szCs w:val="26"/>
          <w:lang w:val="en-US" w:eastAsia="zh-CN"/>
        </w:rPr>
        <w:t>Tennant法将多年平均流量的10%作为最小生态基流，海螺沟水库坝址处多年平均流量为0.033m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val="en-US" w:eastAsia="zh-CN"/>
        </w:rPr>
        <w:t>/s，则下泄生态流量不应小于0.0033m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val="en-US" w:eastAsia="zh-CN"/>
        </w:rPr>
        <w:t>/s。</w:t>
      </w:r>
    </w:p>
    <w:p w14:paraId="28A7E889">
      <w:pPr>
        <w:keepNext w:val="0"/>
        <w:keepLines w:val="0"/>
        <w:pageBreakBefore w:val="0"/>
        <w:widowControl w:val="0"/>
        <w:kinsoku/>
        <w:wordWrap/>
        <w:overflowPunct/>
        <w:topLinePunct w:val="0"/>
        <w:bidi w:val="0"/>
        <w:snapToGrid/>
        <w:spacing w:line="460" w:lineRule="exact"/>
        <w:ind w:firstLine="522" w:firstLineChars="200"/>
        <w:textAlignment w:val="auto"/>
        <w:rPr>
          <w:rFonts w:hint="default" w:ascii="Arial" w:hAnsi="Arial" w:eastAsia="宋体" w:cs="Arial"/>
          <w:b/>
          <w:bCs w:val="0"/>
          <w:sz w:val="26"/>
          <w:szCs w:val="26"/>
          <w:lang w:val="en-US" w:eastAsia="zh-CN"/>
        </w:rPr>
      </w:pPr>
      <w:r>
        <w:rPr>
          <w:rFonts w:hint="default" w:ascii="Arial" w:hAnsi="Arial" w:eastAsia="宋体" w:cs="Arial"/>
          <w:b/>
          <w:bCs w:val="0"/>
          <w:sz w:val="26"/>
          <w:szCs w:val="26"/>
          <w:lang w:val="en-US" w:eastAsia="zh-CN"/>
        </w:rPr>
        <w:t>②</w:t>
      </w:r>
      <w:r>
        <w:rPr>
          <w:rFonts w:hint="eastAsia" w:ascii="Arial" w:hAnsi="Arial" w:eastAsia="宋体" w:cs="Arial"/>
          <w:b/>
          <w:bCs w:val="0"/>
          <w:sz w:val="26"/>
          <w:szCs w:val="26"/>
          <w:lang w:val="en-US" w:eastAsia="zh-CN"/>
        </w:rPr>
        <w:t>90%保证率法</w:t>
      </w:r>
    </w:p>
    <w:p w14:paraId="4481E8D5">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90%保证率法是以长系列（n≥30年）天然月平均流量、月平均水位或径流量为基础，用每年的最枯月排频，选择不同频率下的最枯月平均流量、月平均水位或径流量作为基本生态环境需水量的最小值。</w:t>
      </w:r>
    </w:p>
    <w:p w14:paraId="367D3C18">
      <w:pPr>
        <w:keepNext w:val="0"/>
        <w:keepLines w:val="0"/>
        <w:pageBreakBefore w:val="0"/>
        <w:widowControl w:val="0"/>
        <w:kinsoku/>
        <w:wordWrap/>
        <w:overflowPunct/>
        <w:topLinePunct w:val="0"/>
        <w:bidi w:val="0"/>
        <w:snapToGrid/>
        <w:spacing w:line="460" w:lineRule="exact"/>
        <w:ind w:firstLine="520" w:firstLineChars="200"/>
        <w:textAlignment w:val="auto"/>
        <w:rPr>
          <w:rFonts w:hint="default" w:ascii="Arial" w:hAnsi="Arial" w:eastAsia="宋体" w:cs="Arial"/>
          <w:bCs/>
          <w:sz w:val="26"/>
          <w:szCs w:val="26"/>
          <w:lang w:val="en-US" w:eastAsia="zh-CN"/>
        </w:rPr>
      </w:pPr>
      <w:r>
        <w:rPr>
          <w:rFonts w:hint="eastAsia" w:ascii="Arial" w:hAnsi="Arial" w:eastAsia="宋体" w:cs="Arial"/>
          <w:bCs/>
          <w:sz w:val="26"/>
          <w:szCs w:val="26"/>
          <w:lang w:val="en-US" w:eastAsia="zh-CN"/>
        </w:rPr>
        <w:t>本项目径流计算以两河水文站为参证站，通过面积比并考虑降雨量修正推求海螺沟水库径流。将两河水文站1959~2018年径流系列按水利年（4月~次年3月）进行统计，经计算，海螺沟水库坝址处P=10%（丰）、P=50%（平）、P=90%（枯）三个代表年的径流量分别为0.0182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val="en-US" w:eastAsia="zh-CN"/>
        </w:rPr>
        <w:t>/s、0.0104m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val="en-US" w:eastAsia="zh-CN"/>
        </w:rPr>
        <w:t>/s、0.0043m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val="en-US" w:eastAsia="zh-CN"/>
        </w:rPr>
        <w:t>/s。则按照90%保证率法计算，海螺沟水库坝址处下泄生态流量不应小于0.0043m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val="en-US" w:eastAsia="zh-CN"/>
        </w:rPr>
        <w:t>/s。</w:t>
      </w:r>
    </w:p>
    <w:p w14:paraId="1EBF3B3D">
      <w:pPr>
        <w:keepNext w:val="0"/>
        <w:keepLines w:val="0"/>
        <w:pageBreakBefore w:val="0"/>
        <w:widowControl w:val="0"/>
        <w:kinsoku/>
        <w:wordWrap/>
        <w:overflowPunct/>
        <w:topLinePunct w:val="0"/>
        <w:bidi w:val="0"/>
        <w:snapToGrid/>
        <w:spacing w:line="460" w:lineRule="exact"/>
        <w:ind w:firstLine="522" w:firstLineChars="200"/>
        <w:textAlignment w:val="auto"/>
        <w:rPr>
          <w:rFonts w:hint="eastAsia"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③近十年最枯月平均法</w:t>
      </w:r>
    </w:p>
    <w:p w14:paraId="72284DED">
      <w:pPr>
        <w:keepNext w:val="0"/>
        <w:keepLines w:val="0"/>
        <w:pageBreakBefore w:val="0"/>
        <w:widowControl w:val="0"/>
        <w:kinsoku/>
        <w:wordWrap/>
        <w:overflowPunct/>
        <w:topLinePunct w:val="0"/>
        <w:autoSpaceDE w:val="0"/>
        <w:autoSpaceDN w:val="0"/>
        <w:bidi w:val="0"/>
        <w:adjustRightInd w:val="0"/>
        <w:snapToGrid/>
        <w:spacing w:line="460" w:lineRule="exact"/>
        <w:ind w:firstLine="544" w:firstLineChars="200"/>
        <w:textAlignment w:val="auto"/>
        <w:rPr>
          <w:rFonts w:hint="eastAsia" w:ascii="Arial" w:cs="Arial"/>
          <w:sz w:val="26"/>
          <w:szCs w:val="26"/>
          <w:lang w:val="en-US" w:eastAsia="zh-CN"/>
        </w:rPr>
      </w:pPr>
      <w:r>
        <w:rPr>
          <w:rFonts w:ascii="Arial" w:cs="Arial"/>
          <w:spacing w:val="6"/>
          <w:sz w:val="26"/>
          <w:szCs w:val="26"/>
        </w:rPr>
        <w:t>在缺乏长系列水文资料时，可用近</w:t>
      </w:r>
      <w:r>
        <w:rPr>
          <w:rFonts w:ascii="Arial" w:hAnsi="Arial" w:cs="Arial"/>
          <w:spacing w:val="6"/>
          <w:sz w:val="26"/>
          <w:szCs w:val="26"/>
        </w:rPr>
        <w:t>10</w:t>
      </w:r>
      <w:r>
        <w:rPr>
          <w:rFonts w:ascii="Arial" w:cs="Arial"/>
          <w:spacing w:val="6"/>
          <w:sz w:val="26"/>
          <w:szCs w:val="26"/>
        </w:rPr>
        <w:t>年最枯月平均流量、月平均水位或径流量，即</w:t>
      </w:r>
      <w:r>
        <w:rPr>
          <w:rFonts w:ascii="Arial" w:hAnsi="Arial" w:cs="Arial"/>
          <w:spacing w:val="6"/>
          <w:sz w:val="26"/>
          <w:szCs w:val="26"/>
        </w:rPr>
        <w:t>10</w:t>
      </w:r>
      <w:r>
        <w:rPr>
          <w:rFonts w:ascii="Arial" w:cs="Arial"/>
          <w:spacing w:val="6"/>
          <w:sz w:val="26"/>
          <w:szCs w:val="26"/>
        </w:rPr>
        <w:t>年</w:t>
      </w:r>
      <w:r>
        <w:rPr>
          <w:rFonts w:hint="eastAsia" w:ascii="Arial" w:cs="Arial"/>
          <w:spacing w:val="6"/>
          <w:sz w:val="26"/>
          <w:szCs w:val="26"/>
        </w:rPr>
        <w:t>中</w:t>
      </w:r>
      <w:r>
        <w:rPr>
          <w:rFonts w:ascii="Arial" w:cs="Arial"/>
          <w:spacing w:val="6"/>
          <w:sz w:val="26"/>
          <w:szCs w:val="26"/>
        </w:rPr>
        <w:t>的最小值，作为基本生态环境需水量的最小值，</w:t>
      </w:r>
      <w:r>
        <w:rPr>
          <w:rFonts w:ascii="Arial" w:cs="Arial"/>
          <w:sz w:val="26"/>
          <w:szCs w:val="26"/>
        </w:rPr>
        <w:t>此方法适用于水资源量小，且开发利用程度已经较高，水文资料系列较短的河流。</w:t>
      </w:r>
      <w:r>
        <w:rPr>
          <w:rFonts w:hint="eastAsia" w:ascii="Arial" w:cs="Arial"/>
          <w:sz w:val="26"/>
          <w:szCs w:val="26"/>
          <w:lang w:eastAsia="zh-CN"/>
        </w:rPr>
        <w:t>根据项目初设报告，海螺沟水库</w:t>
      </w:r>
      <w:r>
        <w:rPr>
          <w:rFonts w:hint="eastAsia" w:ascii="Arial" w:cs="Arial"/>
          <w:sz w:val="26"/>
          <w:szCs w:val="26"/>
          <w:lang w:val="en-US" w:eastAsia="zh-CN"/>
        </w:rPr>
        <w:t>坝址处</w:t>
      </w:r>
      <w:r>
        <w:rPr>
          <w:rFonts w:hint="eastAsia" w:ascii="Arial" w:cs="Arial"/>
          <w:sz w:val="26"/>
          <w:szCs w:val="26"/>
          <w:lang w:eastAsia="zh-CN"/>
        </w:rPr>
        <w:t>近</w:t>
      </w:r>
      <w:r>
        <w:rPr>
          <w:rFonts w:hint="eastAsia" w:ascii="Arial" w:cs="Arial"/>
          <w:sz w:val="26"/>
          <w:szCs w:val="26"/>
          <w:lang w:val="en-US" w:eastAsia="zh-CN"/>
        </w:rPr>
        <w:t>10年流量计算成果详见表6.5-7所示。</w:t>
      </w:r>
    </w:p>
    <w:p w14:paraId="28D54C40">
      <w:pPr>
        <w:keepNext w:val="0"/>
        <w:keepLines w:val="0"/>
        <w:pageBreakBefore w:val="0"/>
        <w:widowControl w:val="0"/>
        <w:kinsoku/>
        <w:wordWrap/>
        <w:overflowPunct/>
        <w:topLinePunct w:val="0"/>
        <w:autoSpaceDE w:val="0"/>
        <w:autoSpaceDN w:val="0"/>
        <w:bidi w:val="0"/>
        <w:adjustRightInd w:val="0"/>
        <w:snapToGrid/>
        <w:spacing w:line="460" w:lineRule="exact"/>
        <w:ind w:firstLine="0" w:firstLineChars="0"/>
        <w:jc w:val="center"/>
        <w:textAlignment w:val="auto"/>
        <w:rPr>
          <w:rFonts w:hint="default" w:ascii="Arial" w:cs="Arial"/>
          <w:sz w:val="26"/>
          <w:szCs w:val="26"/>
          <w:lang w:val="en-US" w:eastAsia="zh-CN"/>
        </w:rPr>
      </w:pPr>
      <w:r>
        <w:rPr>
          <w:rFonts w:hint="eastAsia" w:ascii="Arial" w:cs="Arial"/>
          <w:b/>
          <w:bCs/>
          <w:sz w:val="26"/>
          <w:szCs w:val="26"/>
          <w:lang w:val="en-US" w:eastAsia="zh-CN"/>
        </w:rPr>
        <w:t>表6.5-7 海螺沟水库坝址近10年的月径流计算成果表  单位：m</w:t>
      </w:r>
      <w:r>
        <w:rPr>
          <w:rFonts w:hint="eastAsia" w:ascii="Arial" w:cs="Arial"/>
          <w:b/>
          <w:bCs/>
          <w:sz w:val="26"/>
          <w:szCs w:val="26"/>
          <w:vertAlign w:val="superscript"/>
          <w:lang w:val="en-US" w:eastAsia="zh-CN"/>
        </w:rPr>
        <w:t>3</w:t>
      </w:r>
      <w:r>
        <w:rPr>
          <w:rFonts w:hint="eastAsia" w:ascii="Arial" w:cs="Arial"/>
          <w:b/>
          <w:bCs/>
          <w:sz w:val="26"/>
          <w:szCs w:val="26"/>
          <w:lang w:val="en-US" w:eastAsia="zh-CN"/>
        </w:rPr>
        <w:t>/s</w:t>
      </w:r>
    </w:p>
    <w:tbl>
      <w:tblPr>
        <w:tblStyle w:val="77"/>
        <w:tblW w:w="520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670"/>
        <w:gridCol w:w="670"/>
        <w:gridCol w:w="670"/>
        <w:gridCol w:w="670"/>
        <w:gridCol w:w="670"/>
        <w:gridCol w:w="670"/>
        <w:gridCol w:w="670"/>
        <w:gridCol w:w="670"/>
        <w:gridCol w:w="670"/>
        <w:gridCol w:w="670"/>
        <w:gridCol w:w="671"/>
        <w:gridCol w:w="671"/>
        <w:gridCol w:w="768"/>
      </w:tblGrid>
      <w:tr w14:paraId="06BF8F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exact"/>
          <w:tblHeader/>
          <w:jc w:val="center"/>
        </w:trPr>
        <w:tc>
          <w:tcPr>
            <w:tcW w:w="326" w:type="pct"/>
            <w:noWrap/>
            <w:vAlign w:val="center"/>
          </w:tcPr>
          <w:p w14:paraId="0B6DC19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年份</w:t>
            </w:r>
          </w:p>
        </w:tc>
        <w:tc>
          <w:tcPr>
            <w:tcW w:w="355" w:type="pct"/>
            <w:noWrap/>
            <w:vAlign w:val="center"/>
          </w:tcPr>
          <w:p w14:paraId="0816128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4月</w:t>
            </w:r>
          </w:p>
        </w:tc>
        <w:tc>
          <w:tcPr>
            <w:tcW w:w="355" w:type="pct"/>
            <w:noWrap/>
            <w:vAlign w:val="center"/>
          </w:tcPr>
          <w:p w14:paraId="5644B0F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5月</w:t>
            </w:r>
          </w:p>
        </w:tc>
        <w:tc>
          <w:tcPr>
            <w:tcW w:w="355" w:type="pct"/>
            <w:noWrap/>
            <w:vAlign w:val="center"/>
          </w:tcPr>
          <w:p w14:paraId="6B2213C7">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6月</w:t>
            </w:r>
          </w:p>
        </w:tc>
        <w:tc>
          <w:tcPr>
            <w:tcW w:w="355" w:type="pct"/>
            <w:noWrap/>
            <w:vAlign w:val="center"/>
          </w:tcPr>
          <w:p w14:paraId="19433F1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7月</w:t>
            </w:r>
          </w:p>
        </w:tc>
        <w:tc>
          <w:tcPr>
            <w:tcW w:w="355" w:type="pct"/>
            <w:noWrap/>
            <w:vAlign w:val="center"/>
          </w:tcPr>
          <w:p w14:paraId="7A3610A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8月</w:t>
            </w:r>
          </w:p>
        </w:tc>
        <w:tc>
          <w:tcPr>
            <w:tcW w:w="355" w:type="pct"/>
            <w:noWrap/>
            <w:vAlign w:val="center"/>
          </w:tcPr>
          <w:p w14:paraId="605F297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9月</w:t>
            </w:r>
          </w:p>
        </w:tc>
        <w:tc>
          <w:tcPr>
            <w:tcW w:w="355" w:type="pct"/>
            <w:noWrap/>
            <w:vAlign w:val="center"/>
          </w:tcPr>
          <w:p w14:paraId="0BFC1B8E">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10月</w:t>
            </w:r>
          </w:p>
        </w:tc>
        <w:tc>
          <w:tcPr>
            <w:tcW w:w="355" w:type="pct"/>
            <w:noWrap/>
            <w:vAlign w:val="center"/>
          </w:tcPr>
          <w:p w14:paraId="75EDD64F">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11月</w:t>
            </w:r>
          </w:p>
        </w:tc>
        <w:tc>
          <w:tcPr>
            <w:tcW w:w="355" w:type="pct"/>
            <w:noWrap/>
            <w:vAlign w:val="center"/>
          </w:tcPr>
          <w:p w14:paraId="3122912D">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12月</w:t>
            </w:r>
          </w:p>
        </w:tc>
        <w:tc>
          <w:tcPr>
            <w:tcW w:w="355" w:type="pct"/>
            <w:noWrap/>
            <w:vAlign w:val="center"/>
          </w:tcPr>
          <w:p w14:paraId="76D71691">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1月</w:t>
            </w:r>
          </w:p>
        </w:tc>
        <w:tc>
          <w:tcPr>
            <w:tcW w:w="355" w:type="pct"/>
            <w:noWrap/>
            <w:vAlign w:val="center"/>
          </w:tcPr>
          <w:p w14:paraId="4E22EDA8">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2月</w:t>
            </w:r>
          </w:p>
        </w:tc>
        <w:tc>
          <w:tcPr>
            <w:tcW w:w="355" w:type="pct"/>
            <w:noWrap/>
            <w:vAlign w:val="center"/>
          </w:tcPr>
          <w:p w14:paraId="062D7892">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Arial" w:hAnsi="Arial" w:cs="Arial"/>
                <w:color w:val="auto"/>
                <w:sz w:val="18"/>
                <w:szCs w:val="18"/>
              </w:rPr>
            </w:pPr>
            <w:r>
              <w:rPr>
                <w:rFonts w:hint="default" w:ascii="Arial" w:hAnsi="Arial" w:cs="Arial"/>
                <w:color w:val="auto"/>
                <w:sz w:val="18"/>
                <w:szCs w:val="18"/>
              </w:rPr>
              <w:t>3月</w:t>
            </w:r>
          </w:p>
        </w:tc>
        <w:tc>
          <w:tcPr>
            <w:tcW w:w="406" w:type="pct"/>
            <w:noWrap/>
            <w:vAlign w:val="center"/>
          </w:tcPr>
          <w:p w14:paraId="297FC9FA">
            <w:pPr>
              <w:pStyle w:val="2106"/>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Arial" w:hAnsi="Arial" w:eastAsia="宋体" w:cs="Arial"/>
                <w:color w:val="auto"/>
                <w:sz w:val="18"/>
                <w:szCs w:val="18"/>
                <w:lang w:eastAsia="zh-CN"/>
              </w:rPr>
            </w:pPr>
            <w:r>
              <w:rPr>
                <w:rFonts w:hint="eastAsia" w:ascii="Arial" w:hAnsi="Arial" w:cs="Arial"/>
                <w:color w:val="auto"/>
                <w:sz w:val="18"/>
                <w:szCs w:val="18"/>
                <w:lang w:eastAsia="zh-CN"/>
              </w:rPr>
              <w:t>最枯月</w:t>
            </w:r>
          </w:p>
        </w:tc>
      </w:tr>
      <w:tr w14:paraId="3574B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exact"/>
          <w:tblHeader/>
          <w:jc w:val="center"/>
        </w:trPr>
        <w:tc>
          <w:tcPr>
            <w:tcW w:w="326" w:type="pct"/>
            <w:shd w:val="clear" w:color="auto" w:fill="auto"/>
            <w:noWrap/>
            <w:vAlign w:val="center"/>
          </w:tcPr>
          <w:p w14:paraId="0CA013DE">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2007</w:t>
            </w:r>
          </w:p>
        </w:tc>
        <w:tc>
          <w:tcPr>
            <w:tcW w:w="355" w:type="pct"/>
            <w:shd w:val="clear" w:color="auto" w:fill="auto"/>
            <w:noWrap/>
            <w:vAlign w:val="center"/>
          </w:tcPr>
          <w:p w14:paraId="7DD42CE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0.038</w:t>
            </w:r>
          </w:p>
        </w:tc>
        <w:tc>
          <w:tcPr>
            <w:tcW w:w="355" w:type="pct"/>
            <w:shd w:val="clear" w:color="auto" w:fill="auto"/>
            <w:noWrap/>
            <w:vAlign w:val="center"/>
          </w:tcPr>
          <w:p w14:paraId="126A150C">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0.070</w:t>
            </w:r>
          </w:p>
        </w:tc>
        <w:tc>
          <w:tcPr>
            <w:tcW w:w="355" w:type="pct"/>
            <w:shd w:val="clear" w:color="auto" w:fill="auto"/>
            <w:noWrap/>
            <w:vAlign w:val="center"/>
          </w:tcPr>
          <w:p w14:paraId="4A3CCFB5">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0.076</w:t>
            </w:r>
          </w:p>
        </w:tc>
        <w:tc>
          <w:tcPr>
            <w:tcW w:w="355" w:type="pct"/>
            <w:shd w:val="clear" w:color="auto" w:fill="auto"/>
            <w:noWrap/>
            <w:vAlign w:val="center"/>
          </w:tcPr>
          <w:p w14:paraId="2AAC39B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0.071</w:t>
            </w:r>
          </w:p>
        </w:tc>
        <w:tc>
          <w:tcPr>
            <w:tcW w:w="355" w:type="pct"/>
            <w:shd w:val="clear" w:color="auto" w:fill="auto"/>
            <w:noWrap/>
            <w:vAlign w:val="center"/>
          </w:tcPr>
          <w:p w14:paraId="6341D6F3">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0.038</w:t>
            </w:r>
          </w:p>
        </w:tc>
        <w:tc>
          <w:tcPr>
            <w:tcW w:w="355" w:type="pct"/>
            <w:shd w:val="clear" w:color="auto" w:fill="auto"/>
            <w:noWrap/>
            <w:vAlign w:val="center"/>
          </w:tcPr>
          <w:p w14:paraId="27D066B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0.036</w:t>
            </w:r>
          </w:p>
        </w:tc>
        <w:tc>
          <w:tcPr>
            <w:tcW w:w="355" w:type="pct"/>
            <w:shd w:val="clear" w:color="auto" w:fill="auto"/>
            <w:noWrap/>
            <w:vAlign w:val="center"/>
          </w:tcPr>
          <w:p w14:paraId="43A6B049">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0.034</w:t>
            </w:r>
          </w:p>
        </w:tc>
        <w:tc>
          <w:tcPr>
            <w:tcW w:w="355" w:type="pct"/>
            <w:shd w:val="clear" w:color="auto" w:fill="auto"/>
            <w:noWrap/>
            <w:vAlign w:val="center"/>
          </w:tcPr>
          <w:p w14:paraId="6F836E5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0.027</w:t>
            </w:r>
          </w:p>
        </w:tc>
        <w:tc>
          <w:tcPr>
            <w:tcW w:w="355" w:type="pct"/>
            <w:shd w:val="clear" w:color="auto" w:fill="auto"/>
            <w:noWrap/>
            <w:vAlign w:val="center"/>
          </w:tcPr>
          <w:p w14:paraId="51BEFEFE">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0.009</w:t>
            </w:r>
          </w:p>
        </w:tc>
        <w:tc>
          <w:tcPr>
            <w:tcW w:w="355" w:type="pct"/>
            <w:shd w:val="clear" w:color="auto" w:fill="auto"/>
            <w:noWrap/>
            <w:vAlign w:val="center"/>
          </w:tcPr>
          <w:p w14:paraId="76F0CD30">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0.007</w:t>
            </w:r>
          </w:p>
        </w:tc>
        <w:tc>
          <w:tcPr>
            <w:tcW w:w="355" w:type="pct"/>
            <w:shd w:val="clear" w:color="auto" w:fill="auto"/>
            <w:noWrap/>
            <w:vAlign w:val="center"/>
          </w:tcPr>
          <w:p w14:paraId="0E38A92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0.007</w:t>
            </w:r>
          </w:p>
        </w:tc>
        <w:tc>
          <w:tcPr>
            <w:tcW w:w="355" w:type="pct"/>
            <w:shd w:val="clear" w:color="auto" w:fill="auto"/>
            <w:noWrap/>
            <w:vAlign w:val="center"/>
          </w:tcPr>
          <w:p w14:paraId="6499525E">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0.010</w:t>
            </w:r>
          </w:p>
        </w:tc>
        <w:tc>
          <w:tcPr>
            <w:tcW w:w="406" w:type="pct"/>
            <w:shd w:val="clear" w:color="auto" w:fill="auto"/>
            <w:noWrap/>
            <w:vAlign w:val="center"/>
          </w:tcPr>
          <w:p w14:paraId="35205523">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cs="Arial"/>
                <w:color w:val="000000"/>
                <w:kern w:val="2"/>
                <w:sz w:val="18"/>
                <w:szCs w:val="18"/>
                <w:lang w:val="en-US" w:eastAsia="zh-CN" w:bidi="ar-SA"/>
              </w:rPr>
            </w:pPr>
            <w:r>
              <w:rPr>
                <w:rFonts w:hint="eastAsia" w:ascii="Arial" w:hAnsi="Arial" w:cs="Arial"/>
                <w:color w:val="000000"/>
                <w:kern w:val="2"/>
                <w:sz w:val="18"/>
                <w:szCs w:val="18"/>
                <w:lang w:val="en-US" w:eastAsia="zh-CN" w:bidi="ar-SA"/>
              </w:rPr>
              <w:t>0.007</w:t>
            </w:r>
          </w:p>
          <w:p w14:paraId="11CB94CD">
            <w:pPr>
              <w:rPr>
                <w:rFonts w:hint="default"/>
                <w:lang w:val="en-US" w:eastAsia="zh-CN"/>
              </w:rPr>
            </w:pPr>
          </w:p>
        </w:tc>
      </w:tr>
      <w:tr w14:paraId="2E34C4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exact"/>
          <w:tblHeader/>
          <w:jc w:val="center"/>
        </w:trPr>
        <w:tc>
          <w:tcPr>
            <w:tcW w:w="326" w:type="pct"/>
            <w:shd w:val="clear" w:color="auto" w:fill="auto"/>
            <w:noWrap/>
            <w:vAlign w:val="center"/>
          </w:tcPr>
          <w:p w14:paraId="46BF99FD">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2008</w:t>
            </w:r>
          </w:p>
        </w:tc>
        <w:tc>
          <w:tcPr>
            <w:tcW w:w="355" w:type="pct"/>
            <w:shd w:val="clear" w:color="auto" w:fill="auto"/>
            <w:noWrap/>
            <w:vAlign w:val="center"/>
          </w:tcPr>
          <w:p w14:paraId="586E69F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0.050</w:t>
            </w:r>
          </w:p>
        </w:tc>
        <w:tc>
          <w:tcPr>
            <w:tcW w:w="355" w:type="pct"/>
            <w:shd w:val="clear" w:color="auto" w:fill="auto"/>
            <w:noWrap/>
            <w:vAlign w:val="center"/>
          </w:tcPr>
          <w:p w14:paraId="5AF2C5A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0.029</w:t>
            </w:r>
          </w:p>
        </w:tc>
        <w:tc>
          <w:tcPr>
            <w:tcW w:w="355" w:type="pct"/>
            <w:shd w:val="clear" w:color="auto" w:fill="auto"/>
            <w:noWrap/>
            <w:vAlign w:val="center"/>
          </w:tcPr>
          <w:p w14:paraId="60C4B84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0.045</w:t>
            </w:r>
          </w:p>
        </w:tc>
        <w:tc>
          <w:tcPr>
            <w:tcW w:w="355" w:type="pct"/>
            <w:shd w:val="clear" w:color="auto" w:fill="auto"/>
            <w:noWrap/>
            <w:vAlign w:val="center"/>
          </w:tcPr>
          <w:p w14:paraId="40FF05DA">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0.017</w:t>
            </w:r>
          </w:p>
        </w:tc>
        <w:tc>
          <w:tcPr>
            <w:tcW w:w="355" w:type="pct"/>
            <w:shd w:val="clear" w:color="auto" w:fill="auto"/>
            <w:noWrap/>
            <w:vAlign w:val="center"/>
          </w:tcPr>
          <w:p w14:paraId="23872859">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0.140</w:t>
            </w:r>
          </w:p>
        </w:tc>
        <w:tc>
          <w:tcPr>
            <w:tcW w:w="355" w:type="pct"/>
            <w:shd w:val="clear" w:color="auto" w:fill="auto"/>
            <w:noWrap/>
            <w:vAlign w:val="center"/>
          </w:tcPr>
          <w:p w14:paraId="7BCF7D22">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0.022</w:t>
            </w:r>
          </w:p>
        </w:tc>
        <w:tc>
          <w:tcPr>
            <w:tcW w:w="355" w:type="pct"/>
            <w:shd w:val="clear" w:color="auto" w:fill="auto"/>
            <w:noWrap/>
            <w:vAlign w:val="center"/>
          </w:tcPr>
          <w:p w14:paraId="66508A53">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0.039</w:t>
            </w:r>
          </w:p>
        </w:tc>
        <w:tc>
          <w:tcPr>
            <w:tcW w:w="355" w:type="pct"/>
            <w:shd w:val="clear" w:color="auto" w:fill="auto"/>
            <w:noWrap/>
            <w:vAlign w:val="center"/>
          </w:tcPr>
          <w:p w14:paraId="6180E3C2">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0.044</w:t>
            </w:r>
          </w:p>
        </w:tc>
        <w:tc>
          <w:tcPr>
            <w:tcW w:w="355" w:type="pct"/>
            <w:shd w:val="clear" w:color="auto" w:fill="auto"/>
            <w:noWrap/>
            <w:vAlign w:val="center"/>
          </w:tcPr>
          <w:p w14:paraId="4E303792">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0.006</w:t>
            </w:r>
          </w:p>
        </w:tc>
        <w:tc>
          <w:tcPr>
            <w:tcW w:w="355" w:type="pct"/>
            <w:shd w:val="clear" w:color="auto" w:fill="auto"/>
            <w:noWrap/>
            <w:vAlign w:val="center"/>
          </w:tcPr>
          <w:p w14:paraId="4F009EAD">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0.005</w:t>
            </w:r>
          </w:p>
        </w:tc>
        <w:tc>
          <w:tcPr>
            <w:tcW w:w="355" w:type="pct"/>
            <w:shd w:val="clear" w:color="auto" w:fill="auto"/>
            <w:noWrap/>
            <w:vAlign w:val="center"/>
          </w:tcPr>
          <w:p w14:paraId="5A80BBFA">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0.004</w:t>
            </w:r>
          </w:p>
        </w:tc>
        <w:tc>
          <w:tcPr>
            <w:tcW w:w="355" w:type="pct"/>
            <w:shd w:val="clear" w:color="auto" w:fill="auto"/>
            <w:noWrap/>
            <w:vAlign w:val="center"/>
          </w:tcPr>
          <w:p w14:paraId="6C666AAF">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0.006</w:t>
            </w:r>
          </w:p>
        </w:tc>
        <w:tc>
          <w:tcPr>
            <w:tcW w:w="406" w:type="pct"/>
            <w:shd w:val="clear" w:color="auto" w:fill="auto"/>
            <w:noWrap/>
            <w:vAlign w:val="center"/>
          </w:tcPr>
          <w:p w14:paraId="724926D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0.004</w:t>
            </w:r>
          </w:p>
        </w:tc>
      </w:tr>
      <w:tr w14:paraId="44A075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exact"/>
          <w:tblHeader/>
          <w:jc w:val="center"/>
        </w:trPr>
        <w:tc>
          <w:tcPr>
            <w:tcW w:w="326" w:type="pct"/>
            <w:shd w:val="clear" w:color="auto" w:fill="auto"/>
            <w:noWrap/>
            <w:vAlign w:val="center"/>
          </w:tcPr>
          <w:p w14:paraId="15BB0F45">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2009</w:t>
            </w:r>
          </w:p>
        </w:tc>
        <w:tc>
          <w:tcPr>
            <w:tcW w:w="355" w:type="pct"/>
            <w:shd w:val="clear" w:color="auto" w:fill="auto"/>
            <w:noWrap/>
            <w:vAlign w:val="center"/>
          </w:tcPr>
          <w:p w14:paraId="4FC7C57A">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0.033</w:t>
            </w:r>
          </w:p>
        </w:tc>
        <w:tc>
          <w:tcPr>
            <w:tcW w:w="355" w:type="pct"/>
            <w:shd w:val="clear" w:color="auto" w:fill="auto"/>
            <w:noWrap/>
            <w:vAlign w:val="center"/>
          </w:tcPr>
          <w:p w14:paraId="07B7E452">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0.061</w:t>
            </w:r>
          </w:p>
        </w:tc>
        <w:tc>
          <w:tcPr>
            <w:tcW w:w="355" w:type="pct"/>
            <w:shd w:val="clear" w:color="auto" w:fill="auto"/>
            <w:noWrap/>
            <w:vAlign w:val="center"/>
          </w:tcPr>
          <w:p w14:paraId="5839FBA9">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0.098</w:t>
            </w:r>
          </w:p>
        </w:tc>
        <w:tc>
          <w:tcPr>
            <w:tcW w:w="355" w:type="pct"/>
            <w:shd w:val="clear" w:color="auto" w:fill="auto"/>
            <w:noWrap/>
            <w:vAlign w:val="center"/>
          </w:tcPr>
          <w:p w14:paraId="073A8F3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0.011</w:t>
            </w:r>
          </w:p>
        </w:tc>
        <w:tc>
          <w:tcPr>
            <w:tcW w:w="355" w:type="pct"/>
            <w:shd w:val="clear" w:color="auto" w:fill="auto"/>
            <w:noWrap/>
            <w:vAlign w:val="center"/>
          </w:tcPr>
          <w:p w14:paraId="049A13C3">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0.028</w:t>
            </w:r>
          </w:p>
        </w:tc>
        <w:tc>
          <w:tcPr>
            <w:tcW w:w="355" w:type="pct"/>
            <w:shd w:val="clear" w:color="auto" w:fill="auto"/>
            <w:noWrap/>
            <w:vAlign w:val="center"/>
          </w:tcPr>
          <w:p w14:paraId="7E7F9140">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0.010</w:t>
            </w:r>
          </w:p>
        </w:tc>
        <w:tc>
          <w:tcPr>
            <w:tcW w:w="355" w:type="pct"/>
            <w:shd w:val="clear" w:color="auto" w:fill="auto"/>
            <w:noWrap/>
            <w:vAlign w:val="center"/>
          </w:tcPr>
          <w:p w14:paraId="28A5758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0.014</w:t>
            </w:r>
          </w:p>
        </w:tc>
        <w:tc>
          <w:tcPr>
            <w:tcW w:w="355" w:type="pct"/>
            <w:shd w:val="clear" w:color="auto" w:fill="auto"/>
            <w:noWrap/>
            <w:vAlign w:val="center"/>
          </w:tcPr>
          <w:p w14:paraId="2617B9D6">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0.016</w:t>
            </w:r>
          </w:p>
        </w:tc>
        <w:tc>
          <w:tcPr>
            <w:tcW w:w="355" w:type="pct"/>
            <w:shd w:val="clear" w:color="auto" w:fill="auto"/>
            <w:noWrap/>
            <w:vAlign w:val="center"/>
          </w:tcPr>
          <w:p w14:paraId="61A4CA9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0.004</w:t>
            </w:r>
          </w:p>
        </w:tc>
        <w:tc>
          <w:tcPr>
            <w:tcW w:w="355" w:type="pct"/>
            <w:shd w:val="clear" w:color="auto" w:fill="auto"/>
            <w:noWrap/>
            <w:vAlign w:val="center"/>
          </w:tcPr>
          <w:p w14:paraId="2ABAB7E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0.002</w:t>
            </w:r>
          </w:p>
        </w:tc>
        <w:tc>
          <w:tcPr>
            <w:tcW w:w="355" w:type="pct"/>
            <w:shd w:val="clear" w:color="auto" w:fill="auto"/>
            <w:noWrap/>
            <w:vAlign w:val="center"/>
          </w:tcPr>
          <w:p w14:paraId="7385FE1E">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0.002</w:t>
            </w:r>
          </w:p>
        </w:tc>
        <w:tc>
          <w:tcPr>
            <w:tcW w:w="355" w:type="pct"/>
            <w:shd w:val="clear" w:color="auto" w:fill="auto"/>
            <w:noWrap/>
            <w:vAlign w:val="center"/>
          </w:tcPr>
          <w:p w14:paraId="3C069E5C">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0.009</w:t>
            </w:r>
          </w:p>
        </w:tc>
        <w:tc>
          <w:tcPr>
            <w:tcW w:w="406" w:type="pct"/>
            <w:shd w:val="clear" w:color="auto" w:fill="auto"/>
            <w:noWrap/>
            <w:vAlign w:val="center"/>
          </w:tcPr>
          <w:p w14:paraId="48286300">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0.002</w:t>
            </w:r>
          </w:p>
        </w:tc>
      </w:tr>
      <w:tr w14:paraId="093E37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exact"/>
          <w:tblHeader/>
          <w:jc w:val="center"/>
        </w:trPr>
        <w:tc>
          <w:tcPr>
            <w:tcW w:w="326" w:type="pct"/>
            <w:shd w:val="clear" w:color="auto" w:fill="auto"/>
            <w:noWrap/>
            <w:vAlign w:val="center"/>
          </w:tcPr>
          <w:p w14:paraId="6A515E7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2010</w:t>
            </w:r>
          </w:p>
        </w:tc>
        <w:tc>
          <w:tcPr>
            <w:tcW w:w="355" w:type="pct"/>
            <w:shd w:val="clear" w:color="auto" w:fill="auto"/>
            <w:noWrap/>
            <w:vAlign w:val="center"/>
          </w:tcPr>
          <w:p w14:paraId="7886F87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0.040</w:t>
            </w:r>
          </w:p>
        </w:tc>
        <w:tc>
          <w:tcPr>
            <w:tcW w:w="355" w:type="pct"/>
            <w:shd w:val="clear" w:color="auto" w:fill="auto"/>
            <w:noWrap/>
            <w:vAlign w:val="center"/>
          </w:tcPr>
          <w:p w14:paraId="577FAE0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0.067</w:t>
            </w:r>
          </w:p>
        </w:tc>
        <w:tc>
          <w:tcPr>
            <w:tcW w:w="355" w:type="pct"/>
            <w:shd w:val="clear" w:color="auto" w:fill="auto"/>
            <w:noWrap/>
            <w:vAlign w:val="center"/>
          </w:tcPr>
          <w:p w14:paraId="424D001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0.028</w:t>
            </w:r>
          </w:p>
        </w:tc>
        <w:tc>
          <w:tcPr>
            <w:tcW w:w="355" w:type="pct"/>
            <w:shd w:val="clear" w:color="auto" w:fill="auto"/>
            <w:noWrap/>
            <w:vAlign w:val="center"/>
          </w:tcPr>
          <w:p w14:paraId="268821A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0.100</w:t>
            </w:r>
          </w:p>
        </w:tc>
        <w:tc>
          <w:tcPr>
            <w:tcW w:w="355" w:type="pct"/>
            <w:shd w:val="clear" w:color="auto" w:fill="auto"/>
            <w:noWrap/>
            <w:vAlign w:val="center"/>
          </w:tcPr>
          <w:p w14:paraId="54A5837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0.019</w:t>
            </w:r>
          </w:p>
        </w:tc>
        <w:tc>
          <w:tcPr>
            <w:tcW w:w="355" w:type="pct"/>
            <w:shd w:val="clear" w:color="auto" w:fill="auto"/>
            <w:noWrap/>
            <w:vAlign w:val="center"/>
          </w:tcPr>
          <w:p w14:paraId="5D812893">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0.032</w:t>
            </w:r>
          </w:p>
        </w:tc>
        <w:tc>
          <w:tcPr>
            <w:tcW w:w="355" w:type="pct"/>
            <w:shd w:val="clear" w:color="auto" w:fill="auto"/>
            <w:noWrap/>
            <w:vAlign w:val="center"/>
          </w:tcPr>
          <w:p w14:paraId="3255727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0.015</w:t>
            </w:r>
          </w:p>
        </w:tc>
        <w:tc>
          <w:tcPr>
            <w:tcW w:w="355" w:type="pct"/>
            <w:shd w:val="clear" w:color="auto" w:fill="auto"/>
            <w:noWrap/>
            <w:vAlign w:val="center"/>
          </w:tcPr>
          <w:p w14:paraId="0AD3E0D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0.015</w:t>
            </w:r>
          </w:p>
        </w:tc>
        <w:tc>
          <w:tcPr>
            <w:tcW w:w="355" w:type="pct"/>
            <w:shd w:val="clear" w:color="auto" w:fill="auto"/>
            <w:noWrap/>
            <w:vAlign w:val="center"/>
          </w:tcPr>
          <w:p w14:paraId="4C81349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0.004</w:t>
            </w:r>
          </w:p>
        </w:tc>
        <w:tc>
          <w:tcPr>
            <w:tcW w:w="355" w:type="pct"/>
            <w:shd w:val="clear" w:color="auto" w:fill="auto"/>
            <w:noWrap/>
            <w:vAlign w:val="center"/>
          </w:tcPr>
          <w:p w14:paraId="790D86FA">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0.004</w:t>
            </w:r>
          </w:p>
        </w:tc>
        <w:tc>
          <w:tcPr>
            <w:tcW w:w="355" w:type="pct"/>
            <w:shd w:val="clear" w:color="auto" w:fill="auto"/>
            <w:noWrap/>
            <w:vAlign w:val="center"/>
          </w:tcPr>
          <w:p w14:paraId="0402DE3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0.003</w:t>
            </w:r>
          </w:p>
        </w:tc>
        <w:tc>
          <w:tcPr>
            <w:tcW w:w="355" w:type="pct"/>
            <w:shd w:val="clear" w:color="auto" w:fill="auto"/>
            <w:noWrap/>
            <w:vAlign w:val="center"/>
          </w:tcPr>
          <w:p w14:paraId="0B72E4BA">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0.019</w:t>
            </w:r>
          </w:p>
        </w:tc>
        <w:tc>
          <w:tcPr>
            <w:tcW w:w="406" w:type="pct"/>
            <w:shd w:val="clear" w:color="auto" w:fill="auto"/>
            <w:noWrap/>
            <w:vAlign w:val="center"/>
          </w:tcPr>
          <w:p w14:paraId="7A75A42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0.003</w:t>
            </w:r>
          </w:p>
        </w:tc>
      </w:tr>
      <w:tr w14:paraId="5C013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exact"/>
          <w:tblHeader/>
          <w:jc w:val="center"/>
        </w:trPr>
        <w:tc>
          <w:tcPr>
            <w:tcW w:w="326" w:type="pct"/>
            <w:shd w:val="clear" w:color="auto" w:fill="auto"/>
            <w:noWrap/>
            <w:vAlign w:val="center"/>
          </w:tcPr>
          <w:p w14:paraId="0C0ABC1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2011</w:t>
            </w:r>
          </w:p>
        </w:tc>
        <w:tc>
          <w:tcPr>
            <w:tcW w:w="355" w:type="pct"/>
            <w:shd w:val="clear" w:color="auto" w:fill="auto"/>
            <w:noWrap/>
            <w:vAlign w:val="center"/>
          </w:tcPr>
          <w:p w14:paraId="229E560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0.037</w:t>
            </w:r>
          </w:p>
        </w:tc>
        <w:tc>
          <w:tcPr>
            <w:tcW w:w="355" w:type="pct"/>
            <w:shd w:val="clear" w:color="auto" w:fill="auto"/>
            <w:noWrap/>
            <w:vAlign w:val="center"/>
          </w:tcPr>
          <w:p w14:paraId="341402CC">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0.043</w:t>
            </w:r>
          </w:p>
        </w:tc>
        <w:tc>
          <w:tcPr>
            <w:tcW w:w="355" w:type="pct"/>
            <w:shd w:val="clear" w:color="auto" w:fill="auto"/>
            <w:noWrap/>
            <w:vAlign w:val="center"/>
          </w:tcPr>
          <w:p w14:paraId="4D055EF6">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0.044</w:t>
            </w:r>
          </w:p>
        </w:tc>
        <w:tc>
          <w:tcPr>
            <w:tcW w:w="355" w:type="pct"/>
            <w:shd w:val="clear" w:color="auto" w:fill="auto"/>
            <w:noWrap/>
            <w:vAlign w:val="center"/>
          </w:tcPr>
          <w:p w14:paraId="2ACF4AD3">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0.002</w:t>
            </w:r>
          </w:p>
        </w:tc>
        <w:tc>
          <w:tcPr>
            <w:tcW w:w="355" w:type="pct"/>
            <w:shd w:val="clear" w:color="auto" w:fill="auto"/>
            <w:noWrap/>
            <w:vAlign w:val="center"/>
          </w:tcPr>
          <w:p w14:paraId="72642B75">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0.002</w:t>
            </w:r>
          </w:p>
        </w:tc>
        <w:tc>
          <w:tcPr>
            <w:tcW w:w="355" w:type="pct"/>
            <w:shd w:val="clear" w:color="auto" w:fill="auto"/>
            <w:noWrap/>
            <w:vAlign w:val="center"/>
          </w:tcPr>
          <w:p w14:paraId="11D23B8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0.001</w:t>
            </w:r>
          </w:p>
        </w:tc>
        <w:tc>
          <w:tcPr>
            <w:tcW w:w="355" w:type="pct"/>
            <w:shd w:val="clear" w:color="auto" w:fill="auto"/>
            <w:noWrap/>
            <w:vAlign w:val="center"/>
          </w:tcPr>
          <w:p w14:paraId="46222022">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0.049</w:t>
            </w:r>
          </w:p>
        </w:tc>
        <w:tc>
          <w:tcPr>
            <w:tcW w:w="355" w:type="pct"/>
            <w:shd w:val="clear" w:color="auto" w:fill="auto"/>
            <w:noWrap/>
            <w:vAlign w:val="center"/>
          </w:tcPr>
          <w:p w14:paraId="711F2CD5">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0.094</w:t>
            </w:r>
          </w:p>
        </w:tc>
        <w:tc>
          <w:tcPr>
            <w:tcW w:w="355" w:type="pct"/>
            <w:shd w:val="clear" w:color="auto" w:fill="auto"/>
            <w:noWrap/>
            <w:vAlign w:val="center"/>
          </w:tcPr>
          <w:p w14:paraId="18832056">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0.028</w:t>
            </w:r>
          </w:p>
        </w:tc>
        <w:tc>
          <w:tcPr>
            <w:tcW w:w="355" w:type="pct"/>
            <w:shd w:val="clear" w:color="auto" w:fill="auto"/>
            <w:noWrap/>
            <w:vAlign w:val="center"/>
          </w:tcPr>
          <w:p w14:paraId="15655679">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0.007</w:t>
            </w:r>
          </w:p>
        </w:tc>
        <w:tc>
          <w:tcPr>
            <w:tcW w:w="355" w:type="pct"/>
            <w:shd w:val="clear" w:color="auto" w:fill="auto"/>
            <w:noWrap/>
            <w:vAlign w:val="center"/>
          </w:tcPr>
          <w:p w14:paraId="03B986D2">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0.004</w:t>
            </w:r>
          </w:p>
        </w:tc>
        <w:tc>
          <w:tcPr>
            <w:tcW w:w="355" w:type="pct"/>
            <w:shd w:val="clear" w:color="auto" w:fill="auto"/>
            <w:noWrap/>
            <w:vAlign w:val="center"/>
          </w:tcPr>
          <w:p w14:paraId="2B1241F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0.005</w:t>
            </w:r>
          </w:p>
        </w:tc>
        <w:tc>
          <w:tcPr>
            <w:tcW w:w="406" w:type="pct"/>
            <w:shd w:val="clear" w:color="auto" w:fill="auto"/>
            <w:noWrap/>
            <w:vAlign w:val="center"/>
          </w:tcPr>
          <w:p w14:paraId="4C6E97A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0.004</w:t>
            </w:r>
          </w:p>
        </w:tc>
      </w:tr>
      <w:tr w14:paraId="13455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exact"/>
          <w:tblHeader/>
          <w:jc w:val="center"/>
        </w:trPr>
        <w:tc>
          <w:tcPr>
            <w:tcW w:w="326" w:type="pct"/>
            <w:shd w:val="clear" w:color="auto" w:fill="auto"/>
            <w:noWrap/>
            <w:vAlign w:val="center"/>
          </w:tcPr>
          <w:p w14:paraId="339F0FC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2012</w:t>
            </w:r>
          </w:p>
        </w:tc>
        <w:tc>
          <w:tcPr>
            <w:tcW w:w="355" w:type="pct"/>
            <w:shd w:val="clear" w:color="auto" w:fill="auto"/>
            <w:noWrap/>
            <w:vAlign w:val="center"/>
          </w:tcPr>
          <w:p w14:paraId="6582BCE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0.021</w:t>
            </w:r>
          </w:p>
        </w:tc>
        <w:tc>
          <w:tcPr>
            <w:tcW w:w="355" w:type="pct"/>
            <w:shd w:val="clear" w:color="auto" w:fill="auto"/>
            <w:noWrap/>
            <w:vAlign w:val="center"/>
          </w:tcPr>
          <w:p w14:paraId="1A823D2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0.066</w:t>
            </w:r>
          </w:p>
        </w:tc>
        <w:tc>
          <w:tcPr>
            <w:tcW w:w="355" w:type="pct"/>
            <w:shd w:val="clear" w:color="auto" w:fill="auto"/>
            <w:noWrap/>
            <w:vAlign w:val="center"/>
          </w:tcPr>
          <w:p w14:paraId="4B08CC2E">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0.014</w:t>
            </w:r>
          </w:p>
        </w:tc>
        <w:tc>
          <w:tcPr>
            <w:tcW w:w="355" w:type="pct"/>
            <w:shd w:val="clear" w:color="auto" w:fill="auto"/>
            <w:noWrap/>
            <w:vAlign w:val="center"/>
          </w:tcPr>
          <w:p w14:paraId="770315C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0.026</w:t>
            </w:r>
          </w:p>
        </w:tc>
        <w:tc>
          <w:tcPr>
            <w:tcW w:w="355" w:type="pct"/>
            <w:shd w:val="clear" w:color="auto" w:fill="auto"/>
            <w:noWrap/>
            <w:vAlign w:val="center"/>
          </w:tcPr>
          <w:p w14:paraId="34586776">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0.002</w:t>
            </w:r>
          </w:p>
        </w:tc>
        <w:tc>
          <w:tcPr>
            <w:tcW w:w="355" w:type="pct"/>
            <w:shd w:val="clear" w:color="auto" w:fill="auto"/>
            <w:noWrap/>
            <w:vAlign w:val="center"/>
          </w:tcPr>
          <w:p w14:paraId="3F327CB3">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0.041</w:t>
            </w:r>
          </w:p>
        </w:tc>
        <w:tc>
          <w:tcPr>
            <w:tcW w:w="355" w:type="pct"/>
            <w:shd w:val="clear" w:color="auto" w:fill="auto"/>
            <w:noWrap/>
            <w:vAlign w:val="center"/>
          </w:tcPr>
          <w:p w14:paraId="0544231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0.025</w:t>
            </w:r>
          </w:p>
        </w:tc>
        <w:tc>
          <w:tcPr>
            <w:tcW w:w="355" w:type="pct"/>
            <w:shd w:val="clear" w:color="auto" w:fill="auto"/>
            <w:noWrap/>
            <w:vAlign w:val="center"/>
          </w:tcPr>
          <w:p w14:paraId="170B473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0.011</w:t>
            </w:r>
          </w:p>
        </w:tc>
        <w:tc>
          <w:tcPr>
            <w:tcW w:w="355" w:type="pct"/>
            <w:shd w:val="clear" w:color="auto" w:fill="auto"/>
            <w:noWrap/>
            <w:vAlign w:val="center"/>
          </w:tcPr>
          <w:p w14:paraId="3D965B4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0.006</w:t>
            </w:r>
          </w:p>
        </w:tc>
        <w:tc>
          <w:tcPr>
            <w:tcW w:w="355" w:type="pct"/>
            <w:shd w:val="clear" w:color="auto" w:fill="auto"/>
            <w:noWrap/>
            <w:vAlign w:val="center"/>
          </w:tcPr>
          <w:p w14:paraId="4CDF4E8E">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0.004</w:t>
            </w:r>
          </w:p>
        </w:tc>
        <w:tc>
          <w:tcPr>
            <w:tcW w:w="355" w:type="pct"/>
            <w:shd w:val="clear" w:color="auto" w:fill="auto"/>
            <w:noWrap/>
            <w:vAlign w:val="center"/>
          </w:tcPr>
          <w:p w14:paraId="41E840C5">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0.002</w:t>
            </w:r>
          </w:p>
        </w:tc>
        <w:tc>
          <w:tcPr>
            <w:tcW w:w="355" w:type="pct"/>
            <w:shd w:val="clear" w:color="auto" w:fill="auto"/>
            <w:noWrap/>
            <w:vAlign w:val="center"/>
          </w:tcPr>
          <w:p w14:paraId="323352A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0.003</w:t>
            </w:r>
          </w:p>
        </w:tc>
        <w:tc>
          <w:tcPr>
            <w:tcW w:w="406" w:type="pct"/>
            <w:shd w:val="clear" w:color="auto" w:fill="auto"/>
            <w:noWrap/>
            <w:vAlign w:val="center"/>
          </w:tcPr>
          <w:p w14:paraId="37D3A389">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0.002</w:t>
            </w:r>
          </w:p>
        </w:tc>
      </w:tr>
      <w:tr w14:paraId="55E4FF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exact"/>
          <w:tblHeader/>
          <w:jc w:val="center"/>
        </w:trPr>
        <w:tc>
          <w:tcPr>
            <w:tcW w:w="326" w:type="pct"/>
            <w:shd w:val="clear" w:color="auto" w:fill="auto"/>
            <w:noWrap/>
            <w:vAlign w:val="center"/>
          </w:tcPr>
          <w:p w14:paraId="5E157BD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2013</w:t>
            </w:r>
          </w:p>
        </w:tc>
        <w:tc>
          <w:tcPr>
            <w:tcW w:w="355" w:type="pct"/>
            <w:shd w:val="clear" w:color="auto" w:fill="auto"/>
            <w:noWrap/>
            <w:vAlign w:val="center"/>
          </w:tcPr>
          <w:p w14:paraId="2ADEE81D">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0.003</w:t>
            </w:r>
          </w:p>
        </w:tc>
        <w:tc>
          <w:tcPr>
            <w:tcW w:w="355" w:type="pct"/>
            <w:shd w:val="clear" w:color="auto" w:fill="auto"/>
            <w:noWrap/>
            <w:vAlign w:val="center"/>
          </w:tcPr>
          <w:p w14:paraId="4A21DCE9">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0.173</w:t>
            </w:r>
          </w:p>
        </w:tc>
        <w:tc>
          <w:tcPr>
            <w:tcW w:w="355" w:type="pct"/>
            <w:shd w:val="clear" w:color="auto" w:fill="auto"/>
            <w:noWrap/>
            <w:vAlign w:val="center"/>
          </w:tcPr>
          <w:p w14:paraId="1F76FCF2">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0.089</w:t>
            </w:r>
          </w:p>
        </w:tc>
        <w:tc>
          <w:tcPr>
            <w:tcW w:w="355" w:type="pct"/>
            <w:shd w:val="clear" w:color="auto" w:fill="auto"/>
            <w:noWrap/>
            <w:vAlign w:val="center"/>
          </w:tcPr>
          <w:p w14:paraId="3AE6D3B5">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0.001</w:t>
            </w:r>
          </w:p>
        </w:tc>
        <w:tc>
          <w:tcPr>
            <w:tcW w:w="355" w:type="pct"/>
            <w:shd w:val="clear" w:color="auto" w:fill="auto"/>
            <w:noWrap/>
            <w:vAlign w:val="center"/>
          </w:tcPr>
          <w:p w14:paraId="7541F23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0.003</w:t>
            </w:r>
          </w:p>
        </w:tc>
        <w:tc>
          <w:tcPr>
            <w:tcW w:w="355" w:type="pct"/>
            <w:shd w:val="clear" w:color="auto" w:fill="auto"/>
            <w:noWrap/>
            <w:vAlign w:val="center"/>
          </w:tcPr>
          <w:p w14:paraId="2FFA31E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0.005</w:t>
            </w:r>
          </w:p>
        </w:tc>
        <w:tc>
          <w:tcPr>
            <w:tcW w:w="355" w:type="pct"/>
            <w:shd w:val="clear" w:color="auto" w:fill="auto"/>
            <w:noWrap/>
            <w:vAlign w:val="center"/>
          </w:tcPr>
          <w:p w14:paraId="64415E9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0.001</w:t>
            </w:r>
          </w:p>
        </w:tc>
        <w:tc>
          <w:tcPr>
            <w:tcW w:w="355" w:type="pct"/>
            <w:shd w:val="clear" w:color="auto" w:fill="auto"/>
            <w:noWrap/>
            <w:vAlign w:val="center"/>
          </w:tcPr>
          <w:p w14:paraId="14D253A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0.005</w:t>
            </w:r>
          </w:p>
        </w:tc>
        <w:tc>
          <w:tcPr>
            <w:tcW w:w="355" w:type="pct"/>
            <w:shd w:val="clear" w:color="auto" w:fill="auto"/>
            <w:noWrap/>
            <w:vAlign w:val="center"/>
          </w:tcPr>
          <w:p w14:paraId="44AF147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0.002</w:t>
            </w:r>
          </w:p>
        </w:tc>
        <w:tc>
          <w:tcPr>
            <w:tcW w:w="355" w:type="pct"/>
            <w:shd w:val="clear" w:color="auto" w:fill="auto"/>
            <w:noWrap/>
            <w:vAlign w:val="center"/>
          </w:tcPr>
          <w:p w14:paraId="212187A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0.001</w:t>
            </w:r>
          </w:p>
        </w:tc>
        <w:tc>
          <w:tcPr>
            <w:tcW w:w="355" w:type="pct"/>
            <w:shd w:val="clear" w:color="auto" w:fill="auto"/>
            <w:noWrap/>
            <w:vAlign w:val="center"/>
          </w:tcPr>
          <w:p w14:paraId="0EFA51DD">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0.001</w:t>
            </w:r>
          </w:p>
        </w:tc>
        <w:tc>
          <w:tcPr>
            <w:tcW w:w="355" w:type="pct"/>
            <w:shd w:val="clear" w:color="auto" w:fill="auto"/>
            <w:noWrap/>
            <w:vAlign w:val="center"/>
          </w:tcPr>
          <w:p w14:paraId="1ACB61E0">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0.005</w:t>
            </w:r>
          </w:p>
        </w:tc>
        <w:tc>
          <w:tcPr>
            <w:tcW w:w="406" w:type="pct"/>
            <w:shd w:val="clear" w:color="auto" w:fill="auto"/>
            <w:noWrap/>
            <w:vAlign w:val="center"/>
          </w:tcPr>
          <w:p w14:paraId="28CD6939">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0.001</w:t>
            </w:r>
          </w:p>
        </w:tc>
      </w:tr>
      <w:tr w14:paraId="409983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exact"/>
          <w:tblHeader/>
          <w:jc w:val="center"/>
        </w:trPr>
        <w:tc>
          <w:tcPr>
            <w:tcW w:w="326" w:type="pct"/>
            <w:shd w:val="clear" w:color="auto" w:fill="auto"/>
            <w:noWrap/>
            <w:vAlign w:val="center"/>
          </w:tcPr>
          <w:p w14:paraId="55283A49">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2014</w:t>
            </w:r>
          </w:p>
        </w:tc>
        <w:tc>
          <w:tcPr>
            <w:tcW w:w="355" w:type="pct"/>
            <w:shd w:val="clear" w:color="auto" w:fill="auto"/>
            <w:noWrap/>
            <w:vAlign w:val="center"/>
          </w:tcPr>
          <w:p w14:paraId="44C7FAB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0.037</w:t>
            </w:r>
          </w:p>
        </w:tc>
        <w:tc>
          <w:tcPr>
            <w:tcW w:w="355" w:type="pct"/>
            <w:shd w:val="clear" w:color="auto" w:fill="auto"/>
            <w:noWrap/>
            <w:vAlign w:val="center"/>
          </w:tcPr>
          <w:p w14:paraId="1D046B2C">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0.050</w:t>
            </w:r>
          </w:p>
        </w:tc>
        <w:tc>
          <w:tcPr>
            <w:tcW w:w="355" w:type="pct"/>
            <w:shd w:val="clear" w:color="auto" w:fill="auto"/>
            <w:noWrap/>
            <w:vAlign w:val="center"/>
          </w:tcPr>
          <w:p w14:paraId="12D42A35">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0.112</w:t>
            </w:r>
          </w:p>
        </w:tc>
        <w:tc>
          <w:tcPr>
            <w:tcW w:w="355" w:type="pct"/>
            <w:shd w:val="clear" w:color="auto" w:fill="auto"/>
            <w:noWrap/>
            <w:vAlign w:val="center"/>
          </w:tcPr>
          <w:p w14:paraId="7719104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0.052</w:t>
            </w:r>
          </w:p>
        </w:tc>
        <w:tc>
          <w:tcPr>
            <w:tcW w:w="355" w:type="pct"/>
            <w:shd w:val="clear" w:color="auto" w:fill="auto"/>
            <w:noWrap/>
            <w:vAlign w:val="center"/>
          </w:tcPr>
          <w:p w14:paraId="20D158D0">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0.034</w:t>
            </w:r>
          </w:p>
        </w:tc>
        <w:tc>
          <w:tcPr>
            <w:tcW w:w="355" w:type="pct"/>
            <w:shd w:val="clear" w:color="auto" w:fill="auto"/>
            <w:noWrap/>
            <w:vAlign w:val="center"/>
          </w:tcPr>
          <w:p w14:paraId="6874986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0.091</w:t>
            </w:r>
          </w:p>
        </w:tc>
        <w:tc>
          <w:tcPr>
            <w:tcW w:w="355" w:type="pct"/>
            <w:shd w:val="clear" w:color="auto" w:fill="auto"/>
            <w:noWrap/>
            <w:vAlign w:val="center"/>
          </w:tcPr>
          <w:p w14:paraId="6B06B6F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0.022</w:t>
            </w:r>
          </w:p>
        </w:tc>
        <w:tc>
          <w:tcPr>
            <w:tcW w:w="355" w:type="pct"/>
            <w:shd w:val="clear" w:color="auto" w:fill="auto"/>
            <w:noWrap/>
            <w:vAlign w:val="center"/>
          </w:tcPr>
          <w:p w14:paraId="64919E63">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0.027</w:t>
            </w:r>
          </w:p>
        </w:tc>
        <w:tc>
          <w:tcPr>
            <w:tcW w:w="355" w:type="pct"/>
            <w:shd w:val="clear" w:color="auto" w:fill="auto"/>
            <w:noWrap/>
            <w:vAlign w:val="center"/>
          </w:tcPr>
          <w:p w14:paraId="4378A18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0.016</w:t>
            </w:r>
          </w:p>
        </w:tc>
        <w:tc>
          <w:tcPr>
            <w:tcW w:w="355" w:type="pct"/>
            <w:shd w:val="clear" w:color="auto" w:fill="auto"/>
            <w:noWrap/>
            <w:vAlign w:val="center"/>
          </w:tcPr>
          <w:p w14:paraId="650BE80D">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0.014</w:t>
            </w:r>
          </w:p>
        </w:tc>
        <w:tc>
          <w:tcPr>
            <w:tcW w:w="355" w:type="pct"/>
            <w:shd w:val="clear" w:color="auto" w:fill="auto"/>
            <w:noWrap/>
            <w:vAlign w:val="center"/>
          </w:tcPr>
          <w:p w14:paraId="0FE201C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0.004</w:t>
            </w:r>
          </w:p>
        </w:tc>
        <w:tc>
          <w:tcPr>
            <w:tcW w:w="355" w:type="pct"/>
            <w:shd w:val="clear" w:color="auto" w:fill="auto"/>
            <w:noWrap/>
            <w:vAlign w:val="center"/>
          </w:tcPr>
          <w:p w14:paraId="2029CBB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0.003</w:t>
            </w:r>
          </w:p>
        </w:tc>
        <w:tc>
          <w:tcPr>
            <w:tcW w:w="406" w:type="pct"/>
            <w:shd w:val="clear" w:color="auto" w:fill="auto"/>
            <w:noWrap/>
            <w:vAlign w:val="center"/>
          </w:tcPr>
          <w:p w14:paraId="5F2E5EA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0.004</w:t>
            </w:r>
          </w:p>
        </w:tc>
      </w:tr>
      <w:tr w14:paraId="12CCA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exact"/>
          <w:tblHeader/>
          <w:jc w:val="center"/>
        </w:trPr>
        <w:tc>
          <w:tcPr>
            <w:tcW w:w="326" w:type="pct"/>
            <w:shd w:val="clear" w:color="auto" w:fill="auto"/>
            <w:noWrap/>
            <w:vAlign w:val="center"/>
          </w:tcPr>
          <w:p w14:paraId="66648BC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2015</w:t>
            </w:r>
          </w:p>
        </w:tc>
        <w:tc>
          <w:tcPr>
            <w:tcW w:w="355" w:type="pct"/>
            <w:shd w:val="clear" w:color="auto" w:fill="auto"/>
            <w:noWrap/>
            <w:vAlign w:val="center"/>
          </w:tcPr>
          <w:p w14:paraId="4A487C9A">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0.011</w:t>
            </w:r>
          </w:p>
        </w:tc>
        <w:tc>
          <w:tcPr>
            <w:tcW w:w="355" w:type="pct"/>
            <w:shd w:val="clear" w:color="auto" w:fill="auto"/>
            <w:noWrap/>
            <w:vAlign w:val="center"/>
          </w:tcPr>
          <w:p w14:paraId="6D9C412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0.018</w:t>
            </w:r>
          </w:p>
        </w:tc>
        <w:tc>
          <w:tcPr>
            <w:tcW w:w="355" w:type="pct"/>
            <w:shd w:val="clear" w:color="auto" w:fill="auto"/>
            <w:noWrap/>
            <w:vAlign w:val="center"/>
          </w:tcPr>
          <w:p w14:paraId="14CA707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0.094</w:t>
            </w:r>
          </w:p>
        </w:tc>
        <w:tc>
          <w:tcPr>
            <w:tcW w:w="355" w:type="pct"/>
            <w:shd w:val="clear" w:color="auto" w:fill="auto"/>
            <w:noWrap/>
            <w:vAlign w:val="center"/>
          </w:tcPr>
          <w:p w14:paraId="1148387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0.058</w:t>
            </w:r>
          </w:p>
        </w:tc>
        <w:tc>
          <w:tcPr>
            <w:tcW w:w="355" w:type="pct"/>
            <w:shd w:val="clear" w:color="auto" w:fill="auto"/>
            <w:noWrap/>
            <w:vAlign w:val="center"/>
          </w:tcPr>
          <w:p w14:paraId="1DE8A27C">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0.028</w:t>
            </w:r>
          </w:p>
        </w:tc>
        <w:tc>
          <w:tcPr>
            <w:tcW w:w="355" w:type="pct"/>
            <w:shd w:val="clear" w:color="auto" w:fill="auto"/>
            <w:noWrap/>
            <w:vAlign w:val="center"/>
          </w:tcPr>
          <w:p w14:paraId="4D687C9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0.066</w:t>
            </w:r>
          </w:p>
        </w:tc>
        <w:tc>
          <w:tcPr>
            <w:tcW w:w="355" w:type="pct"/>
            <w:shd w:val="clear" w:color="auto" w:fill="auto"/>
            <w:noWrap/>
            <w:vAlign w:val="center"/>
          </w:tcPr>
          <w:p w14:paraId="2FBCEEA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0.022</w:t>
            </w:r>
          </w:p>
        </w:tc>
        <w:tc>
          <w:tcPr>
            <w:tcW w:w="355" w:type="pct"/>
            <w:shd w:val="clear" w:color="auto" w:fill="auto"/>
            <w:noWrap/>
            <w:vAlign w:val="center"/>
          </w:tcPr>
          <w:p w14:paraId="44135C4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0.004</w:t>
            </w:r>
          </w:p>
        </w:tc>
        <w:tc>
          <w:tcPr>
            <w:tcW w:w="355" w:type="pct"/>
            <w:shd w:val="clear" w:color="auto" w:fill="auto"/>
            <w:noWrap/>
            <w:vAlign w:val="center"/>
          </w:tcPr>
          <w:p w14:paraId="3C9B9D2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0.006</w:t>
            </w:r>
          </w:p>
        </w:tc>
        <w:tc>
          <w:tcPr>
            <w:tcW w:w="355" w:type="pct"/>
            <w:shd w:val="clear" w:color="auto" w:fill="auto"/>
            <w:noWrap/>
            <w:vAlign w:val="center"/>
          </w:tcPr>
          <w:p w14:paraId="4F347FB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0.009</w:t>
            </w:r>
          </w:p>
        </w:tc>
        <w:tc>
          <w:tcPr>
            <w:tcW w:w="355" w:type="pct"/>
            <w:shd w:val="clear" w:color="auto" w:fill="auto"/>
            <w:noWrap/>
            <w:vAlign w:val="center"/>
          </w:tcPr>
          <w:p w14:paraId="6937293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0.006</w:t>
            </w:r>
          </w:p>
        </w:tc>
        <w:tc>
          <w:tcPr>
            <w:tcW w:w="355" w:type="pct"/>
            <w:shd w:val="clear" w:color="auto" w:fill="auto"/>
            <w:noWrap/>
            <w:vAlign w:val="center"/>
          </w:tcPr>
          <w:p w14:paraId="5F86CF73">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0.009</w:t>
            </w:r>
          </w:p>
        </w:tc>
        <w:tc>
          <w:tcPr>
            <w:tcW w:w="406" w:type="pct"/>
            <w:shd w:val="clear" w:color="auto" w:fill="auto"/>
            <w:noWrap/>
            <w:vAlign w:val="center"/>
          </w:tcPr>
          <w:p w14:paraId="3C5DEA2A">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0.006</w:t>
            </w:r>
          </w:p>
        </w:tc>
      </w:tr>
      <w:tr w14:paraId="31AD4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exact"/>
          <w:tblHeader/>
          <w:jc w:val="center"/>
        </w:trPr>
        <w:tc>
          <w:tcPr>
            <w:tcW w:w="326" w:type="pct"/>
            <w:shd w:val="clear" w:color="auto" w:fill="auto"/>
            <w:noWrap/>
            <w:vAlign w:val="center"/>
          </w:tcPr>
          <w:p w14:paraId="4CD0BCC2">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2016</w:t>
            </w:r>
          </w:p>
        </w:tc>
        <w:tc>
          <w:tcPr>
            <w:tcW w:w="355" w:type="pct"/>
            <w:shd w:val="clear" w:color="auto" w:fill="auto"/>
            <w:noWrap/>
            <w:vAlign w:val="center"/>
          </w:tcPr>
          <w:p w14:paraId="4CEBBE4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0.015</w:t>
            </w:r>
          </w:p>
        </w:tc>
        <w:tc>
          <w:tcPr>
            <w:tcW w:w="355" w:type="pct"/>
            <w:shd w:val="clear" w:color="auto" w:fill="auto"/>
            <w:noWrap/>
            <w:vAlign w:val="center"/>
          </w:tcPr>
          <w:p w14:paraId="3E8873CA">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0.035</w:t>
            </w:r>
          </w:p>
        </w:tc>
        <w:tc>
          <w:tcPr>
            <w:tcW w:w="355" w:type="pct"/>
            <w:shd w:val="clear" w:color="auto" w:fill="auto"/>
            <w:noWrap/>
            <w:vAlign w:val="center"/>
          </w:tcPr>
          <w:p w14:paraId="45193071">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0.078</w:t>
            </w:r>
          </w:p>
        </w:tc>
        <w:tc>
          <w:tcPr>
            <w:tcW w:w="355" w:type="pct"/>
            <w:shd w:val="clear" w:color="auto" w:fill="auto"/>
            <w:noWrap/>
            <w:vAlign w:val="center"/>
          </w:tcPr>
          <w:p w14:paraId="51944135">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0.032</w:t>
            </w:r>
          </w:p>
        </w:tc>
        <w:tc>
          <w:tcPr>
            <w:tcW w:w="355" w:type="pct"/>
            <w:shd w:val="clear" w:color="auto" w:fill="auto"/>
            <w:noWrap/>
            <w:vAlign w:val="center"/>
          </w:tcPr>
          <w:p w14:paraId="3D76863C">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0.003</w:t>
            </w:r>
          </w:p>
        </w:tc>
        <w:tc>
          <w:tcPr>
            <w:tcW w:w="355" w:type="pct"/>
            <w:shd w:val="clear" w:color="auto" w:fill="auto"/>
            <w:noWrap/>
            <w:vAlign w:val="center"/>
          </w:tcPr>
          <w:p w14:paraId="0C6FB853">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0.002</w:t>
            </w:r>
          </w:p>
        </w:tc>
        <w:tc>
          <w:tcPr>
            <w:tcW w:w="355" w:type="pct"/>
            <w:shd w:val="clear" w:color="auto" w:fill="auto"/>
            <w:noWrap/>
            <w:vAlign w:val="center"/>
          </w:tcPr>
          <w:p w14:paraId="1DC91A35">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0.005</w:t>
            </w:r>
          </w:p>
        </w:tc>
        <w:tc>
          <w:tcPr>
            <w:tcW w:w="355" w:type="pct"/>
            <w:shd w:val="clear" w:color="auto" w:fill="auto"/>
            <w:noWrap/>
            <w:vAlign w:val="center"/>
          </w:tcPr>
          <w:p w14:paraId="0D849106">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0.058</w:t>
            </w:r>
          </w:p>
        </w:tc>
        <w:tc>
          <w:tcPr>
            <w:tcW w:w="355" w:type="pct"/>
            <w:shd w:val="clear" w:color="auto" w:fill="auto"/>
            <w:noWrap/>
            <w:vAlign w:val="center"/>
          </w:tcPr>
          <w:p w14:paraId="331360B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0.005</w:t>
            </w:r>
          </w:p>
        </w:tc>
        <w:tc>
          <w:tcPr>
            <w:tcW w:w="355" w:type="pct"/>
            <w:shd w:val="clear" w:color="auto" w:fill="auto"/>
            <w:noWrap/>
            <w:vAlign w:val="center"/>
          </w:tcPr>
          <w:p w14:paraId="2A5F7592">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0.003</w:t>
            </w:r>
          </w:p>
        </w:tc>
        <w:tc>
          <w:tcPr>
            <w:tcW w:w="355" w:type="pct"/>
            <w:shd w:val="clear" w:color="auto" w:fill="auto"/>
            <w:noWrap/>
            <w:vAlign w:val="center"/>
          </w:tcPr>
          <w:p w14:paraId="4B076CB0">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0.006</w:t>
            </w:r>
          </w:p>
        </w:tc>
        <w:tc>
          <w:tcPr>
            <w:tcW w:w="355" w:type="pct"/>
            <w:shd w:val="clear" w:color="auto" w:fill="auto"/>
            <w:noWrap/>
            <w:vAlign w:val="center"/>
          </w:tcPr>
          <w:p w14:paraId="29945E10">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0.015</w:t>
            </w:r>
          </w:p>
        </w:tc>
        <w:tc>
          <w:tcPr>
            <w:tcW w:w="406" w:type="pct"/>
            <w:shd w:val="clear" w:color="auto" w:fill="auto"/>
            <w:noWrap/>
            <w:vAlign w:val="center"/>
          </w:tcPr>
          <w:p w14:paraId="5452FA9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0.003</w:t>
            </w:r>
          </w:p>
        </w:tc>
      </w:tr>
      <w:tr w14:paraId="34597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exact"/>
          <w:tblHeader/>
          <w:jc w:val="center"/>
        </w:trPr>
        <w:tc>
          <w:tcPr>
            <w:tcW w:w="0" w:type="auto"/>
            <w:shd w:val="clear" w:color="auto" w:fill="auto"/>
            <w:vAlign w:val="center"/>
          </w:tcPr>
          <w:p w14:paraId="76FFCB5A">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auto"/>
                <w:kern w:val="2"/>
                <w:sz w:val="18"/>
                <w:szCs w:val="18"/>
                <w:lang w:val="en-US" w:eastAsia="zh-CN" w:bidi="ar-SA"/>
              </w:rPr>
            </w:pPr>
            <w:r>
              <w:rPr>
                <w:rFonts w:hint="default" w:ascii="Arial" w:hAnsi="Arial" w:cs="Arial"/>
                <w:color w:val="auto"/>
                <w:sz w:val="18"/>
                <w:szCs w:val="18"/>
              </w:rPr>
              <w:t>2017</w:t>
            </w:r>
          </w:p>
        </w:tc>
        <w:tc>
          <w:tcPr>
            <w:tcW w:w="0" w:type="auto"/>
            <w:shd w:val="clear" w:color="auto" w:fill="auto"/>
            <w:vAlign w:val="center"/>
          </w:tcPr>
          <w:p w14:paraId="4867278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0.077</w:t>
            </w:r>
          </w:p>
        </w:tc>
        <w:tc>
          <w:tcPr>
            <w:tcW w:w="0" w:type="auto"/>
            <w:shd w:val="clear" w:color="auto" w:fill="auto"/>
            <w:vAlign w:val="center"/>
          </w:tcPr>
          <w:p w14:paraId="184C36F8">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0.112</w:t>
            </w:r>
          </w:p>
        </w:tc>
        <w:tc>
          <w:tcPr>
            <w:tcW w:w="0" w:type="auto"/>
            <w:shd w:val="clear" w:color="auto" w:fill="auto"/>
            <w:vAlign w:val="center"/>
          </w:tcPr>
          <w:p w14:paraId="4815629A">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0.111</w:t>
            </w:r>
          </w:p>
        </w:tc>
        <w:tc>
          <w:tcPr>
            <w:tcW w:w="0" w:type="auto"/>
            <w:shd w:val="clear" w:color="auto" w:fill="auto"/>
            <w:vAlign w:val="center"/>
          </w:tcPr>
          <w:p w14:paraId="2476EAF5">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0.010</w:t>
            </w:r>
          </w:p>
        </w:tc>
        <w:tc>
          <w:tcPr>
            <w:tcW w:w="0" w:type="auto"/>
            <w:shd w:val="clear" w:color="auto" w:fill="auto"/>
            <w:vAlign w:val="center"/>
          </w:tcPr>
          <w:p w14:paraId="11561CC4">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0.006</w:t>
            </w:r>
          </w:p>
        </w:tc>
        <w:tc>
          <w:tcPr>
            <w:tcW w:w="0" w:type="auto"/>
            <w:shd w:val="clear" w:color="auto" w:fill="auto"/>
            <w:vAlign w:val="center"/>
          </w:tcPr>
          <w:p w14:paraId="131F592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0.067</w:t>
            </w:r>
          </w:p>
        </w:tc>
        <w:tc>
          <w:tcPr>
            <w:tcW w:w="0" w:type="auto"/>
            <w:shd w:val="clear" w:color="auto" w:fill="auto"/>
            <w:vAlign w:val="center"/>
          </w:tcPr>
          <w:p w14:paraId="3A24E0FD">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0.139</w:t>
            </w:r>
          </w:p>
        </w:tc>
        <w:tc>
          <w:tcPr>
            <w:tcW w:w="0" w:type="auto"/>
            <w:shd w:val="clear" w:color="auto" w:fill="auto"/>
            <w:vAlign w:val="center"/>
          </w:tcPr>
          <w:p w14:paraId="4CA96F27">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0.011</w:t>
            </w:r>
          </w:p>
        </w:tc>
        <w:tc>
          <w:tcPr>
            <w:tcW w:w="0" w:type="auto"/>
            <w:shd w:val="clear" w:color="auto" w:fill="auto"/>
            <w:vAlign w:val="center"/>
          </w:tcPr>
          <w:p w14:paraId="73565C5C">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0.005</w:t>
            </w:r>
          </w:p>
        </w:tc>
        <w:tc>
          <w:tcPr>
            <w:tcW w:w="355" w:type="pct"/>
            <w:shd w:val="clear" w:color="auto" w:fill="auto"/>
            <w:vAlign w:val="center"/>
          </w:tcPr>
          <w:p w14:paraId="2389C3F6">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0.006</w:t>
            </w:r>
          </w:p>
        </w:tc>
        <w:tc>
          <w:tcPr>
            <w:tcW w:w="355" w:type="pct"/>
            <w:shd w:val="clear" w:color="auto" w:fill="auto"/>
            <w:vAlign w:val="center"/>
          </w:tcPr>
          <w:p w14:paraId="5E0B564D">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0.004</w:t>
            </w:r>
          </w:p>
        </w:tc>
        <w:tc>
          <w:tcPr>
            <w:tcW w:w="0" w:type="auto"/>
            <w:shd w:val="clear" w:color="auto" w:fill="auto"/>
            <w:vAlign w:val="center"/>
          </w:tcPr>
          <w:p w14:paraId="49FC067B">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default" w:ascii="Arial" w:hAnsi="Arial" w:cs="Arial"/>
                <w:sz w:val="18"/>
                <w:szCs w:val="18"/>
              </w:rPr>
              <w:t>0.012</w:t>
            </w:r>
          </w:p>
        </w:tc>
        <w:tc>
          <w:tcPr>
            <w:tcW w:w="0" w:type="auto"/>
            <w:shd w:val="clear" w:color="auto" w:fill="auto"/>
            <w:vAlign w:val="center"/>
          </w:tcPr>
          <w:p w14:paraId="5756BD30">
            <w:pPr>
              <w:pStyle w:val="2106"/>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0.004</w:t>
            </w:r>
          </w:p>
        </w:tc>
      </w:tr>
    </w:tbl>
    <w:p w14:paraId="2AE44A0C">
      <w:pPr>
        <w:keepNext w:val="0"/>
        <w:keepLines w:val="0"/>
        <w:pageBreakBefore w:val="0"/>
        <w:widowControl w:val="0"/>
        <w:kinsoku/>
        <w:wordWrap/>
        <w:overflowPunct/>
        <w:topLinePunct w:val="0"/>
        <w:autoSpaceDE w:val="0"/>
        <w:autoSpaceDN w:val="0"/>
        <w:bidi w:val="0"/>
        <w:adjustRightInd w:val="0"/>
        <w:snapToGrid/>
        <w:spacing w:line="240" w:lineRule="exact"/>
        <w:ind w:firstLine="480" w:firstLineChars="200"/>
        <w:textAlignment w:val="auto"/>
        <w:rPr>
          <w:kern w:val="0"/>
          <w:sz w:val="24"/>
        </w:rPr>
      </w:pPr>
    </w:p>
    <w:p w14:paraId="4DFA53DA">
      <w:pPr>
        <w:keepNext w:val="0"/>
        <w:keepLines w:val="0"/>
        <w:pageBreakBefore w:val="0"/>
        <w:widowControl w:val="0"/>
        <w:kinsoku/>
        <w:wordWrap/>
        <w:overflowPunct/>
        <w:topLinePunct w:val="0"/>
        <w:autoSpaceDE w:val="0"/>
        <w:autoSpaceDN w:val="0"/>
        <w:bidi w:val="0"/>
        <w:adjustRightInd w:val="0"/>
        <w:snapToGrid/>
        <w:spacing w:line="460" w:lineRule="exact"/>
        <w:ind w:firstLine="544" w:firstLineChars="200"/>
        <w:textAlignment w:val="auto"/>
        <w:rPr>
          <w:rFonts w:hint="default" w:ascii="Arial" w:hAnsi="Times New Roman" w:eastAsia="宋体" w:cs="Arial"/>
          <w:spacing w:val="6"/>
          <w:sz w:val="26"/>
          <w:szCs w:val="26"/>
          <w:lang w:val="en-US" w:eastAsia="zh-CN"/>
        </w:rPr>
      </w:pPr>
      <w:r>
        <w:rPr>
          <w:rFonts w:hint="eastAsia" w:ascii="Arial" w:hAnsi="Times New Roman" w:eastAsia="宋体" w:cs="Arial"/>
          <w:spacing w:val="6"/>
          <w:sz w:val="26"/>
          <w:szCs w:val="26"/>
          <w:lang w:eastAsia="zh-CN"/>
        </w:rPr>
        <w:t>经计算，海螺沟水库坝址处近</w:t>
      </w:r>
      <w:r>
        <w:rPr>
          <w:rFonts w:hint="eastAsia" w:ascii="Arial" w:hAnsi="Times New Roman" w:eastAsia="宋体" w:cs="Arial"/>
          <w:spacing w:val="6"/>
          <w:sz w:val="26"/>
          <w:szCs w:val="26"/>
          <w:lang w:val="en-US" w:eastAsia="zh-CN"/>
        </w:rPr>
        <w:t>10年最枯月平均径流量为0.004</w:t>
      </w:r>
      <w:r>
        <w:rPr>
          <w:rFonts w:hint="eastAsia" w:ascii="Arial" w:hAnsi="Arial" w:eastAsia="宋体" w:cs="Arial"/>
          <w:bCs/>
          <w:sz w:val="26"/>
          <w:szCs w:val="26"/>
          <w:lang w:val="en-US" w:eastAsia="zh-CN"/>
        </w:rPr>
        <w:t>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val="en-US" w:eastAsia="zh-CN"/>
        </w:rPr>
        <w:t>/s。则按照近十年最枯月平均法计算，海螺沟水库坝址处下泄生态流量不应小于0.004m</w:t>
      </w:r>
      <w:r>
        <w:rPr>
          <w:rFonts w:hint="eastAsia" w:ascii="Arial" w:hAnsi="Arial" w:eastAsia="宋体" w:cs="Arial"/>
          <w:bCs/>
          <w:sz w:val="26"/>
          <w:szCs w:val="26"/>
          <w:vertAlign w:val="superscript"/>
          <w:lang w:val="en-US" w:eastAsia="zh-CN"/>
        </w:rPr>
        <w:t>3</w:t>
      </w:r>
      <w:r>
        <w:rPr>
          <w:rFonts w:hint="eastAsia" w:ascii="Arial" w:hAnsi="Arial" w:eastAsia="宋体" w:cs="Arial"/>
          <w:bCs/>
          <w:sz w:val="26"/>
          <w:szCs w:val="26"/>
          <w:lang w:val="en-US" w:eastAsia="zh-CN"/>
        </w:rPr>
        <w:t>/s。</w:t>
      </w:r>
    </w:p>
    <w:p w14:paraId="3CBEFA9C">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（3）生态流量的确定</w:t>
      </w:r>
    </w:p>
    <w:p w14:paraId="0FEF961C">
      <w:pPr>
        <w:keepNext w:val="0"/>
        <w:keepLines w:val="0"/>
        <w:pageBreakBefore w:val="0"/>
        <w:widowControl w:val="0"/>
        <w:kinsoku/>
        <w:wordWrap/>
        <w:overflowPunct/>
        <w:topLinePunct w:val="0"/>
        <w:autoSpaceDE w:val="0"/>
        <w:autoSpaceDN w:val="0"/>
        <w:bidi w:val="0"/>
        <w:adjustRightInd w:val="0"/>
        <w:snapToGrid/>
        <w:spacing w:line="460" w:lineRule="exact"/>
        <w:ind w:firstLine="544" w:firstLineChars="200"/>
        <w:textAlignment w:val="auto"/>
        <w:rPr>
          <w:rFonts w:hint="eastAsia" w:ascii="Arial" w:hAnsi="Times New Roman" w:eastAsia="宋体" w:cs="Arial"/>
          <w:spacing w:val="6"/>
          <w:sz w:val="26"/>
          <w:szCs w:val="26"/>
          <w:lang w:eastAsia="zh-CN"/>
        </w:rPr>
      </w:pPr>
      <w:r>
        <w:rPr>
          <w:rFonts w:hint="eastAsia" w:ascii="Arial" w:hAnsi="Times New Roman" w:eastAsia="宋体" w:cs="Arial"/>
          <w:spacing w:val="6"/>
          <w:sz w:val="26"/>
          <w:szCs w:val="26"/>
          <w:lang w:eastAsia="zh-CN"/>
        </w:rPr>
        <w:t>根据Tennant法、90%保证率法、近十年最枯月流量法计算，海螺沟水库最小生态基流分别为</w:t>
      </w:r>
      <w:r>
        <w:rPr>
          <w:rFonts w:hint="eastAsia" w:ascii="Arial" w:hAnsi="Times New Roman" w:eastAsia="宋体" w:cs="Arial"/>
          <w:spacing w:val="6"/>
          <w:sz w:val="26"/>
          <w:szCs w:val="26"/>
          <w:lang w:val="en-US" w:eastAsia="zh-CN"/>
        </w:rPr>
        <w:t>0.0033</w:t>
      </w:r>
      <w:r>
        <w:rPr>
          <w:rFonts w:hint="eastAsia" w:ascii="Arial" w:hAnsi="Times New Roman" w:eastAsia="宋体" w:cs="Arial"/>
          <w:spacing w:val="6"/>
          <w:sz w:val="26"/>
          <w:szCs w:val="26"/>
          <w:lang w:eastAsia="zh-CN"/>
        </w:rPr>
        <w:t>m</w:t>
      </w:r>
      <w:r>
        <w:rPr>
          <w:rFonts w:hint="eastAsia" w:ascii="Arial" w:hAnsi="Times New Roman" w:eastAsia="宋体" w:cs="Arial"/>
          <w:spacing w:val="6"/>
          <w:sz w:val="26"/>
          <w:szCs w:val="26"/>
          <w:vertAlign w:val="superscript"/>
          <w:lang w:val="en-US" w:eastAsia="zh-CN"/>
        </w:rPr>
        <w:t>3</w:t>
      </w:r>
      <w:r>
        <w:rPr>
          <w:rFonts w:hint="eastAsia" w:ascii="Arial" w:hAnsi="Times New Roman" w:eastAsia="宋体" w:cs="Arial"/>
          <w:spacing w:val="6"/>
          <w:sz w:val="26"/>
          <w:szCs w:val="26"/>
          <w:lang w:eastAsia="zh-CN"/>
        </w:rPr>
        <w:t>/s、</w:t>
      </w:r>
      <w:r>
        <w:rPr>
          <w:rFonts w:hint="eastAsia" w:ascii="Arial" w:hAnsi="Times New Roman" w:eastAsia="宋体" w:cs="Arial"/>
          <w:spacing w:val="6"/>
          <w:sz w:val="26"/>
          <w:szCs w:val="26"/>
          <w:lang w:val="en-US" w:eastAsia="zh-CN"/>
        </w:rPr>
        <w:t>0.0043</w:t>
      </w:r>
      <w:r>
        <w:rPr>
          <w:rFonts w:hint="eastAsia" w:ascii="Arial" w:hAnsi="Times New Roman" w:eastAsia="宋体" w:cs="Arial"/>
          <w:spacing w:val="6"/>
          <w:sz w:val="26"/>
          <w:szCs w:val="26"/>
          <w:lang w:eastAsia="zh-CN"/>
        </w:rPr>
        <w:t>m</w:t>
      </w:r>
      <w:r>
        <w:rPr>
          <w:rFonts w:hint="eastAsia" w:ascii="Arial" w:hAnsi="Times New Roman" w:eastAsia="宋体" w:cs="Arial"/>
          <w:spacing w:val="6"/>
          <w:sz w:val="26"/>
          <w:szCs w:val="26"/>
          <w:vertAlign w:val="superscript"/>
          <w:lang w:val="en-US" w:eastAsia="zh-CN"/>
        </w:rPr>
        <w:t>3</w:t>
      </w:r>
      <w:r>
        <w:rPr>
          <w:rFonts w:hint="eastAsia" w:ascii="Arial" w:hAnsi="Times New Roman" w:eastAsia="宋体" w:cs="Arial"/>
          <w:spacing w:val="6"/>
          <w:sz w:val="26"/>
          <w:szCs w:val="26"/>
          <w:lang w:eastAsia="zh-CN"/>
        </w:rPr>
        <w:t>/s、0.0</w:t>
      </w:r>
      <w:r>
        <w:rPr>
          <w:rFonts w:hint="eastAsia" w:ascii="Arial" w:hAnsi="Times New Roman" w:eastAsia="宋体" w:cs="Arial"/>
          <w:spacing w:val="6"/>
          <w:sz w:val="26"/>
          <w:szCs w:val="26"/>
          <w:lang w:val="en-US" w:eastAsia="zh-CN"/>
        </w:rPr>
        <w:t>04</w:t>
      </w:r>
      <w:r>
        <w:rPr>
          <w:rFonts w:hint="eastAsia" w:ascii="Arial" w:hAnsi="Times New Roman" w:eastAsia="宋体" w:cs="Arial"/>
          <w:spacing w:val="6"/>
          <w:sz w:val="26"/>
          <w:szCs w:val="26"/>
          <w:lang w:eastAsia="zh-CN"/>
        </w:rPr>
        <w:t>m</w:t>
      </w:r>
      <w:r>
        <w:rPr>
          <w:rFonts w:hint="eastAsia" w:ascii="Arial" w:hAnsi="Times New Roman" w:eastAsia="宋体" w:cs="Arial"/>
          <w:spacing w:val="6"/>
          <w:sz w:val="26"/>
          <w:szCs w:val="26"/>
          <w:vertAlign w:val="superscript"/>
          <w:lang w:val="en-US" w:eastAsia="zh-CN"/>
        </w:rPr>
        <w:t>3</w:t>
      </w:r>
      <w:r>
        <w:rPr>
          <w:rFonts w:hint="eastAsia" w:ascii="Arial" w:hAnsi="Times New Roman" w:eastAsia="宋体" w:cs="Arial"/>
          <w:spacing w:val="6"/>
          <w:sz w:val="26"/>
          <w:szCs w:val="26"/>
          <w:lang w:eastAsia="zh-CN"/>
        </w:rPr>
        <w:t>/s，本次评价取最大值，即</w:t>
      </w:r>
      <w:r>
        <w:rPr>
          <w:rFonts w:hint="eastAsia" w:ascii="Arial" w:hAnsi="Times New Roman" w:eastAsia="宋体" w:cs="Arial"/>
          <w:spacing w:val="6"/>
          <w:sz w:val="26"/>
          <w:szCs w:val="26"/>
          <w:lang w:val="en-US" w:eastAsia="zh-CN"/>
        </w:rPr>
        <w:t>0.0043</w:t>
      </w:r>
      <w:r>
        <w:rPr>
          <w:rFonts w:hint="eastAsia" w:ascii="Arial" w:hAnsi="Times New Roman" w:eastAsia="宋体" w:cs="Arial"/>
          <w:spacing w:val="6"/>
          <w:sz w:val="26"/>
          <w:szCs w:val="26"/>
          <w:lang w:eastAsia="zh-CN"/>
        </w:rPr>
        <w:t>m</w:t>
      </w:r>
      <w:r>
        <w:rPr>
          <w:rFonts w:hint="eastAsia" w:ascii="Arial" w:hAnsi="Times New Roman" w:eastAsia="宋体" w:cs="Arial"/>
          <w:spacing w:val="6"/>
          <w:sz w:val="26"/>
          <w:szCs w:val="26"/>
          <w:vertAlign w:val="superscript"/>
          <w:lang w:val="en-US" w:eastAsia="zh-CN"/>
        </w:rPr>
        <w:t>3</w:t>
      </w:r>
      <w:r>
        <w:rPr>
          <w:rFonts w:hint="eastAsia" w:ascii="Arial" w:hAnsi="Times New Roman" w:eastAsia="宋体" w:cs="Arial"/>
          <w:spacing w:val="6"/>
          <w:sz w:val="26"/>
          <w:szCs w:val="26"/>
          <w:lang w:eastAsia="zh-CN"/>
        </w:rPr>
        <w:t>/s。</w:t>
      </w:r>
    </w:p>
    <w:p w14:paraId="25DBEA89">
      <w:pPr>
        <w:keepNext w:val="0"/>
        <w:keepLines w:val="0"/>
        <w:pageBreakBefore w:val="0"/>
        <w:widowControl w:val="0"/>
        <w:kinsoku/>
        <w:wordWrap/>
        <w:overflowPunct/>
        <w:topLinePunct w:val="0"/>
        <w:autoSpaceDE w:val="0"/>
        <w:autoSpaceDN w:val="0"/>
        <w:bidi w:val="0"/>
        <w:adjustRightInd w:val="0"/>
        <w:snapToGrid/>
        <w:spacing w:line="460" w:lineRule="exact"/>
        <w:ind w:firstLine="544" w:firstLineChars="200"/>
        <w:textAlignment w:val="auto"/>
        <w:rPr>
          <w:rFonts w:hint="eastAsia" w:ascii="Arial" w:hAnsi="Times New Roman" w:eastAsia="宋体" w:cs="Arial"/>
          <w:spacing w:val="6"/>
          <w:sz w:val="26"/>
          <w:szCs w:val="26"/>
          <w:lang w:eastAsia="zh-CN"/>
        </w:rPr>
      </w:pPr>
      <w:r>
        <w:rPr>
          <w:rFonts w:hint="eastAsia" w:ascii="Arial" w:hAnsi="Times New Roman" w:eastAsia="宋体" w:cs="Arial"/>
          <w:spacing w:val="6"/>
          <w:sz w:val="26"/>
          <w:szCs w:val="26"/>
          <w:lang w:eastAsia="zh-CN"/>
        </w:rPr>
        <w:t>《重庆市渠溪河流域综合规划环境影响报告书》（报批版）指出，根据《长江经济带生态环境保护规划》（环规财</w:t>
      </w:r>
      <w:r>
        <w:rPr>
          <w:rFonts w:hint="eastAsia" w:ascii="宋体" w:hAnsi="宋体" w:eastAsia="宋体" w:cs="宋体"/>
          <w:spacing w:val="6"/>
          <w:sz w:val="26"/>
          <w:szCs w:val="26"/>
          <w:lang w:eastAsia="zh-CN"/>
        </w:rPr>
        <w:t>〔</w:t>
      </w:r>
      <w:r>
        <w:rPr>
          <w:rFonts w:hint="eastAsia" w:ascii="Arial" w:hAnsi="Times New Roman" w:eastAsia="宋体" w:cs="Arial"/>
          <w:spacing w:val="6"/>
          <w:sz w:val="26"/>
          <w:szCs w:val="26"/>
          <w:lang w:eastAsia="zh-CN"/>
        </w:rPr>
        <w:t>2017</w:t>
      </w:r>
      <w:r>
        <w:rPr>
          <w:rFonts w:hint="eastAsia" w:ascii="宋体" w:hAnsi="宋体" w:eastAsia="宋体" w:cs="宋体"/>
          <w:spacing w:val="6"/>
          <w:sz w:val="26"/>
          <w:szCs w:val="26"/>
          <w:lang w:eastAsia="zh-CN"/>
        </w:rPr>
        <w:t>〕</w:t>
      </w:r>
      <w:r>
        <w:rPr>
          <w:rFonts w:hint="eastAsia" w:ascii="Arial" w:hAnsi="Times New Roman" w:eastAsia="宋体" w:cs="Arial"/>
          <w:spacing w:val="6"/>
          <w:sz w:val="26"/>
          <w:szCs w:val="26"/>
          <w:lang w:eastAsia="zh-CN"/>
        </w:rPr>
        <w:t>88号），保障长江干支流58个主要控制节点生态基流占多年平均流量比例在15%左右，其中干流在20%以上。海螺沟水库所在海螺沟为渠溪河左岸三级支流，不属于长江的主要支流，为保障下游生态流量，提出海螺沟水库下泄生态流量按坝址处多年平均流量15%执行，为</w:t>
      </w:r>
      <w:r>
        <w:rPr>
          <w:rFonts w:hint="eastAsia" w:ascii="Arial" w:hAnsi="Times New Roman" w:eastAsia="宋体" w:cs="Arial"/>
          <w:spacing w:val="6"/>
          <w:sz w:val="26"/>
          <w:szCs w:val="26"/>
          <w:lang w:val="en-US" w:eastAsia="zh-CN"/>
        </w:rPr>
        <w:t>0.005</w:t>
      </w:r>
      <w:r>
        <w:rPr>
          <w:rFonts w:hint="eastAsia" w:ascii="Arial" w:hAnsi="Times New Roman" w:eastAsia="宋体" w:cs="Arial"/>
          <w:spacing w:val="6"/>
          <w:sz w:val="26"/>
          <w:szCs w:val="26"/>
          <w:lang w:eastAsia="zh-CN"/>
        </w:rPr>
        <w:t>m</w:t>
      </w:r>
      <w:r>
        <w:rPr>
          <w:rFonts w:hint="eastAsia" w:ascii="Arial" w:hAnsi="Times New Roman" w:eastAsia="宋体" w:cs="Arial"/>
          <w:spacing w:val="6"/>
          <w:sz w:val="26"/>
          <w:szCs w:val="26"/>
          <w:vertAlign w:val="superscript"/>
          <w:lang w:eastAsia="zh-CN"/>
        </w:rPr>
        <w:t>3</w:t>
      </w:r>
      <w:r>
        <w:rPr>
          <w:rFonts w:hint="eastAsia" w:ascii="Arial" w:hAnsi="Times New Roman" w:eastAsia="宋体" w:cs="Arial"/>
          <w:spacing w:val="6"/>
          <w:sz w:val="26"/>
          <w:szCs w:val="26"/>
          <w:lang w:eastAsia="zh-CN"/>
        </w:rPr>
        <w:t>/s。</w:t>
      </w:r>
    </w:p>
    <w:p w14:paraId="65130A80">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Arial" w:hAnsi="Times New Roman" w:eastAsia="宋体" w:cs="Arial"/>
          <w:spacing w:val="6"/>
          <w:sz w:val="26"/>
          <w:szCs w:val="26"/>
          <w:lang w:eastAsia="zh-CN"/>
        </w:rPr>
      </w:pPr>
      <w:r>
        <w:rPr>
          <w:rFonts w:hint="eastAsia"/>
          <w:kern w:val="0"/>
          <w:sz w:val="26"/>
          <w:szCs w:val="26"/>
          <w:lang w:eastAsia="zh-CN"/>
        </w:rPr>
        <w:t>综上所述，海螺沟水库运营期下泄生态流量为</w:t>
      </w:r>
      <w:r>
        <w:rPr>
          <w:rFonts w:hint="eastAsia" w:ascii="Arial" w:hAnsi="Times New Roman" w:eastAsia="宋体" w:cs="Arial"/>
          <w:spacing w:val="6"/>
          <w:sz w:val="26"/>
          <w:szCs w:val="26"/>
          <w:lang w:val="en-US" w:eastAsia="zh-CN"/>
        </w:rPr>
        <w:t>0.005</w:t>
      </w:r>
      <w:r>
        <w:rPr>
          <w:rFonts w:hint="eastAsia" w:ascii="Arial" w:hAnsi="Times New Roman" w:eastAsia="宋体" w:cs="Arial"/>
          <w:spacing w:val="6"/>
          <w:sz w:val="26"/>
          <w:szCs w:val="26"/>
          <w:lang w:eastAsia="zh-CN"/>
        </w:rPr>
        <w:t>m</w:t>
      </w:r>
      <w:r>
        <w:rPr>
          <w:rFonts w:hint="eastAsia" w:ascii="Arial" w:hAnsi="Times New Roman" w:eastAsia="宋体" w:cs="Arial"/>
          <w:spacing w:val="6"/>
          <w:sz w:val="26"/>
          <w:szCs w:val="26"/>
          <w:vertAlign w:val="superscript"/>
          <w:lang w:eastAsia="zh-CN"/>
        </w:rPr>
        <w:t>3</w:t>
      </w:r>
      <w:r>
        <w:rPr>
          <w:rFonts w:hint="eastAsia" w:ascii="Arial" w:hAnsi="Times New Roman" w:eastAsia="宋体" w:cs="Arial"/>
          <w:spacing w:val="6"/>
          <w:sz w:val="26"/>
          <w:szCs w:val="26"/>
          <w:lang w:eastAsia="zh-CN"/>
        </w:rPr>
        <w:t>/s。</w:t>
      </w:r>
    </w:p>
    <w:p w14:paraId="70A9B21D">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eastAsia="宋体" w:cs="Arial"/>
          <w:b/>
          <w:bCs w:val="0"/>
          <w:sz w:val="26"/>
          <w:szCs w:val="26"/>
          <w:lang w:val="en-US" w:eastAsia="zh-CN"/>
        </w:rPr>
      </w:pPr>
      <w:r>
        <w:rPr>
          <w:rFonts w:hint="eastAsia" w:ascii="Arial" w:hAnsi="Arial" w:eastAsia="宋体" w:cs="Arial"/>
          <w:b/>
          <w:bCs w:val="0"/>
          <w:sz w:val="26"/>
          <w:szCs w:val="26"/>
          <w:lang w:val="en-US" w:eastAsia="zh-CN"/>
        </w:rPr>
        <w:t>（4）生态流量泄放措施</w:t>
      </w:r>
    </w:p>
    <w:p w14:paraId="3D19652C">
      <w:pPr>
        <w:autoSpaceDE w:val="0"/>
        <w:autoSpaceDN w:val="0"/>
        <w:adjustRightInd w:val="0"/>
        <w:spacing w:line="500" w:lineRule="exact"/>
        <w:ind w:firstLine="520" w:firstLineChars="200"/>
        <w:rPr>
          <w:rFonts w:hint="eastAsia" w:ascii="Arial" w:hAnsi="Times New Roman" w:eastAsia="宋体" w:cs="Arial"/>
          <w:sz w:val="26"/>
          <w:szCs w:val="26"/>
          <w:lang w:eastAsia="zh-CN"/>
        </w:rPr>
      </w:pPr>
      <w:r>
        <w:rPr>
          <w:rFonts w:hint="eastAsia" w:ascii="Arial" w:hAnsi="Times New Roman" w:eastAsia="宋体" w:cs="Arial"/>
          <w:sz w:val="26"/>
          <w:szCs w:val="26"/>
          <w:lang w:eastAsia="zh-CN"/>
        </w:rPr>
        <w:t>根据项目初设报告，本项目放水设施兼有下放生态流量的功能，水库利用</w:t>
      </w:r>
      <w:r>
        <w:rPr>
          <w:rFonts w:hint="eastAsia" w:ascii="Arial" w:hAnsi="Times New Roman" w:eastAsia="宋体" w:cs="Arial"/>
          <w:sz w:val="26"/>
          <w:szCs w:val="26"/>
          <w:lang w:val="en-US" w:eastAsia="zh-CN"/>
        </w:rPr>
        <w:t>5层取水管取水后，</w:t>
      </w:r>
      <w:r>
        <w:rPr>
          <w:rFonts w:hint="default" w:ascii="Arial" w:hAnsi="Times New Roman" w:eastAsia="宋体" w:cs="Arial"/>
          <w:sz w:val="26"/>
          <w:szCs w:val="26"/>
          <w:lang w:eastAsia="zh-CN"/>
        </w:rPr>
        <w:t>汇合成一根引水管，引水管沿大坝下游坝坡左侧坝脚布置，</w:t>
      </w:r>
      <w:r>
        <w:rPr>
          <w:rFonts w:hint="eastAsia" w:ascii="Arial" w:hAnsi="Times New Roman" w:eastAsia="宋体" w:cs="Arial"/>
          <w:sz w:val="26"/>
          <w:szCs w:val="26"/>
          <w:lang w:eastAsia="zh-CN"/>
        </w:rPr>
        <w:t>引入闸阀房内，充分混合后，根据用水性质分类，室内分设3根管道，其中一根为DN</w:t>
      </w:r>
      <w:r>
        <w:rPr>
          <w:rFonts w:hint="eastAsia" w:ascii="Arial" w:hAnsi="Times New Roman" w:eastAsia="宋体" w:cs="Arial"/>
          <w:sz w:val="26"/>
          <w:szCs w:val="26"/>
          <w:lang w:val="en-US" w:eastAsia="zh-CN"/>
        </w:rPr>
        <w:t>1</w:t>
      </w:r>
      <w:r>
        <w:rPr>
          <w:rFonts w:hint="eastAsia" w:ascii="Arial" w:hAnsi="Times New Roman" w:eastAsia="宋体" w:cs="Arial"/>
          <w:sz w:val="26"/>
          <w:szCs w:val="26"/>
          <w:lang w:eastAsia="zh-CN"/>
        </w:rPr>
        <w:t>00生态放水管。</w:t>
      </w:r>
    </w:p>
    <w:p w14:paraId="76C3AA48">
      <w:pPr>
        <w:autoSpaceDE w:val="0"/>
        <w:autoSpaceDN w:val="0"/>
        <w:adjustRightInd w:val="0"/>
        <w:spacing w:line="500" w:lineRule="exact"/>
        <w:ind w:firstLine="520" w:firstLineChars="200"/>
        <w:rPr>
          <w:rFonts w:hint="eastAsia" w:ascii="Arial" w:hAnsi="Times New Roman" w:eastAsia="宋体" w:cs="Arial"/>
          <w:sz w:val="26"/>
          <w:szCs w:val="26"/>
          <w:lang w:eastAsia="zh-CN"/>
        </w:rPr>
      </w:pPr>
      <w:r>
        <w:rPr>
          <w:rFonts w:hint="eastAsia" w:ascii="Arial" w:hAnsi="Times New Roman" w:eastAsia="宋体" w:cs="Arial"/>
          <w:sz w:val="26"/>
          <w:szCs w:val="26"/>
          <w:lang w:eastAsia="zh-CN"/>
        </w:rPr>
        <w:t>为了保证下游河道生态用水量，生态放水管的控制阀应常年开启，同时在下泄流量措施处设置一套监控设施，确保生态流量不小于0.00</w:t>
      </w:r>
      <w:r>
        <w:rPr>
          <w:rFonts w:hint="eastAsia" w:ascii="Arial" w:hAnsi="Times New Roman" w:eastAsia="宋体" w:cs="Arial"/>
          <w:sz w:val="26"/>
          <w:szCs w:val="26"/>
          <w:lang w:val="en-US" w:eastAsia="zh-CN"/>
        </w:rPr>
        <w:t>5</w:t>
      </w:r>
      <w:r>
        <w:rPr>
          <w:rFonts w:hint="eastAsia" w:ascii="Arial" w:hAnsi="Times New Roman" w:eastAsia="宋体" w:cs="Arial"/>
          <w:sz w:val="26"/>
          <w:szCs w:val="26"/>
          <w:lang w:eastAsia="zh-CN"/>
        </w:rPr>
        <w:t>m</w:t>
      </w:r>
      <w:r>
        <w:rPr>
          <w:rFonts w:hint="eastAsia" w:ascii="Arial" w:hAnsi="Times New Roman" w:eastAsia="宋体" w:cs="Arial"/>
          <w:sz w:val="26"/>
          <w:szCs w:val="26"/>
          <w:vertAlign w:val="superscript"/>
          <w:lang w:eastAsia="zh-CN"/>
        </w:rPr>
        <w:t>3</w:t>
      </w:r>
      <w:r>
        <w:rPr>
          <w:rFonts w:hint="eastAsia" w:ascii="Arial" w:hAnsi="Times New Roman" w:eastAsia="宋体" w:cs="Arial"/>
          <w:sz w:val="26"/>
          <w:szCs w:val="26"/>
          <w:lang w:eastAsia="zh-CN"/>
        </w:rPr>
        <w:t>/s。生态流量下泄监控设备预留数据传输接口，以便生态流量监控网络建成后接入系统，供生态环境主管部门实时监控、监督和检查。</w:t>
      </w:r>
    </w:p>
    <w:p w14:paraId="5056377A">
      <w:pPr>
        <w:spacing w:line="460" w:lineRule="exact"/>
        <w:ind w:firstLine="522" w:firstLineChars="200"/>
        <w:rPr>
          <w:rFonts w:hint="eastAsia" w:ascii="Arial" w:hAnsi="宋体" w:cs="Arial"/>
          <w:sz w:val="26"/>
          <w:szCs w:val="26"/>
        </w:rPr>
      </w:pPr>
      <w:r>
        <w:rPr>
          <w:rFonts w:hint="eastAsia" w:ascii="Arial" w:hAnsi="Arial" w:eastAsia="宋体" w:cs="Arial"/>
          <w:b/>
          <w:bCs/>
          <w:color w:val="000000"/>
          <w:sz w:val="26"/>
          <w:szCs w:val="26"/>
          <w:lang w:val="en-US" w:eastAsia="zh-CN"/>
        </w:rPr>
        <w:t>6.5.</w:t>
      </w:r>
      <w:r>
        <w:rPr>
          <w:rFonts w:hint="eastAsia" w:ascii="Arial" w:hAnsi="Arial" w:cs="Arial"/>
          <w:b/>
          <w:bCs/>
          <w:color w:val="000000"/>
          <w:sz w:val="26"/>
          <w:szCs w:val="26"/>
          <w:lang w:val="en-US" w:eastAsia="zh-CN"/>
        </w:rPr>
        <w:t>4</w:t>
      </w:r>
      <w:r>
        <w:rPr>
          <w:rFonts w:hint="eastAsia" w:ascii="Arial" w:hAnsi="Arial" w:eastAsia="宋体" w:cs="Arial"/>
          <w:b/>
          <w:bCs/>
          <w:color w:val="000000"/>
          <w:sz w:val="26"/>
          <w:szCs w:val="26"/>
          <w:lang w:val="en-US" w:eastAsia="zh-CN"/>
        </w:rPr>
        <w:t>对</w:t>
      </w:r>
      <w:r>
        <w:rPr>
          <w:rFonts w:hint="eastAsia" w:ascii="Arial" w:hAnsi="Arial" w:cs="Arial"/>
          <w:b/>
          <w:bCs/>
          <w:color w:val="000000"/>
          <w:sz w:val="26"/>
          <w:szCs w:val="26"/>
          <w:lang w:val="en-US" w:eastAsia="zh-CN"/>
        </w:rPr>
        <w:t>水温</w:t>
      </w:r>
      <w:r>
        <w:rPr>
          <w:rFonts w:hint="eastAsia" w:ascii="Arial" w:hAnsi="Arial" w:eastAsia="宋体" w:cs="Arial"/>
          <w:b/>
          <w:bCs/>
          <w:color w:val="000000"/>
          <w:sz w:val="26"/>
          <w:szCs w:val="26"/>
          <w:lang w:val="en-US" w:eastAsia="zh-CN"/>
        </w:rPr>
        <w:t>的影响</w:t>
      </w:r>
    </w:p>
    <w:p w14:paraId="46ACBE97">
      <w:pPr>
        <w:spacing w:line="460" w:lineRule="exact"/>
        <w:ind w:firstLine="392" w:firstLineChars="150"/>
        <w:rPr>
          <w:rFonts w:hint="eastAsia" w:ascii="Arial" w:hAnsi="宋体" w:eastAsia="宋体" w:cs="Arial"/>
          <w:b/>
          <w:sz w:val="26"/>
          <w:szCs w:val="26"/>
          <w:lang w:eastAsia="zh-CN"/>
        </w:rPr>
      </w:pPr>
      <w:r>
        <w:rPr>
          <w:rFonts w:hint="eastAsia" w:ascii="Arial" w:hAnsi="宋体" w:cs="Arial"/>
          <w:b/>
          <w:sz w:val="26"/>
          <w:szCs w:val="26"/>
        </w:rPr>
        <w:t>（</w:t>
      </w:r>
      <w:r>
        <w:rPr>
          <w:rFonts w:hint="eastAsia" w:ascii="Arial" w:hAnsi="宋体" w:cs="Arial"/>
          <w:b/>
          <w:sz w:val="26"/>
          <w:szCs w:val="26"/>
          <w:lang w:val="en-US" w:eastAsia="zh-CN"/>
        </w:rPr>
        <w:t>1</w:t>
      </w:r>
      <w:r>
        <w:rPr>
          <w:rFonts w:hint="eastAsia" w:ascii="Arial" w:hAnsi="宋体" w:cs="Arial"/>
          <w:b/>
          <w:sz w:val="26"/>
          <w:szCs w:val="26"/>
        </w:rPr>
        <w:t>）</w:t>
      </w:r>
      <w:r>
        <w:rPr>
          <w:rFonts w:hint="eastAsia" w:ascii="Arial" w:hAnsi="宋体" w:cs="Arial"/>
          <w:b/>
          <w:sz w:val="26"/>
          <w:szCs w:val="26"/>
          <w:lang w:eastAsia="zh-CN"/>
        </w:rPr>
        <w:t>水库水温分布类型判别</w:t>
      </w:r>
    </w:p>
    <w:p w14:paraId="24D4CD9E">
      <w:pPr>
        <w:spacing w:line="460" w:lineRule="exact"/>
        <w:ind w:firstLine="520" w:firstLineChars="200"/>
        <w:rPr>
          <w:rFonts w:ascii="Arial" w:hAnsi="Arial" w:cs="Arial"/>
          <w:sz w:val="26"/>
          <w:szCs w:val="26"/>
        </w:rPr>
      </w:pPr>
      <w:r>
        <w:rPr>
          <w:rFonts w:ascii="Arial" w:cs="Arial"/>
          <w:sz w:val="26"/>
          <w:szCs w:val="26"/>
        </w:rPr>
        <w:t>项目建成蓄水后，坝前水体温度将会发生改变，影响水库水温发生变化的因素除水文、气候变化，水体内部热能交换，还与水库特性和水库运行调度有关。</w:t>
      </w:r>
    </w:p>
    <w:p w14:paraId="29A1DC1F">
      <w:pPr>
        <w:spacing w:line="460" w:lineRule="exact"/>
        <w:ind w:firstLine="520" w:firstLineChars="200"/>
        <w:rPr>
          <w:rFonts w:ascii="Arial" w:hAnsi="Arial" w:cs="Arial"/>
          <w:sz w:val="26"/>
          <w:szCs w:val="26"/>
        </w:rPr>
      </w:pPr>
      <w:r>
        <w:rPr>
          <w:rFonts w:ascii="Arial" w:cs="Arial"/>
          <w:sz w:val="26"/>
          <w:szCs w:val="26"/>
        </w:rPr>
        <w:t>水库水体温度受上述诸多因素制约，按其垂直结构形式分为分层型、混合型、过渡型。一般较完整的水库分层判别方法是通过水库流态的数值分析法来进行预测，但由于有关水库水温影响因素实测资料较少，直接对水库流态进行数值分析较困难，故采用《水利水电工程水文计算规范》（</w:t>
      </w:r>
      <w:r>
        <w:rPr>
          <w:rFonts w:ascii="Arial" w:hAnsi="Arial" w:cs="Arial"/>
          <w:sz w:val="26"/>
          <w:szCs w:val="26"/>
        </w:rPr>
        <w:t>SL278-2002</w:t>
      </w:r>
      <w:r>
        <w:rPr>
          <w:rFonts w:ascii="Arial" w:cs="Arial"/>
          <w:sz w:val="26"/>
          <w:szCs w:val="26"/>
        </w:rPr>
        <w:t>）中推荐的判别公式对水库水温结构进行判别：</w:t>
      </w:r>
    </w:p>
    <w:p w14:paraId="4F6381B1">
      <w:pPr>
        <w:spacing w:line="460" w:lineRule="exact"/>
        <w:jc w:val="center"/>
        <w:rPr>
          <w:rFonts w:ascii="Arial" w:hAnsi="Arial" w:cs="Arial"/>
          <w:sz w:val="26"/>
          <w:szCs w:val="26"/>
        </w:rPr>
      </w:pPr>
      <w:r>
        <w:rPr>
          <w:rFonts w:ascii="Arial" w:hAnsi="Arial" w:cs="Arial"/>
          <w:sz w:val="26"/>
          <w:szCs w:val="26"/>
        </w:rPr>
        <w:t>α=W</w:t>
      </w:r>
      <w:r>
        <w:rPr>
          <w:rFonts w:ascii="Arial" w:hAnsi="Arial" w:cs="Arial"/>
          <w:sz w:val="26"/>
          <w:szCs w:val="26"/>
          <w:vertAlign w:val="subscript"/>
        </w:rPr>
        <w:t>年</w:t>
      </w:r>
      <w:r>
        <w:rPr>
          <w:rFonts w:ascii="Arial" w:hAnsi="Arial" w:cs="Arial"/>
          <w:sz w:val="26"/>
          <w:szCs w:val="26"/>
        </w:rPr>
        <w:t>/V</w:t>
      </w:r>
      <w:r>
        <w:rPr>
          <w:rFonts w:ascii="Arial" w:hAnsi="Arial" w:cs="Arial"/>
          <w:sz w:val="26"/>
          <w:szCs w:val="26"/>
          <w:vertAlign w:val="subscript"/>
        </w:rPr>
        <w:t>总</w:t>
      </w:r>
      <w:r>
        <w:rPr>
          <w:rFonts w:ascii="Arial" w:hAnsi="Arial" w:cs="Arial"/>
          <w:sz w:val="26"/>
          <w:szCs w:val="26"/>
        </w:rPr>
        <w:t>；    β=W</w:t>
      </w:r>
      <w:r>
        <w:rPr>
          <w:rFonts w:ascii="Arial" w:hAnsi="Arial" w:cs="Arial"/>
          <w:sz w:val="26"/>
          <w:szCs w:val="26"/>
          <w:vertAlign w:val="subscript"/>
        </w:rPr>
        <w:t>洪</w:t>
      </w:r>
      <w:r>
        <w:rPr>
          <w:rFonts w:ascii="Arial" w:hAnsi="Arial" w:cs="Arial"/>
          <w:sz w:val="26"/>
          <w:szCs w:val="26"/>
        </w:rPr>
        <w:t>/V</w:t>
      </w:r>
      <w:r>
        <w:rPr>
          <w:rFonts w:ascii="Arial" w:hAnsi="Arial" w:cs="Arial"/>
          <w:sz w:val="26"/>
          <w:szCs w:val="26"/>
          <w:vertAlign w:val="subscript"/>
        </w:rPr>
        <w:t>总</w:t>
      </w:r>
    </w:p>
    <w:p w14:paraId="03A4DB43">
      <w:pPr>
        <w:spacing w:line="460" w:lineRule="exact"/>
        <w:ind w:firstLine="520" w:firstLineChars="200"/>
        <w:rPr>
          <w:rFonts w:ascii="Arial" w:hAnsi="Arial" w:cs="Arial"/>
          <w:sz w:val="26"/>
          <w:szCs w:val="26"/>
        </w:rPr>
      </w:pPr>
      <w:r>
        <w:rPr>
          <w:rFonts w:ascii="Arial" w:hAnsi="Arial" w:cs="Arial"/>
          <w:sz w:val="26"/>
          <w:szCs w:val="26"/>
        </w:rPr>
        <w:t>其中：</w:t>
      </w:r>
    </w:p>
    <w:p w14:paraId="07B2AA2E">
      <w:pPr>
        <w:spacing w:line="460" w:lineRule="exact"/>
        <w:ind w:firstLine="1300" w:firstLineChars="500"/>
        <w:rPr>
          <w:rFonts w:ascii="Arial" w:hAnsi="Arial" w:cs="Arial"/>
          <w:sz w:val="26"/>
          <w:szCs w:val="26"/>
        </w:rPr>
      </w:pPr>
      <w:r>
        <w:rPr>
          <w:rFonts w:ascii="Arial" w:hAnsi="Arial" w:cs="Arial"/>
          <w:sz w:val="26"/>
          <w:szCs w:val="26"/>
        </w:rPr>
        <w:t>W</w:t>
      </w:r>
      <w:r>
        <w:rPr>
          <w:rFonts w:ascii="Arial" w:hAnsi="Arial" w:cs="Arial"/>
          <w:sz w:val="26"/>
          <w:szCs w:val="26"/>
          <w:vertAlign w:val="subscript"/>
        </w:rPr>
        <w:t>年</w:t>
      </w:r>
      <w:r>
        <w:rPr>
          <w:rFonts w:ascii="Arial" w:hAnsi="Arial" w:cs="Arial"/>
          <w:sz w:val="26"/>
          <w:szCs w:val="26"/>
        </w:rPr>
        <w:t>——年总入流量，10</w:t>
      </w:r>
      <w:r>
        <w:rPr>
          <w:rFonts w:ascii="Arial" w:hAnsi="Arial" w:cs="Arial"/>
          <w:sz w:val="26"/>
          <w:szCs w:val="26"/>
          <w:vertAlign w:val="superscript"/>
        </w:rPr>
        <w:t>6</w:t>
      </w:r>
      <w:r>
        <w:rPr>
          <w:rFonts w:ascii="Arial" w:hAnsi="Arial" w:cs="Arial"/>
          <w:sz w:val="26"/>
          <w:szCs w:val="26"/>
        </w:rPr>
        <w:t>m</w:t>
      </w:r>
      <w:r>
        <w:rPr>
          <w:rFonts w:ascii="Arial" w:hAnsi="Arial" w:cs="Arial"/>
          <w:sz w:val="26"/>
          <w:szCs w:val="26"/>
          <w:vertAlign w:val="superscript"/>
        </w:rPr>
        <w:t>3</w:t>
      </w:r>
    </w:p>
    <w:p w14:paraId="2092661A">
      <w:pPr>
        <w:spacing w:line="460" w:lineRule="exact"/>
        <w:ind w:firstLine="1300" w:firstLineChars="500"/>
        <w:rPr>
          <w:rFonts w:ascii="Arial" w:hAnsi="Arial" w:cs="Arial"/>
          <w:sz w:val="26"/>
          <w:szCs w:val="26"/>
        </w:rPr>
      </w:pPr>
      <w:r>
        <w:rPr>
          <w:rFonts w:ascii="Arial" w:hAnsi="Arial" w:cs="Arial"/>
          <w:sz w:val="26"/>
          <w:szCs w:val="26"/>
        </w:rPr>
        <w:t>V</w:t>
      </w:r>
      <w:r>
        <w:rPr>
          <w:rFonts w:ascii="Arial" w:hAnsi="Arial" w:cs="Arial"/>
          <w:sz w:val="26"/>
          <w:szCs w:val="26"/>
          <w:vertAlign w:val="subscript"/>
        </w:rPr>
        <w:t>总</w:t>
      </w:r>
      <w:r>
        <w:rPr>
          <w:rFonts w:ascii="Arial" w:hAnsi="Arial" w:cs="Arial"/>
          <w:sz w:val="26"/>
          <w:szCs w:val="26"/>
        </w:rPr>
        <w:t>——水库总库容，10</w:t>
      </w:r>
      <w:r>
        <w:rPr>
          <w:rFonts w:ascii="Arial" w:hAnsi="Arial" w:cs="Arial"/>
          <w:sz w:val="26"/>
          <w:szCs w:val="26"/>
          <w:vertAlign w:val="superscript"/>
        </w:rPr>
        <w:t>6</w:t>
      </w:r>
      <w:r>
        <w:rPr>
          <w:rFonts w:ascii="Arial" w:hAnsi="Arial" w:cs="Arial"/>
          <w:sz w:val="26"/>
          <w:szCs w:val="26"/>
        </w:rPr>
        <w:t>m</w:t>
      </w:r>
      <w:r>
        <w:rPr>
          <w:rFonts w:ascii="Arial" w:hAnsi="Arial" w:cs="Arial"/>
          <w:sz w:val="26"/>
          <w:szCs w:val="26"/>
          <w:vertAlign w:val="superscript"/>
        </w:rPr>
        <w:t>3</w:t>
      </w:r>
    </w:p>
    <w:p w14:paraId="2E14B0F8">
      <w:pPr>
        <w:spacing w:line="460" w:lineRule="exact"/>
        <w:ind w:firstLine="1300" w:firstLineChars="500"/>
        <w:rPr>
          <w:rFonts w:ascii="Arial" w:hAnsi="Arial" w:cs="Arial"/>
          <w:sz w:val="26"/>
          <w:szCs w:val="26"/>
          <w:vertAlign w:val="superscript"/>
        </w:rPr>
      </w:pPr>
      <w:r>
        <w:rPr>
          <w:rFonts w:ascii="Arial" w:hAnsi="Arial" w:cs="Arial"/>
          <w:sz w:val="26"/>
          <w:szCs w:val="26"/>
        </w:rPr>
        <w:t>W</w:t>
      </w:r>
      <w:r>
        <w:rPr>
          <w:rFonts w:ascii="Arial" w:hAnsi="Arial" w:cs="Arial"/>
          <w:sz w:val="26"/>
          <w:szCs w:val="26"/>
          <w:vertAlign w:val="subscript"/>
        </w:rPr>
        <w:t>洪</w:t>
      </w:r>
      <w:r>
        <w:rPr>
          <w:rFonts w:ascii="Arial" w:hAnsi="Arial" w:cs="Arial"/>
          <w:sz w:val="26"/>
          <w:szCs w:val="26"/>
        </w:rPr>
        <w:t>——一次洪水入库水量，10</w:t>
      </w:r>
      <w:r>
        <w:rPr>
          <w:rFonts w:ascii="Arial" w:hAnsi="Arial" w:cs="Arial"/>
          <w:sz w:val="26"/>
          <w:szCs w:val="26"/>
          <w:vertAlign w:val="superscript"/>
        </w:rPr>
        <w:t>6</w:t>
      </w:r>
      <w:r>
        <w:rPr>
          <w:rFonts w:ascii="Arial" w:hAnsi="Arial" w:cs="Arial"/>
          <w:sz w:val="26"/>
          <w:szCs w:val="26"/>
        </w:rPr>
        <w:t>m</w:t>
      </w:r>
      <w:r>
        <w:rPr>
          <w:rFonts w:ascii="Arial" w:hAnsi="Arial" w:cs="Arial"/>
          <w:sz w:val="26"/>
          <w:szCs w:val="26"/>
          <w:vertAlign w:val="superscript"/>
        </w:rPr>
        <w:t>3</w:t>
      </w:r>
    </w:p>
    <w:p w14:paraId="6B7D1EF6">
      <w:pPr>
        <w:spacing w:line="460" w:lineRule="exact"/>
        <w:ind w:firstLine="520" w:firstLineChars="200"/>
        <w:rPr>
          <w:rFonts w:ascii="Arial" w:hAnsi="Arial" w:cs="Arial"/>
          <w:sz w:val="26"/>
          <w:szCs w:val="26"/>
        </w:rPr>
      </w:pPr>
      <w:r>
        <w:rPr>
          <w:rFonts w:ascii="Arial" w:hAnsi="Arial" w:cs="Arial"/>
          <w:sz w:val="26"/>
          <w:szCs w:val="26"/>
        </w:rPr>
        <w:t>判别标准：</w:t>
      </w:r>
    </w:p>
    <w:p w14:paraId="20606ABD">
      <w:pPr>
        <w:spacing w:line="460" w:lineRule="exact"/>
        <w:ind w:firstLine="520" w:firstLineChars="200"/>
        <w:rPr>
          <w:rFonts w:ascii="Arial" w:hAnsi="Arial" w:cs="Arial"/>
          <w:sz w:val="26"/>
          <w:szCs w:val="26"/>
        </w:rPr>
      </w:pPr>
      <w:r>
        <w:rPr>
          <w:rFonts w:ascii="Arial" w:hAnsi="Arial" w:cs="Arial"/>
          <w:sz w:val="26"/>
          <w:szCs w:val="26"/>
        </w:rPr>
        <w:t>α＜10，水库水温为分层型，此时，若β＞1则为临时性的混合型，若β＜0.5，洪水对水温结构没有影响。</w:t>
      </w:r>
    </w:p>
    <w:p w14:paraId="36D75946">
      <w:pPr>
        <w:spacing w:line="460" w:lineRule="exact"/>
        <w:ind w:firstLine="520" w:firstLineChars="200"/>
        <w:rPr>
          <w:rFonts w:ascii="Arial" w:hAnsi="Arial" w:cs="Arial"/>
          <w:sz w:val="26"/>
          <w:szCs w:val="26"/>
        </w:rPr>
      </w:pPr>
      <w:r>
        <w:rPr>
          <w:rFonts w:ascii="Arial" w:hAnsi="Arial" w:cs="Arial"/>
          <w:sz w:val="26"/>
          <w:szCs w:val="26"/>
        </w:rPr>
        <w:t>α＞20，水库水温为混合型。</w:t>
      </w:r>
    </w:p>
    <w:p w14:paraId="0B4F4DAE">
      <w:pPr>
        <w:spacing w:line="460" w:lineRule="exact"/>
        <w:ind w:firstLine="520" w:firstLineChars="200"/>
        <w:rPr>
          <w:rFonts w:ascii="Arial" w:hAnsi="Arial" w:cs="Arial"/>
          <w:sz w:val="26"/>
          <w:szCs w:val="26"/>
        </w:rPr>
      </w:pPr>
      <w:r>
        <w:rPr>
          <w:rFonts w:ascii="Arial" w:hAnsi="Arial" w:cs="Arial"/>
          <w:sz w:val="26"/>
          <w:szCs w:val="26"/>
        </w:rPr>
        <w:t>10＜α＜20，水库水温随水库库容的不同可能为分层型也可能为混合型。</w:t>
      </w:r>
    </w:p>
    <w:p w14:paraId="6967A80F">
      <w:pPr>
        <w:spacing w:line="460" w:lineRule="exact"/>
        <w:ind w:firstLine="520" w:firstLineChars="200"/>
        <w:rPr>
          <w:rFonts w:hint="default" w:ascii="Arial" w:hAnsi="Arial" w:eastAsia="宋体" w:cs="Arial"/>
          <w:bCs/>
          <w:sz w:val="26"/>
          <w:szCs w:val="26"/>
          <w:lang w:val="en-US" w:eastAsia="zh-CN"/>
        </w:rPr>
      </w:pPr>
      <w:r>
        <w:rPr>
          <w:rFonts w:ascii="Arial" w:hAnsi="Arial" w:cs="Arial"/>
          <w:sz w:val="26"/>
          <w:szCs w:val="26"/>
        </w:rPr>
        <w:t>本工程多年平均入库径流量</w:t>
      </w:r>
      <w:r>
        <w:rPr>
          <w:rFonts w:hint="eastAsia" w:ascii="Arial" w:hAnsi="Arial" w:cs="Arial"/>
          <w:sz w:val="26"/>
          <w:szCs w:val="26"/>
          <w:lang w:val="en-US" w:eastAsia="zh-CN"/>
        </w:rPr>
        <w:t>105</w:t>
      </w:r>
      <w:r>
        <w:rPr>
          <w:rFonts w:ascii="Arial" w:hAnsi="Arial" w:cs="Arial"/>
          <w:sz w:val="26"/>
          <w:szCs w:val="26"/>
        </w:rPr>
        <w:t>万m</w:t>
      </w:r>
      <w:r>
        <w:rPr>
          <w:rFonts w:hint="eastAsia" w:ascii="Arial" w:hAnsi="Arial" w:cs="Arial"/>
          <w:sz w:val="26"/>
          <w:szCs w:val="26"/>
          <w:vertAlign w:val="superscript"/>
        </w:rPr>
        <w:t>3</w:t>
      </w:r>
      <w:r>
        <w:rPr>
          <w:rFonts w:ascii="Arial" w:hAnsi="Arial" w:cs="Arial"/>
          <w:sz w:val="26"/>
          <w:szCs w:val="26"/>
        </w:rPr>
        <w:t>，总库容</w:t>
      </w:r>
      <w:r>
        <w:rPr>
          <w:rFonts w:hint="eastAsia" w:ascii="Arial" w:hAnsi="Arial" w:cs="Arial"/>
          <w:sz w:val="26"/>
          <w:szCs w:val="26"/>
          <w:lang w:val="en-US" w:eastAsia="zh-CN"/>
        </w:rPr>
        <w:t>80.51</w:t>
      </w:r>
      <w:r>
        <w:rPr>
          <w:rFonts w:ascii="Arial" w:hAnsi="Arial" w:cs="Arial"/>
          <w:sz w:val="26"/>
          <w:szCs w:val="26"/>
        </w:rPr>
        <w:t>万m</w:t>
      </w:r>
      <w:r>
        <w:rPr>
          <w:rFonts w:hint="eastAsia" w:ascii="Arial" w:hAnsi="Arial" w:cs="Arial"/>
          <w:sz w:val="26"/>
          <w:szCs w:val="26"/>
          <w:vertAlign w:val="superscript"/>
        </w:rPr>
        <w:t>3</w:t>
      </w:r>
      <w:r>
        <w:rPr>
          <w:rFonts w:ascii="Arial" w:hAnsi="Arial" w:cs="Arial"/>
          <w:sz w:val="26"/>
          <w:szCs w:val="26"/>
        </w:rPr>
        <w:t>，α=</w:t>
      </w:r>
      <w:r>
        <w:rPr>
          <w:rFonts w:hint="eastAsia" w:ascii="Arial" w:hAnsi="Arial" w:cs="Arial"/>
          <w:sz w:val="26"/>
          <w:szCs w:val="26"/>
          <w:lang w:val="en-US" w:eastAsia="zh-CN"/>
        </w:rPr>
        <w:t>1.3</w:t>
      </w:r>
      <w:r>
        <w:rPr>
          <w:rFonts w:ascii="Arial" w:hAnsi="Arial" w:cs="Arial"/>
          <w:sz w:val="26"/>
          <w:szCs w:val="26"/>
        </w:rPr>
        <w:t>&lt;10，因此判定</w:t>
      </w:r>
      <w:r>
        <w:rPr>
          <w:rFonts w:hint="eastAsia" w:ascii="Arial" w:hAnsi="Arial" w:cs="Arial"/>
          <w:sz w:val="26"/>
          <w:szCs w:val="26"/>
          <w:lang w:eastAsia="zh-CN"/>
        </w:rPr>
        <w:t>海螺沟</w:t>
      </w:r>
      <w:r>
        <w:rPr>
          <w:rFonts w:ascii="Arial" w:hAnsi="Arial" w:cs="Arial"/>
          <w:sz w:val="26"/>
          <w:szCs w:val="26"/>
        </w:rPr>
        <w:t>水库水温的垂直结构为分层型。Β</w:t>
      </w:r>
      <w:r>
        <w:rPr>
          <w:rFonts w:hint="eastAsia" w:ascii="Arial" w:hAnsi="Arial" w:cs="Arial"/>
          <w:sz w:val="26"/>
          <w:szCs w:val="26"/>
          <w:lang w:val="en-US" w:eastAsia="zh-CN"/>
        </w:rPr>
        <w:t>=0.3，</w:t>
      </w:r>
      <w:r>
        <w:rPr>
          <w:rFonts w:ascii="Arial" w:hAnsi="Arial" w:cs="Arial"/>
          <w:sz w:val="26"/>
          <w:szCs w:val="26"/>
        </w:rPr>
        <w:t>洪水对水温结构没有影响。</w:t>
      </w:r>
    </w:p>
    <w:p w14:paraId="2A04E989">
      <w:pPr>
        <w:spacing w:line="460" w:lineRule="exact"/>
        <w:ind w:firstLine="392" w:firstLineChars="150"/>
        <w:rPr>
          <w:rFonts w:hint="eastAsia" w:ascii="Arial" w:hAnsi="宋体" w:eastAsia="宋体" w:cs="Arial"/>
          <w:b/>
          <w:sz w:val="26"/>
          <w:szCs w:val="26"/>
          <w:lang w:eastAsia="zh-CN"/>
        </w:rPr>
      </w:pPr>
      <w:r>
        <w:rPr>
          <w:rFonts w:hint="eastAsia" w:ascii="Arial" w:hAnsi="宋体" w:cs="Arial"/>
          <w:b/>
          <w:sz w:val="26"/>
          <w:szCs w:val="26"/>
        </w:rPr>
        <w:t>（</w:t>
      </w:r>
      <w:r>
        <w:rPr>
          <w:rFonts w:hint="eastAsia" w:ascii="Arial" w:hAnsi="宋体" w:cs="Arial"/>
          <w:b/>
          <w:sz w:val="26"/>
          <w:szCs w:val="26"/>
          <w:lang w:val="en-US" w:eastAsia="zh-CN"/>
        </w:rPr>
        <w:t>2</w:t>
      </w:r>
      <w:r>
        <w:rPr>
          <w:rFonts w:hint="eastAsia" w:ascii="Arial" w:hAnsi="宋体" w:cs="Arial"/>
          <w:b/>
          <w:sz w:val="26"/>
          <w:szCs w:val="26"/>
        </w:rPr>
        <w:t>）</w:t>
      </w:r>
      <w:r>
        <w:rPr>
          <w:rFonts w:hint="eastAsia" w:ascii="Arial" w:hAnsi="宋体" w:cs="Arial"/>
          <w:b/>
          <w:sz w:val="26"/>
          <w:szCs w:val="26"/>
          <w:lang w:eastAsia="zh-CN"/>
        </w:rPr>
        <w:t>水库垂直水温分布预测</w:t>
      </w:r>
    </w:p>
    <w:p w14:paraId="1635C760">
      <w:pPr>
        <w:spacing w:line="460" w:lineRule="exact"/>
        <w:ind w:firstLine="522" w:firstLineChars="200"/>
        <w:rPr>
          <w:rFonts w:hint="eastAsia" w:ascii="Arial" w:hAnsi="Arial" w:eastAsia="宋体" w:cs="Arial"/>
          <w:b/>
          <w:bCs/>
          <w:color w:val="000000"/>
          <w:sz w:val="26"/>
          <w:szCs w:val="26"/>
          <w:lang w:val="en-US" w:eastAsia="zh-CN"/>
        </w:rPr>
      </w:pPr>
      <w:r>
        <w:rPr>
          <w:rFonts w:hint="default" w:ascii="Arial" w:hAnsi="Arial" w:eastAsia="宋体" w:cs="Arial"/>
          <w:b/>
          <w:bCs/>
          <w:color w:val="000000"/>
          <w:sz w:val="26"/>
          <w:szCs w:val="26"/>
          <w:lang w:val="en-US" w:eastAsia="zh-CN"/>
        </w:rPr>
        <w:t>①</w:t>
      </w:r>
      <w:r>
        <w:rPr>
          <w:rFonts w:hint="eastAsia" w:ascii="Arial" w:hAnsi="Arial" w:eastAsia="宋体" w:cs="Arial"/>
          <w:b/>
          <w:bCs/>
          <w:color w:val="000000"/>
          <w:sz w:val="26"/>
          <w:szCs w:val="26"/>
          <w:lang w:val="en-US" w:eastAsia="zh-CN"/>
        </w:rPr>
        <w:t>预测公式</w:t>
      </w:r>
    </w:p>
    <w:p w14:paraId="5AD51930">
      <w:pPr>
        <w:spacing w:line="460" w:lineRule="exact"/>
        <w:ind w:firstLine="520" w:firstLineChars="200"/>
        <w:rPr>
          <w:rFonts w:hint="default" w:ascii="Arial" w:hAnsi="Arial" w:eastAsia="宋体" w:cs="Arial"/>
          <w:bCs/>
          <w:sz w:val="26"/>
          <w:szCs w:val="26"/>
          <w:lang w:val="en-US" w:eastAsia="zh-CN"/>
        </w:rPr>
      </w:pPr>
      <w:r>
        <w:rPr>
          <w:rFonts w:hint="eastAsia" w:ascii="Arial" w:hAnsi="Arial" w:cs="Arial"/>
          <w:bCs/>
          <w:sz w:val="26"/>
          <w:szCs w:val="26"/>
          <w:lang w:eastAsia="zh-CN"/>
        </w:rPr>
        <w:t>根据《水电工程水温计算规范》（NB/T 35094-2017）附录</w:t>
      </w:r>
      <w:r>
        <w:rPr>
          <w:rFonts w:hint="eastAsia" w:ascii="Arial" w:hAnsi="Arial" w:cs="Arial"/>
          <w:bCs/>
          <w:sz w:val="26"/>
          <w:szCs w:val="26"/>
          <w:lang w:val="en-US" w:eastAsia="zh-CN"/>
        </w:rPr>
        <w:t>C，水库坝前垂直水温计算公式如下：</w:t>
      </w:r>
    </w:p>
    <w:p w14:paraId="05D651B4">
      <w:pPr>
        <w:adjustRightInd w:val="0"/>
        <w:snapToGrid w:val="0"/>
        <w:ind w:firstLine="520"/>
        <w:jc w:val="center"/>
        <w:rPr>
          <w:rFonts w:ascii="Arial" w:hAnsi="Arial" w:cs="Arial"/>
          <w:sz w:val="26"/>
          <w:szCs w:val="26"/>
        </w:rPr>
      </w:pPr>
      <w:r>
        <w:rPr>
          <w:rFonts w:ascii="Arial" w:hAnsi="Arial" w:cs="Arial"/>
          <w:position w:val="-14"/>
          <w:sz w:val="26"/>
          <w:szCs w:val="26"/>
        </w:rPr>
        <w:drawing>
          <wp:inline distT="0" distB="0" distL="114300" distR="114300">
            <wp:extent cx="1626235" cy="276225"/>
            <wp:effectExtent l="0" t="0" r="12065" b="762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3"/>
                    <a:stretch>
                      <a:fillRect/>
                    </a:stretch>
                  </pic:blipFill>
                  <pic:spPr>
                    <a:xfrm>
                      <a:off x="0" y="0"/>
                      <a:ext cx="1626235" cy="276225"/>
                    </a:xfrm>
                    <a:prstGeom prst="rect">
                      <a:avLst/>
                    </a:prstGeom>
                    <a:noFill/>
                    <a:ln>
                      <a:noFill/>
                    </a:ln>
                  </pic:spPr>
                </pic:pic>
              </a:graphicData>
            </a:graphic>
          </wp:inline>
        </w:drawing>
      </w:r>
      <w:r>
        <w:rPr>
          <w:rFonts w:ascii="Arial" w:hAnsi="Arial" w:cs="Arial"/>
          <w:sz w:val="26"/>
          <w:szCs w:val="26"/>
        </w:rPr>
        <w:t xml:space="preserve">             </w:t>
      </w:r>
    </w:p>
    <w:p w14:paraId="2FFF861E">
      <w:pPr>
        <w:adjustRightInd w:val="0"/>
        <w:snapToGrid w:val="0"/>
        <w:ind w:firstLine="480"/>
        <w:jc w:val="center"/>
        <w:rPr>
          <w:rFonts w:ascii="Arial" w:hAnsi="Arial" w:cs="Arial"/>
          <w:sz w:val="26"/>
          <w:szCs w:val="26"/>
        </w:rPr>
      </w:pPr>
      <w:r>
        <w:rPr>
          <w:rFonts w:ascii="Arial" w:hAnsi="Arial" w:cs="Arial"/>
          <w:position w:val="-24"/>
          <w:sz w:val="26"/>
          <w:szCs w:val="26"/>
        </w:rPr>
        <w:drawing>
          <wp:inline distT="0" distB="0" distL="114300" distR="114300">
            <wp:extent cx="842645" cy="414655"/>
            <wp:effectExtent l="0" t="0" r="0" b="381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34"/>
                    <a:stretch>
                      <a:fillRect/>
                    </a:stretch>
                  </pic:blipFill>
                  <pic:spPr>
                    <a:xfrm>
                      <a:off x="0" y="0"/>
                      <a:ext cx="842645" cy="414655"/>
                    </a:xfrm>
                    <a:prstGeom prst="rect">
                      <a:avLst/>
                    </a:prstGeom>
                    <a:noFill/>
                    <a:ln>
                      <a:noFill/>
                    </a:ln>
                  </pic:spPr>
                </pic:pic>
              </a:graphicData>
            </a:graphic>
          </wp:inline>
        </w:drawing>
      </w:r>
      <w:r>
        <w:rPr>
          <w:rFonts w:ascii="Arial" w:hAnsi="Arial" w:cs="Arial"/>
          <w:sz w:val="26"/>
          <w:szCs w:val="26"/>
        </w:rPr>
        <w:t xml:space="preserve">                   </w:t>
      </w:r>
    </w:p>
    <w:p w14:paraId="2BDFCFCE">
      <w:pPr>
        <w:adjustRightInd w:val="0"/>
        <w:snapToGrid w:val="0"/>
        <w:ind w:firstLine="480"/>
        <w:jc w:val="center"/>
        <w:rPr>
          <w:rFonts w:ascii="Arial" w:hAnsi="Arial" w:cs="Arial"/>
          <w:bCs/>
          <w:sz w:val="26"/>
          <w:szCs w:val="26"/>
        </w:rPr>
      </w:pPr>
      <w:r>
        <w:rPr>
          <w:rFonts w:ascii="Arial" w:hAnsi="Arial" w:cs="Arial"/>
          <w:position w:val="-28"/>
          <w:sz w:val="26"/>
          <w:szCs w:val="26"/>
        </w:rPr>
        <w:drawing>
          <wp:inline distT="0" distB="0" distL="114300" distR="114300">
            <wp:extent cx="1482725" cy="443865"/>
            <wp:effectExtent l="0" t="0" r="3175" b="13970"/>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pic:cNvPicPr>
                      <a:picLocks noChangeAspect="1"/>
                    </pic:cNvPicPr>
                  </pic:nvPicPr>
                  <pic:blipFill>
                    <a:blip r:embed="rId35"/>
                    <a:stretch>
                      <a:fillRect/>
                    </a:stretch>
                  </pic:blipFill>
                  <pic:spPr>
                    <a:xfrm>
                      <a:off x="0" y="0"/>
                      <a:ext cx="1482725" cy="443865"/>
                    </a:xfrm>
                    <a:prstGeom prst="rect">
                      <a:avLst/>
                    </a:prstGeom>
                    <a:noFill/>
                    <a:ln>
                      <a:noFill/>
                    </a:ln>
                  </pic:spPr>
                </pic:pic>
              </a:graphicData>
            </a:graphic>
          </wp:inline>
        </w:drawing>
      </w:r>
      <w:r>
        <w:rPr>
          <w:rFonts w:ascii="Arial" w:hAnsi="Arial" w:cs="Arial"/>
          <w:sz w:val="26"/>
          <w:szCs w:val="26"/>
        </w:rPr>
        <w:t xml:space="preserve">      </w:t>
      </w:r>
    </w:p>
    <w:p w14:paraId="01F08E7B">
      <w:pPr>
        <w:spacing w:line="460" w:lineRule="exact"/>
        <w:ind w:firstLine="520" w:firstLineChars="200"/>
        <w:rPr>
          <w:rFonts w:hint="eastAsia" w:ascii="Arial" w:hAnsi="Arial" w:eastAsia="宋体" w:cs="Arial"/>
          <w:sz w:val="26"/>
          <w:szCs w:val="26"/>
          <w:lang w:eastAsia="zh-CN"/>
        </w:rPr>
      </w:pPr>
      <w:r>
        <w:rPr>
          <w:rFonts w:ascii="Arial" w:hAnsi="Arial" w:cs="Arial"/>
          <w:sz w:val="26"/>
          <w:szCs w:val="26"/>
        </w:rPr>
        <w:t>式中</w:t>
      </w:r>
      <w:r>
        <w:rPr>
          <w:rFonts w:hint="eastAsia" w:ascii="Arial" w:hAnsi="Arial" w:cs="Arial"/>
          <w:sz w:val="26"/>
          <w:szCs w:val="26"/>
          <w:lang w:eastAsia="zh-CN"/>
        </w:rPr>
        <w:t>：</w:t>
      </w:r>
    </w:p>
    <w:p w14:paraId="6BC966E5">
      <w:pPr>
        <w:spacing w:line="460" w:lineRule="exact"/>
        <w:ind w:firstLine="520" w:firstLineChars="200"/>
        <w:rPr>
          <w:rFonts w:ascii="Arial" w:hAnsi="Arial" w:cs="Arial"/>
          <w:sz w:val="26"/>
          <w:szCs w:val="26"/>
        </w:rPr>
      </w:pPr>
      <w:r>
        <w:rPr>
          <w:rFonts w:ascii="Arial" w:hAnsi="Arial" w:cs="Arial"/>
          <w:sz w:val="26"/>
          <w:szCs w:val="26"/>
        </w:rPr>
        <w:t>T</w:t>
      </w:r>
      <w:r>
        <w:rPr>
          <w:rFonts w:ascii="Arial" w:hAnsi="Arial" w:cs="Arial"/>
          <w:sz w:val="26"/>
          <w:szCs w:val="26"/>
          <w:vertAlign w:val="subscript"/>
        </w:rPr>
        <w:t>y</w:t>
      </w:r>
      <w:r>
        <w:rPr>
          <w:rFonts w:ascii="Arial" w:hAnsi="Arial" w:cs="Arial"/>
          <w:sz w:val="26"/>
          <w:szCs w:val="26"/>
        </w:rPr>
        <w:t>—从水库水面水深为y处的月平均水温（℃）；</w:t>
      </w:r>
    </w:p>
    <w:p w14:paraId="766FC850">
      <w:pPr>
        <w:spacing w:line="460" w:lineRule="exact"/>
        <w:ind w:firstLine="520" w:firstLineChars="200"/>
        <w:rPr>
          <w:rFonts w:ascii="Arial" w:hAnsi="Arial" w:cs="Arial"/>
          <w:sz w:val="26"/>
          <w:szCs w:val="26"/>
        </w:rPr>
      </w:pPr>
      <w:r>
        <w:rPr>
          <w:rFonts w:ascii="Arial" w:hAnsi="Arial" w:cs="Arial"/>
          <w:sz w:val="26"/>
          <w:szCs w:val="26"/>
        </w:rPr>
        <w:t>T</w:t>
      </w:r>
      <w:r>
        <w:rPr>
          <w:rFonts w:ascii="Arial" w:hAnsi="Arial" w:cs="Arial"/>
          <w:sz w:val="26"/>
          <w:szCs w:val="26"/>
          <w:vertAlign w:val="subscript"/>
        </w:rPr>
        <w:t>0</w:t>
      </w:r>
      <w:r>
        <w:rPr>
          <w:rFonts w:ascii="Arial" w:hAnsi="Arial" w:cs="Arial"/>
          <w:sz w:val="26"/>
          <w:szCs w:val="26"/>
        </w:rPr>
        <w:t>—水库表面月平均水温值（℃），可根据设计水库库区的气温并利用气候条件相似同类水库的气温-库表水温关系求得，也可用已建水库库表水温与纬度的关系插补；</w:t>
      </w:r>
    </w:p>
    <w:p w14:paraId="46DDE28A">
      <w:pPr>
        <w:spacing w:line="460" w:lineRule="exact"/>
        <w:ind w:firstLine="520" w:firstLineChars="200"/>
        <w:rPr>
          <w:rFonts w:ascii="Arial" w:hAnsi="Arial" w:cs="Arial"/>
          <w:sz w:val="26"/>
          <w:szCs w:val="26"/>
        </w:rPr>
      </w:pPr>
      <w:r>
        <w:rPr>
          <w:rFonts w:ascii="Arial" w:hAnsi="Arial" w:cs="Arial"/>
          <w:sz w:val="26"/>
          <w:szCs w:val="26"/>
        </w:rPr>
        <w:t>m—月份，1、2、3…、12月；</w:t>
      </w:r>
    </w:p>
    <w:p w14:paraId="019AC7C4">
      <w:pPr>
        <w:spacing w:line="460" w:lineRule="exact"/>
        <w:ind w:firstLine="520" w:firstLineChars="200"/>
        <w:rPr>
          <w:rFonts w:ascii="Arial" w:hAnsi="Arial" w:cs="Arial"/>
          <w:sz w:val="26"/>
          <w:szCs w:val="26"/>
        </w:rPr>
      </w:pPr>
      <w:r>
        <w:rPr>
          <w:rFonts w:ascii="Arial" w:hAnsi="Arial" w:cs="Arial"/>
          <w:sz w:val="26"/>
          <w:szCs w:val="26"/>
        </w:rPr>
        <w:t>n，x—与m有关的参数；</w:t>
      </w:r>
    </w:p>
    <w:p w14:paraId="514385F3">
      <w:pPr>
        <w:spacing w:line="460" w:lineRule="exact"/>
        <w:ind w:firstLine="520" w:firstLineChars="200"/>
        <w:rPr>
          <w:rFonts w:hint="eastAsia" w:ascii="Arial" w:hAnsi="Arial" w:cs="Arial"/>
          <w:sz w:val="26"/>
          <w:szCs w:val="26"/>
          <w:lang w:eastAsia="zh-CN"/>
        </w:rPr>
      </w:pPr>
      <w:r>
        <w:rPr>
          <w:rFonts w:ascii="Arial" w:hAnsi="Arial" w:cs="Arial"/>
          <w:sz w:val="26"/>
          <w:szCs w:val="26"/>
        </w:rPr>
        <w:t>T</w:t>
      </w:r>
      <w:r>
        <w:rPr>
          <w:rFonts w:ascii="Arial" w:hAnsi="Arial" w:cs="Arial"/>
          <w:sz w:val="26"/>
          <w:szCs w:val="26"/>
          <w:vertAlign w:val="subscript"/>
        </w:rPr>
        <w:t>b</w:t>
      </w:r>
      <w:r>
        <w:rPr>
          <w:rFonts w:ascii="Arial" w:hAnsi="Arial" w:cs="Arial"/>
          <w:sz w:val="26"/>
          <w:szCs w:val="26"/>
        </w:rPr>
        <w:t>—库底月平均水温值（℃）</w:t>
      </w:r>
      <w:r>
        <w:rPr>
          <w:rFonts w:hint="eastAsia" w:ascii="Arial" w:hAnsi="Arial" w:cs="Arial"/>
          <w:sz w:val="26"/>
          <w:szCs w:val="26"/>
          <w:lang w:eastAsia="zh-CN"/>
        </w:rPr>
        <w:t>，对于分层型水库，库底水温全年稳定少变，可视为常数，采用类比相关法推算。</w:t>
      </w:r>
    </w:p>
    <w:p w14:paraId="35E2D9D8">
      <w:pPr>
        <w:spacing w:line="460" w:lineRule="exact"/>
        <w:ind w:firstLine="520" w:firstLineChars="200"/>
        <w:rPr>
          <w:rFonts w:hint="eastAsia" w:ascii="Arial" w:hAnsi="Arial" w:cs="Arial"/>
          <w:sz w:val="26"/>
          <w:szCs w:val="26"/>
          <w:lang w:val="en-US" w:eastAsia="zh-CN"/>
        </w:rPr>
      </w:pPr>
      <w:r>
        <w:rPr>
          <w:rFonts w:hint="eastAsia" w:ascii="Arial" w:hAnsi="Arial" w:cs="Arial"/>
          <w:sz w:val="26"/>
          <w:szCs w:val="26"/>
          <w:lang w:eastAsia="zh-CN"/>
        </w:rPr>
        <w:t>丰都县陈家沟抗旱应急水源工程选址位于丰都县三元镇，与本项目直线距离约</w:t>
      </w:r>
      <w:r>
        <w:rPr>
          <w:rFonts w:hint="eastAsia" w:ascii="Arial" w:hAnsi="Arial" w:cs="Arial"/>
          <w:sz w:val="26"/>
          <w:szCs w:val="26"/>
          <w:lang w:val="en-US" w:eastAsia="zh-CN"/>
        </w:rPr>
        <w:t>8.52km，同属于渠溪河流域，气候环境相似。因此本次评价参照陈家沟水库表面月平均水温进行取值，详见表6.5-5所示。</w:t>
      </w:r>
    </w:p>
    <w:p w14:paraId="4AEF2B98">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cs="Arial"/>
          <w:b/>
          <w:bCs/>
          <w:sz w:val="26"/>
          <w:szCs w:val="26"/>
          <w:lang w:val="en-US" w:eastAsia="zh-CN"/>
        </w:rPr>
      </w:pPr>
      <w:r>
        <w:rPr>
          <w:rFonts w:hint="eastAsia" w:ascii="Arial" w:hAnsi="Arial" w:cs="Arial"/>
          <w:b/>
          <w:bCs/>
          <w:sz w:val="26"/>
          <w:szCs w:val="26"/>
          <w:lang w:val="en-US" w:eastAsia="zh-CN"/>
        </w:rPr>
        <w:t>表6.5-5  本项目库表、库底月平均水温参考取值一览表  单位：℃</w:t>
      </w:r>
    </w:p>
    <w:tbl>
      <w:tblPr>
        <w:tblStyle w:val="77"/>
        <w:tblW w:w="89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68"/>
        <w:gridCol w:w="728"/>
        <w:gridCol w:w="562"/>
        <w:gridCol w:w="681"/>
        <w:gridCol w:w="682"/>
        <w:gridCol w:w="682"/>
        <w:gridCol w:w="610"/>
        <w:gridCol w:w="497"/>
        <w:gridCol w:w="514"/>
        <w:gridCol w:w="573"/>
        <w:gridCol w:w="684"/>
        <w:gridCol w:w="682"/>
        <w:gridCol w:w="697"/>
      </w:tblGrid>
      <w:tr w14:paraId="1B2C95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368" w:type="dxa"/>
            <w:tcBorders>
              <w:tl2br w:val="nil"/>
              <w:tr2bl w:val="nil"/>
            </w:tcBorders>
            <w:noWrap w:val="0"/>
            <w:vAlign w:val="bottom"/>
          </w:tcPr>
          <w:p w14:paraId="3A72F1A7">
            <w:pPr>
              <w:pStyle w:val="2114"/>
              <w:spacing w:line="300" w:lineRule="exact"/>
              <w:rPr>
                <w:rFonts w:ascii="Arial" w:hAnsi="Arial" w:cs="Arial"/>
                <w:sz w:val="22"/>
                <w:szCs w:val="22"/>
              </w:rPr>
            </w:pPr>
            <w:r>
              <w:rPr>
                <w:rFonts w:ascii="Arial" w:hAnsi="Arial" w:cs="Arial"/>
                <w:sz w:val="22"/>
                <w:szCs w:val="22"/>
              </w:rPr>
              <w:t>月份</w:t>
            </w:r>
          </w:p>
        </w:tc>
        <w:tc>
          <w:tcPr>
            <w:tcW w:w="728" w:type="dxa"/>
            <w:tcBorders>
              <w:tl2br w:val="nil"/>
              <w:tr2bl w:val="nil"/>
            </w:tcBorders>
            <w:noWrap w:val="0"/>
            <w:vAlign w:val="bottom"/>
          </w:tcPr>
          <w:p w14:paraId="2F92F6B7">
            <w:pPr>
              <w:pStyle w:val="2114"/>
              <w:spacing w:line="300" w:lineRule="exact"/>
              <w:rPr>
                <w:rFonts w:ascii="Arial" w:hAnsi="Arial" w:cs="Arial"/>
                <w:sz w:val="22"/>
                <w:szCs w:val="22"/>
              </w:rPr>
            </w:pPr>
            <w:r>
              <w:rPr>
                <w:rFonts w:ascii="Arial" w:hAnsi="Arial" w:cs="Arial"/>
                <w:sz w:val="22"/>
                <w:szCs w:val="22"/>
              </w:rPr>
              <w:t>1</w:t>
            </w:r>
          </w:p>
        </w:tc>
        <w:tc>
          <w:tcPr>
            <w:tcW w:w="562" w:type="dxa"/>
            <w:tcBorders>
              <w:tl2br w:val="nil"/>
              <w:tr2bl w:val="nil"/>
            </w:tcBorders>
            <w:noWrap w:val="0"/>
            <w:vAlign w:val="bottom"/>
          </w:tcPr>
          <w:p w14:paraId="5200F659">
            <w:pPr>
              <w:pStyle w:val="2114"/>
              <w:spacing w:line="300" w:lineRule="exact"/>
              <w:rPr>
                <w:rFonts w:ascii="Arial" w:hAnsi="Arial" w:cs="Arial"/>
                <w:sz w:val="22"/>
                <w:szCs w:val="22"/>
              </w:rPr>
            </w:pPr>
            <w:r>
              <w:rPr>
                <w:rFonts w:ascii="Arial" w:hAnsi="Arial" w:cs="Arial"/>
                <w:sz w:val="22"/>
                <w:szCs w:val="22"/>
              </w:rPr>
              <w:t>2</w:t>
            </w:r>
          </w:p>
        </w:tc>
        <w:tc>
          <w:tcPr>
            <w:tcW w:w="681" w:type="dxa"/>
            <w:tcBorders>
              <w:tl2br w:val="nil"/>
              <w:tr2bl w:val="nil"/>
            </w:tcBorders>
            <w:noWrap w:val="0"/>
            <w:vAlign w:val="bottom"/>
          </w:tcPr>
          <w:p w14:paraId="53986740">
            <w:pPr>
              <w:pStyle w:val="2114"/>
              <w:spacing w:line="300" w:lineRule="exact"/>
              <w:rPr>
                <w:rFonts w:ascii="Arial" w:hAnsi="Arial" w:cs="Arial"/>
                <w:sz w:val="22"/>
                <w:szCs w:val="22"/>
              </w:rPr>
            </w:pPr>
            <w:r>
              <w:rPr>
                <w:rFonts w:ascii="Arial" w:hAnsi="Arial" w:cs="Arial"/>
                <w:sz w:val="22"/>
                <w:szCs w:val="22"/>
              </w:rPr>
              <w:t>3</w:t>
            </w:r>
          </w:p>
        </w:tc>
        <w:tc>
          <w:tcPr>
            <w:tcW w:w="682" w:type="dxa"/>
            <w:tcBorders>
              <w:tl2br w:val="nil"/>
              <w:tr2bl w:val="nil"/>
            </w:tcBorders>
            <w:noWrap w:val="0"/>
            <w:vAlign w:val="bottom"/>
          </w:tcPr>
          <w:p w14:paraId="21A894E3">
            <w:pPr>
              <w:pStyle w:val="2114"/>
              <w:spacing w:line="300" w:lineRule="exact"/>
              <w:rPr>
                <w:rFonts w:ascii="Arial" w:hAnsi="Arial" w:cs="Arial"/>
                <w:sz w:val="22"/>
                <w:szCs w:val="22"/>
              </w:rPr>
            </w:pPr>
            <w:r>
              <w:rPr>
                <w:rFonts w:ascii="Arial" w:hAnsi="Arial" w:cs="Arial"/>
                <w:sz w:val="22"/>
                <w:szCs w:val="22"/>
              </w:rPr>
              <w:t>4</w:t>
            </w:r>
          </w:p>
        </w:tc>
        <w:tc>
          <w:tcPr>
            <w:tcW w:w="682" w:type="dxa"/>
            <w:tcBorders>
              <w:tl2br w:val="nil"/>
              <w:tr2bl w:val="nil"/>
            </w:tcBorders>
            <w:noWrap w:val="0"/>
            <w:vAlign w:val="bottom"/>
          </w:tcPr>
          <w:p w14:paraId="444164AF">
            <w:pPr>
              <w:pStyle w:val="2114"/>
              <w:spacing w:line="300" w:lineRule="exact"/>
              <w:rPr>
                <w:rFonts w:ascii="Arial" w:hAnsi="Arial" w:cs="Arial"/>
                <w:sz w:val="22"/>
                <w:szCs w:val="22"/>
              </w:rPr>
            </w:pPr>
            <w:r>
              <w:rPr>
                <w:rFonts w:ascii="Arial" w:hAnsi="Arial" w:cs="Arial"/>
                <w:sz w:val="22"/>
                <w:szCs w:val="22"/>
              </w:rPr>
              <w:t>5</w:t>
            </w:r>
          </w:p>
        </w:tc>
        <w:tc>
          <w:tcPr>
            <w:tcW w:w="610" w:type="dxa"/>
            <w:tcBorders>
              <w:tl2br w:val="nil"/>
              <w:tr2bl w:val="nil"/>
            </w:tcBorders>
            <w:noWrap w:val="0"/>
            <w:vAlign w:val="bottom"/>
          </w:tcPr>
          <w:p w14:paraId="0DB0630E">
            <w:pPr>
              <w:pStyle w:val="2114"/>
              <w:spacing w:line="300" w:lineRule="exact"/>
              <w:rPr>
                <w:rFonts w:ascii="Arial" w:hAnsi="Arial" w:cs="Arial"/>
                <w:sz w:val="22"/>
                <w:szCs w:val="22"/>
              </w:rPr>
            </w:pPr>
            <w:r>
              <w:rPr>
                <w:rFonts w:ascii="Arial" w:hAnsi="Arial" w:cs="Arial"/>
                <w:sz w:val="22"/>
                <w:szCs w:val="22"/>
              </w:rPr>
              <w:t>6</w:t>
            </w:r>
          </w:p>
        </w:tc>
        <w:tc>
          <w:tcPr>
            <w:tcW w:w="497" w:type="dxa"/>
            <w:tcBorders>
              <w:tl2br w:val="nil"/>
              <w:tr2bl w:val="nil"/>
            </w:tcBorders>
            <w:noWrap w:val="0"/>
            <w:vAlign w:val="bottom"/>
          </w:tcPr>
          <w:p w14:paraId="4CFE16D9">
            <w:pPr>
              <w:pStyle w:val="2114"/>
              <w:spacing w:line="300" w:lineRule="exact"/>
              <w:rPr>
                <w:rFonts w:ascii="Arial" w:hAnsi="Arial" w:cs="Arial"/>
                <w:sz w:val="22"/>
                <w:szCs w:val="22"/>
              </w:rPr>
            </w:pPr>
            <w:r>
              <w:rPr>
                <w:rFonts w:ascii="Arial" w:hAnsi="Arial" w:cs="Arial"/>
                <w:sz w:val="22"/>
                <w:szCs w:val="22"/>
              </w:rPr>
              <w:t>7</w:t>
            </w:r>
          </w:p>
        </w:tc>
        <w:tc>
          <w:tcPr>
            <w:tcW w:w="514" w:type="dxa"/>
            <w:tcBorders>
              <w:tl2br w:val="nil"/>
              <w:tr2bl w:val="nil"/>
            </w:tcBorders>
            <w:noWrap w:val="0"/>
            <w:vAlign w:val="bottom"/>
          </w:tcPr>
          <w:p w14:paraId="0455EF91">
            <w:pPr>
              <w:pStyle w:val="2114"/>
              <w:spacing w:line="300" w:lineRule="exact"/>
              <w:rPr>
                <w:rFonts w:ascii="Arial" w:hAnsi="Arial" w:cs="Arial"/>
                <w:sz w:val="22"/>
                <w:szCs w:val="22"/>
              </w:rPr>
            </w:pPr>
            <w:r>
              <w:rPr>
                <w:rFonts w:ascii="Arial" w:hAnsi="Arial" w:cs="Arial"/>
                <w:sz w:val="22"/>
                <w:szCs w:val="22"/>
              </w:rPr>
              <w:t>8</w:t>
            </w:r>
          </w:p>
        </w:tc>
        <w:tc>
          <w:tcPr>
            <w:tcW w:w="573" w:type="dxa"/>
            <w:tcBorders>
              <w:tl2br w:val="nil"/>
              <w:tr2bl w:val="nil"/>
            </w:tcBorders>
            <w:noWrap w:val="0"/>
            <w:vAlign w:val="bottom"/>
          </w:tcPr>
          <w:p w14:paraId="1713C9C8">
            <w:pPr>
              <w:pStyle w:val="2114"/>
              <w:spacing w:line="300" w:lineRule="exact"/>
              <w:rPr>
                <w:rFonts w:ascii="Arial" w:hAnsi="Arial" w:cs="Arial"/>
                <w:sz w:val="22"/>
                <w:szCs w:val="22"/>
              </w:rPr>
            </w:pPr>
            <w:r>
              <w:rPr>
                <w:rFonts w:ascii="Arial" w:hAnsi="Arial" w:cs="Arial"/>
                <w:sz w:val="22"/>
                <w:szCs w:val="22"/>
              </w:rPr>
              <w:t>9</w:t>
            </w:r>
          </w:p>
        </w:tc>
        <w:tc>
          <w:tcPr>
            <w:tcW w:w="684" w:type="dxa"/>
            <w:tcBorders>
              <w:tl2br w:val="nil"/>
              <w:tr2bl w:val="nil"/>
            </w:tcBorders>
            <w:noWrap w:val="0"/>
            <w:vAlign w:val="bottom"/>
          </w:tcPr>
          <w:p w14:paraId="28B124FE">
            <w:pPr>
              <w:pStyle w:val="2114"/>
              <w:spacing w:line="300" w:lineRule="exact"/>
              <w:rPr>
                <w:rFonts w:ascii="Arial" w:hAnsi="Arial" w:cs="Arial"/>
                <w:sz w:val="22"/>
                <w:szCs w:val="22"/>
              </w:rPr>
            </w:pPr>
            <w:r>
              <w:rPr>
                <w:rFonts w:ascii="Arial" w:hAnsi="Arial" w:cs="Arial"/>
                <w:sz w:val="22"/>
                <w:szCs w:val="22"/>
              </w:rPr>
              <w:t>10</w:t>
            </w:r>
          </w:p>
        </w:tc>
        <w:tc>
          <w:tcPr>
            <w:tcW w:w="682" w:type="dxa"/>
            <w:tcBorders>
              <w:tl2br w:val="nil"/>
              <w:tr2bl w:val="nil"/>
            </w:tcBorders>
            <w:noWrap w:val="0"/>
            <w:vAlign w:val="bottom"/>
          </w:tcPr>
          <w:p w14:paraId="77459352">
            <w:pPr>
              <w:pStyle w:val="2114"/>
              <w:spacing w:line="300" w:lineRule="exact"/>
              <w:rPr>
                <w:rFonts w:ascii="Arial" w:hAnsi="Arial" w:cs="Arial"/>
                <w:sz w:val="22"/>
                <w:szCs w:val="22"/>
              </w:rPr>
            </w:pPr>
            <w:r>
              <w:rPr>
                <w:rFonts w:ascii="Arial" w:hAnsi="Arial" w:cs="Arial"/>
                <w:sz w:val="22"/>
                <w:szCs w:val="22"/>
              </w:rPr>
              <w:t>11</w:t>
            </w:r>
          </w:p>
        </w:tc>
        <w:tc>
          <w:tcPr>
            <w:tcW w:w="697" w:type="dxa"/>
            <w:tcBorders>
              <w:tl2br w:val="nil"/>
              <w:tr2bl w:val="nil"/>
            </w:tcBorders>
            <w:noWrap w:val="0"/>
            <w:vAlign w:val="bottom"/>
          </w:tcPr>
          <w:p w14:paraId="2177E168">
            <w:pPr>
              <w:pStyle w:val="2114"/>
              <w:spacing w:line="300" w:lineRule="exact"/>
              <w:rPr>
                <w:rFonts w:ascii="Arial" w:hAnsi="Arial" w:cs="Arial"/>
                <w:sz w:val="22"/>
                <w:szCs w:val="22"/>
              </w:rPr>
            </w:pPr>
            <w:r>
              <w:rPr>
                <w:rFonts w:ascii="Arial" w:hAnsi="Arial" w:cs="Arial"/>
                <w:sz w:val="22"/>
                <w:szCs w:val="22"/>
              </w:rPr>
              <w:t>12</w:t>
            </w:r>
          </w:p>
        </w:tc>
      </w:tr>
      <w:tr w14:paraId="09A867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368" w:type="dxa"/>
            <w:tcBorders>
              <w:tl2br w:val="nil"/>
              <w:tr2bl w:val="nil"/>
            </w:tcBorders>
            <w:noWrap w:val="0"/>
            <w:vAlign w:val="bottom"/>
          </w:tcPr>
          <w:p w14:paraId="6EE7273F">
            <w:pPr>
              <w:pStyle w:val="2114"/>
              <w:spacing w:line="300" w:lineRule="exact"/>
              <w:rPr>
                <w:rFonts w:ascii="Arial" w:hAnsi="Arial" w:cs="Arial"/>
                <w:sz w:val="22"/>
                <w:szCs w:val="22"/>
              </w:rPr>
            </w:pPr>
            <w:r>
              <w:rPr>
                <w:rFonts w:hint="eastAsia" w:ascii="Arial" w:hAnsi="Arial" w:cs="Arial"/>
                <w:sz w:val="22"/>
                <w:szCs w:val="22"/>
                <w:lang w:eastAsia="zh-CN"/>
              </w:rPr>
              <w:t>库表</w:t>
            </w:r>
            <w:r>
              <w:rPr>
                <w:rFonts w:ascii="Arial" w:hAnsi="Arial" w:cs="Arial"/>
                <w:sz w:val="22"/>
                <w:szCs w:val="22"/>
              </w:rPr>
              <w:t>温度</w:t>
            </w:r>
          </w:p>
        </w:tc>
        <w:tc>
          <w:tcPr>
            <w:tcW w:w="728" w:type="dxa"/>
            <w:tcBorders>
              <w:tl2br w:val="nil"/>
              <w:tr2bl w:val="nil"/>
            </w:tcBorders>
            <w:noWrap w:val="0"/>
            <w:vAlign w:val="bottom"/>
          </w:tcPr>
          <w:p w14:paraId="418F7EF6">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6.0</w:t>
            </w:r>
          </w:p>
        </w:tc>
        <w:tc>
          <w:tcPr>
            <w:tcW w:w="562" w:type="dxa"/>
            <w:tcBorders>
              <w:tl2br w:val="nil"/>
              <w:tr2bl w:val="nil"/>
            </w:tcBorders>
            <w:noWrap w:val="0"/>
            <w:vAlign w:val="bottom"/>
          </w:tcPr>
          <w:p w14:paraId="30015C80">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8.0</w:t>
            </w:r>
          </w:p>
        </w:tc>
        <w:tc>
          <w:tcPr>
            <w:tcW w:w="681" w:type="dxa"/>
            <w:tcBorders>
              <w:tl2br w:val="nil"/>
              <w:tr2bl w:val="nil"/>
            </w:tcBorders>
            <w:noWrap w:val="0"/>
            <w:vAlign w:val="bottom"/>
          </w:tcPr>
          <w:p w14:paraId="4E2B2E8D">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12.5</w:t>
            </w:r>
          </w:p>
        </w:tc>
        <w:tc>
          <w:tcPr>
            <w:tcW w:w="682" w:type="dxa"/>
            <w:tcBorders>
              <w:tl2br w:val="nil"/>
              <w:tr2bl w:val="nil"/>
            </w:tcBorders>
            <w:noWrap w:val="0"/>
            <w:vAlign w:val="bottom"/>
          </w:tcPr>
          <w:p w14:paraId="61CAB457">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17.0</w:t>
            </w:r>
          </w:p>
        </w:tc>
        <w:tc>
          <w:tcPr>
            <w:tcW w:w="682" w:type="dxa"/>
            <w:tcBorders>
              <w:tl2br w:val="nil"/>
              <w:tr2bl w:val="nil"/>
            </w:tcBorders>
            <w:noWrap w:val="0"/>
            <w:vAlign w:val="bottom"/>
          </w:tcPr>
          <w:p w14:paraId="362C728C">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21.0</w:t>
            </w:r>
          </w:p>
        </w:tc>
        <w:tc>
          <w:tcPr>
            <w:tcW w:w="610" w:type="dxa"/>
            <w:tcBorders>
              <w:tl2br w:val="nil"/>
              <w:tr2bl w:val="nil"/>
            </w:tcBorders>
            <w:noWrap w:val="0"/>
            <w:vAlign w:val="bottom"/>
          </w:tcPr>
          <w:p w14:paraId="50735B78">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24.0</w:t>
            </w:r>
          </w:p>
        </w:tc>
        <w:tc>
          <w:tcPr>
            <w:tcW w:w="497" w:type="dxa"/>
            <w:tcBorders>
              <w:tl2br w:val="nil"/>
              <w:tr2bl w:val="nil"/>
            </w:tcBorders>
            <w:noWrap w:val="0"/>
            <w:vAlign w:val="bottom"/>
          </w:tcPr>
          <w:p w14:paraId="57AC519A">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27.0</w:t>
            </w:r>
          </w:p>
        </w:tc>
        <w:tc>
          <w:tcPr>
            <w:tcW w:w="514" w:type="dxa"/>
            <w:tcBorders>
              <w:tl2br w:val="nil"/>
              <w:tr2bl w:val="nil"/>
            </w:tcBorders>
            <w:noWrap w:val="0"/>
            <w:vAlign w:val="bottom"/>
          </w:tcPr>
          <w:p w14:paraId="03DCDCF7">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27.5</w:t>
            </w:r>
          </w:p>
        </w:tc>
        <w:tc>
          <w:tcPr>
            <w:tcW w:w="573" w:type="dxa"/>
            <w:tcBorders>
              <w:tl2br w:val="nil"/>
              <w:tr2bl w:val="nil"/>
            </w:tcBorders>
            <w:noWrap w:val="0"/>
            <w:vAlign w:val="bottom"/>
          </w:tcPr>
          <w:p w14:paraId="418D38F3">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22.5</w:t>
            </w:r>
          </w:p>
        </w:tc>
        <w:tc>
          <w:tcPr>
            <w:tcW w:w="684" w:type="dxa"/>
            <w:tcBorders>
              <w:tl2br w:val="nil"/>
              <w:tr2bl w:val="nil"/>
            </w:tcBorders>
            <w:noWrap w:val="0"/>
            <w:vAlign w:val="bottom"/>
          </w:tcPr>
          <w:p w14:paraId="42DDB58A">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17.0</w:t>
            </w:r>
          </w:p>
        </w:tc>
        <w:tc>
          <w:tcPr>
            <w:tcW w:w="682" w:type="dxa"/>
            <w:tcBorders>
              <w:tl2br w:val="nil"/>
              <w:tr2bl w:val="nil"/>
            </w:tcBorders>
            <w:noWrap w:val="0"/>
            <w:vAlign w:val="bottom"/>
          </w:tcPr>
          <w:p w14:paraId="4261925D">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12.8</w:t>
            </w:r>
          </w:p>
        </w:tc>
        <w:tc>
          <w:tcPr>
            <w:tcW w:w="697" w:type="dxa"/>
            <w:tcBorders>
              <w:tl2br w:val="nil"/>
              <w:tr2bl w:val="nil"/>
            </w:tcBorders>
            <w:noWrap w:val="0"/>
            <w:vAlign w:val="bottom"/>
          </w:tcPr>
          <w:p w14:paraId="4EB0BF57">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8.0</w:t>
            </w:r>
          </w:p>
        </w:tc>
      </w:tr>
    </w:tbl>
    <w:p w14:paraId="3B9606CD">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default" w:ascii="Arial" w:hAnsi="Arial" w:cs="Arial"/>
          <w:sz w:val="26"/>
          <w:szCs w:val="26"/>
          <w:lang w:val="en-US" w:eastAsia="zh-CN"/>
        </w:rPr>
      </w:pPr>
    </w:p>
    <w:p w14:paraId="58944B2B">
      <w:pPr>
        <w:spacing w:line="460" w:lineRule="exact"/>
        <w:ind w:firstLine="520" w:firstLineChars="200"/>
        <w:rPr>
          <w:rFonts w:hint="eastAsia" w:ascii="Arial" w:hAnsi="Arial" w:eastAsia="宋体" w:cs="Arial"/>
          <w:b/>
          <w:bCs/>
          <w:color w:val="000000"/>
          <w:sz w:val="26"/>
          <w:szCs w:val="26"/>
          <w:lang w:val="en-US" w:eastAsia="zh-CN"/>
        </w:rPr>
      </w:pPr>
      <w:r>
        <w:rPr>
          <w:rFonts w:hint="eastAsia" w:ascii="Arial" w:hAnsi="Arial" w:cs="Arial"/>
          <w:bCs/>
          <w:sz w:val="26"/>
          <w:szCs w:val="26"/>
          <w:lang w:eastAsia="zh-CN"/>
        </w:rPr>
        <w:t>根据《水电工程水温计算规范》（NB/T35094-2017），</w:t>
      </w:r>
      <w:r>
        <w:rPr>
          <w:rFonts w:hint="eastAsia" w:ascii="Arial" w:hAnsi="Arial" w:cs="Arial"/>
          <w:sz w:val="26"/>
          <w:szCs w:val="26"/>
          <w:lang w:eastAsia="zh-CN"/>
        </w:rPr>
        <w:t>对于分层型水库，库底水温全年稳定少变，可视为常数，采用类比相关法推算。海螺沟水库建成后为分层型水库，采用</w:t>
      </w:r>
      <w:r>
        <w:rPr>
          <w:rFonts w:ascii="Arial" w:hAnsi="宋体" w:cs="Arial"/>
          <w:sz w:val="26"/>
          <w:szCs w:val="26"/>
        </w:rPr>
        <w:t>12</w:t>
      </w:r>
      <w:r>
        <w:rPr>
          <w:rFonts w:hint="eastAsia" w:ascii="Arial" w:hAnsi="宋体" w:cs="Arial"/>
          <w:sz w:val="26"/>
          <w:szCs w:val="26"/>
        </w:rPr>
        <w:t>月、</w:t>
      </w:r>
      <w:r>
        <w:rPr>
          <w:rFonts w:ascii="Arial" w:hAnsi="宋体" w:cs="Arial"/>
          <w:sz w:val="26"/>
          <w:szCs w:val="26"/>
        </w:rPr>
        <w:t>1</w:t>
      </w:r>
      <w:r>
        <w:rPr>
          <w:rFonts w:hint="eastAsia" w:ascii="Arial" w:hAnsi="宋体" w:cs="Arial"/>
          <w:sz w:val="26"/>
          <w:szCs w:val="26"/>
        </w:rPr>
        <w:t>月和</w:t>
      </w:r>
      <w:r>
        <w:rPr>
          <w:rFonts w:ascii="Arial" w:hAnsi="宋体" w:cs="Arial"/>
          <w:sz w:val="26"/>
          <w:szCs w:val="26"/>
        </w:rPr>
        <w:t>2</w:t>
      </w:r>
      <w:r>
        <w:rPr>
          <w:rFonts w:hint="eastAsia" w:ascii="Arial" w:hAnsi="宋体" w:cs="Arial"/>
          <w:sz w:val="26"/>
          <w:szCs w:val="26"/>
        </w:rPr>
        <w:t>月的上游来水月平均水温近似作为库底年平均水温</w:t>
      </w:r>
      <w:r>
        <w:rPr>
          <w:rFonts w:hint="eastAsia" w:ascii="Arial" w:hAnsi="宋体" w:cs="Arial"/>
          <w:sz w:val="26"/>
          <w:szCs w:val="26"/>
          <w:lang w:eastAsia="zh-CN"/>
        </w:rPr>
        <w:t>，故</w:t>
      </w:r>
      <w:r>
        <w:rPr>
          <w:rFonts w:ascii="Arial" w:hAnsi="宋体" w:cs="Arial"/>
          <w:sz w:val="26"/>
          <w:szCs w:val="26"/>
        </w:rPr>
        <w:t>Tb</w:t>
      </w:r>
      <w:r>
        <w:rPr>
          <w:rFonts w:hint="eastAsia" w:ascii="Arial" w:hAnsi="宋体" w:cs="Arial"/>
          <w:sz w:val="26"/>
          <w:szCs w:val="26"/>
        </w:rPr>
        <w:t>取7.3℃。</w:t>
      </w:r>
    </w:p>
    <w:p w14:paraId="72CF663A">
      <w:pPr>
        <w:spacing w:line="460" w:lineRule="exact"/>
        <w:ind w:firstLine="522" w:firstLineChars="200"/>
        <w:rPr>
          <w:rFonts w:hint="eastAsia" w:ascii="Arial" w:hAnsi="Arial" w:eastAsia="宋体" w:cs="Arial"/>
          <w:b/>
          <w:bCs/>
          <w:color w:val="000000"/>
          <w:sz w:val="26"/>
          <w:szCs w:val="26"/>
          <w:lang w:val="en-US" w:eastAsia="zh-CN"/>
        </w:rPr>
      </w:pPr>
      <w:r>
        <w:rPr>
          <w:rFonts w:hint="default" w:ascii="Arial" w:hAnsi="Arial" w:eastAsia="宋体" w:cs="Arial"/>
          <w:b/>
          <w:bCs/>
          <w:color w:val="000000"/>
          <w:sz w:val="26"/>
          <w:szCs w:val="26"/>
          <w:lang w:val="en-US" w:eastAsia="zh-CN"/>
        </w:rPr>
        <w:t>②</w:t>
      </w:r>
      <w:r>
        <w:rPr>
          <w:rFonts w:hint="eastAsia" w:ascii="Arial" w:hAnsi="Arial" w:eastAsia="宋体" w:cs="Arial"/>
          <w:b/>
          <w:bCs/>
          <w:color w:val="000000"/>
          <w:sz w:val="26"/>
          <w:szCs w:val="26"/>
          <w:lang w:val="en-US" w:eastAsia="zh-CN"/>
        </w:rPr>
        <w:t>预测结果</w:t>
      </w:r>
    </w:p>
    <w:p w14:paraId="49DE51AC">
      <w:pPr>
        <w:spacing w:line="460" w:lineRule="exact"/>
        <w:ind w:firstLine="520" w:firstLineChars="200"/>
        <w:rPr>
          <w:rFonts w:hint="default" w:ascii="Arial" w:hAnsi="Arial" w:eastAsia="宋体" w:cs="Arial"/>
          <w:bCs/>
          <w:sz w:val="26"/>
          <w:szCs w:val="26"/>
          <w:lang w:val="en-US" w:eastAsia="zh-CN"/>
        </w:rPr>
      </w:pPr>
      <w:r>
        <w:rPr>
          <w:rFonts w:hint="eastAsia" w:ascii="Arial" w:hAnsi="Arial" w:cs="Arial"/>
          <w:bCs/>
          <w:sz w:val="26"/>
          <w:szCs w:val="26"/>
          <w:lang w:eastAsia="zh-CN"/>
        </w:rPr>
        <w:t>海螺沟水库采取分</w:t>
      </w:r>
      <w:r>
        <w:rPr>
          <w:rFonts w:hint="eastAsia" w:ascii="Arial" w:hAnsi="Arial" w:cs="Arial"/>
          <w:bCs/>
          <w:sz w:val="26"/>
          <w:szCs w:val="26"/>
          <w:lang w:val="en-US" w:eastAsia="zh-CN"/>
        </w:rPr>
        <w:t>5</w:t>
      </w:r>
      <w:r>
        <w:rPr>
          <w:rFonts w:hint="eastAsia" w:ascii="Arial" w:hAnsi="Arial" w:cs="Arial"/>
          <w:bCs/>
          <w:sz w:val="26"/>
          <w:szCs w:val="26"/>
          <w:lang w:eastAsia="zh-CN"/>
        </w:rPr>
        <w:t>层取水模式，各层取水口从上到下高程依次为</w:t>
      </w:r>
      <w:r>
        <w:rPr>
          <w:rFonts w:hint="default" w:ascii="Arial" w:hAnsi="Arial" w:cs="Arial"/>
          <w:sz w:val="26"/>
          <w:szCs w:val="26"/>
        </w:rPr>
        <w:t>418.00m、415.00m、412.00m</w:t>
      </w:r>
      <w:r>
        <w:rPr>
          <w:rFonts w:hint="eastAsia" w:ascii="Arial" w:hAnsi="Arial" w:cs="Arial"/>
          <w:sz w:val="26"/>
          <w:szCs w:val="26"/>
        </w:rPr>
        <w:t>、</w:t>
      </w:r>
      <w:r>
        <w:rPr>
          <w:rFonts w:hint="default" w:ascii="Arial" w:hAnsi="Arial" w:cs="Arial"/>
          <w:sz w:val="26"/>
          <w:szCs w:val="26"/>
        </w:rPr>
        <w:t>409.00m</w:t>
      </w:r>
      <w:r>
        <w:rPr>
          <w:rFonts w:hint="eastAsia" w:ascii="Arial" w:hAnsi="Arial" w:cs="Arial"/>
          <w:sz w:val="26"/>
          <w:szCs w:val="26"/>
        </w:rPr>
        <w:t>、</w:t>
      </w:r>
      <w:r>
        <w:rPr>
          <w:rFonts w:hint="default" w:ascii="Arial" w:hAnsi="Arial" w:cs="Arial"/>
          <w:sz w:val="26"/>
          <w:szCs w:val="26"/>
        </w:rPr>
        <w:t>405.50m</w:t>
      </w:r>
      <w:r>
        <w:rPr>
          <w:rFonts w:hint="eastAsia" w:ascii="Arial" w:hAnsi="Arial" w:cs="Arial"/>
          <w:sz w:val="26"/>
          <w:szCs w:val="26"/>
          <w:lang w:eastAsia="zh-CN"/>
        </w:rPr>
        <w:t>，水库正常蓄水位为</w:t>
      </w:r>
      <w:r>
        <w:rPr>
          <w:rFonts w:hint="eastAsia" w:ascii="Arial" w:hAnsi="Arial" w:cs="Arial"/>
          <w:sz w:val="26"/>
          <w:szCs w:val="26"/>
          <w:lang w:val="en-US" w:eastAsia="zh-CN"/>
        </w:rPr>
        <w:t>420.00m，则根据计算，</w:t>
      </w:r>
      <w:r>
        <w:rPr>
          <w:rFonts w:hint="eastAsia" w:ascii="Arial" w:hAnsi="宋体" w:cs="Arial"/>
          <w:sz w:val="26"/>
          <w:szCs w:val="26"/>
          <w:lang w:eastAsia="zh-CN"/>
        </w:rPr>
        <w:t>海螺沟</w:t>
      </w:r>
      <w:r>
        <w:rPr>
          <w:rFonts w:hint="eastAsia" w:ascii="Arial" w:hAnsi="宋体" w:cs="Arial"/>
          <w:sz w:val="26"/>
          <w:szCs w:val="26"/>
        </w:rPr>
        <w:t>水库全年各月分层水温计算成果详见表</w:t>
      </w:r>
      <w:r>
        <w:rPr>
          <w:rFonts w:hint="eastAsia" w:ascii="Arial" w:hAnsi="宋体" w:cs="Arial"/>
          <w:sz w:val="26"/>
          <w:szCs w:val="26"/>
          <w:lang w:val="en-US" w:eastAsia="zh-CN"/>
        </w:rPr>
        <w:t>6.5-6</w:t>
      </w:r>
      <w:r>
        <w:rPr>
          <w:rFonts w:hint="eastAsia" w:ascii="Arial" w:hAnsi="宋体" w:cs="Arial"/>
          <w:sz w:val="26"/>
          <w:szCs w:val="26"/>
        </w:rPr>
        <w:t>所示。</w:t>
      </w:r>
    </w:p>
    <w:p w14:paraId="33DC1955">
      <w:pPr>
        <w:spacing w:line="460" w:lineRule="exact"/>
        <w:jc w:val="center"/>
        <w:rPr>
          <w:rFonts w:hint="eastAsia" w:ascii="Arial" w:hAnsi="宋体" w:cs="Arial"/>
          <w:b/>
          <w:sz w:val="26"/>
          <w:szCs w:val="26"/>
        </w:rPr>
      </w:pPr>
      <w:r>
        <w:rPr>
          <w:rFonts w:hint="eastAsia" w:ascii="Arial" w:hAnsi="宋体" w:cs="Arial"/>
          <w:b/>
          <w:sz w:val="26"/>
          <w:szCs w:val="26"/>
        </w:rPr>
        <w:t>表</w:t>
      </w:r>
      <w:r>
        <w:rPr>
          <w:rFonts w:hint="eastAsia" w:ascii="Arial" w:hAnsi="宋体" w:cs="Arial"/>
          <w:b/>
          <w:sz w:val="26"/>
          <w:szCs w:val="26"/>
          <w:lang w:val="en-US" w:eastAsia="zh-CN"/>
        </w:rPr>
        <w:t xml:space="preserve">6.5-6 </w:t>
      </w:r>
      <w:r>
        <w:rPr>
          <w:rFonts w:hint="eastAsia" w:ascii="Arial" w:hAnsi="宋体" w:cs="Arial"/>
          <w:b/>
          <w:sz w:val="26"/>
          <w:szCs w:val="26"/>
        </w:rPr>
        <w:t xml:space="preserve"> </w:t>
      </w:r>
      <w:r>
        <w:rPr>
          <w:rFonts w:hint="eastAsia" w:ascii="Arial" w:hAnsi="宋体" w:cs="Arial"/>
          <w:b/>
          <w:sz w:val="26"/>
          <w:szCs w:val="26"/>
          <w:lang w:eastAsia="zh-CN"/>
        </w:rPr>
        <w:t>海螺沟</w:t>
      </w:r>
      <w:r>
        <w:rPr>
          <w:rFonts w:hint="eastAsia" w:ascii="Arial" w:hAnsi="宋体" w:cs="Arial"/>
          <w:b/>
          <w:sz w:val="26"/>
          <w:szCs w:val="26"/>
        </w:rPr>
        <w:t>水库垂向水温计算成果表  单位：℃</w:t>
      </w:r>
    </w:p>
    <w:tbl>
      <w:tblPr>
        <w:tblStyle w:val="77"/>
        <w:tblW w:w="870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1"/>
        <w:gridCol w:w="648"/>
        <w:gridCol w:w="539"/>
        <w:gridCol w:w="649"/>
        <w:gridCol w:w="648"/>
        <w:gridCol w:w="648"/>
        <w:gridCol w:w="649"/>
        <w:gridCol w:w="648"/>
        <w:gridCol w:w="648"/>
        <w:gridCol w:w="649"/>
        <w:gridCol w:w="648"/>
        <w:gridCol w:w="649"/>
        <w:gridCol w:w="648"/>
      </w:tblGrid>
      <w:tr w14:paraId="1FD510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1031" w:type="dxa"/>
            <w:noWrap w:val="0"/>
            <w:vAlign w:val="bottom"/>
          </w:tcPr>
          <w:p w14:paraId="3739109E">
            <w:pPr>
              <w:pStyle w:val="2114"/>
              <w:spacing w:line="300" w:lineRule="exact"/>
              <w:rPr>
                <w:rFonts w:ascii="Arial" w:hAnsi="Arial" w:eastAsia="Times New Roman" w:cs="Arial"/>
                <w:sz w:val="22"/>
                <w:szCs w:val="22"/>
              </w:rPr>
            </w:pPr>
            <w:r>
              <w:rPr>
                <w:rFonts w:ascii="Arial" w:hAnsi="Arial" w:cs="Arial"/>
                <w:sz w:val="22"/>
                <w:szCs w:val="22"/>
              </w:rPr>
              <mc:AlternateContent>
                <mc:Choice Requires="wps">
                  <w:drawing>
                    <wp:anchor distT="0" distB="0" distL="114300" distR="114300" simplePos="0" relativeHeight="251767808" behindDoc="0" locked="0" layoutInCell="1" allowOverlap="1">
                      <wp:simplePos x="0" y="0"/>
                      <wp:positionH relativeFrom="column">
                        <wp:posOffset>-67310</wp:posOffset>
                      </wp:positionH>
                      <wp:positionV relativeFrom="paragraph">
                        <wp:posOffset>-9525</wp:posOffset>
                      </wp:positionV>
                      <wp:extent cx="607060" cy="365760"/>
                      <wp:effectExtent l="2540" t="3810" r="19050" b="11430"/>
                      <wp:wrapNone/>
                      <wp:docPr id="33" name="直接箭头连接符 33"/>
                      <wp:cNvGraphicFramePr/>
                      <a:graphic xmlns:a="http://schemas.openxmlformats.org/drawingml/2006/main">
                        <a:graphicData uri="http://schemas.microsoft.com/office/word/2010/wordprocessingShape">
                          <wps:wsp>
                            <wps:cNvCnPr/>
                            <wps:spPr>
                              <a:xfrm>
                                <a:off x="0" y="0"/>
                                <a:ext cx="607060" cy="3657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3pt;margin-top:-0.75pt;height:28.8pt;width:47.8pt;z-index:251767808;mso-width-relative:page;mso-height-relative:page;" filled="f" stroked="t" coordsize="21600,21600" o:gfxdata="UEsDBAoAAAAAAIdO4kAAAAAAAAAAAAAAAAAEAAAAZHJzL1BLAwQUAAAACACHTuJAL2w3d9YAAAAI&#10;AQAADwAAAGRycy9kb3ducmV2LnhtbE2PwU7DMAyG70i8Q2QkLmhLMqnVKE0nhMSBI9skrllj2m6N&#10;UzXpOvb0eCe42fKn399fbi6+F2ccYxfIgF4qEEh1cB01Bva798UaREyWnO0DoYEfjLCp7u9KW7gw&#10;0yeet6kRHEKxsAbalIZCyli36G1chgGJb99h9DbxOjbSjXbmcN/LlVK59LYj/tDaAd9arE/byRvA&#10;OGVavT77Zv9xnZ++VtfjPOyMeXzQ6gVEwkv6g+Gmz+pQsdMhTOSi6A0stMoZvQ0ZCAbWGXc7GMhy&#10;DbIq5f8C1S9QSwMEFAAAAAgAh07iQEF2/xMAAgAA8gMAAA4AAABkcnMvZTJvRG9jLnhtbK1TzY7T&#10;MBC+I/EOlu80aat2IWq6h5blgqAS8ACu7SSW/CePt2lfghdA4gScgNPeeRpYHoOxU7qwXHogB2fs&#10;mflmvs/jxeXeaLKTAZSzNR2PSkqk5U4o29b0zeurR48pgcisYNpZWdODBHq5fPhg0ftKTlzntJCB&#10;IIiFqvc17WL0VVEA76RhMHJeWnQ2LhgWcRvaQgTWI7rRxaQs50XvgvDBcQmAp+vBSY+I4RxA1zSK&#10;y7Xj10baOKAGqVlEStApD3SZu20ayePLpgEZia4pMo15xSJob9NaLBesagPzneLHFtg5LdzjZJiy&#10;WPQEtWaRkeug/oEyigcHrokj7kwxEMmKIItxeU+bVx3zMnNBqcGfRIf/B8tf7DaBKFHT6ZQSywze&#10;+O27mx9vP95+/fL9w83Pb++T/fkTQT+K1XuoMGdlN+G4A78Jifm+CSb9kRPZZ4EPJ4HlPhKOh/Py&#10;opyj9Bxd0/nsAm1EKe6SfYD4TDpDklFTiIGptosrZy1epQvjLDLbPYc4JP5OSJW1JX1Nn8wmM6zA&#10;cDQbHAk0jUd6YNucC04rcaW0ThkQ2u1KB7JjaTzyd2zor7BUZM2gG+KyK4WxqpNMPLWCxINH3Sy+&#10;F5paMFJQoiU+r2TlyMiUPicStdAWJUk6D8oma+vEIQuez3EUsmjHsU2z9uc+Z9891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2w3d9YAAAAIAQAADwAAAAAAAAABACAAAAAiAAAAZHJzL2Rvd25y&#10;ZXYueG1sUEsBAhQAFAAAAAgAh07iQEF2/xMAAgAA8gMAAA4AAAAAAAAAAQAgAAAAJQEAAGRycy9l&#10;Mm9Eb2MueG1sUEsFBgAAAAAGAAYAWQEAAJcFAAAAAA==&#10;">
                      <v:fill on="f" focussize="0,0"/>
                      <v:stroke color="#000000" joinstyle="round"/>
                      <v:imagedata o:title=""/>
                      <o:lock v:ext="edit" aspectratio="f"/>
                    </v:shape>
                  </w:pict>
                </mc:Fallback>
              </mc:AlternateContent>
            </w:r>
            <w:r>
              <w:rPr>
                <w:rFonts w:ascii="Arial" w:hAnsi="Arial" w:cs="Arial"/>
                <w:sz w:val="22"/>
                <w:szCs w:val="22"/>
              </w:rPr>
              <w:t xml:space="preserve">  </w:t>
            </w:r>
            <w:r>
              <w:rPr>
                <w:rFonts w:ascii="Arial" w:hAnsi="Times New Roman" w:cs="Arial"/>
                <w:sz w:val="22"/>
                <w:szCs w:val="22"/>
              </w:rPr>
              <w:t>月份</w:t>
            </w:r>
          </w:p>
          <w:p w14:paraId="3C9E5555">
            <w:pPr>
              <w:pStyle w:val="2114"/>
              <w:spacing w:line="300" w:lineRule="exact"/>
              <w:jc w:val="both"/>
              <w:rPr>
                <w:rFonts w:ascii="Arial" w:hAnsi="Arial" w:cs="Arial"/>
                <w:sz w:val="22"/>
                <w:szCs w:val="22"/>
              </w:rPr>
            </w:pPr>
            <w:r>
              <w:rPr>
                <w:rFonts w:ascii="Arial" w:hAnsi="Times New Roman" w:cs="Arial"/>
                <w:sz w:val="22"/>
                <w:szCs w:val="22"/>
              </w:rPr>
              <w:t>水深</w:t>
            </w:r>
          </w:p>
        </w:tc>
        <w:tc>
          <w:tcPr>
            <w:tcW w:w="648" w:type="dxa"/>
            <w:noWrap w:val="0"/>
            <w:vAlign w:val="center"/>
          </w:tcPr>
          <w:p w14:paraId="43FDE551">
            <w:pPr>
              <w:pStyle w:val="2114"/>
              <w:spacing w:line="300" w:lineRule="exact"/>
              <w:rPr>
                <w:rFonts w:ascii="Arial" w:hAnsi="Arial" w:cs="Arial"/>
                <w:sz w:val="22"/>
                <w:szCs w:val="22"/>
              </w:rPr>
            </w:pPr>
            <w:r>
              <w:rPr>
                <w:rFonts w:ascii="Arial" w:hAnsi="Arial" w:cs="Arial"/>
                <w:sz w:val="22"/>
                <w:szCs w:val="22"/>
              </w:rPr>
              <w:t>1</w:t>
            </w:r>
          </w:p>
        </w:tc>
        <w:tc>
          <w:tcPr>
            <w:tcW w:w="539" w:type="dxa"/>
            <w:noWrap w:val="0"/>
            <w:vAlign w:val="center"/>
          </w:tcPr>
          <w:p w14:paraId="1F186245">
            <w:pPr>
              <w:pStyle w:val="2114"/>
              <w:spacing w:line="300" w:lineRule="exact"/>
              <w:rPr>
                <w:rFonts w:ascii="Arial" w:hAnsi="Arial" w:cs="Arial"/>
                <w:sz w:val="22"/>
                <w:szCs w:val="22"/>
              </w:rPr>
            </w:pPr>
            <w:r>
              <w:rPr>
                <w:rFonts w:ascii="Arial" w:hAnsi="Arial" w:cs="Arial"/>
                <w:sz w:val="22"/>
                <w:szCs w:val="22"/>
              </w:rPr>
              <w:t>2</w:t>
            </w:r>
          </w:p>
        </w:tc>
        <w:tc>
          <w:tcPr>
            <w:tcW w:w="649" w:type="dxa"/>
            <w:noWrap w:val="0"/>
            <w:vAlign w:val="center"/>
          </w:tcPr>
          <w:p w14:paraId="11F9A77E">
            <w:pPr>
              <w:pStyle w:val="2114"/>
              <w:spacing w:line="300" w:lineRule="exact"/>
              <w:rPr>
                <w:rFonts w:ascii="Arial" w:hAnsi="Arial" w:cs="Arial"/>
                <w:sz w:val="22"/>
                <w:szCs w:val="22"/>
              </w:rPr>
            </w:pPr>
            <w:r>
              <w:rPr>
                <w:rFonts w:ascii="Arial" w:hAnsi="Arial" w:cs="Arial"/>
                <w:sz w:val="22"/>
                <w:szCs w:val="22"/>
              </w:rPr>
              <w:t>3</w:t>
            </w:r>
          </w:p>
        </w:tc>
        <w:tc>
          <w:tcPr>
            <w:tcW w:w="648" w:type="dxa"/>
            <w:noWrap w:val="0"/>
            <w:vAlign w:val="center"/>
          </w:tcPr>
          <w:p w14:paraId="60BC9077">
            <w:pPr>
              <w:pStyle w:val="2114"/>
              <w:spacing w:line="300" w:lineRule="exact"/>
              <w:rPr>
                <w:rFonts w:ascii="Arial" w:hAnsi="Arial" w:cs="Arial"/>
                <w:sz w:val="22"/>
                <w:szCs w:val="22"/>
              </w:rPr>
            </w:pPr>
            <w:r>
              <w:rPr>
                <w:rFonts w:ascii="Arial" w:hAnsi="Arial" w:cs="Arial"/>
                <w:sz w:val="22"/>
                <w:szCs w:val="22"/>
              </w:rPr>
              <w:t>4</w:t>
            </w:r>
          </w:p>
        </w:tc>
        <w:tc>
          <w:tcPr>
            <w:tcW w:w="648" w:type="dxa"/>
            <w:noWrap w:val="0"/>
            <w:vAlign w:val="center"/>
          </w:tcPr>
          <w:p w14:paraId="3141F563">
            <w:pPr>
              <w:pStyle w:val="2114"/>
              <w:spacing w:line="300" w:lineRule="exact"/>
              <w:rPr>
                <w:rFonts w:ascii="Arial" w:hAnsi="Arial" w:cs="Arial"/>
                <w:sz w:val="22"/>
                <w:szCs w:val="22"/>
              </w:rPr>
            </w:pPr>
            <w:r>
              <w:rPr>
                <w:rFonts w:ascii="Arial" w:hAnsi="Arial" w:cs="Arial"/>
                <w:sz w:val="22"/>
                <w:szCs w:val="22"/>
              </w:rPr>
              <w:t>5</w:t>
            </w:r>
          </w:p>
        </w:tc>
        <w:tc>
          <w:tcPr>
            <w:tcW w:w="649" w:type="dxa"/>
            <w:noWrap w:val="0"/>
            <w:vAlign w:val="center"/>
          </w:tcPr>
          <w:p w14:paraId="581DF606">
            <w:pPr>
              <w:pStyle w:val="2114"/>
              <w:spacing w:line="300" w:lineRule="exact"/>
              <w:rPr>
                <w:rFonts w:ascii="Arial" w:hAnsi="Arial" w:cs="Arial"/>
                <w:sz w:val="22"/>
                <w:szCs w:val="22"/>
              </w:rPr>
            </w:pPr>
            <w:r>
              <w:rPr>
                <w:rFonts w:ascii="Arial" w:hAnsi="Arial" w:cs="Arial"/>
                <w:sz w:val="22"/>
                <w:szCs w:val="22"/>
              </w:rPr>
              <w:t>6</w:t>
            </w:r>
          </w:p>
        </w:tc>
        <w:tc>
          <w:tcPr>
            <w:tcW w:w="648" w:type="dxa"/>
            <w:noWrap w:val="0"/>
            <w:vAlign w:val="center"/>
          </w:tcPr>
          <w:p w14:paraId="27CDF0AB">
            <w:pPr>
              <w:pStyle w:val="2114"/>
              <w:spacing w:line="300" w:lineRule="exact"/>
              <w:rPr>
                <w:rFonts w:ascii="Arial" w:hAnsi="Arial" w:cs="Arial"/>
                <w:sz w:val="22"/>
                <w:szCs w:val="22"/>
              </w:rPr>
            </w:pPr>
            <w:r>
              <w:rPr>
                <w:rFonts w:ascii="Arial" w:hAnsi="Arial" w:cs="Arial"/>
                <w:sz w:val="22"/>
                <w:szCs w:val="22"/>
              </w:rPr>
              <w:t>7</w:t>
            </w:r>
          </w:p>
        </w:tc>
        <w:tc>
          <w:tcPr>
            <w:tcW w:w="648" w:type="dxa"/>
            <w:noWrap w:val="0"/>
            <w:vAlign w:val="center"/>
          </w:tcPr>
          <w:p w14:paraId="585249C3">
            <w:pPr>
              <w:pStyle w:val="2114"/>
              <w:spacing w:line="300" w:lineRule="exact"/>
              <w:rPr>
                <w:rFonts w:ascii="Arial" w:hAnsi="Arial" w:cs="Arial"/>
                <w:sz w:val="22"/>
                <w:szCs w:val="22"/>
              </w:rPr>
            </w:pPr>
            <w:r>
              <w:rPr>
                <w:rFonts w:ascii="Arial" w:hAnsi="Arial" w:cs="Arial"/>
                <w:sz w:val="22"/>
                <w:szCs w:val="22"/>
              </w:rPr>
              <w:t>8</w:t>
            </w:r>
          </w:p>
        </w:tc>
        <w:tc>
          <w:tcPr>
            <w:tcW w:w="649" w:type="dxa"/>
            <w:noWrap w:val="0"/>
            <w:vAlign w:val="center"/>
          </w:tcPr>
          <w:p w14:paraId="1E8E28D6">
            <w:pPr>
              <w:pStyle w:val="2114"/>
              <w:spacing w:line="300" w:lineRule="exact"/>
              <w:rPr>
                <w:rFonts w:ascii="Arial" w:hAnsi="Arial" w:cs="Arial"/>
                <w:sz w:val="22"/>
                <w:szCs w:val="22"/>
              </w:rPr>
            </w:pPr>
            <w:r>
              <w:rPr>
                <w:rFonts w:ascii="Arial" w:hAnsi="Arial" w:cs="Arial"/>
                <w:sz w:val="22"/>
                <w:szCs w:val="22"/>
              </w:rPr>
              <w:t>9</w:t>
            </w:r>
          </w:p>
        </w:tc>
        <w:tc>
          <w:tcPr>
            <w:tcW w:w="648" w:type="dxa"/>
            <w:noWrap w:val="0"/>
            <w:vAlign w:val="center"/>
          </w:tcPr>
          <w:p w14:paraId="5270A0B4">
            <w:pPr>
              <w:pStyle w:val="2114"/>
              <w:spacing w:line="300" w:lineRule="exact"/>
              <w:rPr>
                <w:rFonts w:ascii="Arial" w:hAnsi="Arial" w:cs="Arial"/>
                <w:sz w:val="22"/>
                <w:szCs w:val="22"/>
              </w:rPr>
            </w:pPr>
            <w:r>
              <w:rPr>
                <w:rFonts w:ascii="Arial" w:hAnsi="Arial" w:cs="Arial"/>
                <w:sz w:val="22"/>
                <w:szCs w:val="22"/>
              </w:rPr>
              <w:t>10</w:t>
            </w:r>
          </w:p>
        </w:tc>
        <w:tc>
          <w:tcPr>
            <w:tcW w:w="649" w:type="dxa"/>
            <w:noWrap w:val="0"/>
            <w:vAlign w:val="center"/>
          </w:tcPr>
          <w:p w14:paraId="4A81E8FC">
            <w:pPr>
              <w:pStyle w:val="2114"/>
              <w:spacing w:line="300" w:lineRule="exact"/>
              <w:rPr>
                <w:rFonts w:ascii="Arial" w:hAnsi="Arial" w:cs="Arial"/>
                <w:sz w:val="22"/>
                <w:szCs w:val="22"/>
              </w:rPr>
            </w:pPr>
            <w:r>
              <w:rPr>
                <w:rFonts w:ascii="Arial" w:hAnsi="Arial" w:cs="Arial"/>
                <w:sz w:val="22"/>
                <w:szCs w:val="22"/>
              </w:rPr>
              <w:t>11</w:t>
            </w:r>
          </w:p>
        </w:tc>
        <w:tc>
          <w:tcPr>
            <w:tcW w:w="648" w:type="dxa"/>
            <w:noWrap w:val="0"/>
            <w:vAlign w:val="center"/>
          </w:tcPr>
          <w:p w14:paraId="3079396F">
            <w:pPr>
              <w:pStyle w:val="2114"/>
              <w:spacing w:line="300" w:lineRule="exact"/>
              <w:rPr>
                <w:rFonts w:ascii="Arial" w:hAnsi="Arial" w:cs="Arial"/>
                <w:sz w:val="22"/>
                <w:szCs w:val="22"/>
              </w:rPr>
            </w:pPr>
            <w:r>
              <w:rPr>
                <w:rFonts w:ascii="Arial" w:hAnsi="Arial" w:cs="Arial"/>
                <w:sz w:val="22"/>
                <w:szCs w:val="22"/>
              </w:rPr>
              <w:t>12</w:t>
            </w:r>
          </w:p>
        </w:tc>
      </w:tr>
      <w:tr w14:paraId="58C5F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031" w:type="dxa"/>
            <w:noWrap w:val="0"/>
            <w:vAlign w:val="bottom"/>
          </w:tcPr>
          <w:p w14:paraId="03B1B5B2">
            <w:pPr>
              <w:pStyle w:val="2114"/>
              <w:spacing w:line="300" w:lineRule="exact"/>
              <w:rPr>
                <w:rFonts w:ascii="Arial" w:hAnsi="Arial" w:cs="Arial"/>
                <w:sz w:val="22"/>
                <w:szCs w:val="22"/>
              </w:rPr>
            </w:pPr>
            <w:r>
              <w:rPr>
                <w:rFonts w:hint="eastAsia" w:ascii="Arial" w:hAnsi="Arial" w:cs="Arial"/>
                <w:sz w:val="22"/>
                <w:szCs w:val="22"/>
                <w:lang w:eastAsia="zh-CN"/>
              </w:rPr>
              <w:t>0</w:t>
            </w:r>
            <w:r>
              <w:rPr>
                <w:rFonts w:ascii="Arial" w:hAnsi="Arial" w:cs="Arial"/>
                <w:sz w:val="22"/>
                <w:szCs w:val="22"/>
              </w:rPr>
              <w:t>m</w:t>
            </w:r>
          </w:p>
        </w:tc>
        <w:tc>
          <w:tcPr>
            <w:tcW w:w="648" w:type="dxa"/>
            <w:noWrap w:val="0"/>
            <w:vAlign w:val="bottom"/>
          </w:tcPr>
          <w:p w14:paraId="45CE3E85">
            <w:pPr>
              <w:spacing w:line="300" w:lineRule="exact"/>
              <w:jc w:val="center"/>
              <w:rPr>
                <w:rFonts w:hint="eastAsia" w:ascii="Arial" w:hAnsi="Arial" w:cs="Arial"/>
                <w:sz w:val="22"/>
                <w:szCs w:val="22"/>
              </w:rPr>
            </w:pPr>
            <w:r>
              <w:rPr>
                <w:rFonts w:hint="eastAsia" w:ascii="Arial" w:hAnsi="Arial" w:cs="Arial"/>
                <w:sz w:val="22"/>
                <w:szCs w:val="22"/>
              </w:rPr>
              <w:t>6.0</w:t>
            </w:r>
          </w:p>
        </w:tc>
        <w:tc>
          <w:tcPr>
            <w:tcW w:w="539" w:type="dxa"/>
            <w:noWrap w:val="0"/>
            <w:vAlign w:val="bottom"/>
          </w:tcPr>
          <w:p w14:paraId="35297164">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8.0</w:t>
            </w:r>
          </w:p>
        </w:tc>
        <w:tc>
          <w:tcPr>
            <w:tcW w:w="649" w:type="dxa"/>
            <w:noWrap w:val="0"/>
            <w:vAlign w:val="bottom"/>
          </w:tcPr>
          <w:p w14:paraId="75BCC3B3">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12.5</w:t>
            </w:r>
          </w:p>
        </w:tc>
        <w:tc>
          <w:tcPr>
            <w:tcW w:w="648" w:type="dxa"/>
            <w:noWrap w:val="0"/>
            <w:vAlign w:val="bottom"/>
          </w:tcPr>
          <w:p w14:paraId="3A0C37A3">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17.0</w:t>
            </w:r>
          </w:p>
        </w:tc>
        <w:tc>
          <w:tcPr>
            <w:tcW w:w="648" w:type="dxa"/>
            <w:noWrap w:val="0"/>
            <w:vAlign w:val="bottom"/>
          </w:tcPr>
          <w:p w14:paraId="450BB3CE">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21.0</w:t>
            </w:r>
          </w:p>
        </w:tc>
        <w:tc>
          <w:tcPr>
            <w:tcW w:w="649" w:type="dxa"/>
            <w:noWrap w:val="0"/>
            <w:vAlign w:val="bottom"/>
          </w:tcPr>
          <w:p w14:paraId="59C43EA0">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24.0</w:t>
            </w:r>
          </w:p>
        </w:tc>
        <w:tc>
          <w:tcPr>
            <w:tcW w:w="648" w:type="dxa"/>
            <w:noWrap w:val="0"/>
            <w:vAlign w:val="bottom"/>
          </w:tcPr>
          <w:p w14:paraId="749FA405">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27.0</w:t>
            </w:r>
          </w:p>
        </w:tc>
        <w:tc>
          <w:tcPr>
            <w:tcW w:w="648" w:type="dxa"/>
            <w:noWrap w:val="0"/>
            <w:vAlign w:val="bottom"/>
          </w:tcPr>
          <w:p w14:paraId="2C43D172">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27.5</w:t>
            </w:r>
          </w:p>
        </w:tc>
        <w:tc>
          <w:tcPr>
            <w:tcW w:w="649" w:type="dxa"/>
            <w:noWrap w:val="0"/>
            <w:vAlign w:val="bottom"/>
          </w:tcPr>
          <w:p w14:paraId="6EAB5610">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22.5</w:t>
            </w:r>
          </w:p>
        </w:tc>
        <w:tc>
          <w:tcPr>
            <w:tcW w:w="648" w:type="dxa"/>
            <w:noWrap w:val="0"/>
            <w:vAlign w:val="bottom"/>
          </w:tcPr>
          <w:p w14:paraId="7E672285">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17.0</w:t>
            </w:r>
          </w:p>
        </w:tc>
        <w:tc>
          <w:tcPr>
            <w:tcW w:w="649" w:type="dxa"/>
            <w:noWrap w:val="0"/>
            <w:vAlign w:val="bottom"/>
          </w:tcPr>
          <w:p w14:paraId="177DC970">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12.8</w:t>
            </w:r>
          </w:p>
        </w:tc>
        <w:tc>
          <w:tcPr>
            <w:tcW w:w="648" w:type="dxa"/>
            <w:noWrap w:val="0"/>
            <w:vAlign w:val="bottom"/>
          </w:tcPr>
          <w:p w14:paraId="3416A1DE">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8.0</w:t>
            </w:r>
          </w:p>
        </w:tc>
      </w:tr>
      <w:tr w14:paraId="25DF7B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031" w:type="dxa"/>
            <w:noWrap w:val="0"/>
            <w:vAlign w:val="bottom"/>
          </w:tcPr>
          <w:p w14:paraId="35A10D38">
            <w:pPr>
              <w:pStyle w:val="2114"/>
              <w:spacing w:line="300" w:lineRule="exact"/>
              <w:rPr>
                <w:rFonts w:ascii="Arial" w:hAnsi="Arial" w:cs="Arial"/>
                <w:sz w:val="22"/>
                <w:szCs w:val="22"/>
              </w:rPr>
            </w:pPr>
            <w:r>
              <w:rPr>
                <w:rFonts w:hint="eastAsia" w:ascii="Arial" w:hAnsi="Arial" w:cs="Arial"/>
                <w:sz w:val="22"/>
                <w:szCs w:val="22"/>
                <w:lang w:val="en-US" w:eastAsia="zh-CN"/>
              </w:rPr>
              <w:t>2</w:t>
            </w:r>
            <w:r>
              <w:rPr>
                <w:rFonts w:ascii="Arial" w:hAnsi="Arial" w:cs="Arial"/>
                <w:sz w:val="22"/>
                <w:szCs w:val="22"/>
              </w:rPr>
              <w:t>m</w:t>
            </w:r>
          </w:p>
        </w:tc>
        <w:tc>
          <w:tcPr>
            <w:tcW w:w="648" w:type="dxa"/>
            <w:noWrap w:val="0"/>
            <w:vAlign w:val="bottom"/>
          </w:tcPr>
          <w:p w14:paraId="046A5CB0">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6.0</w:t>
            </w:r>
          </w:p>
        </w:tc>
        <w:tc>
          <w:tcPr>
            <w:tcW w:w="539" w:type="dxa"/>
            <w:noWrap w:val="0"/>
            <w:vAlign w:val="bottom"/>
          </w:tcPr>
          <w:p w14:paraId="2FA1E5A1">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8.0</w:t>
            </w:r>
          </w:p>
        </w:tc>
        <w:tc>
          <w:tcPr>
            <w:tcW w:w="649" w:type="dxa"/>
            <w:noWrap w:val="0"/>
            <w:vAlign w:val="bottom"/>
          </w:tcPr>
          <w:p w14:paraId="1FFD4B82">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12.4</w:t>
            </w:r>
          </w:p>
        </w:tc>
        <w:tc>
          <w:tcPr>
            <w:tcW w:w="648" w:type="dxa"/>
            <w:noWrap w:val="0"/>
            <w:vAlign w:val="bottom"/>
          </w:tcPr>
          <w:p w14:paraId="5EDAE551">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16.4</w:t>
            </w:r>
          </w:p>
        </w:tc>
        <w:tc>
          <w:tcPr>
            <w:tcW w:w="648" w:type="dxa"/>
            <w:noWrap w:val="0"/>
            <w:vAlign w:val="bottom"/>
          </w:tcPr>
          <w:p w14:paraId="0ACD262A">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20.1</w:t>
            </w:r>
          </w:p>
        </w:tc>
        <w:tc>
          <w:tcPr>
            <w:tcW w:w="649" w:type="dxa"/>
            <w:noWrap w:val="0"/>
            <w:vAlign w:val="bottom"/>
          </w:tcPr>
          <w:p w14:paraId="533CA5DA">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23.2</w:t>
            </w:r>
          </w:p>
        </w:tc>
        <w:tc>
          <w:tcPr>
            <w:tcW w:w="648" w:type="dxa"/>
            <w:noWrap w:val="0"/>
            <w:vAlign w:val="bottom"/>
          </w:tcPr>
          <w:p w14:paraId="63DCF113">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26.5</w:t>
            </w:r>
          </w:p>
        </w:tc>
        <w:tc>
          <w:tcPr>
            <w:tcW w:w="648" w:type="dxa"/>
            <w:noWrap w:val="0"/>
            <w:vAlign w:val="bottom"/>
          </w:tcPr>
          <w:p w14:paraId="5E08C6C3">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27.3</w:t>
            </w:r>
          </w:p>
        </w:tc>
        <w:tc>
          <w:tcPr>
            <w:tcW w:w="649" w:type="dxa"/>
            <w:noWrap w:val="0"/>
            <w:vAlign w:val="bottom"/>
          </w:tcPr>
          <w:p w14:paraId="77F92C01">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22.5</w:t>
            </w:r>
          </w:p>
        </w:tc>
        <w:tc>
          <w:tcPr>
            <w:tcW w:w="648" w:type="dxa"/>
            <w:noWrap w:val="0"/>
            <w:vAlign w:val="bottom"/>
          </w:tcPr>
          <w:p w14:paraId="3E8E88C0">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17.0</w:t>
            </w:r>
          </w:p>
        </w:tc>
        <w:tc>
          <w:tcPr>
            <w:tcW w:w="649" w:type="dxa"/>
            <w:noWrap w:val="0"/>
            <w:vAlign w:val="bottom"/>
          </w:tcPr>
          <w:p w14:paraId="756775FF">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12.8</w:t>
            </w:r>
          </w:p>
        </w:tc>
        <w:tc>
          <w:tcPr>
            <w:tcW w:w="648" w:type="dxa"/>
            <w:noWrap w:val="0"/>
            <w:vAlign w:val="bottom"/>
          </w:tcPr>
          <w:p w14:paraId="0C70922B">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8.0</w:t>
            </w:r>
          </w:p>
        </w:tc>
      </w:tr>
      <w:tr w14:paraId="6EFD25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031" w:type="dxa"/>
            <w:noWrap w:val="0"/>
            <w:vAlign w:val="bottom"/>
          </w:tcPr>
          <w:p w14:paraId="5A387904">
            <w:pPr>
              <w:pStyle w:val="2114"/>
              <w:spacing w:line="300" w:lineRule="exact"/>
              <w:rPr>
                <w:rFonts w:ascii="Arial" w:hAnsi="Arial" w:cs="Arial"/>
                <w:sz w:val="22"/>
                <w:szCs w:val="22"/>
              </w:rPr>
            </w:pPr>
            <w:r>
              <w:rPr>
                <w:rFonts w:hint="eastAsia" w:ascii="Arial" w:hAnsi="Arial" w:cs="Arial"/>
                <w:sz w:val="22"/>
                <w:szCs w:val="22"/>
                <w:lang w:val="en-US" w:eastAsia="zh-CN"/>
              </w:rPr>
              <w:t>5</w:t>
            </w:r>
            <w:r>
              <w:rPr>
                <w:rFonts w:ascii="Arial" w:hAnsi="Arial" w:cs="Arial"/>
                <w:sz w:val="22"/>
                <w:szCs w:val="22"/>
              </w:rPr>
              <w:t>m</w:t>
            </w:r>
          </w:p>
        </w:tc>
        <w:tc>
          <w:tcPr>
            <w:tcW w:w="648" w:type="dxa"/>
            <w:noWrap w:val="0"/>
            <w:vAlign w:val="bottom"/>
          </w:tcPr>
          <w:p w14:paraId="2E753423">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6.0</w:t>
            </w:r>
          </w:p>
        </w:tc>
        <w:tc>
          <w:tcPr>
            <w:tcW w:w="539" w:type="dxa"/>
            <w:noWrap w:val="0"/>
            <w:vAlign w:val="bottom"/>
          </w:tcPr>
          <w:p w14:paraId="05108872">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8.0</w:t>
            </w:r>
          </w:p>
        </w:tc>
        <w:tc>
          <w:tcPr>
            <w:tcW w:w="649" w:type="dxa"/>
            <w:noWrap w:val="0"/>
            <w:vAlign w:val="bottom"/>
          </w:tcPr>
          <w:p w14:paraId="186CC8D9">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12.0</w:t>
            </w:r>
          </w:p>
        </w:tc>
        <w:tc>
          <w:tcPr>
            <w:tcW w:w="648" w:type="dxa"/>
            <w:noWrap w:val="0"/>
            <w:vAlign w:val="bottom"/>
          </w:tcPr>
          <w:p w14:paraId="5F921916">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15.1</w:t>
            </w:r>
          </w:p>
        </w:tc>
        <w:tc>
          <w:tcPr>
            <w:tcW w:w="648" w:type="dxa"/>
            <w:noWrap w:val="0"/>
            <w:vAlign w:val="bottom"/>
          </w:tcPr>
          <w:p w14:paraId="37D201BE">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18.1</w:t>
            </w:r>
          </w:p>
        </w:tc>
        <w:tc>
          <w:tcPr>
            <w:tcW w:w="649" w:type="dxa"/>
            <w:noWrap w:val="0"/>
            <w:vAlign w:val="bottom"/>
          </w:tcPr>
          <w:p w14:paraId="730764E2">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21.2</w:t>
            </w:r>
          </w:p>
        </w:tc>
        <w:tc>
          <w:tcPr>
            <w:tcW w:w="648" w:type="dxa"/>
            <w:noWrap w:val="0"/>
            <w:vAlign w:val="bottom"/>
          </w:tcPr>
          <w:p w14:paraId="6A45595E">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24.9</w:t>
            </w:r>
          </w:p>
        </w:tc>
        <w:tc>
          <w:tcPr>
            <w:tcW w:w="648" w:type="dxa"/>
            <w:noWrap w:val="0"/>
            <w:vAlign w:val="bottom"/>
          </w:tcPr>
          <w:p w14:paraId="27E14273">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26.4</w:t>
            </w:r>
          </w:p>
        </w:tc>
        <w:tc>
          <w:tcPr>
            <w:tcW w:w="649" w:type="dxa"/>
            <w:noWrap w:val="0"/>
            <w:vAlign w:val="bottom"/>
          </w:tcPr>
          <w:p w14:paraId="4B4A5FAB">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22.1</w:t>
            </w:r>
          </w:p>
        </w:tc>
        <w:tc>
          <w:tcPr>
            <w:tcW w:w="648" w:type="dxa"/>
            <w:noWrap w:val="0"/>
            <w:vAlign w:val="bottom"/>
          </w:tcPr>
          <w:p w14:paraId="7D3E41C5">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16.9</w:t>
            </w:r>
          </w:p>
        </w:tc>
        <w:tc>
          <w:tcPr>
            <w:tcW w:w="649" w:type="dxa"/>
            <w:noWrap w:val="0"/>
            <w:vAlign w:val="bottom"/>
          </w:tcPr>
          <w:p w14:paraId="0B37A15D">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12.8</w:t>
            </w:r>
          </w:p>
        </w:tc>
        <w:tc>
          <w:tcPr>
            <w:tcW w:w="648" w:type="dxa"/>
            <w:noWrap w:val="0"/>
            <w:vAlign w:val="bottom"/>
          </w:tcPr>
          <w:p w14:paraId="598CE17D">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8.0</w:t>
            </w:r>
          </w:p>
        </w:tc>
      </w:tr>
      <w:tr w14:paraId="7F6127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031" w:type="dxa"/>
            <w:noWrap w:val="0"/>
            <w:vAlign w:val="bottom"/>
          </w:tcPr>
          <w:p w14:paraId="376C4D79">
            <w:pPr>
              <w:pStyle w:val="2114"/>
              <w:spacing w:line="300" w:lineRule="exact"/>
              <w:rPr>
                <w:rFonts w:ascii="Arial" w:hAnsi="Arial" w:cs="Arial"/>
                <w:sz w:val="22"/>
                <w:szCs w:val="22"/>
              </w:rPr>
            </w:pPr>
            <w:r>
              <w:rPr>
                <w:rFonts w:ascii="Arial" w:hAnsi="Arial" w:cs="Arial"/>
                <w:sz w:val="22"/>
                <w:szCs w:val="22"/>
              </w:rPr>
              <w:t>8m</w:t>
            </w:r>
          </w:p>
        </w:tc>
        <w:tc>
          <w:tcPr>
            <w:tcW w:w="648" w:type="dxa"/>
            <w:noWrap w:val="0"/>
            <w:vAlign w:val="bottom"/>
          </w:tcPr>
          <w:p w14:paraId="594930C6">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6.0</w:t>
            </w:r>
          </w:p>
        </w:tc>
        <w:tc>
          <w:tcPr>
            <w:tcW w:w="539" w:type="dxa"/>
            <w:noWrap w:val="0"/>
            <w:vAlign w:val="bottom"/>
          </w:tcPr>
          <w:p w14:paraId="7864A98E">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8.0</w:t>
            </w:r>
          </w:p>
        </w:tc>
        <w:tc>
          <w:tcPr>
            <w:tcW w:w="649" w:type="dxa"/>
            <w:noWrap w:val="0"/>
            <w:vAlign w:val="bottom"/>
          </w:tcPr>
          <w:p w14:paraId="7BBB4270">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11.3</w:t>
            </w:r>
          </w:p>
        </w:tc>
        <w:tc>
          <w:tcPr>
            <w:tcW w:w="648" w:type="dxa"/>
            <w:noWrap w:val="0"/>
            <w:vAlign w:val="bottom"/>
          </w:tcPr>
          <w:p w14:paraId="22A73546">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13.7</w:t>
            </w:r>
          </w:p>
        </w:tc>
        <w:tc>
          <w:tcPr>
            <w:tcW w:w="648" w:type="dxa"/>
            <w:noWrap w:val="0"/>
            <w:vAlign w:val="bottom"/>
          </w:tcPr>
          <w:p w14:paraId="6902D598">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16.2</w:t>
            </w:r>
          </w:p>
        </w:tc>
        <w:tc>
          <w:tcPr>
            <w:tcW w:w="649" w:type="dxa"/>
            <w:noWrap w:val="0"/>
            <w:vAlign w:val="bottom"/>
          </w:tcPr>
          <w:p w14:paraId="3EA5619F">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18.9</w:t>
            </w:r>
          </w:p>
        </w:tc>
        <w:tc>
          <w:tcPr>
            <w:tcW w:w="648" w:type="dxa"/>
            <w:noWrap w:val="0"/>
            <w:vAlign w:val="bottom"/>
          </w:tcPr>
          <w:p w14:paraId="63C04204">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22.6</w:t>
            </w:r>
          </w:p>
        </w:tc>
        <w:tc>
          <w:tcPr>
            <w:tcW w:w="648" w:type="dxa"/>
            <w:noWrap w:val="0"/>
            <w:vAlign w:val="bottom"/>
          </w:tcPr>
          <w:p w14:paraId="083B07C0">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24.7</w:t>
            </w:r>
          </w:p>
        </w:tc>
        <w:tc>
          <w:tcPr>
            <w:tcW w:w="649" w:type="dxa"/>
            <w:noWrap w:val="0"/>
            <w:vAlign w:val="bottom"/>
          </w:tcPr>
          <w:p w14:paraId="42D04F61">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21.4</w:t>
            </w:r>
          </w:p>
        </w:tc>
        <w:tc>
          <w:tcPr>
            <w:tcW w:w="648" w:type="dxa"/>
            <w:noWrap w:val="0"/>
            <w:vAlign w:val="bottom"/>
          </w:tcPr>
          <w:p w14:paraId="1698F3CE">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16.7</w:t>
            </w:r>
          </w:p>
        </w:tc>
        <w:tc>
          <w:tcPr>
            <w:tcW w:w="649" w:type="dxa"/>
            <w:noWrap w:val="0"/>
            <w:vAlign w:val="bottom"/>
          </w:tcPr>
          <w:p w14:paraId="398D322E">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12.7</w:t>
            </w:r>
          </w:p>
        </w:tc>
        <w:tc>
          <w:tcPr>
            <w:tcW w:w="648" w:type="dxa"/>
            <w:noWrap w:val="0"/>
            <w:vAlign w:val="bottom"/>
          </w:tcPr>
          <w:p w14:paraId="315572FB">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8.0</w:t>
            </w:r>
          </w:p>
        </w:tc>
      </w:tr>
      <w:tr w14:paraId="161A9C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031" w:type="dxa"/>
            <w:noWrap w:val="0"/>
            <w:vAlign w:val="bottom"/>
          </w:tcPr>
          <w:p w14:paraId="7FE11F70">
            <w:pPr>
              <w:pStyle w:val="2114"/>
              <w:spacing w:line="300" w:lineRule="exact"/>
              <w:rPr>
                <w:rFonts w:ascii="Arial" w:hAnsi="Arial" w:cs="Arial"/>
                <w:sz w:val="22"/>
                <w:szCs w:val="22"/>
              </w:rPr>
            </w:pPr>
            <w:r>
              <w:rPr>
                <w:rFonts w:hint="eastAsia" w:ascii="Arial" w:hAnsi="Arial" w:cs="Arial"/>
                <w:sz w:val="22"/>
                <w:szCs w:val="22"/>
                <w:lang w:val="en-US" w:eastAsia="zh-CN"/>
              </w:rPr>
              <w:t>11</w:t>
            </w:r>
            <w:r>
              <w:rPr>
                <w:rFonts w:ascii="Arial" w:hAnsi="Arial" w:cs="Arial"/>
                <w:sz w:val="22"/>
                <w:szCs w:val="22"/>
              </w:rPr>
              <w:t>m</w:t>
            </w:r>
          </w:p>
        </w:tc>
        <w:tc>
          <w:tcPr>
            <w:tcW w:w="648" w:type="dxa"/>
            <w:noWrap w:val="0"/>
            <w:vAlign w:val="bottom"/>
          </w:tcPr>
          <w:p w14:paraId="38A8C177">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6.0</w:t>
            </w:r>
          </w:p>
        </w:tc>
        <w:tc>
          <w:tcPr>
            <w:tcW w:w="539" w:type="dxa"/>
            <w:noWrap w:val="0"/>
            <w:vAlign w:val="bottom"/>
          </w:tcPr>
          <w:p w14:paraId="5FE30145">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7.9</w:t>
            </w:r>
          </w:p>
        </w:tc>
        <w:tc>
          <w:tcPr>
            <w:tcW w:w="649" w:type="dxa"/>
            <w:noWrap w:val="0"/>
            <w:vAlign w:val="bottom"/>
          </w:tcPr>
          <w:p w14:paraId="3FE5E091">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10.5</w:t>
            </w:r>
          </w:p>
        </w:tc>
        <w:tc>
          <w:tcPr>
            <w:tcW w:w="648" w:type="dxa"/>
            <w:noWrap w:val="0"/>
            <w:vAlign w:val="bottom"/>
          </w:tcPr>
          <w:p w14:paraId="716C96DB">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12.3</w:t>
            </w:r>
          </w:p>
        </w:tc>
        <w:tc>
          <w:tcPr>
            <w:tcW w:w="648" w:type="dxa"/>
            <w:noWrap w:val="0"/>
            <w:vAlign w:val="bottom"/>
          </w:tcPr>
          <w:p w14:paraId="18365895">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14.4</w:t>
            </w:r>
          </w:p>
        </w:tc>
        <w:tc>
          <w:tcPr>
            <w:tcW w:w="649" w:type="dxa"/>
            <w:noWrap w:val="0"/>
            <w:vAlign w:val="bottom"/>
          </w:tcPr>
          <w:p w14:paraId="5758933A">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16.7</w:t>
            </w:r>
          </w:p>
        </w:tc>
        <w:tc>
          <w:tcPr>
            <w:tcW w:w="648" w:type="dxa"/>
            <w:noWrap w:val="0"/>
            <w:vAlign w:val="bottom"/>
          </w:tcPr>
          <w:p w14:paraId="26C1762B">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20.0</w:t>
            </w:r>
          </w:p>
        </w:tc>
        <w:tc>
          <w:tcPr>
            <w:tcW w:w="648" w:type="dxa"/>
            <w:noWrap w:val="0"/>
            <w:vAlign w:val="bottom"/>
          </w:tcPr>
          <w:p w14:paraId="4D866497">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22.4</w:t>
            </w:r>
          </w:p>
        </w:tc>
        <w:tc>
          <w:tcPr>
            <w:tcW w:w="649" w:type="dxa"/>
            <w:noWrap w:val="0"/>
            <w:vAlign w:val="bottom"/>
          </w:tcPr>
          <w:p w14:paraId="7BA75F75">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20.1</w:t>
            </w:r>
          </w:p>
        </w:tc>
        <w:tc>
          <w:tcPr>
            <w:tcW w:w="648" w:type="dxa"/>
            <w:noWrap w:val="0"/>
            <w:vAlign w:val="bottom"/>
          </w:tcPr>
          <w:p w14:paraId="698CAE45">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16.2</w:t>
            </w:r>
          </w:p>
        </w:tc>
        <w:tc>
          <w:tcPr>
            <w:tcW w:w="649" w:type="dxa"/>
            <w:noWrap w:val="0"/>
            <w:vAlign w:val="bottom"/>
          </w:tcPr>
          <w:p w14:paraId="52A283D6">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12.6</w:t>
            </w:r>
          </w:p>
        </w:tc>
        <w:tc>
          <w:tcPr>
            <w:tcW w:w="648" w:type="dxa"/>
            <w:noWrap w:val="0"/>
            <w:vAlign w:val="bottom"/>
          </w:tcPr>
          <w:p w14:paraId="2602F31C">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8.0</w:t>
            </w:r>
          </w:p>
        </w:tc>
      </w:tr>
      <w:tr w14:paraId="50DA95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031" w:type="dxa"/>
            <w:noWrap w:val="0"/>
            <w:vAlign w:val="bottom"/>
          </w:tcPr>
          <w:p w14:paraId="61F2D68A">
            <w:pPr>
              <w:pStyle w:val="2114"/>
              <w:spacing w:line="300" w:lineRule="exact"/>
              <w:rPr>
                <w:rFonts w:ascii="Arial" w:hAnsi="Arial" w:cs="Arial"/>
                <w:sz w:val="22"/>
                <w:szCs w:val="22"/>
              </w:rPr>
            </w:pPr>
            <w:r>
              <w:rPr>
                <w:rFonts w:hint="eastAsia" w:ascii="Arial" w:hAnsi="Arial" w:cs="Arial"/>
                <w:sz w:val="22"/>
                <w:szCs w:val="22"/>
                <w:lang w:val="en-US" w:eastAsia="zh-CN"/>
              </w:rPr>
              <w:t>14.5</w:t>
            </w:r>
            <w:r>
              <w:rPr>
                <w:rFonts w:ascii="Arial" w:hAnsi="Arial" w:cs="Arial"/>
                <w:sz w:val="22"/>
                <w:szCs w:val="22"/>
              </w:rPr>
              <w:t>m</w:t>
            </w:r>
          </w:p>
        </w:tc>
        <w:tc>
          <w:tcPr>
            <w:tcW w:w="648" w:type="dxa"/>
            <w:noWrap w:val="0"/>
            <w:vAlign w:val="bottom"/>
          </w:tcPr>
          <w:p w14:paraId="216AFDA5">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6.0</w:t>
            </w:r>
          </w:p>
        </w:tc>
        <w:tc>
          <w:tcPr>
            <w:tcW w:w="539" w:type="dxa"/>
            <w:noWrap w:val="0"/>
            <w:vAlign w:val="bottom"/>
          </w:tcPr>
          <w:p w14:paraId="1E2BC040">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7.9</w:t>
            </w:r>
          </w:p>
        </w:tc>
        <w:tc>
          <w:tcPr>
            <w:tcW w:w="649" w:type="dxa"/>
            <w:noWrap w:val="0"/>
            <w:vAlign w:val="bottom"/>
          </w:tcPr>
          <w:p w14:paraId="1D8BE0A6">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9.6</w:t>
            </w:r>
          </w:p>
        </w:tc>
        <w:tc>
          <w:tcPr>
            <w:tcW w:w="648" w:type="dxa"/>
            <w:noWrap w:val="0"/>
            <w:vAlign w:val="bottom"/>
          </w:tcPr>
          <w:p w14:paraId="3C89EE77">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11.0</w:t>
            </w:r>
          </w:p>
        </w:tc>
        <w:tc>
          <w:tcPr>
            <w:tcW w:w="648" w:type="dxa"/>
            <w:noWrap w:val="0"/>
            <w:vAlign w:val="bottom"/>
          </w:tcPr>
          <w:p w14:paraId="69FF103B">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12.6</w:t>
            </w:r>
          </w:p>
        </w:tc>
        <w:tc>
          <w:tcPr>
            <w:tcW w:w="649" w:type="dxa"/>
            <w:noWrap w:val="0"/>
            <w:vAlign w:val="bottom"/>
          </w:tcPr>
          <w:p w14:paraId="6EA47184">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14.4</w:t>
            </w:r>
          </w:p>
        </w:tc>
        <w:tc>
          <w:tcPr>
            <w:tcW w:w="648" w:type="dxa"/>
            <w:noWrap w:val="0"/>
            <w:vAlign w:val="bottom"/>
          </w:tcPr>
          <w:p w14:paraId="79FD4EE4">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17.1</w:t>
            </w:r>
          </w:p>
        </w:tc>
        <w:tc>
          <w:tcPr>
            <w:tcW w:w="648" w:type="dxa"/>
            <w:noWrap w:val="0"/>
            <w:vAlign w:val="bottom"/>
          </w:tcPr>
          <w:p w14:paraId="42BC97B2">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19.4</w:t>
            </w:r>
          </w:p>
        </w:tc>
        <w:tc>
          <w:tcPr>
            <w:tcW w:w="649" w:type="dxa"/>
            <w:noWrap w:val="0"/>
            <w:vAlign w:val="bottom"/>
          </w:tcPr>
          <w:p w14:paraId="38C11362">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18.2</w:t>
            </w:r>
          </w:p>
        </w:tc>
        <w:tc>
          <w:tcPr>
            <w:tcW w:w="648" w:type="dxa"/>
            <w:noWrap w:val="0"/>
            <w:vAlign w:val="bottom"/>
          </w:tcPr>
          <w:p w14:paraId="603DB6BE">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15.3</w:t>
            </w:r>
          </w:p>
        </w:tc>
        <w:tc>
          <w:tcPr>
            <w:tcW w:w="649" w:type="dxa"/>
            <w:noWrap w:val="0"/>
            <w:vAlign w:val="bottom"/>
          </w:tcPr>
          <w:p w14:paraId="424C5681">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12.3</w:t>
            </w:r>
          </w:p>
        </w:tc>
        <w:tc>
          <w:tcPr>
            <w:tcW w:w="648" w:type="dxa"/>
            <w:noWrap w:val="0"/>
            <w:vAlign w:val="bottom"/>
          </w:tcPr>
          <w:p w14:paraId="6810C3C1">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8.0</w:t>
            </w:r>
          </w:p>
        </w:tc>
      </w:tr>
      <w:tr w14:paraId="543935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031" w:type="dxa"/>
            <w:noWrap w:val="0"/>
            <w:vAlign w:val="bottom"/>
          </w:tcPr>
          <w:p w14:paraId="3D4B9CCE">
            <w:pPr>
              <w:pStyle w:val="2114"/>
              <w:spacing w:line="300" w:lineRule="exact"/>
              <w:rPr>
                <w:rFonts w:hint="eastAsia" w:ascii="Arial" w:hAnsi="Arial" w:cs="Arial"/>
                <w:sz w:val="22"/>
                <w:szCs w:val="22"/>
                <w:lang w:eastAsia="zh-CN"/>
              </w:rPr>
            </w:pPr>
            <w:r>
              <w:rPr>
                <w:rFonts w:hint="eastAsia" w:ascii="Arial" w:hAnsi="Arial" w:cs="Arial"/>
                <w:sz w:val="22"/>
                <w:szCs w:val="22"/>
                <w:lang w:eastAsia="zh-CN"/>
              </w:rPr>
              <w:t>变幅</w:t>
            </w:r>
          </w:p>
        </w:tc>
        <w:tc>
          <w:tcPr>
            <w:tcW w:w="648" w:type="dxa"/>
            <w:noWrap w:val="0"/>
            <w:vAlign w:val="bottom"/>
          </w:tcPr>
          <w:p w14:paraId="649E0854">
            <w:pPr>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0</w:t>
            </w:r>
          </w:p>
        </w:tc>
        <w:tc>
          <w:tcPr>
            <w:tcW w:w="539" w:type="dxa"/>
            <w:noWrap w:val="0"/>
            <w:vAlign w:val="bottom"/>
          </w:tcPr>
          <w:p w14:paraId="306696C3">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0.1</w:t>
            </w:r>
          </w:p>
        </w:tc>
        <w:tc>
          <w:tcPr>
            <w:tcW w:w="649" w:type="dxa"/>
            <w:noWrap w:val="0"/>
            <w:vAlign w:val="bottom"/>
          </w:tcPr>
          <w:p w14:paraId="674A35B4">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2.9</w:t>
            </w:r>
          </w:p>
        </w:tc>
        <w:tc>
          <w:tcPr>
            <w:tcW w:w="648" w:type="dxa"/>
            <w:noWrap w:val="0"/>
            <w:vAlign w:val="bottom"/>
          </w:tcPr>
          <w:p w14:paraId="05BA3AFE">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6.0</w:t>
            </w:r>
          </w:p>
        </w:tc>
        <w:tc>
          <w:tcPr>
            <w:tcW w:w="648" w:type="dxa"/>
            <w:noWrap w:val="0"/>
            <w:vAlign w:val="bottom"/>
          </w:tcPr>
          <w:p w14:paraId="40DFB1DC">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8.4</w:t>
            </w:r>
          </w:p>
        </w:tc>
        <w:tc>
          <w:tcPr>
            <w:tcW w:w="649" w:type="dxa"/>
            <w:noWrap w:val="0"/>
            <w:vAlign w:val="bottom"/>
          </w:tcPr>
          <w:p w14:paraId="34BFD22A">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9.6</w:t>
            </w:r>
          </w:p>
        </w:tc>
        <w:tc>
          <w:tcPr>
            <w:tcW w:w="648" w:type="dxa"/>
            <w:noWrap w:val="0"/>
            <w:vAlign w:val="bottom"/>
          </w:tcPr>
          <w:p w14:paraId="6274E926">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9.9</w:t>
            </w:r>
          </w:p>
        </w:tc>
        <w:tc>
          <w:tcPr>
            <w:tcW w:w="648" w:type="dxa"/>
            <w:noWrap w:val="0"/>
            <w:vAlign w:val="bottom"/>
          </w:tcPr>
          <w:p w14:paraId="018D019E">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8.1</w:t>
            </w:r>
          </w:p>
        </w:tc>
        <w:tc>
          <w:tcPr>
            <w:tcW w:w="649" w:type="dxa"/>
            <w:noWrap w:val="0"/>
            <w:vAlign w:val="bottom"/>
          </w:tcPr>
          <w:p w14:paraId="5D44FE87">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4.3</w:t>
            </w:r>
          </w:p>
        </w:tc>
        <w:tc>
          <w:tcPr>
            <w:tcW w:w="648" w:type="dxa"/>
            <w:noWrap w:val="0"/>
            <w:vAlign w:val="bottom"/>
          </w:tcPr>
          <w:p w14:paraId="0C9E4809">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1.7</w:t>
            </w:r>
          </w:p>
        </w:tc>
        <w:tc>
          <w:tcPr>
            <w:tcW w:w="649" w:type="dxa"/>
            <w:noWrap w:val="0"/>
            <w:vAlign w:val="bottom"/>
          </w:tcPr>
          <w:p w14:paraId="7D1B29A1">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0.5</w:t>
            </w:r>
          </w:p>
        </w:tc>
        <w:tc>
          <w:tcPr>
            <w:tcW w:w="648" w:type="dxa"/>
            <w:noWrap w:val="0"/>
            <w:vAlign w:val="bottom"/>
          </w:tcPr>
          <w:p w14:paraId="6A110C02">
            <w:pPr>
              <w:spacing w:line="300" w:lineRule="exact"/>
              <w:jc w:val="center"/>
              <w:rPr>
                <w:rFonts w:hint="eastAsia" w:ascii="Arial" w:hAnsi="Arial" w:eastAsia="宋体" w:cs="Arial"/>
                <w:sz w:val="22"/>
                <w:szCs w:val="22"/>
                <w:lang w:val="en-US" w:eastAsia="zh-CN"/>
              </w:rPr>
            </w:pPr>
            <w:r>
              <w:rPr>
                <w:rFonts w:hint="eastAsia" w:ascii="Arial" w:hAnsi="Arial" w:cs="Arial"/>
                <w:sz w:val="22"/>
                <w:szCs w:val="22"/>
                <w:lang w:val="en-US" w:eastAsia="zh-CN"/>
              </w:rPr>
              <w:t>0</w:t>
            </w:r>
          </w:p>
        </w:tc>
      </w:tr>
    </w:tbl>
    <w:p w14:paraId="686FA746">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eastAsia" w:ascii="Arial" w:hAnsi="Arial" w:cs="Arial"/>
          <w:bCs/>
          <w:sz w:val="26"/>
          <w:szCs w:val="26"/>
          <w:lang w:eastAsia="zh-CN"/>
        </w:rPr>
      </w:pPr>
    </w:p>
    <w:p w14:paraId="3F08A082">
      <w:pPr>
        <w:spacing w:line="460" w:lineRule="exact"/>
        <w:ind w:firstLine="520" w:firstLineChars="200"/>
        <w:rPr>
          <w:rFonts w:hint="eastAsia" w:ascii="Arial" w:hAnsi="Arial" w:cs="Arial"/>
          <w:bCs/>
          <w:sz w:val="26"/>
          <w:szCs w:val="26"/>
          <w:lang w:eastAsia="zh-CN"/>
        </w:rPr>
      </w:pPr>
      <w:r>
        <w:rPr>
          <w:rFonts w:hint="eastAsia" w:ascii="Arial" w:hAnsi="Arial" w:cs="Arial"/>
          <w:bCs/>
          <w:sz w:val="26"/>
          <w:szCs w:val="26"/>
          <w:lang w:eastAsia="zh-CN"/>
        </w:rPr>
        <w:t>根据表可知：水温自上而下降低，1</w:t>
      </w:r>
      <w:r>
        <w:rPr>
          <w:rFonts w:hint="eastAsia" w:ascii="Arial" w:hAnsi="Arial" w:cs="Arial"/>
          <w:bCs/>
          <w:sz w:val="26"/>
          <w:szCs w:val="26"/>
          <w:lang w:val="en-US" w:eastAsia="zh-CN"/>
        </w:rPr>
        <w:t>1</w:t>
      </w:r>
      <w:r>
        <w:rPr>
          <w:rFonts w:hint="eastAsia" w:ascii="Arial" w:hAnsi="Arial" w:cs="Arial"/>
          <w:bCs/>
          <w:sz w:val="26"/>
          <w:szCs w:val="26"/>
          <w:lang w:eastAsia="zh-CN"/>
        </w:rPr>
        <w:t>月至次年2 月基本不分层，3 ~1</w:t>
      </w:r>
      <w:r>
        <w:rPr>
          <w:rFonts w:hint="eastAsia" w:ascii="Arial" w:hAnsi="Arial" w:cs="Arial"/>
          <w:bCs/>
          <w:sz w:val="26"/>
          <w:szCs w:val="26"/>
          <w:lang w:val="en-US" w:eastAsia="zh-CN"/>
        </w:rPr>
        <w:t>0</w:t>
      </w:r>
      <w:r>
        <w:rPr>
          <w:rFonts w:hint="eastAsia" w:ascii="Arial" w:hAnsi="Arial" w:cs="Arial"/>
          <w:bCs/>
          <w:sz w:val="26"/>
          <w:szCs w:val="26"/>
          <w:lang w:eastAsia="zh-CN"/>
        </w:rPr>
        <w:t>月有明显分层。</w:t>
      </w:r>
      <w:r>
        <w:rPr>
          <w:rFonts w:hint="eastAsia" w:ascii="Arial" w:hAnsi="Arial" w:cs="Arial"/>
          <w:bCs/>
          <w:sz w:val="26"/>
          <w:szCs w:val="26"/>
          <w:lang w:val="en-US" w:eastAsia="zh-CN"/>
        </w:rPr>
        <w:t>12月</w:t>
      </w:r>
      <w:r>
        <w:rPr>
          <w:rFonts w:hint="eastAsia" w:ascii="Arial" w:hAnsi="Arial" w:cs="Arial"/>
          <w:bCs/>
          <w:sz w:val="26"/>
          <w:szCs w:val="26"/>
          <w:lang w:eastAsia="zh-CN"/>
        </w:rPr>
        <w:t>~次年2月坝前垂向水温基本同温，且为全年最低；进入3月，入库水温随着气温的增高而开始升，库底水温变化不大；4~</w:t>
      </w:r>
      <w:r>
        <w:rPr>
          <w:rFonts w:hint="eastAsia" w:ascii="Arial" w:hAnsi="Arial" w:cs="Arial"/>
          <w:bCs/>
          <w:sz w:val="26"/>
          <w:szCs w:val="26"/>
          <w:lang w:val="en-US" w:eastAsia="zh-CN"/>
        </w:rPr>
        <w:t>6</w:t>
      </w:r>
      <w:r>
        <w:rPr>
          <w:rFonts w:hint="eastAsia" w:ascii="Arial" w:hAnsi="Arial" w:cs="Arial"/>
          <w:bCs/>
          <w:sz w:val="26"/>
          <w:szCs w:val="26"/>
          <w:lang w:eastAsia="zh-CN"/>
        </w:rPr>
        <w:t>月入库水温继续随气温上升，库底水温由于热量的向下传递也开始升高；</w:t>
      </w:r>
      <w:r>
        <w:rPr>
          <w:rFonts w:hint="eastAsia" w:ascii="Arial" w:hAnsi="Arial" w:cs="Arial"/>
          <w:bCs/>
          <w:sz w:val="26"/>
          <w:szCs w:val="26"/>
          <w:lang w:val="en-US" w:eastAsia="zh-CN"/>
        </w:rPr>
        <w:t>7</w:t>
      </w:r>
      <w:r>
        <w:rPr>
          <w:rFonts w:hint="eastAsia" w:ascii="Arial" w:hAnsi="Arial" w:cs="Arial"/>
          <w:bCs/>
          <w:sz w:val="26"/>
          <w:szCs w:val="26"/>
          <w:lang w:eastAsia="zh-CN"/>
        </w:rPr>
        <w:t>月气温达到最大值，库底低温水层被彻底破坏，坝前垂向温差增至</w:t>
      </w:r>
      <w:r>
        <w:rPr>
          <w:rFonts w:hint="eastAsia" w:ascii="Arial" w:hAnsi="Arial" w:cs="Arial"/>
          <w:bCs/>
          <w:sz w:val="26"/>
          <w:szCs w:val="26"/>
          <w:lang w:val="en-US" w:eastAsia="zh-CN"/>
        </w:rPr>
        <w:t>9.9</w:t>
      </w:r>
      <w:r>
        <w:rPr>
          <w:rFonts w:hint="eastAsia" w:ascii="Arial" w:hAnsi="Arial" w:cs="Arial"/>
          <w:bCs/>
          <w:sz w:val="26"/>
          <w:szCs w:val="26"/>
          <w:lang w:eastAsia="zh-CN"/>
        </w:rPr>
        <w:t>℃；10月至次年1月，气温的逐步降低、天然来水温的降低，表层水水温下降，垂向温差逐步减小。</w:t>
      </w:r>
    </w:p>
    <w:p w14:paraId="3EFF19E4">
      <w:pPr>
        <w:spacing w:line="460" w:lineRule="exact"/>
        <w:ind w:firstLine="392" w:firstLineChars="150"/>
        <w:rPr>
          <w:rFonts w:hint="eastAsia" w:ascii="Arial" w:hAnsi="宋体" w:eastAsia="宋体" w:cs="Arial"/>
          <w:b/>
          <w:sz w:val="26"/>
          <w:szCs w:val="26"/>
          <w:lang w:eastAsia="zh-CN"/>
        </w:rPr>
      </w:pPr>
      <w:r>
        <w:rPr>
          <w:rFonts w:hint="eastAsia" w:ascii="Arial" w:hAnsi="宋体" w:cs="Arial"/>
          <w:b/>
          <w:sz w:val="26"/>
          <w:szCs w:val="26"/>
        </w:rPr>
        <w:t>（</w:t>
      </w:r>
      <w:r>
        <w:rPr>
          <w:rFonts w:hint="eastAsia" w:ascii="Arial" w:hAnsi="宋体" w:cs="Arial"/>
          <w:b/>
          <w:sz w:val="26"/>
          <w:szCs w:val="26"/>
          <w:lang w:val="en-US" w:eastAsia="zh-CN"/>
        </w:rPr>
        <w:t>3</w:t>
      </w:r>
      <w:r>
        <w:rPr>
          <w:rFonts w:hint="eastAsia" w:ascii="Arial" w:hAnsi="宋体" w:cs="Arial"/>
          <w:b/>
          <w:sz w:val="26"/>
          <w:szCs w:val="26"/>
        </w:rPr>
        <w:t>）</w:t>
      </w:r>
      <w:r>
        <w:rPr>
          <w:rFonts w:hint="eastAsia" w:ascii="Arial" w:hAnsi="宋体" w:cs="Arial"/>
          <w:b/>
          <w:sz w:val="26"/>
          <w:szCs w:val="26"/>
          <w:lang w:eastAsia="zh-CN"/>
        </w:rPr>
        <w:t>低温水下泄的影响</w:t>
      </w:r>
    </w:p>
    <w:p w14:paraId="49949396">
      <w:pPr>
        <w:spacing w:line="460" w:lineRule="exact"/>
        <w:ind w:firstLine="522" w:firstLineChars="200"/>
        <w:rPr>
          <w:rFonts w:hint="eastAsia" w:ascii="Arial" w:hAnsi="Arial" w:eastAsia="宋体" w:cs="Arial"/>
          <w:b/>
          <w:bCs/>
          <w:color w:val="000000"/>
          <w:sz w:val="26"/>
          <w:szCs w:val="26"/>
          <w:lang w:val="en-US" w:eastAsia="zh-CN"/>
        </w:rPr>
      </w:pPr>
      <w:r>
        <w:rPr>
          <w:rFonts w:hint="default" w:ascii="Arial" w:hAnsi="Arial" w:eastAsia="宋体" w:cs="Arial"/>
          <w:b/>
          <w:bCs/>
          <w:color w:val="000000"/>
          <w:sz w:val="26"/>
          <w:szCs w:val="26"/>
          <w:lang w:val="en-US" w:eastAsia="zh-CN"/>
        </w:rPr>
        <w:t>①</w:t>
      </w:r>
      <w:r>
        <w:rPr>
          <w:rFonts w:hint="eastAsia" w:ascii="Arial" w:hAnsi="Arial" w:cs="Arial"/>
          <w:b/>
          <w:bCs/>
          <w:color w:val="000000"/>
          <w:sz w:val="26"/>
          <w:szCs w:val="26"/>
          <w:lang w:val="en-US" w:eastAsia="zh-CN"/>
        </w:rPr>
        <w:t>对农灌作物的影响</w:t>
      </w:r>
    </w:p>
    <w:p w14:paraId="4568F370">
      <w:pPr>
        <w:spacing w:line="460" w:lineRule="exact"/>
        <w:ind w:firstLine="520" w:firstLineChars="200"/>
        <w:rPr>
          <w:rFonts w:hint="default" w:ascii="Arial" w:hAnsi="宋体" w:eastAsia="宋体" w:cs="Arial"/>
          <w:sz w:val="26"/>
          <w:szCs w:val="26"/>
          <w:lang w:val="en-US" w:eastAsia="zh-CN"/>
        </w:rPr>
      </w:pPr>
      <w:r>
        <w:rPr>
          <w:rFonts w:hint="eastAsia" w:ascii="Arial" w:hAnsi="宋体" w:cs="Arial"/>
          <w:sz w:val="26"/>
          <w:szCs w:val="26"/>
          <w:lang w:eastAsia="zh-CN"/>
        </w:rPr>
        <w:t>海螺沟</w:t>
      </w:r>
      <w:r>
        <w:rPr>
          <w:rFonts w:hint="eastAsia" w:ascii="Arial" w:hAnsi="宋体" w:cs="Arial"/>
          <w:sz w:val="26"/>
          <w:szCs w:val="26"/>
        </w:rPr>
        <w:t>水库采取分层取水方式，分</w:t>
      </w:r>
      <w:r>
        <w:rPr>
          <w:rFonts w:hint="eastAsia" w:ascii="Arial" w:hAnsi="宋体" w:cs="Arial"/>
          <w:sz w:val="26"/>
          <w:szCs w:val="26"/>
          <w:lang w:val="en-US" w:eastAsia="zh-CN"/>
        </w:rPr>
        <w:t>5</w:t>
      </w:r>
      <w:r>
        <w:rPr>
          <w:rFonts w:hint="eastAsia" w:ascii="Arial" w:hAnsi="宋体" w:cs="Arial"/>
          <w:sz w:val="26"/>
          <w:szCs w:val="26"/>
        </w:rPr>
        <w:t>层取水，</w:t>
      </w:r>
      <w:r>
        <w:rPr>
          <w:rFonts w:hint="eastAsia" w:ascii="Arial" w:hAnsi="Arial" w:cs="Arial"/>
          <w:bCs/>
          <w:sz w:val="26"/>
          <w:szCs w:val="26"/>
          <w:lang w:eastAsia="zh-CN"/>
        </w:rPr>
        <w:t>各层取水口从上到下高程依次为</w:t>
      </w:r>
      <w:r>
        <w:rPr>
          <w:rFonts w:hint="default" w:ascii="Arial" w:hAnsi="Arial" w:cs="Arial"/>
          <w:sz w:val="26"/>
          <w:szCs w:val="26"/>
        </w:rPr>
        <w:t>418.00m、415.00m、412.00m</w:t>
      </w:r>
      <w:r>
        <w:rPr>
          <w:rFonts w:hint="eastAsia" w:ascii="Arial" w:hAnsi="Arial" w:cs="Arial"/>
          <w:sz w:val="26"/>
          <w:szCs w:val="26"/>
        </w:rPr>
        <w:t>、</w:t>
      </w:r>
      <w:r>
        <w:rPr>
          <w:rFonts w:hint="default" w:ascii="Arial" w:hAnsi="Arial" w:cs="Arial"/>
          <w:sz w:val="26"/>
          <w:szCs w:val="26"/>
        </w:rPr>
        <w:t>409.00m</w:t>
      </w:r>
      <w:r>
        <w:rPr>
          <w:rFonts w:hint="eastAsia" w:ascii="Arial" w:hAnsi="Arial" w:cs="Arial"/>
          <w:sz w:val="26"/>
          <w:szCs w:val="26"/>
        </w:rPr>
        <w:t>、</w:t>
      </w:r>
      <w:r>
        <w:rPr>
          <w:rFonts w:hint="default" w:ascii="Arial" w:hAnsi="Arial" w:cs="Arial"/>
          <w:sz w:val="26"/>
          <w:szCs w:val="26"/>
        </w:rPr>
        <w:t>405.50m</w:t>
      </w:r>
      <w:r>
        <w:rPr>
          <w:rFonts w:hint="eastAsia" w:ascii="Arial" w:hAnsi="Arial" w:cs="Arial"/>
          <w:sz w:val="26"/>
          <w:szCs w:val="26"/>
          <w:lang w:eastAsia="zh-CN"/>
        </w:rPr>
        <w:t>，</w:t>
      </w:r>
      <w:r>
        <w:rPr>
          <w:rFonts w:hint="eastAsia" w:ascii="Arial" w:hAnsi="宋体" w:cs="Arial"/>
          <w:sz w:val="26"/>
          <w:szCs w:val="26"/>
        </w:rPr>
        <w:t>各层取水</w:t>
      </w:r>
      <w:r>
        <w:rPr>
          <w:rFonts w:hint="eastAsia" w:ascii="Arial" w:hAnsi="宋体" w:cs="Arial"/>
          <w:sz w:val="26"/>
          <w:szCs w:val="26"/>
          <w:lang w:eastAsia="zh-CN"/>
        </w:rPr>
        <w:t>口</w:t>
      </w:r>
      <w:r>
        <w:rPr>
          <w:rFonts w:hint="eastAsia" w:ascii="Arial" w:hAnsi="宋体" w:cs="Arial"/>
          <w:sz w:val="26"/>
          <w:szCs w:val="26"/>
        </w:rPr>
        <w:t>处水深分别为</w:t>
      </w:r>
      <w:r>
        <w:rPr>
          <w:rFonts w:hint="eastAsia" w:ascii="Arial" w:hAnsi="宋体" w:cs="Arial"/>
          <w:sz w:val="26"/>
          <w:szCs w:val="26"/>
          <w:lang w:val="en-US" w:eastAsia="zh-CN"/>
        </w:rPr>
        <w:t>2</w:t>
      </w:r>
      <w:r>
        <w:rPr>
          <w:rFonts w:hint="eastAsia" w:ascii="Arial" w:hAnsi="宋体" w:cs="Arial"/>
          <w:sz w:val="26"/>
          <w:szCs w:val="26"/>
        </w:rPr>
        <w:t>m、</w:t>
      </w:r>
      <w:r>
        <w:rPr>
          <w:rFonts w:hint="eastAsia" w:ascii="Arial" w:hAnsi="宋体" w:cs="Arial"/>
          <w:sz w:val="26"/>
          <w:szCs w:val="26"/>
          <w:lang w:val="en-US" w:eastAsia="zh-CN"/>
        </w:rPr>
        <w:t>5</w:t>
      </w:r>
      <w:r>
        <w:rPr>
          <w:rFonts w:hint="eastAsia" w:ascii="Arial" w:hAnsi="宋体" w:cs="Arial"/>
          <w:sz w:val="26"/>
          <w:szCs w:val="26"/>
        </w:rPr>
        <w:t>m、</w:t>
      </w:r>
      <w:r>
        <w:rPr>
          <w:rFonts w:hint="eastAsia" w:ascii="Arial" w:hAnsi="宋体" w:cs="Arial"/>
          <w:sz w:val="26"/>
          <w:szCs w:val="26"/>
          <w:lang w:val="en-US" w:eastAsia="zh-CN"/>
        </w:rPr>
        <w:t>8</w:t>
      </w:r>
      <w:r>
        <w:rPr>
          <w:rFonts w:hint="eastAsia" w:ascii="Arial" w:hAnsi="宋体" w:cs="Arial"/>
          <w:sz w:val="26"/>
          <w:szCs w:val="26"/>
        </w:rPr>
        <w:t>m、</w:t>
      </w:r>
      <w:r>
        <w:rPr>
          <w:rFonts w:hint="eastAsia" w:ascii="Arial" w:hAnsi="宋体" w:cs="Arial"/>
          <w:sz w:val="26"/>
          <w:szCs w:val="26"/>
          <w:lang w:val="en-US" w:eastAsia="zh-CN"/>
        </w:rPr>
        <w:t>11</w:t>
      </w:r>
      <w:r>
        <w:rPr>
          <w:rFonts w:hint="eastAsia" w:ascii="Arial" w:hAnsi="宋体" w:cs="Arial"/>
          <w:sz w:val="26"/>
          <w:szCs w:val="26"/>
        </w:rPr>
        <w:t>m</w:t>
      </w:r>
      <w:r>
        <w:rPr>
          <w:rFonts w:hint="eastAsia" w:ascii="Arial" w:hAnsi="宋体" w:cs="Arial"/>
          <w:sz w:val="26"/>
          <w:szCs w:val="26"/>
          <w:lang w:eastAsia="zh-CN"/>
        </w:rPr>
        <w:t>、</w:t>
      </w:r>
      <w:r>
        <w:rPr>
          <w:rFonts w:hint="eastAsia" w:ascii="Arial" w:hAnsi="宋体" w:cs="Arial"/>
          <w:sz w:val="26"/>
          <w:szCs w:val="26"/>
          <w:lang w:val="en-US" w:eastAsia="zh-CN"/>
        </w:rPr>
        <w:t>14.5m</w:t>
      </w:r>
      <w:r>
        <w:rPr>
          <w:rFonts w:hint="eastAsia" w:ascii="Arial" w:hAnsi="宋体" w:cs="Arial"/>
          <w:sz w:val="26"/>
          <w:szCs w:val="26"/>
        </w:rPr>
        <w:t>。</w:t>
      </w:r>
      <w:r>
        <w:rPr>
          <w:rFonts w:hint="eastAsia" w:ascii="Arial" w:hAnsi="宋体" w:cs="Arial"/>
          <w:sz w:val="26"/>
          <w:szCs w:val="26"/>
          <w:lang w:eastAsia="zh-CN"/>
        </w:rPr>
        <w:t>海螺沟水库建成后，灌溉面积为</w:t>
      </w:r>
      <w:r>
        <w:rPr>
          <w:rFonts w:hint="eastAsia" w:ascii="Arial" w:hAnsi="宋体" w:cs="Arial"/>
          <w:sz w:val="26"/>
          <w:szCs w:val="26"/>
          <w:lang w:val="en-US" w:eastAsia="zh-CN"/>
        </w:rPr>
        <w:t>2000亩，主要分布在双龙社区、回龙场村，</w:t>
      </w:r>
      <w:r>
        <w:rPr>
          <w:rFonts w:hint="eastAsia" w:ascii="Arial" w:hAnsi="宋体" w:cs="Arial"/>
          <w:sz w:val="26"/>
          <w:szCs w:val="26"/>
        </w:rPr>
        <w:t>农作物主要有水稻、玉米、红薯、土豆、蔬菜等，灌区主要作物灌溉定额及特征详见表</w:t>
      </w:r>
      <w:r>
        <w:rPr>
          <w:rFonts w:hint="eastAsia" w:ascii="Arial" w:hAnsi="宋体" w:cs="Arial"/>
          <w:sz w:val="26"/>
          <w:szCs w:val="26"/>
          <w:lang w:val="en-US" w:eastAsia="zh-CN"/>
        </w:rPr>
        <w:t>6.5-7</w:t>
      </w:r>
      <w:r>
        <w:rPr>
          <w:rFonts w:hint="eastAsia" w:ascii="Arial" w:hAnsi="宋体" w:cs="Arial"/>
          <w:sz w:val="26"/>
          <w:szCs w:val="26"/>
        </w:rPr>
        <w:t>所示。</w:t>
      </w:r>
    </w:p>
    <w:p w14:paraId="39C28E7A">
      <w:pPr>
        <w:spacing w:line="460" w:lineRule="exact"/>
        <w:jc w:val="center"/>
        <w:rPr>
          <w:rFonts w:hint="eastAsia" w:ascii="Arial" w:hAnsi="宋体" w:cs="Arial"/>
          <w:b/>
          <w:sz w:val="26"/>
          <w:szCs w:val="26"/>
        </w:rPr>
      </w:pPr>
      <w:r>
        <w:rPr>
          <w:rFonts w:hint="eastAsia" w:ascii="Arial" w:hAnsi="宋体" w:cs="Arial"/>
          <w:b/>
          <w:sz w:val="26"/>
          <w:szCs w:val="26"/>
        </w:rPr>
        <w:t>表</w:t>
      </w:r>
      <w:r>
        <w:rPr>
          <w:rFonts w:hint="eastAsia" w:ascii="Arial" w:hAnsi="宋体" w:cs="Arial"/>
          <w:b/>
          <w:sz w:val="26"/>
          <w:szCs w:val="26"/>
          <w:lang w:val="en-US" w:eastAsia="zh-CN"/>
        </w:rPr>
        <w:t xml:space="preserve">6.5-7 </w:t>
      </w:r>
      <w:r>
        <w:rPr>
          <w:rFonts w:hint="eastAsia" w:ascii="Arial" w:hAnsi="宋体" w:cs="Arial"/>
          <w:b/>
          <w:sz w:val="26"/>
          <w:szCs w:val="26"/>
        </w:rPr>
        <w:t xml:space="preserve"> 灌区主要农作物灌溉特征表</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59"/>
        <w:gridCol w:w="2140"/>
        <w:gridCol w:w="2975"/>
        <w:gridCol w:w="2124"/>
      </w:tblGrid>
      <w:tr w14:paraId="7B10A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1259" w:type="dxa"/>
            <w:noWrap w:val="0"/>
            <w:vAlign w:val="center"/>
          </w:tcPr>
          <w:p w14:paraId="6753133A">
            <w:pPr>
              <w:spacing w:line="300" w:lineRule="exact"/>
              <w:jc w:val="center"/>
              <w:rPr>
                <w:rFonts w:hint="eastAsia" w:ascii="Arial" w:hAnsi="宋体" w:cs="Arial"/>
                <w:sz w:val="22"/>
                <w:szCs w:val="22"/>
              </w:rPr>
            </w:pPr>
            <w:r>
              <w:rPr>
                <w:rFonts w:hint="eastAsia" w:ascii="Arial" w:hAnsi="宋体" w:cs="Arial"/>
                <w:sz w:val="22"/>
                <w:szCs w:val="22"/>
              </w:rPr>
              <w:t>作物</w:t>
            </w:r>
          </w:p>
        </w:tc>
        <w:tc>
          <w:tcPr>
            <w:tcW w:w="2140" w:type="dxa"/>
            <w:noWrap w:val="0"/>
            <w:vAlign w:val="center"/>
          </w:tcPr>
          <w:p w14:paraId="4B28D6EE">
            <w:pPr>
              <w:spacing w:line="300" w:lineRule="exact"/>
              <w:jc w:val="center"/>
              <w:rPr>
                <w:rFonts w:hint="eastAsia" w:ascii="Arial" w:hAnsi="宋体" w:cs="Arial"/>
                <w:sz w:val="22"/>
                <w:szCs w:val="22"/>
              </w:rPr>
            </w:pPr>
            <w:r>
              <w:rPr>
                <w:rFonts w:hint="eastAsia" w:ascii="Arial" w:hAnsi="宋体" w:cs="Arial"/>
                <w:sz w:val="22"/>
                <w:szCs w:val="22"/>
              </w:rPr>
              <w:t>最佳灌溉时间范围</w:t>
            </w:r>
          </w:p>
        </w:tc>
        <w:tc>
          <w:tcPr>
            <w:tcW w:w="2975" w:type="dxa"/>
            <w:noWrap w:val="0"/>
            <w:vAlign w:val="center"/>
          </w:tcPr>
          <w:p w14:paraId="3EBEBA55">
            <w:pPr>
              <w:spacing w:line="300" w:lineRule="exact"/>
              <w:jc w:val="center"/>
              <w:rPr>
                <w:rFonts w:hint="eastAsia" w:ascii="Arial" w:hAnsi="宋体" w:cs="Arial"/>
                <w:sz w:val="22"/>
                <w:szCs w:val="22"/>
              </w:rPr>
            </w:pPr>
            <w:r>
              <w:rPr>
                <w:rFonts w:hint="eastAsia" w:ascii="Arial" w:hAnsi="宋体" w:cs="Arial"/>
                <w:sz w:val="22"/>
                <w:szCs w:val="22"/>
              </w:rPr>
              <w:t>温度范围（℃）</w:t>
            </w:r>
          </w:p>
        </w:tc>
        <w:tc>
          <w:tcPr>
            <w:tcW w:w="2124" w:type="dxa"/>
            <w:noWrap w:val="0"/>
            <w:vAlign w:val="center"/>
          </w:tcPr>
          <w:p w14:paraId="1BEECB62">
            <w:pPr>
              <w:spacing w:line="300" w:lineRule="exact"/>
              <w:jc w:val="center"/>
              <w:rPr>
                <w:rFonts w:hint="eastAsia" w:ascii="Arial" w:hAnsi="宋体" w:cs="Arial"/>
                <w:sz w:val="22"/>
                <w:szCs w:val="22"/>
              </w:rPr>
            </w:pPr>
            <w:r>
              <w:rPr>
                <w:rFonts w:hint="eastAsia" w:ascii="Arial" w:hAnsi="宋体" w:cs="Arial"/>
                <w:sz w:val="22"/>
                <w:szCs w:val="22"/>
              </w:rPr>
              <w:t>各取水层温度（℃）</w:t>
            </w:r>
          </w:p>
        </w:tc>
      </w:tr>
      <w:tr w14:paraId="20B050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9" w:hRule="atLeast"/>
          <w:jc w:val="center"/>
        </w:trPr>
        <w:tc>
          <w:tcPr>
            <w:tcW w:w="1259" w:type="dxa"/>
            <w:noWrap w:val="0"/>
            <w:vAlign w:val="center"/>
          </w:tcPr>
          <w:p w14:paraId="509E303A">
            <w:pPr>
              <w:spacing w:line="300" w:lineRule="exact"/>
              <w:jc w:val="center"/>
              <w:rPr>
                <w:rFonts w:hint="eastAsia" w:ascii="Arial" w:hAnsi="宋体" w:cs="Arial"/>
                <w:sz w:val="22"/>
                <w:szCs w:val="22"/>
              </w:rPr>
            </w:pPr>
            <w:r>
              <w:rPr>
                <w:rFonts w:hint="eastAsia" w:ascii="Arial" w:hAnsi="宋体" w:cs="Arial"/>
                <w:sz w:val="22"/>
                <w:szCs w:val="22"/>
              </w:rPr>
              <w:t>水稻</w:t>
            </w:r>
          </w:p>
        </w:tc>
        <w:tc>
          <w:tcPr>
            <w:tcW w:w="2140" w:type="dxa"/>
            <w:noWrap w:val="0"/>
            <w:vAlign w:val="center"/>
          </w:tcPr>
          <w:p w14:paraId="314C8842">
            <w:pPr>
              <w:spacing w:line="300" w:lineRule="exact"/>
              <w:jc w:val="center"/>
              <w:rPr>
                <w:rFonts w:hint="eastAsia" w:ascii="Arial" w:hAnsi="宋体" w:cs="Arial"/>
                <w:sz w:val="22"/>
                <w:szCs w:val="22"/>
              </w:rPr>
            </w:pPr>
            <w:r>
              <w:rPr>
                <w:rFonts w:hint="eastAsia" w:ascii="Arial" w:hAnsi="宋体" w:cs="Arial"/>
                <w:sz w:val="22"/>
                <w:szCs w:val="22"/>
                <w:lang w:val="en-US" w:eastAsia="zh-CN"/>
              </w:rPr>
              <w:t>4</w:t>
            </w:r>
            <w:r>
              <w:rPr>
                <w:rFonts w:hint="eastAsia" w:ascii="Arial" w:hAnsi="宋体" w:cs="Arial"/>
                <w:sz w:val="22"/>
                <w:szCs w:val="22"/>
              </w:rPr>
              <w:t>月</w:t>
            </w:r>
            <w:r>
              <w:rPr>
                <w:rFonts w:hint="eastAsia" w:ascii="Arial" w:hAnsi="宋体" w:cs="Arial"/>
                <w:sz w:val="22"/>
                <w:szCs w:val="22"/>
                <w:lang w:eastAsia="zh-CN"/>
              </w:rPr>
              <w:t>下</w:t>
            </w:r>
            <w:r>
              <w:rPr>
                <w:rFonts w:hint="eastAsia" w:ascii="Arial" w:hAnsi="宋体" w:cs="Arial"/>
                <w:sz w:val="22"/>
                <w:szCs w:val="22"/>
              </w:rPr>
              <w:t>旬~5月</w:t>
            </w:r>
            <w:r>
              <w:rPr>
                <w:rFonts w:hint="eastAsia" w:ascii="Arial" w:hAnsi="宋体" w:cs="Arial"/>
                <w:sz w:val="22"/>
                <w:szCs w:val="22"/>
                <w:lang w:eastAsia="zh-CN"/>
              </w:rPr>
              <w:t>上</w:t>
            </w:r>
            <w:r>
              <w:rPr>
                <w:rFonts w:hint="eastAsia" w:ascii="Arial" w:hAnsi="宋体" w:cs="Arial"/>
                <w:sz w:val="22"/>
                <w:szCs w:val="22"/>
              </w:rPr>
              <w:t>旬</w:t>
            </w:r>
          </w:p>
          <w:p w14:paraId="470E4609">
            <w:pPr>
              <w:spacing w:line="300" w:lineRule="exact"/>
              <w:jc w:val="center"/>
              <w:rPr>
                <w:rFonts w:hint="eastAsia" w:ascii="Arial" w:hAnsi="宋体" w:cs="Arial"/>
                <w:sz w:val="22"/>
                <w:szCs w:val="22"/>
              </w:rPr>
            </w:pPr>
            <w:r>
              <w:rPr>
                <w:rFonts w:hint="eastAsia" w:ascii="Arial" w:hAnsi="宋体" w:cs="Arial"/>
                <w:sz w:val="22"/>
                <w:szCs w:val="22"/>
                <w:lang w:val="en-US" w:eastAsia="zh-CN"/>
              </w:rPr>
              <w:t>5</w:t>
            </w:r>
            <w:r>
              <w:rPr>
                <w:rFonts w:hint="eastAsia" w:ascii="Arial" w:hAnsi="宋体" w:cs="Arial"/>
                <w:sz w:val="22"/>
                <w:szCs w:val="22"/>
              </w:rPr>
              <w:t>月</w:t>
            </w:r>
            <w:r>
              <w:rPr>
                <w:rFonts w:hint="eastAsia" w:ascii="Arial" w:hAnsi="宋体" w:cs="Arial"/>
                <w:sz w:val="22"/>
                <w:szCs w:val="22"/>
                <w:lang w:val="en-US" w:eastAsia="zh-CN"/>
              </w:rPr>
              <w:t>中</w:t>
            </w:r>
            <w:r>
              <w:rPr>
                <w:rFonts w:hint="eastAsia" w:ascii="Arial" w:hAnsi="宋体" w:cs="Arial"/>
                <w:sz w:val="22"/>
                <w:szCs w:val="22"/>
              </w:rPr>
              <w:t>旬~8月</w:t>
            </w:r>
            <w:r>
              <w:rPr>
                <w:rFonts w:hint="eastAsia" w:ascii="Arial" w:hAnsi="宋体" w:cs="Arial"/>
                <w:sz w:val="22"/>
                <w:szCs w:val="22"/>
                <w:lang w:eastAsia="zh-CN"/>
              </w:rPr>
              <w:t>下</w:t>
            </w:r>
            <w:r>
              <w:rPr>
                <w:rFonts w:hint="eastAsia" w:ascii="Arial" w:hAnsi="宋体" w:cs="Arial"/>
                <w:sz w:val="22"/>
                <w:szCs w:val="22"/>
              </w:rPr>
              <w:t>旬</w:t>
            </w:r>
          </w:p>
        </w:tc>
        <w:tc>
          <w:tcPr>
            <w:tcW w:w="2975" w:type="dxa"/>
            <w:noWrap w:val="0"/>
            <w:vAlign w:val="center"/>
          </w:tcPr>
          <w:p w14:paraId="6A984897">
            <w:pPr>
              <w:spacing w:line="300" w:lineRule="exact"/>
              <w:jc w:val="center"/>
              <w:rPr>
                <w:rFonts w:hint="eastAsia" w:ascii="Arial" w:hAnsi="宋体" w:cs="Arial"/>
                <w:sz w:val="22"/>
                <w:szCs w:val="22"/>
              </w:rPr>
            </w:pPr>
            <w:r>
              <w:rPr>
                <w:rFonts w:hint="eastAsia" w:ascii="Arial" w:hAnsi="宋体" w:cs="Arial"/>
                <w:sz w:val="22"/>
                <w:szCs w:val="22"/>
              </w:rPr>
              <w:t>10~12</w:t>
            </w:r>
          </w:p>
        </w:tc>
        <w:tc>
          <w:tcPr>
            <w:tcW w:w="2124" w:type="dxa"/>
            <w:noWrap w:val="0"/>
            <w:vAlign w:val="center"/>
          </w:tcPr>
          <w:p w14:paraId="793F69AA">
            <w:pPr>
              <w:spacing w:line="300" w:lineRule="exact"/>
              <w:jc w:val="center"/>
              <w:rPr>
                <w:rFonts w:hint="eastAsia" w:ascii="Arial" w:hAnsi="宋体" w:cs="Arial"/>
                <w:sz w:val="22"/>
                <w:szCs w:val="22"/>
                <w:lang w:val="en-US" w:eastAsia="zh-CN"/>
              </w:rPr>
            </w:pPr>
            <w:r>
              <w:rPr>
                <w:rFonts w:hint="eastAsia" w:ascii="Arial" w:hAnsi="宋体" w:cs="Arial"/>
                <w:sz w:val="22"/>
                <w:szCs w:val="22"/>
                <w:lang w:val="en-US" w:eastAsia="zh-CN"/>
              </w:rPr>
              <w:t>11.0</w:t>
            </w:r>
            <w:r>
              <w:rPr>
                <w:rFonts w:hint="eastAsia" w:ascii="Arial" w:hAnsi="宋体" w:cs="Arial"/>
                <w:sz w:val="22"/>
                <w:szCs w:val="22"/>
              </w:rPr>
              <w:t>~</w:t>
            </w:r>
            <w:r>
              <w:rPr>
                <w:rFonts w:hint="eastAsia" w:ascii="Arial" w:hAnsi="宋体" w:cs="Arial"/>
                <w:sz w:val="22"/>
                <w:szCs w:val="22"/>
                <w:lang w:val="en-US" w:eastAsia="zh-CN"/>
              </w:rPr>
              <w:t>21.0</w:t>
            </w:r>
          </w:p>
          <w:p w14:paraId="5504D928">
            <w:pPr>
              <w:spacing w:line="300" w:lineRule="exact"/>
              <w:jc w:val="center"/>
              <w:rPr>
                <w:rFonts w:hint="default" w:ascii="Arial" w:hAnsi="宋体" w:cs="Arial"/>
                <w:sz w:val="22"/>
                <w:szCs w:val="22"/>
                <w:lang w:val="en-US" w:eastAsia="zh-CN"/>
              </w:rPr>
            </w:pPr>
            <w:r>
              <w:rPr>
                <w:rFonts w:hint="eastAsia" w:ascii="Arial" w:hAnsi="宋体" w:cs="Arial"/>
                <w:sz w:val="22"/>
                <w:szCs w:val="22"/>
                <w:lang w:val="en-US" w:eastAsia="zh-CN"/>
              </w:rPr>
              <w:t>12.6~27.5</w:t>
            </w:r>
          </w:p>
        </w:tc>
      </w:tr>
      <w:tr w14:paraId="5E5D6F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 w:hRule="atLeast"/>
          <w:jc w:val="center"/>
        </w:trPr>
        <w:tc>
          <w:tcPr>
            <w:tcW w:w="1259" w:type="dxa"/>
            <w:noWrap w:val="0"/>
            <w:vAlign w:val="center"/>
          </w:tcPr>
          <w:p w14:paraId="50588C14">
            <w:pPr>
              <w:spacing w:line="300" w:lineRule="exact"/>
              <w:jc w:val="center"/>
              <w:rPr>
                <w:rFonts w:hint="eastAsia" w:ascii="Arial" w:hAnsi="宋体" w:cs="Arial"/>
                <w:sz w:val="22"/>
                <w:szCs w:val="22"/>
              </w:rPr>
            </w:pPr>
            <w:r>
              <w:rPr>
                <w:rFonts w:hint="eastAsia" w:ascii="Arial" w:hAnsi="宋体" w:cs="Arial"/>
                <w:sz w:val="22"/>
                <w:szCs w:val="22"/>
              </w:rPr>
              <w:t>玉米</w:t>
            </w:r>
          </w:p>
        </w:tc>
        <w:tc>
          <w:tcPr>
            <w:tcW w:w="2140" w:type="dxa"/>
            <w:noWrap w:val="0"/>
            <w:vAlign w:val="center"/>
          </w:tcPr>
          <w:p w14:paraId="28DFBAB3">
            <w:pPr>
              <w:spacing w:line="300" w:lineRule="exact"/>
              <w:jc w:val="center"/>
              <w:rPr>
                <w:rFonts w:hint="eastAsia" w:ascii="Arial" w:hAnsi="宋体" w:cs="Arial"/>
                <w:sz w:val="22"/>
                <w:szCs w:val="22"/>
              </w:rPr>
            </w:pPr>
            <w:r>
              <w:rPr>
                <w:rFonts w:hint="eastAsia" w:ascii="Arial" w:hAnsi="宋体" w:cs="Arial"/>
                <w:sz w:val="22"/>
                <w:szCs w:val="22"/>
              </w:rPr>
              <w:t>5~6月</w:t>
            </w:r>
          </w:p>
        </w:tc>
        <w:tc>
          <w:tcPr>
            <w:tcW w:w="2975" w:type="dxa"/>
            <w:noWrap w:val="0"/>
            <w:vAlign w:val="center"/>
          </w:tcPr>
          <w:p w14:paraId="37F3FDEB">
            <w:pPr>
              <w:spacing w:line="300" w:lineRule="exact"/>
              <w:jc w:val="center"/>
              <w:rPr>
                <w:rFonts w:hint="eastAsia" w:ascii="Arial" w:hAnsi="宋体" w:cs="Arial"/>
                <w:sz w:val="22"/>
                <w:szCs w:val="22"/>
              </w:rPr>
            </w:pPr>
            <w:r>
              <w:rPr>
                <w:rFonts w:hint="eastAsia" w:ascii="Arial" w:hAnsi="宋体" w:cs="Arial"/>
                <w:sz w:val="22"/>
                <w:szCs w:val="22"/>
              </w:rPr>
              <w:t>5~10</w:t>
            </w:r>
          </w:p>
        </w:tc>
        <w:tc>
          <w:tcPr>
            <w:tcW w:w="2124" w:type="dxa"/>
            <w:noWrap w:val="0"/>
            <w:vAlign w:val="center"/>
          </w:tcPr>
          <w:p w14:paraId="056DB7FE">
            <w:pPr>
              <w:spacing w:line="300" w:lineRule="exact"/>
              <w:jc w:val="center"/>
              <w:rPr>
                <w:rFonts w:hint="default" w:ascii="Arial" w:hAnsi="宋体" w:eastAsia="宋体" w:cs="Arial"/>
                <w:sz w:val="22"/>
                <w:szCs w:val="22"/>
                <w:lang w:val="en-US" w:eastAsia="zh-CN"/>
              </w:rPr>
            </w:pPr>
            <w:r>
              <w:rPr>
                <w:rFonts w:hint="eastAsia" w:ascii="Arial" w:hAnsi="宋体" w:cs="Arial"/>
                <w:sz w:val="22"/>
                <w:szCs w:val="22"/>
                <w:lang w:val="en-US" w:eastAsia="zh-CN"/>
              </w:rPr>
              <w:t>12.9~24.0</w:t>
            </w:r>
          </w:p>
        </w:tc>
      </w:tr>
      <w:tr w14:paraId="490A39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 w:hRule="atLeast"/>
          <w:jc w:val="center"/>
        </w:trPr>
        <w:tc>
          <w:tcPr>
            <w:tcW w:w="1259" w:type="dxa"/>
            <w:noWrap w:val="0"/>
            <w:vAlign w:val="center"/>
          </w:tcPr>
          <w:p w14:paraId="4DDDA74D">
            <w:pPr>
              <w:spacing w:line="300" w:lineRule="exact"/>
              <w:jc w:val="center"/>
              <w:rPr>
                <w:rFonts w:hint="eastAsia" w:ascii="Arial" w:hAnsi="宋体" w:cs="Arial"/>
                <w:sz w:val="22"/>
                <w:szCs w:val="22"/>
              </w:rPr>
            </w:pPr>
            <w:r>
              <w:rPr>
                <w:rFonts w:hint="eastAsia" w:ascii="Arial" w:hAnsi="宋体" w:cs="Arial"/>
                <w:sz w:val="22"/>
                <w:szCs w:val="22"/>
              </w:rPr>
              <w:t>红薯</w:t>
            </w:r>
          </w:p>
        </w:tc>
        <w:tc>
          <w:tcPr>
            <w:tcW w:w="2140" w:type="dxa"/>
            <w:noWrap w:val="0"/>
            <w:vAlign w:val="center"/>
          </w:tcPr>
          <w:p w14:paraId="6DE9247E">
            <w:pPr>
              <w:spacing w:line="300" w:lineRule="exact"/>
              <w:jc w:val="center"/>
              <w:rPr>
                <w:rFonts w:hint="eastAsia" w:ascii="Arial" w:hAnsi="宋体" w:eastAsia="宋体" w:cs="Arial"/>
                <w:sz w:val="22"/>
                <w:szCs w:val="22"/>
                <w:lang w:eastAsia="zh-CN"/>
              </w:rPr>
            </w:pPr>
            <w:r>
              <w:rPr>
                <w:rFonts w:hint="eastAsia" w:ascii="Arial" w:hAnsi="宋体" w:cs="Arial"/>
                <w:sz w:val="22"/>
                <w:szCs w:val="22"/>
              </w:rPr>
              <w:t>6月~9月</w:t>
            </w:r>
            <w:r>
              <w:rPr>
                <w:rFonts w:hint="eastAsia" w:ascii="Arial" w:hAnsi="宋体" w:cs="Arial"/>
                <w:sz w:val="22"/>
                <w:szCs w:val="22"/>
                <w:lang w:eastAsia="zh-CN"/>
              </w:rPr>
              <w:t>上旬</w:t>
            </w:r>
          </w:p>
        </w:tc>
        <w:tc>
          <w:tcPr>
            <w:tcW w:w="2975" w:type="dxa"/>
            <w:noWrap w:val="0"/>
            <w:vAlign w:val="center"/>
          </w:tcPr>
          <w:p w14:paraId="1B940DD3">
            <w:pPr>
              <w:spacing w:line="300" w:lineRule="exact"/>
              <w:jc w:val="center"/>
              <w:rPr>
                <w:rFonts w:hint="eastAsia" w:ascii="Arial" w:hAnsi="宋体" w:cs="Arial"/>
                <w:sz w:val="22"/>
                <w:szCs w:val="22"/>
              </w:rPr>
            </w:pPr>
            <w:r>
              <w:rPr>
                <w:rFonts w:hint="eastAsia" w:ascii="Arial" w:hAnsi="宋体" w:cs="Arial"/>
                <w:sz w:val="22"/>
                <w:szCs w:val="22"/>
              </w:rPr>
              <w:t>18</w:t>
            </w:r>
          </w:p>
        </w:tc>
        <w:tc>
          <w:tcPr>
            <w:tcW w:w="2124" w:type="dxa"/>
            <w:noWrap w:val="0"/>
            <w:vAlign w:val="center"/>
          </w:tcPr>
          <w:p w14:paraId="3DB8F8AF">
            <w:pPr>
              <w:spacing w:line="300" w:lineRule="exact"/>
              <w:jc w:val="center"/>
              <w:rPr>
                <w:rFonts w:hint="default" w:ascii="Arial" w:hAnsi="宋体" w:eastAsia="宋体" w:cs="Arial"/>
                <w:sz w:val="22"/>
                <w:szCs w:val="22"/>
                <w:lang w:val="en-US" w:eastAsia="zh-CN"/>
              </w:rPr>
            </w:pPr>
            <w:r>
              <w:rPr>
                <w:rFonts w:hint="eastAsia" w:ascii="Arial" w:hAnsi="宋体" w:cs="Arial"/>
                <w:sz w:val="22"/>
                <w:szCs w:val="22"/>
                <w:lang w:val="en-US" w:eastAsia="zh-CN"/>
              </w:rPr>
              <w:t>14.4~27.5</w:t>
            </w:r>
          </w:p>
        </w:tc>
      </w:tr>
      <w:tr w14:paraId="2503C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 w:hRule="atLeast"/>
          <w:jc w:val="center"/>
        </w:trPr>
        <w:tc>
          <w:tcPr>
            <w:tcW w:w="1259" w:type="dxa"/>
            <w:noWrap w:val="0"/>
            <w:vAlign w:val="center"/>
          </w:tcPr>
          <w:p w14:paraId="52F361FD">
            <w:pPr>
              <w:spacing w:line="300" w:lineRule="exact"/>
              <w:jc w:val="center"/>
              <w:rPr>
                <w:rFonts w:hint="eastAsia" w:ascii="Arial" w:hAnsi="宋体" w:cs="Arial"/>
                <w:sz w:val="22"/>
                <w:szCs w:val="22"/>
              </w:rPr>
            </w:pPr>
            <w:r>
              <w:rPr>
                <w:rFonts w:hint="eastAsia" w:ascii="Arial" w:hAnsi="宋体" w:cs="Arial"/>
                <w:sz w:val="22"/>
                <w:szCs w:val="22"/>
              </w:rPr>
              <w:t>土豆</w:t>
            </w:r>
          </w:p>
        </w:tc>
        <w:tc>
          <w:tcPr>
            <w:tcW w:w="2140" w:type="dxa"/>
            <w:noWrap w:val="0"/>
            <w:vAlign w:val="center"/>
          </w:tcPr>
          <w:p w14:paraId="068111D1">
            <w:pPr>
              <w:spacing w:line="300" w:lineRule="exact"/>
              <w:jc w:val="center"/>
              <w:rPr>
                <w:rFonts w:hint="eastAsia" w:ascii="Arial" w:hAnsi="宋体" w:cs="Arial"/>
                <w:sz w:val="22"/>
                <w:szCs w:val="22"/>
              </w:rPr>
            </w:pPr>
            <w:r>
              <w:rPr>
                <w:rFonts w:hint="eastAsia" w:ascii="Arial" w:hAnsi="宋体" w:cs="Arial"/>
                <w:sz w:val="22"/>
                <w:szCs w:val="22"/>
              </w:rPr>
              <w:t>1月下旬~3月</w:t>
            </w:r>
          </w:p>
        </w:tc>
        <w:tc>
          <w:tcPr>
            <w:tcW w:w="2975" w:type="dxa"/>
            <w:noWrap w:val="0"/>
            <w:vAlign w:val="center"/>
          </w:tcPr>
          <w:p w14:paraId="732BF599">
            <w:pPr>
              <w:spacing w:line="300" w:lineRule="exact"/>
              <w:jc w:val="center"/>
              <w:rPr>
                <w:rFonts w:hint="eastAsia" w:ascii="Arial" w:hAnsi="宋体" w:cs="Arial"/>
                <w:sz w:val="22"/>
                <w:szCs w:val="22"/>
              </w:rPr>
            </w:pPr>
            <w:r>
              <w:rPr>
                <w:rFonts w:hint="eastAsia" w:ascii="Arial" w:hAnsi="宋体" w:cs="Arial"/>
                <w:sz w:val="22"/>
                <w:szCs w:val="22"/>
              </w:rPr>
              <w:t>2~4</w:t>
            </w:r>
          </w:p>
        </w:tc>
        <w:tc>
          <w:tcPr>
            <w:tcW w:w="2124" w:type="dxa"/>
            <w:noWrap w:val="0"/>
            <w:vAlign w:val="center"/>
          </w:tcPr>
          <w:p w14:paraId="528E08FB">
            <w:pPr>
              <w:spacing w:line="300" w:lineRule="exact"/>
              <w:jc w:val="center"/>
              <w:rPr>
                <w:rFonts w:hint="default" w:ascii="Arial" w:hAnsi="宋体" w:eastAsia="宋体" w:cs="Arial"/>
                <w:sz w:val="22"/>
                <w:szCs w:val="22"/>
                <w:lang w:val="en-US" w:eastAsia="zh-CN"/>
              </w:rPr>
            </w:pPr>
            <w:r>
              <w:rPr>
                <w:rFonts w:hint="eastAsia" w:ascii="Arial" w:hAnsi="宋体" w:cs="Arial"/>
                <w:sz w:val="22"/>
                <w:szCs w:val="22"/>
                <w:lang w:val="en-US" w:eastAsia="zh-CN"/>
              </w:rPr>
              <w:t>6~12.5</w:t>
            </w:r>
          </w:p>
        </w:tc>
      </w:tr>
      <w:tr w14:paraId="79ED05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1259" w:type="dxa"/>
            <w:noWrap w:val="0"/>
            <w:vAlign w:val="center"/>
          </w:tcPr>
          <w:p w14:paraId="66D891BE">
            <w:pPr>
              <w:spacing w:line="300" w:lineRule="exact"/>
              <w:jc w:val="center"/>
              <w:rPr>
                <w:rFonts w:hint="eastAsia" w:ascii="Arial" w:hAnsi="宋体" w:cs="Arial"/>
                <w:sz w:val="22"/>
                <w:szCs w:val="22"/>
              </w:rPr>
            </w:pPr>
            <w:r>
              <w:rPr>
                <w:rFonts w:hint="eastAsia" w:ascii="Arial" w:hAnsi="宋体" w:cs="Arial"/>
                <w:sz w:val="22"/>
                <w:szCs w:val="22"/>
              </w:rPr>
              <w:t>蔬菜</w:t>
            </w:r>
          </w:p>
        </w:tc>
        <w:tc>
          <w:tcPr>
            <w:tcW w:w="2140" w:type="dxa"/>
            <w:noWrap w:val="0"/>
            <w:vAlign w:val="center"/>
          </w:tcPr>
          <w:p w14:paraId="6E175F97">
            <w:pPr>
              <w:spacing w:line="300" w:lineRule="exact"/>
              <w:jc w:val="center"/>
              <w:rPr>
                <w:rFonts w:hint="eastAsia" w:ascii="Arial" w:hAnsi="宋体" w:cs="Arial"/>
                <w:sz w:val="22"/>
                <w:szCs w:val="22"/>
              </w:rPr>
            </w:pPr>
            <w:r>
              <w:rPr>
                <w:rFonts w:hint="eastAsia" w:ascii="Arial" w:hAnsi="宋体" w:cs="Arial"/>
                <w:sz w:val="22"/>
                <w:szCs w:val="22"/>
              </w:rPr>
              <w:t>春季2月~4月</w:t>
            </w:r>
          </w:p>
          <w:p w14:paraId="67CFE007">
            <w:pPr>
              <w:spacing w:line="300" w:lineRule="exact"/>
              <w:jc w:val="center"/>
              <w:rPr>
                <w:rFonts w:hint="eastAsia" w:ascii="Arial" w:hAnsi="宋体" w:cs="Arial"/>
                <w:sz w:val="22"/>
                <w:szCs w:val="22"/>
              </w:rPr>
            </w:pPr>
            <w:r>
              <w:rPr>
                <w:rFonts w:hint="eastAsia" w:ascii="Arial" w:hAnsi="宋体" w:cs="Arial"/>
                <w:sz w:val="22"/>
                <w:szCs w:val="22"/>
              </w:rPr>
              <w:t>夏季6月~7月</w:t>
            </w:r>
          </w:p>
          <w:p w14:paraId="0B9864D7">
            <w:pPr>
              <w:spacing w:line="300" w:lineRule="exact"/>
              <w:jc w:val="center"/>
              <w:rPr>
                <w:rFonts w:hint="eastAsia" w:ascii="Arial" w:hAnsi="宋体" w:cs="Arial"/>
                <w:sz w:val="22"/>
                <w:szCs w:val="22"/>
              </w:rPr>
            </w:pPr>
            <w:r>
              <w:rPr>
                <w:rFonts w:hint="eastAsia" w:ascii="Arial" w:hAnsi="宋体" w:cs="Arial"/>
                <w:sz w:val="22"/>
                <w:szCs w:val="22"/>
              </w:rPr>
              <w:t>秋季11月~12月</w:t>
            </w:r>
          </w:p>
        </w:tc>
        <w:tc>
          <w:tcPr>
            <w:tcW w:w="2975" w:type="dxa"/>
            <w:noWrap w:val="0"/>
            <w:vAlign w:val="center"/>
          </w:tcPr>
          <w:p w14:paraId="3CEBABD8">
            <w:pPr>
              <w:spacing w:line="300" w:lineRule="exact"/>
              <w:jc w:val="center"/>
              <w:rPr>
                <w:rFonts w:hint="eastAsia" w:ascii="Arial" w:hAnsi="宋体" w:cs="Arial"/>
                <w:sz w:val="22"/>
                <w:szCs w:val="22"/>
              </w:rPr>
            </w:pPr>
            <w:r>
              <w:rPr>
                <w:rFonts w:hint="eastAsia" w:ascii="Arial" w:hAnsi="宋体" w:cs="Arial"/>
                <w:sz w:val="22"/>
                <w:szCs w:val="22"/>
              </w:rPr>
              <w:t>5~8</w:t>
            </w:r>
          </w:p>
        </w:tc>
        <w:tc>
          <w:tcPr>
            <w:tcW w:w="2124" w:type="dxa"/>
            <w:noWrap w:val="0"/>
            <w:vAlign w:val="center"/>
          </w:tcPr>
          <w:p w14:paraId="31C38739">
            <w:pPr>
              <w:spacing w:line="300" w:lineRule="exact"/>
              <w:jc w:val="center"/>
              <w:rPr>
                <w:rFonts w:hint="eastAsia" w:ascii="Arial" w:hAnsi="宋体" w:cs="Arial"/>
                <w:sz w:val="22"/>
                <w:szCs w:val="22"/>
                <w:lang w:val="en-US" w:eastAsia="zh-CN"/>
              </w:rPr>
            </w:pPr>
            <w:r>
              <w:rPr>
                <w:rFonts w:hint="eastAsia" w:ascii="Arial" w:hAnsi="宋体" w:cs="Arial"/>
                <w:sz w:val="22"/>
                <w:szCs w:val="22"/>
                <w:lang w:val="en-US" w:eastAsia="zh-CN"/>
              </w:rPr>
              <w:t>7.9~17.0</w:t>
            </w:r>
          </w:p>
          <w:p w14:paraId="4D29A1F0">
            <w:pPr>
              <w:spacing w:line="300" w:lineRule="exact"/>
              <w:jc w:val="center"/>
              <w:rPr>
                <w:rFonts w:hint="eastAsia" w:ascii="Arial" w:hAnsi="宋体" w:cs="Arial"/>
                <w:sz w:val="22"/>
                <w:szCs w:val="22"/>
                <w:lang w:val="en-US" w:eastAsia="zh-CN"/>
              </w:rPr>
            </w:pPr>
            <w:r>
              <w:rPr>
                <w:rFonts w:hint="eastAsia" w:ascii="Arial" w:hAnsi="宋体" w:cs="Arial"/>
                <w:sz w:val="22"/>
                <w:szCs w:val="22"/>
                <w:lang w:val="en-US" w:eastAsia="zh-CN"/>
              </w:rPr>
              <w:t>14.4~27.0</w:t>
            </w:r>
          </w:p>
          <w:p w14:paraId="5BD64321">
            <w:pPr>
              <w:spacing w:line="300" w:lineRule="exact"/>
              <w:jc w:val="center"/>
              <w:rPr>
                <w:rFonts w:hint="default" w:ascii="Arial" w:hAnsi="宋体" w:cs="Arial"/>
                <w:sz w:val="22"/>
                <w:szCs w:val="22"/>
                <w:lang w:val="en-US" w:eastAsia="zh-CN"/>
              </w:rPr>
            </w:pPr>
            <w:r>
              <w:rPr>
                <w:rFonts w:hint="eastAsia" w:ascii="Arial" w:hAnsi="宋体" w:cs="Arial"/>
                <w:sz w:val="22"/>
                <w:szCs w:val="22"/>
                <w:lang w:val="en-US" w:eastAsia="zh-CN"/>
              </w:rPr>
              <w:t>8.0~12.8</w:t>
            </w:r>
          </w:p>
        </w:tc>
      </w:tr>
    </w:tbl>
    <w:p w14:paraId="4F2B4E91">
      <w:pPr>
        <w:spacing w:line="460" w:lineRule="exact"/>
        <w:ind w:firstLine="520" w:firstLineChars="200"/>
        <w:rPr>
          <w:rFonts w:ascii="Arial" w:hAnsi="Arial" w:cs="Arial"/>
          <w:sz w:val="26"/>
          <w:szCs w:val="26"/>
        </w:rPr>
      </w:pPr>
      <w:r>
        <w:rPr>
          <w:rFonts w:hint="eastAsia" w:ascii="Arial" w:cs="Arial"/>
          <w:sz w:val="26"/>
          <w:szCs w:val="26"/>
          <w:lang w:eastAsia="zh-CN"/>
        </w:rPr>
        <w:t>海螺沟</w:t>
      </w:r>
      <w:r>
        <w:rPr>
          <w:rFonts w:ascii="Arial" w:cs="Arial"/>
          <w:sz w:val="26"/>
          <w:szCs w:val="26"/>
        </w:rPr>
        <w:t>水库设计初期考虑了低温水对各种拟种植作物的生长影响，充分考虑到各种作物灌溉制度及各生长期内灌水温度需求，采取了分层取水措施。根据预测，水库取水水温基本能满足相应月份各农作物生长的需要，由于农作物生长期间主要集中在春、夏季，气温较高，且通过长距离的管道运输再到田间，可以增加水温，</w:t>
      </w:r>
      <w:r>
        <w:rPr>
          <w:rFonts w:hint="eastAsia" w:ascii="Arial" w:cs="Arial"/>
          <w:sz w:val="26"/>
          <w:szCs w:val="26"/>
        </w:rPr>
        <w:t>减缓</w:t>
      </w:r>
      <w:r>
        <w:rPr>
          <w:rFonts w:ascii="Arial" w:cs="Arial"/>
          <w:sz w:val="26"/>
          <w:szCs w:val="26"/>
        </w:rPr>
        <w:t>低温水</w:t>
      </w:r>
      <w:r>
        <w:rPr>
          <w:rFonts w:hint="eastAsia" w:ascii="Arial" w:cs="Arial"/>
          <w:sz w:val="26"/>
          <w:szCs w:val="26"/>
        </w:rPr>
        <w:t>对灌区农作物的不利</w:t>
      </w:r>
      <w:r>
        <w:rPr>
          <w:rFonts w:ascii="Arial" w:cs="Arial"/>
          <w:sz w:val="26"/>
          <w:szCs w:val="26"/>
        </w:rPr>
        <w:t>影响</w:t>
      </w:r>
      <w:r>
        <w:rPr>
          <w:rFonts w:hint="eastAsia" w:ascii="Arial" w:cs="Arial"/>
          <w:sz w:val="26"/>
          <w:szCs w:val="26"/>
        </w:rPr>
        <w:t>。由此可见，</w:t>
      </w:r>
      <w:r>
        <w:rPr>
          <w:rFonts w:hint="eastAsia" w:ascii="Arial" w:cs="Arial"/>
          <w:sz w:val="26"/>
          <w:szCs w:val="26"/>
          <w:lang w:eastAsia="zh-CN"/>
        </w:rPr>
        <w:t>海螺沟</w:t>
      </w:r>
      <w:r>
        <w:rPr>
          <w:rFonts w:ascii="Arial" w:cs="Arial"/>
          <w:sz w:val="26"/>
          <w:szCs w:val="26"/>
        </w:rPr>
        <w:t>水库水温分层对灌区农作物的影响</w:t>
      </w:r>
      <w:r>
        <w:rPr>
          <w:rFonts w:hint="eastAsia" w:ascii="Arial" w:cs="Arial"/>
          <w:sz w:val="26"/>
          <w:szCs w:val="26"/>
        </w:rPr>
        <w:t>较小</w:t>
      </w:r>
      <w:r>
        <w:rPr>
          <w:rFonts w:ascii="Arial" w:cs="Arial"/>
          <w:sz w:val="26"/>
          <w:szCs w:val="26"/>
        </w:rPr>
        <w:t>。</w:t>
      </w:r>
    </w:p>
    <w:p w14:paraId="502476E5">
      <w:pPr>
        <w:spacing w:line="460" w:lineRule="exact"/>
        <w:ind w:firstLine="522" w:firstLineChars="200"/>
        <w:rPr>
          <w:rFonts w:hint="eastAsia" w:ascii="Arial" w:hAnsi="Arial" w:eastAsia="宋体" w:cs="Arial"/>
          <w:b/>
          <w:bCs/>
          <w:color w:val="000000"/>
          <w:sz w:val="26"/>
          <w:szCs w:val="26"/>
          <w:lang w:val="en-US" w:eastAsia="zh-CN"/>
        </w:rPr>
      </w:pPr>
      <w:r>
        <w:rPr>
          <w:rFonts w:hint="default" w:ascii="Arial" w:hAnsi="Arial" w:eastAsia="宋体" w:cs="Arial"/>
          <w:b/>
          <w:bCs/>
          <w:color w:val="000000"/>
          <w:sz w:val="26"/>
          <w:szCs w:val="26"/>
          <w:lang w:val="en-US" w:eastAsia="zh-CN"/>
        </w:rPr>
        <w:t>②</w:t>
      </w:r>
      <w:r>
        <w:rPr>
          <w:rFonts w:hint="eastAsia" w:ascii="Arial" w:hAnsi="Arial" w:cs="Arial"/>
          <w:b/>
          <w:bCs/>
          <w:color w:val="000000"/>
          <w:sz w:val="26"/>
          <w:szCs w:val="26"/>
          <w:lang w:val="en-US" w:eastAsia="zh-CN"/>
        </w:rPr>
        <w:t>对坝后水生生态环境的影响</w:t>
      </w:r>
    </w:p>
    <w:p w14:paraId="50F8E3FC">
      <w:pPr>
        <w:spacing w:line="460" w:lineRule="exact"/>
        <w:ind w:firstLine="520" w:firstLineChars="200"/>
        <w:rPr>
          <w:rFonts w:hint="eastAsia" w:ascii="Arial" w:cs="Arial"/>
          <w:sz w:val="26"/>
          <w:szCs w:val="26"/>
          <w:lang w:eastAsia="zh-CN"/>
        </w:rPr>
      </w:pPr>
      <w:r>
        <w:rPr>
          <w:rFonts w:hint="eastAsia" w:ascii="Arial" w:cs="Arial"/>
          <w:sz w:val="26"/>
          <w:szCs w:val="26"/>
          <w:lang w:eastAsia="zh-CN"/>
        </w:rPr>
        <w:t>根据项目初设报告，本项目放水设施兼有下放生态流量的功能，水库利用</w:t>
      </w:r>
      <w:r>
        <w:rPr>
          <w:rFonts w:hint="eastAsia" w:ascii="Arial" w:cs="Arial"/>
          <w:sz w:val="26"/>
          <w:szCs w:val="26"/>
          <w:lang w:val="en-US" w:eastAsia="zh-CN"/>
        </w:rPr>
        <w:t>5层取水管取水后，</w:t>
      </w:r>
      <w:r>
        <w:rPr>
          <w:rFonts w:hint="default" w:ascii="Arial" w:hAnsi="Arial" w:cs="Arial"/>
          <w:sz w:val="26"/>
          <w:szCs w:val="26"/>
        </w:rPr>
        <w:t>汇合成一根引水管，引水管沿大坝下游坝坡左侧坝脚布置，</w:t>
      </w:r>
      <w:r>
        <w:rPr>
          <w:rFonts w:hint="eastAsia" w:ascii="Arial" w:hAnsi="Arial" w:cs="Arial"/>
          <w:sz w:val="26"/>
          <w:szCs w:val="26"/>
          <w:lang w:eastAsia="zh-CN"/>
        </w:rPr>
        <w:t>引入闸阀房内，</w:t>
      </w:r>
      <w:r>
        <w:rPr>
          <w:rFonts w:hint="eastAsia" w:ascii="Arial" w:cs="Arial"/>
          <w:sz w:val="26"/>
          <w:szCs w:val="26"/>
          <w:lang w:eastAsia="zh-CN"/>
        </w:rPr>
        <w:t>充分混合后，根据用水性质分类，室内分设3根管道，其中一根为DN</w:t>
      </w:r>
      <w:r>
        <w:rPr>
          <w:rFonts w:hint="eastAsia" w:ascii="Arial" w:cs="Arial"/>
          <w:sz w:val="26"/>
          <w:szCs w:val="26"/>
          <w:lang w:val="en-US" w:eastAsia="zh-CN"/>
        </w:rPr>
        <w:t>1</w:t>
      </w:r>
      <w:r>
        <w:rPr>
          <w:rFonts w:hint="eastAsia" w:ascii="Arial" w:cs="Arial"/>
          <w:sz w:val="26"/>
          <w:szCs w:val="26"/>
          <w:lang w:eastAsia="zh-CN"/>
        </w:rPr>
        <w:t>00生态放水管。</w:t>
      </w:r>
    </w:p>
    <w:p w14:paraId="2D1C6AF3">
      <w:pPr>
        <w:spacing w:line="460" w:lineRule="exact"/>
        <w:ind w:firstLine="520" w:firstLineChars="200"/>
        <w:rPr>
          <w:rFonts w:hint="eastAsia" w:ascii="Arial" w:cs="Arial"/>
          <w:sz w:val="26"/>
          <w:szCs w:val="26"/>
          <w:lang w:eastAsia="zh-CN"/>
        </w:rPr>
      </w:pPr>
      <w:r>
        <w:rPr>
          <w:rFonts w:hint="eastAsia" w:ascii="Arial" w:cs="Arial"/>
          <w:sz w:val="26"/>
          <w:szCs w:val="26"/>
          <w:lang w:eastAsia="zh-CN"/>
        </w:rPr>
        <w:t>由此可见，本项目下泄生态流量为经混合后的库区蓄水，而不是简易的直接下泄最底层水，有效避免了低温水下泄对坝后水生生态环境的影响。且根据现有资料收集，及走访调查，海螺沟水库坝后减水河段内水深较浅、水体交换频率高，对水生生物的生境改变小；且鱼类资源以鲤型目为主，无珍稀鱼类、鱼类“三场”分布，对水温变化适应能力强。</w:t>
      </w:r>
    </w:p>
    <w:p w14:paraId="5177701C">
      <w:pPr>
        <w:spacing w:line="460" w:lineRule="exact"/>
        <w:ind w:firstLine="520" w:firstLineChars="200"/>
        <w:rPr>
          <w:rFonts w:hint="eastAsia" w:ascii="Arial" w:cs="Arial"/>
          <w:sz w:val="26"/>
          <w:szCs w:val="26"/>
          <w:lang w:eastAsia="zh-CN"/>
        </w:rPr>
      </w:pPr>
      <w:r>
        <w:rPr>
          <w:rFonts w:hint="eastAsia" w:ascii="Arial" w:cs="Arial"/>
          <w:sz w:val="26"/>
          <w:szCs w:val="26"/>
          <w:lang w:eastAsia="zh-CN"/>
        </w:rPr>
        <w:t>由此可见，在采取下泄混合后的水库蓄水后，对坝后减水河段内水生生物的影响小。</w:t>
      </w:r>
    </w:p>
    <w:p w14:paraId="1B40D027">
      <w:pPr>
        <w:spacing w:line="460" w:lineRule="exact"/>
        <w:ind w:firstLine="522" w:firstLineChars="200"/>
        <w:rPr>
          <w:rFonts w:hint="eastAsia" w:ascii="Arial" w:hAnsi="宋体" w:cs="Arial"/>
          <w:sz w:val="26"/>
          <w:szCs w:val="26"/>
        </w:rPr>
      </w:pPr>
      <w:r>
        <w:rPr>
          <w:rFonts w:hint="eastAsia" w:ascii="Arial" w:hAnsi="Arial" w:eastAsia="宋体" w:cs="Arial"/>
          <w:b/>
          <w:bCs/>
          <w:color w:val="000000"/>
          <w:sz w:val="26"/>
          <w:szCs w:val="26"/>
          <w:lang w:val="en-US" w:eastAsia="zh-CN"/>
        </w:rPr>
        <w:t>6.5.</w:t>
      </w:r>
      <w:r>
        <w:rPr>
          <w:rFonts w:hint="eastAsia" w:ascii="Arial" w:hAnsi="Arial" w:cs="Arial"/>
          <w:b/>
          <w:bCs/>
          <w:color w:val="000000"/>
          <w:sz w:val="26"/>
          <w:szCs w:val="26"/>
          <w:lang w:val="en-US" w:eastAsia="zh-CN"/>
        </w:rPr>
        <w:t>5</w:t>
      </w:r>
      <w:r>
        <w:rPr>
          <w:rFonts w:hint="eastAsia" w:ascii="Arial" w:hAnsi="Arial" w:eastAsia="宋体" w:cs="Arial"/>
          <w:b/>
          <w:bCs/>
          <w:color w:val="000000"/>
          <w:sz w:val="26"/>
          <w:szCs w:val="26"/>
          <w:lang w:val="en-US" w:eastAsia="zh-CN"/>
        </w:rPr>
        <w:t>对</w:t>
      </w:r>
      <w:r>
        <w:rPr>
          <w:rFonts w:hint="eastAsia" w:ascii="Arial" w:hAnsi="Arial" w:cs="Arial"/>
          <w:b/>
          <w:bCs/>
          <w:color w:val="000000"/>
          <w:sz w:val="26"/>
          <w:szCs w:val="26"/>
          <w:lang w:val="en-US" w:eastAsia="zh-CN"/>
        </w:rPr>
        <w:t>库区水质</w:t>
      </w:r>
      <w:r>
        <w:rPr>
          <w:rFonts w:hint="eastAsia" w:ascii="Arial" w:hAnsi="Arial" w:eastAsia="宋体" w:cs="Arial"/>
          <w:b/>
          <w:bCs/>
          <w:color w:val="000000"/>
          <w:sz w:val="26"/>
          <w:szCs w:val="26"/>
          <w:lang w:val="en-US" w:eastAsia="zh-CN"/>
        </w:rPr>
        <w:t>的影响</w:t>
      </w:r>
    </w:p>
    <w:p w14:paraId="274AD1B9">
      <w:pPr>
        <w:spacing w:line="460" w:lineRule="exact"/>
        <w:ind w:firstLine="392" w:firstLineChars="150"/>
        <w:rPr>
          <w:rFonts w:hint="eastAsia" w:ascii="Arial" w:hAnsi="宋体" w:eastAsia="宋体" w:cs="Arial"/>
          <w:b/>
          <w:sz w:val="26"/>
          <w:szCs w:val="26"/>
          <w:lang w:eastAsia="zh-CN"/>
        </w:rPr>
      </w:pPr>
      <w:r>
        <w:rPr>
          <w:rFonts w:hint="eastAsia" w:ascii="Arial" w:hAnsi="宋体" w:cs="Arial"/>
          <w:b/>
          <w:sz w:val="26"/>
          <w:szCs w:val="26"/>
        </w:rPr>
        <w:t>（</w:t>
      </w:r>
      <w:r>
        <w:rPr>
          <w:rFonts w:hint="eastAsia" w:ascii="Arial" w:hAnsi="宋体" w:cs="Arial"/>
          <w:b/>
          <w:sz w:val="26"/>
          <w:szCs w:val="26"/>
          <w:lang w:val="en-US" w:eastAsia="zh-CN"/>
        </w:rPr>
        <w:t>1</w:t>
      </w:r>
      <w:r>
        <w:rPr>
          <w:rFonts w:hint="eastAsia" w:ascii="Arial" w:hAnsi="宋体" w:cs="Arial"/>
          <w:b/>
          <w:sz w:val="26"/>
          <w:szCs w:val="26"/>
        </w:rPr>
        <w:t>）</w:t>
      </w:r>
      <w:r>
        <w:rPr>
          <w:rFonts w:hint="eastAsia" w:ascii="Arial" w:hAnsi="宋体" w:cs="Arial"/>
          <w:b/>
          <w:sz w:val="26"/>
          <w:szCs w:val="26"/>
          <w:lang w:eastAsia="zh-CN"/>
        </w:rPr>
        <w:t>工程排水对库区水质的影响</w:t>
      </w:r>
    </w:p>
    <w:p w14:paraId="342F570E">
      <w:pPr>
        <w:spacing w:line="460" w:lineRule="exact"/>
        <w:ind w:firstLine="520" w:firstLineChars="200"/>
        <w:rPr>
          <w:rFonts w:hint="eastAsia" w:ascii="Arial" w:hAnsi="宋体" w:cs="Arial"/>
          <w:sz w:val="26"/>
          <w:szCs w:val="26"/>
        </w:rPr>
      </w:pPr>
      <w:r>
        <w:rPr>
          <w:rFonts w:hint="eastAsia" w:ascii="Arial" w:hAnsi="宋体" w:cs="Arial"/>
          <w:sz w:val="26"/>
          <w:szCs w:val="26"/>
        </w:rPr>
        <w:t>项目建成后，营运期污废水主要来源于水库管理机构职工生活废水，废水量为</w:t>
      </w:r>
      <w:r>
        <w:rPr>
          <w:rFonts w:hint="eastAsia" w:ascii="Arial" w:hAnsi="宋体" w:cs="Arial"/>
          <w:sz w:val="26"/>
          <w:szCs w:val="26"/>
          <w:lang w:val="en-US" w:eastAsia="zh-CN"/>
        </w:rPr>
        <w:t>0.54</w:t>
      </w:r>
      <w:r>
        <w:rPr>
          <w:rFonts w:ascii="Arial" w:hAnsi="宋体" w:cs="Arial"/>
          <w:sz w:val="26"/>
          <w:szCs w:val="26"/>
        </w:rPr>
        <w:t>m</w:t>
      </w:r>
      <w:r>
        <w:rPr>
          <w:rFonts w:ascii="Arial" w:hAnsi="宋体" w:cs="Arial"/>
          <w:sz w:val="26"/>
          <w:szCs w:val="26"/>
          <w:vertAlign w:val="superscript"/>
        </w:rPr>
        <w:t>3</w:t>
      </w:r>
      <w:r>
        <w:rPr>
          <w:rFonts w:ascii="Arial" w:hAnsi="宋体" w:cs="Arial"/>
          <w:sz w:val="26"/>
          <w:szCs w:val="26"/>
        </w:rPr>
        <w:t>/d</w:t>
      </w:r>
      <w:r>
        <w:rPr>
          <w:rFonts w:hint="eastAsia" w:ascii="Arial" w:hAnsi="宋体" w:cs="Arial"/>
          <w:sz w:val="26"/>
          <w:szCs w:val="26"/>
        </w:rPr>
        <w:t>，产生的生活废水较少，设置化粪池进行处理，</w:t>
      </w:r>
      <w:r>
        <w:rPr>
          <w:rFonts w:hint="eastAsia" w:ascii="Arial" w:hAnsi="宋体" w:cs="Arial"/>
          <w:sz w:val="26"/>
          <w:szCs w:val="26"/>
          <w:lang w:eastAsia="zh-CN"/>
        </w:rPr>
        <w:t>交附近居民作农肥</w:t>
      </w:r>
      <w:r>
        <w:rPr>
          <w:rFonts w:hint="eastAsia" w:ascii="Arial" w:hAnsi="宋体" w:cs="Arial"/>
          <w:sz w:val="26"/>
          <w:szCs w:val="26"/>
        </w:rPr>
        <w:t>，不外排，</w:t>
      </w:r>
      <w:r>
        <w:rPr>
          <w:rFonts w:hint="eastAsia" w:ascii="Arial" w:hAnsi="宋体" w:cs="Arial"/>
          <w:sz w:val="26"/>
          <w:szCs w:val="26"/>
          <w:lang w:eastAsia="zh-CN"/>
        </w:rPr>
        <w:t>不会对库区水质造成污染</w:t>
      </w:r>
      <w:r>
        <w:rPr>
          <w:rFonts w:hint="eastAsia" w:ascii="Arial" w:hAnsi="宋体" w:cs="Arial"/>
          <w:sz w:val="26"/>
          <w:szCs w:val="26"/>
        </w:rPr>
        <w:t>。</w:t>
      </w:r>
    </w:p>
    <w:p w14:paraId="05127C23">
      <w:pPr>
        <w:spacing w:line="460" w:lineRule="exact"/>
        <w:ind w:firstLine="392" w:firstLineChars="150"/>
        <w:rPr>
          <w:rFonts w:hint="eastAsia" w:ascii="Arial" w:hAnsi="宋体" w:eastAsia="宋体" w:cs="Arial"/>
          <w:b/>
          <w:sz w:val="26"/>
          <w:szCs w:val="26"/>
          <w:lang w:eastAsia="zh-CN"/>
        </w:rPr>
      </w:pPr>
      <w:r>
        <w:rPr>
          <w:rFonts w:hint="eastAsia" w:ascii="Arial" w:hAnsi="宋体" w:cs="Arial"/>
          <w:b/>
          <w:sz w:val="26"/>
          <w:szCs w:val="26"/>
        </w:rPr>
        <w:t>（</w:t>
      </w:r>
      <w:r>
        <w:rPr>
          <w:rFonts w:hint="eastAsia" w:ascii="Arial" w:hAnsi="宋体" w:cs="Arial"/>
          <w:b/>
          <w:sz w:val="26"/>
          <w:szCs w:val="26"/>
          <w:lang w:val="en-US" w:eastAsia="zh-CN"/>
        </w:rPr>
        <w:t>2</w:t>
      </w:r>
      <w:r>
        <w:rPr>
          <w:rFonts w:hint="eastAsia" w:ascii="Arial" w:hAnsi="宋体" w:cs="Arial"/>
          <w:b/>
          <w:sz w:val="26"/>
          <w:szCs w:val="26"/>
        </w:rPr>
        <w:t>）</w:t>
      </w:r>
      <w:r>
        <w:rPr>
          <w:rFonts w:hint="eastAsia" w:ascii="Arial" w:hAnsi="宋体" w:cs="Arial"/>
          <w:b/>
          <w:sz w:val="26"/>
          <w:szCs w:val="26"/>
          <w:lang w:eastAsia="zh-CN"/>
        </w:rPr>
        <w:t>集雨范围内污染源汇集对库区水质的影响</w:t>
      </w:r>
    </w:p>
    <w:p w14:paraId="5DC838FE">
      <w:pPr>
        <w:spacing w:line="460" w:lineRule="exact"/>
        <w:ind w:firstLine="520" w:firstLineChars="200"/>
        <w:rPr>
          <w:rFonts w:hint="eastAsia" w:ascii="Arial" w:hAnsi="宋体" w:cs="Arial"/>
          <w:sz w:val="26"/>
          <w:szCs w:val="26"/>
        </w:rPr>
      </w:pPr>
      <w:r>
        <w:rPr>
          <w:rFonts w:hint="eastAsia" w:ascii="Arial" w:hAnsi="宋体" w:cs="Arial"/>
          <w:sz w:val="26"/>
          <w:szCs w:val="26"/>
          <w:lang w:eastAsia="zh-CN"/>
        </w:rPr>
        <w:t>本项目</w:t>
      </w:r>
      <w:r>
        <w:rPr>
          <w:rFonts w:hint="eastAsia" w:ascii="Arial" w:hAnsi="宋体" w:cs="Arial"/>
          <w:sz w:val="26"/>
          <w:szCs w:val="26"/>
        </w:rPr>
        <w:t>坝址上游集雨范围内无工矿企业、污水处理厂等点源污染源分布，有1处</w:t>
      </w:r>
      <w:r>
        <w:rPr>
          <w:rFonts w:hint="eastAsia" w:ascii="Arial" w:hAnsi="宋体" w:cs="Arial"/>
          <w:sz w:val="26"/>
          <w:szCs w:val="26"/>
          <w:lang w:eastAsia="zh-CN"/>
        </w:rPr>
        <w:t>家庭式肉牛圈养点</w:t>
      </w:r>
      <w:r>
        <w:rPr>
          <w:rFonts w:hint="eastAsia" w:ascii="Arial" w:hAnsi="宋体" w:cs="Arial"/>
          <w:sz w:val="26"/>
          <w:szCs w:val="26"/>
        </w:rPr>
        <w:t>。集雨范围内主要为耕地、林地，分布有较多的居民点，故主要为农业面源污染、畜禽废水和农村生活污水，其中畜禽废水和农村生活污水大部分经旱厕收集后用作农肥，污染物排放量</w:t>
      </w:r>
      <w:r>
        <w:rPr>
          <w:rFonts w:hint="eastAsia" w:ascii="Arial" w:hAnsi="宋体" w:cs="Arial"/>
          <w:sz w:val="26"/>
          <w:szCs w:val="26"/>
          <w:lang w:eastAsia="zh-CN"/>
        </w:rPr>
        <w:t>较小</w:t>
      </w:r>
      <w:r>
        <w:rPr>
          <w:rFonts w:hint="eastAsia" w:ascii="Arial" w:hAnsi="宋体" w:cs="Arial"/>
          <w:sz w:val="26"/>
          <w:szCs w:val="26"/>
        </w:rPr>
        <w:t>。</w:t>
      </w:r>
    </w:p>
    <w:p w14:paraId="00131D02">
      <w:pPr>
        <w:spacing w:line="460" w:lineRule="exact"/>
        <w:ind w:firstLine="520" w:firstLineChars="200"/>
        <w:rPr>
          <w:rFonts w:hint="eastAsia" w:ascii="Arial" w:hAnsi="宋体" w:cs="Arial"/>
          <w:sz w:val="26"/>
          <w:szCs w:val="26"/>
          <w:lang w:eastAsia="zh-CN"/>
        </w:rPr>
      </w:pPr>
      <w:r>
        <w:rPr>
          <w:rFonts w:hint="eastAsia" w:ascii="Arial" w:hAnsi="宋体" w:cs="Arial"/>
          <w:color w:val="auto"/>
          <w:sz w:val="26"/>
          <w:szCs w:val="26"/>
        </w:rPr>
        <w:t>水库蓄水前按要求进行库底清理，</w:t>
      </w:r>
      <w:r>
        <w:rPr>
          <w:rFonts w:hint="eastAsia" w:ascii="Arial" w:hAnsi="Arial" w:eastAsia="宋体" w:cs="Arial"/>
          <w:color w:val="auto"/>
          <w:sz w:val="26"/>
          <w:szCs w:val="26"/>
          <w:lang w:eastAsia="zh-CN"/>
        </w:rPr>
        <w:t>运营期具有人饮供水功能，将根据《饮用水水源保护区划分技术规范》（</w:t>
      </w:r>
      <w:r>
        <w:rPr>
          <w:rFonts w:hint="eastAsia" w:ascii="Arial" w:hAnsi="Arial" w:eastAsia="宋体" w:cs="Arial"/>
          <w:color w:val="auto"/>
          <w:sz w:val="26"/>
          <w:szCs w:val="26"/>
          <w:lang w:val="en-US" w:eastAsia="zh-CN"/>
        </w:rPr>
        <w:t>HJ338-2018）中相关要求划定饮用水水源保护区，</w:t>
      </w:r>
      <w:r>
        <w:rPr>
          <w:rFonts w:hint="eastAsia" w:ascii="Arial" w:hAnsi="Arial" w:cs="Arial"/>
          <w:color w:val="auto"/>
          <w:sz w:val="26"/>
          <w:szCs w:val="26"/>
          <w:lang w:eastAsia="zh-CN"/>
        </w:rPr>
        <w:t>并将</w:t>
      </w:r>
      <w:r>
        <w:rPr>
          <w:rFonts w:hint="eastAsia" w:ascii="Arial" w:hAnsi="Arial" w:eastAsia="宋体" w:cs="Arial"/>
          <w:color w:val="auto"/>
          <w:sz w:val="26"/>
          <w:szCs w:val="26"/>
          <w:lang w:eastAsia="zh-CN"/>
        </w:rPr>
        <w:t>按照《中华人民共和国水污染防治法》、《重庆市饮用水源污染防治办法》等相关规定，对海螺沟水库所划定的饮用水源保护区进行严格管控，其集雨范围内将不会新增排污源，入库污染物将得到控制，坝址以上污染源</w:t>
      </w:r>
      <w:r>
        <w:rPr>
          <w:rFonts w:hint="eastAsia" w:ascii="Arial" w:hAnsi="Arial" w:cs="Arial"/>
          <w:color w:val="auto"/>
          <w:sz w:val="26"/>
          <w:szCs w:val="26"/>
          <w:lang w:eastAsia="zh-CN"/>
        </w:rPr>
        <w:t>可在现有水平上进一步降低</w:t>
      </w:r>
      <w:r>
        <w:rPr>
          <w:rFonts w:hint="eastAsia" w:ascii="Arial" w:hAnsi="宋体" w:cs="Arial"/>
          <w:sz w:val="26"/>
          <w:szCs w:val="26"/>
        </w:rPr>
        <w:t>，对水库水质影响较小。</w:t>
      </w:r>
    </w:p>
    <w:p w14:paraId="76A7022C">
      <w:pPr>
        <w:spacing w:line="460" w:lineRule="exact"/>
        <w:ind w:firstLine="392" w:firstLineChars="150"/>
        <w:rPr>
          <w:rFonts w:hint="eastAsia" w:ascii="Arial" w:hAnsi="宋体" w:eastAsia="宋体" w:cs="Arial"/>
          <w:b/>
          <w:sz w:val="26"/>
          <w:szCs w:val="26"/>
          <w:lang w:eastAsia="zh-CN"/>
        </w:rPr>
      </w:pPr>
      <w:r>
        <w:rPr>
          <w:rFonts w:hint="eastAsia" w:ascii="Arial" w:hAnsi="宋体" w:cs="Arial"/>
          <w:b/>
          <w:sz w:val="26"/>
          <w:szCs w:val="26"/>
          <w:lang w:eastAsia="zh-CN"/>
        </w:rPr>
        <w:t>（</w:t>
      </w:r>
      <w:r>
        <w:rPr>
          <w:rFonts w:hint="eastAsia" w:ascii="Arial" w:hAnsi="宋体" w:cs="Arial"/>
          <w:b/>
          <w:sz w:val="26"/>
          <w:szCs w:val="26"/>
          <w:lang w:val="en-US" w:eastAsia="zh-CN"/>
        </w:rPr>
        <w:t>3）</w:t>
      </w:r>
      <w:r>
        <w:rPr>
          <w:rFonts w:hint="eastAsia" w:ascii="Arial" w:hAnsi="宋体" w:cs="Arial"/>
          <w:b/>
          <w:sz w:val="26"/>
          <w:szCs w:val="26"/>
          <w:lang w:eastAsia="zh-CN"/>
        </w:rPr>
        <w:t>库区富营养化的影响</w:t>
      </w:r>
    </w:p>
    <w:p w14:paraId="5D57EE78">
      <w:pPr>
        <w:spacing w:line="460" w:lineRule="exact"/>
        <w:ind w:firstLine="520" w:firstLineChars="200"/>
        <w:rPr>
          <w:rFonts w:hint="eastAsia" w:ascii="Arial" w:hAnsi="宋体" w:cs="Arial"/>
          <w:sz w:val="26"/>
          <w:szCs w:val="26"/>
          <w:lang w:eastAsia="zh-CN"/>
        </w:rPr>
      </w:pPr>
      <w:r>
        <w:rPr>
          <w:rFonts w:hint="eastAsia" w:ascii="Arial" w:hAnsi="宋体" w:cs="Arial"/>
          <w:sz w:val="26"/>
          <w:szCs w:val="26"/>
        </w:rPr>
        <w:t>富营养化是由于水体整个环境系统出现失衡，导致某种优势藻类大量繁殖生长的过程。水库富营养化与进入水库内的营养物质、水库所在的地形、地貌、水文、气象条件的光照、气温以及水体中生物种类、生物量、生产力水平等多种因子有关，总之导致水库富营养化的营养因子、营养负荷与营养响应之间关系十分复杂。目前公认引起富营养化的主要因子是氮和磷。</w:t>
      </w:r>
    </w:p>
    <w:p w14:paraId="21546E56">
      <w:pPr>
        <w:spacing w:line="460" w:lineRule="exact"/>
        <w:ind w:firstLine="520" w:firstLineChars="200"/>
        <w:rPr>
          <w:rFonts w:hint="default" w:ascii="Arial" w:hAnsi="宋体" w:cs="Arial"/>
          <w:sz w:val="26"/>
          <w:szCs w:val="26"/>
          <w:lang w:val="en-US" w:eastAsia="zh-CN"/>
        </w:rPr>
      </w:pPr>
      <w:r>
        <w:rPr>
          <w:rFonts w:hint="eastAsia" w:ascii="Arial" w:hAnsi="宋体" w:cs="Arial"/>
          <w:sz w:val="26"/>
          <w:szCs w:val="26"/>
          <w:lang w:eastAsia="zh-CN"/>
        </w:rPr>
        <w:t>海螺沟水库坝址上游集雨面积约</w:t>
      </w:r>
      <w:r>
        <w:rPr>
          <w:rFonts w:hint="eastAsia" w:ascii="Arial" w:hAnsi="宋体" w:cs="Arial"/>
          <w:sz w:val="26"/>
          <w:szCs w:val="26"/>
          <w:lang w:val="en-US" w:eastAsia="zh-CN"/>
        </w:rPr>
        <w:t>2.04km</w:t>
      </w:r>
      <w:r>
        <w:rPr>
          <w:rFonts w:hint="eastAsia" w:ascii="Arial" w:hAnsi="宋体" w:cs="Arial"/>
          <w:sz w:val="26"/>
          <w:szCs w:val="26"/>
          <w:vertAlign w:val="superscript"/>
          <w:lang w:val="en-US" w:eastAsia="zh-CN"/>
        </w:rPr>
        <w:t>2</w:t>
      </w:r>
      <w:r>
        <w:rPr>
          <w:rFonts w:hint="eastAsia" w:ascii="Arial" w:hAnsi="宋体" w:cs="Arial"/>
          <w:sz w:val="26"/>
          <w:szCs w:val="26"/>
          <w:lang w:val="en-US" w:eastAsia="zh-CN"/>
        </w:rPr>
        <w:t>，多分布有农耕地，农肥灌溉后随雨水进入库区。</w:t>
      </w:r>
      <w:r>
        <w:rPr>
          <w:rFonts w:ascii="Arial" w:cs="Arial"/>
          <w:sz w:val="26"/>
          <w:szCs w:val="26"/>
        </w:rPr>
        <w:t>水库蓄水后，库内水位将抬高，会使库区内水流速度减缓，污染物降解速度减缓，且污染物在库区内的停留时间变长，</w:t>
      </w:r>
      <w:r>
        <w:rPr>
          <w:rFonts w:hint="eastAsia" w:ascii="Arial" w:cs="Arial"/>
          <w:sz w:val="26"/>
          <w:szCs w:val="26"/>
          <w:lang w:eastAsia="zh-CN"/>
        </w:rPr>
        <w:t>会导致</w:t>
      </w:r>
      <w:r>
        <w:rPr>
          <w:rFonts w:ascii="Arial" w:hAnsi="Arial" w:cs="Arial"/>
          <w:sz w:val="26"/>
          <w:szCs w:val="26"/>
        </w:rPr>
        <w:t>N</w:t>
      </w:r>
      <w:r>
        <w:rPr>
          <w:rFonts w:ascii="Arial" w:cs="Arial"/>
          <w:sz w:val="26"/>
          <w:szCs w:val="26"/>
        </w:rPr>
        <w:t>、</w:t>
      </w:r>
      <w:r>
        <w:rPr>
          <w:rFonts w:ascii="Arial" w:hAnsi="Arial" w:cs="Arial"/>
          <w:sz w:val="26"/>
          <w:szCs w:val="26"/>
        </w:rPr>
        <w:t>P</w:t>
      </w:r>
      <w:r>
        <w:rPr>
          <w:rFonts w:hint="eastAsia" w:ascii="Arial" w:hAnsi="Arial" w:cs="Arial"/>
          <w:sz w:val="26"/>
          <w:szCs w:val="26"/>
          <w:lang w:eastAsia="zh-CN"/>
        </w:rPr>
        <w:t>等</w:t>
      </w:r>
      <w:r>
        <w:rPr>
          <w:rFonts w:ascii="Arial" w:cs="Arial"/>
          <w:sz w:val="26"/>
          <w:szCs w:val="26"/>
        </w:rPr>
        <w:t>营养元素的累积，</w:t>
      </w:r>
      <w:r>
        <w:rPr>
          <w:rFonts w:hint="eastAsia" w:ascii="Arial" w:cs="Arial"/>
          <w:sz w:val="26"/>
          <w:szCs w:val="26"/>
          <w:lang w:eastAsia="zh-CN"/>
        </w:rPr>
        <w:t>造成</w:t>
      </w:r>
      <w:r>
        <w:rPr>
          <w:rFonts w:ascii="Arial" w:cs="Arial"/>
          <w:sz w:val="26"/>
          <w:szCs w:val="26"/>
        </w:rPr>
        <w:t>坝前水库富营养化。</w:t>
      </w:r>
    </w:p>
    <w:p w14:paraId="4144A3F3">
      <w:pPr>
        <w:spacing w:line="460" w:lineRule="exact"/>
        <w:ind w:firstLine="520" w:firstLineChars="200"/>
        <w:rPr>
          <w:rFonts w:hint="eastAsia" w:ascii="Arial" w:hAnsi="Arial" w:cs="Arial"/>
          <w:sz w:val="26"/>
          <w:szCs w:val="26"/>
        </w:rPr>
      </w:pPr>
      <w:r>
        <w:rPr>
          <w:rFonts w:hint="eastAsia" w:ascii="Arial" w:hAnsi="Arial" w:cs="Arial"/>
          <w:sz w:val="26"/>
          <w:szCs w:val="26"/>
        </w:rPr>
        <w:t>本次评价运用沃伦德维经验模型进行</w:t>
      </w:r>
      <w:r>
        <w:rPr>
          <w:rFonts w:ascii="Arial" w:hAnsi="Arial" w:cs="Arial"/>
          <w:sz w:val="26"/>
          <w:szCs w:val="26"/>
        </w:rPr>
        <w:t>TP</w:t>
      </w:r>
      <w:r>
        <w:rPr>
          <w:rFonts w:hint="eastAsia" w:ascii="Arial" w:hAnsi="Arial" w:cs="Arial"/>
          <w:sz w:val="26"/>
          <w:szCs w:val="26"/>
        </w:rPr>
        <w:t>、</w:t>
      </w:r>
      <w:r>
        <w:rPr>
          <w:rFonts w:ascii="Arial" w:hAnsi="Arial" w:cs="Arial"/>
          <w:sz w:val="26"/>
          <w:szCs w:val="26"/>
        </w:rPr>
        <w:t xml:space="preserve">TN </w:t>
      </w:r>
      <w:r>
        <w:rPr>
          <w:rFonts w:hint="eastAsia" w:ascii="Arial" w:hAnsi="Arial" w:cs="Arial"/>
          <w:sz w:val="26"/>
          <w:szCs w:val="26"/>
        </w:rPr>
        <w:t>预测，公式如下：</w:t>
      </w:r>
    </w:p>
    <w:p w14:paraId="1B0AFC94">
      <w:pPr>
        <w:spacing w:line="460" w:lineRule="exact"/>
        <w:ind w:firstLine="420" w:firstLineChars="200"/>
        <w:rPr>
          <w:rFonts w:hint="eastAsia" w:ascii="Arial" w:hAnsi="Arial" w:cs="Arial"/>
          <w:sz w:val="26"/>
          <w:szCs w:val="26"/>
        </w:rPr>
      </w:pPr>
      <w:r>
        <w:drawing>
          <wp:anchor distT="0" distB="0" distL="114300" distR="114300" simplePos="0" relativeHeight="251768832" behindDoc="0" locked="0" layoutInCell="1" allowOverlap="1">
            <wp:simplePos x="0" y="0"/>
            <wp:positionH relativeFrom="column">
              <wp:posOffset>1800225</wp:posOffset>
            </wp:positionH>
            <wp:positionV relativeFrom="paragraph">
              <wp:posOffset>81280</wp:posOffset>
            </wp:positionV>
            <wp:extent cx="1733550" cy="990600"/>
            <wp:effectExtent l="0" t="0" r="0" b="0"/>
            <wp:wrapNone/>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36" r:link="rId37"/>
                    <a:stretch>
                      <a:fillRect/>
                    </a:stretch>
                  </pic:blipFill>
                  <pic:spPr>
                    <a:xfrm>
                      <a:off x="0" y="0"/>
                      <a:ext cx="1733550" cy="990600"/>
                    </a:xfrm>
                    <a:prstGeom prst="rect">
                      <a:avLst/>
                    </a:prstGeom>
                    <a:noFill/>
                    <a:ln>
                      <a:noFill/>
                    </a:ln>
                  </pic:spPr>
                </pic:pic>
              </a:graphicData>
            </a:graphic>
          </wp:anchor>
        </w:drawing>
      </w:r>
    </w:p>
    <w:p w14:paraId="04D47E94">
      <w:pPr>
        <w:widowControl/>
        <w:jc w:val="left"/>
        <w:rPr>
          <w:rFonts w:ascii="宋体" w:hAnsi="宋体" w:cs="宋体"/>
          <w:kern w:val="0"/>
          <w:sz w:val="24"/>
        </w:rPr>
      </w:pPr>
    </w:p>
    <w:p w14:paraId="1EED8E03">
      <w:pPr>
        <w:pStyle w:val="2113"/>
        <w:spacing w:line="460" w:lineRule="exact"/>
        <w:ind w:firstLine="522"/>
        <w:rPr>
          <w:rFonts w:hint="eastAsia" w:ascii="Arial" w:hAnsi="宋体" w:cs="Arial"/>
          <w:b/>
          <w:color w:val="auto"/>
          <w:kern w:val="0"/>
          <w:sz w:val="26"/>
          <w:szCs w:val="26"/>
        </w:rPr>
      </w:pPr>
    </w:p>
    <w:p w14:paraId="55E97F84">
      <w:pPr>
        <w:pStyle w:val="2113"/>
        <w:spacing w:line="460" w:lineRule="exact"/>
        <w:ind w:firstLine="522"/>
        <w:rPr>
          <w:rFonts w:hint="eastAsia" w:ascii="Arial" w:hAnsi="宋体" w:cs="Arial"/>
          <w:b/>
          <w:color w:val="auto"/>
          <w:kern w:val="0"/>
          <w:sz w:val="26"/>
          <w:szCs w:val="26"/>
        </w:rPr>
      </w:pPr>
    </w:p>
    <w:p w14:paraId="6EC3C521">
      <w:pPr>
        <w:spacing w:line="460" w:lineRule="exact"/>
        <w:ind w:firstLine="520" w:firstLineChars="200"/>
        <w:rPr>
          <w:rFonts w:ascii="Arial" w:cs="Arial"/>
          <w:sz w:val="26"/>
          <w:szCs w:val="26"/>
        </w:rPr>
      </w:pPr>
      <w:r>
        <w:rPr>
          <w:rFonts w:hint="eastAsia" w:ascii="Arial" w:cs="Arial"/>
          <w:sz w:val="26"/>
          <w:szCs w:val="26"/>
        </w:rPr>
        <w:t>式中：</w:t>
      </w:r>
      <w:r>
        <w:rPr>
          <w:rFonts w:ascii="Arial" w:cs="Arial"/>
          <w:sz w:val="26"/>
          <w:szCs w:val="26"/>
        </w:rPr>
        <w:t>C—</w:t>
      </w:r>
      <w:r>
        <w:rPr>
          <w:rFonts w:hint="eastAsia" w:ascii="Arial" w:cs="Arial"/>
          <w:sz w:val="26"/>
          <w:szCs w:val="26"/>
        </w:rPr>
        <w:t>湖（库）中磷（氮）的年平均浓度，</w:t>
      </w:r>
      <w:r>
        <w:rPr>
          <w:rFonts w:ascii="Arial" w:cs="Arial"/>
          <w:sz w:val="26"/>
          <w:szCs w:val="26"/>
        </w:rPr>
        <w:t>mg/L</w:t>
      </w:r>
      <w:r>
        <w:rPr>
          <w:rFonts w:hint="eastAsia" w:ascii="Arial" w:cs="Arial"/>
          <w:sz w:val="26"/>
          <w:szCs w:val="26"/>
        </w:rPr>
        <w:t>；</w:t>
      </w:r>
    </w:p>
    <w:p w14:paraId="326A8582">
      <w:pPr>
        <w:spacing w:line="460" w:lineRule="exact"/>
        <w:ind w:firstLine="1300" w:firstLineChars="500"/>
        <w:rPr>
          <w:rFonts w:ascii="Arial" w:cs="Arial"/>
          <w:sz w:val="26"/>
          <w:szCs w:val="26"/>
        </w:rPr>
      </w:pPr>
      <w:r>
        <w:rPr>
          <w:rFonts w:ascii="Arial" w:cs="Arial"/>
          <w:sz w:val="26"/>
          <w:szCs w:val="26"/>
        </w:rPr>
        <w:t>C</w:t>
      </w:r>
      <w:r>
        <w:rPr>
          <w:rFonts w:ascii="Arial" w:cs="Arial"/>
          <w:sz w:val="26"/>
          <w:szCs w:val="26"/>
          <w:vertAlign w:val="subscript"/>
        </w:rPr>
        <w:t>I</w:t>
      </w:r>
      <w:r>
        <w:rPr>
          <w:rFonts w:ascii="Arial" w:cs="Arial"/>
          <w:sz w:val="26"/>
          <w:szCs w:val="26"/>
        </w:rPr>
        <w:t>—</w:t>
      </w:r>
      <w:r>
        <w:rPr>
          <w:rFonts w:hint="eastAsia" w:ascii="Arial" w:cs="Arial"/>
          <w:sz w:val="26"/>
          <w:szCs w:val="26"/>
        </w:rPr>
        <w:t>流入湖（库）按流量加权平均的磷（氮）浓度，</w:t>
      </w:r>
      <w:r>
        <w:rPr>
          <w:rFonts w:ascii="Arial" w:cs="Arial"/>
          <w:sz w:val="26"/>
          <w:szCs w:val="26"/>
        </w:rPr>
        <w:t>mg/L</w:t>
      </w:r>
      <w:r>
        <w:rPr>
          <w:rFonts w:hint="eastAsia" w:ascii="Arial" w:cs="Arial"/>
          <w:sz w:val="26"/>
          <w:szCs w:val="26"/>
        </w:rPr>
        <w:t>；</w:t>
      </w:r>
    </w:p>
    <w:p w14:paraId="0BA53193">
      <w:pPr>
        <w:spacing w:line="460" w:lineRule="exact"/>
        <w:ind w:firstLine="1300" w:firstLineChars="500"/>
        <w:rPr>
          <w:rFonts w:ascii="Arial" w:cs="Arial"/>
          <w:sz w:val="26"/>
          <w:szCs w:val="26"/>
        </w:rPr>
      </w:pPr>
      <w:r>
        <w:rPr>
          <w:rFonts w:ascii="Arial" w:cs="Arial"/>
          <w:sz w:val="26"/>
          <w:szCs w:val="26"/>
        </w:rPr>
        <w:t>H—</w:t>
      </w:r>
      <w:r>
        <w:rPr>
          <w:rFonts w:hint="eastAsia" w:ascii="Arial" w:cs="Arial"/>
          <w:sz w:val="26"/>
          <w:szCs w:val="26"/>
        </w:rPr>
        <w:t>湖（库）平均水深，</w:t>
      </w:r>
      <w:r>
        <w:rPr>
          <w:rFonts w:ascii="Arial" w:cs="Arial"/>
          <w:sz w:val="26"/>
          <w:szCs w:val="26"/>
        </w:rPr>
        <w:t>m</w:t>
      </w:r>
      <w:r>
        <w:rPr>
          <w:rFonts w:hint="eastAsia" w:ascii="Arial" w:cs="Arial"/>
          <w:sz w:val="26"/>
          <w:szCs w:val="26"/>
        </w:rPr>
        <w:t>；</w:t>
      </w:r>
    </w:p>
    <w:p w14:paraId="2BF01A99">
      <w:pPr>
        <w:spacing w:line="460" w:lineRule="exact"/>
        <w:ind w:firstLine="1300" w:firstLineChars="500"/>
        <w:rPr>
          <w:rFonts w:ascii="Arial" w:cs="Arial"/>
          <w:sz w:val="26"/>
          <w:szCs w:val="26"/>
        </w:rPr>
      </w:pPr>
      <w:r>
        <w:rPr>
          <w:rFonts w:hint="eastAsia" w:ascii="Arial" w:cs="Arial"/>
          <w:sz w:val="26"/>
          <w:szCs w:val="26"/>
        </w:rPr>
        <w:t>q</w:t>
      </w:r>
      <w:r>
        <w:rPr>
          <w:rFonts w:hint="eastAsia" w:ascii="Arial" w:cs="Arial"/>
          <w:sz w:val="26"/>
          <w:szCs w:val="26"/>
          <w:vertAlign w:val="subscript"/>
        </w:rPr>
        <w:t>s</w:t>
      </w:r>
      <w:r>
        <w:rPr>
          <w:rFonts w:ascii="Arial" w:cs="Arial"/>
          <w:sz w:val="26"/>
          <w:szCs w:val="26"/>
        </w:rPr>
        <w:t>—</w:t>
      </w:r>
      <w:r>
        <w:rPr>
          <w:rFonts w:hint="eastAsia" w:ascii="Arial" w:cs="Arial"/>
          <w:sz w:val="26"/>
          <w:szCs w:val="26"/>
        </w:rPr>
        <w:t>湖</w:t>
      </w:r>
      <w:r>
        <w:rPr>
          <w:rFonts w:ascii="宋体" w:hAnsi="宋体" w:cs="Arial"/>
          <w:sz w:val="26"/>
          <w:szCs w:val="26"/>
        </w:rPr>
        <w:t>(</w:t>
      </w:r>
      <w:r>
        <w:rPr>
          <w:rFonts w:hint="eastAsia" w:ascii="Arial" w:cs="Arial"/>
          <w:sz w:val="26"/>
          <w:szCs w:val="26"/>
        </w:rPr>
        <w:t>库</w:t>
      </w:r>
      <w:r>
        <w:rPr>
          <w:rFonts w:ascii="宋体" w:hAnsi="宋体" w:cs="Arial"/>
          <w:sz w:val="26"/>
          <w:szCs w:val="26"/>
        </w:rPr>
        <w:t>)</w:t>
      </w:r>
      <w:r>
        <w:rPr>
          <w:rFonts w:hint="eastAsia" w:ascii="Arial" w:cs="Arial"/>
          <w:sz w:val="26"/>
          <w:szCs w:val="26"/>
        </w:rPr>
        <w:t>单位面积年平均水量负荷，</w:t>
      </w:r>
      <w:r>
        <w:rPr>
          <w:rFonts w:ascii="Arial" w:cs="Arial"/>
          <w:sz w:val="26"/>
          <w:szCs w:val="26"/>
        </w:rPr>
        <w:t>m/a</w:t>
      </w:r>
      <w:r>
        <w:rPr>
          <w:rFonts w:hint="eastAsia" w:ascii="Arial" w:cs="Arial"/>
          <w:sz w:val="26"/>
          <w:szCs w:val="26"/>
        </w:rPr>
        <w:t>；</w:t>
      </w:r>
    </w:p>
    <w:p w14:paraId="29FC95CF">
      <w:pPr>
        <w:spacing w:line="460" w:lineRule="exact"/>
        <w:ind w:firstLine="1300" w:firstLineChars="500"/>
        <w:rPr>
          <w:rFonts w:ascii="Arial" w:cs="Arial"/>
          <w:sz w:val="26"/>
          <w:szCs w:val="26"/>
        </w:rPr>
      </w:pPr>
      <w:r>
        <w:rPr>
          <w:rFonts w:ascii="Arial" w:cs="Arial"/>
          <w:sz w:val="26"/>
          <w:szCs w:val="26"/>
        </w:rPr>
        <w:t>Q</w:t>
      </w:r>
      <w:r>
        <w:rPr>
          <w:rFonts w:hint="eastAsia" w:ascii="Arial" w:cs="Arial"/>
          <w:sz w:val="26"/>
          <w:szCs w:val="26"/>
          <w:vertAlign w:val="subscript"/>
        </w:rPr>
        <w:t>入</w:t>
      </w:r>
      <w:r>
        <w:rPr>
          <w:rFonts w:hint="eastAsia" w:ascii="Arial" w:cs="Arial"/>
          <w:sz w:val="26"/>
          <w:szCs w:val="26"/>
        </w:rPr>
        <w:t>－入湖（库）水量，</w:t>
      </w:r>
      <w:r>
        <w:rPr>
          <w:rFonts w:ascii="Arial" w:cs="Arial"/>
          <w:sz w:val="26"/>
          <w:szCs w:val="26"/>
        </w:rPr>
        <w:t>m</w:t>
      </w:r>
      <w:r>
        <w:rPr>
          <w:rFonts w:ascii="Arial" w:cs="Arial"/>
          <w:sz w:val="26"/>
          <w:szCs w:val="26"/>
          <w:vertAlign w:val="superscript"/>
        </w:rPr>
        <w:t>3</w:t>
      </w:r>
      <w:r>
        <w:rPr>
          <w:rFonts w:ascii="Arial" w:cs="Arial"/>
          <w:sz w:val="26"/>
          <w:szCs w:val="26"/>
        </w:rPr>
        <w:t>/a</w:t>
      </w:r>
      <w:r>
        <w:rPr>
          <w:rFonts w:hint="eastAsia" w:ascii="Arial" w:cs="Arial"/>
          <w:sz w:val="26"/>
          <w:szCs w:val="26"/>
        </w:rPr>
        <w:t>；</w:t>
      </w:r>
    </w:p>
    <w:p w14:paraId="4E91AEB6">
      <w:pPr>
        <w:spacing w:line="460" w:lineRule="exact"/>
        <w:ind w:firstLine="1300" w:firstLineChars="500"/>
        <w:rPr>
          <w:rFonts w:hint="eastAsia" w:ascii="Arial" w:cs="Arial"/>
          <w:sz w:val="26"/>
          <w:szCs w:val="26"/>
        </w:rPr>
      </w:pPr>
      <w:r>
        <w:rPr>
          <w:rFonts w:ascii="Arial" w:cs="Arial"/>
          <w:sz w:val="26"/>
          <w:szCs w:val="26"/>
        </w:rPr>
        <w:t>A</w:t>
      </w:r>
      <w:r>
        <w:rPr>
          <w:rFonts w:hint="eastAsia" w:ascii="Arial" w:cs="Arial"/>
          <w:sz w:val="26"/>
          <w:szCs w:val="26"/>
        </w:rPr>
        <w:t>－湖库水面积，</w:t>
      </w:r>
      <w:r>
        <w:rPr>
          <w:rFonts w:ascii="Arial" w:cs="Arial"/>
          <w:sz w:val="26"/>
          <w:szCs w:val="26"/>
        </w:rPr>
        <w:t>m</w:t>
      </w:r>
      <w:r>
        <w:rPr>
          <w:rFonts w:ascii="Arial" w:cs="Arial"/>
          <w:sz w:val="26"/>
          <w:szCs w:val="26"/>
          <w:vertAlign w:val="superscript"/>
        </w:rPr>
        <w:t>2</w:t>
      </w:r>
      <w:r>
        <w:rPr>
          <w:rFonts w:hint="eastAsia" w:ascii="Arial" w:cs="Arial"/>
          <w:sz w:val="26"/>
          <w:szCs w:val="26"/>
        </w:rPr>
        <w:t>。</w:t>
      </w:r>
    </w:p>
    <w:p w14:paraId="2527522A">
      <w:pPr>
        <w:pStyle w:val="2113"/>
        <w:keepNext w:val="0"/>
        <w:keepLines w:val="0"/>
        <w:pageBreakBefore w:val="0"/>
        <w:widowControl w:val="0"/>
        <w:kinsoku/>
        <w:wordWrap/>
        <w:overflowPunct/>
        <w:topLinePunct w:val="0"/>
        <w:autoSpaceDE/>
        <w:autoSpaceDN/>
        <w:bidi w:val="0"/>
        <w:adjustRightInd/>
        <w:snapToGrid/>
        <w:spacing w:line="460" w:lineRule="exact"/>
        <w:ind w:firstLine="520"/>
        <w:textAlignment w:val="auto"/>
        <w:rPr>
          <w:rFonts w:hint="eastAsia" w:ascii="Arial" w:hAnsi="宋体" w:cs="Arial"/>
          <w:color w:val="auto"/>
          <w:sz w:val="26"/>
          <w:szCs w:val="26"/>
        </w:rPr>
      </w:pPr>
      <w:r>
        <w:rPr>
          <w:rFonts w:hint="eastAsia" w:ascii="Arial" w:hAnsi="宋体" w:cs="Arial"/>
          <w:color w:val="auto"/>
          <w:sz w:val="26"/>
          <w:szCs w:val="26"/>
        </w:rPr>
        <w:t>计算参数取值如下：</w:t>
      </w:r>
      <w:r>
        <w:rPr>
          <w:rFonts w:ascii="Arial" w:hAnsi="宋体" w:cs="Arial"/>
          <w:color w:val="auto"/>
          <w:sz w:val="26"/>
          <w:szCs w:val="26"/>
        </w:rPr>
        <w:t>C</w:t>
      </w:r>
      <w:r>
        <w:rPr>
          <w:rFonts w:ascii="Arial" w:hAnsi="宋体" w:cs="Arial"/>
          <w:color w:val="auto"/>
          <w:sz w:val="26"/>
          <w:szCs w:val="26"/>
          <w:vertAlign w:val="subscript"/>
        </w:rPr>
        <w:t>I</w:t>
      </w:r>
      <w:r>
        <w:rPr>
          <w:rFonts w:hint="eastAsia" w:ascii="Arial" w:hAnsi="宋体" w:cs="Arial"/>
          <w:color w:val="auto"/>
          <w:sz w:val="26"/>
          <w:szCs w:val="26"/>
        </w:rPr>
        <w:t>根据现状监测数据取值，</w:t>
      </w:r>
      <w:r>
        <w:rPr>
          <w:rFonts w:hint="eastAsia" w:ascii="Arial" w:hAnsi="宋体" w:cs="Arial"/>
          <w:color w:val="auto"/>
          <w:szCs w:val="26"/>
          <w:lang w:eastAsia="zh-CN"/>
        </w:rPr>
        <w:t>库区内</w:t>
      </w:r>
      <w:r>
        <w:rPr>
          <w:rFonts w:ascii="Arial" w:hAnsi="宋体" w:cs="Arial"/>
          <w:color w:val="auto"/>
          <w:szCs w:val="26"/>
        </w:rPr>
        <w:t>TN</w:t>
      </w:r>
      <w:r>
        <w:rPr>
          <w:rFonts w:hint="eastAsia" w:ascii="Arial" w:hAnsi="宋体" w:cs="Arial"/>
          <w:color w:val="auto"/>
          <w:szCs w:val="26"/>
        </w:rPr>
        <w:t>浓度</w:t>
      </w:r>
      <w:r>
        <w:rPr>
          <w:rFonts w:hint="eastAsia" w:ascii="Arial" w:hAnsi="宋体" w:cs="Arial"/>
          <w:color w:val="auto"/>
          <w:szCs w:val="26"/>
          <w:lang w:eastAsia="zh-CN"/>
        </w:rPr>
        <w:t>平均</w:t>
      </w:r>
      <w:r>
        <w:rPr>
          <w:rFonts w:hint="eastAsia" w:ascii="Arial" w:hAnsi="宋体" w:cs="Arial"/>
          <w:color w:val="auto"/>
          <w:szCs w:val="26"/>
        </w:rPr>
        <w:t>值为</w:t>
      </w:r>
      <w:r>
        <w:rPr>
          <w:rFonts w:hint="eastAsia" w:ascii="Arial" w:hAnsi="宋体" w:cs="Arial"/>
          <w:color w:val="auto"/>
          <w:szCs w:val="26"/>
          <w:lang w:val="en-US" w:eastAsia="zh-CN"/>
        </w:rPr>
        <w:t>1.29</w:t>
      </w:r>
      <w:r>
        <w:rPr>
          <w:rFonts w:ascii="Arial" w:hAnsi="宋体" w:cs="Arial"/>
          <w:color w:val="auto"/>
          <w:szCs w:val="26"/>
        </w:rPr>
        <w:t>mg/L</w:t>
      </w:r>
      <w:r>
        <w:rPr>
          <w:rFonts w:hint="eastAsia" w:ascii="Arial" w:hAnsi="宋体" w:cs="Arial"/>
          <w:color w:val="auto"/>
          <w:szCs w:val="26"/>
        </w:rPr>
        <w:t>、</w:t>
      </w:r>
      <w:r>
        <w:rPr>
          <w:rFonts w:ascii="Arial" w:hAnsi="宋体" w:cs="Arial"/>
          <w:color w:val="auto"/>
          <w:szCs w:val="26"/>
        </w:rPr>
        <w:t>TP</w:t>
      </w:r>
      <w:r>
        <w:rPr>
          <w:rFonts w:hint="eastAsia" w:ascii="Arial" w:hAnsi="宋体" w:cs="Arial"/>
          <w:color w:val="auto"/>
          <w:szCs w:val="26"/>
        </w:rPr>
        <w:t>浓度</w:t>
      </w:r>
      <w:r>
        <w:rPr>
          <w:rFonts w:hint="eastAsia" w:ascii="Arial" w:hAnsi="宋体" w:cs="Arial"/>
          <w:color w:val="auto"/>
          <w:szCs w:val="26"/>
          <w:lang w:eastAsia="zh-CN"/>
        </w:rPr>
        <w:t>平均</w:t>
      </w:r>
      <w:r>
        <w:rPr>
          <w:rFonts w:hint="eastAsia" w:ascii="Arial" w:hAnsi="宋体" w:cs="Arial"/>
          <w:color w:val="auto"/>
          <w:szCs w:val="26"/>
        </w:rPr>
        <w:t>值为0.0</w:t>
      </w:r>
      <w:r>
        <w:rPr>
          <w:rFonts w:hint="eastAsia" w:ascii="Arial" w:hAnsi="宋体" w:cs="Arial"/>
          <w:color w:val="auto"/>
          <w:szCs w:val="26"/>
          <w:lang w:val="en-US" w:eastAsia="zh-CN"/>
        </w:rPr>
        <w:t>6</w:t>
      </w:r>
      <w:r>
        <w:rPr>
          <w:rFonts w:ascii="Arial" w:hAnsi="宋体" w:cs="Arial"/>
          <w:color w:val="auto"/>
          <w:szCs w:val="26"/>
        </w:rPr>
        <w:t>mg/L</w:t>
      </w:r>
      <w:r>
        <w:rPr>
          <w:rFonts w:hint="eastAsia" w:ascii="Arial" w:hAnsi="宋体" w:cs="Arial"/>
          <w:color w:val="auto"/>
          <w:szCs w:val="26"/>
        </w:rPr>
        <w:t>，入湖水量</w:t>
      </w:r>
      <w:r>
        <w:rPr>
          <w:rFonts w:ascii="Arial" w:hAnsi="宋体" w:cs="Arial"/>
          <w:color w:val="auto"/>
          <w:szCs w:val="26"/>
        </w:rPr>
        <w:t>Q</w:t>
      </w:r>
      <w:r>
        <w:rPr>
          <w:rFonts w:hint="eastAsia" w:ascii="Arial" w:hAnsi="宋体" w:cs="Arial"/>
          <w:color w:val="auto"/>
          <w:szCs w:val="26"/>
          <w:vertAlign w:val="subscript"/>
        </w:rPr>
        <w:t>入</w:t>
      </w:r>
      <w:r>
        <w:rPr>
          <w:rFonts w:ascii="Arial" w:hAnsi="宋体" w:cs="Arial"/>
          <w:color w:val="auto"/>
          <w:szCs w:val="26"/>
        </w:rPr>
        <w:t>=</w:t>
      </w:r>
      <w:r>
        <w:rPr>
          <w:rFonts w:hint="eastAsia" w:ascii="Arial" w:hAnsi="宋体" w:cs="Arial"/>
          <w:color w:val="auto"/>
          <w:szCs w:val="26"/>
          <w:lang w:val="en-US" w:eastAsia="zh-CN"/>
        </w:rPr>
        <w:t>105</w:t>
      </w:r>
      <w:r>
        <w:rPr>
          <w:rFonts w:hint="eastAsia" w:ascii="Arial" w:hAnsi="宋体" w:cs="Arial"/>
          <w:color w:val="auto"/>
          <w:szCs w:val="26"/>
        </w:rPr>
        <w:t>万</w:t>
      </w:r>
      <w:r>
        <w:rPr>
          <w:rFonts w:ascii="Arial" w:hAnsi="宋体" w:cs="Arial"/>
          <w:color w:val="auto"/>
          <w:szCs w:val="26"/>
        </w:rPr>
        <w:t>m</w:t>
      </w:r>
      <w:r>
        <w:rPr>
          <w:rFonts w:ascii="Arial" w:hAnsi="宋体" w:cs="Arial"/>
          <w:color w:val="auto"/>
          <w:szCs w:val="26"/>
          <w:vertAlign w:val="superscript"/>
        </w:rPr>
        <w:t>3</w:t>
      </w:r>
      <w:r>
        <w:rPr>
          <w:rFonts w:ascii="Arial" w:hAnsi="宋体" w:cs="Arial"/>
          <w:color w:val="auto"/>
          <w:szCs w:val="26"/>
        </w:rPr>
        <w:t>/a</w:t>
      </w:r>
      <w:r>
        <w:rPr>
          <w:rFonts w:hint="eastAsia" w:ascii="Arial" w:hAnsi="宋体" w:cs="Arial"/>
          <w:color w:val="auto"/>
          <w:szCs w:val="26"/>
        </w:rPr>
        <w:t>，</w:t>
      </w:r>
      <w:r>
        <w:rPr>
          <w:rFonts w:hint="eastAsia" w:ascii="Arial" w:hAnsi="宋体" w:cs="Arial"/>
          <w:color w:val="auto"/>
          <w:sz w:val="26"/>
          <w:szCs w:val="26"/>
        </w:rPr>
        <w:t>湖库面积</w:t>
      </w:r>
      <w:r>
        <w:rPr>
          <w:rFonts w:ascii="Arial" w:hAnsi="宋体" w:cs="Arial"/>
          <w:color w:val="auto"/>
          <w:sz w:val="26"/>
          <w:szCs w:val="26"/>
        </w:rPr>
        <w:t>A=</w:t>
      </w:r>
      <w:r>
        <w:rPr>
          <w:rFonts w:hint="eastAsia" w:ascii="Arial" w:hAnsi="宋体" w:cs="Arial"/>
          <w:color w:val="auto"/>
          <w:sz w:val="26"/>
          <w:szCs w:val="26"/>
          <w:lang w:val="en-US" w:eastAsia="zh-CN"/>
        </w:rPr>
        <w:t>8.3028h</w:t>
      </w:r>
      <w:r>
        <w:rPr>
          <w:rFonts w:ascii="Arial" w:hAnsi="宋体" w:cs="Arial"/>
          <w:color w:val="auto"/>
          <w:sz w:val="26"/>
          <w:szCs w:val="26"/>
        </w:rPr>
        <w:t>m</w:t>
      </w:r>
      <w:r>
        <w:rPr>
          <w:rFonts w:ascii="Arial" w:hAnsi="宋体" w:cs="Arial"/>
          <w:color w:val="auto"/>
          <w:sz w:val="26"/>
          <w:szCs w:val="26"/>
          <w:vertAlign w:val="superscript"/>
        </w:rPr>
        <w:t>2</w:t>
      </w:r>
      <w:r>
        <w:rPr>
          <w:rFonts w:hint="eastAsia" w:ascii="Arial" w:hAnsi="宋体" w:cs="Arial"/>
          <w:color w:val="auto"/>
          <w:sz w:val="26"/>
          <w:szCs w:val="26"/>
        </w:rPr>
        <w:t>，平均水深</w:t>
      </w:r>
      <w:r>
        <w:rPr>
          <w:rFonts w:ascii="Arial" w:hAnsi="宋体" w:cs="Arial"/>
          <w:color w:val="auto"/>
          <w:sz w:val="26"/>
          <w:szCs w:val="26"/>
        </w:rPr>
        <w:t>H=</w:t>
      </w:r>
      <w:r>
        <w:rPr>
          <w:rFonts w:hint="eastAsia" w:ascii="Arial" w:hAnsi="宋体" w:cs="Arial"/>
          <w:color w:val="auto"/>
          <w:sz w:val="26"/>
          <w:szCs w:val="26"/>
          <w:lang w:val="en-US" w:eastAsia="zh-CN"/>
        </w:rPr>
        <w:t>9.7</w:t>
      </w:r>
      <w:r>
        <w:rPr>
          <w:rFonts w:ascii="Arial" w:hAnsi="宋体" w:cs="Arial"/>
          <w:color w:val="auto"/>
          <w:sz w:val="26"/>
          <w:szCs w:val="26"/>
        </w:rPr>
        <w:t>m</w:t>
      </w:r>
      <w:r>
        <w:rPr>
          <w:rFonts w:hint="eastAsia" w:ascii="Arial" w:hAnsi="宋体" w:cs="Arial"/>
          <w:color w:val="auto"/>
          <w:sz w:val="26"/>
          <w:szCs w:val="26"/>
        </w:rPr>
        <w:t>，水量负荷</w:t>
      </w:r>
      <w:r>
        <w:rPr>
          <w:rFonts w:ascii="Arial" w:hAnsi="宋体" w:cs="Arial"/>
          <w:color w:val="auto"/>
          <w:sz w:val="26"/>
          <w:szCs w:val="26"/>
        </w:rPr>
        <w:t>q</w:t>
      </w:r>
      <w:r>
        <w:rPr>
          <w:rFonts w:ascii="Arial" w:hAnsi="宋体" w:cs="Arial"/>
          <w:color w:val="auto"/>
          <w:sz w:val="26"/>
          <w:szCs w:val="26"/>
          <w:vertAlign w:val="subscript"/>
        </w:rPr>
        <w:t>s</w:t>
      </w:r>
      <w:r>
        <w:rPr>
          <w:rFonts w:ascii="Arial" w:hAnsi="宋体" w:cs="Arial"/>
          <w:color w:val="auto"/>
          <w:sz w:val="26"/>
          <w:szCs w:val="26"/>
        </w:rPr>
        <w:t>=</w:t>
      </w:r>
      <w:r>
        <w:rPr>
          <w:rFonts w:hint="eastAsia" w:ascii="Arial" w:hAnsi="宋体" w:cs="Arial"/>
          <w:color w:val="auto"/>
          <w:sz w:val="26"/>
          <w:szCs w:val="26"/>
          <w:lang w:val="en-US" w:eastAsia="zh-CN"/>
        </w:rPr>
        <w:t>12.65</w:t>
      </w:r>
      <w:r>
        <w:rPr>
          <w:rFonts w:ascii="Arial" w:hAnsi="宋体" w:cs="Arial"/>
          <w:color w:val="auto"/>
          <w:sz w:val="26"/>
          <w:szCs w:val="26"/>
        </w:rPr>
        <w:t>m/a</w:t>
      </w:r>
      <w:r>
        <w:rPr>
          <w:rFonts w:hint="eastAsia" w:ascii="Arial" w:hAnsi="宋体" w:cs="Arial"/>
          <w:color w:val="auto"/>
          <w:sz w:val="26"/>
          <w:szCs w:val="26"/>
        </w:rPr>
        <w:t>。经预测，</w:t>
      </w:r>
      <w:r>
        <w:rPr>
          <w:rFonts w:hint="eastAsia" w:ascii="Arial" w:hAnsi="宋体" w:cs="Arial"/>
          <w:color w:val="auto"/>
          <w:szCs w:val="26"/>
          <w:lang w:eastAsia="zh-CN"/>
        </w:rPr>
        <w:t>海螺沟</w:t>
      </w:r>
      <w:r>
        <w:rPr>
          <w:rFonts w:hint="eastAsia" w:ascii="Arial" w:hAnsi="宋体" w:cs="Arial"/>
          <w:color w:val="auto"/>
          <w:szCs w:val="26"/>
        </w:rPr>
        <w:t>水库蓄水后，</w:t>
      </w:r>
      <w:r>
        <w:rPr>
          <w:rFonts w:ascii="Arial" w:hAnsi="宋体" w:cs="Arial"/>
          <w:color w:val="auto"/>
          <w:szCs w:val="26"/>
        </w:rPr>
        <w:t>TN</w:t>
      </w:r>
      <w:r>
        <w:rPr>
          <w:rFonts w:hint="eastAsia" w:ascii="Arial" w:hAnsi="宋体" w:cs="Arial"/>
          <w:color w:val="auto"/>
          <w:szCs w:val="26"/>
        </w:rPr>
        <w:t>、</w:t>
      </w:r>
      <w:r>
        <w:rPr>
          <w:rFonts w:ascii="Arial" w:hAnsi="宋体" w:cs="Arial"/>
          <w:color w:val="auto"/>
          <w:szCs w:val="26"/>
        </w:rPr>
        <w:t>TP</w:t>
      </w:r>
      <w:r>
        <w:rPr>
          <w:rFonts w:hint="eastAsia" w:ascii="Arial" w:hAnsi="宋体" w:cs="Arial"/>
          <w:color w:val="auto"/>
          <w:szCs w:val="26"/>
        </w:rPr>
        <w:t>浓度分别为</w:t>
      </w:r>
      <w:r>
        <w:rPr>
          <w:rFonts w:hint="eastAsia" w:ascii="Arial" w:hAnsi="宋体" w:cs="Arial"/>
          <w:color w:val="auto"/>
          <w:szCs w:val="26"/>
          <w:lang w:val="en-US" w:eastAsia="zh-CN"/>
        </w:rPr>
        <w:t>0.69</w:t>
      </w:r>
      <w:r>
        <w:rPr>
          <w:rFonts w:ascii="Arial" w:hAnsi="宋体" w:cs="Arial"/>
          <w:color w:val="auto"/>
          <w:szCs w:val="26"/>
        </w:rPr>
        <w:t>mg/L</w:t>
      </w:r>
      <w:r>
        <w:rPr>
          <w:rFonts w:hint="eastAsia" w:ascii="Arial" w:hAnsi="宋体" w:cs="Arial"/>
          <w:color w:val="auto"/>
          <w:szCs w:val="26"/>
        </w:rPr>
        <w:t>、</w:t>
      </w:r>
      <w:r>
        <w:rPr>
          <w:rFonts w:hint="eastAsia" w:ascii="Arial" w:hAnsi="宋体" w:cs="Arial"/>
          <w:color w:val="auto"/>
          <w:szCs w:val="26"/>
          <w:lang w:val="en-US" w:eastAsia="zh-CN"/>
        </w:rPr>
        <w:t>0.03</w:t>
      </w:r>
      <w:r>
        <w:rPr>
          <w:rFonts w:ascii="Arial" w:hAnsi="宋体" w:cs="Arial"/>
          <w:color w:val="auto"/>
          <w:szCs w:val="26"/>
        </w:rPr>
        <w:t>mg/L</w:t>
      </w:r>
      <w:r>
        <w:rPr>
          <w:rFonts w:hint="eastAsia" w:ascii="Arial" w:hAnsi="宋体" w:cs="Arial"/>
          <w:color w:val="auto"/>
          <w:szCs w:val="26"/>
        </w:rPr>
        <w:t>，均满足</w:t>
      </w:r>
      <w:r>
        <w:rPr>
          <w:rFonts w:hint="eastAsia" w:ascii="Arial" w:hAnsi="宋体" w:cs="Arial"/>
          <w:color w:val="auto"/>
          <w:szCs w:val="26"/>
          <w:lang w:eastAsia="zh-CN"/>
        </w:rPr>
        <w:t>（</w:t>
      </w:r>
      <w:r>
        <w:rPr>
          <w:rFonts w:ascii="Arial" w:hAnsi="宋体" w:cs="Arial"/>
          <w:color w:val="auto"/>
          <w:szCs w:val="26"/>
        </w:rPr>
        <w:t>GB3838-2002</w:t>
      </w:r>
      <w:r>
        <w:rPr>
          <w:rFonts w:hint="eastAsia" w:ascii="Arial" w:hAnsi="宋体" w:cs="Arial"/>
          <w:color w:val="auto"/>
          <w:szCs w:val="26"/>
          <w:lang w:eastAsia="zh-CN"/>
        </w:rPr>
        <w:t>）</w:t>
      </w:r>
      <w:r>
        <w:rPr>
          <w:rFonts w:hint="eastAsia" w:ascii="Arial" w:hAnsi="宋体" w:cs="Arial"/>
          <w:color w:val="auto"/>
          <w:szCs w:val="26"/>
        </w:rPr>
        <w:t>中Ⅱ类标准。</w:t>
      </w:r>
    </w:p>
    <w:p w14:paraId="6A6A3BBB">
      <w:pPr>
        <w:keepNext w:val="0"/>
        <w:keepLines w:val="0"/>
        <w:pageBreakBefore w:val="0"/>
        <w:widowControl w:val="0"/>
        <w:kinsoku/>
        <w:wordWrap/>
        <w:overflowPunct/>
        <w:topLinePunct w:val="0"/>
        <w:autoSpaceDE/>
        <w:autoSpaceDN/>
        <w:bidi w:val="0"/>
        <w:adjustRightInd/>
        <w:snapToGrid/>
        <w:spacing w:line="460" w:lineRule="exact"/>
        <w:ind w:firstLine="520"/>
        <w:textAlignment w:val="auto"/>
        <w:rPr>
          <w:spacing w:val="-4"/>
          <w:sz w:val="26"/>
          <w:szCs w:val="26"/>
        </w:rPr>
      </w:pPr>
      <w:r>
        <w:rPr>
          <w:rFonts w:hint="eastAsia"/>
          <w:sz w:val="26"/>
          <w:szCs w:val="26"/>
        </w:rPr>
        <w:t>湖泊</w:t>
      </w:r>
      <w:r>
        <w:rPr>
          <w:rFonts w:ascii="宋体" w:hAnsi="宋体"/>
          <w:sz w:val="26"/>
          <w:szCs w:val="26"/>
        </w:rPr>
        <w:t>(</w:t>
      </w:r>
      <w:r>
        <w:rPr>
          <w:rFonts w:hint="eastAsia"/>
          <w:sz w:val="26"/>
          <w:szCs w:val="26"/>
        </w:rPr>
        <w:t>水库</w:t>
      </w:r>
      <w:r>
        <w:rPr>
          <w:rFonts w:ascii="宋体" w:hAnsi="宋体"/>
          <w:sz w:val="26"/>
          <w:szCs w:val="26"/>
        </w:rPr>
        <w:t>)</w:t>
      </w:r>
      <w:r>
        <w:rPr>
          <w:rFonts w:hint="eastAsia"/>
          <w:sz w:val="26"/>
          <w:szCs w:val="26"/>
        </w:rPr>
        <w:t>富营养化状况评价方法：综合营养状态指数法</w:t>
      </w:r>
    </w:p>
    <w:p w14:paraId="75F6A811">
      <w:pPr>
        <w:keepNext w:val="0"/>
        <w:keepLines w:val="0"/>
        <w:pageBreakBefore w:val="0"/>
        <w:widowControl w:val="0"/>
        <w:kinsoku/>
        <w:wordWrap/>
        <w:overflowPunct/>
        <w:topLinePunct w:val="0"/>
        <w:autoSpaceDE/>
        <w:autoSpaceDN/>
        <w:bidi w:val="0"/>
        <w:adjustRightInd/>
        <w:snapToGrid/>
        <w:spacing w:line="460" w:lineRule="exact"/>
        <w:ind w:firstLine="520"/>
        <w:textAlignment w:val="auto"/>
        <w:rPr>
          <w:sz w:val="26"/>
          <w:szCs w:val="26"/>
        </w:rPr>
      </w:pPr>
      <w:r>
        <w:rPr>
          <w:rFonts w:hint="eastAsia"/>
          <w:sz w:val="26"/>
          <w:szCs w:val="26"/>
        </w:rPr>
        <w:t>综合营养状态指数计算公式为：</w:t>
      </w:r>
    </w:p>
    <w:p w14:paraId="5FCBB74D">
      <w:pPr>
        <w:spacing w:before="46" w:beforeLines="15" w:after="46" w:afterLines="15"/>
        <w:jc w:val="center"/>
        <w:rPr>
          <w:kern w:val="0"/>
          <w:sz w:val="26"/>
          <w:szCs w:val="26"/>
        </w:rPr>
      </w:pPr>
      <w:r>
        <w:rPr>
          <w:kern w:val="0"/>
          <w:position w:val="-30"/>
          <w:sz w:val="26"/>
          <w:szCs w:val="26"/>
        </w:rPr>
        <w:drawing>
          <wp:inline distT="0" distB="0" distL="114300" distR="114300">
            <wp:extent cx="1521460" cy="421640"/>
            <wp:effectExtent l="0" t="0" r="2540" b="17145"/>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pic:cNvPicPr>
                  </pic:nvPicPr>
                  <pic:blipFill>
                    <a:blip r:embed="rId38"/>
                    <a:stretch>
                      <a:fillRect/>
                    </a:stretch>
                  </pic:blipFill>
                  <pic:spPr>
                    <a:xfrm>
                      <a:off x="0" y="0"/>
                      <a:ext cx="1521460" cy="421640"/>
                    </a:xfrm>
                    <a:prstGeom prst="rect">
                      <a:avLst/>
                    </a:prstGeom>
                    <a:noFill/>
                    <a:ln>
                      <a:noFill/>
                    </a:ln>
                  </pic:spPr>
                </pic:pic>
              </a:graphicData>
            </a:graphic>
          </wp:inline>
        </w:drawing>
      </w:r>
    </w:p>
    <w:p w14:paraId="55049EF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ascii="Arial" w:hAnsi="Arial" w:cs="Arial"/>
          <w:sz w:val="26"/>
          <w:szCs w:val="26"/>
        </w:rPr>
      </w:pPr>
      <w:r>
        <w:rPr>
          <w:rFonts w:ascii="Arial" w:cs="Arial"/>
          <w:sz w:val="26"/>
          <w:szCs w:val="26"/>
        </w:rPr>
        <w:t>式中：</w:t>
      </w:r>
    </w:p>
    <w:p w14:paraId="770AE03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ascii="Arial" w:hAnsi="Arial" w:cs="Arial"/>
          <w:sz w:val="26"/>
          <w:szCs w:val="26"/>
        </w:rPr>
      </w:pPr>
      <w:r>
        <w:rPr>
          <w:rFonts w:ascii="Arial" w:hAnsi="Arial" w:cs="Arial"/>
          <w:sz w:val="26"/>
          <w:szCs w:val="26"/>
        </w:rPr>
        <w:drawing>
          <wp:inline distT="0" distB="0" distL="114300" distR="114300">
            <wp:extent cx="494030" cy="202565"/>
            <wp:effectExtent l="0" t="0" r="1270" b="5715"/>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39"/>
                    <a:stretch>
                      <a:fillRect/>
                    </a:stretch>
                  </pic:blipFill>
                  <pic:spPr>
                    <a:xfrm>
                      <a:off x="0" y="0"/>
                      <a:ext cx="494030" cy="202565"/>
                    </a:xfrm>
                    <a:prstGeom prst="rect">
                      <a:avLst/>
                    </a:prstGeom>
                    <a:noFill/>
                    <a:ln>
                      <a:noFill/>
                    </a:ln>
                  </pic:spPr>
                </pic:pic>
              </a:graphicData>
            </a:graphic>
          </wp:inline>
        </w:drawing>
      </w:r>
      <w:r>
        <w:rPr>
          <w:rFonts w:ascii="Arial" w:hAnsi="Arial" w:cs="Arial"/>
          <w:sz w:val="26"/>
          <w:szCs w:val="26"/>
        </w:rPr>
        <w:t>—</w:t>
      </w:r>
      <w:r>
        <w:rPr>
          <w:rFonts w:ascii="Arial" w:cs="Arial"/>
          <w:sz w:val="26"/>
          <w:szCs w:val="26"/>
        </w:rPr>
        <w:t>综合营养状态指数；</w:t>
      </w:r>
    </w:p>
    <w:p w14:paraId="5CB78C3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ascii="Arial" w:hAnsi="Arial" w:cs="Arial"/>
          <w:sz w:val="26"/>
          <w:szCs w:val="26"/>
        </w:rPr>
      </w:pPr>
      <w:r>
        <w:rPr>
          <w:rFonts w:ascii="Arial" w:hAnsi="Arial" w:cs="Arial"/>
          <w:sz w:val="26"/>
          <w:szCs w:val="26"/>
        </w:rPr>
        <w:t>Wj—</w:t>
      </w:r>
      <w:r>
        <w:rPr>
          <w:rFonts w:ascii="Arial" w:cs="Arial"/>
          <w:sz w:val="26"/>
          <w:szCs w:val="26"/>
        </w:rPr>
        <w:t>第</w:t>
      </w:r>
      <w:r>
        <w:rPr>
          <w:rFonts w:ascii="Arial" w:hAnsi="Arial" w:cs="Arial"/>
          <w:sz w:val="26"/>
          <w:szCs w:val="26"/>
        </w:rPr>
        <w:t>j</w:t>
      </w:r>
      <w:r>
        <w:rPr>
          <w:rFonts w:ascii="Arial" w:cs="Arial"/>
          <w:sz w:val="26"/>
          <w:szCs w:val="26"/>
        </w:rPr>
        <w:t>种参数的营养状态指数的相关权重；</w:t>
      </w:r>
    </w:p>
    <w:p w14:paraId="0B6A39C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ascii="Arial" w:hAnsi="Arial" w:cs="Arial"/>
          <w:sz w:val="26"/>
          <w:szCs w:val="26"/>
        </w:rPr>
      </w:pPr>
      <w:r>
        <w:rPr>
          <w:rFonts w:ascii="Arial" w:hAnsi="Arial" w:cs="Arial"/>
          <w:sz w:val="26"/>
          <w:szCs w:val="26"/>
        </w:rPr>
        <w:t>TLI</w:t>
      </w:r>
      <w:r>
        <w:rPr>
          <w:rFonts w:ascii="Arial" w:cs="Arial"/>
          <w:sz w:val="26"/>
          <w:szCs w:val="26"/>
        </w:rPr>
        <w:t>（</w:t>
      </w:r>
      <w:r>
        <w:rPr>
          <w:rFonts w:ascii="Arial" w:hAnsi="Arial" w:cs="Arial"/>
          <w:sz w:val="26"/>
          <w:szCs w:val="26"/>
        </w:rPr>
        <w:t>j</w:t>
      </w:r>
      <w:r>
        <w:rPr>
          <w:rFonts w:ascii="Arial" w:cs="Arial"/>
          <w:sz w:val="26"/>
          <w:szCs w:val="26"/>
        </w:rPr>
        <w:t>）</w:t>
      </w:r>
      <w:r>
        <w:rPr>
          <w:rFonts w:ascii="Arial" w:hAnsi="Arial" w:cs="Arial"/>
          <w:sz w:val="26"/>
          <w:szCs w:val="26"/>
        </w:rPr>
        <w:t>—</w:t>
      </w:r>
      <w:r>
        <w:rPr>
          <w:rFonts w:ascii="Arial" w:cs="Arial"/>
          <w:sz w:val="26"/>
          <w:szCs w:val="26"/>
        </w:rPr>
        <w:t>代表第</w:t>
      </w:r>
      <w:r>
        <w:rPr>
          <w:rFonts w:ascii="Arial" w:hAnsi="Arial" w:cs="Arial"/>
          <w:sz w:val="26"/>
          <w:szCs w:val="26"/>
        </w:rPr>
        <w:t>j</w:t>
      </w:r>
      <w:r>
        <w:rPr>
          <w:rFonts w:ascii="Arial" w:cs="Arial"/>
          <w:sz w:val="26"/>
          <w:szCs w:val="26"/>
        </w:rPr>
        <w:t>种参数的营养状态指数；</w:t>
      </w:r>
    </w:p>
    <w:p w14:paraId="2B79F63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ascii="Arial" w:hAnsi="Arial" w:cs="Arial"/>
          <w:sz w:val="26"/>
          <w:szCs w:val="26"/>
        </w:rPr>
      </w:pPr>
      <w:r>
        <w:rPr>
          <w:rFonts w:ascii="Arial" w:cs="Arial"/>
          <w:sz w:val="26"/>
          <w:szCs w:val="26"/>
        </w:rPr>
        <w:t>以</w:t>
      </w:r>
      <w:r>
        <w:rPr>
          <w:rFonts w:ascii="Arial" w:hAnsi="Arial" w:cs="Arial"/>
          <w:sz w:val="26"/>
          <w:szCs w:val="26"/>
        </w:rPr>
        <w:t>chla</w:t>
      </w:r>
      <w:r>
        <w:rPr>
          <w:rFonts w:ascii="Arial" w:cs="Arial"/>
          <w:sz w:val="26"/>
          <w:szCs w:val="26"/>
        </w:rPr>
        <w:t>作为基准参数，则第</w:t>
      </w:r>
      <w:r>
        <w:rPr>
          <w:rFonts w:ascii="Arial" w:hAnsi="Arial" w:cs="Arial"/>
          <w:sz w:val="26"/>
          <w:szCs w:val="26"/>
        </w:rPr>
        <w:t>j</w:t>
      </w:r>
      <w:r>
        <w:rPr>
          <w:rFonts w:ascii="Arial" w:cs="Arial"/>
          <w:sz w:val="26"/>
          <w:szCs w:val="26"/>
        </w:rPr>
        <w:t>种参数的归一化的相关权重计算公式为：</w:t>
      </w:r>
    </w:p>
    <w:p w14:paraId="726E5820">
      <w:pPr>
        <w:spacing w:before="46" w:beforeLines="15" w:after="46" w:afterLines="15"/>
        <w:jc w:val="center"/>
        <w:rPr>
          <w:kern w:val="0"/>
          <w:sz w:val="26"/>
          <w:szCs w:val="26"/>
        </w:rPr>
      </w:pPr>
      <w:r>
        <w:rPr>
          <w:kern w:val="0"/>
          <w:sz w:val="26"/>
          <w:szCs w:val="26"/>
        </w:rPr>
        <w:drawing>
          <wp:inline distT="0" distB="0" distL="114300" distR="114300">
            <wp:extent cx="845820" cy="685800"/>
            <wp:effectExtent l="0" t="0" r="0" b="0"/>
            <wp:docPr id="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pic:cNvPicPr>
                      <a:picLocks noChangeAspect="1"/>
                    </pic:cNvPicPr>
                  </pic:nvPicPr>
                  <pic:blipFill>
                    <a:blip r:embed="rId40"/>
                    <a:stretch>
                      <a:fillRect/>
                    </a:stretch>
                  </pic:blipFill>
                  <pic:spPr>
                    <a:xfrm>
                      <a:off x="0" y="0"/>
                      <a:ext cx="845820" cy="685800"/>
                    </a:xfrm>
                    <a:prstGeom prst="rect">
                      <a:avLst/>
                    </a:prstGeom>
                    <a:noFill/>
                    <a:ln>
                      <a:noFill/>
                    </a:ln>
                  </pic:spPr>
                </pic:pic>
              </a:graphicData>
            </a:graphic>
          </wp:inline>
        </w:drawing>
      </w:r>
    </w:p>
    <w:p w14:paraId="3BEC55E8">
      <w:pPr>
        <w:spacing w:line="460" w:lineRule="exact"/>
        <w:ind w:firstLine="520"/>
        <w:rPr>
          <w:rFonts w:ascii="Arial" w:hAnsi="Arial" w:cs="Arial"/>
          <w:sz w:val="26"/>
          <w:szCs w:val="26"/>
        </w:rPr>
      </w:pPr>
      <w:r>
        <w:rPr>
          <w:rFonts w:ascii="Arial" w:cs="Arial"/>
          <w:sz w:val="26"/>
          <w:szCs w:val="26"/>
        </w:rPr>
        <w:t>式中：</w:t>
      </w:r>
    </w:p>
    <w:p w14:paraId="3991E3A7">
      <w:pPr>
        <w:spacing w:line="460" w:lineRule="exact"/>
        <w:ind w:firstLine="520"/>
        <w:rPr>
          <w:rFonts w:ascii="Arial" w:hAnsi="Arial" w:cs="Arial"/>
          <w:sz w:val="26"/>
          <w:szCs w:val="26"/>
        </w:rPr>
      </w:pPr>
      <w:r>
        <w:rPr>
          <w:rFonts w:ascii="Arial" w:hAnsi="Arial" w:cs="Arial"/>
          <w:sz w:val="26"/>
          <w:szCs w:val="26"/>
        </w:rPr>
        <w:t>r</w:t>
      </w:r>
      <w:r>
        <w:rPr>
          <w:rFonts w:ascii="Arial" w:hAnsi="Arial" w:cs="Arial"/>
          <w:sz w:val="26"/>
          <w:szCs w:val="26"/>
          <w:vertAlign w:val="subscript"/>
        </w:rPr>
        <w:t>ij</w:t>
      </w:r>
      <w:r>
        <w:rPr>
          <w:rFonts w:ascii="Arial" w:hAnsi="Arial" w:cs="Arial"/>
          <w:sz w:val="26"/>
          <w:szCs w:val="26"/>
        </w:rPr>
        <w:t>—</w:t>
      </w:r>
      <w:r>
        <w:rPr>
          <w:rFonts w:ascii="Arial" w:cs="Arial"/>
          <w:sz w:val="26"/>
          <w:szCs w:val="26"/>
        </w:rPr>
        <w:t>第</w:t>
      </w:r>
      <w:r>
        <w:rPr>
          <w:rFonts w:ascii="Arial" w:hAnsi="Arial" w:cs="Arial"/>
          <w:sz w:val="26"/>
          <w:szCs w:val="26"/>
        </w:rPr>
        <w:t>j</w:t>
      </w:r>
      <w:r>
        <w:rPr>
          <w:rFonts w:ascii="Arial" w:cs="Arial"/>
          <w:sz w:val="26"/>
          <w:szCs w:val="26"/>
        </w:rPr>
        <w:t>种参数与基准参数</w:t>
      </w:r>
      <w:r>
        <w:rPr>
          <w:rFonts w:ascii="Arial" w:hAnsi="Arial" w:cs="Arial"/>
          <w:sz w:val="26"/>
          <w:szCs w:val="26"/>
        </w:rPr>
        <w:t>chla</w:t>
      </w:r>
      <w:r>
        <w:rPr>
          <w:rFonts w:ascii="Arial" w:cs="Arial"/>
          <w:sz w:val="26"/>
          <w:szCs w:val="26"/>
        </w:rPr>
        <w:t>的相关系数；</w:t>
      </w:r>
    </w:p>
    <w:p w14:paraId="5C9A8960">
      <w:pPr>
        <w:spacing w:line="460" w:lineRule="exact"/>
        <w:ind w:firstLine="520"/>
        <w:rPr>
          <w:rFonts w:ascii="Arial" w:hAnsi="Arial" w:cs="Arial"/>
          <w:sz w:val="26"/>
          <w:szCs w:val="26"/>
        </w:rPr>
      </w:pPr>
      <w:r>
        <w:rPr>
          <w:rFonts w:ascii="Arial" w:hAnsi="Arial" w:cs="Arial"/>
          <w:sz w:val="26"/>
          <w:szCs w:val="26"/>
        </w:rPr>
        <w:t>m—</w:t>
      </w:r>
      <w:r>
        <w:rPr>
          <w:rFonts w:ascii="Arial" w:cs="Arial"/>
          <w:sz w:val="26"/>
          <w:szCs w:val="26"/>
        </w:rPr>
        <w:t>评价参数的个数。</w:t>
      </w:r>
    </w:p>
    <w:p w14:paraId="58D12915">
      <w:pPr>
        <w:spacing w:line="460" w:lineRule="exact"/>
        <w:ind w:firstLine="520"/>
        <w:rPr>
          <w:sz w:val="26"/>
          <w:szCs w:val="26"/>
        </w:rPr>
      </w:pPr>
      <w:r>
        <w:rPr>
          <w:rFonts w:ascii="Arial" w:cs="Arial"/>
          <w:sz w:val="26"/>
          <w:szCs w:val="26"/>
        </w:rPr>
        <w:t>中国湖泊</w:t>
      </w:r>
      <w:r>
        <w:rPr>
          <w:rFonts w:ascii="宋体" w:hAnsi="宋体" w:cs="Arial"/>
          <w:sz w:val="26"/>
          <w:szCs w:val="26"/>
        </w:rPr>
        <w:t>(</w:t>
      </w:r>
      <w:r>
        <w:rPr>
          <w:rFonts w:ascii="Arial" w:cs="Arial"/>
          <w:sz w:val="26"/>
          <w:szCs w:val="26"/>
        </w:rPr>
        <w:t>水库</w:t>
      </w:r>
      <w:r>
        <w:rPr>
          <w:rFonts w:ascii="宋体" w:hAnsi="宋体" w:cs="Arial"/>
          <w:sz w:val="26"/>
          <w:szCs w:val="26"/>
        </w:rPr>
        <w:t>)</w:t>
      </w:r>
      <w:r>
        <w:rPr>
          <w:rFonts w:ascii="Arial" w:cs="Arial"/>
          <w:sz w:val="26"/>
          <w:szCs w:val="26"/>
        </w:rPr>
        <w:t>的</w:t>
      </w:r>
      <w:r>
        <w:rPr>
          <w:rFonts w:ascii="Arial" w:hAnsi="Arial" w:cs="Arial"/>
          <w:sz w:val="26"/>
          <w:szCs w:val="26"/>
        </w:rPr>
        <w:t>chla</w:t>
      </w:r>
      <w:r>
        <w:rPr>
          <w:rFonts w:ascii="Arial" w:cs="Arial"/>
          <w:sz w:val="26"/>
          <w:szCs w:val="26"/>
        </w:rPr>
        <w:t>与其它参数之间的相关关系</w:t>
      </w:r>
      <w:r>
        <w:rPr>
          <w:rFonts w:ascii="Arial" w:hAnsi="Arial" w:cs="Arial"/>
          <w:sz w:val="26"/>
          <w:szCs w:val="26"/>
        </w:rPr>
        <w:t>r</w:t>
      </w:r>
      <w:r>
        <w:rPr>
          <w:rFonts w:ascii="Arial" w:hAnsi="Arial" w:cs="Arial"/>
          <w:sz w:val="26"/>
          <w:szCs w:val="26"/>
          <w:vertAlign w:val="subscript"/>
        </w:rPr>
        <w:t>ij</w:t>
      </w:r>
      <w:r>
        <w:rPr>
          <w:rFonts w:ascii="Arial" w:cs="Arial"/>
          <w:sz w:val="26"/>
          <w:szCs w:val="26"/>
        </w:rPr>
        <w:t>及</w:t>
      </w:r>
      <w:r>
        <w:rPr>
          <w:rFonts w:ascii="Arial" w:hAnsi="Arial" w:cs="Arial"/>
          <w:sz w:val="26"/>
          <w:szCs w:val="26"/>
        </w:rPr>
        <w:t>r</w:t>
      </w:r>
      <w:r>
        <w:rPr>
          <w:rFonts w:ascii="Arial" w:hAnsi="Arial" w:cs="Arial"/>
          <w:sz w:val="26"/>
          <w:szCs w:val="26"/>
          <w:vertAlign w:val="subscript"/>
        </w:rPr>
        <w:t>ij</w:t>
      </w:r>
      <w:r>
        <w:rPr>
          <w:rFonts w:ascii="Arial" w:hAnsi="Arial" w:cs="Arial"/>
          <w:sz w:val="26"/>
          <w:szCs w:val="26"/>
          <w:vertAlign w:val="superscript"/>
        </w:rPr>
        <w:t>2</w:t>
      </w:r>
      <w:r>
        <w:rPr>
          <w:rFonts w:ascii="Arial" w:cs="Arial"/>
          <w:sz w:val="26"/>
          <w:szCs w:val="26"/>
        </w:rPr>
        <w:t>见下表。</w:t>
      </w:r>
    </w:p>
    <w:p w14:paraId="1B648B0A">
      <w:pPr>
        <w:spacing w:line="460" w:lineRule="exact"/>
        <w:jc w:val="center"/>
        <w:outlineLvl w:val="4"/>
        <w:rPr>
          <w:bCs/>
          <w:kern w:val="0"/>
          <w:sz w:val="26"/>
          <w:szCs w:val="26"/>
        </w:rPr>
      </w:pPr>
      <w:r>
        <w:rPr>
          <w:rFonts w:hint="eastAsia" w:ascii="Arial" w:hAnsi="宋体" w:cs="Arial"/>
          <w:b/>
          <w:sz w:val="26"/>
          <w:szCs w:val="26"/>
        </w:rPr>
        <w:t>表</w:t>
      </w:r>
      <w:r>
        <w:rPr>
          <w:rFonts w:hint="eastAsia" w:ascii="Arial" w:hAnsi="宋体" w:cs="Arial"/>
          <w:b/>
          <w:sz w:val="26"/>
          <w:szCs w:val="26"/>
          <w:lang w:val="en-US" w:eastAsia="zh-CN"/>
        </w:rPr>
        <w:t>6.5-8</w:t>
      </w:r>
      <w:r>
        <w:rPr>
          <w:rFonts w:hint="eastAsia" w:ascii="Arial" w:hAnsi="宋体" w:cs="Arial"/>
          <w:b/>
          <w:sz w:val="26"/>
          <w:szCs w:val="26"/>
        </w:rPr>
        <w:t xml:space="preserve"> 中国湖泊（水库）部分参数与</w:t>
      </w:r>
      <w:r>
        <w:rPr>
          <w:rFonts w:ascii="Arial" w:hAnsi="宋体" w:cs="Arial"/>
          <w:b/>
          <w:sz w:val="26"/>
          <w:szCs w:val="26"/>
        </w:rPr>
        <w:t>chla</w:t>
      </w:r>
      <w:r>
        <w:rPr>
          <w:rFonts w:hint="eastAsia" w:ascii="Arial" w:hAnsi="宋体" w:cs="Arial"/>
          <w:b/>
          <w:sz w:val="26"/>
          <w:szCs w:val="26"/>
        </w:rPr>
        <w:t>的相关关系</w:t>
      </w:r>
      <w:r>
        <w:rPr>
          <w:rFonts w:ascii="Arial" w:hAnsi="宋体" w:cs="Arial"/>
          <w:b/>
          <w:sz w:val="26"/>
          <w:szCs w:val="26"/>
        </w:rPr>
        <w:t>r</w:t>
      </w:r>
      <w:r>
        <w:rPr>
          <w:rFonts w:ascii="Arial" w:hAnsi="宋体" w:cs="Arial"/>
          <w:b/>
          <w:sz w:val="26"/>
          <w:szCs w:val="26"/>
          <w:vertAlign w:val="subscript"/>
        </w:rPr>
        <w:t>ij</w:t>
      </w:r>
      <w:r>
        <w:rPr>
          <w:rFonts w:hint="eastAsia" w:ascii="Arial" w:hAnsi="宋体" w:cs="Arial"/>
          <w:b/>
          <w:sz w:val="26"/>
          <w:szCs w:val="26"/>
        </w:rPr>
        <w:t>和</w:t>
      </w:r>
      <w:r>
        <w:rPr>
          <w:rFonts w:ascii="Arial" w:hAnsi="宋体" w:cs="Arial"/>
          <w:b/>
          <w:sz w:val="26"/>
          <w:szCs w:val="26"/>
        </w:rPr>
        <w:t>r</w:t>
      </w:r>
      <w:r>
        <w:rPr>
          <w:rFonts w:ascii="Arial" w:hAnsi="宋体" w:cs="Arial"/>
          <w:b/>
          <w:sz w:val="26"/>
          <w:szCs w:val="26"/>
          <w:vertAlign w:val="subscript"/>
        </w:rPr>
        <w:t>ij</w:t>
      </w:r>
      <w:r>
        <w:rPr>
          <w:rFonts w:ascii="Arial" w:hAnsi="宋体" w:cs="Arial"/>
          <w:b/>
          <w:sz w:val="26"/>
          <w:szCs w:val="26"/>
          <w:vertAlign w:val="superscript"/>
        </w:rPr>
        <w:t>2</w:t>
      </w:r>
      <w:r>
        <w:rPr>
          <w:rFonts w:hint="eastAsia" w:ascii="Arial" w:hAnsi="宋体" w:cs="Arial"/>
          <w:b/>
          <w:sz w:val="26"/>
          <w:szCs w:val="26"/>
        </w:rPr>
        <w:t>值</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89"/>
        <w:gridCol w:w="1138"/>
        <w:gridCol w:w="1629"/>
        <w:gridCol w:w="1629"/>
        <w:gridCol w:w="1629"/>
        <w:gridCol w:w="1425"/>
      </w:tblGrid>
      <w:tr w14:paraId="7F6CBB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9" w:type="dxa"/>
            <w:noWrap w:val="0"/>
            <w:vAlign w:val="center"/>
          </w:tcPr>
          <w:p w14:paraId="6B9EC387">
            <w:pPr>
              <w:spacing w:line="300" w:lineRule="exact"/>
              <w:jc w:val="center"/>
              <w:rPr>
                <w:rFonts w:ascii="Arial" w:hAnsi="Arial" w:cs="Arial"/>
                <w:kern w:val="0"/>
                <w:sz w:val="22"/>
                <w:szCs w:val="22"/>
              </w:rPr>
            </w:pPr>
            <w:r>
              <w:rPr>
                <w:rFonts w:ascii="Arial" w:cs="Arial"/>
                <w:kern w:val="0"/>
                <w:sz w:val="22"/>
                <w:szCs w:val="22"/>
              </w:rPr>
              <w:t>参数</w:t>
            </w:r>
          </w:p>
        </w:tc>
        <w:tc>
          <w:tcPr>
            <w:tcW w:w="1138" w:type="dxa"/>
            <w:noWrap w:val="0"/>
            <w:vAlign w:val="center"/>
          </w:tcPr>
          <w:p w14:paraId="7E2890BE">
            <w:pPr>
              <w:spacing w:line="300" w:lineRule="exact"/>
              <w:jc w:val="center"/>
              <w:rPr>
                <w:rFonts w:ascii="Arial" w:hAnsi="Arial" w:cs="Arial"/>
                <w:kern w:val="0"/>
                <w:sz w:val="22"/>
                <w:szCs w:val="22"/>
              </w:rPr>
            </w:pPr>
            <w:r>
              <w:rPr>
                <w:rFonts w:ascii="Arial" w:hAnsi="Arial" w:cs="Arial"/>
                <w:kern w:val="0"/>
                <w:sz w:val="22"/>
                <w:szCs w:val="22"/>
              </w:rPr>
              <w:t>chla</w:t>
            </w:r>
          </w:p>
        </w:tc>
        <w:tc>
          <w:tcPr>
            <w:tcW w:w="1629" w:type="dxa"/>
            <w:noWrap w:val="0"/>
            <w:vAlign w:val="center"/>
          </w:tcPr>
          <w:p w14:paraId="4EC39223">
            <w:pPr>
              <w:spacing w:line="300" w:lineRule="exact"/>
              <w:jc w:val="center"/>
              <w:rPr>
                <w:rFonts w:ascii="Arial" w:hAnsi="Arial" w:cs="Arial"/>
                <w:kern w:val="0"/>
                <w:sz w:val="22"/>
                <w:szCs w:val="22"/>
              </w:rPr>
            </w:pPr>
            <w:r>
              <w:rPr>
                <w:rFonts w:ascii="Arial" w:hAnsi="Arial" w:cs="Arial"/>
                <w:kern w:val="0"/>
                <w:sz w:val="22"/>
                <w:szCs w:val="22"/>
              </w:rPr>
              <w:t>TP</w:t>
            </w:r>
          </w:p>
        </w:tc>
        <w:tc>
          <w:tcPr>
            <w:tcW w:w="1629" w:type="dxa"/>
            <w:noWrap w:val="0"/>
            <w:vAlign w:val="center"/>
          </w:tcPr>
          <w:p w14:paraId="76DFFADA">
            <w:pPr>
              <w:spacing w:line="300" w:lineRule="exact"/>
              <w:jc w:val="center"/>
              <w:rPr>
                <w:rFonts w:ascii="Arial" w:hAnsi="Arial" w:cs="Arial"/>
                <w:kern w:val="0"/>
                <w:sz w:val="22"/>
                <w:szCs w:val="22"/>
              </w:rPr>
            </w:pPr>
            <w:r>
              <w:rPr>
                <w:rFonts w:ascii="Arial" w:hAnsi="Arial" w:cs="Arial"/>
                <w:kern w:val="0"/>
                <w:sz w:val="22"/>
                <w:szCs w:val="22"/>
              </w:rPr>
              <w:t>TN</w:t>
            </w:r>
          </w:p>
        </w:tc>
        <w:tc>
          <w:tcPr>
            <w:tcW w:w="1629" w:type="dxa"/>
            <w:noWrap w:val="0"/>
            <w:vAlign w:val="center"/>
          </w:tcPr>
          <w:p w14:paraId="001830C6">
            <w:pPr>
              <w:spacing w:line="300" w:lineRule="exact"/>
              <w:jc w:val="center"/>
              <w:rPr>
                <w:rFonts w:ascii="Arial" w:hAnsi="Arial" w:cs="Arial"/>
                <w:kern w:val="0"/>
                <w:sz w:val="22"/>
                <w:szCs w:val="22"/>
              </w:rPr>
            </w:pPr>
            <w:r>
              <w:rPr>
                <w:rFonts w:ascii="Arial" w:hAnsi="Arial" w:cs="Arial"/>
                <w:kern w:val="0"/>
                <w:sz w:val="22"/>
                <w:szCs w:val="22"/>
              </w:rPr>
              <w:t>SD</w:t>
            </w:r>
          </w:p>
        </w:tc>
        <w:tc>
          <w:tcPr>
            <w:tcW w:w="1425" w:type="dxa"/>
            <w:noWrap w:val="0"/>
            <w:vAlign w:val="center"/>
          </w:tcPr>
          <w:p w14:paraId="7B862AA2">
            <w:pPr>
              <w:spacing w:line="300" w:lineRule="exact"/>
              <w:jc w:val="center"/>
              <w:rPr>
                <w:rFonts w:ascii="Arial" w:hAnsi="Arial" w:cs="Arial"/>
                <w:kern w:val="0"/>
                <w:sz w:val="22"/>
                <w:szCs w:val="22"/>
              </w:rPr>
            </w:pPr>
            <w:r>
              <w:rPr>
                <w:rFonts w:ascii="Arial" w:hAnsi="Arial" w:cs="Arial"/>
                <w:kern w:val="0"/>
                <w:sz w:val="22"/>
                <w:szCs w:val="22"/>
              </w:rPr>
              <w:t>COD</w:t>
            </w:r>
            <w:r>
              <w:rPr>
                <w:rFonts w:ascii="Arial" w:hAnsi="Arial" w:eastAsia="Times New Roman" w:cs="Arial"/>
                <w:kern w:val="0"/>
                <w:sz w:val="22"/>
                <w:szCs w:val="22"/>
                <w:vertAlign w:val="subscript"/>
              </w:rPr>
              <w:t>Mn</w:t>
            </w:r>
          </w:p>
        </w:tc>
      </w:tr>
      <w:tr w14:paraId="1DC724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9" w:type="dxa"/>
            <w:noWrap w:val="0"/>
            <w:vAlign w:val="center"/>
          </w:tcPr>
          <w:p w14:paraId="30BCA416">
            <w:pPr>
              <w:spacing w:line="300" w:lineRule="exact"/>
              <w:jc w:val="center"/>
              <w:rPr>
                <w:rFonts w:ascii="Arial" w:hAnsi="Arial" w:cs="Arial"/>
                <w:kern w:val="0"/>
                <w:sz w:val="22"/>
                <w:szCs w:val="22"/>
              </w:rPr>
            </w:pPr>
            <w:bookmarkStart w:id="118" w:name="_Hlk321931847"/>
            <w:r>
              <w:rPr>
                <w:rFonts w:ascii="Arial" w:hAnsi="Arial" w:cs="Arial"/>
                <w:kern w:val="0"/>
                <w:sz w:val="22"/>
                <w:szCs w:val="22"/>
              </w:rPr>
              <w:t>r</w:t>
            </w:r>
            <w:r>
              <w:rPr>
                <w:rFonts w:ascii="Arial" w:hAnsi="Arial" w:cs="Arial"/>
                <w:kern w:val="0"/>
                <w:sz w:val="22"/>
                <w:szCs w:val="22"/>
                <w:vertAlign w:val="subscript"/>
              </w:rPr>
              <w:t>ij</w:t>
            </w:r>
          </w:p>
        </w:tc>
        <w:tc>
          <w:tcPr>
            <w:tcW w:w="1138" w:type="dxa"/>
            <w:noWrap w:val="0"/>
            <w:vAlign w:val="center"/>
          </w:tcPr>
          <w:p w14:paraId="7BD23392">
            <w:pPr>
              <w:spacing w:line="300" w:lineRule="exact"/>
              <w:jc w:val="center"/>
              <w:rPr>
                <w:rFonts w:ascii="Arial" w:hAnsi="Arial" w:cs="Arial"/>
                <w:kern w:val="0"/>
                <w:sz w:val="22"/>
                <w:szCs w:val="22"/>
              </w:rPr>
            </w:pPr>
            <w:r>
              <w:rPr>
                <w:rFonts w:ascii="Arial" w:hAnsi="Arial" w:cs="Arial"/>
                <w:kern w:val="0"/>
                <w:sz w:val="22"/>
                <w:szCs w:val="22"/>
              </w:rPr>
              <w:t>1</w:t>
            </w:r>
          </w:p>
        </w:tc>
        <w:tc>
          <w:tcPr>
            <w:tcW w:w="1629" w:type="dxa"/>
            <w:noWrap w:val="0"/>
            <w:vAlign w:val="center"/>
          </w:tcPr>
          <w:p w14:paraId="5221537A">
            <w:pPr>
              <w:spacing w:line="300" w:lineRule="exact"/>
              <w:jc w:val="center"/>
              <w:rPr>
                <w:rFonts w:ascii="Arial" w:hAnsi="Arial" w:cs="Arial"/>
                <w:kern w:val="0"/>
                <w:sz w:val="22"/>
                <w:szCs w:val="22"/>
              </w:rPr>
            </w:pPr>
            <w:r>
              <w:rPr>
                <w:rFonts w:ascii="Arial" w:hAnsi="Arial" w:cs="Arial"/>
                <w:kern w:val="0"/>
                <w:sz w:val="22"/>
                <w:szCs w:val="22"/>
              </w:rPr>
              <w:t>0.84</w:t>
            </w:r>
          </w:p>
        </w:tc>
        <w:tc>
          <w:tcPr>
            <w:tcW w:w="1629" w:type="dxa"/>
            <w:noWrap w:val="0"/>
            <w:vAlign w:val="center"/>
          </w:tcPr>
          <w:p w14:paraId="34C3CD2D">
            <w:pPr>
              <w:spacing w:line="300" w:lineRule="exact"/>
              <w:jc w:val="center"/>
              <w:rPr>
                <w:rFonts w:ascii="Arial" w:hAnsi="Arial" w:cs="Arial"/>
                <w:kern w:val="0"/>
                <w:sz w:val="22"/>
                <w:szCs w:val="22"/>
              </w:rPr>
            </w:pPr>
            <w:r>
              <w:rPr>
                <w:rFonts w:ascii="Arial" w:hAnsi="Arial" w:cs="Arial"/>
                <w:kern w:val="0"/>
                <w:sz w:val="22"/>
                <w:szCs w:val="22"/>
              </w:rPr>
              <w:t>0.82</w:t>
            </w:r>
          </w:p>
        </w:tc>
        <w:tc>
          <w:tcPr>
            <w:tcW w:w="1629" w:type="dxa"/>
            <w:noWrap w:val="0"/>
            <w:vAlign w:val="center"/>
          </w:tcPr>
          <w:p w14:paraId="31B638C8">
            <w:pPr>
              <w:spacing w:line="300" w:lineRule="exact"/>
              <w:jc w:val="center"/>
              <w:rPr>
                <w:rFonts w:ascii="Arial" w:hAnsi="Arial" w:cs="Arial"/>
                <w:kern w:val="0"/>
                <w:sz w:val="22"/>
                <w:szCs w:val="22"/>
              </w:rPr>
            </w:pPr>
            <w:r>
              <w:rPr>
                <w:rFonts w:ascii="Arial" w:hAnsi="Arial" w:cs="Arial"/>
                <w:kern w:val="0"/>
                <w:sz w:val="22"/>
                <w:szCs w:val="22"/>
              </w:rPr>
              <w:t>-0.83</w:t>
            </w:r>
          </w:p>
        </w:tc>
        <w:tc>
          <w:tcPr>
            <w:tcW w:w="1425" w:type="dxa"/>
            <w:noWrap w:val="0"/>
            <w:vAlign w:val="center"/>
          </w:tcPr>
          <w:p w14:paraId="28044DB3">
            <w:pPr>
              <w:spacing w:line="300" w:lineRule="exact"/>
              <w:jc w:val="center"/>
              <w:rPr>
                <w:rFonts w:ascii="Arial" w:hAnsi="Arial" w:cs="Arial"/>
                <w:kern w:val="0"/>
                <w:sz w:val="22"/>
                <w:szCs w:val="22"/>
              </w:rPr>
            </w:pPr>
            <w:r>
              <w:rPr>
                <w:rFonts w:ascii="Arial" w:hAnsi="Arial" w:cs="Arial"/>
                <w:kern w:val="0"/>
                <w:sz w:val="22"/>
                <w:szCs w:val="22"/>
              </w:rPr>
              <w:t>0.83</w:t>
            </w:r>
          </w:p>
        </w:tc>
      </w:tr>
      <w:tr w14:paraId="4BC787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9" w:type="dxa"/>
            <w:noWrap w:val="0"/>
            <w:vAlign w:val="center"/>
          </w:tcPr>
          <w:p w14:paraId="053A228B">
            <w:pPr>
              <w:spacing w:line="300" w:lineRule="exact"/>
              <w:jc w:val="center"/>
              <w:rPr>
                <w:rFonts w:ascii="Arial" w:hAnsi="Arial" w:cs="Arial"/>
                <w:kern w:val="0"/>
                <w:sz w:val="22"/>
                <w:szCs w:val="22"/>
              </w:rPr>
            </w:pPr>
            <w:r>
              <w:rPr>
                <w:rFonts w:ascii="Arial" w:hAnsi="Arial" w:cs="Arial"/>
                <w:kern w:val="0"/>
                <w:sz w:val="22"/>
                <w:szCs w:val="22"/>
              </w:rPr>
              <w:t>r</w:t>
            </w:r>
            <w:r>
              <w:rPr>
                <w:rFonts w:ascii="Arial" w:hAnsi="Arial" w:cs="Arial"/>
                <w:kern w:val="0"/>
                <w:sz w:val="22"/>
                <w:szCs w:val="22"/>
                <w:vertAlign w:val="subscript"/>
              </w:rPr>
              <w:t>ij</w:t>
            </w:r>
            <w:r>
              <w:rPr>
                <w:rFonts w:ascii="Arial" w:hAnsi="Arial" w:eastAsia="Times New Roman" w:cs="Arial"/>
                <w:kern w:val="0"/>
                <w:sz w:val="22"/>
                <w:szCs w:val="22"/>
                <w:vertAlign w:val="superscript"/>
              </w:rPr>
              <w:t>2</w:t>
            </w:r>
          </w:p>
        </w:tc>
        <w:tc>
          <w:tcPr>
            <w:tcW w:w="1138" w:type="dxa"/>
            <w:noWrap w:val="0"/>
            <w:vAlign w:val="center"/>
          </w:tcPr>
          <w:p w14:paraId="10609C79">
            <w:pPr>
              <w:spacing w:line="300" w:lineRule="exact"/>
              <w:jc w:val="center"/>
              <w:rPr>
                <w:rFonts w:ascii="Arial" w:hAnsi="Arial" w:cs="Arial"/>
                <w:kern w:val="0"/>
                <w:sz w:val="22"/>
                <w:szCs w:val="22"/>
              </w:rPr>
            </w:pPr>
            <w:r>
              <w:rPr>
                <w:rFonts w:ascii="Arial" w:hAnsi="Arial" w:cs="Arial"/>
                <w:kern w:val="0"/>
                <w:sz w:val="22"/>
                <w:szCs w:val="22"/>
              </w:rPr>
              <w:t>1</w:t>
            </w:r>
          </w:p>
        </w:tc>
        <w:tc>
          <w:tcPr>
            <w:tcW w:w="1629" w:type="dxa"/>
            <w:noWrap w:val="0"/>
            <w:vAlign w:val="center"/>
          </w:tcPr>
          <w:p w14:paraId="2D9FC8F7">
            <w:pPr>
              <w:spacing w:line="300" w:lineRule="exact"/>
              <w:jc w:val="center"/>
              <w:rPr>
                <w:rFonts w:ascii="Arial" w:hAnsi="Arial" w:cs="Arial"/>
                <w:kern w:val="0"/>
                <w:sz w:val="22"/>
                <w:szCs w:val="22"/>
              </w:rPr>
            </w:pPr>
            <w:r>
              <w:rPr>
                <w:rFonts w:ascii="Arial" w:hAnsi="Arial" w:cs="Arial"/>
                <w:kern w:val="0"/>
                <w:sz w:val="22"/>
                <w:szCs w:val="22"/>
              </w:rPr>
              <w:t>0.7056</w:t>
            </w:r>
          </w:p>
        </w:tc>
        <w:tc>
          <w:tcPr>
            <w:tcW w:w="1629" w:type="dxa"/>
            <w:noWrap w:val="0"/>
            <w:vAlign w:val="center"/>
          </w:tcPr>
          <w:p w14:paraId="208339EC">
            <w:pPr>
              <w:spacing w:line="300" w:lineRule="exact"/>
              <w:jc w:val="center"/>
              <w:rPr>
                <w:rFonts w:ascii="Arial" w:hAnsi="Arial" w:cs="Arial"/>
                <w:kern w:val="0"/>
                <w:sz w:val="22"/>
                <w:szCs w:val="22"/>
              </w:rPr>
            </w:pPr>
            <w:r>
              <w:rPr>
                <w:rFonts w:ascii="Arial" w:hAnsi="Arial" w:cs="Arial"/>
                <w:kern w:val="0"/>
                <w:sz w:val="22"/>
                <w:szCs w:val="22"/>
              </w:rPr>
              <w:t>0.6724</w:t>
            </w:r>
          </w:p>
        </w:tc>
        <w:tc>
          <w:tcPr>
            <w:tcW w:w="1629" w:type="dxa"/>
            <w:noWrap w:val="0"/>
            <w:vAlign w:val="center"/>
          </w:tcPr>
          <w:p w14:paraId="573AABF9">
            <w:pPr>
              <w:spacing w:line="300" w:lineRule="exact"/>
              <w:jc w:val="center"/>
              <w:rPr>
                <w:rFonts w:ascii="Arial" w:hAnsi="Arial" w:cs="Arial"/>
                <w:kern w:val="0"/>
                <w:sz w:val="22"/>
                <w:szCs w:val="22"/>
              </w:rPr>
            </w:pPr>
            <w:r>
              <w:rPr>
                <w:rFonts w:ascii="Arial" w:hAnsi="Arial" w:cs="Arial"/>
                <w:kern w:val="0"/>
                <w:sz w:val="22"/>
                <w:szCs w:val="22"/>
              </w:rPr>
              <w:t>0.6889</w:t>
            </w:r>
          </w:p>
        </w:tc>
        <w:tc>
          <w:tcPr>
            <w:tcW w:w="1425" w:type="dxa"/>
            <w:noWrap w:val="0"/>
            <w:vAlign w:val="center"/>
          </w:tcPr>
          <w:p w14:paraId="25470CD4">
            <w:pPr>
              <w:spacing w:line="300" w:lineRule="exact"/>
              <w:jc w:val="center"/>
              <w:rPr>
                <w:rFonts w:ascii="Arial" w:hAnsi="Arial" w:cs="Arial"/>
                <w:kern w:val="0"/>
                <w:sz w:val="22"/>
                <w:szCs w:val="22"/>
              </w:rPr>
            </w:pPr>
            <w:r>
              <w:rPr>
                <w:rFonts w:ascii="Arial" w:hAnsi="Arial" w:cs="Arial"/>
                <w:kern w:val="0"/>
                <w:sz w:val="22"/>
                <w:szCs w:val="22"/>
              </w:rPr>
              <w:t>0.6889</w:t>
            </w:r>
          </w:p>
        </w:tc>
      </w:tr>
      <w:bookmarkEnd w:id="118"/>
    </w:tbl>
    <w:p w14:paraId="418BD0E2">
      <w:pPr>
        <w:spacing w:line="300" w:lineRule="exact"/>
        <w:rPr>
          <w:rFonts w:ascii="Arial" w:hAnsi="Arial" w:eastAsia="Times New Roman" w:cs="Arial"/>
          <w:kern w:val="0"/>
          <w:sz w:val="22"/>
          <w:szCs w:val="22"/>
        </w:rPr>
      </w:pPr>
      <w:r>
        <w:rPr>
          <w:rFonts w:ascii="Arial" w:cs="Arial"/>
          <w:kern w:val="0"/>
          <w:sz w:val="22"/>
          <w:szCs w:val="22"/>
        </w:rPr>
        <w:t>注：引自金相灿等著《中国湖泊环境》，表中</w:t>
      </w:r>
      <w:r>
        <w:rPr>
          <w:rFonts w:ascii="Arial" w:hAnsi="Arial" w:cs="Arial"/>
          <w:kern w:val="0"/>
          <w:sz w:val="22"/>
          <w:szCs w:val="22"/>
        </w:rPr>
        <w:t>r</w:t>
      </w:r>
      <w:r>
        <w:rPr>
          <w:rFonts w:ascii="Arial" w:hAnsi="Arial" w:cs="Arial"/>
          <w:kern w:val="0"/>
          <w:sz w:val="22"/>
          <w:szCs w:val="22"/>
          <w:vertAlign w:val="subscript"/>
        </w:rPr>
        <w:t>ij</w:t>
      </w:r>
      <w:r>
        <w:rPr>
          <w:rFonts w:ascii="Arial" w:cs="Arial"/>
          <w:kern w:val="0"/>
          <w:sz w:val="22"/>
          <w:szCs w:val="22"/>
        </w:rPr>
        <w:t>来源于中国</w:t>
      </w:r>
      <w:r>
        <w:rPr>
          <w:rFonts w:ascii="Arial" w:hAnsi="Arial" w:eastAsia="Times New Roman" w:cs="Arial"/>
          <w:kern w:val="0"/>
          <w:sz w:val="22"/>
          <w:szCs w:val="22"/>
        </w:rPr>
        <w:t>26</w:t>
      </w:r>
      <w:r>
        <w:rPr>
          <w:rFonts w:ascii="Arial" w:hAnsi="宋体" w:cs="Arial"/>
          <w:kern w:val="0"/>
          <w:sz w:val="22"/>
          <w:szCs w:val="22"/>
        </w:rPr>
        <w:t>个主要湖泊调查数据的计算结果。</w:t>
      </w:r>
    </w:p>
    <w:p w14:paraId="6276671E">
      <w:pPr>
        <w:spacing w:line="240" w:lineRule="exact"/>
        <w:jc w:val="center"/>
        <w:rPr>
          <w:rFonts w:eastAsia="Times New Roman"/>
          <w:kern w:val="0"/>
          <w:sz w:val="26"/>
          <w:szCs w:val="26"/>
        </w:rPr>
      </w:pPr>
    </w:p>
    <w:p w14:paraId="1DA30528">
      <w:pPr>
        <w:spacing w:line="460" w:lineRule="exact"/>
        <w:ind w:firstLine="520"/>
        <w:rPr>
          <w:rFonts w:ascii="Arial" w:hAnsi="Arial" w:cs="Arial"/>
          <w:sz w:val="26"/>
          <w:szCs w:val="26"/>
        </w:rPr>
      </w:pPr>
      <w:r>
        <w:rPr>
          <w:rFonts w:ascii="Arial" w:cs="Arial"/>
          <w:sz w:val="26"/>
          <w:szCs w:val="26"/>
        </w:rPr>
        <w:t>营养状态指数计算公式为：</w:t>
      </w:r>
    </w:p>
    <w:p w14:paraId="70EE230F">
      <w:pPr>
        <w:spacing w:line="460" w:lineRule="exact"/>
        <w:ind w:firstLine="520"/>
        <w:rPr>
          <w:rFonts w:ascii="Arial" w:hAnsi="Arial" w:cs="Arial"/>
          <w:sz w:val="26"/>
          <w:szCs w:val="26"/>
        </w:rPr>
      </w:pPr>
      <w:r>
        <w:rPr>
          <w:rFonts w:ascii="Arial" w:hAnsi="Arial" w:cs="Arial"/>
          <w:sz w:val="26"/>
          <w:szCs w:val="26"/>
        </w:rPr>
        <w:t>TLI</w:t>
      </w:r>
      <w:r>
        <w:rPr>
          <w:rFonts w:ascii="Arial" w:cs="Arial"/>
          <w:sz w:val="26"/>
          <w:szCs w:val="26"/>
        </w:rPr>
        <w:t>（</w:t>
      </w:r>
      <w:r>
        <w:rPr>
          <w:rFonts w:ascii="Arial" w:hAnsi="Arial" w:cs="Arial"/>
          <w:sz w:val="26"/>
          <w:szCs w:val="26"/>
        </w:rPr>
        <w:t>chl</w:t>
      </w:r>
      <w:r>
        <w:rPr>
          <w:rFonts w:ascii="Arial" w:cs="Arial"/>
          <w:sz w:val="26"/>
          <w:szCs w:val="26"/>
        </w:rPr>
        <w:t>，叶绿素</w:t>
      </w:r>
      <w:r>
        <w:rPr>
          <w:rFonts w:ascii="Arial" w:hAnsi="Arial" w:cs="Arial"/>
          <w:sz w:val="26"/>
          <w:szCs w:val="26"/>
        </w:rPr>
        <w:t>a</w:t>
      </w:r>
      <w:r>
        <w:rPr>
          <w:rFonts w:ascii="Arial" w:cs="Arial"/>
          <w:sz w:val="26"/>
          <w:szCs w:val="26"/>
        </w:rPr>
        <w:t>，</w:t>
      </w:r>
      <w:r>
        <w:rPr>
          <w:rFonts w:ascii="Arial" w:hAnsi="Arial" w:cs="Arial"/>
          <w:sz w:val="26"/>
          <w:szCs w:val="26"/>
        </w:rPr>
        <w:t>mg/m</w:t>
      </w:r>
      <w:r>
        <w:rPr>
          <w:rFonts w:ascii="Arial" w:hAnsi="Arial" w:cs="Arial"/>
          <w:sz w:val="26"/>
          <w:szCs w:val="26"/>
          <w:vertAlign w:val="superscript"/>
        </w:rPr>
        <w:t>3</w:t>
      </w:r>
      <w:r>
        <w:rPr>
          <w:rFonts w:ascii="Arial" w:cs="Arial"/>
          <w:sz w:val="26"/>
          <w:szCs w:val="26"/>
        </w:rPr>
        <w:t>）</w:t>
      </w:r>
      <w:r>
        <w:rPr>
          <w:rFonts w:ascii="Arial" w:hAnsi="Arial" w:cs="Arial"/>
          <w:sz w:val="26"/>
          <w:szCs w:val="26"/>
        </w:rPr>
        <w:t>=10</w:t>
      </w:r>
      <w:r>
        <w:rPr>
          <w:rFonts w:ascii="Arial" w:cs="Arial"/>
          <w:sz w:val="26"/>
          <w:szCs w:val="26"/>
        </w:rPr>
        <w:t>（</w:t>
      </w:r>
      <w:r>
        <w:rPr>
          <w:rFonts w:ascii="Arial" w:hAnsi="Arial" w:cs="Arial"/>
          <w:sz w:val="26"/>
          <w:szCs w:val="26"/>
        </w:rPr>
        <w:t>2.5+1.086lnchl</w:t>
      </w:r>
      <w:r>
        <w:rPr>
          <w:rFonts w:ascii="Arial" w:cs="Arial"/>
          <w:sz w:val="26"/>
          <w:szCs w:val="26"/>
        </w:rPr>
        <w:t>）</w:t>
      </w:r>
    </w:p>
    <w:p w14:paraId="06BEFDBE">
      <w:pPr>
        <w:spacing w:line="460" w:lineRule="exact"/>
        <w:ind w:firstLine="520"/>
        <w:rPr>
          <w:rFonts w:hint="default" w:ascii="Arial" w:hAnsi="Arial" w:eastAsia="宋体" w:cs="Arial"/>
          <w:sz w:val="26"/>
          <w:szCs w:val="26"/>
          <w:lang w:val="en-US" w:eastAsia="zh-CN"/>
        </w:rPr>
      </w:pPr>
      <w:r>
        <w:rPr>
          <w:rFonts w:ascii="Arial" w:hAnsi="Arial" w:cs="Arial"/>
          <w:sz w:val="26"/>
          <w:szCs w:val="26"/>
        </w:rPr>
        <w:t>TLI</w:t>
      </w:r>
      <w:r>
        <w:rPr>
          <w:rFonts w:ascii="Arial" w:cs="Arial"/>
          <w:sz w:val="26"/>
          <w:szCs w:val="26"/>
        </w:rPr>
        <w:t>（</w:t>
      </w:r>
      <w:r>
        <w:rPr>
          <w:rFonts w:ascii="Arial" w:hAnsi="Arial" w:cs="Arial"/>
          <w:sz w:val="26"/>
          <w:szCs w:val="26"/>
        </w:rPr>
        <w:t>TP</w:t>
      </w:r>
      <w:r>
        <w:rPr>
          <w:rFonts w:ascii="Arial" w:cs="Arial"/>
          <w:sz w:val="26"/>
          <w:szCs w:val="26"/>
        </w:rPr>
        <w:t>，总磷，</w:t>
      </w:r>
      <w:r>
        <w:rPr>
          <w:rFonts w:ascii="Arial" w:hAnsi="Arial" w:cs="Arial"/>
          <w:sz w:val="26"/>
          <w:szCs w:val="26"/>
        </w:rPr>
        <w:t>mg/L</w:t>
      </w:r>
      <w:r>
        <w:rPr>
          <w:rFonts w:ascii="Arial" w:cs="Arial"/>
          <w:sz w:val="26"/>
          <w:szCs w:val="26"/>
        </w:rPr>
        <w:t>）</w:t>
      </w:r>
      <w:r>
        <w:rPr>
          <w:rFonts w:ascii="Arial" w:hAnsi="Arial" w:cs="Arial"/>
          <w:sz w:val="26"/>
          <w:szCs w:val="26"/>
        </w:rPr>
        <w:t>=10</w:t>
      </w:r>
      <w:r>
        <w:rPr>
          <w:rFonts w:ascii="Arial" w:cs="Arial"/>
          <w:sz w:val="26"/>
          <w:szCs w:val="26"/>
        </w:rPr>
        <w:t>（</w:t>
      </w:r>
      <w:r>
        <w:rPr>
          <w:rFonts w:ascii="Arial" w:hAnsi="Arial" w:cs="Arial"/>
          <w:sz w:val="26"/>
          <w:szCs w:val="26"/>
        </w:rPr>
        <w:t>9.436+1.624lnTP</w:t>
      </w:r>
      <w:r>
        <w:rPr>
          <w:rFonts w:ascii="Arial" w:cs="Arial"/>
          <w:sz w:val="26"/>
          <w:szCs w:val="26"/>
        </w:rPr>
        <w:t>）</w:t>
      </w:r>
    </w:p>
    <w:p w14:paraId="6B1A9683">
      <w:pPr>
        <w:spacing w:line="460" w:lineRule="exact"/>
        <w:ind w:firstLine="520"/>
        <w:rPr>
          <w:rFonts w:hint="default" w:ascii="Arial" w:hAnsi="Arial" w:eastAsia="宋体" w:cs="Arial"/>
          <w:sz w:val="26"/>
          <w:szCs w:val="26"/>
          <w:lang w:val="en-US" w:eastAsia="zh-CN"/>
        </w:rPr>
      </w:pPr>
      <w:r>
        <w:rPr>
          <w:rFonts w:ascii="Arial" w:hAnsi="Arial" w:cs="Arial"/>
          <w:sz w:val="26"/>
          <w:szCs w:val="26"/>
        </w:rPr>
        <w:t>TLI</w:t>
      </w:r>
      <w:r>
        <w:rPr>
          <w:rFonts w:ascii="Arial" w:cs="Arial"/>
          <w:sz w:val="26"/>
          <w:szCs w:val="26"/>
        </w:rPr>
        <w:t>（</w:t>
      </w:r>
      <w:r>
        <w:rPr>
          <w:rFonts w:ascii="Arial" w:hAnsi="Arial" w:cs="Arial"/>
          <w:sz w:val="26"/>
          <w:szCs w:val="26"/>
        </w:rPr>
        <w:t>TN</w:t>
      </w:r>
      <w:r>
        <w:rPr>
          <w:rFonts w:ascii="Arial" w:cs="Arial"/>
          <w:sz w:val="26"/>
          <w:szCs w:val="26"/>
        </w:rPr>
        <w:t>，总氮，</w:t>
      </w:r>
      <w:r>
        <w:rPr>
          <w:rFonts w:ascii="Arial" w:hAnsi="Arial" w:cs="Arial"/>
          <w:sz w:val="26"/>
          <w:szCs w:val="26"/>
        </w:rPr>
        <w:t>mg/L</w:t>
      </w:r>
      <w:r>
        <w:rPr>
          <w:rFonts w:ascii="Arial" w:cs="Arial"/>
          <w:sz w:val="26"/>
          <w:szCs w:val="26"/>
        </w:rPr>
        <w:t>）</w:t>
      </w:r>
      <w:r>
        <w:rPr>
          <w:rFonts w:ascii="Arial" w:hAnsi="Arial" w:cs="Arial"/>
          <w:sz w:val="26"/>
          <w:szCs w:val="26"/>
        </w:rPr>
        <w:t>=10</w:t>
      </w:r>
      <w:r>
        <w:rPr>
          <w:rFonts w:ascii="Arial" w:cs="Arial"/>
          <w:sz w:val="26"/>
          <w:szCs w:val="26"/>
        </w:rPr>
        <w:t>（</w:t>
      </w:r>
      <w:r>
        <w:rPr>
          <w:rFonts w:ascii="Arial" w:hAnsi="Arial" w:cs="Arial"/>
          <w:sz w:val="26"/>
          <w:szCs w:val="26"/>
        </w:rPr>
        <w:t>5.453+1.694lnTN</w:t>
      </w:r>
      <w:r>
        <w:rPr>
          <w:rFonts w:ascii="Arial" w:cs="Arial"/>
          <w:sz w:val="26"/>
          <w:szCs w:val="26"/>
        </w:rPr>
        <w:t>）</w:t>
      </w:r>
    </w:p>
    <w:p w14:paraId="379EFFD2">
      <w:pPr>
        <w:spacing w:line="460" w:lineRule="exact"/>
        <w:ind w:firstLine="520"/>
        <w:rPr>
          <w:rFonts w:ascii="Arial" w:hAnsi="Arial" w:cs="Arial"/>
          <w:sz w:val="26"/>
          <w:szCs w:val="26"/>
        </w:rPr>
      </w:pPr>
      <w:r>
        <w:rPr>
          <w:rFonts w:ascii="Arial" w:hAnsi="Arial" w:cs="Arial"/>
          <w:sz w:val="26"/>
          <w:szCs w:val="26"/>
        </w:rPr>
        <w:t>TLI</w:t>
      </w:r>
      <w:r>
        <w:rPr>
          <w:rFonts w:ascii="Arial" w:cs="Arial"/>
          <w:sz w:val="26"/>
          <w:szCs w:val="26"/>
        </w:rPr>
        <w:t>（</w:t>
      </w:r>
      <w:r>
        <w:rPr>
          <w:rFonts w:ascii="Arial" w:hAnsi="Arial" w:cs="Arial"/>
          <w:sz w:val="26"/>
          <w:szCs w:val="26"/>
        </w:rPr>
        <w:t>SD</w:t>
      </w:r>
      <w:r>
        <w:rPr>
          <w:rFonts w:ascii="Arial" w:cs="Arial"/>
          <w:sz w:val="26"/>
          <w:szCs w:val="26"/>
        </w:rPr>
        <w:t>，透明度，</w:t>
      </w:r>
      <w:r>
        <w:rPr>
          <w:rFonts w:ascii="Arial" w:hAnsi="Arial" w:cs="Arial"/>
          <w:sz w:val="26"/>
          <w:szCs w:val="26"/>
        </w:rPr>
        <w:t>m</w:t>
      </w:r>
      <w:r>
        <w:rPr>
          <w:rFonts w:ascii="Arial" w:cs="Arial"/>
          <w:sz w:val="26"/>
          <w:szCs w:val="26"/>
        </w:rPr>
        <w:t>）</w:t>
      </w:r>
      <w:r>
        <w:rPr>
          <w:rFonts w:ascii="Arial" w:hAnsi="Arial" w:cs="Arial"/>
          <w:sz w:val="26"/>
          <w:szCs w:val="26"/>
        </w:rPr>
        <w:t>=10</w:t>
      </w:r>
      <w:r>
        <w:rPr>
          <w:rFonts w:ascii="Arial" w:cs="Arial"/>
          <w:sz w:val="26"/>
          <w:szCs w:val="26"/>
        </w:rPr>
        <w:t>（</w:t>
      </w:r>
      <w:r>
        <w:rPr>
          <w:rFonts w:ascii="Arial" w:hAnsi="Arial" w:cs="Arial"/>
          <w:sz w:val="26"/>
          <w:szCs w:val="26"/>
        </w:rPr>
        <w:t>5.118-1.94lnSD</w:t>
      </w:r>
      <w:r>
        <w:rPr>
          <w:rFonts w:ascii="Arial" w:cs="Arial"/>
          <w:sz w:val="26"/>
          <w:szCs w:val="26"/>
        </w:rPr>
        <w:t>）</w:t>
      </w:r>
    </w:p>
    <w:p w14:paraId="21DB88AB">
      <w:pPr>
        <w:spacing w:line="460" w:lineRule="exact"/>
        <w:ind w:firstLine="520"/>
        <w:rPr>
          <w:rFonts w:ascii="Arial" w:hAnsi="Arial" w:cs="Arial"/>
          <w:sz w:val="26"/>
          <w:szCs w:val="26"/>
        </w:rPr>
      </w:pPr>
      <w:r>
        <w:rPr>
          <w:rFonts w:ascii="Arial" w:hAnsi="Arial" w:cs="Arial"/>
          <w:sz w:val="26"/>
          <w:szCs w:val="26"/>
        </w:rPr>
        <w:t>TLI</w:t>
      </w:r>
      <w:r>
        <w:rPr>
          <w:rFonts w:ascii="Arial" w:cs="Arial"/>
          <w:sz w:val="26"/>
          <w:szCs w:val="26"/>
        </w:rPr>
        <w:t>（</w:t>
      </w:r>
      <w:r>
        <w:rPr>
          <w:rFonts w:ascii="Arial" w:hAnsi="Arial" w:cs="Arial"/>
          <w:sz w:val="26"/>
          <w:szCs w:val="26"/>
        </w:rPr>
        <w:t>COD</w:t>
      </w:r>
      <w:r>
        <w:rPr>
          <w:rFonts w:ascii="Arial" w:hAnsi="Arial" w:cs="Arial"/>
          <w:sz w:val="26"/>
          <w:szCs w:val="26"/>
          <w:vertAlign w:val="subscript"/>
        </w:rPr>
        <w:t>Mn</w:t>
      </w:r>
      <w:r>
        <w:rPr>
          <w:rFonts w:ascii="Arial" w:cs="Arial"/>
          <w:sz w:val="26"/>
          <w:szCs w:val="26"/>
        </w:rPr>
        <w:t>，耗氧量，</w:t>
      </w:r>
      <w:r>
        <w:rPr>
          <w:rFonts w:ascii="Arial" w:hAnsi="Arial" w:cs="Arial"/>
          <w:sz w:val="26"/>
          <w:szCs w:val="26"/>
        </w:rPr>
        <w:t>mg/L</w:t>
      </w:r>
      <w:r>
        <w:rPr>
          <w:rFonts w:ascii="Arial" w:cs="Arial"/>
          <w:sz w:val="26"/>
          <w:szCs w:val="26"/>
        </w:rPr>
        <w:t>）</w:t>
      </w:r>
      <w:r>
        <w:rPr>
          <w:rFonts w:ascii="Arial" w:hAnsi="Arial" w:cs="Arial"/>
          <w:sz w:val="26"/>
          <w:szCs w:val="26"/>
        </w:rPr>
        <w:t>=10</w:t>
      </w:r>
      <w:r>
        <w:rPr>
          <w:rFonts w:ascii="Arial" w:cs="Arial"/>
          <w:sz w:val="26"/>
          <w:szCs w:val="26"/>
        </w:rPr>
        <w:t>（</w:t>
      </w:r>
      <w:r>
        <w:rPr>
          <w:rFonts w:ascii="Arial" w:hAnsi="Arial" w:cs="Arial"/>
          <w:sz w:val="26"/>
          <w:szCs w:val="26"/>
        </w:rPr>
        <w:t>0.109+2.661lnCOD</w:t>
      </w:r>
      <w:r>
        <w:rPr>
          <w:rFonts w:ascii="Arial" w:cs="Arial"/>
          <w:sz w:val="26"/>
          <w:szCs w:val="26"/>
        </w:rPr>
        <w:t>）</w:t>
      </w:r>
    </w:p>
    <w:p w14:paraId="18E5BEDE">
      <w:pPr>
        <w:spacing w:line="460" w:lineRule="exact"/>
        <w:ind w:firstLine="520"/>
        <w:rPr>
          <w:rFonts w:ascii="Arial" w:hAnsi="Arial" w:cs="Arial"/>
          <w:sz w:val="26"/>
          <w:szCs w:val="26"/>
        </w:rPr>
      </w:pPr>
      <w:r>
        <w:rPr>
          <w:rFonts w:ascii="Arial" w:cs="Arial"/>
          <w:sz w:val="26"/>
          <w:szCs w:val="26"/>
        </w:rPr>
        <w:t>湖泊（水库）营养状态分级采用</w:t>
      </w:r>
      <w:r>
        <w:rPr>
          <w:rFonts w:ascii="Arial" w:hAnsi="Arial" w:cs="Arial"/>
          <w:sz w:val="26"/>
          <w:szCs w:val="26"/>
        </w:rPr>
        <w:t>0</w:t>
      </w:r>
      <w:r>
        <w:rPr>
          <w:rFonts w:ascii="Arial" w:cs="Arial"/>
          <w:sz w:val="26"/>
          <w:szCs w:val="26"/>
        </w:rPr>
        <w:t>～</w:t>
      </w:r>
      <w:r>
        <w:rPr>
          <w:rFonts w:ascii="Arial" w:hAnsi="Arial" w:cs="Arial"/>
          <w:sz w:val="26"/>
          <w:szCs w:val="26"/>
        </w:rPr>
        <w:t>100</w:t>
      </w:r>
      <w:r>
        <w:rPr>
          <w:rFonts w:ascii="Arial" w:cs="Arial"/>
          <w:sz w:val="26"/>
          <w:szCs w:val="26"/>
        </w:rPr>
        <w:t>的一系列连续数字对湖泊营养状态进行分级，见表</w:t>
      </w:r>
      <w:r>
        <w:rPr>
          <w:rFonts w:hint="eastAsia" w:ascii="Arial" w:hAnsi="Arial" w:cs="Arial"/>
          <w:sz w:val="26"/>
          <w:szCs w:val="26"/>
          <w:lang w:val="en-US" w:eastAsia="zh-CN"/>
        </w:rPr>
        <w:t>6.5-9</w:t>
      </w:r>
      <w:r>
        <w:rPr>
          <w:rFonts w:ascii="Arial" w:cs="Arial"/>
          <w:sz w:val="26"/>
          <w:szCs w:val="26"/>
        </w:rPr>
        <w:t>。</w:t>
      </w:r>
    </w:p>
    <w:p w14:paraId="03F946EA">
      <w:pPr>
        <w:spacing w:line="460" w:lineRule="exact"/>
        <w:jc w:val="center"/>
        <w:rPr>
          <w:rFonts w:ascii="Arial" w:hAnsi="宋体" w:cs="Arial"/>
          <w:sz w:val="26"/>
          <w:szCs w:val="26"/>
        </w:rPr>
      </w:pPr>
      <w:r>
        <w:rPr>
          <w:rFonts w:hint="eastAsia" w:ascii="Arial" w:hAnsi="宋体" w:cs="Arial"/>
          <w:b/>
          <w:sz w:val="26"/>
          <w:szCs w:val="26"/>
        </w:rPr>
        <w:t>表</w:t>
      </w:r>
      <w:r>
        <w:rPr>
          <w:rFonts w:hint="eastAsia" w:ascii="Arial" w:hAnsi="宋体" w:cs="Arial"/>
          <w:b/>
          <w:sz w:val="26"/>
          <w:szCs w:val="26"/>
          <w:lang w:val="en-US" w:eastAsia="zh-CN"/>
        </w:rPr>
        <w:t>6.5-9</w:t>
      </w:r>
      <w:r>
        <w:rPr>
          <w:rFonts w:ascii="Arial" w:hAnsi="宋体" w:cs="Arial"/>
          <w:b/>
          <w:sz w:val="26"/>
          <w:szCs w:val="26"/>
        </w:rPr>
        <w:t xml:space="preserve"> </w:t>
      </w:r>
      <w:r>
        <w:rPr>
          <w:rFonts w:hint="eastAsia" w:ascii="Arial" w:hAnsi="宋体" w:cs="Arial"/>
          <w:b/>
          <w:sz w:val="26"/>
          <w:szCs w:val="26"/>
        </w:rPr>
        <w:t>湖泊（水库）营养状态分级</w:t>
      </w:r>
    </w:p>
    <w:tbl>
      <w:tblPr>
        <w:tblStyle w:val="7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78"/>
        <w:gridCol w:w="3360"/>
        <w:gridCol w:w="3590"/>
      </w:tblGrid>
      <w:tr w14:paraId="10788D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tcBorders>
              <w:top w:val="single" w:color="auto" w:sz="12" w:space="0"/>
            </w:tcBorders>
            <w:noWrap w:val="0"/>
            <w:vAlign w:val="center"/>
          </w:tcPr>
          <w:p w14:paraId="1F432467">
            <w:pPr>
              <w:spacing w:line="300" w:lineRule="exact"/>
              <w:jc w:val="center"/>
              <w:rPr>
                <w:rFonts w:ascii="Arial" w:hAnsi="宋体" w:cs="Arial"/>
                <w:sz w:val="22"/>
                <w:szCs w:val="22"/>
              </w:rPr>
            </w:pPr>
            <w:r>
              <w:rPr>
                <w:rFonts w:hint="eastAsia" w:ascii="Arial" w:hAnsi="宋体" w:cs="Arial"/>
                <w:sz w:val="22"/>
                <w:szCs w:val="22"/>
              </w:rPr>
              <w:t>序号</w:t>
            </w:r>
          </w:p>
        </w:tc>
        <w:tc>
          <w:tcPr>
            <w:tcW w:w="3360" w:type="dxa"/>
            <w:tcBorders>
              <w:top w:val="single" w:color="auto" w:sz="12" w:space="0"/>
            </w:tcBorders>
            <w:noWrap w:val="0"/>
            <w:vAlign w:val="center"/>
          </w:tcPr>
          <w:p w14:paraId="24DEBCDF">
            <w:pPr>
              <w:spacing w:line="300" w:lineRule="exact"/>
              <w:jc w:val="center"/>
              <w:rPr>
                <w:rFonts w:ascii="Arial" w:hAnsi="宋体" w:cs="Arial"/>
                <w:sz w:val="22"/>
                <w:szCs w:val="22"/>
              </w:rPr>
            </w:pPr>
            <w:r>
              <w:rPr>
                <w:rFonts w:hint="eastAsia" w:ascii="Arial" w:hAnsi="宋体" w:cs="Arial"/>
                <w:sz w:val="22"/>
                <w:szCs w:val="22"/>
              </w:rPr>
              <w:t>综合营养状态指数</w:t>
            </w:r>
            <w:r>
              <w:rPr>
                <w:rFonts w:ascii="Arial" w:hAnsi="宋体" w:cs="Arial"/>
                <w:sz w:val="22"/>
                <w:szCs w:val="22"/>
              </w:rPr>
              <w:t>TLI</w:t>
            </w:r>
            <w:r>
              <w:rPr>
                <w:rFonts w:ascii="宋体" w:hAnsi="宋体" w:cs="Arial"/>
                <w:sz w:val="22"/>
                <w:szCs w:val="22"/>
              </w:rPr>
              <w:t>(</w:t>
            </w:r>
            <w:r>
              <w:rPr>
                <w:rFonts w:hint="eastAsia" w:ascii="Arial" w:hAnsi="宋体" w:cs="Arial"/>
                <w:sz w:val="22"/>
                <w:szCs w:val="22"/>
              </w:rPr>
              <w:t>Σ</w:t>
            </w:r>
            <w:r>
              <w:rPr>
                <w:rFonts w:ascii="宋体" w:hAnsi="宋体" w:cs="Arial"/>
                <w:sz w:val="22"/>
                <w:szCs w:val="22"/>
              </w:rPr>
              <w:t>)</w:t>
            </w:r>
          </w:p>
        </w:tc>
        <w:tc>
          <w:tcPr>
            <w:tcW w:w="3590" w:type="dxa"/>
            <w:tcBorders>
              <w:top w:val="single" w:color="auto" w:sz="12" w:space="0"/>
            </w:tcBorders>
            <w:noWrap w:val="0"/>
            <w:vAlign w:val="center"/>
          </w:tcPr>
          <w:p w14:paraId="132425C4">
            <w:pPr>
              <w:spacing w:line="300" w:lineRule="exact"/>
              <w:jc w:val="center"/>
              <w:rPr>
                <w:rFonts w:ascii="Arial" w:hAnsi="宋体" w:cs="Arial"/>
                <w:sz w:val="22"/>
                <w:szCs w:val="22"/>
              </w:rPr>
            </w:pPr>
            <w:r>
              <w:rPr>
                <w:rFonts w:hint="eastAsia" w:ascii="Arial" w:hAnsi="宋体" w:cs="Arial"/>
                <w:sz w:val="22"/>
                <w:szCs w:val="22"/>
              </w:rPr>
              <w:t>湖泊（水库）营养状态分级</w:t>
            </w:r>
          </w:p>
        </w:tc>
      </w:tr>
      <w:tr w14:paraId="20D1AA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noWrap w:val="0"/>
            <w:vAlign w:val="center"/>
          </w:tcPr>
          <w:p w14:paraId="58B93656">
            <w:pPr>
              <w:spacing w:line="300" w:lineRule="exact"/>
              <w:jc w:val="center"/>
              <w:rPr>
                <w:rFonts w:ascii="Arial" w:hAnsi="宋体" w:cs="Arial"/>
                <w:sz w:val="22"/>
                <w:szCs w:val="22"/>
              </w:rPr>
            </w:pPr>
            <w:r>
              <w:rPr>
                <w:rFonts w:ascii="Arial" w:hAnsi="宋体" w:cs="Arial"/>
                <w:sz w:val="22"/>
                <w:szCs w:val="22"/>
              </w:rPr>
              <w:t>1</w:t>
            </w:r>
          </w:p>
        </w:tc>
        <w:tc>
          <w:tcPr>
            <w:tcW w:w="3360" w:type="dxa"/>
            <w:noWrap w:val="0"/>
            <w:vAlign w:val="center"/>
          </w:tcPr>
          <w:p w14:paraId="2F815710">
            <w:pPr>
              <w:spacing w:line="300" w:lineRule="exact"/>
              <w:jc w:val="center"/>
              <w:rPr>
                <w:rFonts w:ascii="Arial" w:hAnsi="宋体" w:cs="Arial"/>
                <w:sz w:val="22"/>
                <w:szCs w:val="22"/>
              </w:rPr>
            </w:pPr>
            <w:r>
              <w:rPr>
                <w:rFonts w:ascii="Arial" w:hAnsi="宋体" w:cs="Arial"/>
                <w:sz w:val="22"/>
                <w:szCs w:val="22"/>
              </w:rPr>
              <w:t>TLI</w:t>
            </w:r>
            <w:r>
              <w:rPr>
                <w:rFonts w:ascii="宋体" w:hAnsi="宋体" w:cs="Arial"/>
                <w:sz w:val="22"/>
                <w:szCs w:val="22"/>
              </w:rPr>
              <w:t>(</w:t>
            </w:r>
            <w:r>
              <w:rPr>
                <w:rFonts w:hint="eastAsia" w:ascii="Arial" w:hAnsi="宋体" w:cs="Arial"/>
                <w:sz w:val="22"/>
                <w:szCs w:val="22"/>
              </w:rPr>
              <w:t>Σ</w:t>
            </w:r>
            <w:r>
              <w:rPr>
                <w:rFonts w:ascii="宋体" w:hAnsi="宋体" w:cs="Arial"/>
                <w:sz w:val="22"/>
                <w:szCs w:val="22"/>
              </w:rPr>
              <w:t>)</w:t>
            </w:r>
            <w:r>
              <w:rPr>
                <w:rFonts w:hint="eastAsia" w:ascii="宋体" w:hAnsi="宋体" w:cs="Arial"/>
                <w:sz w:val="22"/>
                <w:szCs w:val="22"/>
              </w:rPr>
              <w:t>＜</w:t>
            </w:r>
            <w:r>
              <w:rPr>
                <w:rFonts w:ascii="Arial" w:hAnsi="Arial" w:cs="Arial"/>
                <w:sz w:val="22"/>
                <w:szCs w:val="22"/>
              </w:rPr>
              <w:t>30</w:t>
            </w:r>
          </w:p>
        </w:tc>
        <w:tc>
          <w:tcPr>
            <w:tcW w:w="3590" w:type="dxa"/>
            <w:noWrap w:val="0"/>
            <w:vAlign w:val="center"/>
          </w:tcPr>
          <w:p w14:paraId="3E44F7E0">
            <w:pPr>
              <w:spacing w:line="300" w:lineRule="exact"/>
              <w:jc w:val="center"/>
              <w:rPr>
                <w:rFonts w:ascii="Arial" w:hAnsi="宋体" w:cs="Arial"/>
                <w:sz w:val="22"/>
                <w:szCs w:val="22"/>
              </w:rPr>
            </w:pPr>
            <w:r>
              <w:rPr>
                <w:rFonts w:hint="eastAsia" w:ascii="Arial" w:hAnsi="宋体" w:cs="Arial"/>
                <w:sz w:val="22"/>
                <w:szCs w:val="22"/>
              </w:rPr>
              <w:t>贫营养</w:t>
            </w:r>
          </w:p>
        </w:tc>
      </w:tr>
      <w:tr w14:paraId="7AE230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noWrap w:val="0"/>
            <w:vAlign w:val="center"/>
          </w:tcPr>
          <w:p w14:paraId="3783D3D0">
            <w:pPr>
              <w:spacing w:line="300" w:lineRule="exact"/>
              <w:jc w:val="center"/>
              <w:rPr>
                <w:rFonts w:ascii="Arial" w:hAnsi="宋体" w:cs="Arial"/>
                <w:sz w:val="22"/>
                <w:szCs w:val="22"/>
              </w:rPr>
            </w:pPr>
            <w:r>
              <w:rPr>
                <w:rFonts w:ascii="Arial" w:hAnsi="宋体" w:cs="Arial"/>
                <w:sz w:val="22"/>
                <w:szCs w:val="22"/>
              </w:rPr>
              <w:t>2</w:t>
            </w:r>
          </w:p>
        </w:tc>
        <w:tc>
          <w:tcPr>
            <w:tcW w:w="3360" w:type="dxa"/>
            <w:noWrap w:val="0"/>
            <w:vAlign w:val="center"/>
          </w:tcPr>
          <w:p w14:paraId="2AA5DAE7">
            <w:pPr>
              <w:spacing w:line="300" w:lineRule="exact"/>
              <w:jc w:val="center"/>
              <w:rPr>
                <w:rFonts w:ascii="Arial" w:hAnsi="宋体" w:cs="Arial"/>
                <w:sz w:val="22"/>
                <w:szCs w:val="22"/>
              </w:rPr>
            </w:pPr>
            <w:r>
              <w:rPr>
                <w:rFonts w:ascii="Arial" w:hAnsi="宋体" w:cs="Arial"/>
                <w:sz w:val="22"/>
                <w:szCs w:val="22"/>
              </w:rPr>
              <w:t>30</w:t>
            </w:r>
            <w:r>
              <w:rPr>
                <w:rFonts w:hint="eastAsia" w:ascii="Arial" w:hAnsi="宋体" w:cs="Arial"/>
                <w:sz w:val="22"/>
                <w:szCs w:val="22"/>
              </w:rPr>
              <w:t>≤</w:t>
            </w:r>
            <w:r>
              <w:rPr>
                <w:rFonts w:ascii="Arial" w:hAnsi="宋体" w:cs="Arial"/>
                <w:sz w:val="22"/>
                <w:szCs w:val="22"/>
              </w:rPr>
              <w:t>TLI</w:t>
            </w:r>
            <w:r>
              <w:rPr>
                <w:rFonts w:ascii="宋体" w:hAnsi="宋体" w:cs="Arial"/>
                <w:sz w:val="22"/>
                <w:szCs w:val="22"/>
              </w:rPr>
              <w:t>(</w:t>
            </w:r>
            <w:r>
              <w:rPr>
                <w:rFonts w:hint="eastAsia" w:ascii="Arial" w:hAnsi="宋体" w:cs="Arial"/>
                <w:sz w:val="22"/>
                <w:szCs w:val="22"/>
              </w:rPr>
              <w:t>Σ</w:t>
            </w:r>
            <w:r>
              <w:rPr>
                <w:rFonts w:ascii="宋体" w:hAnsi="宋体" w:cs="Arial"/>
                <w:sz w:val="22"/>
                <w:szCs w:val="22"/>
              </w:rPr>
              <w:t>)</w:t>
            </w:r>
            <w:r>
              <w:rPr>
                <w:rFonts w:hint="eastAsia" w:ascii="宋体" w:hAnsi="宋体" w:cs="Arial"/>
                <w:sz w:val="22"/>
                <w:szCs w:val="22"/>
              </w:rPr>
              <w:t>≤</w:t>
            </w:r>
            <w:r>
              <w:rPr>
                <w:rFonts w:ascii="Arial" w:hAnsi="Arial" w:cs="Arial"/>
                <w:sz w:val="22"/>
                <w:szCs w:val="22"/>
              </w:rPr>
              <w:t>50</w:t>
            </w:r>
          </w:p>
        </w:tc>
        <w:tc>
          <w:tcPr>
            <w:tcW w:w="3590" w:type="dxa"/>
            <w:noWrap w:val="0"/>
            <w:vAlign w:val="center"/>
          </w:tcPr>
          <w:p w14:paraId="4EB7750B">
            <w:pPr>
              <w:spacing w:line="300" w:lineRule="exact"/>
              <w:jc w:val="center"/>
              <w:rPr>
                <w:rFonts w:ascii="Arial" w:hAnsi="宋体" w:cs="Arial"/>
                <w:sz w:val="22"/>
                <w:szCs w:val="22"/>
              </w:rPr>
            </w:pPr>
            <w:r>
              <w:rPr>
                <w:rFonts w:hint="eastAsia" w:ascii="Arial" w:hAnsi="宋体" w:cs="Arial"/>
                <w:sz w:val="22"/>
                <w:szCs w:val="22"/>
              </w:rPr>
              <w:t>中营养</w:t>
            </w:r>
          </w:p>
        </w:tc>
      </w:tr>
      <w:tr w14:paraId="58BE05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noWrap w:val="0"/>
            <w:vAlign w:val="center"/>
          </w:tcPr>
          <w:p w14:paraId="2A2E8C13">
            <w:pPr>
              <w:spacing w:line="300" w:lineRule="exact"/>
              <w:jc w:val="center"/>
              <w:rPr>
                <w:rFonts w:ascii="Arial" w:hAnsi="宋体" w:cs="Arial"/>
                <w:sz w:val="22"/>
                <w:szCs w:val="22"/>
              </w:rPr>
            </w:pPr>
            <w:r>
              <w:rPr>
                <w:rFonts w:ascii="Arial" w:hAnsi="宋体" w:cs="Arial"/>
                <w:sz w:val="22"/>
                <w:szCs w:val="22"/>
              </w:rPr>
              <w:t>3</w:t>
            </w:r>
          </w:p>
        </w:tc>
        <w:tc>
          <w:tcPr>
            <w:tcW w:w="3360" w:type="dxa"/>
            <w:noWrap w:val="0"/>
            <w:vAlign w:val="center"/>
          </w:tcPr>
          <w:p w14:paraId="0779CB9F">
            <w:pPr>
              <w:spacing w:line="300" w:lineRule="exact"/>
              <w:jc w:val="center"/>
              <w:rPr>
                <w:rFonts w:ascii="Arial" w:hAnsi="宋体" w:cs="Arial"/>
                <w:sz w:val="22"/>
                <w:szCs w:val="22"/>
              </w:rPr>
            </w:pPr>
            <w:r>
              <w:rPr>
                <w:rFonts w:ascii="Arial" w:hAnsi="宋体" w:cs="Arial"/>
                <w:sz w:val="22"/>
                <w:szCs w:val="22"/>
              </w:rPr>
              <w:t>TLI</w:t>
            </w:r>
            <w:r>
              <w:rPr>
                <w:rFonts w:ascii="宋体" w:hAnsi="宋体" w:cs="Arial"/>
                <w:sz w:val="22"/>
                <w:szCs w:val="22"/>
              </w:rPr>
              <w:t>(</w:t>
            </w:r>
            <w:r>
              <w:rPr>
                <w:rFonts w:hint="eastAsia" w:ascii="Arial" w:hAnsi="宋体" w:cs="Arial"/>
                <w:sz w:val="22"/>
                <w:szCs w:val="22"/>
              </w:rPr>
              <w:t>Σ</w:t>
            </w:r>
            <w:r>
              <w:rPr>
                <w:rFonts w:ascii="宋体" w:hAnsi="宋体" w:cs="Arial"/>
                <w:sz w:val="22"/>
                <w:szCs w:val="22"/>
              </w:rPr>
              <w:t>)</w:t>
            </w:r>
            <w:r>
              <w:rPr>
                <w:rFonts w:hint="eastAsia" w:ascii="宋体" w:hAnsi="宋体" w:cs="Arial"/>
                <w:sz w:val="22"/>
                <w:szCs w:val="22"/>
              </w:rPr>
              <w:t>＞</w:t>
            </w:r>
            <w:r>
              <w:rPr>
                <w:rFonts w:ascii="Arial" w:hAnsi="Arial" w:cs="Arial"/>
                <w:sz w:val="22"/>
                <w:szCs w:val="22"/>
              </w:rPr>
              <w:t>50</w:t>
            </w:r>
          </w:p>
        </w:tc>
        <w:tc>
          <w:tcPr>
            <w:tcW w:w="3590" w:type="dxa"/>
            <w:noWrap w:val="0"/>
            <w:vAlign w:val="center"/>
          </w:tcPr>
          <w:p w14:paraId="7AADBCC1">
            <w:pPr>
              <w:spacing w:line="300" w:lineRule="exact"/>
              <w:jc w:val="center"/>
              <w:rPr>
                <w:rFonts w:ascii="Arial" w:hAnsi="宋体" w:cs="Arial"/>
                <w:sz w:val="22"/>
                <w:szCs w:val="22"/>
              </w:rPr>
            </w:pPr>
            <w:r>
              <w:rPr>
                <w:rFonts w:hint="eastAsia" w:ascii="Arial" w:hAnsi="宋体" w:cs="Arial"/>
                <w:sz w:val="22"/>
                <w:szCs w:val="22"/>
              </w:rPr>
              <w:t>富营养</w:t>
            </w:r>
          </w:p>
        </w:tc>
      </w:tr>
      <w:tr w14:paraId="4E257B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noWrap w:val="0"/>
            <w:vAlign w:val="center"/>
          </w:tcPr>
          <w:p w14:paraId="53D8E5A5">
            <w:pPr>
              <w:spacing w:line="300" w:lineRule="exact"/>
              <w:jc w:val="center"/>
              <w:rPr>
                <w:rFonts w:ascii="Arial" w:hAnsi="宋体" w:cs="Arial"/>
                <w:sz w:val="22"/>
                <w:szCs w:val="22"/>
              </w:rPr>
            </w:pPr>
            <w:r>
              <w:rPr>
                <w:rFonts w:ascii="Arial" w:hAnsi="宋体" w:cs="Arial"/>
                <w:sz w:val="22"/>
                <w:szCs w:val="22"/>
              </w:rPr>
              <w:t>4</w:t>
            </w:r>
          </w:p>
        </w:tc>
        <w:tc>
          <w:tcPr>
            <w:tcW w:w="3360" w:type="dxa"/>
            <w:noWrap w:val="0"/>
            <w:vAlign w:val="center"/>
          </w:tcPr>
          <w:p w14:paraId="7685153A">
            <w:pPr>
              <w:spacing w:line="300" w:lineRule="exact"/>
              <w:jc w:val="center"/>
              <w:rPr>
                <w:rFonts w:ascii="Arial" w:hAnsi="宋体" w:cs="Arial"/>
                <w:sz w:val="22"/>
                <w:szCs w:val="22"/>
              </w:rPr>
            </w:pPr>
            <w:r>
              <w:rPr>
                <w:rFonts w:ascii="Arial" w:hAnsi="宋体" w:cs="Arial"/>
                <w:sz w:val="22"/>
                <w:szCs w:val="22"/>
              </w:rPr>
              <w:t>50</w:t>
            </w:r>
            <w:r>
              <w:rPr>
                <w:rFonts w:hint="eastAsia" w:ascii="Arial" w:hAnsi="宋体" w:cs="Arial"/>
                <w:sz w:val="22"/>
                <w:szCs w:val="22"/>
              </w:rPr>
              <w:t>＜</w:t>
            </w:r>
            <w:r>
              <w:rPr>
                <w:rFonts w:ascii="Arial" w:hAnsi="宋体" w:cs="Arial"/>
                <w:sz w:val="22"/>
                <w:szCs w:val="22"/>
              </w:rPr>
              <w:t>TLI</w:t>
            </w:r>
            <w:r>
              <w:rPr>
                <w:rFonts w:ascii="宋体" w:hAnsi="宋体" w:cs="Arial"/>
                <w:sz w:val="22"/>
                <w:szCs w:val="22"/>
              </w:rPr>
              <w:t>(</w:t>
            </w:r>
            <w:r>
              <w:rPr>
                <w:rFonts w:hint="eastAsia" w:ascii="Arial" w:hAnsi="宋体" w:cs="Arial"/>
                <w:sz w:val="22"/>
                <w:szCs w:val="22"/>
              </w:rPr>
              <w:t>Σ</w:t>
            </w:r>
            <w:r>
              <w:rPr>
                <w:rFonts w:ascii="宋体" w:hAnsi="宋体" w:cs="Arial"/>
                <w:sz w:val="22"/>
                <w:szCs w:val="22"/>
              </w:rPr>
              <w:t>)</w:t>
            </w:r>
            <w:r>
              <w:rPr>
                <w:rFonts w:hint="eastAsia" w:ascii="宋体" w:hAnsi="宋体" w:cs="Arial"/>
                <w:sz w:val="22"/>
                <w:szCs w:val="22"/>
              </w:rPr>
              <w:t>≤</w:t>
            </w:r>
            <w:r>
              <w:rPr>
                <w:rFonts w:ascii="Arial" w:hAnsi="Arial" w:cs="Arial"/>
                <w:sz w:val="22"/>
                <w:szCs w:val="22"/>
              </w:rPr>
              <w:t>60</w:t>
            </w:r>
          </w:p>
        </w:tc>
        <w:tc>
          <w:tcPr>
            <w:tcW w:w="3590" w:type="dxa"/>
            <w:noWrap w:val="0"/>
            <w:vAlign w:val="center"/>
          </w:tcPr>
          <w:p w14:paraId="6E9F6AC8">
            <w:pPr>
              <w:spacing w:line="300" w:lineRule="exact"/>
              <w:jc w:val="center"/>
              <w:rPr>
                <w:rFonts w:ascii="Arial" w:hAnsi="宋体" w:cs="Arial"/>
                <w:sz w:val="22"/>
                <w:szCs w:val="22"/>
              </w:rPr>
            </w:pPr>
            <w:r>
              <w:rPr>
                <w:rFonts w:hint="eastAsia" w:ascii="Arial" w:hAnsi="宋体" w:cs="Arial"/>
                <w:sz w:val="22"/>
                <w:szCs w:val="22"/>
              </w:rPr>
              <w:t>轻度富营养</w:t>
            </w:r>
          </w:p>
        </w:tc>
      </w:tr>
      <w:tr w14:paraId="701942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noWrap w:val="0"/>
            <w:vAlign w:val="center"/>
          </w:tcPr>
          <w:p w14:paraId="12C36A2C">
            <w:pPr>
              <w:spacing w:line="300" w:lineRule="exact"/>
              <w:jc w:val="center"/>
              <w:rPr>
                <w:rFonts w:ascii="Arial" w:hAnsi="宋体" w:cs="Arial"/>
                <w:sz w:val="22"/>
                <w:szCs w:val="22"/>
              </w:rPr>
            </w:pPr>
            <w:r>
              <w:rPr>
                <w:rFonts w:ascii="Arial" w:hAnsi="宋体" w:cs="Arial"/>
                <w:sz w:val="22"/>
                <w:szCs w:val="22"/>
              </w:rPr>
              <w:t>5</w:t>
            </w:r>
          </w:p>
        </w:tc>
        <w:tc>
          <w:tcPr>
            <w:tcW w:w="3360" w:type="dxa"/>
            <w:noWrap w:val="0"/>
            <w:vAlign w:val="center"/>
          </w:tcPr>
          <w:p w14:paraId="6D9CE299">
            <w:pPr>
              <w:spacing w:line="300" w:lineRule="exact"/>
              <w:jc w:val="center"/>
              <w:rPr>
                <w:rFonts w:ascii="Arial" w:hAnsi="宋体" w:cs="Arial"/>
                <w:sz w:val="22"/>
                <w:szCs w:val="22"/>
              </w:rPr>
            </w:pPr>
            <w:r>
              <w:rPr>
                <w:rFonts w:ascii="Arial" w:hAnsi="宋体" w:cs="Arial"/>
                <w:sz w:val="22"/>
                <w:szCs w:val="22"/>
              </w:rPr>
              <w:t>60</w:t>
            </w:r>
            <w:r>
              <w:rPr>
                <w:rFonts w:hint="eastAsia" w:ascii="Arial" w:hAnsi="宋体" w:cs="Arial"/>
                <w:sz w:val="22"/>
                <w:szCs w:val="22"/>
              </w:rPr>
              <w:t>＜</w:t>
            </w:r>
            <w:r>
              <w:rPr>
                <w:rFonts w:ascii="Arial" w:hAnsi="宋体" w:cs="Arial"/>
                <w:sz w:val="22"/>
                <w:szCs w:val="22"/>
              </w:rPr>
              <w:t>TLI</w:t>
            </w:r>
            <w:r>
              <w:rPr>
                <w:rFonts w:ascii="宋体" w:hAnsi="宋体" w:cs="Arial"/>
                <w:sz w:val="22"/>
                <w:szCs w:val="22"/>
              </w:rPr>
              <w:t>(</w:t>
            </w:r>
            <w:r>
              <w:rPr>
                <w:rFonts w:hint="eastAsia" w:ascii="Arial" w:hAnsi="宋体" w:cs="Arial"/>
                <w:sz w:val="22"/>
                <w:szCs w:val="22"/>
              </w:rPr>
              <w:t>Σ</w:t>
            </w:r>
            <w:r>
              <w:rPr>
                <w:rFonts w:ascii="宋体" w:hAnsi="宋体" w:cs="Arial"/>
                <w:sz w:val="22"/>
                <w:szCs w:val="22"/>
              </w:rPr>
              <w:t>)</w:t>
            </w:r>
            <w:r>
              <w:rPr>
                <w:rFonts w:hint="eastAsia" w:ascii="宋体" w:hAnsi="宋体" w:cs="Arial"/>
                <w:sz w:val="22"/>
                <w:szCs w:val="22"/>
              </w:rPr>
              <w:t>≤</w:t>
            </w:r>
            <w:r>
              <w:rPr>
                <w:rFonts w:ascii="Arial" w:hAnsi="Arial" w:cs="Arial"/>
                <w:sz w:val="22"/>
                <w:szCs w:val="22"/>
              </w:rPr>
              <w:t>70</w:t>
            </w:r>
          </w:p>
        </w:tc>
        <w:tc>
          <w:tcPr>
            <w:tcW w:w="3590" w:type="dxa"/>
            <w:noWrap w:val="0"/>
            <w:vAlign w:val="center"/>
          </w:tcPr>
          <w:p w14:paraId="54F7FA4B">
            <w:pPr>
              <w:spacing w:line="300" w:lineRule="exact"/>
              <w:jc w:val="center"/>
              <w:rPr>
                <w:rFonts w:ascii="Arial" w:hAnsi="宋体" w:cs="Arial"/>
                <w:sz w:val="22"/>
                <w:szCs w:val="22"/>
              </w:rPr>
            </w:pPr>
            <w:r>
              <w:rPr>
                <w:rFonts w:hint="eastAsia" w:ascii="Arial" w:hAnsi="宋体" w:cs="Arial"/>
                <w:sz w:val="22"/>
                <w:szCs w:val="22"/>
              </w:rPr>
              <w:t>中度富营养</w:t>
            </w:r>
          </w:p>
        </w:tc>
      </w:tr>
      <w:tr w14:paraId="559400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78" w:type="dxa"/>
            <w:tcBorders>
              <w:bottom w:val="single" w:color="auto" w:sz="12" w:space="0"/>
            </w:tcBorders>
            <w:noWrap w:val="0"/>
            <w:vAlign w:val="center"/>
          </w:tcPr>
          <w:p w14:paraId="6626FD35">
            <w:pPr>
              <w:spacing w:line="300" w:lineRule="exact"/>
              <w:jc w:val="center"/>
              <w:rPr>
                <w:rFonts w:ascii="Arial" w:hAnsi="宋体" w:cs="Arial"/>
                <w:sz w:val="22"/>
                <w:szCs w:val="22"/>
              </w:rPr>
            </w:pPr>
            <w:r>
              <w:rPr>
                <w:rFonts w:ascii="Arial" w:hAnsi="宋体" w:cs="Arial"/>
                <w:sz w:val="22"/>
                <w:szCs w:val="22"/>
              </w:rPr>
              <w:t>6</w:t>
            </w:r>
          </w:p>
        </w:tc>
        <w:tc>
          <w:tcPr>
            <w:tcW w:w="3360" w:type="dxa"/>
            <w:tcBorders>
              <w:bottom w:val="single" w:color="auto" w:sz="12" w:space="0"/>
            </w:tcBorders>
            <w:noWrap w:val="0"/>
            <w:vAlign w:val="center"/>
          </w:tcPr>
          <w:p w14:paraId="6A0C17B2">
            <w:pPr>
              <w:spacing w:line="300" w:lineRule="exact"/>
              <w:jc w:val="center"/>
              <w:rPr>
                <w:rFonts w:ascii="Arial" w:hAnsi="宋体" w:cs="Arial"/>
                <w:sz w:val="22"/>
                <w:szCs w:val="22"/>
              </w:rPr>
            </w:pPr>
            <w:r>
              <w:rPr>
                <w:rFonts w:ascii="Arial" w:hAnsi="宋体" w:cs="Arial"/>
                <w:sz w:val="22"/>
                <w:szCs w:val="22"/>
              </w:rPr>
              <w:t>TLI</w:t>
            </w:r>
            <w:r>
              <w:rPr>
                <w:rFonts w:ascii="宋体" w:hAnsi="宋体" w:cs="Arial"/>
                <w:sz w:val="22"/>
                <w:szCs w:val="22"/>
              </w:rPr>
              <w:t>(</w:t>
            </w:r>
            <w:r>
              <w:rPr>
                <w:rFonts w:hint="eastAsia" w:ascii="Arial" w:hAnsi="宋体" w:cs="Arial"/>
                <w:sz w:val="22"/>
                <w:szCs w:val="22"/>
              </w:rPr>
              <w:t>Σ</w:t>
            </w:r>
            <w:r>
              <w:rPr>
                <w:rFonts w:ascii="宋体" w:hAnsi="宋体" w:cs="Arial"/>
                <w:sz w:val="22"/>
                <w:szCs w:val="22"/>
              </w:rPr>
              <w:t>)</w:t>
            </w:r>
            <w:r>
              <w:rPr>
                <w:rFonts w:hint="eastAsia" w:ascii="宋体" w:hAnsi="宋体" w:cs="Arial"/>
                <w:sz w:val="22"/>
                <w:szCs w:val="22"/>
              </w:rPr>
              <w:t>＞</w:t>
            </w:r>
            <w:r>
              <w:rPr>
                <w:rFonts w:ascii="Arial" w:hAnsi="Arial" w:cs="Arial"/>
                <w:sz w:val="22"/>
                <w:szCs w:val="22"/>
              </w:rPr>
              <w:t>70</w:t>
            </w:r>
          </w:p>
        </w:tc>
        <w:tc>
          <w:tcPr>
            <w:tcW w:w="3590" w:type="dxa"/>
            <w:tcBorders>
              <w:bottom w:val="single" w:color="auto" w:sz="12" w:space="0"/>
            </w:tcBorders>
            <w:noWrap w:val="0"/>
            <w:vAlign w:val="center"/>
          </w:tcPr>
          <w:p w14:paraId="67DC45EF">
            <w:pPr>
              <w:spacing w:line="300" w:lineRule="exact"/>
              <w:jc w:val="center"/>
              <w:rPr>
                <w:rFonts w:ascii="Arial" w:hAnsi="宋体" w:cs="Arial"/>
                <w:sz w:val="22"/>
                <w:szCs w:val="22"/>
              </w:rPr>
            </w:pPr>
            <w:r>
              <w:rPr>
                <w:rFonts w:hint="eastAsia" w:ascii="Arial" w:hAnsi="宋体" w:cs="Arial"/>
                <w:sz w:val="22"/>
                <w:szCs w:val="22"/>
              </w:rPr>
              <w:t>重度富营养</w:t>
            </w:r>
          </w:p>
        </w:tc>
      </w:tr>
    </w:tbl>
    <w:p w14:paraId="6D6BEAA2">
      <w:pPr>
        <w:spacing w:line="240" w:lineRule="exact"/>
        <w:ind w:firstLine="522"/>
        <w:rPr>
          <w:rFonts w:hint="eastAsia" w:ascii="Arial" w:hAnsi="宋体" w:cs="Arial"/>
          <w:sz w:val="26"/>
          <w:szCs w:val="26"/>
        </w:rPr>
      </w:pPr>
    </w:p>
    <w:p w14:paraId="04AB7D14">
      <w:pPr>
        <w:spacing w:line="460" w:lineRule="exact"/>
        <w:ind w:firstLine="520"/>
        <w:rPr>
          <w:rFonts w:ascii="Arial" w:hAnsi="宋体" w:cs="Arial"/>
          <w:sz w:val="26"/>
          <w:szCs w:val="26"/>
        </w:rPr>
      </w:pPr>
      <w:r>
        <w:rPr>
          <w:rFonts w:hint="eastAsia" w:ascii="Arial" w:hAnsi="宋体" w:cs="Arial"/>
          <w:sz w:val="26"/>
          <w:szCs w:val="26"/>
        </w:rPr>
        <w:t>本评价对总氮、总磷进行综合营养状态指数法预测，预测结果见表</w:t>
      </w:r>
      <w:r>
        <w:rPr>
          <w:rFonts w:hint="eastAsia" w:ascii="Arial" w:hAnsi="宋体" w:cs="Arial"/>
          <w:sz w:val="26"/>
          <w:szCs w:val="26"/>
          <w:lang w:val="en-US" w:eastAsia="zh-CN"/>
        </w:rPr>
        <w:t>6.5-10</w:t>
      </w:r>
      <w:r>
        <w:rPr>
          <w:rFonts w:hint="eastAsia" w:ascii="Arial" w:hAnsi="宋体" w:cs="Arial"/>
          <w:sz w:val="26"/>
          <w:szCs w:val="26"/>
        </w:rPr>
        <w:t>。</w:t>
      </w:r>
    </w:p>
    <w:p w14:paraId="09A7B7F1">
      <w:pPr>
        <w:spacing w:line="460" w:lineRule="exact"/>
        <w:jc w:val="center"/>
        <w:rPr>
          <w:rFonts w:hint="eastAsia" w:ascii="Arial" w:hAnsi="宋体" w:cs="Arial"/>
          <w:b/>
          <w:sz w:val="26"/>
          <w:szCs w:val="26"/>
        </w:rPr>
      </w:pPr>
    </w:p>
    <w:p w14:paraId="4E1F54F7">
      <w:pPr>
        <w:spacing w:line="460" w:lineRule="exact"/>
        <w:jc w:val="center"/>
        <w:rPr>
          <w:rFonts w:ascii="Arial" w:hAnsi="宋体" w:cs="Arial"/>
          <w:sz w:val="26"/>
          <w:szCs w:val="26"/>
        </w:rPr>
      </w:pPr>
      <w:r>
        <w:rPr>
          <w:rFonts w:hint="eastAsia" w:ascii="Arial" w:hAnsi="宋体" w:cs="Arial"/>
          <w:b/>
          <w:sz w:val="26"/>
          <w:szCs w:val="26"/>
        </w:rPr>
        <w:t>表</w:t>
      </w:r>
      <w:r>
        <w:rPr>
          <w:rFonts w:hint="eastAsia" w:ascii="Arial" w:hAnsi="宋体" w:cs="Arial"/>
          <w:b/>
          <w:sz w:val="26"/>
          <w:szCs w:val="26"/>
          <w:lang w:val="en-US" w:eastAsia="zh-CN"/>
        </w:rPr>
        <w:t>6.5-10</w:t>
      </w:r>
      <w:r>
        <w:rPr>
          <w:rFonts w:ascii="Arial" w:hAnsi="宋体" w:cs="Arial"/>
          <w:b/>
          <w:sz w:val="26"/>
          <w:szCs w:val="26"/>
        </w:rPr>
        <w:t xml:space="preserve"> </w:t>
      </w:r>
      <w:r>
        <w:rPr>
          <w:rFonts w:hint="eastAsia" w:ascii="Arial" w:hAnsi="宋体" w:cs="Arial"/>
          <w:b/>
          <w:sz w:val="26"/>
          <w:szCs w:val="26"/>
        </w:rPr>
        <w:t>湖泊（水库）营养状态分级</w:t>
      </w:r>
    </w:p>
    <w:tbl>
      <w:tblPr>
        <w:tblStyle w:val="77"/>
        <w:tblW w:w="876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58"/>
        <w:gridCol w:w="1365"/>
        <w:gridCol w:w="1785"/>
        <w:gridCol w:w="2205"/>
        <w:gridCol w:w="2251"/>
      </w:tblGrid>
      <w:tr w14:paraId="1CFA83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158" w:type="dxa"/>
            <w:tcBorders>
              <w:top w:val="single" w:color="auto" w:sz="12" w:space="0"/>
            </w:tcBorders>
            <w:noWrap w:val="0"/>
            <w:vAlign w:val="center"/>
          </w:tcPr>
          <w:p w14:paraId="548B0D60">
            <w:pPr>
              <w:spacing w:line="300" w:lineRule="exact"/>
              <w:jc w:val="center"/>
              <w:rPr>
                <w:rFonts w:ascii="Arial" w:hAnsi="Arial" w:cs="Arial"/>
                <w:sz w:val="22"/>
                <w:szCs w:val="22"/>
              </w:rPr>
            </w:pPr>
            <w:r>
              <w:rPr>
                <w:rFonts w:hint="eastAsia" w:ascii="Arial" w:hAnsi="Arial" w:cs="Arial"/>
                <w:sz w:val="22"/>
                <w:szCs w:val="22"/>
              </w:rPr>
              <w:t>序号</w:t>
            </w:r>
          </w:p>
        </w:tc>
        <w:tc>
          <w:tcPr>
            <w:tcW w:w="1365" w:type="dxa"/>
            <w:tcBorders>
              <w:top w:val="single" w:color="auto" w:sz="12" w:space="0"/>
            </w:tcBorders>
            <w:noWrap w:val="0"/>
            <w:vAlign w:val="center"/>
          </w:tcPr>
          <w:p w14:paraId="3AB92603">
            <w:pPr>
              <w:spacing w:line="300" w:lineRule="exact"/>
              <w:jc w:val="center"/>
              <w:rPr>
                <w:rFonts w:ascii="Arial" w:hAnsi="Arial" w:cs="Arial"/>
                <w:sz w:val="22"/>
                <w:szCs w:val="22"/>
              </w:rPr>
            </w:pPr>
            <w:r>
              <w:rPr>
                <w:rFonts w:hint="eastAsia" w:ascii="Arial" w:hAnsi="Arial" w:cs="Arial"/>
                <w:sz w:val="22"/>
                <w:szCs w:val="22"/>
              </w:rPr>
              <w:t>参数</w:t>
            </w:r>
          </w:p>
        </w:tc>
        <w:tc>
          <w:tcPr>
            <w:tcW w:w="1785" w:type="dxa"/>
            <w:tcBorders>
              <w:top w:val="single" w:color="auto" w:sz="12" w:space="0"/>
            </w:tcBorders>
            <w:noWrap w:val="0"/>
            <w:vAlign w:val="center"/>
          </w:tcPr>
          <w:p w14:paraId="66279DAA">
            <w:pPr>
              <w:spacing w:line="300" w:lineRule="exact"/>
              <w:jc w:val="center"/>
              <w:rPr>
                <w:rFonts w:ascii="Arial" w:hAnsi="Arial" w:cs="Arial"/>
                <w:sz w:val="22"/>
                <w:szCs w:val="22"/>
              </w:rPr>
            </w:pPr>
            <w:r>
              <w:rPr>
                <w:rFonts w:hint="eastAsia" w:ascii="Arial" w:hAnsi="Arial" w:cs="Arial"/>
                <w:sz w:val="22"/>
                <w:szCs w:val="22"/>
              </w:rPr>
              <w:t>权重</w:t>
            </w:r>
            <w:r>
              <w:rPr>
                <w:rFonts w:ascii="Arial" w:hAnsi="Arial" w:cs="Arial"/>
                <w:sz w:val="22"/>
                <w:szCs w:val="22"/>
              </w:rPr>
              <w:t>Wj</w:t>
            </w:r>
          </w:p>
        </w:tc>
        <w:tc>
          <w:tcPr>
            <w:tcW w:w="2205" w:type="dxa"/>
            <w:tcBorders>
              <w:top w:val="single" w:color="auto" w:sz="12" w:space="0"/>
            </w:tcBorders>
            <w:noWrap w:val="0"/>
            <w:vAlign w:val="center"/>
          </w:tcPr>
          <w:p w14:paraId="76207CD1">
            <w:pPr>
              <w:spacing w:line="300" w:lineRule="exact"/>
              <w:jc w:val="center"/>
              <w:rPr>
                <w:rFonts w:ascii="Arial" w:hAnsi="Arial" w:cs="Arial"/>
                <w:sz w:val="22"/>
                <w:szCs w:val="22"/>
              </w:rPr>
            </w:pPr>
            <w:r>
              <w:rPr>
                <w:rFonts w:hint="eastAsia" w:ascii="Arial" w:hAnsi="Arial" w:cs="Arial"/>
                <w:sz w:val="22"/>
                <w:szCs w:val="22"/>
              </w:rPr>
              <w:t>营养指数</w:t>
            </w:r>
            <w:r>
              <w:rPr>
                <w:rFonts w:ascii="Arial" w:hAnsi="Arial" w:cs="Arial"/>
                <w:sz w:val="22"/>
                <w:szCs w:val="22"/>
              </w:rPr>
              <w:t>TLI</w:t>
            </w:r>
            <w:r>
              <w:rPr>
                <w:rFonts w:hint="eastAsia" w:ascii="Arial" w:hAnsi="Arial" w:cs="Arial"/>
                <w:sz w:val="22"/>
                <w:szCs w:val="22"/>
              </w:rPr>
              <w:t>（</w:t>
            </w:r>
            <w:r>
              <w:rPr>
                <w:rFonts w:ascii="Arial" w:hAnsi="Arial" w:cs="Arial"/>
                <w:sz w:val="22"/>
                <w:szCs w:val="22"/>
              </w:rPr>
              <w:t>j</w:t>
            </w:r>
            <w:r>
              <w:rPr>
                <w:rFonts w:hint="eastAsia" w:ascii="Arial" w:hAnsi="Arial" w:cs="Arial"/>
                <w:sz w:val="22"/>
                <w:szCs w:val="22"/>
              </w:rPr>
              <w:t>）</w:t>
            </w:r>
          </w:p>
        </w:tc>
        <w:tc>
          <w:tcPr>
            <w:tcW w:w="2251" w:type="dxa"/>
            <w:tcBorders>
              <w:top w:val="single" w:color="auto" w:sz="12" w:space="0"/>
            </w:tcBorders>
            <w:noWrap w:val="0"/>
            <w:vAlign w:val="center"/>
          </w:tcPr>
          <w:p w14:paraId="5F9D5B4F">
            <w:pPr>
              <w:spacing w:line="300" w:lineRule="exact"/>
              <w:jc w:val="center"/>
              <w:rPr>
                <w:rFonts w:ascii="Arial" w:hAnsi="Arial" w:cs="Arial"/>
                <w:sz w:val="22"/>
                <w:szCs w:val="22"/>
              </w:rPr>
            </w:pPr>
            <w:r>
              <w:rPr>
                <w:rFonts w:hint="eastAsia" w:ascii="Arial" w:hAnsi="Arial" w:cs="Arial"/>
                <w:sz w:val="22"/>
                <w:szCs w:val="22"/>
              </w:rPr>
              <w:t>综合营养指数</w:t>
            </w:r>
            <w:r>
              <w:rPr>
                <w:rFonts w:ascii="Arial" w:hAnsi="Arial" w:cs="Arial"/>
                <w:sz w:val="22"/>
                <w:szCs w:val="22"/>
              </w:rPr>
              <w:t>TLI</w:t>
            </w:r>
            <w:r>
              <w:rPr>
                <w:rFonts w:ascii="宋体" w:hAnsi="宋体" w:cs="Arial"/>
                <w:sz w:val="22"/>
                <w:szCs w:val="22"/>
              </w:rPr>
              <w:t>(</w:t>
            </w:r>
            <w:r>
              <w:rPr>
                <w:rFonts w:ascii="Arial" w:hAnsi="Arial" w:cs="Arial"/>
                <w:sz w:val="22"/>
                <w:szCs w:val="22"/>
              </w:rPr>
              <w:t>Σ</w:t>
            </w:r>
            <w:r>
              <w:rPr>
                <w:rFonts w:ascii="宋体" w:hAnsi="宋体" w:cs="Arial"/>
                <w:sz w:val="22"/>
                <w:szCs w:val="22"/>
              </w:rPr>
              <w:t>)</w:t>
            </w:r>
          </w:p>
        </w:tc>
      </w:tr>
      <w:tr w14:paraId="4C09C9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58" w:type="dxa"/>
            <w:noWrap w:val="0"/>
            <w:vAlign w:val="center"/>
          </w:tcPr>
          <w:p w14:paraId="74FF2E67">
            <w:pPr>
              <w:spacing w:line="300" w:lineRule="exact"/>
              <w:jc w:val="center"/>
              <w:rPr>
                <w:rFonts w:ascii="Arial" w:hAnsi="Arial" w:cs="Arial"/>
                <w:sz w:val="22"/>
                <w:szCs w:val="22"/>
              </w:rPr>
            </w:pPr>
            <w:r>
              <w:rPr>
                <w:rFonts w:ascii="Arial" w:hAnsi="Arial" w:cs="Arial"/>
                <w:sz w:val="22"/>
                <w:szCs w:val="22"/>
              </w:rPr>
              <w:t>1</w:t>
            </w:r>
          </w:p>
        </w:tc>
        <w:tc>
          <w:tcPr>
            <w:tcW w:w="1365" w:type="dxa"/>
            <w:noWrap w:val="0"/>
            <w:vAlign w:val="center"/>
          </w:tcPr>
          <w:p w14:paraId="56FA8F7C">
            <w:pPr>
              <w:spacing w:line="300" w:lineRule="exact"/>
              <w:jc w:val="center"/>
              <w:rPr>
                <w:rFonts w:ascii="Arial" w:hAnsi="Arial" w:cs="Arial"/>
                <w:sz w:val="22"/>
                <w:szCs w:val="22"/>
              </w:rPr>
            </w:pPr>
            <w:r>
              <w:rPr>
                <w:rFonts w:ascii="Arial" w:hAnsi="Arial" w:cs="Arial"/>
                <w:sz w:val="22"/>
                <w:szCs w:val="22"/>
              </w:rPr>
              <w:t>TP</w:t>
            </w:r>
          </w:p>
        </w:tc>
        <w:tc>
          <w:tcPr>
            <w:tcW w:w="1785" w:type="dxa"/>
            <w:noWrap w:val="0"/>
            <w:vAlign w:val="center"/>
          </w:tcPr>
          <w:p w14:paraId="670FC1B4">
            <w:pPr>
              <w:spacing w:line="300" w:lineRule="exact"/>
              <w:jc w:val="center"/>
              <w:rPr>
                <w:rFonts w:ascii="Arial" w:hAnsi="Arial" w:cs="Arial"/>
                <w:sz w:val="22"/>
                <w:szCs w:val="22"/>
              </w:rPr>
            </w:pPr>
            <w:r>
              <w:rPr>
                <w:rFonts w:ascii="Arial" w:hAnsi="Arial" w:cs="Arial"/>
                <w:sz w:val="22"/>
                <w:szCs w:val="22"/>
              </w:rPr>
              <w:t>0</w:t>
            </w:r>
            <w:r>
              <w:rPr>
                <w:rFonts w:hint="eastAsia" w:ascii="Arial" w:hAnsi="Arial" w:cs="Arial"/>
                <w:sz w:val="22"/>
                <w:szCs w:val="22"/>
              </w:rPr>
              <w:t>.5120</w:t>
            </w:r>
          </w:p>
        </w:tc>
        <w:tc>
          <w:tcPr>
            <w:tcW w:w="2205" w:type="dxa"/>
            <w:noWrap w:val="0"/>
            <w:vAlign w:val="center"/>
          </w:tcPr>
          <w:p w14:paraId="7FE1C2C1">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37.41</w:t>
            </w:r>
          </w:p>
        </w:tc>
        <w:tc>
          <w:tcPr>
            <w:tcW w:w="2251" w:type="dxa"/>
            <w:vMerge w:val="restart"/>
            <w:noWrap w:val="0"/>
            <w:vAlign w:val="center"/>
          </w:tcPr>
          <w:p w14:paraId="2253E95A">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42.70</w:t>
            </w:r>
          </w:p>
        </w:tc>
      </w:tr>
      <w:tr w14:paraId="27F950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58" w:type="dxa"/>
            <w:noWrap w:val="0"/>
            <w:vAlign w:val="center"/>
          </w:tcPr>
          <w:p w14:paraId="5CCC1347">
            <w:pPr>
              <w:spacing w:line="300" w:lineRule="exact"/>
              <w:jc w:val="center"/>
              <w:rPr>
                <w:rFonts w:ascii="Arial" w:hAnsi="Arial" w:cs="Arial"/>
                <w:sz w:val="22"/>
                <w:szCs w:val="22"/>
              </w:rPr>
            </w:pPr>
            <w:r>
              <w:rPr>
                <w:rFonts w:ascii="Arial" w:hAnsi="Arial" w:cs="Arial"/>
                <w:sz w:val="22"/>
                <w:szCs w:val="22"/>
              </w:rPr>
              <w:t>2</w:t>
            </w:r>
          </w:p>
        </w:tc>
        <w:tc>
          <w:tcPr>
            <w:tcW w:w="1365" w:type="dxa"/>
            <w:noWrap w:val="0"/>
            <w:vAlign w:val="center"/>
          </w:tcPr>
          <w:p w14:paraId="3160792C">
            <w:pPr>
              <w:spacing w:line="300" w:lineRule="exact"/>
              <w:jc w:val="center"/>
              <w:rPr>
                <w:rFonts w:ascii="Arial" w:hAnsi="Arial" w:cs="Arial"/>
                <w:sz w:val="22"/>
                <w:szCs w:val="22"/>
              </w:rPr>
            </w:pPr>
            <w:r>
              <w:rPr>
                <w:rFonts w:ascii="Arial" w:hAnsi="Arial" w:cs="Arial"/>
                <w:sz w:val="22"/>
                <w:szCs w:val="22"/>
              </w:rPr>
              <w:t>TN</w:t>
            </w:r>
          </w:p>
        </w:tc>
        <w:tc>
          <w:tcPr>
            <w:tcW w:w="1785" w:type="dxa"/>
            <w:noWrap w:val="0"/>
            <w:vAlign w:val="center"/>
          </w:tcPr>
          <w:p w14:paraId="295C1D7D">
            <w:pPr>
              <w:spacing w:line="300" w:lineRule="exact"/>
              <w:jc w:val="center"/>
              <w:rPr>
                <w:rFonts w:ascii="Arial" w:hAnsi="Arial" w:cs="Arial"/>
                <w:sz w:val="22"/>
                <w:szCs w:val="22"/>
              </w:rPr>
            </w:pPr>
            <w:r>
              <w:rPr>
                <w:rFonts w:hint="eastAsia" w:ascii="Arial" w:hAnsi="Arial" w:cs="Arial"/>
                <w:sz w:val="22"/>
                <w:szCs w:val="22"/>
              </w:rPr>
              <w:t>0.4880</w:t>
            </w:r>
          </w:p>
        </w:tc>
        <w:tc>
          <w:tcPr>
            <w:tcW w:w="2205" w:type="dxa"/>
            <w:noWrap w:val="0"/>
            <w:vAlign w:val="center"/>
          </w:tcPr>
          <w:p w14:paraId="23BE848D">
            <w:pPr>
              <w:spacing w:line="300" w:lineRule="exact"/>
              <w:jc w:val="center"/>
              <w:rPr>
                <w:rFonts w:hint="default" w:ascii="Arial" w:hAnsi="Arial" w:eastAsia="宋体" w:cs="Arial"/>
                <w:sz w:val="22"/>
                <w:szCs w:val="22"/>
                <w:lang w:val="en-US" w:eastAsia="zh-CN"/>
              </w:rPr>
            </w:pPr>
            <w:r>
              <w:rPr>
                <w:rFonts w:hint="eastAsia" w:ascii="Arial" w:hAnsi="Arial" w:cs="Arial"/>
                <w:sz w:val="22"/>
                <w:szCs w:val="22"/>
                <w:lang w:val="en-US" w:eastAsia="zh-CN"/>
              </w:rPr>
              <w:t>48.24</w:t>
            </w:r>
          </w:p>
        </w:tc>
        <w:tc>
          <w:tcPr>
            <w:tcW w:w="2251" w:type="dxa"/>
            <w:vMerge w:val="continue"/>
            <w:noWrap w:val="0"/>
            <w:vAlign w:val="center"/>
          </w:tcPr>
          <w:p w14:paraId="46DD2EBE">
            <w:pPr>
              <w:spacing w:line="300" w:lineRule="exact"/>
              <w:jc w:val="center"/>
              <w:rPr>
                <w:rFonts w:ascii="Arial" w:hAnsi="Arial" w:cs="Arial"/>
                <w:sz w:val="22"/>
                <w:szCs w:val="22"/>
              </w:rPr>
            </w:pPr>
          </w:p>
        </w:tc>
      </w:tr>
    </w:tbl>
    <w:p w14:paraId="4D8F7229">
      <w:pPr>
        <w:spacing w:line="240" w:lineRule="exact"/>
        <w:ind w:firstLine="197" w:firstLineChars="76"/>
        <w:rPr>
          <w:rFonts w:hint="eastAsia" w:ascii="Arial" w:hAnsi="宋体" w:cs="Arial"/>
          <w:sz w:val="26"/>
          <w:szCs w:val="26"/>
        </w:rPr>
      </w:pPr>
    </w:p>
    <w:p w14:paraId="4762E787">
      <w:pPr>
        <w:spacing w:line="460" w:lineRule="exact"/>
        <w:ind w:firstLine="520" w:firstLineChars="200"/>
        <w:rPr>
          <w:rFonts w:hint="eastAsia"/>
          <w:sz w:val="26"/>
          <w:szCs w:val="26"/>
        </w:rPr>
      </w:pPr>
      <w:r>
        <w:rPr>
          <w:rFonts w:hint="eastAsia" w:ascii="Arial" w:hAnsi="宋体" w:cs="Arial"/>
          <w:sz w:val="26"/>
          <w:szCs w:val="26"/>
        </w:rPr>
        <w:t>由表5.2-6可知，</w:t>
      </w:r>
      <w:r>
        <w:rPr>
          <w:rFonts w:hint="eastAsia" w:ascii="Arial" w:hAnsi="宋体" w:cs="Arial"/>
          <w:sz w:val="26"/>
          <w:szCs w:val="26"/>
          <w:lang w:eastAsia="zh-CN"/>
        </w:rPr>
        <w:t>海螺沟</w:t>
      </w:r>
      <w:r>
        <w:rPr>
          <w:rFonts w:hint="eastAsia" w:ascii="Arial" w:hAnsi="宋体" w:cs="Arial"/>
          <w:sz w:val="26"/>
          <w:szCs w:val="26"/>
        </w:rPr>
        <w:t>水库成库后</w:t>
      </w:r>
      <w:r>
        <w:rPr>
          <w:rFonts w:hint="eastAsia"/>
          <w:sz w:val="26"/>
          <w:szCs w:val="26"/>
        </w:rPr>
        <w:t>富营养化程度属</w:t>
      </w:r>
      <w:r>
        <w:rPr>
          <w:rFonts w:hint="eastAsia" w:ascii="Arial" w:hAnsi="宋体" w:cs="Arial"/>
          <w:sz w:val="26"/>
          <w:szCs w:val="26"/>
        </w:rPr>
        <w:t>中营养</w:t>
      </w:r>
      <w:r>
        <w:rPr>
          <w:rFonts w:hint="eastAsia"/>
          <w:sz w:val="26"/>
          <w:szCs w:val="26"/>
        </w:rPr>
        <w:t>级，主要原因之一为现状总氮浓度较大</w:t>
      </w:r>
      <w:r>
        <w:rPr>
          <w:rFonts w:hint="eastAsia"/>
          <w:sz w:val="26"/>
          <w:szCs w:val="26"/>
          <w:lang w:eastAsia="zh-CN"/>
        </w:rPr>
        <w:t>。</w:t>
      </w:r>
      <w:r>
        <w:rPr>
          <w:rFonts w:hint="eastAsia"/>
          <w:sz w:val="26"/>
          <w:szCs w:val="26"/>
        </w:rPr>
        <w:t>建库后，在库中及坝前水域虽然水深增加，流速减小，有利于浮游藻类的生长繁殖，但</w:t>
      </w:r>
      <w:r>
        <w:rPr>
          <w:rFonts w:hint="eastAsia"/>
          <w:sz w:val="26"/>
          <w:szCs w:val="26"/>
          <w:lang w:eastAsia="zh-CN"/>
        </w:rPr>
        <w:t>海螺沟</w:t>
      </w:r>
      <w:r>
        <w:rPr>
          <w:rFonts w:hint="eastAsia"/>
          <w:sz w:val="26"/>
          <w:szCs w:val="26"/>
        </w:rPr>
        <w:t>水库</w:t>
      </w:r>
      <w:r>
        <w:rPr>
          <w:rFonts w:hint="eastAsia"/>
          <w:sz w:val="26"/>
          <w:szCs w:val="26"/>
          <w:lang w:eastAsia="zh-CN"/>
        </w:rPr>
        <w:t>年内</w:t>
      </w:r>
      <w:r>
        <w:rPr>
          <w:rFonts w:hint="eastAsia"/>
          <w:sz w:val="26"/>
          <w:szCs w:val="26"/>
        </w:rPr>
        <w:t>水体年交换量较大且较</w:t>
      </w:r>
      <w:r>
        <w:rPr>
          <w:rFonts w:hint="eastAsia"/>
          <w:sz w:val="26"/>
          <w:szCs w:val="26"/>
          <w:lang w:eastAsia="zh-CN"/>
        </w:rPr>
        <w:t>为</w:t>
      </w:r>
      <w:r>
        <w:rPr>
          <w:rFonts w:hint="eastAsia"/>
          <w:sz w:val="26"/>
          <w:szCs w:val="26"/>
        </w:rPr>
        <w:t>频繁，同时根据水库现状水质、入库污染负荷，从水库特性和运行方式上分析，</w:t>
      </w:r>
      <w:r>
        <w:rPr>
          <w:rFonts w:hint="eastAsia"/>
          <w:sz w:val="26"/>
          <w:szCs w:val="26"/>
          <w:lang w:eastAsia="zh-CN"/>
        </w:rPr>
        <w:t>海螺沟</w:t>
      </w:r>
      <w:r>
        <w:rPr>
          <w:rFonts w:hint="eastAsia"/>
          <w:sz w:val="26"/>
          <w:szCs w:val="26"/>
        </w:rPr>
        <w:t>水库总体不会向富营养程度状态转化。</w:t>
      </w:r>
    </w:p>
    <w:p w14:paraId="215EB6D6">
      <w:pPr>
        <w:spacing w:line="460" w:lineRule="exact"/>
        <w:ind w:firstLine="392" w:firstLineChars="150"/>
        <w:rPr>
          <w:rFonts w:hint="eastAsia" w:ascii="Arial" w:hAnsi="宋体" w:eastAsia="宋体" w:cs="Arial"/>
          <w:b/>
          <w:sz w:val="26"/>
          <w:szCs w:val="26"/>
          <w:lang w:val="en-US" w:eastAsia="zh-CN"/>
        </w:rPr>
      </w:pPr>
      <w:r>
        <w:rPr>
          <w:rFonts w:hint="eastAsia" w:ascii="Arial" w:hAnsi="宋体" w:cs="Arial"/>
          <w:b/>
          <w:sz w:val="26"/>
          <w:szCs w:val="26"/>
          <w:lang w:eastAsia="zh-CN"/>
        </w:rPr>
        <w:t>（</w:t>
      </w:r>
      <w:r>
        <w:rPr>
          <w:rFonts w:hint="eastAsia" w:ascii="Arial" w:hAnsi="宋体" w:cs="Arial"/>
          <w:b/>
          <w:sz w:val="26"/>
          <w:szCs w:val="26"/>
          <w:lang w:val="en-US" w:eastAsia="zh-CN"/>
        </w:rPr>
        <w:t>4）</w:t>
      </w:r>
      <w:r>
        <w:rPr>
          <w:rFonts w:hint="eastAsia" w:ascii="Arial" w:hAnsi="宋体" w:cs="Arial"/>
          <w:b/>
          <w:sz w:val="26"/>
          <w:szCs w:val="26"/>
          <w:lang w:eastAsia="zh-CN"/>
        </w:rPr>
        <w:t>库区富营养化的</w:t>
      </w:r>
      <w:r>
        <w:rPr>
          <w:rFonts w:hint="eastAsia" w:ascii="Arial" w:hAnsi="宋体" w:cs="Arial"/>
          <w:b/>
          <w:sz w:val="26"/>
          <w:szCs w:val="26"/>
          <w:lang w:val="en-US" w:eastAsia="zh-CN"/>
        </w:rPr>
        <w:t>减缓措施</w:t>
      </w:r>
    </w:p>
    <w:p w14:paraId="016B0049">
      <w:pPr>
        <w:spacing w:line="460" w:lineRule="exact"/>
        <w:ind w:firstLine="520" w:firstLineChars="200"/>
        <w:rPr>
          <w:rFonts w:hint="eastAsia" w:ascii="Arial" w:hAnsi="宋体" w:cs="Arial"/>
          <w:sz w:val="26"/>
          <w:szCs w:val="26"/>
        </w:rPr>
      </w:pPr>
      <w:r>
        <w:rPr>
          <w:rFonts w:hint="eastAsia" w:ascii="Arial" w:hAnsi="宋体" w:cs="Arial"/>
          <w:sz w:val="26"/>
          <w:szCs w:val="26"/>
        </w:rPr>
        <w:t>上述预测是基于现状监测指标进行的，</w:t>
      </w:r>
      <w:r>
        <w:rPr>
          <w:rFonts w:hint="eastAsia" w:ascii="Arial" w:hAnsi="宋体" w:cs="Arial"/>
          <w:sz w:val="26"/>
          <w:szCs w:val="26"/>
          <w:lang w:eastAsia="zh-CN"/>
        </w:rPr>
        <w:t>海螺沟</w:t>
      </w:r>
      <w:r>
        <w:rPr>
          <w:rFonts w:hint="eastAsia" w:ascii="Arial" w:hAnsi="宋体" w:cs="Arial"/>
          <w:sz w:val="26"/>
          <w:szCs w:val="26"/>
        </w:rPr>
        <w:t>水库成库后，库区及集雨范围将进行污染治理措施，以保证库区水质。在进行治理后，预计水库水质将要优于现状，因此水库富营养化可能要小于预测结果。但由于上述富营养化预测仅从氮、磷等主要指标进行计算和判断，实际上还有其他很多因素也可能导致水库富营养化</w:t>
      </w:r>
      <w:r>
        <w:rPr>
          <w:rFonts w:hint="eastAsia" w:ascii="Arial" w:hAnsi="宋体" w:cs="Arial"/>
          <w:sz w:val="26"/>
          <w:szCs w:val="26"/>
          <w:lang w:eastAsia="zh-CN"/>
        </w:rPr>
        <w:t>。</w:t>
      </w:r>
      <w:r>
        <w:rPr>
          <w:rFonts w:hint="eastAsia" w:ascii="Arial" w:hAnsi="宋体" w:cs="Arial"/>
          <w:sz w:val="26"/>
          <w:szCs w:val="26"/>
        </w:rPr>
        <w:t>水库成库可采取如下减缓措施，河流水质将逐渐改善，减少水库富营养化的趋势。</w:t>
      </w:r>
    </w:p>
    <w:p w14:paraId="3B9A569A">
      <w:pPr>
        <w:spacing w:line="460" w:lineRule="exact"/>
        <w:ind w:firstLine="520" w:firstLineChars="200"/>
        <w:rPr>
          <w:rFonts w:hint="eastAsia" w:ascii="Arial" w:hAnsi="宋体" w:cs="Arial"/>
          <w:sz w:val="26"/>
          <w:szCs w:val="26"/>
        </w:rPr>
      </w:pPr>
      <w:r>
        <w:rPr>
          <w:rFonts w:hint="eastAsia" w:ascii="Arial" w:hAnsi="宋体" w:cs="Arial"/>
          <w:sz w:val="26"/>
          <w:szCs w:val="26"/>
        </w:rPr>
        <w:t>①在蓄水前，按要求对库区进行清库作业，并进行消毒处理；</w:t>
      </w:r>
    </w:p>
    <w:p w14:paraId="1E4C3D4B">
      <w:pPr>
        <w:spacing w:line="460" w:lineRule="exact"/>
        <w:ind w:firstLine="520" w:firstLineChars="200"/>
        <w:rPr>
          <w:rFonts w:hint="eastAsia" w:ascii="Arial" w:hAnsi="宋体" w:cs="Arial"/>
          <w:sz w:val="26"/>
          <w:szCs w:val="26"/>
        </w:rPr>
      </w:pPr>
      <w:r>
        <w:rPr>
          <w:rFonts w:hint="eastAsia" w:ascii="Arial" w:hAnsi="宋体" w:cs="Arial"/>
          <w:sz w:val="26"/>
          <w:szCs w:val="26"/>
        </w:rPr>
        <w:t>②运行过程中加强库区水质监测，特别是TP、TN、透明度、叶绿素a、</w:t>
      </w:r>
      <w:r>
        <w:rPr>
          <w:rFonts w:hint="eastAsia" w:ascii="Arial" w:hAnsi="宋体" w:cs="Arial"/>
          <w:sz w:val="26"/>
          <w:szCs w:val="26"/>
          <w:lang w:val="en-US" w:eastAsia="zh-CN"/>
        </w:rPr>
        <w:t>DO</w:t>
      </w:r>
      <w:r>
        <w:rPr>
          <w:rFonts w:hint="eastAsia" w:ascii="Arial" w:hAnsi="宋体" w:cs="Arial"/>
          <w:sz w:val="26"/>
          <w:szCs w:val="26"/>
        </w:rPr>
        <w:t>等敏感性指标，最大程度上判断水库富营养化的趋势和爆发可能性；</w:t>
      </w:r>
    </w:p>
    <w:p w14:paraId="5BD02956">
      <w:pPr>
        <w:spacing w:line="460" w:lineRule="exact"/>
        <w:ind w:firstLine="520" w:firstLineChars="200"/>
        <w:rPr>
          <w:rFonts w:hint="eastAsia" w:ascii="Arial" w:hAnsi="宋体" w:cs="Arial"/>
          <w:sz w:val="26"/>
          <w:szCs w:val="26"/>
        </w:rPr>
      </w:pPr>
      <w:r>
        <w:rPr>
          <w:rFonts w:hint="eastAsia" w:ascii="Arial" w:hAnsi="宋体" w:cs="Arial"/>
          <w:sz w:val="26"/>
          <w:szCs w:val="26"/>
        </w:rPr>
        <w:t>③组织清漂作业，定期清理水库表面、库岸漂浮的树枝、固体废物、动植物尸体等；</w:t>
      </w:r>
    </w:p>
    <w:p w14:paraId="1E7272F0">
      <w:pPr>
        <w:spacing w:line="460" w:lineRule="exact"/>
        <w:ind w:firstLine="520" w:firstLineChars="200"/>
        <w:rPr>
          <w:rFonts w:hint="eastAsia" w:ascii="Arial" w:hAnsi="宋体" w:cs="Arial"/>
          <w:sz w:val="26"/>
          <w:szCs w:val="26"/>
        </w:rPr>
      </w:pPr>
      <w:r>
        <w:rPr>
          <w:rFonts w:hint="eastAsia" w:ascii="Arial" w:hAnsi="宋体" w:cs="Arial"/>
          <w:sz w:val="26"/>
          <w:szCs w:val="26"/>
        </w:rPr>
        <w:t>④严格控制集雨范围内的耕作面积，加强宣传教育，引导库岸居民合理科学施用化肥、农药，不得使用含磷洗衣粉，控制农业面源污染；</w:t>
      </w:r>
    </w:p>
    <w:p w14:paraId="4F247E10">
      <w:pPr>
        <w:spacing w:line="460" w:lineRule="exact"/>
        <w:ind w:firstLine="520" w:firstLineChars="200"/>
        <w:rPr>
          <w:rFonts w:hint="eastAsia" w:ascii="Arial" w:hAnsi="宋体" w:cs="Arial"/>
          <w:sz w:val="26"/>
          <w:szCs w:val="26"/>
          <w:lang w:eastAsia="zh-CN"/>
        </w:rPr>
      </w:pPr>
      <w:r>
        <w:rPr>
          <w:rFonts w:hint="eastAsia" w:ascii="Arial" w:hAnsi="宋体" w:cs="Arial"/>
          <w:sz w:val="26"/>
          <w:szCs w:val="26"/>
        </w:rPr>
        <w:t>⑤保证水库生态下泄流量，加强水体置换，同时在放水口前设置软基围栏，避免藻类进入下游河道</w:t>
      </w:r>
      <w:r>
        <w:rPr>
          <w:rFonts w:hint="eastAsia" w:ascii="Arial" w:hAnsi="宋体" w:cs="Arial"/>
          <w:sz w:val="26"/>
          <w:szCs w:val="26"/>
          <w:lang w:eastAsia="zh-CN"/>
        </w:rPr>
        <w:t>。</w:t>
      </w:r>
    </w:p>
    <w:p w14:paraId="7F631452">
      <w:pPr>
        <w:spacing w:line="460" w:lineRule="exact"/>
        <w:ind w:firstLine="520" w:firstLineChars="200"/>
        <w:rPr>
          <w:rFonts w:hint="eastAsia" w:ascii="Arial" w:hAnsi="宋体" w:cs="Arial"/>
          <w:sz w:val="26"/>
          <w:szCs w:val="26"/>
          <w:lang w:eastAsia="zh-CN"/>
        </w:rPr>
      </w:pPr>
      <w:r>
        <w:rPr>
          <w:rFonts w:hint="eastAsia" w:ascii="Arial" w:hAnsi="宋体" w:cs="Arial"/>
          <w:sz w:val="26"/>
          <w:szCs w:val="26"/>
        </w:rPr>
        <w:t>从水库特性和运用方式上分析，通过采取有效措施控制有机物和氮磷营养盐等污染源进入库区水体，保证彻底清库和上游交接断面水质达标，可有效减轻面源污染。运行过程中仍需加强监测，以便及时采取控制措施。</w:t>
      </w:r>
    </w:p>
    <w:p w14:paraId="24C09127">
      <w:pPr>
        <w:spacing w:line="460" w:lineRule="exact"/>
        <w:ind w:firstLine="522" w:firstLineChars="200"/>
        <w:rPr>
          <w:rFonts w:hint="eastAsia" w:ascii="Arial" w:hAnsi="宋体" w:cs="Arial"/>
          <w:sz w:val="26"/>
          <w:szCs w:val="26"/>
        </w:rPr>
      </w:pPr>
      <w:r>
        <w:rPr>
          <w:rFonts w:hint="eastAsia" w:ascii="Arial" w:hAnsi="Arial" w:eastAsia="宋体" w:cs="Arial"/>
          <w:b/>
          <w:bCs/>
          <w:color w:val="000000"/>
          <w:sz w:val="26"/>
          <w:szCs w:val="26"/>
          <w:lang w:val="en-US" w:eastAsia="zh-CN"/>
        </w:rPr>
        <w:t>6.5.</w:t>
      </w:r>
      <w:r>
        <w:rPr>
          <w:rFonts w:hint="eastAsia" w:ascii="Arial" w:hAnsi="Arial" w:cs="Arial"/>
          <w:b/>
          <w:bCs/>
          <w:color w:val="000000"/>
          <w:sz w:val="26"/>
          <w:szCs w:val="26"/>
          <w:lang w:val="en-US" w:eastAsia="zh-CN"/>
        </w:rPr>
        <w:t>6坝后减水河段水质影响分析</w:t>
      </w:r>
    </w:p>
    <w:p w14:paraId="59D3D6A4">
      <w:pPr>
        <w:spacing w:line="460" w:lineRule="exact"/>
        <w:ind w:firstLine="520" w:firstLineChars="200"/>
        <w:rPr>
          <w:rFonts w:hint="eastAsia" w:ascii="Arial" w:hAnsi="宋体" w:cs="Arial"/>
          <w:color w:val="auto"/>
          <w:sz w:val="26"/>
          <w:szCs w:val="26"/>
        </w:rPr>
      </w:pPr>
      <w:r>
        <w:rPr>
          <w:rFonts w:hint="eastAsia" w:ascii="Arial" w:hAnsi="宋体" w:cs="Arial"/>
          <w:color w:val="auto"/>
          <w:sz w:val="26"/>
          <w:szCs w:val="26"/>
          <w:lang w:eastAsia="zh-CN"/>
        </w:rPr>
        <w:t>海螺沟</w:t>
      </w:r>
      <w:r>
        <w:rPr>
          <w:rFonts w:ascii="Arial" w:hAnsi="宋体" w:cs="Arial"/>
          <w:color w:val="auto"/>
          <w:sz w:val="26"/>
          <w:szCs w:val="26"/>
        </w:rPr>
        <w:t>水库建成后，由于大坝截流和水库引水</w:t>
      </w:r>
      <w:r>
        <w:rPr>
          <w:rFonts w:hint="eastAsia" w:ascii="Arial" w:hAnsi="宋体" w:cs="Arial"/>
          <w:color w:val="auto"/>
          <w:sz w:val="26"/>
          <w:szCs w:val="26"/>
          <w:lang w:eastAsia="zh-CN"/>
        </w:rPr>
        <w:t>供给双龙社区、回龙场村、田家山村居民和牲畜饮用、农田灌溉，</w:t>
      </w:r>
      <w:r>
        <w:rPr>
          <w:rFonts w:ascii="Arial" w:hAnsi="宋体" w:cs="Arial"/>
          <w:color w:val="auto"/>
          <w:sz w:val="26"/>
          <w:szCs w:val="26"/>
        </w:rPr>
        <w:t>水库坝址至与</w:t>
      </w:r>
      <w:r>
        <w:rPr>
          <w:rFonts w:hint="eastAsia" w:ascii="Arial" w:hAnsi="宋体" w:cs="Arial"/>
          <w:color w:val="auto"/>
          <w:sz w:val="26"/>
          <w:szCs w:val="26"/>
          <w:lang w:eastAsia="zh-CN"/>
        </w:rPr>
        <w:t>高洞桥河</w:t>
      </w:r>
      <w:r>
        <w:rPr>
          <w:rFonts w:ascii="Arial" w:hAnsi="宋体" w:cs="Arial"/>
          <w:color w:val="auto"/>
          <w:sz w:val="26"/>
          <w:szCs w:val="26"/>
        </w:rPr>
        <w:t>汇合口将形成长约</w:t>
      </w:r>
      <w:r>
        <w:rPr>
          <w:rFonts w:hint="eastAsia" w:ascii="Arial" w:hAnsi="宋体" w:cs="Arial"/>
          <w:color w:val="auto"/>
          <w:sz w:val="26"/>
          <w:szCs w:val="26"/>
          <w:lang w:val="en-US" w:eastAsia="zh-CN"/>
        </w:rPr>
        <w:t>1.54</w:t>
      </w:r>
      <w:r>
        <w:rPr>
          <w:rFonts w:ascii="Arial" w:hAnsi="宋体" w:cs="Arial"/>
          <w:color w:val="auto"/>
          <w:sz w:val="26"/>
          <w:szCs w:val="26"/>
        </w:rPr>
        <w:t>km的减水河段。</w:t>
      </w:r>
      <w:r>
        <w:rPr>
          <w:rFonts w:hint="eastAsia" w:ascii="Arial" w:hAnsi="宋体" w:cs="Arial"/>
          <w:color w:val="auto"/>
          <w:sz w:val="26"/>
          <w:szCs w:val="26"/>
        </w:rPr>
        <w:t>由于水库蓄水导流，造成坝后河段水量减小，水体自净能力降低，对下游水环境有一定影响。</w:t>
      </w:r>
    </w:p>
    <w:p w14:paraId="566DAEB7">
      <w:pPr>
        <w:spacing w:line="460" w:lineRule="exact"/>
        <w:ind w:firstLine="392" w:firstLineChars="150"/>
        <w:rPr>
          <w:rFonts w:hint="default" w:ascii="Arial" w:hAnsi="宋体" w:cs="Arial"/>
          <w:b/>
          <w:sz w:val="26"/>
          <w:szCs w:val="26"/>
          <w:lang w:val="en-US" w:eastAsia="zh-CN"/>
        </w:rPr>
      </w:pPr>
      <w:r>
        <w:rPr>
          <w:rFonts w:hint="eastAsia" w:ascii="Arial" w:hAnsi="宋体" w:cs="Arial"/>
          <w:b/>
          <w:sz w:val="26"/>
          <w:szCs w:val="26"/>
          <w:lang w:eastAsia="zh-CN"/>
        </w:rPr>
        <w:t>（</w:t>
      </w:r>
      <w:r>
        <w:rPr>
          <w:rFonts w:hint="eastAsia" w:ascii="Arial" w:hAnsi="宋体" w:cs="Arial"/>
          <w:b/>
          <w:sz w:val="26"/>
          <w:szCs w:val="26"/>
          <w:lang w:val="en-US" w:eastAsia="zh-CN"/>
        </w:rPr>
        <w:t>1）人饮供水的退水影响分析</w:t>
      </w:r>
    </w:p>
    <w:p w14:paraId="21B4115A">
      <w:pPr>
        <w:spacing w:line="460" w:lineRule="exact"/>
        <w:ind w:firstLine="520" w:firstLineChars="200"/>
        <w:rPr>
          <w:rFonts w:hint="eastAsia" w:ascii="Arial" w:cs="Arial"/>
          <w:bCs/>
          <w:sz w:val="26"/>
          <w:lang w:eastAsia="zh-CN"/>
        </w:rPr>
      </w:pPr>
      <w:r>
        <w:rPr>
          <w:rFonts w:hint="eastAsia" w:ascii="Arial" w:hAnsi="宋体" w:cs="Arial"/>
          <w:color w:val="auto"/>
          <w:sz w:val="26"/>
          <w:szCs w:val="26"/>
          <w:lang w:eastAsia="zh-CN"/>
        </w:rPr>
        <w:t>本项目建成后主要向</w:t>
      </w:r>
      <w:r>
        <w:rPr>
          <w:rFonts w:hint="eastAsia" w:ascii="Arial" w:cs="Arial"/>
          <w:bCs/>
          <w:sz w:val="26"/>
          <w:lang w:eastAsia="zh-CN"/>
        </w:rPr>
        <w:t>双龙社区、双龙场村、田家山村供水，供水对象为农村居民7000人。</w:t>
      </w:r>
    </w:p>
    <w:p w14:paraId="6A32FF88">
      <w:pPr>
        <w:spacing w:line="460" w:lineRule="exact"/>
        <w:ind w:firstLine="520" w:firstLineChars="200"/>
        <w:rPr>
          <w:rFonts w:hint="default" w:ascii="Arial" w:hAnsi="宋体" w:cs="Arial"/>
          <w:bCs/>
          <w:sz w:val="26"/>
          <w:szCs w:val="26"/>
          <w:lang w:val="en-US" w:eastAsia="zh-CN"/>
        </w:rPr>
      </w:pPr>
      <w:r>
        <w:rPr>
          <w:rFonts w:hint="eastAsia" w:ascii="Arial" w:hAnsi="宋体" w:cs="Arial"/>
          <w:bCs/>
          <w:sz w:val="26"/>
          <w:szCs w:val="26"/>
        </w:rPr>
        <w:t>根据调查，</w:t>
      </w:r>
      <w:r>
        <w:rPr>
          <w:rFonts w:hint="eastAsia" w:ascii="Arial" w:hAnsi="宋体" w:cs="Arial"/>
          <w:bCs/>
          <w:sz w:val="26"/>
          <w:szCs w:val="26"/>
          <w:lang w:eastAsia="zh-CN"/>
        </w:rPr>
        <w:t>海螺沟水库向双龙社区所供生活用水产生的污废水，经双龙镇污水处理厂集中深度处理达标后，进入双龙河，不会对海螺沟水库坝后减水河段水质造成污染。双龙镇污水处理厂处理规模为</w:t>
      </w:r>
      <w:r>
        <w:rPr>
          <w:rFonts w:hint="eastAsia" w:ascii="Arial" w:hAnsi="宋体" w:cs="Arial"/>
          <w:bCs/>
          <w:sz w:val="26"/>
          <w:szCs w:val="26"/>
          <w:lang w:val="en-US" w:eastAsia="zh-CN"/>
        </w:rPr>
        <w:t>600m</w:t>
      </w:r>
      <w:r>
        <w:rPr>
          <w:rFonts w:hint="eastAsia" w:ascii="Arial" w:hAnsi="宋体" w:cs="Arial"/>
          <w:bCs/>
          <w:sz w:val="26"/>
          <w:szCs w:val="26"/>
          <w:vertAlign w:val="superscript"/>
          <w:lang w:val="en-US" w:eastAsia="zh-CN"/>
        </w:rPr>
        <w:t>3</w:t>
      </w:r>
      <w:r>
        <w:rPr>
          <w:rFonts w:hint="eastAsia" w:ascii="Arial" w:hAnsi="宋体" w:cs="Arial"/>
          <w:bCs/>
          <w:sz w:val="26"/>
          <w:szCs w:val="26"/>
          <w:lang w:val="en-US" w:eastAsia="zh-CN"/>
        </w:rPr>
        <w:t>/d，采取A/O工艺，服务范围为双龙镇镇区居民产生的生活污水，出水水质执行《城镇污水处理厂污染物排放标准》（GB18918-2002）中的一级B标，已通过竣工环保验收，排污许可证编号为91500230MA60CWJ95C044Q，有效期为2022年8月21日~2027年8月20日。根据双龙镇污水处理厂</w:t>
      </w:r>
      <w:r>
        <w:rPr>
          <w:rFonts w:hint="eastAsia" w:ascii="Arial" w:hAnsi="宋体" w:cs="Arial"/>
          <w:bCs/>
          <w:color w:val="auto"/>
          <w:sz w:val="26"/>
          <w:szCs w:val="26"/>
          <w:lang w:val="en-US" w:eastAsia="zh-CN"/>
        </w:rPr>
        <w:t>2020~2023年排污许可执行报告可知，出水水质可实现稳定达标排放。根据《重庆市渠溪河流域综合规划环境影响报告书》（报批版）中于双龙镇污水处理厂排水口下游所设地表水</w:t>
      </w:r>
      <w:r>
        <w:rPr>
          <w:rFonts w:hint="eastAsia" w:ascii="Arial" w:hAnsi="Arial" w:cs="Arial"/>
          <w:color w:val="auto"/>
          <w:kern w:val="0"/>
          <w:sz w:val="26"/>
          <w:szCs w:val="26"/>
          <w:lang w:val="en-US" w:eastAsia="zh-CN" w:bidi="ar-SA"/>
        </w:rPr>
        <w:t>监测断面（F5，双龙河入渠溪河上游500m处）的数据可知，</w:t>
      </w:r>
      <w:r>
        <w:rPr>
          <w:rFonts w:hint="eastAsia" w:ascii="Arial" w:hAnsi="Arial" w:cs="Arial"/>
          <w:color w:val="auto"/>
          <w:spacing w:val="-9"/>
          <w:kern w:val="0"/>
          <w:sz w:val="26"/>
          <w:szCs w:val="26"/>
          <w:lang w:val="en-US" w:eastAsia="zh-CN"/>
        </w:rPr>
        <w:t>枯水期各监测因子浓度均可满足</w:t>
      </w:r>
      <w:r>
        <w:rPr>
          <w:rFonts w:hint="eastAsia" w:ascii="Arial" w:hAnsi="Arial" w:cs="Arial"/>
          <w:color w:val="auto"/>
          <w:spacing w:val="-9"/>
          <w:kern w:val="0"/>
          <w:sz w:val="26"/>
          <w:szCs w:val="26"/>
          <w:lang w:val="zh-CN"/>
        </w:rPr>
        <w:t>《地表水环境质量标准》（GB3838-2002）Ⅲ类水域标准</w:t>
      </w:r>
      <w:r>
        <w:rPr>
          <w:rFonts w:hint="eastAsia" w:ascii="Arial" w:hAnsi="Arial" w:cs="Arial"/>
          <w:color w:val="auto"/>
          <w:spacing w:val="-9"/>
          <w:kern w:val="0"/>
          <w:sz w:val="26"/>
          <w:szCs w:val="26"/>
          <w:lang w:val="en-US" w:eastAsia="zh-CN"/>
        </w:rPr>
        <w:t>；同时结合本次对</w:t>
      </w:r>
      <w:r>
        <w:rPr>
          <w:rFonts w:hint="eastAsia" w:ascii="Arial" w:hAnsi="Arial" w:cs="Arial"/>
          <w:color w:val="auto"/>
          <w:kern w:val="0"/>
          <w:sz w:val="26"/>
          <w:szCs w:val="26"/>
          <w:lang w:val="en-US" w:eastAsia="zh-CN" w:bidi="ar-SA"/>
        </w:rPr>
        <w:t>双龙河入渠溪河上游500m处地表水断面进行实测得出的数据可知，</w:t>
      </w:r>
      <w:r>
        <w:rPr>
          <w:rFonts w:hint="eastAsia" w:ascii="Arial" w:hAnsi="Arial" w:cs="Arial"/>
          <w:color w:val="auto"/>
          <w:spacing w:val="-9"/>
          <w:kern w:val="0"/>
          <w:sz w:val="26"/>
          <w:szCs w:val="26"/>
          <w:lang w:val="en-US" w:eastAsia="zh-CN"/>
        </w:rPr>
        <w:t>丰水期各监测因子浓度均可满足</w:t>
      </w:r>
      <w:r>
        <w:rPr>
          <w:rFonts w:hint="eastAsia" w:ascii="Arial" w:hAnsi="Arial" w:cs="Arial"/>
          <w:color w:val="auto"/>
          <w:spacing w:val="-9"/>
          <w:kern w:val="0"/>
          <w:sz w:val="26"/>
          <w:szCs w:val="26"/>
          <w:lang w:val="zh-CN"/>
        </w:rPr>
        <w:t>《地表水环境质量标准》（GB3838-2002）Ⅲ类水域标准</w:t>
      </w:r>
      <w:r>
        <w:rPr>
          <w:rFonts w:hint="eastAsia" w:ascii="Arial" w:hAnsi="Arial" w:cs="Arial"/>
          <w:color w:val="auto"/>
          <w:spacing w:val="-9"/>
          <w:kern w:val="0"/>
          <w:sz w:val="26"/>
          <w:szCs w:val="26"/>
          <w:lang w:val="en-US" w:eastAsia="zh-CN"/>
        </w:rPr>
        <w:t>。本项目建成向双龙社区供给人饮用水，主要目的是提高供水保障率，所产生的生活污水不会突破双龙镇污水处理厂的处理规模，不会导致双龙镇污水处理厂排入双龙河内的污染负荷增加，</w:t>
      </w:r>
      <w:r>
        <w:rPr>
          <w:rFonts w:hint="eastAsia" w:ascii="Arial" w:hAnsi="宋体" w:cs="Arial"/>
          <w:bCs/>
          <w:sz w:val="26"/>
          <w:szCs w:val="26"/>
          <w:lang w:val="en-US" w:eastAsia="zh-CN"/>
        </w:rPr>
        <w:t>对双龙河水质影响小。</w:t>
      </w:r>
    </w:p>
    <w:p w14:paraId="7B8BC06D">
      <w:pPr>
        <w:spacing w:line="460" w:lineRule="exact"/>
        <w:ind w:firstLine="520" w:firstLineChars="200"/>
        <w:rPr>
          <w:rFonts w:hint="eastAsia" w:ascii="Arial" w:hAnsi="宋体" w:cs="Arial"/>
          <w:bCs/>
          <w:sz w:val="26"/>
          <w:szCs w:val="26"/>
          <w:lang w:eastAsia="zh-CN"/>
        </w:rPr>
      </w:pPr>
      <w:r>
        <w:rPr>
          <w:rFonts w:hint="eastAsia" w:ascii="Arial" w:hAnsi="宋体" w:cs="Arial"/>
          <w:bCs/>
          <w:sz w:val="26"/>
          <w:szCs w:val="26"/>
          <w:lang w:eastAsia="zh-CN"/>
        </w:rPr>
        <w:t>根据调查，向回龙场村、田家山村所供生活用水产生的污废水，主要由各农村居民家自建旱厕收集处理后，循序用作农肥，未直接进入河道。经处理后用作农肥的生活污水</w:t>
      </w:r>
      <w:r>
        <w:rPr>
          <w:rFonts w:hint="eastAsia" w:ascii="Arial" w:hAnsi="宋体" w:cs="Arial"/>
          <w:bCs/>
          <w:color w:val="auto"/>
          <w:sz w:val="26"/>
          <w:szCs w:val="26"/>
          <w:lang w:eastAsia="zh-CN"/>
        </w:rPr>
        <w:t>中</w:t>
      </w:r>
      <w:r>
        <w:rPr>
          <w:rFonts w:hint="eastAsia" w:ascii="Arial" w:hAnsi="Arial" w:eastAsia="宋体" w:cs="Arial"/>
          <w:bCs/>
          <w:color w:val="auto"/>
          <w:sz w:val="26"/>
          <w:szCs w:val="26"/>
          <w:lang w:eastAsia="zh-CN"/>
        </w:rPr>
        <w:t>大部分有机物被农作物吸收利用，</w:t>
      </w:r>
      <w:r>
        <w:rPr>
          <w:rFonts w:hint="eastAsia" w:ascii="Arial" w:hAnsi="Arial" w:cs="Arial"/>
          <w:bCs/>
          <w:color w:val="auto"/>
          <w:sz w:val="26"/>
          <w:szCs w:val="26"/>
          <w:lang w:eastAsia="zh-CN"/>
        </w:rPr>
        <w:t>再经土壤的过滤、吸附和自然蒸发作用后，</w:t>
      </w:r>
      <w:r>
        <w:rPr>
          <w:rFonts w:hint="eastAsia" w:ascii="Arial" w:hAnsi="宋体" w:cs="Arial"/>
          <w:bCs/>
          <w:color w:val="auto"/>
          <w:sz w:val="26"/>
          <w:szCs w:val="26"/>
          <w:lang w:eastAsia="zh-CN"/>
        </w:rPr>
        <w:t>随降雨</w:t>
      </w:r>
      <w:r>
        <w:rPr>
          <w:rFonts w:hint="eastAsia" w:ascii="Arial" w:hAnsi="宋体" w:cs="Arial"/>
          <w:bCs/>
          <w:sz w:val="26"/>
          <w:szCs w:val="26"/>
          <w:lang w:eastAsia="zh-CN"/>
        </w:rPr>
        <w:t>、地下水流进入河道内的量极小，对河道水质影响极小。同时随着丰都县</w:t>
      </w:r>
      <w:r>
        <w:rPr>
          <w:rFonts w:hint="eastAsia" w:ascii="Arial" w:hAnsi="宋体" w:eastAsia="宋体" w:cs="Arial"/>
          <w:bCs/>
          <w:sz w:val="26"/>
          <w:szCs w:val="26"/>
          <w:lang w:val="en-US" w:eastAsia="zh-CN"/>
        </w:rPr>
        <w:t>推动城镇污水管网向周边村庄延伸覆盖、</w:t>
      </w:r>
      <w:r>
        <w:rPr>
          <w:rFonts w:hint="default" w:ascii="Arial" w:hAnsi="宋体" w:eastAsia="宋体" w:cs="Arial"/>
          <w:bCs/>
          <w:sz w:val="26"/>
          <w:szCs w:val="26"/>
          <w:lang w:val="en-US" w:eastAsia="zh-CN"/>
        </w:rPr>
        <w:t>巩固拓展农村厕所革命</w:t>
      </w:r>
      <w:r>
        <w:rPr>
          <w:rFonts w:hint="eastAsia" w:ascii="Arial" w:hAnsi="宋体" w:eastAsia="宋体" w:cs="Arial"/>
          <w:bCs/>
          <w:sz w:val="26"/>
          <w:szCs w:val="26"/>
          <w:lang w:val="en-US" w:eastAsia="zh-CN"/>
        </w:rPr>
        <w:t>等方案的实施，供水范围内居民生活污水将得到更好的收集处理，对高洞桥河、海螺沟水质的影响将更小。</w:t>
      </w:r>
    </w:p>
    <w:p w14:paraId="59E0C3F9">
      <w:pPr>
        <w:spacing w:line="460" w:lineRule="exact"/>
        <w:ind w:firstLine="392" w:firstLineChars="150"/>
        <w:rPr>
          <w:rFonts w:hint="default" w:ascii="Arial" w:hAnsi="宋体" w:cs="Arial"/>
          <w:b/>
          <w:sz w:val="26"/>
          <w:szCs w:val="26"/>
          <w:lang w:val="en-US" w:eastAsia="zh-CN"/>
        </w:rPr>
      </w:pPr>
      <w:r>
        <w:rPr>
          <w:rFonts w:hint="eastAsia" w:ascii="Arial" w:hAnsi="宋体" w:cs="Arial"/>
          <w:b/>
          <w:sz w:val="26"/>
          <w:szCs w:val="26"/>
          <w:lang w:eastAsia="zh-CN"/>
        </w:rPr>
        <w:t>（</w:t>
      </w:r>
      <w:r>
        <w:rPr>
          <w:rFonts w:hint="eastAsia" w:ascii="Arial" w:hAnsi="宋体" w:cs="Arial"/>
          <w:b/>
          <w:sz w:val="26"/>
          <w:szCs w:val="26"/>
          <w:lang w:val="en-US" w:eastAsia="zh-CN"/>
        </w:rPr>
        <w:t>2）灌区回归水影响分析</w:t>
      </w:r>
    </w:p>
    <w:p w14:paraId="2535AD3D">
      <w:pPr>
        <w:spacing w:line="460" w:lineRule="exact"/>
        <w:ind w:firstLine="520"/>
        <w:rPr>
          <w:rFonts w:ascii="Arial" w:hAnsi="Arial" w:cs="Arial"/>
          <w:snapToGrid w:val="0"/>
          <w:sz w:val="26"/>
          <w:szCs w:val="26"/>
        </w:rPr>
      </w:pPr>
      <w:r>
        <w:rPr>
          <w:rFonts w:hint="default" w:ascii="Arial" w:hAnsi="Arial" w:cs="Arial"/>
          <w:bCs/>
          <w:sz w:val="26"/>
          <w:szCs w:val="26"/>
          <w:lang w:eastAsia="zh-CN"/>
        </w:rPr>
        <w:t>海螺沟水库建成后，灌区主要分布在双龙社区、回龙场村，</w:t>
      </w:r>
      <w:r>
        <w:rPr>
          <w:rFonts w:hint="default" w:ascii="Arial" w:hAnsi="Arial" w:cs="Arial"/>
          <w:kern w:val="0"/>
          <w:sz w:val="26"/>
          <w:szCs w:val="26"/>
        </w:rPr>
        <w:t>灌溉用水大部分通过植物吸收、</w:t>
      </w:r>
      <w:r>
        <w:rPr>
          <w:rFonts w:hint="default" w:ascii="Arial" w:hAnsi="Arial" w:cs="Arial"/>
          <w:kern w:val="0"/>
          <w:sz w:val="26"/>
          <w:szCs w:val="26"/>
          <w:lang w:eastAsia="zh-CN"/>
        </w:rPr>
        <w:t>自然</w:t>
      </w:r>
      <w:r>
        <w:rPr>
          <w:rFonts w:hint="default" w:ascii="Arial" w:hAnsi="Arial" w:cs="Arial"/>
          <w:kern w:val="0"/>
          <w:sz w:val="26"/>
          <w:szCs w:val="26"/>
        </w:rPr>
        <w:t>蒸发回归大自然，</w:t>
      </w:r>
      <w:r>
        <w:rPr>
          <w:rFonts w:hint="default" w:ascii="Arial" w:hAnsi="Arial" w:cs="Arial"/>
          <w:bCs/>
          <w:sz w:val="26"/>
          <w:szCs w:val="26"/>
        </w:rPr>
        <w:t>回归水主要来源于管道输水损失、田间渗漏以及作物成熟期的落干排水</w:t>
      </w:r>
      <w:r>
        <w:rPr>
          <w:rFonts w:hint="default" w:ascii="Arial" w:hAnsi="Arial" w:cs="Arial"/>
          <w:bCs/>
          <w:sz w:val="26"/>
          <w:szCs w:val="26"/>
          <w:lang w:eastAsia="zh-CN"/>
        </w:rPr>
        <w:t>，约占供水量的</w:t>
      </w:r>
      <w:r>
        <w:rPr>
          <w:rFonts w:hint="default" w:ascii="Arial" w:hAnsi="Arial" w:cs="Arial"/>
          <w:kern w:val="0"/>
          <w:sz w:val="26"/>
          <w:szCs w:val="26"/>
        </w:rPr>
        <w:t>2</w:t>
      </w:r>
      <w:r>
        <w:rPr>
          <w:rFonts w:hint="default" w:ascii="Arial" w:hAnsi="Arial" w:cs="Arial"/>
          <w:kern w:val="0"/>
          <w:sz w:val="26"/>
          <w:szCs w:val="26"/>
          <w:lang w:val="en-US" w:eastAsia="zh-CN"/>
        </w:rPr>
        <w:t>5</w:t>
      </w:r>
      <w:r>
        <w:rPr>
          <w:rFonts w:hint="default" w:ascii="Arial" w:hAnsi="Arial" w:cs="Arial"/>
          <w:kern w:val="0"/>
          <w:sz w:val="26"/>
          <w:szCs w:val="26"/>
        </w:rPr>
        <w:t>%</w:t>
      </w:r>
      <w:r>
        <w:rPr>
          <w:rFonts w:hint="default" w:ascii="Arial" w:hAnsi="Arial" w:cs="Arial"/>
          <w:kern w:val="0"/>
          <w:sz w:val="26"/>
          <w:szCs w:val="26"/>
          <w:lang w:eastAsia="zh-CN"/>
        </w:rPr>
        <w:t>，</w:t>
      </w:r>
      <w:r>
        <w:rPr>
          <w:rFonts w:hint="default" w:ascii="Arial" w:hAnsi="Arial" w:cs="Arial"/>
          <w:bCs/>
          <w:sz w:val="26"/>
          <w:szCs w:val="26"/>
        </w:rPr>
        <w:t>则多年平均回归水量为</w:t>
      </w:r>
      <w:r>
        <w:rPr>
          <w:rFonts w:hint="default" w:ascii="Arial" w:hAnsi="Arial" w:cs="Arial"/>
          <w:bCs/>
          <w:sz w:val="26"/>
          <w:szCs w:val="26"/>
          <w:lang w:val="en-US" w:eastAsia="zh-CN"/>
        </w:rPr>
        <w:t>14.375</w:t>
      </w:r>
      <w:r>
        <w:rPr>
          <w:rFonts w:hint="default" w:ascii="Arial" w:hAnsi="Arial" w:cs="Arial"/>
          <w:bCs/>
          <w:sz w:val="26"/>
          <w:szCs w:val="26"/>
        </w:rPr>
        <w:t>万</w:t>
      </w:r>
      <w:r>
        <w:rPr>
          <w:rFonts w:hint="default" w:ascii="Arial" w:hAnsi="Arial" w:cs="Arial"/>
          <w:bCs/>
          <w:color w:val="auto"/>
          <w:sz w:val="26"/>
          <w:szCs w:val="26"/>
        </w:rPr>
        <w:t>m</w:t>
      </w:r>
      <w:r>
        <w:rPr>
          <w:rFonts w:hint="default" w:ascii="Arial" w:hAnsi="Arial" w:cs="Arial"/>
          <w:bCs/>
          <w:color w:val="auto"/>
          <w:sz w:val="26"/>
          <w:szCs w:val="26"/>
          <w:vertAlign w:val="superscript"/>
        </w:rPr>
        <w:t>3</w:t>
      </w:r>
      <w:r>
        <w:rPr>
          <w:rFonts w:hint="eastAsia" w:ascii="Arial" w:hAnsi="Arial" w:cs="Arial"/>
          <w:bCs/>
          <w:color w:val="auto"/>
          <w:sz w:val="26"/>
          <w:szCs w:val="26"/>
          <w:lang w:eastAsia="zh-CN"/>
        </w:rPr>
        <w:t>，</w:t>
      </w:r>
      <w:r>
        <w:rPr>
          <w:rFonts w:hint="eastAsia" w:ascii="Arial" w:hAnsi="宋体" w:cs="Arial"/>
          <w:bCs/>
          <w:color w:val="auto"/>
          <w:sz w:val="26"/>
          <w:szCs w:val="26"/>
        </w:rPr>
        <w:t>灌区退水</w:t>
      </w:r>
      <w:r>
        <w:rPr>
          <w:rFonts w:hint="eastAsia" w:ascii="Arial" w:hAnsi="宋体" w:cs="Arial"/>
          <w:bCs/>
          <w:color w:val="auto"/>
          <w:sz w:val="26"/>
          <w:szCs w:val="26"/>
          <w:lang w:eastAsia="zh-CN"/>
        </w:rPr>
        <w:t>主要</w:t>
      </w:r>
      <w:r>
        <w:rPr>
          <w:rFonts w:hint="eastAsia" w:ascii="Arial" w:hAnsi="宋体" w:cs="Arial"/>
          <w:bCs/>
          <w:color w:val="auto"/>
          <w:sz w:val="26"/>
          <w:szCs w:val="26"/>
        </w:rPr>
        <w:t>进入</w:t>
      </w:r>
      <w:r>
        <w:rPr>
          <w:rFonts w:hint="eastAsia" w:ascii="Arial" w:hAnsi="宋体" w:cs="Arial"/>
          <w:bCs/>
          <w:color w:val="auto"/>
          <w:sz w:val="26"/>
          <w:szCs w:val="26"/>
          <w:lang w:eastAsia="zh-CN"/>
        </w:rPr>
        <w:t>海螺沟</w:t>
      </w:r>
      <w:r>
        <w:rPr>
          <w:rFonts w:hint="eastAsia" w:ascii="Arial" w:hAnsi="宋体" w:cs="Arial"/>
          <w:bCs/>
          <w:color w:val="auto"/>
          <w:sz w:val="26"/>
          <w:szCs w:val="26"/>
        </w:rPr>
        <w:t>水库坝后减水河段</w:t>
      </w:r>
      <w:r>
        <w:rPr>
          <w:rFonts w:hint="eastAsia" w:ascii="Arial" w:hAnsi="宋体" w:cs="Arial"/>
          <w:bCs/>
          <w:color w:val="auto"/>
          <w:sz w:val="26"/>
          <w:szCs w:val="26"/>
          <w:lang w:eastAsia="zh-CN"/>
        </w:rPr>
        <w:t>及高洞桥河河段</w:t>
      </w:r>
      <w:r>
        <w:rPr>
          <w:rFonts w:hint="eastAsia" w:ascii="Arial" w:hAnsi="宋体" w:cs="Arial"/>
          <w:bCs/>
          <w:color w:val="auto"/>
          <w:sz w:val="26"/>
          <w:szCs w:val="26"/>
        </w:rPr>
        <w:t>内。</w:t>
      </w:r>
      <w:r>
        <w:rPr>
          <w:rFonts w:ascii="Arial" w:cs="Arial"/>
          <w:sz w:val="26"/>
          <w:szCs w:val="26"/>
        </w:rPr>
        <w:t>灌溉回归水使灌区地下水、地表水水量有所增加，有利于减轻干旱缺水程度。此外，回归水还可作为灌区、非灌区、农业生产的补充水源被重复利用。</w:t>
      </w:r>
    </w:p>
    <w:p w14:paraId="1E5CC676">
      <w:pPr>
        <w:spacing w:line="460" w:lineRule="exact"/>
        <w:ind w:firstLine="520"/>
        <w:rPr>
          <w:rFonts w:ascii="Arial" w:hAnsi="Arial" w:cs="Arial"/>
          <w:sz w:val="26"/>
          <w:szCs w:val="26"/>
        </w:rPr>
      </w:pPr>
      <w:r>
        <w:rPr>
          <w:rFonts w:ascii="Arial" w:cs="Arial"/>
          <w:sz w:val="26"/>
          <w:szCs w:val="26"/>
        </w:rPr>
        <w:t>由于田间施肥及使用农药，使灌溉水中含总氮、总磷等化肥成分及其它农药成分，从而随回归水带入河道，直接排入河道将在一定程度上对下游河段水质产生不利影响。灌溉回归水水质主要受农业生产的影响，每年</w:t>
      </w:r>
      <w:r>
        <w:rPr>
          <w:rFonts w:ascii="Arial" w:hAnsi="Arial" w:cs="Arial"/>
          <w:sz w:val="26"/>
          <w:szCs w:val="26"/>
        </w:rPr>
        <w:t>4-5</w:t>
      </w:r>
      <w:r>
        <w:rPr>
          <w:rFonts w:ascii="Arial" w:cs="Arial"/>
          <w:sz w:val="26"/>
          <w:szCs w:val="26"/>
        </w:rPr>
        <w:t>月引水泡田，使土壤中的养分溶出形成肥水。在水稻生长期由于化肥、农药的施用使稻田中有机质、营养物质增多，在水稻成熟期将田间水排至主河网水系，对当地的水环境有一定的影响。灌区化肥农药施用水平呈上升趋势，同时灌区受益后，由于水源得到保障，耕作制度发生较大的改变，复种指数提高，以旱作物为主改为以水稻为主。因此，灌溉回归水中的化肥农药对地表、地下水水质的影响较工程前有所增</w:t>
      </w:r>
      <w:r>
        <w:rPr>
          <w:rFonts w:ascii="Arial" w:cs="Arial"/>
          <w:color w:val="auto"/>
          <w:sz w:val="26"/>
          <w:szCs w:val="26"/>
        </w:rPr>
        <w:t>大。但在</w:t>
      </w:r>
      <w:r>
        <w:rPr>
          <w:rFonts w:hint="eastAsia" w:ascii="Arial" w:cs="Arial"/>
          <w:bCs/>
          <w:color w:val="auto"/>
          <w:sz w:val="26"/>
          <w:szCs w:val="26"/>
        </w:rPr>
        <w:t>根据《长江保护修复攻坚战行动计划》，落实化肥、农药施用量负增长行动，通过开展化肥、农药减量利用和替代利用，加大测土配方施肥推广力度，引导科学合理施肥施药</w:t>
      </w:r>
      <w:r>
        <w:rPr>
          <w:rFonts w:ascii="Arial" w:cs="Arial"/>
          <w:color w:val="auto"/>
          <w:sz w:val="26"/>
          <w:szCs w:val="26"/>
        </w:rPr>
        <w:t>等措施后可以减少灌溉退水中污染物的含量，对退水河段水体质量影响不大，对第三者也不会产生大的影响。</w:t>
      </w:r>
    </w:p>
    <w:p w14:paraId="6D5901DE">
      <w:pPr>
        <w:spacing w:line="460" w:lineRule="exact"/>
        <w:ind w:firstLine="392" w:firstLineChars="150"/>
        <w:rPr>
          <w:rFonts w:hint="default" w:ascii="Arial" w:hAnsi="宋体" w:cs="Arial"/>
          <w:b/>
          <w:sz w:val="26"/>
          <w:szCs w:val="26"/>
          <w:lang w:val="en-US" w:eastAsia="zh-CN"/>
        </w:rPr>
      </w:pPr>
      <w:r>
        <w:rPr>
          <w:rFonts w:hint="eastAsia" w:ascii="Arial" w:hAnsi="宋体" w:cs="Arial"/>
          <w:b/>
          <w:sz w:val="26"/>
          <w:szCs w:val="26"/>
          <w:lang w:eastAsia="zh-CN"/>
        </w:rPr>
        <w:t>（</w:t>
      </w:r>
      <w:r>
        <w:rPr>
          <w:rFonts w:hint="eastAsia" w:ascii="Arial" w:hAnsi="宋体" w:cs="Arial"/>
          <w:b/>
          <w:sz w:val="26"/>
          <w:szCs w:val="26"/>
          <w:lang w:val="en-US" w:eastAsia="zh-CN"/>
        </w:rPr>
        <w:t>3）坝后减水河段水质达标情况</w:t>
      </w:r>
    </w:p>
    <w:p w14:paraId="58C6ECD9">
      <w:pPr>
        <w:spacing w:line="460" w:lineRule="exact"/>
        <w:ind w:firstLine="520"/>
        <w:rPr>
          <w:rFonts w:hint="eastAsia" w:ascii="Arial" w:hAnsi="Times New Roman" w:eastAsia="宋体" w:cs="Arial"/>
          <w:sz w:val="26"/>
          <w:szCs w:val="26"/>
          <w:lang w:val="en-US" w:eastAsia="zh-CN"/>
        </w:rPr>
      </w:pPr>
      <w:r>
        <w:rPr>
          <w:rFonts w:hint="eastAsia" w:ascii="Arial" w:hAnsi="Times New Roman" w:eastAsia="宋体" w:cs="Arial"/>
          <w:sz w:val="26"/>
          <w:szCs w:val="26"/>
          <w:lang w:val="en-US" w:eastAsia="zh-CN"/>
        </w:rPr>
        <w:t>本项目建成运行后，将作为集中式饮用水源地进行保护，按照《饮用水水源保护区划分技术规范》（HJ338-2018）中相关要求划定饮用水水源保护区，并将按照《中华人民共和国水污染防治法》、《重庆市饮用水源污染防治办法》等相关规定，对海螺沟水库所划定的饮用水源保护区进行严格管控，其集雨范围内将不会新增排污源，入库污染物将得到控制，坝址以上污染源可在现有水平上进一步降低；同时随着库区内集水的自净作用，下泄生态流量中各污染因子浓度均会较入库水质有所减小。运营期按规定下泄生态流量，并安装在线监控装置，配合相关部门，共同推进库区两岸、减水河段两岸的污染治理工作，以确保河流水质。</w:t>
      </w:r>
    </w:p>
    <w:p w14:paraId="59C2B2F7">
      <w:pPr>
        <w:pStyle w:val="2113"/>
        <w:ind w:firstLine="520"/>
        <w:rPr>
          <w:rFonts w:hint="eastAsia" w:ascii="Arial" w:hAnsi="Arial" w:cs="Arial"/>
          <w:color w:val="auto"/>
          <w:kern w:val="0"/>
          <w:sz w:val="26"/>
          <w:szCs w:val="26"/>
          <w:lang w:val="en-US" w:eastAsia="zh-CN" w:bidi="ar-SA"/>
        </w:rPr>
      </w:pPr>
      <w:r>
        <w:rPr>
          <w:rFonts w:hint="eastAsia" w:ascii="Arial" w:hAnsi="Times New Roman" w:eastAsia="宋体" w:cs="Arial"/>
          <w:color w:val="auto"/>
          <w:sz w:val="26"/>
          <w:szCs w:val="26"/>
          <w:lang w:val="en-US" w:eastAsia="zh-CN"/>
        </w:rPr>
        <w:t>根据《重庆市渠溪河流域综合规划环境影响报告书》（报批版），规划期内将实施丰都县渠溪河中小河流治理工程，治理河段长51.661km，分布在青龙乡、双龙镇、三元镇、仁沙镇、兴龙镇、社坛镇，主要实施内容为新建堤防、疏浚清淤、岸坡护砌、生态修复等工程措施</w:t>
      </w:r>
      <w:r>
        <w:rPr>
          <w:rFonts w:hint="eastAsia" w:ascii="Arial" w:hAnsi="Arial" w:cs="Arial"/>
          <w:color w:val="auto"/>
          <w:kern w:val="0"/>
          <w:sz w:val="26"/>
          <w:szCs w:val="26"/>
          <w:lang w:val="en-US" w:eastAsia="zh-CN" w:bidi="ar-SA"/>
        </w:rPr>
        <w:t>。河道清淤将清除河道内堆积的肥沃淤泥，从而改善河流水质，消除TP、TN、NH</w:t>
      </w:r>
      <w:r>
        <w:rPr>
          <w:rFonts w:hint="eastAsia" w:ascii="Arial" w:hAnsi="Arial" w:cs="Arial"/>
          <w:color w:val="auto"/>
          <w:kern w:val="0"/>
          <w:sz w:val="26"/>
          <w:szCs w:val="26"/>
          <w:vertAlign w:val="subscript"/>
          <w:lang w:val="en-US" w:eastAsia="zh-CN" w:bidi="ar-SA"/>
        </w:rPr>
        <w:t>3</w:t>
      </w:r>
      <w:r>
        <w:rPr>
          <w:rFonts w:hint="eastAsia" w:ascii="Arial" w:hAnsi="Arial" w:cs="Arial"/>
          <w:color w:val="auto"/>
          <w:kern w:val="0"/>
          <w:sz w:val="26"/>
          <w:szCs w:val="26"/>
          <w:lang w:val="en-US" w:eastAsia="zh-CN" w:bidi="ar-SA"/>
        </w:rPr>
        <w:t>-N等因子的污染。同时提出了水资源保护措施，第一是</w:t>
      </w:r>
      <w:r>
        <w:rPr>
          <w:rFonts w:eastAsia="宋体" w:cs="Times New Roman"/>
          <w:color w:val="auto"/>
          <w:sz w:val="26"/>
          <w:szCs w:val="26"/>
          <w:highlight w:val="none"/>
          <w:lang w:val="zh-CN"/>
        </w:rPr>
        <w:t>严格执行水功能区污染物限制排污总量控制方案；</w:t>
      </w:r>
      <w:r>
        <w:rPr>
          <w:rFonts w:hint="eastAsia" w:eastAsia="宋体" w:cs="Times New Roman"/>
          <w:color w:val="auto"/>
          <w:sz w:val="26"/>
          <w:szCs w:val="26"/>
          <w:highlight w:val="none"/>
          <w:lang w:val="zh-CN"/>
        </w:rPr>
        <w:t>第二是</w:t>
      </w:r>
      <w:r>
        <w:rPr>
          <w:rFonts w:eastAsia="宋体" w:cs="Times New Roman"/>
          <w:color w:val="auto"/>
          <w:sz w:val="26"/>
          <w:szCs w:val="26"/>
          <w:highlight w:val="none"/>
          <w:lang w:val="zh-CN"/>
        </w:rPr>
        <w:t>加快沿河乡镇污水收集管网建设，加快推进污水处理、垃圾处理及配套设施建设；</w:t>
      </w:r>
      <w:r>
        <w:rPr>
          <w:rFonts w:hint="eastAsia" w:eastAsia="宋体" w:cs="Times New Roman"/>
          <w:color w:val="auto"/>
          <w:sz w:val="26"/>
          <w:szCs w:val="26"/>
          <w:highlight w:val="none"/>
          <w:lang w:val="zh-CN"/>
        </w:rPr>
        <w:t>第三是</w:t>
      </w:r>
      <w:r>
        <w:rPr>
          <w:rFonts w:eastAsia="宋体" w:cs="Times New Roman"/>
          <w:color w:val="auto"/>
          <w:sz w:val="26"/>
          <w:szCs w:val="26"/>
          <w:highlight w:val="none"/>
          <w:lang w:val="zh-CN"/>
        </w:rPr>
        <w:t>加强节约用水，从根本上减少水资源消耗和废污水排放；</w:t>
      </w:r>
      <w:r>
        <w:rPr>
          <w:rFonts w:hint="eastAsia" w:eastAsia="宋体" w:cs="Times New Roman"/>
          <w:color w:val="auto"/>
          <w:sz w:val="26"/>
          <w:szCs w:val="26"/>
          <w:highlight w:val="none"/>
          <w:lang w:val="zh-CN"/>
        </w:rPr>
        <w:t>第四是</w:t>
      </w:r>
      <w:r>
        <w:rPr>
          <w:rFonts w:eastAsia="宋体" w:cs="Times New Roman"/>
          <w:color w:val="auto"/>
          <w:sz w:val="26"/>
          <w:szCs w:val="26"/>
          <w:highlight w:val="none"/>
          <w:lang w:val="zh-CN"/>
        </w:rPr>
        <w:t>加大面污染源的治理和控制力度，加强农村生活污水处理设施建设，综合利用农业废弃物，减少农业环境污染。</w:t>
      </w:r>
    </w:p>
    <w:p w14:paraId="37E79FCF">
      <w:pPr>
        <w:pStyle w:val="2113"/>
        <w:ind w:firstLine="520"/>
        <w:rPr>
          <w:rFonts w:hint="eastAsia" w:ascii="Arial" w:hAnsi="Arial" w:cs="Arial"/>
          <w:color w:val="auto"/>
          <w:kern w:val="0"/>
          <w:sz w:val="26"/>
          <w:szCs w:val="26"/>
          <w:lang w:val="en-US" w:eastAsia="zh-CN" w:bidi="ar-SA"/>
        </w:rPr>
      </w:pPr>
      <w:r>
        <w:rPr>
          <w:rFonts w:hint="eastAsia" w:ascii="Arial" w:hAnsi="Arial" w:cs="Arial"/>
          <w:color w:val="auto"/>
          <w:kern w:val="0"/>
          <w:sz w:val="26"/>
          <w:szCs w:val="26"/>
          <w:lang w:val="en-US" w:eastAsia="zh-CN" w:bidi="ar-SA"/>
        </w:rPr>
        <w:t>同时，</w:t>
      </w:r>
      <w:r>
        <w:rPr>
          <w:rFonts w:hint="eastAsia" w:ascii="Arial" w:hAnsi="Arial" w:eastAsia="宋体" w:cs="Arial"/>
          <w:color w:val="auto"/>
          <w:kern w:val="0"/>
          <w:sz w:val="26"/>
          <w:szCs w:val="26"/>
          <w:lang w:val="en-US" w:eastAsia="zh-CN" w:bidi="ar-SA"/>
        </w:rPr>
        <w:t>《重庆市丰都县国民经济和社会发展第十四个五年规划和二〇三五年远景目标纲要》“丰都府办</w:t>
      </w:r>
      <w:r>
        <w:rPr>
          <w:rFonts w:hint="default" w:ascii="Arial" w:hAnsi="Arial" w:eastAsia="宋体" w:cs="Arial"/>
          <w:color w:val="auto"/>
          <w:kern w:val="0"/>
          <w:sz w:val="26"/>
          <w:szCs w:val="26"/>
          <w:lang w:val="en-US" w:eastAsia="zh-CN" w:bidi="ar-SA"/>
        </w:rPr>
        <w:t>〔2021〕4号</w:t>
      </w:r>
      <w:r>
        <w:rPr>
          <w:rFonts w:hint="eastAsia" w:ascii="宋体" w:hAnsi="宋体" w:eastAsia="宋体" w:cs="宋体"/>
          <w:color w:val="auto"/>
          <w:kern w:val="0"/>
          <w:sz w:val="26"/>
          <w:szCs w:val="26"/>
          <w:lang w:val="en-US" w:eastAsia="zh-CN" w:bidi="ar-SA"/>
        </w:rPr>
        <w:t>”</w:t>
      </w:r>
      <w:r>
        <w:rPr>
          <w:rFonts w:hint="eastAsia" w:ascii="Arial" w:hAnsi="Arial" w:cs="Arial"/>
          <w:color w:val="auto"/>
          <w:kern w:val="0"/>
          <w:sz w:val="26"/>
          <w:szCs w:val="26"/>
          <w:lang w:val="en-US" w:eastAsia="zh-CN" w:bidi="ar-SA"/>
        </w:rPr>
        <w:t>指出，将改善农村人居环境，推进农村生活垃圾分类和资源化利用，行政村生活垃圾治理比例继续保持100%；推动城镇污水管网向周边村庄延伸覆盖，农村生活污水处理率达到80%以上；巩固拓展农村厕所革命成果，农村卫生厕所卫生普及率提高到100%。</w:t>
      </w:r>
    </w:p>
    <w:p w14:paraId="7A88072A">
      <w:pPr>
        <w:pStyle w:val="2113"/>
        <w:ind w:firstLine="520"/>
        <w:rPr>
          <w:rFonts w:hint="default" w:ascii="Arial" w:hAnsi="Arial" w:eastAsia="宋体" w:cs="Arial"/>
          <w:color w:val="auto"/>
          <w:kern w:val="0"/>
          <w:sz w:val="26"/>
          <w:szCs w:val="26"/>
          <w:lang w:val="en-US" w:eastAsia="zh-CN" w:bidi="ar-SA"/>
        </w:rPr>
      </w:pPr>
      <w:r>
        <w:rPr>
          <w:rFonts w:hint="eastAsia" w:ascii="Arial" w:hAnsi="Arial" w:eastAsia="宋体" w:cs="Arial"/>
          <w:color w:val="auto"/>
          <w:kern w:val="0"/>
          <w:sz w:val="26"/>
          <w:szCs w:val="26"/>
          <w:lang w:val="en-US" w:eastAsia="zh-CN" w:bidi="ar-SA"/>
        </w:rPr>
        <w:t>在上述治理措施、管理制度同步协调实施的情况下，流域内农业面源污染将得到极大的控制，入河污染物进一步削减，海螺沟水库坝后减水河段内水质将逐步改善，并实现Ⅲ类水域的管理目标。</w:t>
      </w:r>
    </w:p>
    <w:p w14:paraId="3F3F86BB">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default" w:ascii="Arial" w:hAnsi="宋体" w:cs="Arial"/>
          <w:sz w:val="26"/>
          <w:szCs w:val="26"/>
          <w:lang w:val="en-US"/>
        </w:rPr>
      </w:pPr>
      <w:r>
        <w:rPr>
          <w:rFonts w:hint="eastAsia" w:ascii="Arial" w:hAnsi="Arial" w:eastAsia="宋体" w:cs="Arial"/>
          <w:b/>
          <w:bCs/>
          <w:color w:val="000000"/>
          <w:sz w:val="26"/>
          <w:szCs w:val="26"/>
          <w:lang w:val="en-US" w:eastAsia="zh-CN"/>
        </w:rPr>
        <w:t>6.6生态环境影响分析</w:t>
      </w:r>
    </w:p>
    <w:p w14:paraId="7A8C22EE">
      <w:pPr>
        <w:spacing w:line="460" w:lineRule="exact"/>
        <w:ind w:firstLine="522" w:firstLineChars="200"/>
        <w:rPr>
          <w:rFonts w:hint="default" w:ascii="Arial" w:hAnsi="Arial" w:eastAsia="宋体" w:cs="Arial"/>
          <w:b/>
          <w:bCs/>
          <w:sz w:val="26"/>
          <w:szCs w:val="26"/>
          <w:lang w:val="en-US" w:eastAsia="zh-CN"/>
        </w:rPr>
      </w:pPr>
      <w:r>
        <w:rPr>
          <w:rFonts w:hint="eastAsia" w:ascii="Arial" w:hAnsi="Arial" w:cs="Arial"/>
          <w:b/>
          <w:bCs/>
          <w:sz w:val="26"/>
          <w:szCs w:val="26"/>
          <w:lang w:val="en-US" w:eastAsia="zh-CN"/>
        </w:rPr>
        <w:t>6.6.1对生态系统的影响分析</w:t>
      </w:r>
    </w:p>
    <w:p w14:paraId="253C5BB4">
      <w:pPr>
        <w:pStyle w:val="2113"/>
        <w:spacing w:line="460" w:lineRule="exact"/>
        <w:ind w:firstLine="520"/>
        <w:rPr>
          <w:rFonts w:hint="eastAsia" w:ascii="Arial" w:eastAsia="宋体" w:cs="Arial"/>
          <w:color w:val="auto"/>
          <w:sz w:val="26"/>
          <w:szCs w:val="26"/>
          <w:lang w:eastAsia="zh-CN"/>
        </w:rPr>
      </w:pPr>
      <w:r>
        <w:rPr>
          <w:rFonts w:hint="eastAsia" w:ascii="Arial" w:cs="Arial"/>
          <w:color w:val="auto"/>
          <w:sz w:val="26"/>
          <w:szCs w:val="26"/>
        </w:rPr>
        <w:t>水库对河流生态系统的影响主要为阻隔影响</w:t>
      </w:r>
      <w:r>
        <w:rPr>
          <w:rFonts w:hint="eastAsia" w:ascii="Arial" w:cs="Arial"/>
          <w:color w:val="auto"/>
          <w:sz w:val="26"/>
          <w:szCs w:val="26"/>
          <w:lang w:eastAsia="zh-CN"/>
        </w:rPr>
        <w:t>，</w:t>
      </w:r>
      <w:r>
        <w:rPr>
          <w:rFonts w:hint="eastAsia" w:ascii="Arial" w:cs="Arial"/>
          <w:color w:val="auto"/>
          <w:sz w:val="26"/>
          <w:szCs w:val="26"/>
        </w:rPr>
        <w:t>工程拦水坝的建设会形成阻隔，影响到河流上下游的连通性</w:t>
      </w:r>
      <w:r>
        <w:rPr>
          <w:rFonts w:hint="eastAsia" w:ascii="Arial" w:cs="Arial"/>
          <w:color w:val="auto"/>
          <w:sz w:val="26"/>
          <w:szCs w:val="26"/>
          <w:lang w:eastAsia="zh-CN"/>
        </w:rPr>
        <w:t>；</w:t>
      </w:r>
      <w:r>
        <w:rPr>
          <w:rFonts w:hint="eastAsia" w:ascii="Arial" w:cs="Arial"/>
          <w:color w:val="auto"/>
          <w:sz w:val="26"/>
          <w:szCs w:val="26"/>
        </w:rPr>
        <w:t>大坝阻隔带来的水、陆交替变化也会改变河流的水生生态结构，库区内水生生物会增加，而减水河段水生生物会减少；同时大坝阻隔带来的水文情势变化，使部分河段水流减缓，部分喜急流的水生生物会减少，而喜静</w:t>
      </w:r>
      <w:r>
        <w:rPr>
          <w:rFonts w:hint="eastAsia" w:ascii="Arial" w:hAnsi="Times New Roman" w:eastAsia="宋体" w:cs="Arial"/>
          <w:color w:val="auto"/>
          <w:sz w:val="26"/>
          <w:szCs w:val="26"/>
        </w:rPr>
        <w:t>水的水生生物会增加。</w:t>
      </w:r>
      <w:r>
        <w:rPr>
          <w:rFonts w:hint="eastAsia" w:ascii="Arial" w:hAnsi="Times New Roman" w:eastAsia="宋体" w:cs="Arial"/>
          <w:color w:val="auto"/>
          <w:sz w:val="26"/>
          <w:szCs w:val="26"/>
          <w:lang w:eastAsia="zh-CN"/>
        </w:rPr>
        <w:t>本项目所在河段</w:t>
      </w:r>
      <w:r>
        <w:rPr>
          <w:rFonts w:hint="eastAsia" w:ascii="Arial" w:hAnsi="Times New Roman" w:eastAsia="宋体" w:cs="Arial"/>
          <w:color w:val="auto"/>
          <w:sz w:val="26"/>
          <w:szCs w:val="26"/>
          <w:lang w:val="en-US" w:eastAsia="zh-CN"/>
        </w:rPr>
        <w:t>河道底质主要为基岩、砾石，河道内水生生物种类较少，无洄游性鱼类，浮游生物繁衍能力强，可在库区内寻找到寻得生产环境，建立新的</w:t>
      </w:r>
      <w:r>
        <w:rPr>
          <w:rFonts w:hint="eastAsia" w:ascii="Arial" w:cs="Arial"/>
          <w:color w:val="auto"/>
          <w:sz w:val="26"/>
          <w:szCs w:val="26"/>
        </w:rPr>
        <w:t>食物链、食物网</w:t>
      </w:r>
      <w:r>
        <w:rPr>
          <w:rFonts w:hint="eastAsia" w:ascii="Arial" w:cs="Arial"/>
          <w:color w:val="auto"/>
          <w:sz w:val="26"/>
          <w:szCs w:val="26"/>
          <w:lang w:eastAsia="zh-CN"/>
        </w:rPr>
        <w:t>。由此可见，项目</w:t>
      </w:r>
      <w:r>
        <w:rPr>
          <w:rFonts w:hint="eastAsia" w:ascii="Arial" w:cs="Arial"/>
          <w:color w:val="auto"/>
          <w:sz w:val="26"/>
          <w:szCs w:val="26"/>
        </w:rPr>
        <w:t>运行期</w:t>
      </w:r>
      <w:r>
        <w:rPr>
          <w:rFonts w:hint="eastAsia" w:ascii="Arial" w:cs="Arial"/>
          <w:color w:val="auto"/>
          <w:sz w:val="26"/>
          <w:szCs w:val="26"/>
          <w:lang w:eastAsia="zh-CN"/>
        </w:rPr>
        <w:t>对</w:t>
      </w:r>
      <w:r>
        <w:rPr>
          <w:rFonts w:hint="eastAsia" w:ascii="Arial" w:cs="Arial"/>
          <w:color w:val="auto"/>
          <w:sz w:val="26"/>
          <w:szCs w:val="26"/>
        </w:rPr>
        <w:t>库区生态系统稳定性影响较小。</w:t>
      </w:r>
    </w:p>
    <w:p w14:paraId="259CDB66">
      <w:pPr>
        <w:pStyle w:val="2113"/>
        <w:spacing w:line="460" w:lineRule="exact"/>
        <w:rPr>
          <w:rFonts w:hint="eastAsia" w:ascii="Arial" w:cs="Arial"/>
          <w:color w:val="auto"/>
          <w:sz w:val="26"/>
          <w:szCs w:val="26"/>
        </w:rPr>
      </w:pPr>
      <w:r>
        <w:rPr>
          <w:rFonts w:hint="eastAsia" w:ascii="Arial" w:cs="Arial"/>
          <w:color w:val="auto"/>
          <w:sz w:val="26"/>
          <w:szCs w:val="26"/>
          <w:lang w:eastAsia="zh-CN"/>
        </w:rPr>
        <w:t>大坝</w:t>
      </w:r>
      <w:r>
        <w:rPr>
          <w:rFonts w:hint="eastAsia" w:ascii="Arial" w:cs="Arial"/>
          <w:color w:val="auto"/>
          <w:sz w:val="26"/>
          <w:szCs w:val="26"/>
        </w:rPr>
        <w:t>对河道水流实施拦截截流，运行期将致使下游河段形成减水河段，减水河段可能部分干涸，河床砂石裸露，偶有基坑积水，鱼类很难生存。不过由于减水河段两岸为陡峭山体，地质条件良好，山体植被较为茂密，水土保持完善，水力资源十分丰富</w:t>
      </w:r>
      <w:r>
        <w:rPr>
          <w:rFonts w:hint="eastAsia" w:ascii="Arial" w:cs="Arial"/>
          <w:color w:val="auto"/>
          <w:sz w:val="26"/>
          <w:szCs w:val="26"/>
          <w:lang w:eastAsia="zh-CN"/>
        </w:rPr>
        <w:t>。</w:t>
      </w:r>
      <w:r>
        <w:rPr>
          <w:rFonts w:hint="eastAsia" w:ascii="Arial" w:cs="Arial"/>
          <w:color w:val="auto"/>
          <w:sz w:val="26"/>
          <w:szCs w:val="26"/>
        </w:rPr>
        <w:t>通过雨季降雨、涵养水的补充，水库减水河段对最小生态需水的依赖不强，不会对天然河道的生态环境产生较大影响。</w:t>
      </w:r>
    </w:p>
    <w:p w14:paraId="763B2379">
      <w:pPr>
        <w:spacing w:line="460" w:lineRule="exact"/>
        <w:ind w:firstLine="522" w:firstLineChars="200"/>
        <w:rPr>
          <w:rFonts w:hint="default" w:ascii="Arial" w:hAnsi="Arial" w:eastAsia="宋体" w:cs="Arial"/>
          <w:b/>
          <w:bCs/>
          <w:sz w:val="26"/>
          <w:szCs w:val="26"/>
          <w:lang w:val="en-US" w:eastAsia="zh-CN"/>
        </w:rPr>
      </w:pPr>
      <w:r>
        <w:rPr>
          <w:rFonts w:hint="eastAsia" w:ascii="Arial" w:hAnsi="Arial" w:cs="Arial"/>
          <w:b/>
          <w:bCs/>
          <w:sz w:val="26"/>
          <w:szCs w:val="26"/>
          <w:lang w:val="en-US" w:eastAsia="zh-CN"/>
        </w:rPr>
        <w:t>6.6.2对陆生植物的影响分析</w:t>
      </w:r>
    </w:p>
    <w:p w14:paraId="2177E8FF">
      <w:pPr>
        <w:pStyle w:val="2113"/>
        <w:spacing w:line="460" w:lineRule="exact"/>
        <w:ind w:firstLine="520"/>
        <w:rPr>
          <w:rFonts w:hint="eastAsia" w:ascii="Arial" w:cs="Arial"/>
          <w:color w:val="auto"/>
          <w:sz w:val="26"/>
          <w:szCs w:val="26"/>
          <w:lang w:eastAsia="zh-CN"/>
        </w:rPr>
      </w:pPr>
      <w:r>
        <w:rPr>
          <w:rFonts w:hint="eastAsia" w:ascii="Arial" w:cs="Arial"/>
          <w:color w:val="auto"/>
          <w:sz w:val="26"/>
          <w:szCs w:val="26"/>
        </w:rPr>
        <w:t>水库建成后，</w:t>
      </w:r>
      <w:r>
        <w:rPr>
          <w:rFonts w:hint="eastAsia" w:ascii="Arial" w:cs="Arial"/>
          <w:color w:val="auto"/>
          <w:sz w:val="26"/>
          <w:szCs w:val="26"/>
          <w:lang w:eastAsia="zh-CN"/>
        </w:rPr>
        <w:t>将形成一定面积的水域，为湿地植物提供了生存环境，在库区和库周会增加多种适应湿地环境的植物物种。同时，</w:t>
      </w:r>
      <w:r>
        <w:rPr>
          <w:rFonts w:hint="eastAsia" w:ascii="Arial" w:cs="Arial"/>
          <w:color w:val="auto"/>
          <w:sz w:val="26"/>
          <w:szCs w:val="26"/>
        </w:rPr>
        <w:t>将依据四周植被分布情况，对管理</w:t>
      </w:r>
      <w:r>
        <w:rPr>
          <w:rFonts w:hint="eastAsia" w:ascii="Arial" w:cs="Arial"/>
          <w:color w:val="auto"/>
          <w:sz w:val="26"/>
          <w:szCs w:val="26"/>
          <w:lang w:eastAsia="zh-CN"/>
        </w:rPr>
        <w:t>房四周</w:t>
      </w:r>
      <w:r>
        <w:rPr>
          <w:rFonts w:hint="eastAsia" w:ascii="Arial" w:cs="Arial"/>
          <w:color w:val="auto"/>
          <w:sz w:val="26"/>
          <w:szCs w:val="26"/>
        </w:rPr>
        <w:t>、上坝公路</w:t>
      </w:r>
      <w:r>
        <w:rPr>
          <w:rFonts w:hint="eastAsia" w:ascii="Arial" w:cs="Arial"/>
          <w:color w:val="auto"/>
          <w:sz w:val="26"/>
          <w:szCs w:val="26"/>
          <w:lang w:eastAsia="zh-CN"/>
        </w:rPr>
        <w:t>沿线</w:t>
      </w:r>
      <w:r>
        <w:rPr>
          <w:rFonts w:hint="eastAsia" w:ascii="Arial" w:cs="Arial"/>
          <w:color w:val="auto"/>
          <w:sz w:val="26"/>
          <w:szCs w:val="26"/>
        </w:rPr>
        <w:t>等</w:t>
      </w:r>
      <w:r>
        <w:rPr>
          <w:rFonts w:hint="eastAsia" w:ascii="Arial" w:cs="Arial"/>
          <w:color w:val="auto"/>
          <w:sz w:val="26"/>
          <w:szCs w:val="26"/>
          <w:lang w:eastAsia="zh-CN"/>
        </w:rPr>
        <w:t>区域</w:t>
      </w:r>
      <w:r>
        <w:rPr>
          <w:rFonts w:hint="eastAsia" w:ascii="Arial" w:cs="Arial"/>
          <w:color w:val="auto"/>
          <w:sz w:val="26"/>
          <w:szCs w:val="26"/>
        </w:rPr>
        <w:t>进行绿化布置。</w:t>
      </w:r>
      <w:r>
        <w:rPr>
          <w:rFonts w:hint="eastAsia" w:ascii="Arial" w:cs="Arial"/>
          <w:color w:val="auto"/>
          <w:sz w:val="26"/>
          <w:szCs w:val="26"/>
          <w:lang w:eastAsia="zh-CN"/>
        </w:rPr>
        <w:t>均对陆生植被有一定的恢复作用。</w:t>
      </w:r>
    </w:p>
    <w:p w14:paraId="089E5577">
      <w:pPr>
        <w:pStyle w:val="2113"/>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cs="Arial"/>
          <w:b/>
          <w:bCs/>
          <w:color w:val="auto"/>
          <w:sz w:val="26"/>
          <w:szCs w:val="26"/>
          <w:lang w:val="en-US" w:eastAsia="zh-CN"/>
        </w:rPr>
      </w:pPr>
      <w:r>
        <w:rPr>
          <w:rFonts w:hint="eastAsia" w:ascii="Arial" w:cs="Arial"/>
          <w:b/>
          <w:bCs/>
          <w:color w:val="auto"/>
          <w:sz w:val="26"/>
          <w:szCs w:val="26"/>
          <w:lang w:eastAsia="zh-CN"/>
        </w:rPr>
        <w:t>（</w:t>
      </w:r>
      <w:r>
        <w:rPr>
          <w:rFonts w:hint="eastAsia" w:ascii="Arial" w:cs="Arial"/>
          <w:b/>
          <w:bCs/>
          <w:color w:val="auto"/>
          <w:sz w:val="26"/>
          <w:szCs w:val="26"/>
          <w:lang w:val="en-US" w:eastAsia="zh-CN"/>
        </w:rPr>
        <w:t>1）枢纽及淹没区</w:t>
      </w:r>
    </w:p>
    <w:p w14:paraId="099D5FB5">
      <w:pPr>
        <w:pStyle w:val="2113"/>
        <w:spacing w:line="460" w:lineRule="exact"/>
        <w:ind w:firstLine="520"/>
        <w:rPr>
          <w:rFonts w:hint="eastAsia" w:ascii="Arial" w:hAnsi="Times New Roman" w:eastAsia="宋体" w:cs="Arial"/>
          <w:color w:val="auto"/>
          <w:sz w:val="26"/>
          <w:szCs w:val="26"/>
          <w:lang w:eastAsia="zh-CN"/>
        </w:rPr>
      </w:pPr>
      <w:r>
        <w:rPr>
          <w:rFonts w:hint="eastAsia" w:ascii="Arial" w:hAnsi="Times New Roman" w:eastAsia="宋体" w:cs="Arial"/>
          <w:color w:val="auto"/>
          <w:sz w:val="26"/>
          <w:szCs w:val="26"/>
          <w:lang w:eastAsia="zh-CN"/>
        </w:rPr>
        <w:t>海螺沟水库蓄水后，库区回水段长为</w:t>
      </w:r>
      <w:r>
        <w:rPr>
          <w:rFonts w:hint="eastAsia" w:ascii="Arial" w:hAnsi="Times New Roman" w:eastAsia="宋体" w:cs="Arial"/>
          <w:color w:val="auto"/>
          <w:sz w:val="26"/>
          <w:szCs w:val="26"/>
          <w:lang w:val="en-US" w:eastAsia="zh-CN"/>
        </w:rPr>
        <w:t>0.55</w:t>
      </w:r>
      <w:r>
        <w:rPr>
          <w:rFonts w:hint="eastAsia" w:ascii="Arial" w:hAnsi="Times New Roman" w:eastAsia="宋体" w:cs="Arial"/>
          <w:color w:val="auto"/>
          <w:sz w:val="26"/>
          <w:szCs w:val="26"/>
          <w:lang w:eastAsia="zh-CN"/>
        </w:rPr>
        <w:t>8km，库区河段水深、水面面积、流速等水文情势较天然河道发生变化。海螺沟水库具有多年调节性能，兴利调节时水位在</w:t>
      </w:r>
      <w:r>
        <w:rPr>
          <w:rFonts w:hint="eastAsia" w:ascii="Arial" w:hAnsi="Times New Roman" w:eastAsia="宋体" w:cs="Arial"/>
          <w:color w:val="auto"/>
          <w:sz w:val="26"/>
          <w:szCs w:val="26"/>
          <w:lang w:val="en-US" w:eastAsia="zh-CN"/>
        </w:rPr>
        <w:t>407.5</w:t>
      </w:r>
      <w:r>
        <w:rPr>
          <w:rFonts w:hint="eastAsia" w:ascii="Arial" w:hAnsi="Times New Roman" w:eastAsia="宋体" w:cs="Arial"/>
          <w:color w:val="auto"/>
          <w:sz w:val="26"/>
          <w:szCs w:val="26"/>
          <w:lang w:eastAsia="zh-CN"/>
        </w:rPr>
        <w:t>m（死水位）～</w:t>
      </w:r>
      <w:r>
        <w:rPr>
          <w:rFonts w:hint="eastAsia" w:ascii="Arial" w:hAnsi="Times New Roman" w:eastAsia="宋体" w:cs="Arial"/>
          <w:color w:val="auto"/>
          <w:sz w:val="26"/>
          <w:szCs w:val="26"/>
          <w:lang w:val="en-US" w:eastAsia="zh-CN"/>
        </w:rPr>
        <w:t>420</w:t>
      </w:r>
      <w:r>
        <w:rPr>
          <w:rFonts w:hint="eastAsia" w:ascii="Arial" w:hAnsi="Times New Roman" w:eastAsia="宋体" w:cs="Arial"/>
          <w:color w:val="auto"/>
          <w:sz w:val="26"/>
          <w:szCs w:val="26"/>
          <w:lang w:eastAsia="zh-CN"/>
        </w:rPr>
        <w:t>.0m（正常蓄水位）之间变动，水位变幅</w:t>
      </w:r>
      <w:r>
        <w:rPr>
          <w:rFonts w:hint="eastAsia" w:ascii="Arial" w:hAnsi="Times New Roman" w:eastAsia="宋体" w:cs="Arial"/>
          <w:color w:val="auto"/>
          <w:sz w:val="26"/>
          <w:szCs w:val="26"/>
          <w:lang w:val="en-US" w:eastAsia="zh-CN"/>
        </w:rPr>
        <w:t>12.5</w:t>
      </w:r>
      <w:r>
        <w:rPr>
          <w:rFonts w:hint="eastAsia" w:ascii="Arial" w:hAnsi="Times New Roman" w:eastAsia="宋体" w:cs="Arial"/>
          <w:color w:val="auto"/>
          <w:sz w:val="26"/>
          <w:szCs w:val="26"/>
          <w:lang w:eastAsia="zh-CN"/>
        </w:rPr>
        <w:t>m，水库消落带深</w:t>
      </w:r>
      <w:r>
        <w:rPr>
          <w:rFonts w:hint="eastAsia" w:ascii="Arial" w:hAnsi="Times New Roman" w:eastAsia="宋体" w:cs="Arial"/>
          <w:color w:val="auto"/>
          <w:sz w:val="26"/>
          <w:szCs w:val="26"/>
          <w:lang w:val="en-US" w:eastAsia="zh-CN"/>
        </w:rPr>
        <w:t>12.5</w:t>
      </w:r>
      <w:r>
        <w:rPr>
          <w:rFonts w:hint="eastAsia" w:ascii="Arial" w:hAnsi="Times New Roman" w:eastAsia="宋体" w:cs="Arial"/>
          <w:color w:val="auto"/>
          <w:sz w:val="26"/>
          <w:szCs w:val="26"/>
          <w:lang w:eastAsia="zh-CN"/>
        </w:rPr>
        <w:t>m。水库运行期间，水库淹没自然消落区湿地，并导致自然消落区植物资源的消亡。同时水坝建设截断了河道上下游之间物质能量和信息的交流，破坏了消落区功能的完整性，另一方面产生新的退化的生态系统—水库消落区，水库消落区往往存在植被破坏严重、生物多样性下降、小气候恶化、河床及河岸遭受侵蚀等生态环境问题。水库消落区植被由于受到周期性反季节高强度水淹影响，植物多样性下降明显，从群落结构及稳定性上来看，水库消落区植物群落结构稳定性中部＜上部＜下部，上部消落区水淹胁迫较小，植物物种多为竞争种，竞争力较强的杂草偏向形成优势群落；下部消落区水淹胁迫最强，植物物种多为耐胁迫种，能忍受高强度水淹环境的物种形成了植物群落；中部消落区处于物种定居和水淹胁迫的双重压力下，竞争种和耐胁迫种间竞争明显，更偏向于形成共优群落，其群落稳定性较差，消落区下部的植物群落组成比较单一。</w:t>
      </w:r>
    </w:p>
    <w:p w14:paraId="15CF9C40">
      <w:pPr>
        <w:pStyle w:val="2113"/>
        <w:spacing w:line="460" w:lineRule="exact"/>
        <w:ind w:firstLine="520"/>
        <w:rPr>
          <w:rFonts w:hint="eastAsia" w:ascii="Arial" w:hAnsi="Times New Roman" w:eastAsia="宋体" w:cs="Arial"/>
          <w:color w:val="auto"/>
          <w:sz w:val="26"/>
          <w:szCs w:val="26"/>
          <w:lang w:eastAsia="zh-CN"/>
        </w:rPr>
      </w:pPr>
      <w:r>
        <w:rPr>
          <w:rFonts w:hint="eastAsia" w:ascii="Arial" w:hAnsi="Times New Roman" w:eastAsia="宋体" w:cs="Arial"/>
          <w:color w:val="auto"/>
          <w:sz w:val="26"/>
          <w:szCs w:val="26"/>
          <w:lang w:eastAsia="zh-CN"/>
        </w:rPr>
        <w:t>水库蓄水后，丰水期库区河段水位上升，枯水期水位下降。库区高低水位之间的涨落带对库周植物将产生周期性干扰，两个水位之间大多数植物生长困难，只有少数生命周期很短的草本植物能够生存，故也无植物群落存在。同时由于库区的形成，区域内河流的自然流态和气温发生改变，可能对两岸的植物种群结构产生一定影响，但这一影响过程长期且轻微，不会造成评价区内的植物物种消失。</w:t>
      </w:r>
    </w:p>
    <w:p w14:paraId="7F38D45A">
      <w:pPr>
        <w:pStyle w:val="2113"/>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cs="Arial"/>
          <w:b/>
          <w:bCs/>
          <w:color w:val="auto"/>
          <w:sz w:val="26"/>
          <w:szCs w:val="26"/>
          <w:lang w:val="en-US" w:eastAsia="zh-CN"/>
        </w:rPr>
      </w:pPr>
      <w:r>
        <w:rPr>
          <w:rFonts w:hint="eastAsia" w:ascii="Arial" w:cs="Arial"/>
          <w:b/>
          <w:bCs/>
          <w:color w:val="auto"/>
          <w:sz w:val="26"/>
          <w:szCs w:val="26"/>
          <w:lang w:eastAsia="zh-CN"/>
        </w:rPr>
        <w:t>（</w:t>
      </w:r>
      <w:r>
        <w:rPr>
          <w:rFonts w:hint="eastAsia" w:ascii="Arial" w:cs="Arial"/>
          <w:b/>
          <w:bCs/>
          <w:color w:val="auto"/>
          <w:sz w:val="26"/>
          <w:szCs w:val="26"/>
          <w:lang w:val="en-US" w:eastAsia="zh-CN"/>
        </w:rPr>
        <w:t>2）输水工程区</w:t>
      </w:r>
    </w:p>
    <w:p w14:paraId="0C95E45C">
      <w:pPr>
        <w:pStyle w:val="2113"/>
        <w:spacing w:line="460" w:lineRule="exact"/>
        <w:ind w:firstLine="520"/>
        <w:rPr>
          <w:rFonts w:hint="eastAsia" w:ascii="Arial" w:hAnsi="Times New Roman" w:eastAsia="宋体" w:cs="Arial"/>
          <w:color w:val="auto"/>
          <w:sz w:val="26"/>
          <w:szCs w:val="26"/>
          <w:lang w:eastAsia="zh-CN"/>
        </w:rPr>
      </w:pPr>
      <w:r>
        <w:rPr>
          <w:rFonts w:hint="eastAsia" w:ascii="Arial" w:hAnsi="Times New Roman" w:eastAsia="宋体" w:cs="Arial"/>
          <w:color w:val="auto"/>
          <w:sz w:val="26"/>
          <w:szCs w:val="26"/>
          <w:lang w:eastAsia="zh-CN"/>
        </w:rPr>
        <w:t>运行期，输水工程对植物及植被的影响因素主要为区域水湿条件改变，灌区水源条件得到改善，有利于农业植被的生长繁殖，对于灌溉区内生态系统的稳定起到积极作用。</w:t>
      </w:r>
    </w:p>
    <w:p w14:paraId="4119A54D">
      <w:pPr>
        <w:pStyle w:val="2113"/>
        <w:spacing w:line="460" w:lineRule="exact"/>
        <w:ind w:firstLine="520"/>
        <w:rPr>
          <w:rFonts w:hint="eastAsia" w:ascii="Arial" w:cs="Arial"/>
          <w:color w:val="auto"/>
          <w:sz w:val="26"/>
          <w:szCs w:val="26"/>
          <w:lang w:eastAsia="zh-CN"/>
        </w:rPr>
      </w:pPr>
      <w:r>
        <w:rPr>
          <w:rFonts w:hint="eastAsia" w:ascii="Arial" w:cs="Arial"/>
          <w:color w:val="auto"/>
          <w:sz w:val="26"/>
          <w:szCs w:val="26"/>
          <w:lang w:eastAsia="zh-CN"/>
        </w:rPr>
        <w:t>输水管线均为地下浅埋，管径较小，不会影响区域地下水的径流，也不会影响植被根系的伸展，对沿线植被影响小。</w:t>
      </w:r>
    </w:p>
    <w:p w14:paraId="612A49CB">
      <w:pPr>
        <w:pStyle w:val="2113"/>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cs="Arial"/>
          <w:color w:val="auto"/>
          <w:sz w:val="26"/>
          <w:szCs w:val="26"/>
          <w:lang w:eastAsia="zh-CN"/>
        </w:rPr>
      </w:pPr>
      <w:r>
        <w:rPr>
          <w:rFonts w:hint="eastAsia" w:ascii="Arial" w:cs="Arial"/>
          <w:b/>
          <w:bCs/>
          <w:color w:val="auto"/>
          <w:sz w:val="26"/>
          <w:szCs w:val="26"/>
          <w:lang w:eastAsia="zh-CN"/>
        </w:rPr>
        <w:t>（</w:t>
      </w:r>
      <w:r>
        <w:rPr>
          <w:rFonts w:hint="eastAsia" w:ascii="Arial" w:cs="Arial"/>
          <w:b/>
          <w:bCs/>
          <w:color w:val="auto"/>
          <w:sz w:val="26"/>
          <w:szCs w:val="26"/>
          <w:lang w:val="en-US" w:eastAsia="zh-CN"/>
        </w:rPr>
        <w:t>3）减水河段区</w:t>
      </w:r>
    </w:p>
    <w:p w14:paraId="5B3BC982">
      <w:pPr>
        <w:pStyle w:val="2113"/>
        <w:spacing w:line="460" w:lineRule="exact"/>
        <w:ind w:firstLine="520"/>
        <w:rPr>
          <w:rFonts w:hint="eastAsia" w:ascii="Arial" w:hAnsi="Times New Roman" w:eastAsia="宋体" w:cs="Arial"/>
          <w:color w:val="auto"/>
          <w:sz w:val="26"/>
          <w:szCs w:val="26"/>
          <w:lang w:eastAsia="zh-CN"/>
        </w:rPr>
      </w:pPr>
      <w:r>
        <w:rPr>
          <w:rFonts w:hint="eastAsia" w:ascii="Arial" w:hAnsi="Times New Roman" w:eastAsia="宋体" w:cs="Arial"/>
          <w:color w:val="auto"/>
          <w:sz w:val="26"/>
          <w:szCs w:val="26"/>
          <w:lang w:eastAsia="zh-CN"/>
        </w:rPr>
        <w:t>拦水坝后减水河段两岸植被比较丰富，以灌木林为主，植被生长位置高于河道，从而河道径流改变对两岸植被正常生长影响甚小，植物赖以生存的水源为大气降水和山体地下水向河道补给过程产生的山涧水。此外，由于减水河段河面变窄，淹没河道范围减小，河道两侧与河岸可能会衍生一些草本植物。因此，减水段对两岸现有植物正常生长几乎无不利影响。</w:t>
      </w:r>
    </w:p>
    <w:p w14:paraId="7A08C371">
      <w:pPr>
        <w:spacing w:line="460" w:lineRule="exact"/>
        <w:ind w:firstLine="522" w:firstLineChars="200"/>
        <w:rPr>
          <w:rFonts w:hint="default" w:ascii="Arial" w:hAnsi="Arial" w:eastAsia="宋体" w:cs="Arial"/>
          <w:b/>
          <w:bCs/>
          <w:sz w:val="26"/>
          <w:szCs w:val="26"/>
          <w:lang w:val="en-US" w:eastAsia="zh-CN"/>
        </w:rPr>
      </w:pPr>
      <w:r>
        <w:rPr>
          <w:rFonts w:hint="eastAsia" w:ascii="Arial" w:hAnsi="Arial" w:cs="Arial"/>
          <w:b/>
          <w:bCs/>
          <w:sz w:val="26"/>
          <w:szCs w:val="26"/>
          <w:lang w:val="en-US" w:eastAsia="zh-CN"/>
        </w:rPr>
        <w:t>6.6.3对陆生动物的影响分析</w:t>
      </w:r>
    </w:p>
    <w:p w14:paraId="41C96B0B">
      <w:pPr>
        <w:pStyle w:val="2113"/>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Times New Roman" w:eastAsia="宋体" w:cs="Arial"/>
          <w:b/>
          <w:bCs/>
          <w:color w:val="auto"/>
          <w:sz w:val="26"/>
          <w:szCs w:val="26"/>
          <w:lang w:val="en-US" w:eastAsia="zh-CN"/>
        </w:rPr>
      </w:pPr>
      <w:r>
        <w:rPr>
          <w:rFonts w:hint="eastAsia" w:ascii="Arial" w:hAnsi="Times New Roman" w:eastAsia="宋体" w:cs="Arial"/>
          <w:b/>
          <w:bCs/>
          <w:color w:val="auto"/>
          <w:sz w:val="26"/>
          <w:szCs w:val="26"/>
          <w:lang w:eastAsia="zh-CN"/>
        </w:rPr>
        <w:t>（</w:t>
      </w:r>
      <w:r>
        <w:rPr>
          <w:rFonts w:hint="eastAsia" w:ascii="Arial" w:hAnsi="Times New Roman" w:eastAsia="宋体" w:cs="Arial"/>
          <w:b/>
          <w:bCs/>
          <w:color w:val="auto"/>
          <w:sz w:val="26"/>
          <w:szCs w:val="26"/>
          <w:lang w:val="en-US" w:eastAsia="zh-CN"/>
        </w:rPr>
        <w:t>1）对动物多样性的影响</w:t>
      </w:r>
    </w:p>
    <w:p w14:paraId="5CA48457">
      <w:pPr>
        <w:pStyle w:val="2113"/>
        <w:ind w:firstLine="520"/>
        <w:rPr>
          <w:rFonts w:hint="eastAsia" w:ascii="Arial" w:cs="Arial"/>
          <w:color w:val="auto"/>
          <w:sz w:val="26"/>
          <w:szCs w:val="26"/>
        </w:rPr>
      </w:pPr>
      <w:r>
        <w:rPr>
          <w:rFonts w:hint="eastAsia" w:ascii="Arial" w:cs="Arial"/>
          <w:color w:val="auto"/>
          <w:sz w:val="26"/>
          <w:szCs w:val="26"/>
        </w:rPr>
        <w:t>水库淹没区</w:t>
      </w:r>
      <w:r>
        <w:rPr>
          <w:rFonts w:hint="eastAsia" w:ascii="Arial" w:cs="Arial"/>
          <w:color w:val="auto"/>
          <w:sz w:val="26"/>
          <w:szCs w:val="26"/>
          <w:lang w:eastAsia="zh-CN"/>
        </w:rPr>
        <w:t>主要为林地和耕地，</w:t>
      </w:r>
      <w:r>
        <w:rPr>
          <w:rFonts w:hint="eastAsia" w:ascii="Arial" w:cs="Arial"/>
          <w:color w:val="auto"/>
          <w:sz w:val="26"/>
          <w:szCs w:val="26"/>
        </w:rPr>
        <w:t>受其淹没影响最严重的为直接生活在河流及其附近中的两栖动物，库区的形成，将浅流水生境变成了深静水生境，这对生活于该地域的原本适应浅流水生活的两栖动物是灾难性的，在一定时期内，它们很难适应这种变化，最可能的情况是，它们将溯流而上，到库尾上游的自然流溪生境生活与繁衍，该工程无疑缩减了其生存空间，且将以库区形成一个天然隔离带，阻隔坝上和坝下两栖动物的基因交流。而对活动能力较强的其它类群动物而言，水库的形成对其影响较小，不会影响其正常的生存活动和种群交流。</w:t>
      </w:r>
    </w:p>
    <w:p w14:paraId="1D9F0922">
      <w:pPr>
        <w:pStyle w:val="2113"/>
        <w:ind w:firstLine="520"/>
        <w:rPr>
          <w:rFonts w:hint="eastAsia" w:ascii="Arial" w:cs="Arial"/>
          <w:color w:val="auto"/>
          <w:sz w:val="26"/>
          <w:szCs w:val="26"/>
        </w:rPr>
      </w:pPr>
      <w:r>
        <w:rPr>
          <w:rFonts w:hint="eastAsia"/>
          <w:color w:val="auto"/>
          <w:sz w:val="26"/>
          <w:szCs w:val="26"/>
        </w:rPr>
        <w:t>此外，大坝枢纽的建成将对区域内兽类、两栖爬行类动物的</w:t>
      </w:r>
      <w:r>
        <w:rPr>
          <w:rFonts w:ascii="Arial" w:cs="Arial"/>
          <w:color w:val="auto"/>
          <w:sz w:val="26"/>
          <w:szCs w:val="26"/>
        </w:rPr>
        <w:t>迁移形成一定的阻隔，但由于评价区内山体较连续，且植被较一致，因而它们可以顺利迁移至其他合适生境中，总体影响较小。</w:t>
      </w:r>
    </w:p>
    <w:p w14:paraId="298E7AE3">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（2）对两栖动物的影响</w:t>
      </w:r>
    </w:p>
    <w:p w14:paraId="2B80A3B3">
      <w:pPr>
        <w:spacing w:line="440" w:lineRule="exact"/>
        <w:ind w:firstLine="520" w:firstLineChars="200"/>
        <w:rPr>
          <w:rFonts w:ascii="Arial" w:cs="Arial"/>
          <w:sz w:val="26"/>
          <w:szCs w:val="26"/>
        </w:rPr>
      </w:pPr>
      <w:r>
        <w:rPr>
          <w:rFonts w:hint="eastAsia" w:ascii="Arial" w:cs="Arial"/>
          <w:sz w:val="26"/>
          <w:szCs w:val="26"/>
        </w:rPr>
        <w:t>两栖类对环境的适应能力差，依赖性强。水库蓄水将淹没大量的灌木林地、草地</w:t>
      </w:r>
      <w:r>
        <w:rPr>
          <w:rFonts w:hint="eastAsia" w:ascii="Arial" w:cs="Arial"/>
          <w:sz w:val="26"/>
          <w:szCs w:val="26"/>
          <w:lang w:eastAsia="zh-CN"/>
        </w:rPr>
        <w:t>和耕地</w:t>
      </w:r>
      <w:r>
        <w:rPr>
          <w:rFonts w:hint="eastAsia" w:ascii="Arial" w:cs="Arial"/>
          <w:sz w:val="26"/>
          <w:szCs w:val="26"/>
        </w:rPr>
        <w:t>，减少了两栖类原有的栖息地面积。部分两栖动物将被迫迁往</w:t>
      </w:r>
      <w:r>
        <w:rPr>
          <w:rFonts w:hint="eastAsia" w:ascii="Arial" w:cs="Arial"/>
          <w:sz w:val="26"/>
          <w:szCs w:val="26"/>
          <w:lang w:eastAsia="zh-CN"/>
        </w:rPr>
        <w:t>海拔</w:t>
      </w:r>
      <w:r>
        <w:rPr>
          <w:rFonts w:hint="eastAsia" w:ascii="Arial" w:cs="Arial"/>
          <w:sz w:val="26"/>
          <w:szCs w:val="26"/>
        </w:rPr>
        <w:t>较高处，部分个体因食物基地缩小或其它原因死亡，导致该种的种群数量减少。</w:t>
      </w:r>
    </w:p>
    <w:p w14:paraId="163FF7EC">
      <w:pPr>
        <w:pStyle w:val="2113"/>
        <w:ind w:firstLine="520"/>
        <w:rPr>
          <w:rFonts w:hint="eastAsia" w:ascii="Arial" w:cs="Arial"/>
          <w:color w:val="auto"/>
          <w:sz w:val="26"/>
          <w:szCs w:val="26"/>
        </w:rPr>
      </w:pPr>
      <w:r>
        <w:rPr>
          <w:rFonts w:hint="eastAsia" w:ascii="Arial" w:cs="Arial"/>
          <w:color w:val="auto"/>
          <w:sz w:val="26"/>
          <w:szCs w:val="26"/>
        </w:rPr>
        <w:t>由于蛙类水陆两栖，以昆虫为食，因此水库蓄水虽然淹没了蛙类原有栖息地，但随着新的栖息地的形成，蛙类生存不会受到水库威胁。同时，库区形成后，在库岸将形成新的沼泽地、湿地，对两栖动物的生存有利。</w:t>
      </w:r>
    </w:p>
    <w:p w14:paraId="32BCD8C4">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（3）对爬行类动物的影响</w:t>
      </w:r>
    </w:p>
    <w:p w14:paraId="2CAEE1DC">
      <w:pPr>
        <w:pStyle w:val="2113"/>
        <w:spacing w:line="460" w:lineRule="exact"/>
        <w:ind w:firstLine="520"/>
        <w:rPr>
          <w:rFonts w:hint="eastAsia" w:ascii="Arial" w:hAnsi="Times New Roman" w:eastAsia="宋体" w:cs="Arial"/>
          <w:color w:val="auto"/>
          <w:sz w:val="26"/>
          <w:szCs w:val="26"/>
          <w:lang w:eastAsia="zh-CN"/>
        </w:rPr>
      </w:pPr>
      <w:r>
        <w:rPr>
          <w:rFonts w:hint="eastAsia" w:ascii="Arial" w:hAnsi="Times New Roman" w:cs="Arial"/>
          <w:color w:val="auto"/>
          <w:sz w:val="26"/>
          <w:szCs w:val="26"/>
          <w:lang w:eastAsia="zh-CN"/>
        </w:rPr>
        <w:t>爬行类动物以游蛇科、</w:t>
      </w:r>
      <w:r>
        <w:rPr>
          <w:rFonts w:hint="eastAsia" w:ascii="Arial" w:hAnsi="Times New Roman" w:cs="Arial"/>
          <w:color w:val="auto"/>
          <w:sz w:val="26"/>
          <w:szCs w:val="26"/>
        </w:rPr>
        <w:t>蝰科</w:t>
      </w:r>
      <w:r>
        <w:rPr>
          <w:rFonts w:hint="eastAsia" w:ascii="Arial" w:hAnsi="Times New Roman" w:cs="Arial"/>
          <w:color w:val="auto"/>
          <w:sz w:val="26"/>
          <w:szCs w:val="26"/>
          <w:lang w:eastAsia="zh-CN"/>
        </w:rPr>
        <w:t>、石龙子科、蜥蜴科等为主，</w:t>
      </w:r>
      <w:r>
        <w:rPr>
          <w:rFonts w:hint="eastAsia" w:ascii="Arial" w:cs="Arial"/>
          <w:color w:val="auto"/>
          <w:sz w:val="26"/>
          <w:szCs w:val="26"/>
        </w:rPr>
        <w:t>水库蓄水后，淹没了原有的栖息地，</w:t>
      </w:r>
      <w:r>
        <w:rPr>
          <w:rFonts w:hint="eastAsia" w:ascii="Arial" w:cs="Arial"/>
          <w:color w:val="auto"/>
          <w:sz w:val="26"/>
          <w:szCs w:val="26"/>
          <w:lang w:eastAsia="zh-CN"/>
        </w:rPr>
        <w:t>但爬行类动物迁徙能力较强，可</w:t>
      </w:r>
      <w:r>
        <w:rPr>
          <w:rFonts w:hint="eastAsia" w:ascii="Arial" w:cs="Arial"/>
          <w:color w:val="auto"/>
          <w:sz w:val="26"/>
          <w:szCs w:val="26"/>
        </w:rPr>
        <w:t>往</w:t>
      </w:r>
      <w:r>
        <w:rPr>
          <w:rFonts w:hint="eastAsia" w:ascii="Arial" w:cs="Arial"/>
          <w:color w:val="auto"/>
          <w:sz w:val="26"/>
          <w:szCs w:val="26"/>
          <w:lang w:eastAsia="zh-CN"/>
        </w:rPr>
        <w:t>海拔</w:t>
      </w:r>
      <w:r>
        <w:rPr>
          <w:rFonts w:hint="eastAsia" w:ascii="Arial" w:cs="Arial"/>
          <w:color w:val="auto"/>
          <w:sz w:val="26"/>
          <w:szCs w:val="26"/>
        </w:rPr>
        <w:t>较高的地区</w:t>
      </w:r>
      <w:r>
        <w:rPr>
          <w:rFonts w:hint="eastAsia" w:ascii="Arial" w:cs="Arial"/>
          <w:color w:val="auto"/>
          <w:sz w:val="26"/>
          <w:szCs w:val="26"/>
          <w:lang w:eastAsia="zh-CN"/>
        </w:rPr>
        <w:t>寻找适宜生境。同时水库蓄水后，将引起</w:t>
      </w:r>
      <w:r>
        <w:rPr>
          <w:rFonts w:hint="eastAsia" w:ascii="Arial" w:hAnsi="Times New Roman" w:cs="Arial"/>
          <w:color w:val="auto"/>
          <w:sz w:val="26"/>
          <w:szCs w:val="26"/>
          <w:lang w:eastAsia="zh-CN"/>
        </w:rPr>
        <w:t>啮齿类</w:t>
      </w:r>
      <w:r>
        <w:rPr>
          <w:rFonts w:hint="eastAsia" w:ascii="Arial" w:cs="Arial"/>
          <w:color w:val="auto"/>
          <w:sz w:val="26"/>
          <w:szCs w:val="26"/>
          <w:lang w:eastAsia="zh-CN"/>
        </w:rPr>
        <w:t>动物数量增多，对爬行类动物提供更多的食源，引起其种群密度增大。</w:t>
      </w:r>
    </w:p>
    <w:p w14:paraId="3C6D9F2F">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（4）对鸟类的影响</w:t>
      </w:r>
    </w:p>
    <w:p w14:paraId="3893D1EC">
      <w:pPr>
        <w:pStyle w:val="2113"/>
        <w:ind w:firstLine="520"/>
        <w:rPr>
          <w:rFonts w:hint="eastAsia" w:ascii="Arial" w:cs="Arial"/>
          <w:color w:val="auto"/>
          <w:sz w:val="26"/>
          <w:szCs w:val="26"/>
        </w:rPr>
      </w:pPr>
      <w:r>
        <w:rPr>
          <w:rFonts w:hint="eastAsia" w:ascii="Arial" w:cs="Arial"/>
          <w:color w:val="auto"/>
          <w:sz w:val="26"/>
          <w:szCs w:val="26"/>
        </w:rPr>
        <w:t>水库蓄水后会招引大批水禽来此栖息、越冬。同时，伴随着浅水区、积水塘等面积增大，水生无脊椎动物的数量会大量增加，以这些动物为食的白鹡鸰等其种群数量也将有较大增长。另外，水库有一个面积较大的消落区，将为涉禽及其它水鸟的栖息创造有利条件，导致水鸟的种类和数量增加。库周的林木未遭受破坏，其鸟类区系组成、种群数量不会因水库的出现而发生大的变化。</w:t>
      </w:r>
    </w:p>
    <w:p w14:paraId="165F5177">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（5）对兽类的影响</w:t>
      </w:r>
    </w:p>
    <w:p w14:paraId="522142EA">
      <w:pPr>
        <w:pStyle w:val="2113"/>
        <w:spacing w:line="460" w:lineRule="exact"/>
        <w:ind w:firstLine="520"/>
        <w:rPr>
          <w:rFonts w:hint="eastAsia" w:ascii="Arial" w:hAnsi="Times New Roman" w:cs="Arial"/>
          <w:color w:val="auto"/>
          <w:sz w:val="26"/>
          <w:szCs w:val="26"/>
          <w:lang w:eastAsia="zh-CN"/>
        </w:rPr>
      </w:pPr>
      <w:r>
        <w:rPr>
          <w:rFonts w:hint="eastAsia" w:ascii="Arial" w:hAnsi="Times New Roman" w:cs="Arial"/>
          <w:color w:val="auto"/>
          <w:sz w:val="26"/>
          <w:szCs w:val="26"/>
          <w:lang w:eastAsia="zh-CN"/>
        </w:rPr>
        <w:t>评价区的兽类以小型兽类为主，以啮齿类的种类为最多，鼠科为优势科，其适应性强，活动范围广，蓄水后库区范围将不适宜其生存，其最可能避开库区向周边迁移，因周边多为耕地、林草地，与原生活的河流、灌丛、农田生境相距较近，对其影响较小。</w:t>
      </w:r>
    </w:p>
    <w:p w14:paraId="1B93729C">
      <w:pPr>
        <w:spacing w:line="460" w:lineRule="exact"/>
        <w:ind w:firstLine="522" w:firstLineChars="200"/>
        <w:rPr>
          <w:rFonts w:hint="default" w:ascii="Arial" w:hAnsi="Arial" w:eastAsia="宋体" w:cs="Arial"/>
          <w:b/>
          <w:bCs/>
          <w:sz w:val="26"/>
          <w:szCs w:val="26"/>
          <w:lang w:val="en-US" w:eastAsia="zh-CN"/>
        </w:rPr>
      </w:pPr>
      <w:r>
        <w:rPr>
          <w:rFonts w:hint="eastAsia" w:ascii="Arial" w:hAnsi="Arial" w:cs="Arial"/>
          <w:b/>
          <w:bCs/>
          <w:sz w:val="26"/>
          <w:szCs w:val="26"/>
          <w:lang w:val="en-US" w:eastAsia="zh-CN"/>
        </w:rPr>
        <w:t>6.6.4对水生生物的影响分析</w:t>
      </w:r>
    </w:p>
    <w:p w14:paraId="45CD52F0">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（1）对浮游生物的影响</w:t>
      </w:r>
    </w:p>
    <w:p w14:paraId="1AC92D0A">
      <w:pPr>
        <w:pStyle w:val="2113"/>
        <w:spacing w:line="460" w:lineRule="exact"/>
        <w:ind w:firstLine="520"/>
        <w:rPr>
          <w:rFonts w:hint="eastAsia" w:ascii="Arial" w:hAnsi="Times New Roman" w:eastAsia="宋体" w:cs="Arial"/>
          <w:color w:val="auto"/>
          <w:sz w:val="26"/>
          <w:szCs w:val="26"/>
          <w:lang w:eastAsia="zh-CN"/>
        </w:rPr>
      </w:pPr>
      <w:r>
        <w:rPr>
          <w:rFonts w:hint="eastAsia" w:ascii="Arial" w:hAnsi="Times New Roman" w:eastAsia="宋体" w:cs="Arial"/>
          <w:color w:val="auto"/>
          <w:sz w:val="26"/>
          <w:szCs w:val="26"/>
          <w:lang w:eastAsia="zh-CN"/>
        </w:rPr>
        <w:t>运行期间，水库建库后库区水面加宽、深度增加、水流速度减缓甚至呈静止状态，库区浮游动物的种类和结构将逐渐向湖泊生境下的种类和结构演化。栖息在浅水位的轮虫类群种类和数量将会减少；宽阔的水面和静水的环境还有利于节肢动物的生长和繁殖，如枝角类、桡足类。水库建成后，原生动物的繁殖能力会有所增强，但同时作为大型浮游动物和水体其他类群物种的饵料来源，其数量将会由于被捕食的概率升高而在种类和数量上减少，因此总体变化不明显。整体来看，水库建成后库区浮游动物生物量会因大型浮游动物的数量和种类的增加而升高。坝下河段由于水量减少明显，将使浮游动物总体数量略微降低，但对其影响有限。</w:t>
      </w:r>
    </w:p>
    <w:p w14:paraId="7E47FC13">
      <w:pPr>
        <w:pStyle w:val="2113"/>
        <w:spacing w:line="460" w:lineRule="exact"/>
        <w:ind w:firstLine="520"/>
        <w:rPr>
          <w:rFonts w:hint="eastAsia" w:ascii="Arial" w:hAnsi="Times New Roman" w:eastAsia="宋体" w:cs="Arial"/>
          <w:color w:val="auto"/>
          <w:sz w:val="26"/>
          <w:szCs w:val="26"/>
          <w:lang w:eastAsia="zh-CN"/>
        </w:rPr>
      </w:pPr>
      <w:r>
        <w:rPr>
          <w:rFonts w:hint="eastAsia" w:ascii="Arial" w:hAnsi="Times New Roman" w:eastAsia="宋体" w:cs="Arial"/>
          <w:color w:val="auto"/>
          <w:sz w:val="26"/>
          <w:szCs w:val="26"/>
          <w:lang w:eastAsia="zh-CN"/>
        </w:rPr>
        <w:t>水库建成后，库区水位上升，水环境由河流变为水库，上游河水入库后，水流速度逐渐减弱，变为缓流状态。库区内蓄水前的陆生植被淹没后腐烂，在微生物作用下分解成氮、磷等营养物质，由上游河道及汇水区进入库区的腐屑和营养盐等随地表径流不断汇入水库，水温也比较稳定并有所升高，这种环境的改变更有利于浮游植物的生长发育。水库下河段由于水量减少明显，将使浮游植物总体数量略微降低，但对浮游植物的影响有限。</w:t>
      </w:r>
      <w:r>
        <w:rPr>
          <w:rFonts w:hint="eastAsia" w:ascii="Arial" w:hAnsi="Times New Roman" w:eastAsia="宋体" w:cs="Arial"/>
          <w:color w:val="auto"/>
          <w:sz w:val="26"/>
          <w:szCs w:val="26"/>
          <w:lang w:eastAsia="zh-CN"/>
        </w:rPr>
        <w:tab/>
      </w:r>
    </w:p>
    <w:p w14:paraId="44ABCB8A">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（2）对底栖动物的影响</w:t>
      </w:r>
    </w:p>
    <w:p w14:paraId="070CD639">
      <w:pPr>
        <w:pStyle w:val="2113"/>
        <w:spacing w:line="460" w:lineRule="exact"/>
        <w:ind w:firstLine="520"/>
        <w:rPr>
          <w:rFonts w:hint="eastAsia" w:ascii="Arial" w:hAnsi="Times New Roman" w:eastAsia="宋体" w:cs="Arial"/>
          <w:color w:val="auto"/>
          <w:sz w:val="26"/>
          <w:szCs w:val="26"/>
          <w:lang w:eastAsia="zh-CN"/>
        </w:rPr>
      </w:pPr>
      <w:r>
        <w:rPr>
          <w:rFonts w:hint="eastAsia" w:ascii="Arial" w:hAnsi="Times New Roman" w:eastAsia="宋体" w:cs="Arial"/>
          <w:color w:val="auto"/>
          <w:sz w:val="26"/>
          <w:szCs w:val="26"/>
          <w:lang w:eastAsia="zh-CN"/>
        </w:rPr>
        <w:t>运行期间，水库项目建库后，在河流向水库转化过程中，由于水位加深，库区底层溶解氧减少，底栖动物的种类将发生演替。在河流中需氧量较大的种类，将显著减少或消失，取而代之是需氧量较低的物种。随着库龄增加，库区的底栖动物经初始阶段种类演变后，最终成为较稳定结构的类群。但同时由于水深大、水位变幅相对频繁，底栖生物的数量不会增加太多。受水深和流速的影响，底栖生物的分布不均匀，预计在被淹没的平坝等较浅的地方，底栖生物量会比较丰富，使适于静水、沙生的软体动物、水蚯蚓和摇蚊幼虫的种类和数量将会增加。在库区消落区，底栖无脊椎动物将有所增加。对于固着类生物、周丛生物，由于水流变缓，水深加大及泥沙沉积的影响，其生物量可能呈一定程度的减小，尤其是在库尾淤积严重和坝前水深较大的地方；但在近岸水域，由于光照、水深、流速及营养条件适宜，固着类生物、周丛生物仍将占有较大优势。坝下河段由于流量减少，生境适宜性降低，大型底栖动物密度、生物量和多样性有一定降低。</w:t>
      </w:r>
    </w:p>
    <w:p w14:paraId="1802D4EC">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宋体" w:cs="Arial"/>
          <w:b/>
          <w:sz w:val="26"/>
          <w:szCs w:val="26"/>
          <w:lang w:val="en-US" w:eastAsia="zh-CN"/>
        </w:rPr>
      </w:pPr>
      <w:r>
        <w:rPr>
          <w:rFonts w:hint="eastAsia" w:ascii="Arial" w:hAnsi="宋体" w:cs="Arial"/>
          <w:b/>
          <w:sz w:val="26"/>
          <w:szCs w:val="26"/>
          <w:lang w:val="en-US" w:eastAsia="zh-CN"/>
        </w:rPr>
        <w:t>（3）对水生维管束植物的影响</w:t>
      </w:r>
    </w:p>
    <w:p w14:paraId="7CCF313B">
      <w:pPr>
        <w:pStyle w:val="2113"/>
        <w:spacing w:line="460" w:lineRule="exact"/>
        <w:ind w:firstLine="520"/>
        <w:rPr>
          <w:rFonts w:hint="eastAsia" w:ascii="Arial" w:hAnsi="Times New Roman" w:eastAsia="宋体" w:cs="Arial"/>
          <w:color w:val="auto"/>
          <w:sz w:val="26"/>
          <w:szCs w:val="26"/>
          <w:lang w:val="en-US" w:eastAsia="zh-CN"/>
        </w:rPr>
      </w:pPr>
      <w:r>
        <w:rPr>
          <w:rFonts w:hint="eastAsia" w:ascii="Arial" w:hAnsi="Times New Roman" w:eastAsia="宋体" w:cs="Arial"/>
          <w:color w:val="auto"/>
          <w:sz w:val="26"/>
          <w:szCs w:val="26"/>
          <w:lang w:eastAsia="zh-CN"/>
        </w:rPr>
        <w:t>水库形成以后，由于大型水面的出现，原先河道中广泛分布的适应急流型水流的石菖蒲、苔草等会随着水库建设而消失，但由于库区回水末端以上仍有急流型河道，该物种和群落不会消失。在水库的边缘，由于水面的波动，形成一定范围的水位涨落带，部分耐淹植物、喜水、喜湿植物会繁殖起来，从而形成一定的湿生、水生植物群落，丰富区域内的植物物种和植物群落类型，对区域植物多样性具有正效应。</w:t>
      </w:r>
    </w:p>
    <w:p w14:paraId="687E6B63">
      <w:pPr>
        <w:pStyle w:val="100"/>
        <w:keepNext w:val="0"/>
        <w:keepLines w:val="0"/>
        <w:pageBreakBefore w:val="0"/>
        <w:widowControl w:val="0"/>
        <w:kinsoku/>
        <w:wordWrap/>
        <w:overflowPunct/>
        <w:topLinePunct w:val="0"/>
        <w:autoSpaceDE/>
        <w:autoSpaceDN/>
        <w:bidi w:val="0"/>
        <w:adjustRightInd/>
        <w:snapToGrid/>
        <w:spacing w:line="460" w:lineRule="exact"/>
        <w:ind w:firstLine="392" w:firstLineChars="150"/>
        <w:jc w:val="both"/>
        <w:textAlignment w:val="auto"/>
        <w:rPr>
          <w:rFonts w:hint="eastAsia" w:ascii="Arial" w:hAnsi="Arial" w:eastAsia="宋体" w:cs="Arial"/>
          <w:b w:val="0"/>
          <w:color w:val="auto"/>
          <w:kern w:val="2"/>
          <w:sz w:val="26"/>
          <w:szCs w:val="26"/>
          <w:lang w:val="en-US" w:eastAsia="zh-CN" w:bidi="ar-SA"/>
        </w:rPr>
      </w:pPr>
      <w:r>
        <w:rPr>
          <w:rFonts w:hint="eastAsia" w:ascii="Arial" w:hAnsi="宋体" w:cs="Arial"/>
          <w:b/>
          <w:sz w:val="26"/>
          <w:szCs w:val="26"/>
          <w:lang w:val="en-US" w:eastAsia="zh-CN"/>
        </w:rPr>
        <w:t>（4）对鱼类的影响</w:t>
      </w:r>
    </w:p>
    <w:p w14:paraId="06077BE3">
      <w:pPr>
        <w:pStyle w:val="2113"/>
        <w:spacing w:line="460" w:lineRule="exact"/>
        <w:ind w:firstLine="520"/>
        <w:rPr>
          <w:rFonts w:hint="default" w:ascii="Arial" w:hAnsi="Arial" w:eastAsia="宋体" w:cs="Arial"/>
          <w:b/>
          <w:bCs/>
          <w:color w:val="auto"/>
          <w:sz w:val="26"/>
          <w:szCs w:val="26"/>
          <w:lang w:val="en-US" w:eastAsia="zh-CN"/>
        </w:rPr>
      </w:pPr>
      <w:r>
        <w:rPr>
          <w:rFonts w:hint="default" w:ascii="Arial" w:hAnsi="Arial" w:eastAsia="微软雅黑" w:cs="Arial"/>
          <w:b/>
          <w:bCs/>
          <w:color w:val="auto"/>
          <w:sz w:val="26"/>
          <w:szCs w:val="26"/>
          <w:lang w:eastAsia="zh-CN"/>
        </w:rPr>
        <w:t>①</w:t>
      </w:r>
      <w:r>
        <w:rPr>
          <w:rFonts w:hint="default" w:ascii="Arial" w:hAnsi="Arial" w:eastAsia="宋体" w:cs="Arial"/>
          <w:b/>
          <w:bCs/>
          <w:color w:val="auto"/>
          <w:sz w:val="26"/>
          <w:szCs w:val="26"/>
          <w:lang w:val="en-US" w:eastAsia="zh-CN"/>
        </w:rPr>
        <w:t xml:space="preserve"> 阻隔影响</w:t>
      </w:r>
    </w:p>
    <w:p w14:paraId="37DFC6F0">
      <w:pPr>
        <w:pStyle w:val="2113"/>
        <w:spacing w:line="460" w:lineRule="exact"/>
        <w:ind w:firstLine="520"/>
        <w:rPr>
          <w:rFonts w:hint="eastAsia" w:ascii="Arial" w:hAnsi="Arial" w:eastAsia="宋体" w:cs="Arial"/>
          <w:color w:val="auto"/>
          <w:sz w:val="26"/>
          <w:szCs w:val="26"/>
          <w:lang w:eastAsia="zh-CN"/>
        </w:rPr>
      </w:pPr>
      <w:r>
        <w:rPr>
          <w:rFonts w:hint="eastAsia" w:ascii="Arial" w:hAnsi="Arial" w:eastAsia="宋体" w:cs="Arial"/>
          <w:color w:val="auto"/>
          <w:sz w:val="26"/>
          <w:szCs w:val="26"/>
          <w:lang w:eastAsia="zh-CN"/>
        </w:rPr>
        <w:t>海螺沟</w:t>
      </w:r>
      <w:r>
        <w:rPr>
          <w:rFonts w:hint="eastAsia" w:ascii="Arial" w:hAnsi="Arial" w:eastAsia="宋体" w:cs="Arial"/>
          <w:color w:val="auto"/>
          <w:sz w:val="26"/>
          <w:szCs w:val="26"/>
        </w:rPr>
        <w:t>水库建成后，将使河流原有连续的河流生态系统被分割成不连续的环境单元，</w:t>
      </w:r>
      <w:r>
        <w:rPr>
          <w:rFonts w:hint="eastAsia" w:ascii="Arial" w:hAnsi="Arial" w:eastAsia="宋体" w:cs="Arial"/>
          <w:color w:val="auto"/>
          <w:sz w:val="26"/>
          <w:szCs w:val="26"/>
          <w:lang w:eastAsia="zh-CN"/>
        </w:rPr>
        <w:t>根据现状调查可知，海螺沟为山区型河流，鱼类资源匮乏，种类少，主要为经济鱼类鲤鱼、鲫鱼、黄颡鱼、草鱼等，均无洄游习性，受大坝阻隔的直接影响不大，但由于大坝改变了坝前坝后的水流特征，对上述流水型鱼类的生境将产生不利影响。由此可见，</w:t>
      </w:r>
      <w:r>
        <w:rPr>
          <w:rFonts w:hint="eastAsia" w:ascii="Arial" w:hAnsi="Arial" w:eastAsia="宋体" w:cs="Arial"/>
          <w:color w:val="auto"/>
          <w:sz w:val="26"/>
          <w:szCs w:val="26"/>
        </w:rPr>
        <w:t>水库大坝阻隔对生活在评价河段的鱼类的不利影响有限，不会造成现有鱼类灭绝</w:t>
      </w:r>
      <w:r>
        <w:rPr>
          <w:rFonts w:hint="eastAsia" w:ascii="Arial" w:hAnsi="Arial" w:eastAsia="宋体" w:cs="Arial"/>
          <w:color w:val="auto"/>
          <w:sz w:val="26"/>
          <w:szCs w:val="26"/>
          <w:lang w:eastAsia="zh-CN"/>
        </w:rPr>
        <w:t>。</w:t>
      </w:r>
    </w:p>
    <w:p w14:paraId="77CE00EC">
      <w:pPr>
        <w:pStyle w:val="2113"/>
        <w:spacing w:line="460" w:lineRule="exact"/>
        <w:ind w:firstLine="520"/>
        <w:rPr>
          <w:rFonts w:hint="default" w:ascii="Arial" w:hAnsi="Arial" w:eastAsia="宋体" w:cs="Arial"/>
          <w:b/>
          <w:bCs/>
          <w:color w:val="auto"/>
          <w:sz w:val="26"/>
          <w:szCs w:val="26"/>
          <w:lang w:eastAsia="zh-CN"/>
        </w:rPr>
      </w:pPr>
      <w:r>
        <w:rPr>
          <w:rFonts w:hint="default" w:ascii="Arial" w:hAnsi="Arial" w:eastAsia="宋体" w:cs="Arial"/>
          <w:b/>
          <w:bCs/>
          <w:color w:val="auto"/>
          <w:sz w:val="26"/>
          <w:szCs w:val="26"/>
          <w:lang w:eastAsia="zh-CN"/>
        </w:rPr>
        <w:t>②对鱼类资源的影响</w:t>
      </w:r>
    </w:p>
    <w:p w14:paraId="1461DACC">
      <w:pPr>
        <w:pStyle w:val="2113"/>
        <w:spacing w:line="460" w:lineRule="exact"/>
        <w:ind w:firstLine="520"/>
        <w:rPr>
          <w:rFonts w:hint="eastAsia" w:ascii="Arial" w:hAnsi="Arial" w:eastAsia="宋体" w:cs="Arial"/>
          <w:color w:val="auto"/>
          <w:sz w:val="26"/>
          <w:szCs w:val="26"/>
          <w:lang w:eastAsia="zh-CN"/>
        </w:rPr>
      </w:pPr>
      <w:r>
        <w:rPr>
          <w:rFonts w:hint="eastAsia" w:ascii="Arial" w:hAnsi="Arial" w:eastAsia="宋体" w:cs="Arial"/>
          <w:color w:val="auto"/>
          <w:sz w:val="26"/>
          <w:szCs w:val="26"/>
          <w:lang w:eastAsia="zh-CN"/>
        </w:rPr>
        <w:t>海螺沟水库蓄水后，坝前水体水文情势发生较大变化，从而鱼类栖息环境发生变化，急流减缓、砂石沉积、饵料增多。</w:t>
      </w:r>
      <w:r>
        <w:rPr>
          <w:rFonts w:hint="eastAsia" w:ascii="Arial" w:hAnsi="Arial" w:eastAsia="宋体" w:cs="Arial"/>
          <w:color w:val="auto"/>
          <w:sz w:val="26"/>
          <w:szCs w:val="26"/>
        </w:rPr>
        <w:t>水库建成后由于水位的升高改变了原来河流栖息地的形态、水文、水化学和水生生物学特征等，自然河流生态系统被河道型水库生态系统所代替。水位升高，原来的山涧溪流特征消失，河流的流速减慢，水环境发生变化，导致鱼类栖息场所的改变，</w:t>
      </w:r>
      <w:r>
        <w:rPr>
          <w:rFonts w:hint="eastAsia" w:ascii="Arial" w:hAnsi="Arial" w:eastAsia="宋体" w:cs="Arial"/>
          <w:color w:val="auto"/>
          <w:sz w:val="26"/>
          <w:szCs w:val="26"/>
          <w:lang w:eastAsia="zh-CN"/>
        </w:rPr>
        <w:t>库区河段原有适应于底栖急流、砾石、岩盘底质环境的鱼类，栖息范围缩小，鱼类种类、数量都将在一定程度上减少；一部分适应能力强的种类将迁移到库尾上游水域；一些既能适应流水又能适应静水活动的鱼类则变化不大；适宜性强、繁殖率高、杂食性的鱼类将成为库区优势种；</w:t>
      </w:r>
      <w:r>
        <w:rPr>
          <w:rFonts w:hint="eastAsia" w:ascii="Arial" w:hAnsi="Arial" w:eastAsia="宋体" w:cs="Arial"/>
          <w:color w:val="auto"/>
          <w:sz w:val="26"/>
          <w:szCs w:val="26"/>
        </w:rPr>
        <w:t>鱼类的组成、种群和资源量等都将会发生变化。</w:t>
      </w:r>
      <w:r>
        <w:rPr>
          <w:rFonts w:hint="eastAsia" w:ascii="Arial" w:hAnsi="Arial" w:eastAsia="宋体" w:cs="Arial"/>
          <w:color w:val="auto"/>
          <w:sz w:val="26"/>
          <w:szCs w:val="26"/>
          <w:lang w:eastAsia="zh-CN"/>
        </w:rPr>
        <w:t>但是，海螺沟为山区型河流，鱼类资源匮乏，种类少，通过自然恢复作用，鱼类资源将得到一定程度的恢复。</w:t>
      </w:r>
    </w:p>
    <w:p w14:paraId="0B6CF73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Ansi="宋体"/>
          <w:bCs/>
          <w:sz w:val="26"/>
          <w:szCs w:val="26"/>
        </w:rPr>
      </w:pPr>
      <w:r>
        <w:rPr>
          <w:rFonts w:hint="eastAsia" w:ascii="Arial" w:hAnsi="Arial" w:eastAsia="宋体" w:cs="Arial"/>
          <w:color w:val="auto"/>
          <w:sz w:val="26"/>
          <w:szCs w:val="26"/>
          <w:lang w:eastAsia="zh-CN"/>
        </w:rPr>
        <w:t>海螺沟水库蓄水</w:t>
      </w:r>
      <w:r>
        <w:rPr>
          <w:rFonts w:hint="eastAsia" w:hAnsi="宋体"/>
          <w:bCs/>
          <w:sz w:val="26"/>
          <w:szCs w:val="26"/>
        </w:rPr>
        <w:t>截流后，鱼类可以转入下游水域生活，但河段水量的减少，生态水文条件发生改变，生境类型有所减少，影响到鱼类栖息生境的空间大小。从物种保护角度看，只要切实采取了保证生态流量、减少水体污染等措施，不会导致现有鱼类的灭绝。</w:t>
      </w:r>
    </w:p>
    <w:p w14:paraId="1226A3F6">
      <w:pPr>
        <w:pStyle w:val="2113"/>
        <w:keepNext w:val="0"/>
        <w:keepLines w:val="0"/>
        <w:pageBreakBefore w:val="0"/>
        <w:widowControl w:val="0"/>
        <w:kinsoku/>
        <w:wordWrap/>
        <w:overflowPunct/>
        <w:topLinePunct w:val="0"/>
        <w:autoSpaceDE/>
        <w:autoSpaceDN/>
        <w:bidi w:val="0"/>
        <w:adjustRightInd/>
        <w:snapToGrid/>
        <w:spacing w:line="460" w:lineRule="exact"/>
        <w:ind w:firstLine="520"/>
        <w:textAlignment w:val="auto"/>
        <w:rPr>
          <w:rFonts w:hint="eastAsia" w:ascii="Arial" w:hAnsi="Arial" w:eastAsia="宋体" w:cs="Arial"/>
          <w:b/>
          <w:bCs/>
          <w:color w:val="auto"/>
          <w:sz w:val="26"/>
          <w:szCs w:val="26"/>
          <w:lang w:eastAsia="zh-CN"/>
        </w:rPr>
      </w:pPr>
      <w:r>
        <w:rPr>
          <w:rFonts w:hint="eastAsia" w:ascii="Arial" w:hAnsi="Arial" w:eastAsia="宋体" w:cs="Arial"/>
          <w:b/>
          <w:bCs/>
          <w:color w:val="auto"/>
          <w:sz w:val="26"/>
          <w:szCs w:val="26"/>
          <w:lang w:eastAsia="zh-CN"/>
        </w:rPr>
        <w:t>③对鱼类“三场”的影响</w:t>
      </w:r>
    </w:p>
    <w:p w14:paraId="41A2A60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Ansi="宋体"/>
          <w:bCs/>
          <w:sz w:val="26"/>
          <w:szCs w:val="26"/>
        </w:rPr>
      </w:pPr>
      <w:r>
        <w:rPr>
          <w:rFonts w:hint="eastAsia" w:hAnsi="宋体"/>
          <w:bCs/>
          <w:sz w:val="26"/>
          <w:szCs w:val="26"/>
        </w:rPr>
        <w:t>项目评价河段鱼类资源不丰富，无鱼类“三场”分布，坝前水体因水流较缓，可为喜静水鱼类提供良好的产卵场所。</w:t>
      </w:r>
    </w:p>
    <w:p w14:paraId="0C655305">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宋体" w:eastAsia="宋体" w:cs="Arial"/>
          <w:b/>
          <w:sz w:val="26"/>
          <w:szCs w:val="26"/>
          <w:lang w:val="en-US" w:eastAsia="zh-CN"/>
        </w:rPr>
      </w:pPr>
      <w:r>
        <w:rPr>
          <w:rFonts w:hint="eastAsia" w:ascii="Arial" w:hAnsi="宋体" w:eastAsia="宋体" w:cs="Arial"/>
          <w:b/>
          <w:sz w:val="26"/>
          <w:szCs w:val="26"/>
          <w:lang w:val="en-US" w:eastAsia="zh-CN"/>
        </w:rPr>
        <w:t>6.6.5</w:t>
      </w:r>
      <w:r>
        <w:rPr>
          <w:rFonts w:hint="default" w:ascii="Arial" w:hAnsi="宋体" w:eastAsia="宋体" w:cs="Arial"/>
          <w:b/>
          <w:sz w:val="26"/>
          <w:szCs w:val="26"/>
          <w:lang w:val="en-US" w:eastAsia="zh-CN"/>
        </w:rPr>
        <w:t>对局域气候的影响分析</w:t>
      </w:r>
    </w:p>
    <w:p w14:paraId="3091551C">
      <w:pPr>
        <w:spacing w:line="440" w:lineRule="exact"/>
        <w:ind w:firstLine="520" w:firstLineChars="200"/>
        <w:rPr>
          <w:rFonts w:ascii="Arial" w:hAnsi="Arial" w:cs="Arial"/>
          <w:bCs/>
          <w:sz w:val="26"/>
          <w:szCs w:val="26"/>
        </w:rPr>
      </w:pPr>
      <w:r>
        <w:rPr>
          <w:rFonts w:hint="eastAsia" w:ascii="Arial" w:hAnsi="Arial" w:cs="Arial"/>
          <w:bCs/>
          <w:sz w:val="26"/>
          <w:szCs w:val="26"/>
        </w:rPr>
        <w:t>水库形成后，由热容量相对较大的水域替代热容量相对较小的陆地，库区周边气候可能发生变化。</w:t>
      </w:r>
    </w:p>
    <w:p w14:paraId="1927274A">
      <w:pPr>
        <w:spacing w:line="440" w:lineRule="exact"/>
        <w:ind w:firstLine="520" w:firstLineChars="200"/>
        <w:rPr>
          <w:rFonts w:ascii="Arial" w:hAnsi="Arial" w:cs="Arial"/>
          <w:bCs/>
          <w:sz w:val="26"/>
          <w:szCs w:val="26"/>
        </w:rPr>
      </w:pPr>
      <w:r>
        <w:rPr>
          <w:rFonts w:hint="eastAsia" w:ascii="Arial" w:hAnsi="Arial" w:cs="Arial"/>
          <w:bCs/>
          <w:sz w:val="26"/>
          <w:szCs w:val="26"/>
        </w:rPr>
        <w:t>大量研究表明，中型以上水库具有较为显著的湖泊效应，即库区冬季的平均气温比水库建设前提升</w:t>
      </w:r>
      <w:r>
        <w:rPr>
          <w:rFonts w:ascii="Arial" w:hAnsi="Arial" w:cs="Arial"/>
          <w:bCs/>
          <w:sz w:val="26"/>
          <w:szCs w:val="26"/>
        </w:rPr>
        <w:t>1</w:t>
      </w:r>
      <w:r>
        <w:rPr>
          <w:rFonts w:hint="eastAsia" w:ascii="Arial" w:hAnsi="Arial" w:cs="Arial"/>
          <w:bCs/>
          <w:sz w:val="26"/>
          <w:szCs w:val="26"/>
        </w:rPr>
        <w:t>℃，夏季平均气温比水库建设前升高约</w:t>
      </w:r>
      <w:r>
        <w:rPr>
          <w:rFonts w:ascii="Arial" w:hAnsi="Arial" w:cs="Arial"/>
          <w:bCs/>
          <w:sz w:val="26"/>
          <w:szCs w:val="26"/>
        </w:rPr>
        <w:t>1</w:t>
      </w:r>
      <w:r>
        <w:rPr>
          <w:rFonts w:hint="eastAsia" w:ascii="Arial" w:hAnsi="Arial" w:cs="Arial"/>
          <w:bCs/>
          <w:sz w:val="26"/>
          <w:szCs w:val="26"/>
        </w:rPr>
        <w:t>℃，昼夜温差减小，极端最高、最低气温均有明显变化，出现频率降低，温度变化幅度减小；蒸发量与水域面积呈正比关系，增大了库区周围湿度，降水增加；雾日增多，风力提升明显，但实际影响范围固定，限于库区周边，对于改善项目区域干旱、严重干旱的现状具有正效益。</w:t>
      </w:r>
    </w:p>
    <w:p w14:paraId="6F06E203">
      <w:pPr>
        <w:spacing w:line="440" w:lineRule="exact"/>
        <w:ind w:firstLine="520" w:firstLineChars="200"/>
        <w:rPr>
          <w:rFonts w:hint="eastAsia" w:ascii="Arial" w:hAnsi="Arial" w:cs="Arial"/>
          <w:bCs/>
          <w:sz w:val="26"/>
          <w:szCs w:val="26"/>
        </w:rPr>
      </w:pPr>
      <w:r>
        <w:rPr>
          <w:rFonts w:hint="eastAsia" w:ascii="Arial" w:hAnsi="Arial" w:cs="Arial"/>
          <w:bCs/>
          <w:sz w:val="26"/>
          <w:szCs w:val="26"/>
        </w:rPr>
        <w:t>小型水库对气候的影响相关研究较少，从实际情况看，小型水库由于水面小、库容小，且多为狭长型、河流型水库，其对气候的影响甚微，类比中型以上水库的影响，其对区域温度</w:t>
      </w:r>
      <w:r>
        <w:rPr>
          <w:rFonts w:hint="eastAsia" w:ascii="Arial" w:hAnsi="Arial" w:cs="Arial"/>
          <w:bCs/>
          <w:sz w:val="26"/>
          <w:szCs w:val="26"/>
          <w:lang w:eastAsia="zh-CN"/>
        </w:rPr>
        <w:t>的</w:t>
      </w:r>
      <w:r>
        <w:rPr>
          <w:rFonts w:hint="eastAsia" w:ascii="Arial" w:hAnsi="Arial" w:cs="Arial"/>
          <w:bCs/>
          <w:sz w:val="26"/>
          <w:szCs w:val="26"/>
        </w:rPr>
        <w:t>变化小于</w:t>
      </w:r>
      <w:r>
        <w:rPr>
          <w:rFonts w:ascii="Arial" w:hAnsi="Arial" w:cs="Arial"/>
          <w:bCs/>
          <w:sz w:val="26"/>
          <w:szCs w:val="26"/>
        </w:rPr>
        <w:t>1</w:t>
      </w:r>
      <w:r>
        <w:rPr>
          <w:rFonts w:hint="eastAsia" w:ascii="Arial" w:hAnsi="Arial" w:cs="Arial"/>
          <w:bCs/>
          <w:sz w:val="26"/>
          <w:szCs w:val="26"/>
        </w:rPr>
        <w:t>℃。因此本评价认为本工程的建设对局域气候的影响甚微。</w:t>
      </w:r>
    </w:p>
    <w:p w14:paraId="73F1EB2D">
      <w:pPr>
        <w:pStyle w:val="100"/>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hint="default" w:ascii="Arial" w:hAnsi="宋体" w:eastAsia="宋体" w:cs="Arial"/>
          <w:b/>
          <w:sz w:val="26"/>
          <w:szCs w:val="26"/>
          <w:lang w:val="en-US" w:eastAsia="zh-CN"/>
        </w:rPr>
      </w:pPr>
      <w:r>
        <w:rPr>
          <w:rFonts w:hint="eastAsia" w:ascii="Arial" w:hAnsi="宋体" w:eastAsia="宋体" w:cs="Arial"/>
          <w:b/>
          <w:sz w:val="26"/>
          <w:szCs w:val="26"/>
          <w:lang w:val="en-US" w:eastAsia="zh-CN"/>
        </w:rPr>
        <w:t>6.6.6形成消落带</w:t>
      </w:r>
      <w:r>
        <w:rPr>
          <w:rFonts w:hint="default" w:ascii="Arial" w:hAnsi="宋体" w:eastAsia="宋体" w:cs="Arial"/>
          <w:b/>
          <w:sz w:val="26"/>
          <w:szCs w:val="26"/>
          <w:lang w:val="en-US" w:eastAsia="zh-CN"/>
        </w:rPr>
        <w:t>的影响分析</w:t>
      </w:r>
    </w:p>
    <w:p w14:paraId="5CBC495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Arial" w:hAnsi="Arial" w:eastAsia="宋体" w:cs="Arial"/>
          <w:color w:val="auto"/>
          <w:sz w:val="24"/>
          <w:szCs w:val="24"/>
          <w:lang w:eastAsia="zh-CN"/>
        </w:rPr>
      </w:pPr>
      <w:r>
        <w:rPr>
          <w:rFonts w:hint="eastAsia" w:ascii="Arial" w:hAnsi="Arial" w:eastAsia="宋体" w:cs="Arial"/>
          <w:color w:val="auto"/>
          <w:sz w:val="24"/>
          <w:szCs w:val="24"/>
          <w:lang w:eastAsia="zh-CN"/>
        </w:rPr>
        <w:t>海螺沟</w:t>
      </w:r>
      <w:r>
        <w:rPr>
          <w:rFonts w:hint="default" w:ascii="Arial" w:hAnsi="Arial" w:eastAsia="宋体" w:cs="Arial"/>
          <w:color w:val="auto"/>
          <w:sz w:val="24"/>
          <w:szCs w:val="24"/>
          <w:lang w:eastAsia="zh-CN"/>
        </w:rPr>
        <w:t>水库工程蓄水后，水库将按</w:t>
      </w:r>
      <w:r>
        <w:rPr>
          <w:rFonts w:hint="eastAsia" w:ascii="Arial" w:hAnsi="Arial" w:eastAsia="宋体" w:cs="Arial"/>
          <w:color w:val="auto"/>
          <w:sz w:val="24"/>
          <w:szCs w:val="24"/>
          <w:lang w:val="en-US" w:eastAsia="zh-CN"/>
        </w:rPr>
        <w:t>420.0</w:t>
      </w:r>
      <w:r>
        <w:rPr>
          <w:rFonts w:hint="default" w:ascii="Arial" w:hAnsi="Arial" w:eastAsia="宋体" w:cs="Arial"/>
          <w:color w:val="auto"/>
          <w:sz w:val="24"/>
          <w:szCs w:val="24"/>
          <w:lang w:eastAsia="zh-CN"/>
        </w:rPr>
        <w:t>m水位运行，除去死水位</w:t>
      </w:r>
      <w:r>
        <w:rPr>
          <w:rFonts w:hint="eastAsia" w:ascii="Arial" w:hAnsi="Arial" w:eastAsia="宋体" w:cs="Arial"/>
          <w:color w:val="auto"/>
          <w:sz w:val="24"/>
          <w:szCs w:val="24"/>
          <w:lang w:val="en-US" w:eastAsia="zh-CN"/>
        </w:rPr>
        <w:t>407.5m</w:t>
      </w:r>
      <w:r>
        <w:rPr>
          <w:rFonts w:hint="default" w:ascii="Arial" w:hAnsi="Arial" w:eastAsia="宋体" w:cs="Arial"/>
          <w:color w:val="auto"/>
          <w:sz w:val="24"/>
          <w:szCs w:val="24"/>
          <w:lang w:eastAsia="zh-CN"/>
        </w:rPr>
        <w:t>以下永久淹没区域，水位涨落仍将造成岸边的消落带，</w:t>
      </w:r>
      <w:r>
        <w:rPr>
          <w:rFonts w:hint="eastAsia" w:ascii="Arial" w:hAnsi="Arial" w:eastAsia="宋体" w:cs="Arial"/>
          <w:color w:val="auto"/>
          <w:sz w:val="24"/>
          <w:szCs w:val="24"/>
          <w:lang w:eastAsia="zh-CN"/>
        </w:rPr>
        <w:t>深</w:t>
      </w:r>
      <w:r>
        <w:rPr>
          <w:rFonts w:hint="eastAsia" w:ascii="Arial" w:hAnsi="Arial" w:eastAsia="宋体" w:cs="Arial"/>
          <w:color w:val="auto"/>
          <w:sz w:val="24"/>
          <w:szCs w:val="24"/>
          <w:lang w:val="en-US" w:eastAsia="zh-CN"/>
        </w:rPr>
        <w:t>12.5m。</w:t>
      </w:r>
      <w:r>
        <w:rPr>
          <w:rFonts w:hint="default" w:ascii="Arial" w:hAnsi="Arial" w:eastAsia="宋体" w:cs="Arial"/>
          <w:color w:val="auto"/>
          <w:sz w:val="24"/>
          <w:szCs w:val="24"/>
          <w:lang w:eastAsia="zh-CN"/>
        </w:rPr>
        <w:t>在蓄水期间，水库水流滞流、缓流形成岸边污染带，泥沙也在此淤积，在低水位运行时将全部裸露，尤其是在夏季，沼泽状的消落带将给蚊虫孳生带来繁殖场所，对库周区域人体健康保护不利，</w:t>
      </w:r>
      <w:bookmarkStart w:id="223" w:name="_GoBack"/>
      <w:bookmarkEnd w:id="223"/>
      <w:r>
        <w:rPr>
          <w:rFonts w:hint="default" w:ascii="Arial" w:hAnsi="Arial" w:eastAsia="宋体" w:cs="Arial"/>
          <w:color w:val="auto"/>
          <w:sz w:val="24"/>
          <w:szCs w:val="24"/>
          <w:lang w:eastAsia="zh-CN"/>
        </w:rPr>
        <w:t>而且有可能带来一系列的生态环境问题。通过必要的库岸清理可有效减缓生态环境问题。</w:t>
      </w:r>
    </w:p>
    <w:p w14:paraId="300279F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水库库岸消落区以粉质粘土夹块碎石边坡为主，目前边坡植被覆盖良好，自然状况下边坡处于稳定状态。水库蓄水后，库岸地下水水位壅高，库水位骤降骤升，消落区边坡植被将失去保护，逐渐被破坏，库水冲刷、浪蚀、掏脚作用将引起库水位消落区边坡破坏变形，从而引起库岸再造，甚至引起局部库岸段边坡的失稳。运营期间加强地质观察，避免地质灾害发生。</w:t>
      </w:r>
    </w:p>
    <w:p w14:paraId="1C19573E">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default" w:ascii="Arial" w:hAnsi="Arial" w:cs="Arial"/>
          <w:kern w:val="0"/>
          <w:sz w:val="26"/>
          <w:szCs w:val="26"/>
          <w:lang w:val="en-US"/>
        </w:rPr>
      </w:pPr>
      <w:r>
        <w:rPr>
          <w:rFonts w:hint="default" w:ascii="Arial" w:hAnsi="Arial" w:eastAsia="宋体" w:cs="Arial"/>
          <w:b/>
          <w:bCs/>
          <w:color w:val="000000"/>
          <w:kern w:val="0"/>
          <w:sz w:val="26"/>
          <w:szCs w:val="26"/>
          <w:lang w:val="en-US" w:eastAsia="zh-CN"/>
        </w:rPr>
        <w:t>6.</w:t>
      </w:r>
      <w:r>
        <w:rPr>
          <w:rFonts w:hint="eastAsia" w:ascii="Arial" w:hAnsi="Arial" w:eastAsia="宋体" w:cs="Arial"/>
          <w:b/>
          <w:bCs/>
          <w:color w:val="000000"/>
          <w:kern w:val="0"/>
          <w:sz w:val="26"/>
          <w:szCs w:val="26"/>
          <w:lang w:val="en-US" w:eastAsia="zh-CN"/>
        </w:rPr>
        <w:t>7环境风险影响评价</w:t>
      </w:r>
    </w:p>
    <w:p w14:paraId="51FEA460">
      <w:pPr>
        <w:spacing w:line="440" w:lineRule="exact"/>
        <w:ind w:firstLine="520" w:firstLineChars="200"/>
        <w:rPr>
          <w:rFonts w:hint="eastAsia" w:ascii="Arial" w:hAnsi="Arial" w:cs="Arial"/>
          <w:color w:val="auto"/>
          <w:kern w:val="0"/>
          <w:sz w:val="26"/>
          <w:szCs w:val="26"/>
          <w:highlight w:val="none"/>
          <w:lang w:val="en-US" w:eastAsia="zh-CN"/>
        </w:rPr>
      </w:pPr>
      <w:r>
        <w:rPr>
          <w:rFonts w:hint="eastAsia" w:ascii="Arial" w:hAnsi="Arial" w:eastAsia="宋体" w:cs="Arial"/>
          <w:bCs/>
          <w:sz w:val="26"/>
          <w:szCs w:val="26"/>
          <w:lang w:val="en-US" w:eastAsia="zh-CN"/>
        </w:rPr>
        <w:t>海螺沟水库</w:t>
      </w:r>
      <w:r>
        <w:rPr>
          <w:rFonts w:hint="eastAsia" w:ascii="Arial" w:cs="Arial"/>
          <w:bCs/>
          <w:sz w:val="26"/>
        </w:rPr>
        <w:t>工程的开发任务</w:t>
      </w:r>
      <w:r>
        <w:rPr>
          <w:rFonts w:hint="eastAsia" w:ascii="Arial" w:hAnsi="Arial" w:cs="Arial"/>
          <w:color w:val="auto"/>
          <w:kern w:val="0"/>
          <w:sz w:val="26"/>
          <w:szCs w:val="26"/>
          <w:highlight w:val="none"/>
          <w:lang w:val="en-US" w:eastAsia="zh-CN"/>
        </w:rPr>
        <w:t>是</w:t>
      </w:r>
      <w:r>
        <w:rPr>
          <w:rFonts w:hint="eastAsia" w:ascii="Arial" w:hAnsi="Arial" w:eastAsia="宋体" w:cs="Arial"/>
          <w:color w:val="auto"/>
          <w:kern w:val="0"/>
          <w:sz w:val="26"/>
          <w:szCs w:val="26"/>
          <w:highlight w:val="none"/>
          <w:lang w:val="en-US" w:eastAsia="zh-CN"/>
        </w:rPr>
        <w:t>一座以供水和农业灌溉为主要开发功能的小（2）型水利工程</w:t>
      </w:r>
      <w:r>
        <w:rPr>
          <w:rFonts w:hint="eastAsia" w:ascii="Arial" w:hAnsi="Arial" w:cs="Arial"/>
          <w:color w:val="auto"/>
          <w:kern w:val="0"/>
          <w:sz w:val="26"/>
          <w:szCs w:val="26"/>
          <w:highlight w:val="none"/>
          <w:lang w:val="en-US" w:eastAsia="zh-CN"/>
        </w:rPr>
        <w:t>。本次评价根据水源保护区相关规定对水库环境风险提出要求。</w:t>
      </w:r>
    </w:p>
    <w:p w14:paraId="283D061B">
      <w:pPr>
        <w:pStyle w:val="101"/>
        <w:keepNext w:val="0"/>
        <w:keepLines w:val="0"/>
        <w:pageBreakBefore w:val="0"/>
        <w:widowControl w:val="0"/>
        <w:kinsoku/>
        <w:wordWrap/>
        <w:overflowPunct/>
        <w:topLinePunct w:val="0"/>
        <w:autoSpaceDE w:val="0"/>
        <w:autoSpaceDN w:val="0"/>
        <w:bidi w:val="0"/>
        <w:adjustRightInd w:val="0"/>
        <w:snapToGrid/>
        <w:spacing w:line="460" w:lineRule="exact"/>
        <w:ind w:firstLine="522" w:firstLineChars="200"/>
        <w:jc w:val="both"/>
        <w:textAlignment w:val="auto"/>
        <w:rPr>
          <w:rFonts w:hint="default" w:ascii="Arial" w:hAnsi="宋体" w:eastAsia="宋体" w:cs="Arial"/>
          <w:b/>
          <w:color w:val="auto"/>
          <w:kern w:val="0"/>
          <w:sz w:val="26"/>
          <w:szCs w:val="26"/>
          <w:lang w:val="en-US" w:eastAsia="zh-CN" w:bidi="ar-SA"/>
        </w:rPr>
      </w:pPr>
      <w:r>
        <w:rPr>
          <w:rFonts w:hint="eastAsia" w:ascii="Arial" w:hAnsi="宋体" w:eastAsia="宋体" w:cs="Arial"/>
          <w:b/>
          <w:color w:val="auto"/>
          <w:kern w:val="0"/>
          <w:sz w:val="26"/>
          <w:szCs w:val="26"/>
          <w:lang w:val="en-US" w:eastAsia="zh-CN" w:bidi="ar-SA"/>
        </w:rPr>
        <w:t>6.7.1环境风险分析</w:t>
      </w:r>
    </w:p>
    <w:p w14:paraId="672AE5F4">
      <w:pPr>
        <w:spacing w:line="440" w:lineRule="exact"/>
        <w:ind w:firstLine="520" w:firstLineChars="200"/>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饮用水水源环境风险主要包括：固定源（石油化工企业、污（废）水处理厂、垃圾填埋场、危险品仓库、尾矿库和装卸码头等）、流动源（存在危险品运输的陆运和水运交通）和非点源（农业污染源、潮汛或水灾引起的大面积非点源污染）三大类。</w:t>
      </w:r>
    </w:p>
    <w:p w14:paraId="6EEF823E">
      <w:pPr>
        <w:spacing w:line="440" w:lineRule="exact"/>
        <w:ind w:firstLine="520" w:firstLineChars="200"/>
        <w:rPr>
          <w:rFonts w:hint="eastAsia" w:ascii="Arial" w:hAnsi="Arial" w:eastAsia="宋体" w:cs="Arial"/>
          <w:bCs/>
          <w:sz w:val="26"/>
          <w:szCs w:val="26"/>
          <w:lang w:val="en-US" w:eastAsia="zh-CN"/>
        </w:rPr>
      </w:pPr>
      <w:r>
        <w:rPr>
          <w:rFonts w:hint="eastAsia" w:ascii="Arial" w:hAnsi="Arial" w:eastAsia="宋体" w:cs="Arial"/>
          <w:bCs/>
          <w:sz w:val="26"/>
          <w:szCs w:val="26"/>
          <w:lang w:val="en-US" w:eastAsia="zh-CN"/>
        </w:rPr>
        <w:t>项目位于农村区域，不存在上述固定风险源及流动风险源，主要存在的风险源可能是非点源风险源。而根据调查，水库集雨区也无大中型养殖企业，区域植被多为原生状态的林草地，因此，可知项目集雨区农业面源污染较轻，可能对水质产生污染的是区域内零星分布的农民施用的化肥以及生活污水等随地表径流进入河流，产生的污染物量很少，对水库水质产生冲击的风险影响较小。</w:t>
      </w:r>
    </w:p>
    <w:p w14:paraId="575ACF07">
      <w:pPr>
        <w:pStyle w:val="101"/>
        <w:keepNext w:val="0"/>
        <w:keepLines w:val="0"/>
        <w:pageBreakBefore w:val="0"/>
        <w:widowControl w:val="0"/>
        <w:kinsoku/>
        <w:wordWrap/>
        <w:overflowPunct/>
        <w:topLinePunct w:val="0"/>
        <w:autoSpaceDE w:val="0"/>
        <w:autoSpaceDN w:val="0"/>
        <w:bidi w:val="0"/>
        <w:adjustRightInd w:val="0"/>
        <w:snapToGrid/>
        <w:spacing w:line="460" w:lineRule="exact"/>
        <w:ind w:firstLine="522" w:firstLineChars="200"/>
        <w:jc w:val="both"/>
        <w:textAlignment w:val="auto"/>
        <w:rPr>
          <w:rFonts w:hint="default" w:ascii="Arial" w:hAnsi="Arial" w:eastAsia="宋体" w:cs="Arial"/>
          <w:b/>
          <w:color w:val="auto"/>
          <w:kern w:val="0"/>
          <w:sz w:val="26"/>
          <w:szCs w:val="26"/>
          <w:lang w:val="en-US" w:eastAsia="zh-CN" w:bidi="ar-SA"/>
        </w:rPr>
      </w:pPr>
      <w:r>
        <w:rPr>
          <w:rFonts w:hint="default" w:ascii="Arial" w:hAnsi="Arial" w:eastAsia="宋体" w:cs="Arial"/>
          <w:b/>
          <w:color w:val="auto"/>
          <w:kern w:val="0"/>
          <w:sz w:val="26"/>
          <w:szCs w:val="26"/>
          <w:lang w:val="en-US" w:eastAsia="zh-CN" w:bidi="ar-SA"/>
        </w:rPr>
        <w:t>6.7.2环境风险防范措施</w:t>
      </w:r>
    </w:p>
    <w:p w14:paraId="58A44AC1">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①为防止车辆出现事故而对水库水源造成污染，水库业主方需积极与交通管理部门联系和配合，通过路段限速、树立标志等管理措施，同时采取道路外侧设置防撞栏等工程措施，减少因事故发生污染的可能。</w:t>
      </w:r>
    </w:p>
    <w:p w14:paraId="130557B7">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②加强饮用水源保护宣传，开展饮用水源保护宣传工作，在全社会营造整治饮用水源污染的舆论氛围，使“保护水源，人人有责，从我做起”的观念深入人心。</w:t>
      </w:r>
    </w:p>
    <w:p w14:paraId="00324AEC">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③控制面源污染：正确引导当地农民少量、合理的施用化肥，减少生活污水排放，是减少农业面源污染的主要途径，业主应连同农业部门按照《农村生活污染防治技术政策》</w:t>
      </w:r>
      <w:r>
        <w:rPr>
          <w:rFonts w:hint="default" w:ascii="Arial" w:hAnsi="Arial" w:cs="Arial"/>
          <w:bCs/>
          <w:kern w:val="0"/>
          <w:sz w:val="26"/>
          <w:szCs w:val="26"/>
          <w:lang w:eastAsia="zh-CN"/>
        </w:rPr>
        <w:t>（</w:t>
      </w:r>
      <w:r>
        <w:rPr>
          <w:rFonts w:hint="default" w:ascii="Arial" w:hAnsi="Arial" w:cs="Arial"/>
          <w:bCs/>
          <w:kern w:val="0"/>
          <w:sz w:val="26"/>
          <w:szCs w:val="26"/>
        </w:rPr>
        <w:t>环发</w:t>
      </w:r>
      <w:r>
        <w:rPr>
          <w:rFonts w:hint="default" w:ascii="Arial" w:hAnsi="Arial" w:eastAsia="宋体" w:cs="Arial"/>
          <w:bCs/>
          <w:kern w:val="0"/>
          <w:sz w:val="26"/>
          <w:szCs w:val="26"/>
        </w:rPr>
        <w:t>〔</w:t>
      </w:r>
      <w:r>
        <w:rPr>
          <w:rFonts w:hint="default" w:ascii="Arial" w:hAnsi="Arial" w:cs="Arial"/>
          <w:bCs/>
          <w:kern w:val="0"/>
          <w:sz w:val="26"/>
          <w:szCs w:val="26"/>
        </w:rPr>
        <w:t>2010</w:t>
      </w:r>
      <w:r>
        <w:rPr>
          <w:rFonts w:hint="default" w:ascii="Arial" w:hAnsi="Arial" w:eastAsia="宋体" w:cs="Arial"/>
          <w:bCs/>
          <w:kern w:val="0"/>
          <w:sz w:val="26"/>
          <w:szCs w:val="26"/>
        </w:rPr>
        <w:t>〕</w:t>
      </w:r>
      <w:r>
        <w:rPr>
          <w:rFonts w:hint="default" w:ascii="Arial" w:hAnsi="Arial" w:cs="Arial"/>
          <w:bCs/>
          <w:kern w:val="0"/>
          <w:sz w:val="26"/>
          <w:szCs w:val="26"/>
        </w:rPr>
        <w:t>20号</w:t>
      </w:r>
      <w:r>
        <w:rPr>
          <w:rFonts w:hint="default" w:ascii="Arial" w:hAnsi="Arial" w:cs="Arial"/>
          <w:bCs/>
          <w:kern w:val="0"/>
          <w:sz w:val="26"/>
          <w:szCs w:val="26"/>
          <w:lang w:eastAsia="zh-CN"/>
        </w:rPr>
        <w:t>）</w:t>
      </w:r>
      <w:r>
        <w:rPr>
          <w:rFonts w:hint="default" w:ascii="Arial" w:hAnsi="Arial" w:cs="Arial"/>
          <w:bCs/>
          <w:kern w:val="0"/>
          <w:sz w:val="26"/>
          <w:szCs w:val="26"/>
        </w:rPr>
        <w:t>、《农药使用环境安全技术导则》</w:t>
      </w:r>
      <w:r>
        <w:rPr>
          <w:rFonts w:hint="default" w:ascii="Arial" w:hAnsi="Arial" w:cs="Arial"/>
          <w:bCs/>
          <w:kern w:val="0"/>
          <w:sz w:val="26"/>
          <w:szCs w:val="26"/>
          <w:lang w:eastAsia="zh-CN"/>
        </w:rPr>
        <w:t>（</w:t>
      </w:r>
      <w:r>
        <w:rPr>
          <w:rFonts w:hint="default" w:ascii="Arial" w:hAnsi="Arial" w:cs="Arial"/>
          <w:bCs/>
          <w:kern w:val="0"/>
          <w:sz w:val="26"/>
          <w:szCs w:val="26"/>
        </w:rPr>
        <w:t>HJ556-2010</w:t>
      </w:r>
      <w:r>
        <w:rPr>
          <w:rFonts w:hint="default" w:ascii="Arial" w:hAnsi="Arial" w:cs="Arial"/>
          <w:bCs/>
          <w:kern w:val="0"/>
          <w:sz w:val="26"/>
          <w:szCs w:val="26"/>
          <w:lang w:eastAsia="zh-CN"/>
        </w:rPr>
        <w:t>）</w:t>
      </w:r>
      <w:r>
        <w:rPr>
          <w:rFonts w:hint="default" w:ascii="Arial" w:hAnsi="Arial" w:cs="Arial"/>
          <w:bCs/>
          <w:kern w:val="0"/>
          <w:sz w:val="26"/>
          <w:szCs w:val="26"/>
        </w:rPr>
        <w:t>、《化肥使用环境安全技术导则》</w:t>
      </w:r>
      <w:r>
        <w:rPr>
          <w:rFonts w:hint="default" w:ascii="Arial" w:hAnsi="Arial" w:cs="Arial"/>
          <w:bCs/>
          <w:kern w:val="0"/>
          <w:sz w:val="26"/>
          <w:szCs w:val="26"/>
          <w:lang w:eastAsia="zh-CN"/>
        </w:rPr>
        <w:t>（</w:t>
      </w:r>
      <w:r>
        <w:rPr>
          <w:rFonts w:hint="default" w:ascii="Arial" w:hAnsi="Arial" w:cs="Arial"/>
          <w:bCs/>
          <w:kern w:val="0"/>
          <w:sz w:val="26"/>
          <w:szCs w:val="26"/>
        </w:rPr>
        <w:t>HJ555-2010</w:t>
      </w:r>
      <w:r>
        <w:rPr>
          <w:rFonts w:hint="default" w:ascii="Arial" w:hAnsi="Arial" w:cs="Arial"/>
          <w:bCs/>
          <w:kern w:val="0"/>
          <w:sz w:val="26"/>
          <w:szCs w:val="26"/>
          <w:lang w:eastAsia="zh-CN"/>
        </w:rPr>
        <w:t>）</w:t>
      </w:r>
      <w:r>
        <w:rPr>
          <w:rFonts w:hint="default" w:ascii="Arial" w:hAnsi="Arial" w:cs="Arial"/>
          <w:bCs/>
          <w:kern w:val="0"/>
          <w:sz w:val="26"/>
          <w:szCs w:val="26"/>
        </w:rPr>
        <w:t>的要求引导当地居民，控制面源污染，具体见下表，各项措施需在水库蓄水前完成。</w:t>
      </w:r>
    </w:p>
    <w:p w14:paraId="60851E56">
      <w:pPr>
        <w:keepNext w:val="0"/>
        <w:keepLines w:val="0"/>
        <w:pageBreakBefore w:val="0"/>
        <w:widowControl w:val="0"/>
        <w:kinsoku/>
        <w:wordWrap/>
        <w:overflowPunct/>
        <w:topLinePunct w:val="0"/>
        <w:autoSpaceDE w:val="0"/>
        <w:autoSpaceDN w:val="0"/>
        <w:bidi w:val="0"/>
        <w:adjustRightInd w:val="0"/>
        <w:snapToGrid/>
        <w:spacing w:line="460" w:lineRule="exact"/>
        <w:ind w:firstLine="0" w:firstLineChars="0"/>
        <w:jc w:val="center"/>
        <w:textAlignment w:val="auto"/>
        <w:rPr>
          <w:rFonts w:hint="default" w:ascii="Arial" w:hAnsi="Arial" w:cs="Arial"/>
          <w:b/>
          <w:bCs w:val="0"/>
          <w:kern w:val="0"/>
          <w:sz w:val="26"/>
          <w:szCs w:val="26"/>
        </w:rPr>
      </w:pPr>
    </w:p>
    <w:p w14:paraId="60470A6F">
      <w:pPr>
        <w:keepNext w:val="0"/>
        <w:keepLines w:val="0"/>
        <w:pageBreakBefore w:val="0"/>
        <w:widowControl w:val="0"/>
        <w:kinsoku/>
        <w:wordWrap/>
        <w:overflowPunct/>
        <w:topLinePunct w:val="0"/>
        <w:autoSpaceDE w:val="0"/>
        <w:autoSpaceDN w:val="0"/>
        <w:bidi w:val="0"/>
        <w:adjustRightInd w:val="0"/>
        <w:snapToGrid/>
        <w:spacing w:line="460" w:lineRule="exact"/>
        <w:ind w:firstLine="0" w:firstLineChars="0"/>
        <w:jc w:val="center"/>
        <w:textAlignment w:val="auto"/>
        <w:rPr>
          <w:rFonts w:hint="default" w:ascii="Arial" w:hAnsi="Arial" w:cs="Arial"/>
          <w:b/>
          <w:bCs w:val="0"/>
          <w:kern w:val="0"/>
          <w:sz w:val="26"/>
          <w:szCs w:val="26"/>
        </w:rPr>
      </w:pPr>
    </w:p>
    <w:p w14:paraId="422B12F2">
      <w:pPr>
        <w:keepNext w:val="0"/>
        <w:keepLines w:val="0"/>
        <w:pageBreakBefore w:val="0"/>
        <w:widowControl w:val="0"/>
        <w:kinsoku/>
        <w:wordWrap/>
        <w:overflowPunct/>
        <w:topLinePunct w:val="0"/>
        <w:autoSpaceDE w:val="0"/>
        <w:autoSpaceDN w:val="0"/>
        <w:bidi w:val="0"/>
        <w:adjustRightInd w:val="0"/>
        <w:snapToGrid/>
        <w:spacing w:line="460" w:lineRule="exact"/>
        <w:ind w:firstLine="0" w:firstLineChars="0"/>
        <w:jc w:val="center"/>
        <w:textAlignment w:val="auto"/>
        <w:rPr>
          <w:rFonts w:hint="default" w:ascii="Arial" w:hAnsi="Arial" w:cs="Arial"/>
          <w:b/>
          <w:bCs w:val="0"/>
          <w:kern w:val="0"/>
          <w:sz w:val="26"/>
          <w:szCs w:val="26"/>
        </w:rPr>
      </w:pPr>
      <w:r>
        <w:rPr>
          <w:rFonts w:hint="default" w:ascii="Arial" w:hAnsi="Arial" w:cs="Arial"/>
          <w:b/>
          <w:bCs w:val="0"/>
          <w:kern w:val="0"/>
          <w:sz w:val="26"/>
          <w:szCs w:val="26"/>
        </w:rPr>
        <w:t>表</w:t>
      </w:r>
      <w:r>
        <w:rPr>
          <w:rFonts w:hint="eastAsia" w:ascii="Arial" w:hAnsi="Arial" w:cs="Arial"/>
          <w:b/>
          <w:bCs w:val="0"/>
          <w:kern w:val="0"/>
          <w:sz w:val="26"/>
          <w:szCs w:val="26"/>
          <w:lang w:val="en-US" w:eastAsia="zh-CN"/>
        </w:rPr>
        <w:t>6.7</w:t>
      </w:r>
      <w:r>
        <w:rPr>
          <w:rFonts w:hint="default" w:ascii="Arial" w:hAnsi="Arial" w:cs="Arial"/>
          <w:b/>
          <w:bCs w:val="0"/>
          <w:kern w:val="0"/>
          <w:sz w:val="26"/>
          <w:szCs w:val="26"/>
        </w:rPr>
        <w:t>-1  农业面源污染防护措施</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1094"/>
        <w:gridCol w:w="7158"/>
      </w:tblGrid>
      <w:tr w14:paraId="02C3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14:paraId="3FB6AC17">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outlineLvl w:val="3"/>
              <w:rPr>
                <w:rFonts w:hint="default" w:ascii="Arial" w:hAnsi="Arial" w:cs="Arial"/>
                <w:bCs/>
                <w:kern w:val="0"/>
                <w:sz w:val="22"/>
                <w:szCs w:val="22"/>
              </w:rPr>
            </w:pPr>
            <w:r>
              <w:rPr>
                <w:rFonts w:hint="default" w:ascii="Arial" w:hAnsi="Arial" w:cs="Arial"/>
                <w:bCs/>
                <w:kern w:val="0"/>
                <w:sz w:val="22"/>
                <w:szCs w:val="22"/>
              </w:rPr>
              <w:t>序号</w:t>
            </w:r>
          </w:p>
        </w:tc>
        <w:tc>
          <w:tcPr>
            <w:tcW w:w="604" w:type="pct"/>
            <w:noWrap w:val="0"/>
            <w:vAlign w:val="center"/>
          </w:tcPr>
          <w:p w14:paraId="26AAC35C">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outlineLvl w:val="3"/>
              <w:rPr>
                <w:rFonts w:hint="default" w:ascii="Arial" w:hAnsi="Arial" w:cs="Arial"/>
                <w:bCs/>
                <w:kern w:val="0"/>
                <w:sz w:val="22"/>
                <w:szCs w:val="22"/>
              </w:rPr>
            </w:pPr>
            <w:r>
              <w:rPr>
                <w:rFonts w:hint="default" w:ascii="Arial" w:hAnsi="Arial" w:cs="Arial"/>
                <w:bCs/>
                <w:kern w:val="0"/>
                <w:sz w:val="22"/>
                <w:szCs w:val="22"/>
              </w:rPr>
              <w:t>文件</w:t>
            </w:r>
          </w:p>
        </w:tc>
        <w:tc>
          <w:tcPr>
            <w:tcW w:w="3953" w:type="pct"/>
            <w:noWrap w:val="0"/>
            <w:vAlign w:val="center"/>
          </w:tcPr>
          <w:p w14:paraId="2749B874">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outlineLvl w:val="3"/>
              <w:rPr>
                <w:rFonts w:hint="default" w:ascii="Arial" w:hAnsi="Arial" w:cs="Arial"/>
                <w:bCs/>
                <w:kern w:val="0"/>
                <w:sz w:val="22"/>
                <w:szCs w:val="22"/>
              </w:rPr>
            </w:pPr>
            <w:r>
              <w:rPr>
                <w:rFonts w:hint="default" w:ascii="Arial" w:hAnsi="Arial" w:cs="Arial"/>
                <w:bCs/>
                <w:kern w:val="0"/>
                <w:sz w:val="22"/>
                <w:szCs w:val="22"/>
              </w:rPr>
              <w:t>内容</w:t>
            </w:r>
          </w:p>
        </w:tc>
      </w:tr>
      <w:tr w14:paraId="5D86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14:paraId="508BC159">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outlineLvl w:val="3"/>
              <w:rPr>
                <w:rFonts w:hint="default" w:ascii="Arial" w:hAnsi="Arial" w:cs="Arial"/>
                <w:bCs/>
                <w:kern w:val="0"/>
                <w:sz w:val="22"/>
                <w:szCs w:val="22"/>
              </w:rPr>
            </w:pPr>
            <w:r>
              <w:rPr>
                <w:rFonts w:hint="default" w:ascii="Arial" w:hAnsi="Arial" w:cs="Arial"/>
                <w:bCs/>
                <w:kern w:val="0"/>
                <w:sz w:val="22"/>
                <w:szCs w:val="22"/>
              </w:rPr>
              <w:t>1</w:t>
            </w:r>
          </w:p>
        </w:tc>
        <w:tc>
          <w:tcPr>
            <w:tcW w:w="604" w:type="pct"/>
            <w:noWrap w:val="0"/>
            <w:vAlign w:val="center"/>
          </w:tcPr>
          <w:p w14:paraId="639226EC">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outlineLvl w:val="3"/>
              <w:rPr>
                <w:rFonts w:hint="default" w:ascii="Arial" w:hAnsi="Arial" w:cs="Arial"/>
                <w:bCs/>
                <w:kern w:val="0"/>
                <w:sz w:val="22"/>
                <w:szCs w:val="22"/>
              </w:rPr>
            </w:pPr>
            <w:r>
              <w:rPr>
                <w:rFonts w:hint="default" w:ascii="Arial" w:hAnsi="Arial" w:cs="Arial"/>
                <w:bCs/>
                <w:kern w:val="0"/>
                <w:sz w:val="22"/>
                <w:szCs w:val="22"/>
              </w:rPr>
              <w:t>农村生活污染防治技术政策</w:t>
            </w:r>
          </w:p>
        </w:tc>
        <w:tc>
          <w:tcPr>
            <w:tcW w:w="3953" w:type="pct"/>
            <w:noWrap w:val="0"/>
            <w:vAlign w:val="center"/>
          </w:tcPr>
          <w:p w14:paraId="7FC48197">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1 \* GB3 </w:instrText>
            </w:r>
            <w:r>
              <w:rPr>
                <w:rFonts w:hint="default" w:ascii="Arial" w:hAnsi="Arial" w:cs="Arial"/>
                <w:bCs/>
                <w:kern w:val="0"/>
                <w:sz w:val="22"/>
                <w:szCs w:val="22"/>
              </w:rPr>
              <w:fldChar w:fldCharType="separate"/>
            </w:r>
            <w:r>
              <w:rPr>
                <w:rFonts w:hint="default" w:ascii="Arial" w:hAnsi="Arial" w:cs="Arial"/>
                <w:bCs/>
                <w:kern w:val="0"/>
                <w:sz w:val="22"/>
                <w:szCs w:val="22"/>
              </w:rPr>
              <w:t>①</w:t>
            </w:r>
            <w:r>
              <w:rPr>
                <w:rFonts w:hint="default" w:ascii="Arial" w:hAnsi="Arial" w:cs="Arial"/>
                <w:bCs/>
                <w:kern w:val="0"/>
                <w:sz w:val="22"/>
                <w:szCs w:val="22"/>
              </w:rPr>
              <w:fldChar w:fldCharType="end"/>
            </w:r>
            <w:r>
              <w:rPr>
                <w:rFonts w:hint="default" w:ascii="Arial" w:hAnsi="Arial" w:cs="Arial"/>
                <w:bCs/>
                <w:kern w:val="0"/>
                <w:sz w:val="22"/>
                <w:szCs w:val="22"/>
              </w:rPr>
              <w:t>农村雨水宜利用边沟和自然沟渠等进行收集和排放，通过坑塘、洼地等自然入渗进入当地水循环系统。鼓励将处理后的雨水回用于农田灌溉等。</w:t>
            </w:r>
          </w:p>
          <w:p w14:paraId="1127F55E">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2 \* GB3 </w:instrText>
            </w:r>
            <w:r>
              <w:rPr>
                <w:rFonts w:hint="default" w:ascii="Arial" w:hAnsi="Arial" w:cs="Arial"/>
                <w:bCs/>
                <w:kern w:val="0"/>
                <w:sz w:val="22"/>
                <w:szCs w:val="22"/>
              </w:rPr>
              <w:fldChar w:fldCharType="separate"/>
            </w:r>
            <w:r>
              <w:rPr>
                <w:rFonts w:hint="default" w:ascii="Arial" w:hAnsi="Arial" w:cs="Arial"/>
                <w:bCs/>
                <w:kern w:val="0"/>
                <w:sz w:val="22"/>
                <w:szCs w:val="22"/>
              </w:rPr>
              <w:t>②</w:t>
            </w:r>
            <w:r>
              <w:rPr>
                <w:rFonts w:hint="default" w:ascii="Arial" w:hAnsi="Arial" w:cs="Arial"/>
                <w:bCs/>
                <w:kern w:val="0"/>
                <w:sz w:val="22"/>
                <w:szCs w:val="22"/>
              </w:rPr>
              <w:fldChar w:fldCharType="end"/>
            </w:r>
            <w:r>
              <w:rPr>
                <w:rFonts w:hint="default" w:ascii="Arial" w:hAnsi="Arial" w:cs="Arial"/>
                <w:bCs/>
                <w:kern w:val="0"/>
                <w:sz w:val="22"/>
                <w:szCs w:val="22"/>
              </w:rPr>
              <w:t>由于没有建设集中污水处理设施，不宜推广使用水冲厕所，避免造成污水直接集中排放，在上述地区鼓励推广非水冲式卫生厕所。</w:t>
            </w:r>
          </w:p>
          <w:p w14:paraId="796927E7">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3 \* GB3 </w:instrText>
            </w:r>
            <w:r>
              <w:rPr>
                <w:rFonts w:hint="default" w:ascii="Arial" w:hAnsi="Arial" w:cs="Arial"/>
                <w:bCs/>
                <w:kern w:val="0"/>
                <w:sz w:val="22"/>
                <w:szCs w:val="22"/>
              </w:rPr>
              <w:fldChar w:fldCharType="separate"/>
            </w:r>
            <w:r>
              <w:rPr>
                <w:rFonts w:hint="default" w:ascii="Arial" w:hAnsi="Arial" w:cs="Arial"/>
                <w:bCs/>
                <w:kern w:val="0"/>
                <w:sz w:val="22"/>
                <w:szCs w:val="22"/>
              </w:rPr>
              <w:t>③</w:t>
            </w:r>
            <w:r>
              <w:rPr>
                <w:rFonts w:hint="default" w:ascii="Arial" w:hAnsi="Arial" w:cs="Arial"/>
                <w:bCs/>
                <w:kern w:val="0"/>
                <w:sz w:val="22"/>
                <w:szCs w:val="22"/>
              </w:rPr>
              <w:fldChar w:fldCharType="end"/>
            </w:r>
            <w:r>
              <w:rPr>
                <w:rFonts w:hint="default" w:ascii="Arial" w:hAnsi="Arial" w:cs="Arial"/>
                <w:bCs/>
                <w:kern w:val="0"/>
                <w:sz w:val="22"/>
                <w:szCs w:val="22"/>
              </w:rPr>
              <w:t>对于以户为单元就地排放的生活污水，宜根据不同情况采用庭院式小型湿地、沼气净化池和小型净化槽等处理技术和设施。</w:t>
            </w:r>
          </w:p>
          <w:p w14:paraId="1D561657">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4 \* GB3 </w:instrText>
            </w:r>
            <w:r>
              <w:rPr>
                <w:rFonts w:hint="default" w:ascii="Arial" w:hAnsi="Arial" w:cs="Arial"/>
                <w:bCs/>
                <w:kern w:val="0"/>
                <w:sz w:val="22"/>
                <w:szCs w:val="22"/>
              </w:rPr>
              <w:fldChar w:fldCharType="separate"/>
            </w:r>
            <w:r>
              <w:rPr>
                <w:rFonts w:hint="default" w:ascii="Arial" w:hAnsi="Arial" w:cs="Arial"/>
                <w:bCs/>
                <w:kern w:val="0"/>
                <w:sz w:val="22"/>
                <w:szCs w:val="22"/>
              </w:rPr>
              <w:t>④</w:t>
            </w:r>
            <w:r>
              <w:rPr>
                <w:rFonts w:hint="default" w:ascii="Arial" w:hAnsi="Arial" w:cs="Arial"/>
                <w:bCs/>
                <w:kern w:val="0"/>
                <w:sz w:val="22"/>
                <w:szCs w:val="22"/>
              </w:rPr>
              <w:fldChar w:fldCharType="end"/>
            </w:r>
            <w:r>
              <w:rPr>
                <w:rFonts w:hint="default" w:ascii="Arial" w:hAnsi="Arial" w:cs="Arial"/>
                <w:bCs/>
                <w:kern w:val="0"/>
                <w:sz w:val="22"/>
                <w:szCs w:val="22"/>
              </w:rPr>
              <w:t>鼓励采用粪便与生活杂排水分离的新型生态排水处理系统。宜采用沼气池处理粪便，采用氧化塘、湿地、快速渗滤及一体化装置等技术处理杂排水。</w:t>
            </w:r>
          </w:p>
          <w:p w14:paraId="642F10A2">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5 \* GB3 </w:instrText>
            </w:r>
            <w:r>
              <w:rPr>
                <w:rFonts w:hint="default" w:ascii="Arial" w:hAnsi="Arial" w:cs="Arial"/>
                <w:bCs/>
                <w:kern w:val="0"/>
                <w:sz w:val="22"/>
                <w:szCs w:val="22"/>
              </w:rPr>
              <w:fldChar w:fldCharType="separate"/>
            </w:r>
            <w:r>
              <w:rPr>
                <w:rFonts w:hint="default" w:ascii="Arial" w:hAnsi="Arial" w:cs="Arial"/>
                <w:bCs/>
                <w:kern w:val="0"/>
                <w:sz w:val="22"/>
                <w:szCs w:val="22"/>
              </w:rPr>
              <w:t>⑤</w:t>
            </w:r>
            <w:r>
              <w:rPr>
                <w:rFonts w:hint="default" w:ascii="Arial" w:hAnsi="Arial" w:cs="Arial"/>
                <w:bCs/>
                <w:kern w:val="0"/>
                <w:sz w:val="22"/>
                <w:szCs w:val="22"/>
              </w:rPr>
              <w:fldChar w:fldCharType="end"/>
            </w:r>
            <w:r>
              <w:rPr>
                <w:rFonts w:hint="default" w:ascii="Arial" w:hAnsi="Arial" w:cs="Arial"/>
                <w:bCs/>
                <w:kern w:val="0"/>
                <w:sz w:val="22"/>
                <w:szCs w:val="22"/>
              </w:rPr>
              <w:t>鼓励采用沼气池厕所、堆肥式、粪尿分集式等生态卫生厕所。在水冲厕所后，鼓励采用沼气净化池和户用沼气池等方式处理粪便污水，产生的沼气应加以利用。</w:t>
            </w:r>
          </w:p>
          <w:p w14:paraId="7E597CC6">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6 \* GB3 </w:instrText>
            </w:r>
            <w:r>
              <w:rPr>
                <w:rFonts w:hint="default" w:ascii="Arial" w:hAnsi="Arial" w:cs="Arial"/>
                <w:bCs/>
                <w:kern w:val="0"/>
                <w:sz w:val="22"/>
                <w:szCs w:val="22"/>
              </w:rPr>
              <w:fldChar w:fldCharType="separate"/>
            </w:r>
            <w:r>
              <w:rPr>
                <w:rFonts w:hint="default" w:ascii="Arial" w:hAnsi="Arial" w:cs="Arial"/>
                <w:bCs/>
                <w:kern w:val="0"/>
                <w:sz w:val="22"/>
                <w:szCs w:val="22"/>
              </w:rPr>
              <w:t>⑥</w:t>
            </w:r>
            <w:r>
              <w:rPr>
                <w:rFonts w:hint="default" w:ascii="Arial" w:hAnsi="Arial" w:cs="Arial"/>
                <w:bCs/>
                <w:kern w:val="0"/>
                <w:sz w:val="22"/>
                <w:szCs w:val="22"/>
              </w:rPr>
              <w:fldChar w:fldCharType="end"/>
            </w:r>
            <w:r>
              <w:rPr>
                <w:rFonts w:hint="default" w:ascii="Arial" w:hAnsi="Arial" w:cs="Arial"/>
                <w:bCs/>
                <w:kern w:val="0"/>
                <w:sz w:val="22"/>
                <w:szCs w:val="22"/>
              </w:rPr>
              <w:t>污水处理设施产生的污泥、沼液及沼渣等可作为农肥施用，在当地环境容量范围内，鼓励以就地消纳为主，实现资源化利用，禁止随意丢弃堆放，避免二次污染。</w:t>
            </w:r>
          </w:p>
          <w:p w14:paraId="7A810845">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7 \* GB3 </w:instrText>
            </w:r>
            <w:r>
              <w:rPr>
                <w:rFonts w:hint="default" w:ascii="Arial" w:hAnsi="Arial" w:cs="Arial"/>
                <w:bCs/>
                <w:kern w:val="0"/>
                <w:sz w:val="22"/>
                <w:szCs w:val="22"/>
              </w:rPr>
              <w:fldChar w:fldCharType="separate"/>
            </w:r>
            <w:r>
              <w:rPr>
                <w:rFonts w:hint="default" w:ascii="Arial" w:hAnsi="Arial" w:cs="Arial"/>
                <w:bCs/>
                <w:kern w:val="0"/>
                <w:sz w:val="22"/>
                <w:szCs w:val="22"/>
              </w:rPr>
              <w:t>⑦</w:t>
            </w:r>
            <w:r>
              <w:rPr>
                <w:rFonts w:hint="default" w:ascii="Arial" w:hAnsi="Arial" w:cs="Arial"/>
                <w:bCs/>
                <w:kern w:val="0"/>
                <w:sz w:val="22"/>
                <w:szCs w:val="22"/>
              </w:rPr>
              <w:fldChar w:fldCharType="end"/>
            </w:r>
            <w:r>
              <w:rPr>
                <w:rFonts w:hint="default" w:ascii="Arial" w:hAnsi="Arial" w:cs="Arial"/>
                <w:bCs/>
                <w:kern w:val="0"/>
                <w:sz w:val="22"/>
                <w:szCs w:val="22"/>
              </w:rPr>
              <w:t>鼓励采用沼气池处理人畜粪便，并实施“一池三改”，推广“四位一体”等农业生态模式。</w:t>
            </w:r>
          </w:p>
        </w:tc>
      </w:tr>
      <w:tr w14:paraId="25D7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14:paraId="164C09AC">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outlineLvl w:val="3"/>
              <w:rPr>
                <w:rFonts w:hint="default" w:ascii="Arial" w:hAnsi="Arial" w:cs="Arial"/>
                <w:bCs/>
                <w:kern w:val="0"/>
                <w:sz w:val="22"/>
                <w:szCs w:val="22"/>
              </w:rPr>
            </w:pPr>
            <w:r>
              <w:rPr>
                <w:rFonts w:hint="default" w:ascii="Arial" w:hAnsi="Arial" w:cs="Arial"/>
                <w:bCs/>
                <w:kern w:val="0"/>
                <w:sz w:val="22"/>
                <w:szCs w:val="22"/>
              </w:rPr>
              <w:t>2</w:t>
            </w:r>
          </w:p>
        </w:tc>
        <w:tc>
          <w:tcPr>
            <w:tcW w:w="604" w:type="pct"/>
            <w:noWrap w:val="0"/>
            <w:vAlign w:val="center"/>
          </w:tcPr>
          <w:p w14:paraId="5A56FF04">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outlineLvl w:val="3"/>
              <w:rPr>
                <w:rFonts w:hint="default" w:ascii="Arial" w:hAnsi="Arial" w:cs="Arial"/>
                <w:bCs/>
                <w:kern w:val="0"/>
                <w:sz w:val="22"/>
                <w:szCs w:val="22"/>
              </w:rPr>
            </w:pPr>
            <w:r>
              <w:rPr>
                <w:rFonts w:hint="default" w:ascii="Arial" w:hAnsi="Arial" w:cs="Arial"/>
                <w:bCs/>
                <w:kern w:val="0"/>
                <w:sz w:val="22"/>
                <w:szCs w:val="22"/>
              </w:rPr>
              <w:t>农药使用环境安全技术导则</w:t>
            </w:r>
          </w:p>
        </w:tc>
        <w:tc>
          <w:tcPr>
            <w:tcW w:w="3953" w:type="pct"/>
            <w:noWrap w:val="0"/>
            <w:vAlign w:val="center"/>
          </w:tcPr>
          <w:p w14:paraId="3106991B">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1 \* GB3 </w:instrText>
            </w:r>
            <w:r>
              <w:rPr>
                <w:rFonts w:hint="default" w:ascii="Arial" w:hAnsi="Arial" w:cs="Arial"/>
                <w:bCs/>
                <w:kern w:val="0"/>
                <w:sz w:val="22"/>
                <w:szCs w:val="22"/>
              </w:rPr>
              <w:fldChar w:fldCharType="separate"/>
            </w:r>
            <w:r>
              <w:rPr>
                <w:rFonts w:hint="default" w:ascii="Arial" w:hAnsi="Arial" w:cs="Arial"/>
                <w:bCs/>
                <w:kern w:val="0"/>
                <w:sz w:val="22"/>
                <w:szCs w:val="22"/>
              </w:rPr>
              <w:t>①</w:t>
            </w:r>
            <w:r>
              <w:rPr>
                <w:rFonts w:hint="default" w:ascii="Arial" w:hAnsi="Arial" w:cs="Arial"/>
                <w:bCs/>
                <w:kern w:val="0"/>
                <w:sz w:val="22"/>
                <w:szCs w:val="22"/>
              </w:rPr>
              <w:fldChar w:fldCharType="end"/>
            </w:r>
            <w:r>
              <w:rPr>
                <w:rFonts w:hint="default" w:ascii="Arial" w:hAnsi="Arial" w:cs="Arial"/>
                <w:bCs/>
                <w:kern w:val="0"/>
                <w:sz w:val="22"/>
                <w:szCs w:val="22"/>
              </w:rPr>
              <w:t>根据土壤类型、作物生长特性、生态环境及气候特征，合理选择农药品种，减少农药在土壤中的残留。</w:t>
            </w:r>
          </w:p>
          <w:p w14:paraId="5CD640E6">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2 \* GB3 </w:instrText>
            </w:r>
            <w:r>
              <w:rPr>
                <w:rFonts w:hint="default" w:ascii="Arial" w:hAnsi="Arial" w:cs="Arial"/>
                <w:bCs/>
                <w:kern w:val="0"/>
                <w:sz w:val="22"/>
                <w:szCs w:val="22"/>
              </w:rPr>
              <w:fldChar w:fldCharType="separate"/>
            </w:r>
            <w:r>
              <w:rPr>
                <w:rFonts w:hint="default" w:ascii="Arial" w:hAnsi="Arial" w:cs="Arial"/>
                <w:bCs/>
                <w:kern w:val="0"/>
                <w:sz w:val="22"/>
                <w:szCs w:val="22"/>
              </w:rPr>
              <w:t>②</w:t>
            </w:r>
            <w:r>
              <w:rPr>
                <w:rFonts w:hint="default" w:ascii="Arial" w:hAnsi="Arial" w:cs="Arial"/>
                <w:bCs/>
                <w:kern w:val="0"/>
                <w:sz w:val="22"/>
                <w:szCs w:val="22"/>
              </w:rPr>
              <w:fldChar w:fldCharType="end"/>
            </w:r>
            <w:r>
              <w:rPr>
                <w:rFonts w:hint="default" w:ascii="Arial" w:hAnsi="Arial" w:cs="Arial"/>
                <w:bCs/>
                <w:kern w:val="0"/>
                <w:sz w:val="22"/>
                <w:szCs w:val="22"/>
              </w:rPr>
              <w:t>不宜使用水溶性大、难降解、易淋溶、水中持留性很稳定的农药品种。</w:t>
            </w:r>
          </w:p>
          <w:p w14:paraId="25F2D0C7">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3 \* GB3 </w:instrText>
            </w:r>
            <w:r>
              <w:rPr>
                <w:rFonts w:hint="default" w:ascii="Arial" w:hAnsi="Arial" w:cs="Arial"/>
                <w:bCs/>
                <w:kern w:val="0"/>
                <w:sz w:val="22"/>
                <w:szCs w:val="22"/>
              </w:rPr>
              <w:fldChar w:fldCharType="separate"/>
            </w:r>
            <w:r>
              <w:rPr>
                <w:rFonts w:hint="default" w:ascii="Arial" w:hAnsi="Arial" w:cs="Arial"/>
                <w:bCs/>
                <w:kern w:val="0"/>
                <w:sz w:val="22"/>
                <w:szCs w:val="22"/>
              </w:rPr>
              <w:t>③</w:t>
            </w:r>
            <w:r>
              <w:rPr>
                <w:rFonts w:hint="default" w:ascii="Arial" w:hAnsi="Arial" w:cs="Arial"/>
                <w:bCs/>
                <w:kern w:val="0"/>
                <w:sz w:val="22"/>
                <w:szCs w:val="22"/>
              </w:rPr>
              <w:fldChar w:fldCharType="end"/>
            </w:r>
            <w:r>
              <w:rPr>
                <w:rFonts w:hint="default" w:ascii="Arial" w:hAnsi="Arial" w:cs="Arial"/>
                <w:bCs/>
                <w:kern w:val="0"/>
                <w:sz w:val="22"/>
                <w:szCs w:val="22"/>
              </w:rPr>
              <w:t>不宜使用易移动、难吸附、水中持留性很稳定的农药品种。</w:t>
            </w:r>
          </w:p>
          <w:p w14:paraId="7454BEFA">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④避免在小溪、河流或池塘等水源中清洗施药器械；清洗过施药器械的水禁止倾倒入饮用水水源。</w:t>
            </w:r>
          </w:p>
        </w:tc>
      </w:tr>
      <w:tr w14:paraId="7FC3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noWrap w:val="0"/>
            <w:vAlign w:val="center"/>
          </w:tcPr>
          <w:p w14:paraId="2B11E980">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outlineLvl w:val="3"/>
              <w:rPr>
                <w:rFonts w:hint="default" w:ascii="Arial" w:hAnsi="Arial" w:cs="Arial"/>
                <w:bCs/>
                <w:kern w:val="0"/>
                <w:sz w:val="22"/>
                <w:szCs w:val="22"/>
              </w:rPr>
            </w:pPr>
            <w:r>
              <w:rPr>
                <w:rFonts w:hint="default" w:ascii="Arial" w:hAnsi="Arial" w:cs="Arial"/>
                <w:bCs/>
                <w:kern w:val="0"/>
                <w:sz w:val="22"/>
                <w:szCs w:val="22"/>
              </w:rPr>
              <w:t>3</w:t>
            </w:r>
          </w:p>
        </w:tc>
        <w:tc>
          <w:tcPr>
            <w:tcW w:w="604" w:type="pct"/>
            <w:noWrap w:val="0"/>
            <w:vAlign w:val="center"/>
          </w:tcPr>
          <w:p w14:paraId="56E02C11">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outlineLvl w:val="3"/>
              <w:rPr>
                <w:rFonts w:hint="default" w:ascii="Arial" w:hAnsi="Arial" w:cs="Arial"/>
                <w:bCs/>
                <w:kern w:val="0"/>
                <w:sz w:val="22"/>
                <w:szCs w:val="22"/>
              </w:rPr>
            </w:pPr>
            <w:r>
              <w:rPr>
                <w:rFonts w:hint="default" w:ascii="Arial" w:hAnsi="Arial" w:cs="Arial"/>
                <w:bCs/>
                <w:kern w:val="0"/>
                <w:sz w:val="22"/>
                <w:szCs w:val="22"/>
              </w:rPr>
              <w:t>化肥使用环境安全技术导则</w:t>
            </w:r>
          </w:p>
        </w:tc>
        <w:tc>
          <w:tcPr>
            <w:tcW w:w="3953" w:type="pct"/>
            <w:noWrap w:val="0"/>
            <w:vAlign w:val="center"/>
          </w:tcPr>
          <w:p w14:paraId="20E1BD75">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1 \* GB3 </w:instrText>
            </w:r>
            <w:r>
              <w:rPr>
                <w:rFonts w:hint="default" w:ascii="Arial" w:hAnsi="Arial" w:cs="Arial"/>
                <w:bCs/>
                <w:kern w:val="0"/>
                <w:sz w:val="22"/>
                <w:szCs w:val="22"/>
              </w:rPr>
              <w:fldChar w:fldCharType="separate"/>
            </w:r>
            <w:r>
              <w:rPr>
                <w:rFonts w:hint="default" w:ascii="Arial" w:hAnsi="Arial" w:cs="Arial"/>
                <w:bCs/>
                <w:kern w:val="0"/>
                <w:sz w:val="22"/>
                <w:szCs w:val="22"/>
              </w:rPr>
              <w:t>①</w:t>
            </w:r>
            <w:r>
              <w:rPr>
                <w:rFonts w:hint="default" w:ascii="Arial" w:hAnsi="Arial" w:cs="Arial"/>
                <w:bCs/>
                <w:kern w:val="0"/>
                <w:sz w:val="22"/>
                <w:szCs w:val="22"/>
              </w:rPr>
              <w:fldChar w:fldCharType="end"/>
            </w:r>
            <w:r>
              <w:rPr>
                <w:rFonts w:hint="default" w:ascii="Arial" w:hAnsi="Arial" w:cs="Arial"/>
                <w:bCs/>
                <w:kern w:val="0"/>
                <w:sz w:val="22"/>
                <w:szCs w:val="22"/>
              </w:rPr>
              <w:t>源头控制技术措施</w:t>
            </w:r>
          </w:p>
          <w:p w14:paraId="17286B84">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A、化肥品种选择。根据土壤供肥性能、作物营养特性、肥料特性及生态环境特点，合理选择化肥品种。适当增加有机肥料使用比例，提倡配方施肥，施用复合（混）肥料、缓效肥料。</w:t>
            </w:r>
          </w:p>
          <w:p w14:paraId="087CEAF8">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B、化肥用量控制。综合考虑作物种类、产量目标、土壤养分状况、其他养分输入方式、环境敏感程度，确定施肥量。靠近饮用水水源保护区土地要尽量少施或不施化肥。</w:t>
            </w:r>
          </w:p>
          <w:p w14:paraId="439D16CB">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 xml:space="preserve">C、化肥施用方法。化肥尽量施在作物根系吸收区，以提高化肥利用率，减少流失。 </w:t>
            </w:r>
          </w:p>
          <w:p w14:paraId="6F5DE27A">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2 \* GB3 </w:instrText>
            </w:r>
            <w:r>
              <w:rPr>
                <w:rFonts w:hint="default" w:ascii="Arial" w:hAnsi="Arial" w:cs="Arial"/>
                <w:bCs/>
                <w:kern w:val="0"/>
                <w:sz w:val="22"/>
                <w:szCs w:val="22"/>
              </w:rPr>
              <w:fldChar w:fldCharType="separate"/>
            </w:r>
            <w:r>
              <w:rPr>
                <w:rFonts w:hint="default" w:ascii="Arial" w:hAnsi="Arial" w:cs="Arial"/>
                <w:bCs/>
                <w:kern w:val="0"/>
                <w:sz w:val="22"/>
                <w:szCs w:val="22"/>
              </w:rPr>
              <w:t>②</w:t>
            </w:r>
            <w:r>
              <w:rPr>
                <w:rFonts w:hint="default" w:ascii="Arial" w:hAnsi="Arial" w:cs="Arial"/>
                <w:bCs/>
                <w:kern w:val="0"/>
                <w:sz w:val="22"/>
                <w:szCs w:val="22"/>
              </w:rPr>
              <w:fldChar w:fldCharType="end"/>
            </w:r>
            <w:r>
              <w:rPr>
                <w:rFonts w:hint="default" w:ascii="Arial" w:hAnsi="Arial" w:cs="Arial"/>
                <w:bCs/>
                <w:kern w:val="0"/>
                <w:sz w:val="22"/>
                <w:szCs w:val="22"/>
              </w:rPr>
              <w:t xml:space="preserve">减少化肥流失的措施 </w:t>
            </w:r>
          </w:p>
          <w:p w14:paraId="00635454">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A、采用合理的耕作方式。在坡度较大地区，易发生化肥径流流失，应采取保护耕作（免耕或少耕）以减少对土壤的扰动，还可利用秸秆还田减少径流流失。</w:t>
            </w:r>
          </w:p>
          <w:p w14:paraId="3100907D">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B、采用合理的灌溉方式。对旱作提倡采用滴灌、喷灌等先进灌溉方式，尽</w:t>
            </w:r>
          </w:p>
          <w:p w14:paraId="0FA8798C">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量减少大水漫灌；对水田要加强田间水管理，尽量减少农田水的排放。</w:t>
            </w:r>
          </w:p>
          <w:p w14:paraId="51E533CB">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C、采用适宜的轮作制度。适宜的轮作制度可提高化肥的利用率，减少流失。</w:t>
            </w:r>
          </w:p>
          <w:p w14:paraId="067A850E">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D、可利用田间渠道、靠近农田的水塘和沟渠等暂时接纳富营养的农田排水，灌溉时再使用，实现循环利用。</w:t>
            </w:r>
          </w:p>
          <w:p w14:paraId="20579E11">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E、在农田和受保护的水体之间，应利用自然生态系统建立缓冲带，或在河滨、湖滨人工设置保护带以拦截过滤从农田流出的养分，提高营养物质的净化能力，防止养分流入周围河流、湖泊和水库等水体。</w:t>
            </w:r>
          </w:p>
          <w:p w14:paraId="07399A9B">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fldChar w:fldCharType="begin"/>
            </w:r>
            <w:r>
              <w:rPr>
                <w:rFonts w:hint="default" w:ascii="Arial" w:hAnsi="Arial" w:cs="Arial"/>
                <w:bCs/>
                <w:kern w:val="0"/>
                <w:sz w:val="22"/>
                <w:szCs w:val="22"/>
              </w:rPr>
              <w:instrText xml:space="preserve"> = 3 \* GB3 </w:instrText>
            </w:r>
            <w:r>
              <w:rPr>
                <w:rFonts w:hint="default" w:ascii="Arial" w:hAnsi="Arial" w:cs="Arial"/>
                <w:bCs/>
                <w:kern w:val="0"/>
                <w:sz w:val="22"/>
                <w:szCs w:val="22"/>
              </w:rPr>
              <w:fldChar w:fldCharType="separate"/>
            </w:r>
            <w:r>
              <w:rPr>
                <w:rFonts w:hint="default" w:ascii="Arial" w:hAnsi="Arial" w:cs="Arial"/>
                <w:bCs/>
                <w:kern w:val="0"/>
                <w:sz w:val="22"/>
                <w:szCs w:val="22"/>
              </w:rPr>
              <w:t>③</w:t>
            </w:r>
            <w:r>
              <w:rPr>
                <w:rFonts w:hint="default" w:ascii="Arial" w:hAnsi="Arial" w:cs="Arial"/>
                <w:bCs/>
                <w:kern w:val="0"/>
                <w:sz w:val="22"/>
                <w:szCs w:val="22"/>
              </w:rPr>
              <w:fldChar w:fldCharType="end"/>
            </w:r>
            <w:r>
              <w:rPr>
                <w:rFonts w:hint="default" w:ascii="Arial" w:hAnsi="Arial" w:cs="Arial"/>
                <w:bCs/>
                <w:kern w:val="0"/>
                <w:sz w:val="22"/>
                <w:szCs w:val="22"/>
              </w:rPr>
              <w:t xml:space="preserve">化肥环境安全使用管理措施 </w:t>
            </w:r>
          </w:p>
          <w:p w14:paraId="76541C4D">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A、按照清洁生产的原则和循环经济的理念，鼓励农民从事生态农业生产方式，积极促进有机农业的发展，推广农业废弃物无害化、资源化综合利用。</w:t>
            </w:r>
          </w:p>
          <w:p w14:paraId="2816CF6B">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B、基于风险管理的思路，鼓励将高化肥投入的产业（如蔬菜生产）转移到面源污染风险较低的地区。</w:t>
            </w:r>
          </w:p>
          <w:p w14:paraId="0C121B72">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C、探索建立环境经济补偿制度，对因不施或少施化肥造成经济收入损失的种植业主实行经济补偿。</w:t>
            </w:r>
          </w:p>
          <w:p w14:paraId="0816D7AE">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 xml:space="preserve">D、鼓励化肥减量化使用技术、农田流失养分的生态拦截技术的研发与工程应用。加强农业生产区域的环境监测，及时掌握农田化肥流失后的环境影响。 </w:t>
            </w:r>
          </w:p>
          <w:p w14:paraId="475DD924">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E、结合生态县的建设，探索实行区域化肥使用总量控制。</w:t>
            </w:r>
          </w:p>
          <w:p w14:paraId="4104D2DE">
            <w:pPr>
              <w:keepNext w:val="0"/>
              <w:keepLines w:val="0"/>
              <w:pageBreakBefore w:val="0"/>
              <w:widowControl w:val="0"/>
              <w:kinsoku/>
              <w:wordWrap/>
              <w:overflowPunct/>
              <w:topLinePunct w:val="0"/>
              <w:autoSpaceDE w:val="0"/>
              <w:autoSpaceDN w:val="0"/>
              <w:bidi w:val="0"/>
              <w:adjustRightInd w:val="0"/>
              <w:snapToGrid/>
              <w:spacing w:line="300" w:lineRule="exact"/>
              <w:textAlignment w:val="auto"/>
              <w:outlineLvl w:val="3"/>
              <w:rPr>
                <w:rFonts w:hint="default" w:ascii="Arial" w:hAnsi="Arial" w:cs="Arial"/>
                <w:bCs/>
                <w:kern w:val="0"/>
                <w:sz w:val="22"/>
                <w:szCs w:val="22"/>
              </w:rPr>
            </w:pPr>
            <w:r>
              <w:rPr>
                <w:rFonts w:hint="default" w:ascii="Arial" w:hAnsi="Arial" w:cs="Arial"/>
                <w:bCs/>
                <w:kern w:val="0"/>
                <w:sz w:val="22"/>
                <w:szCs w:val="22"/>
              </w:rPr>
              <w:t>F、加强宣传教育和科普推广，充分发挥农业技术推广服务机构的职能，提高公众对不合理使用化肥所产生危害的认识。</w:t>
            </w:r>
          </w:p>
        </w:tc>
      </w:tr>
    </w:tbl>
    <w:p w14:paraId="7DCF3AC5">
      <w:pPr>
        <w:keepNext w:val="0"/>
        <w:keepLines w:val="0"/>
        <w:pageBreakBefore w:val="0"/>
        <w:widowControl w:val="0"/>
        <w:kinsoku/>
        <w:wordWrap/>
        <w:overflowPunct/>
        <w:topLinePunct w:val="0"/>
        <w:autoSpaceDE w:val="0"/>
        <w:autoSpaceDN w:val="0"/>
        <w:bidi w:val="0"/>
        <w:adjustRightInd w:val="0"/>
        <w:snapToGrid/>
        <w:spacing w:line="240" w:lineRule="exact"/>
        <w:ind w:firstLine="480" w:firstLineChars="200"/>
        <w:textAlignment w:val="auto"/>
        <w:rPr>
          <w:rFonts w:hint="eastAsia"/>
          <w:bCs/>
          <w:kern w:val="0"/>
          <w:sz w:val="24"/>
        </w:rPr>
      </w:pPr>
    </w:p>
    <w:p w14:paraId="267C4647">
      <w:pPr>
        <w:pStyle w:val="101"/>
        <w:keepNext w:val="0"/>
        <w:keepLines w:val="0"/>
        <w:pageBreakBefore w:val="0"/>
        <w:widowControl w:val="0"/>
        <w:kinsoku/>
        <w:wordWrap/>
        <w:overflowPunct/>
        <w:topLinePunct w:val="0"/>
        <w:autoSpaceDE w:val="0"/>
        <w:autoSpaceDN w:val="0"/>
        <w:bidi w:val="0"/>
        <w:adjustRightInd w:val="0"/>
        <w:snapToGrid/>
        <w:spacing w:line="460" w:lineRule="exact"/>
        <w:ind w:firstLine="522" w:firstLineChars="200"/>
        <w:jc w:val="both"/>
        <w:textAlignment w:val="auto"/>
        <w:rPr>
          <w:rFonts w:hint="default" w:ascii="Arial" w:hAnsi="Arial" w:eastAsia="宋体" w:cs="Arial"/>
          <w:b/>
          <w:color w:val="auto"/>
          <w:kern w:val="0"/>
          <w:sz w:val="26"/>
          <w:szCs w:val="26"/>
          <w:lang w:val="en-US" w:eastAsia="zh-CN" w:bidi="ar-SA"/>
        </w:rPr>
      </w:pPr>
      <w:r>
        <w:rPr>
          <w:rFonts w:hint="eastAsia" w:ascii="Arial" w:hAnsi="Arial" w:eastAsia="宋体" w:cs="Arial"/>
          <w:b/>
          <w:color w:val="auto"/>
          <w:kern w:val="0"/>
          <w:sz w:val="26"/>
          <w:szCs w:val="26"/>
          <w:lang w:val="en-US" w:eastAsia="zh-CN" w:bidi="ar-SA"/>
        </w:rPr>
        <w:t>6.7.3应急措施及预案</w:t>
      </w:r>
    </w:p>
    <w:p w14:paraId="11DB3098">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为预防风险事件对供水安全的影响，按照《突发环境事件应急管理办法》（环境保护部令2015年第34号）、《关于切实加强风险防范严格环境影响评价管理的通知》（环发</w:t>
      </w:r>
      <w:r>
        <w:rPr>
          <w:rFonts w:hint="eastAsia" w:ascii="宋体" w:hAnsi="宋体" w:eastAsia="宋体" w:cs="宋体"/>
          <w:bCs/>
          <w:kern w:val="0"/>
          <w:sz w:val="26"/>
          <w:szCs w:val="26"/>
        </w:rPr>
        <w:t>〔</w:t>
      </w:r>
      <w:r>
        <w:rPr>
          <w:rFonts w:hint="default" w:ascii="Arial" w:hAnsi="Arial" w:cs="Arial"/>
          <w:bCs/>
          <w:kern w:val="0"/>
          <w:sz w:val="26"/>
          <w:szCs w:val="26"/>
        </w:rPr>
        <w:t>2012</w:t>
      </w:r>
      <w:r>
        <w:rPr>
          <w:rFonts w:hint="eastAsia" w:ascii="宋体" w:hAnsi="宋体" w:eastAsia="宋体" w:cs="宋体"/>
          <w:bCs/>
          <w:kern w:val="0"/>
          <w:sz w:val="26"/>
          <w:szCs w:val="26"/>
        </w:rPr>
        <w:t>〕</w:t>
      </w:r>
      <w:r>
        <w:rPr>
          <w:rFonts w:hint="default" w:ascii="Arial" w:hAnsi="Arial" w:cs="Arial"/>
          <w:bCs/>
          <w:kern w:val="0"/>
          <w:sz w:val="26"/>
          <w:szCs w:val="26"/>
        </w:rPr>
        <w:t>98号）要求，企业事业单位应当按照相关法律法规和标准规范的要求，履行下列义务：</w:t>
      </w:r>
      <w:r>
        <w:rPr>
          <w:rFonts w:hint="eastAsia" w:ascii="Arial" w:hAnsi="Arial" w:cs="Arial"/>
          <w:bCs/>
          <w:kern w:val="0"/>
          <w:sz w:val="26"/>
          <w:szCs w:val="26"/>
          <w:lang w:eastAsia="zh-CN"/>
        </w:rPr>
        <w:t>（</w:t>
      </w:r>
      <w:r>
        <w:rPr>
          <w:rFonts w:hint="default" w:ascii="Arial" w:hAnsi="Arial" w:cs="Arial"/>
          <w:bCs/>
          <w:kern w:val="0"/>
          <w:sz w:val="26"/>
          <w:szCs w:val="26"/>
        </w:rPr>
        <w:t>一</w:t>
      </w:r>
      <w:r>
        <w:rPr>
          <w:rFonts w:hint="eastAsia" w:ascii="Arial" w:hAnsi="Arial" w:cs="Arial"/>
          <w:bCs/>
          <w:kern w:val="0"/>
          <w:sz w:val="26"/>
          <w:szCs w:val="26"/>
          <w:lang w:eastAsia="zh-CN"/>
        </w:rPr>
        <w:t>）</w:t>
      </w:r>
      <w:r>
        <w:rPr>
          <w:rFonts w:hint="default" w:ascii="Arial" w:hAnsi="Arial" w:cs="Arial"/>
          <w:bCs/>
          <w:kern w:val="0"/>
          <w:sz w:val="26"/>
          <w:szCs w:val="26"/>
        </w:rPr>
        <w:t>开展突发环境事件风险评估；</w:t>
      </w:r>
      <w:r>
        <w:rPr>
          <w:rFonts w:hint="eastAsia" w:ascii="Arial" w:hAnsi="Arial" w:cs="Arial"/>
          <w:bCs/>
          <w:kern w:val="0"/>
          <w:sz w:val="26"/>
          <w:szCs w:val="26"/>
          <w:lang w:eastAsia="zh-CN"/>
        </w:rPr>
        <w:t>（</w:t>
      </w:r>
      <w:r>
        <w:rPr>
          <w:rFonts w:hint="default" w:ascii="Arial" w:hAnsi="Arial" w:cs="Arial"/>
          <w:bCs/>
          <w:kern w:val="0"/>
          <w:sz w:val="26"/>
          <w:szCs w:val="26"/>
        </w:rPr>
        <w:t>二</w:t>
      </w:r>
      <w:r>
        <w:rPr>
          <w:rFonts w:hint="eastAsia" w:ascii="Arial" w:hAnsi="Arial" w:cs="Arial"/>
          <w:bCs/>
          <w:kern w:val="0"/>
          <w:sz w:val="26"/>
          <w:szCs w:val="26"/>
          <w:lang w:eastAsia="zh-CN"/>
        </w:rPr>
        <w:t>）</w:t>
      </w:r>
      <w:r>
        <w:rPr>
          <w:rFonts w:hint="default" w:ascii="Arial" w:hAnsi="Arial" w:cs="Arial"/>
          <w:bCs/>
          <w:kern w:val="0"/>
          <w:sz w:val="26"/>
          <w:szCs w:val="26"/>
        </w:rPr>
        <w:t>完善突发环境事件风险防控措施；</w:t>
      </w:r>
      <w:r>
        <w:rPr>
          <w:rFonts w:hint="eastAsia" w:ascii="Arial" w:hAnsi="Arial" w:cs="Arial"/>
          <w:bCs/>
          <w:kern w:val="0"/>
          <w:sz w:val="26"/>
          <w:szCs w:val="26"/>
          <w:lang w:eastAsia="zh-CN"/>
        </w:rPr>
        <w:t>（</w:t>
      </w:r>
      <w:r>
        <w:rPr>
          <w:rFonts w:hint="default" w:ascii="Arial" w:hAnsi="Arial" w:cs="Arial"/>
          <w:bCs/>
          <w:kern w:val="0"/>
          <w:sz w:val="26"/>
          <w:szCs w:val="26"/>
        </w:rPr>
        <w:t>三</w:t>
      </w:r>
      <w:r>
        <w:rPr>
          <w:rFonts w:hint="eastAsia" w:ascii="Arial" w:hAnsi="Arial" w:cs="Arial"/>
          <w:bCs/>
          <w:kern w:val="0"/>
          <w:sz w:val="26"/>
          <w:szCs w:val="26"/>
          <w:lang w:eastAsia="zh-CN"/>
        </w:rPr>
        <w:t>）</w:t>
      </w:r>
      <w:r>
        <w:rPr>
          <w:rFonts w:hint="default" w:ascii="Arial" w:hAnsi="Arial" w:cs="Arial"/>
          <w:bCs/>
          <w:kern w:val="0"/>
          <w:sz w:val="26"/>
          <w:szCs w:val="26"/>
        </w:rPr>
        <w:t>排查治理环境安全隐患；</w:t>
      </w:r>
      <w:r>
        <w:rPr>
          <w:rFonts w:hint="eastAsia" w:ascii="Arial" w:hAnsi="Arial" w:cs="Arial"/>
          <w:bCs/>
          <w:kern w:val="0"/>
          <w:sz w:val="26"/>
          <w:szCs w:val="26"/>
          <w:lang w:eastAsia="zh-CN"/>
        </w:rPr>
        <w:t>（</w:t>
      </w:r>
      <w:r>
        <w:rPr>
          <w:rFonts w:hint="default" w:ascii="Arial" w:hAnsi="Arial" w:cs="Arial"/>
          <w:bCs/>
          <w:kern w:val="0"/>
          <w:sz w:val="26"/>
          <w:szCs w:val="26"/>
        </w:rPr>
        <w:t>四</w:t>
      </w:r>
      <w:r>
        <w:rPr>
          <w:rFonts w:hint="eastAsia" w:ascii="Arial" w:hAnsi="Arial" w:cs="Arial"/>
          <w:bCs/>
          <w:kern w:val="0"/>
          <w:sz w:val="26"/>
          <w:szCs w:val="26"/>
          <w:lang w:eastAsia="zh-CN"/>
        </w:rPr>
        <w:t>）</w:t>
      </w:r>
      <w:r>
        <w:rPr>
          <w:rFonts w:hint="default" w:ascii="Arial" w:hAnsi="Arial" w:cs="Arial"/>
          <w:bCs/>
          <w:kern w:val="0"/>
          <w:sz w:val="26"/>
          <w:szCs w:val="26"/>
        </w:rPr>
        <w:t>制定突发环境事件应急预案并备案、演练；</w:t>
      </w:r>
      <w:r>
        <w:rPr>
          <w:rFonts w:hint="eastAsia" w:ascii="Arial" w:hAnsi="Arial" w:cs="Arial"/>
          <w:bCs/>
          <w:kern w:val="0"/>
          <w:sz w:val="26"/>
          <w:szCs w:val="26"/>
          <w:lang w:eastAsia="zh-CN"/>
        </w:rPr>
        <w:t>（</w:t>
      </w:r>
      <w:r>
        <w:rPr>
          <w:rFonts w:hint="default" w:ascii="Arial" w:hAnsi="Arial" w:cs="Arial"/>
          <w:bCs/>
          <w:kern w:val="0"/>
          <w:sz w:val="26"/>
          <w:szCs w:val="26"/>
        </w:rPr>
        <w:t>五</w:t>
      </w:r>
      <w:r>
        <w:rPr>
          <w:rFonts w:hint="eastAsia" w:ascii="Arial" w:hAnsi="Arial" w:cs="Arial"/>
          <w:bCs/>
          <w:kern w:val="0"/>
          <w:sz w:val="26"/>
          <w:szCs w:val="26"/>
          <w:lang w:eastAsia="zh-CN"/>
        </w:rPr>
        <w:t>）</w:t>
      </w:r>
      <w:r>
        <w:rPr>
          <w:rFonts w:hint="default" w:ascii="Arial" w:hAnsi="Arial" w:cs="Arial"/>
          <w:bCs/>
          <w:kern w:val="0"/>
          <w:sz w:val="26"/>
          <w:szCs w:val="26"/>
        </w:rPr>
        <w:t>加强环境应急能力保障建设。</w:t>
      </w:r>
    </w:p>
    <w:p w14:paraId="31E02327">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根据《集中式地表饮用水水源地环境应急管理工作指南（试行）》</w:t>
      </w:r>
      <w:r>
        <w:rPr>
          <w:rFonts w:hint="eastAsia" w:ascii="Arial" w:hAnsi="Arial" w:cs="Arial"/>
          <w:bCs/>
          <w:kern w:val="0"/>
          <w:sz w:val="26"/>
          <w:szCs w:val="26"/>
          <w:lang w:eastAsia="zh-CN"/>
        </w:rPr>
        <w:t>（</w:t>
      </w:r>
      <w:r>
        <w:rPr>
          <w:rFonts w:hint="default" w:ascii="Arial" w:hAnsi="Arial" w:cs="Arial"/>
          <w:bCs/>
          <w:kern w:val="0"/>
          <w:sz w:val="26"/>
          <w:szCs w:val="26"/>
        </w:rPr>
        <w:t>环办</w:t>
      </w:r>
      <w:r>
        <w:rPr>
          <w:rFonts w:hint="eastAsia" w:ascii="宋体" w:hAnsi="宋体" w:eastAsia="宋体" w:cs="宋体"/>
          <w:bCs/>
          <w:kern w:val="0"/>
          <w:sz w:val="26"/>
          <w:szCs w:val="26"/>
        </w:rPr>
        <w:t>〔</w:t>
      </w:r>
      <w:r>
        <w:rPr>
          <w:rFonts w:hint="default" w:ascii="Arial" w:hAnsi="Arial" w:cs="Arial"/>
          <w:bCs/>
          <w:kern w:val="0"/>
          <w:sz w:val="26"/>
          <w:szCs w:val="26"/>
        </w:rPr>
        <w:t>2011</w:t>
      </w:r>
      <w:r>
        <w:rPr>
          <w:rFonts w:hint="eastAsia" w:ascii="宋体" w:hAnsi="宋体" w:eastAsia="宋体" w:cs="宋体"/>
          <w:bCs/>
          <w:kern w:val="0"/>
          <w:sz w:val="26"/>
          <w:szCs w:val="26"/>
        </w:rPr>
        <w:t>〕</w:t>
      </w:r>
      <w:r>
        <w:rPr>
          <w:rFonts w:hint="default" w:ascii="Arial" w:hAnsi="Arial" w:cs="Arial"/>
          <w:bCs/>
          <w:kern w:val="0"/>
          <w:sz w:val="26"/>
          <w:szCs w:val="26"/>
        </w:rPr>
        <w:t>93号</w:t>
      </w:r>
      <w:r>
        <w:rPr>
          <w:rFonts w:hint="eastAsia" w:ascii="Arial" w:hAnsi="Arial" w:cs="Arial"/>
          <w:bCs/>
          <w:kern w:val="0"/>
          <w:sz w:val="26"/>
          <w:szCs w:val="26"/>
          <w:lang w:eastAsia="zh-CN"/>
        </w:rPr>
        <w:t>）</w:t>
      </w:r>
      <w:r>
        <w:rPr>
          <w:rFonts w:hint="default" w:ascii="Arial" w:hAnsi="Arial" w:cs="Arial"/>
          <w:bCs/>
          <w:kern w:val="0"/>
          <w:sz w:val="26"/>
          <w:szCs w:val="26"/>
        </w:rPr>
        <w:t>，项目应设置水源水质保护应急预案，应急预案内容应包括：</w:t>
      </w:r>
    </w:p>
    <w:p w14:paraId="0E7FAB9A">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①环境风险防范，包括水源地外的风险防范、连接水体的风险防范、水源地的风险防范、特殊时期的风险防范等。</w:t>
      </w:r>
    </w:p>
    <w:p w14:paraId="120991B6">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②水源地预警体系建设，包括预警系统建设、信息研判、预警公告等。</w:t>
      </w:r>
    </w:p>
    <w:p w14:paraId="6B0F09BA">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③环境应急准备，包括预案体系建设、指挥系统建设、联动机制建设、能力保障等。</w:t>
      </w:r>
    </w:p>
    <w:p w14:paraId="6E74493F">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④环境应急响应，包括责任单位的应急响应与处置、环保部门的应急响应（指挥、监测、处置、信息发布、应急终止等）。</w:t>
      </w:r>
    </w:p>
    <w:p w14:paraId="63F811D5">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⑤事后管理，包括事件总结、原因调查与追责、事件评估、措施改进。</w:t>
      </w:r>
    </w:p>
    <w:p w14:paraId="52AA5550">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根据同类型的水库制定的应急预案，采取的监控和应急措施包括：</w:t>
      </w:r>
    </w:p>
    <w:p w14:paraId="3CB31DE0">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①设立水源水质自动监测点，对突发污染事件或累积性污染事件进行长期监测与报警。同时，水源水质自动监测的数据，既可为水厂制水提供季节性和时段性的参考，又可为深度处理的实施提供有力的依据。</w:t>
      </w:r>
    </w:p>
    <w:p w14:paraId="6AA6922B">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②在水源地边界应设置明显的水源保护标识。</w:t>
      </w:r>
    </w:p>
    <w:p w14:paraId="02FC8B09">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③发生一般污染风险事故时，立即督促供水企业采取停水、减压供水、改路供水，启用备用水源；迅速采取有效措施，降低污染物浓度和影响程度，关闭相应的闸口，将受污染水体疏导排放至安全区域，并通知沿途居民停止取水、用水；必要时通知下游水厂停止供水或采取保护措施。</w:t>
      </w:r>
    </w:p>
    <w:p w14:paraId="3568D1E4">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Arial" w:hAnsi="Arial" w:cs="Arial"/>
          <w:bCs/>
          <w:kern w:val="0"/>
          <w:sz w:val="26"/>
          <w:szCs w:val="26"/>
        </w:rPr>
      </w:pPr>
      <w:r>
        <w:rPr>
          <w:rFonts w:hint="default" w:ascii="Arial" w:hAnsi="Arial" w:cs="Arial"/>
          <w:bCs/>
          <w:kern w:val="0"/>
          <w:sz w:val="26"/>
          <w:szCs w:val="26"/>
        </w:rPr>
        <w:t>④如是危险品事故，在第③条的基础上，公安部门实施交通管制、疏散人群、保护高危人群等措施，保护公众生命安全与身体健康。公安交警部门迅速处置事故车辆，向有关部门报告事故情况，并协助做好危险化学品的收储工作，防止污染进一步蔓延；公安消防部门迅速处置因危险化学品污染事故引发的火灾，参加有关危险化学品的处置工作。环保部门按照其预先制定的应急预案，迅速采取有效措施，消除污染源，开展应急现场监测工作，跟踪水质变化情况。</w:t>
      </w:r>
    </w:p>
    <w:p w14:paraId="029FA374">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default" w:ascii="Arial" w:hAnsi="Arial" w:cs="Arial"/>
          <w:kern w:val="0"/>
          <w:sz w:val="26"/>
          <w:szCs w:val="26"/>
          <w:lang w:val="en-US"/>
        </w:rPr>
      </w:pPr>
      <w:r>
        <w:rPr>
          <w:rFonts w:hint="default" w:ascii="Arial" w:hAnsi="Arial" w:eastAsia="宋体" w:cs="Arial"/>
          <w:b/>
          <w:bCs/>
          <w:color w:val="000000"/>
          <w:kern w:val="0"/>
          <w:sz w:val="26"/>
          <w:szCs w:val="26"/>
          <w:lang w:val="en-US" w:eastAsia="zh-CN"/>
        </w:rPr>
        <w:t>6.</w:t>
      </w:r>
      <w:r>
        <w:rPr>
          <w:rFonts w:hint="eastAsia" w:ascii="Arial" w:hAnsi="Arial" w:eastAsia="宋体" w:cs="Arial"/>
          <w:b/>
          <w:bCs/>
          <w:color w:val="000000"/>
          <w:kern w:val="0"/>
          <w:sz w:val="26"/>
          <w:szCs w:val="26"/>
          <w:lang w:val="en-US" w:eastAsia="zh-CN"/>
        </w:rPr>
        <w:t>8自查表</w:t>
      </w:r>
    </w:p>
    <w:p w14:paraId="671D3784">
      <w:pPr>
        <w:spacing w:line="440" w:lineRule="exact"/>
        <w:ind w:firstLine="520" w:firstLineChars="200"/>
        <w:rPr>
          <w:rFonts w:hint="eastAsia" w:ascii="Arial" w:hAnsi="Arial" w:cs="Arial"/>
          <w:color w:val="auto"/>
          <w:kern w:val="0"/>
          <w:sz w:val="26"/>
          <w:szCs w:val="26"/>
          <w:highlight w:val="none"/>
          <w:lang w:val="en-US" w:eastAsia="zh-CN"/>
        </w:rPr>
      </w:pPr>
      <w:r>
        <w:rPr>
          <w:rFonts w:hint="eastAsia" w:ascii="Arial" w:hAnsi="Arial" w:cs="Arial"/>
          <w:color w:val="auto"/>
          <w:kern w:val="0"/>
          <w:sz w:val="26"/>
          <w:szCs w:val="26"/>
          <w:highlight w:val="none"/>
          <w:lang w:val="en-US" w:eastAsia="zh-CN"/>
        </w:rPr>
        <w:t>本项目生态环境、地表水环境影响自查表分别详见表6.8-1、6.8-2所示。</w:t>
      </w:r>
    </w:p>
    <w:p w14:paraId="60D3E194">
      <w:pPr>
        <w:pStyle w:val="1085"/>
        <w:keepNext w:val="0"/>
        <w:keepLines w:val="0"/>
        <w:pageBreakBefore w:val="0"/>
        <w:widowControl w:val="0"/>
        <w:kinsoku/>
        <w:wordWrap/>
        <w:overflowPunct/>
        <w:topLinePunct w:val="0"/>
        <w:autoSpaceDE/>
        <w:autoSpaceDN/>
        <w:bidi w:val="0"/>
        <w:adjustRightInd/>
        <w:snapToGrid w:val="0"/>
        <w:spacing w:line="460" w:lineRule="exact"/>
        <w:textAlignment w:val="auto"/>
        <w:rPr>
          <w:rFonts w:hint="default" w:ascii="Arial" w:hAnsi="Arial" w:cs="Arial"/>
          <w:sz w:val="26"/>
          <w:szCs w:val="26"/>
          <w:highlight w:val="none"/>
        </w:rPr>
      </w:pPr>
    </w:p>
    <w:p w14:paraId="0123B47C">
      <w:pPr>
        <w:pStyle w:val="1085"/>
        <w:keepNext w:val="0"/>
        <w:keepLines w:val="0"/>
        <w:pageBreakBefore w:val="0"/>
        <w:widowControl w:val="0"/>
        <w:kinsoku/>
        <w:wordWrap/>
        <w:overflowPunct/>
        <w:topLinePunct w:val="0"/>
        <w:autoSpaceDE/>
        <w:autoSpaceDN/>
        <w:bidi w:val="0"/>
        <w:adjustRightInd/>
        <w:snapToGrid w:val="0"/>
        <w:spacing w:line="460" w:lineRule="exact"/>
        <w:textAlignment w:val="auto"/>
        <w:rPr>
          <w:rFonts w:hint="default" w:ascii="Arial" w:hAnsi="Arial" w:cs="Arial"/>
          <w:sz w:val="26"/>
          <w:szCs w:val="26"/>
          <w:highlight w:val="none"/>
        </w:rPr>
      </w:pPr>
      <w:r>
        <w:rPr>
          <w:rFonts w:hint="default" w:ascii="Arial" w:hAnsi="Arial" w:cs="Arial"/>
          <w:sz w:val="26"/>
          <w:szCs w:val="26"/>
          <w:highlight w:val="none"/>
        </w:rPr>
        <w:t>表6.</w:t>
      </w:r>
      <w:r>
        <w:rPr>
          <w:rFonts w:hint="eastAsia" w:ascii="Arial" w:hAnsi="Arial" w:cs="Arial"/>
          <w:sz w:val="26"/>
          <w:szCs w:val="26"/>
          <w:highlight w:val="none"/>
          <w:lang w:val="en-US" w:eastAsia="zh-CN"/>
        </w:rPr>
        <w:t>8</w:t>
      </w:r>
      <w:r>
        <w:rPr>
          <w:rFonts w:hint="default" w:ascii="Arial" w:hAnsi="Arial" w:cs="Arial"/>
          <w:sz w:val="26"/>
          <w:szCs w:val="26"/>
          <w:highlight w:val="none"/>
          <w:lang w:val="en-US" w:eastAsia="zh-CN"/>
        </w:rPr>
        <w:t>-1</w:t>
      </w:r>
      <w:r>
        <w:rPr>
          <w:rFonts w:hint="default" w:ascii="Arial" w:hAnsi="Arial" w:cs="Arial"/>
          <w:sz w:val="26"/>
          <w:szCs w:val="26"/>
          <w:highlight w:val="none"/>
        </w:rPr>
        <w:t xml:space="preserve">  地表水环境影响评价自查表</w:t>
      </w:r>
    </w:p>
    <w:tbl>
      <w:tblPr>
        <w:tblStyle w:val="7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36"/>
        <w:gridCol w:w="1142"/>
        <w:gridCol w:w="1267"/>
        <w:gridCol w:w="75"/>
        <w:gridCol w:w="793"/>
        <w:gridCol w:w="844"/>
        <w:gridCol w:w="279"/>
        <w:gridCol w:w="1262"/>
        <w:gridCol w:w="768"/>
        <w:gridCol w:w="406"/>
        <w:gridCol w:w="657"/>
        <w:gridCol w:w="1125"/>
      </w:tblGrid>
      <w:tr w14:paraId="6026FF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1" w:type="pct"/>
            <w:gridSpan w:val="2"/>
            <w:shd w:val="clear" w:color="auto" w:fill="auto"/>
            <w:vAlign w:val="center"/>
          </w:tcPr>
          <w:p w14:paraId="6F1EC46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工作内容</w:t>
            </w:r>
          </w:p>
        </w:tc>
        <w:tc>
          <w:tcPr>
            <w:tcW w:w="4128" w:type="pct"/>
            <w:gridSpan w:val="10"/>
            <w:shd w:val="clear" w:color="auto" w:fill="auto"/>
            <w:vAlign w:val="center"/>
          </w:tcPr>
          <w:p w14:paraId="756ECDA3">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自查项目</w:t>
            </w:r>
          </w:p>
        </w:tc>
      </w:tr>
      <w:tr w14:paraId="5E2B00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restart"/>
            <w:shd w:val="clear" w:color="auto" w:fill="auto"/>
            <w:vAlign w:val="center"/>
          </w:tcPr>
          <w:p w14:paraId="6DBC8FC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影响识别</w:t>
            </w:r>
          </w:p>
        </w:tc>
        <w:tc>
          <w:tcPr>
            <w:tcW w:w="630" w:type="pct"/>
            <w:shd w:val="clear" w:color="auto" w:fill="auto"/>
            <w:vAlign w:val="center"/>
          </w:tcPr>
          <w:p w14:paraId="0BB9349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影响类型</w:t>
            </w:r>
          </w:p>
        </w:tc>
        <w:tc>
          <w:tcPr>
            <w:tcW w:w="4128" w:type="pct"/>
            <w:gridSpan w:val="10"/>
            <w:shd w:val="clear" w:color="auto" w:fill="auto"/>
            <w:vAlign w:val="center"/>
          </w:tcPr>
          <w:p w14:paraId="139ECBC8">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水污染影响型</w:t>
            </w:r>
            <w:r>
              <w:rPr>
                <w:rFonts w:hint="eastAsia" w:ascii="Arial" w:hAnsi="Arial" w:cs="Arial"/>
                <w:snapToGrid w:val="0"/>
                <w:sz w:val="22"/>
                <w:szCs w:val="22"/>
                <w:lang w:eastAsia="zh-CN"/>
              </w:rPr>
              <w:t>□</w:t>
            </w:r>
            <w:r>
              <w:rPr>
                <w:rFonts w:hint="default" w:ascii="Arial" w:hAnsi="Arial" w:cs="Arial"/>
                <w:snapToGrid w:val="0"/>
                <w:sz w:val="22"/>
                <w:szCs w:val="22"/>
              </w:rPr>
              <w:t>；</w:t>
            </w:r>
            <w:r>
              <w:rPr>
                <w:rFonts w:hint="default" w:ascii="Arial" w:hAnsi="Arial" w:cs="Arial"/>
                <w:snapToGrid w:val="0"/>
                <w:sz w:val="22"/>
                <w:szCs w:val="22"/>
                <w:highlight w:val="none"/>
              </w:rPr>
              <w:t>水文要素影响型</w:t>
            </w:r>
            <w:r>
              <w:rPr>
                <w:rFonts w:hint="eastAsia" w:ascii="Arial" w:hAnsi="Arial" w:cs="Arial"/>
                <w:snapToGrid w:val="0"/>
                <w:sz w:val="22"/>
                <w:szCs w:val="22"/>
                <w:lang w:eastAsia="zh-CN"/>
              </w:rPr>
              <w:t>☑</w:t>
            </w:r>
          </w:p>
        </w:tc>
      </w:tr>
      <w:tr w14:paraId="6232D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13360EB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4987DBC1">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水环境保护目标</w:t>
            </w:r>
          </w:p>
        </w:tc>
        <w:tc>
          <w:tcPr>
            <w:tcW w:w="4128" w:type="pct"/>
            <w:gridSpan w:val="10"/>
            <w:shd w:val="clear" w:color="auto" w:fill="auto"/>
            <w:vAlign w:val="center"/>
          </w:tcPr>
          <w:p w14:paraId="567DC5FD">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饮用水水源保护区□；饮用水取水口□；涉水的自然保护区□；重要湿地□；重点保护与珍稀水生生物栖息地□；重要水生生物的自然产卵场及索饵场、越冬场和洄游通道、天然渔场等渔业水体□；涉水的风景名胜区□；其他</w:t>
            </w:r>
            <w:r>
              <w:rPr>
                <w:rFonts w:hint="eastAsia" w:ascii="Arial" w:hAnsi="Arial" w:cs="Arial"/>
                <w:snapToGrid w:val="0"/>
                <w:sz w:val="22"/>
                <w:szCs w:val="22"/>
                <w:lang w:eastAsia="zh-CN"/>
              </w:rPr>
              <w:t>☑</w:t>
            </w:r>
          </w:p>
        </w:tc>
      </w:tr>
      <w:tr w14:paraId="4BA65B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1F7FDC6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restart"/>
            <w:shd w:val="clear" w:color="auto" w:fill="auto"/>
            <w:vAlign w:val="center"/>
          </w:tcPr>
          <w:p w14:paraId="48C8A52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影响途径</w:t>
            </w:r>
          </w:p>
        </w:tc>
        <w:tc>
          <w:tcPr>
            <w:tcW w:w="1800" w:type="pct"/>
            <w:gridSpan w:val="5"/>
            <w:shd w:val="clear" w:color="auto" w:fill="auto"/>
            <w:vAlign w:val="center"/>
          </w:tcPr>
          <w:p w14:paraId="08DA0E2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水污染影响型</w:t>
            </w:r>
            <w:r>
              <w:rPr>
                <w:rFonts w:hint="eastAsia" w:ascii="Arial" w:hAnsi="Arial" w:cs="Arial"/>
                <w:snapToGrid w:val="0"/>
                <w:sz w:val="22"/>
                <w:szCs w:val="22"/>
                <w:lang w:eastAsia="zh-CN"/>
              </w:rPr>
              <w:t>□</w:t>
            </w:r>
          </w:p>
        </w:tc>
        <w:tc>
          <w:tcPr>
            <w:tcW w:w="2328" w:type="pct"/>
            <w:gridSpan w:val="5"/>
            <w:shd w:val="clear" w:color="auto" w:fill="auto"/>
            <w:vAlign w:val="center"/>
          </w:tcPr>
          <w:p w14:paraId="1F4BA87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水文要素影响型</w:t>
            </w:r>
            <w:r>
              <w:rPr>
                <w:rFonts w:hint="eastAsia" w:ascii="Arial" w:hAnsi="Arial" w:cs="Arial"/>
                <w:snapToGrid w:val="0"/>
                <w:sz w:val="22"/>
                <w:szCs w:val="22"/>
                <w:lang w:eastAsia="zh-CN"/>
              </w:rPr>
              <w:t>☑</w:t>
            </w:r>
          </w:p>
        </w:tc>
      </w:tr>
      <w:tr w14:paraId="4780AD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0CA52B07">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21AB30A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1800" w:type="pct"/>
            <w:gridSpan w:val="5"/>
            <w:shd w:val="clear" w:color="auto" w:fill="auto"/>
            <w:vAlign w:val="center"/>
          </w:tcPr>
          <w:p w14:paraId="1ADE042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直接排放□；间接排放</w:t>
            </w:r>
            <w:r>
              <w:rPr>
                <w:rFonts w:hint="eastAsia" w:ascii="Arial" w:hAnsi="Arial" w:cs="Arial"/>
                <w:snapToGrid w:val="0"/>
                <w:sz w:val="22"/>
                <w:szCs w:val="22"/>
                <w:lang w:eastAsia="zh-CN"/>
              </w:rPr>
              <w:t>□</w:t>
            </w:r>
            <w:r>
              <w:rPr>
                <w:rFonts w:hint="default" w:ascii="Arial" w:hAnsi="Arial" w:cs="Arial"/>
                <w:snapToGrid w:val="0"/>
                <w:sz w:val="22"/>
                <w:szCs w:val="22"/>
              </w:rPr>
              <w:t>；其他□</w:t>
            </w:r>
          </w:p>
        </w:tc>
        <w:tc>
          <w:tcPr>
            <w:tcW w:w="2328" w:type="pct"/>
            <w:gridSpan w:val="5"/>
            <w:shd w:val="clear" w:color="auto" w:fill="auto"/>
            <w:vAlign w:val="center"/>
          </w:tcPr>
          <w:p w14:paraId="0B363565">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水温</w:t>
            </w:r>
            <w:r>
              <w:rPr>
                <w:rFonts w:hint="eastAsia" w:ascii="Arial" w:hAnsi="Arial" w:cs="Arial"/>
                <w:snapToGrid w:val="0"/>
                <w:sz w:val="22"/>
                <w:szCs w:val="22"/>
                <w:lang w:eastAsia="zh-CN"/>
              </w:rPr>
              <w:t>☑</w:t>
            </w:r>
            <w:r>
              <w:rPr>
                <w:rFonts w:hint="default" w:ascii="Arial" w:hAnsi="Arial" w:cs="Arial"/>
                <w:snapToGrid w:val="0"/>
                <w:sz w:val="22"/>
                <w:szCs w:val="22"/>
              </w:rPr>
              <w:t>；径流</w:t>
            </w:r>
            <w:r>
              <w:rPr>
                <w:rFonts w:hint="eastAsia" w:ascii="Arial" w:hAnsi="Arial" w:cs="Arial"/>
                <w:snapToGrid w:val="0"/>
                <w:sz w:val="22"/>
                <w:szCs w:val="22"/>
                <w:lang w:eastAsia="zh-CN"/>
              </w:rPr>
              <w:t>☑</w:t>
            </w:r>
            <w:r>
              <w:rPr>
                <w:rFonts w:hint="default" w:ascii="Arial" w:hAnsi="Arial" w:cs="Arial"/>
                <w:snapToGrid w:val="0"/>
                <w:sz w:val="22"/>
                <w:szCs w:val="22"/>
              </w:rPr>
              <w:t>；水域面积</w:t>
            </w:r>
            <w:r>
              <w:rPr>
                <w:rFonts w:hint="eastAsia" w:ascii="Arial" w:hAnsi="Arial" w:cs="Arial"/>
                <w:snapToGrid w:val="0"/>
                <w:sz w:val="22"/>
                <w:szCs w:val="22"/>
                <w:lang w:eastAsia="zh-CN"/>
              </w:rPr>
              <w:t>☑</w:t>
            </w:r>
          </w:p>
        </w:tc>
      </w:tr>
      <w:tr w14:paraId="122D11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2D91653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12041B5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影响因子</w:t>
            </w:r>
          </w:p>
        </w:tc>
        <w:tc>
          <w:tcPr>
            <w:tcW w:w="1800" w:type="pct"/>
            <w:gridSpan w:val="5"/>
            <w:shd w:val="clear" w:color="auto" w:fill="auto"/>
            <w:vAlign w:val="center"/>
          </w:tcPr>
          <w:p w14:paraId="4B0C41D4">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持久性污染物□；有毒有害污染物□；非持久性污染物</w:t>
            </w:r>
            <w:r>
              <w:rPr>
                <w:rFonts w:hint="eastAsia" w:ascii="Arial" w:hAnsi="Arial" w:cs="Arial"/>
                <w:snapToGrid w:val="0"/>
                <w:sz w:val="22"/>
                <w:szCs w:val="22"/>
                <w:lang w:eastAsia="zh-CN"/>
              </w:rPr>
              <w:t>□</w:t>
            </w:r>
            <w:r>
              <w:rPr>
                <w:rFonts w:hint="default" w:ascii="Arial" w:hAnsi="Arial" w:cs="Arial"/>
                <w:snapToGrid w:val="0"/>
                <w:sz w:val="22"/>
                <w:szCs w:val="22"/>
              </w:rPr>
              <w:t>；pH值□；热污染□；富营养化□；其他□</w:t>
            </w:r>
          </w:p>
        </w:tc>
        <w:tc>
          <w:tcPr>
            <w:tcW w:w="2328" w:type="pct"/>
            <w:gridSpan w:val="5"/>
            <w:shd w:val="clear" w:color="auto" w:fill="auto"/>
            <w:vAlign w:val="center"/>
          </w:tcPr>
          <w:p w14:paraId="53BF004F">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水温</w:t>
            </w:r>
            <w:r>
              <w:rPr>
                <w:rFonts w:hint="eastAsia" w:ascii="Arial" w:hAnsi="Arial" w:cs="Arial"/>
                <w:snapToGrid w:val="0"/>
                <w:sz w:val="22"/>
                <w:szCs w:val="22"/>
                <w:lang w:eastAsia="zh-CN"/>
              </w:rPr>
              <w:t>☑</w:t>
            </w:r>
            <w:r>
              <w:rPr>
                <w:rFonts w:hint="default" w:ascii="Arial" w:hAnsi="Arial" w:cs="Arial"/>
                <w:snapToGrid w:val="0"/>
                <w:sz w:val="22"/>
                <w:szCs w:val="22"/>
              </w:rPr>
              <w:t xml:space="preserve">；水位(水深) </w:t>
            </w:r>
            <w:r>
              <w:rPr>
                <w:rFonts w:hint="eastAsia" w:ascii="Arial" w:hAnsi="Arial" w:cs="Arial"/>
                <w:snapToGrid w:val="0"/>
                <w:sz w:val="22"/>
                <w:szCs w:val="22"/>
                <w:lang w:eastAsia="zh-CN"/>
              </w:rPr>
              <w:t>☑</w:t>
            </w:r>
            <w:r>
              <w:rPr>
                <w:rFonts w:hint="default" w:ascii="Arial" w:hAnsi="Arial" w:cs="Arial"/>
                <w:snapToGrid w:val="0"/>
                <w:sz w:val="22"/>
                <w:szCs w:val="22"/>
              </w:rPr>
              <w:t>；</w:t>
            </w:r>
          </w:p>
          <w:p w14:paraId="651EF8C0">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流速</w:t>
            </w:r>
            <w:r>
              <w:rPr>
                <w:rFonts w:hint="eastAsia" w:ascii="Arial" w:hAnsi="Arial" w:cs="Arial"/>
                <w:snapToGrid w:val="0"/>
                <w:sz w:val="22"/>
                <w:szCs w:val="22"/>
                <w:lang w:eastAsia="zh-CN"/>
              </w:rPr>
              <w:t>☑</w:t>
            </w:r>
            <w:r>
              <w:rPr>
                <w:rFonts w:hint="default" w:ascii="Arial" w:hAnsi="Arial" w:cs="Arial"/>
                <w:snapToGrid w:val="0"/>
                <w:sz w:val="22"/>
                <w:szCs w:val="22"/>
              </w:rPr>
              <w:t>；流量</w:t>
            </w:r>
            <w:r>
              <w:rPr>
                <w:rFonts w:hint="eastAsia" w:ascii="Arial" w:hAnsi="Arial" w:cs="Arial"/>
                <w:snapToGrid w:val="0"/>
                <w:sz w:val="22"/>
                <w:szCs w:val="22"/>
                <w:lang w:eastAsia="zh-CN"/>
              </w:rPr>
              <w:t>☑</w:t>
            </w:r>
            <w:r>
              <w:rPr>
                <w:rFonts w:hint="default" w:ascii="Arial" w:hAnsi="Arial" w:cs="Arial"/>
                <w:snapToGrid w:val="0"/>
                <w:sz w:val="22"/>
                <w:szCs w:val="22"/>
              </w:rPr>
              <w:t>；其他</w:t>
            </w:r>
            <w:r>
              <w:rPr>
                <w:rFonts w:hint="eastAsia" w:ascii="Arial" w:hAnsi="Arial" w:cs="Arial"/>
                <w:snapToGrid w:val="0"/>
                <w:sz w:val="22"/>
                <w:szCs w:val="22"/>
                <w:lang w:eastAsia="zh-CN"/>
              </w:rPr>
              <w:t>☑</w:t>
            </w:r>
          </w:p>
        </w:tc>
      </w:tr>
      <w:tr w14:paraId="05BEEA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1" w:type="pct"/>
            <w:gridSpan w:val="2"/>
            <w:vMerge w:val="restart"/>
            <w:shd w:val="clear" w:color="auto" w:fill="auto"/>
            <w:vAlign w:val="center"/>
          </w:tcPr>
          <w:p w14:paraId="32A265D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评价等级</w:t>
            </w:r>
          </w:p>
        </w:tc>
        <w:tc>
          <w:tcPr>
            <w:tcW w:w="1800" w:type="pct"/>
            <w:gridSpan w:val="5"/>
            <w:shd w:val="clear" w:color="auto" w:fill="auto"/>
            <w:vAlign w:val="center"/>
          </w:tcPr>
          <w:p w14:paraId="548F64E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水污染影响型</w:t>
            </w:r>
          </w:p>
        </w:tc>
        <w:tc>
          <w:tcPr>
            <w:tcW w:w="2328" w:type="pct"/>
            <w:gridSpan w:val="5"/>
            <w:shd w:val="clear" w:color="auto" w:fill="auto"/>
            <w:vAlign w:val="center"/>
          </w:tcPr>
          <w:p w14:paraId="4C0B21C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水文要素影响型</w:t>
            </w:r>
          </w:p>
        </w:tc>
      </w:tr>
      <w:tr w14:paraId="0C0525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1" w:type="pct"/>
            <w:gridSpan w:val="2"/>
            <w:vMerge w:val="continue"/>
            <w:shd w:val="clear" w:color="auto" w:fill="auto"/>
            <w:vAlign w:val="center"/>
          </w:tcPr>
          <w:p w14:paraId="077012A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1800" w:type="pct"/>
            <w:gridSpan w:val="5"/>
            <w:shd w:val="clear" w:color="auto" w:fill="auto"/>
            <w:vAlign w:val="center"/>
          </w:tcPr>
          <w:p w14:paraId="73FD6C1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一级□；二级□；三级A□；三级B</w:t>
            </w:r>
            <w:r>
              <w:rPr>
                <w:rFonts w:hint="eastAsia" w:ascii="Arial" w:hAnsi="Arial" w:cs="Arial"/>
                <w:snapToGrid w:val="0"/>
                <w:sz w:val="22"/>
                <w:szCs w:val="22"/>
                <w:lang w:eastAsia="zh-CN"/>
              </w:rPr>
              <w:t>□</w:t>
            </w:r>
          </w:p>
        </w:tc>
        <w:tc>
          <w:tcPr>
            <w:tcW w:w="2328" w:type="pct"/>
            <w:gridSpan w:val="5"/>
            <w:shd w:val="clear" w:color="auto" w:fill="auto"/>
            <w:vAlign w:val="center"/>
          </w:tcPr>
          <w:p w14:paraId="1C1994B9">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一级</w:t>
            </w:r>
            <w:r>
              <w:rPr>
                <w:rFonts w:hint="eastAsia" w:ascii="Arial" w:hAnsi="Arial" w:cs="Arial"/>
                <w:snapToGrid w:val="0"/>
                <w:sz w:val="22"/>
                <w:szCs w:val="22"/>
                <w:lang w:eastAsia="zh-CN"/>
              </w:rPr>
              <w:t>☑</w:t>
            </w:r>
            <w:r>
              <w:rPr>
                <w:rFonts w:hint="default" w:ascii="Arial" w:hAnsi="Arial" w:cs="Arial"/>
                <w:snapToGrid w:val="0"/>
                <w:sz w:val="22"/>
                <w:szCs w:val="22"/>
              </w:rPr>
              <w:t>；二级□；三级</w:t>
            </w:r>
            <w:r>
              <w:rPr>
                <w:rFonts w:hint="eastAsia" w:ascii="Arial" w:hAnsi="Arial" w:cs="Arial"/>
                <w:snapToGrid w:val="0"/>
                <w:sz w:val="22"/>
                <w:szCs w:val="22"/>
                <w:lang w:eastAsia="zh-CN"/>
              </w:rPr>
              <w:t>□</w:t>
            </w:r>
          </w:p>
        </w:tc>
      </w:tr>
      <w:tr w14:paraId="1B4B88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restart"/>
            <w:shd w:val="clear" w:color="auto" w:fill="auto"/>
            <w:vAlign w:val="center"/>
          </w:tcPr>
          <w:p w14:paraId="42B01BD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现状调查</w:t>
            </w:r>
          </w:p>
        </w:tc>
        <w:tc>
          <w:tcPr>
            <w:tcW w:w="630" w:type="pct"/>
            <w:vMerge w:val="restart"/>
            <w:shd w:val="clear" w:color="auto" w:fill="auto"/>
            <w:vAlign w:val="center"/>
          </w:tcPr>
          <w:p w14:paraId="611FA125">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区域</w:t>
            </w:r>
          </w:p>
          <w:p w14:paraId="4D168EA5">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污染源</w:t>
            </w:r>
          </w:p>
        </w:tc>
        <w:tc>
          <w:tcPr>
            <w:tcW w:w="1800" w:type="pct"/>
            <w:gridSpan w:val="5"/>
            <w:shd w:val="clear" w:color="auto" w:fill="auto"/>
            <w:vAlign w:val="center"/>
          </w:tcPr>
          <w:p w14:paraId="146BBE9D">
            <w:pPr>
              <w:keepNext/>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调查项目</w:t>
            </w:r>
          </w:p>
        </w:tc>
        <w:tc>
          <w:tcPr>
            <w:tcW w:w="2328" w:type="pct"/>
            <w:gridSpan w:val="5"/>
            <w:shd w:val="clear" w:color="auto" w:fill="auto"/>
            <w:vAlign w:val="center"/>
          </w:tcPr>
          <w:p w14:paraId="1F4BC37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数据来源</w:t>
            </w:r>
          </w:p>
        </w:tc>
      </w:tr>
      <w:tr w14:paraId="07DA78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5269FA9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0030DB43">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1180" w:type="pct"/>
            <w:gridSpan w:val="3"/>
            <w:shd w:val="clear" w:color="auto" w:fill="auto"/>
            <w:vAlign w:val="center"/>
          </w:tcPr>
          <w:p w14:paraId="65406D0B">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已建□；在建□；拟建□；其他□</w:t>
            </w:r>
          </w:p>
        </w:tc>
        <w:tc>
          <w:tcPr>
            <w:tcW w:w="620" w:type="pct"/>
            <w:gridSpan w:val="2"/>
            <w:shd w:val="clear" w:color="auto" w:fill="auto"/>
            <w:vAlign w:val="center"/>
          </w:tcPr>
          <w:p w14:paraId="35CECCA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拟替代的污染源□</w:t>
            </w:r>
          </w:p>
        </w:tc>
        <w:tc>
          <w:tcPr>
            <w:tcW w:w="2328" w:type="pct"/>
            <w:gridSpan w:val="5"/>
            <w:shd w:val="clear" w:color="auto" w:fill="auto"/>
            <w:vAlign w:val="center"/>
          </w:tcPr>
          <w:p w14:paraId="5934D6A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排污许可证□；环评□；环保验收□；既有实测</w:t>
            </w:r>
            <w:r>
              <w:rPr>
                <w:rFonts w:hint="eastAsia" w:ascii="Arial" w:hAnsi="Arial" w:cs="Arial"/>
                <w:snapToGrid w:val="0"/>
                <w:sz w:val="22"/>
                <w:szCs w:val="22"/>
                <w:lang w:eastAsia="zh-CN"/>
              </w:rPr>
              <w:t>☑</w:t>
            </w:r>
            <w:r>
              <w:rPr>
                <w:rFonts w:hint="default" w:ascii="Arial" w:hAnsi="Arial" w:cs="Arial"/>
                <w:snapToGrid w:val="0"/>
                <w:sz w:val="22"/>
                <w:szCs w:val="22"/>
              </w:rPr>
              <w:t>；现场监测</w:t>
            </w:r>
            <w:r>
              <w:rPr>
                <w:rFonts w:hint="eastAsia" w:ascii="Arial" w:hAnsi="Arial" w:cs="Arial"/>
                <w:snapToGrid w:val="0"/>
                <w:sz w:val="22"/>
                <w:szCs w:val="22"/>
                <w:lang w:eastAsia="zh-CN"/>
              </w:rPr>
              <w:t>☑</w:t>
            </w:r>
            <w:r>
              <w:rPr>
                <w:rFonts w:hint="default" w:ascii="Arial" w:hAnsi="Arial" w:cs="Arial"/>
                <w:snapToGrid w:val="0"/>
                <w:sz w:val="22"/>
                <w:szCs w:val="22"/>
              </w:rPr>
              <w:t>；入河排放口数据□；其他</w:t>
            </w:r>
            <w:r>
              <w:rPr>
                <w:rFonts w:hint="eastAsia" w:ascii="Arial" w:hAnsi="Arial" w:cs="Arial"/>
                <w:snapToGrid w:val="0"/>
                <w:sz w:val="22"/>
                <w:szCs w:val="22"/>
                <w:lang w:eastAsia="zh-CN"/>
              </w:rPr>
              <w:t>☑</w:t>
            </w:r>
          </w:p>
        </w:tc>
      </w:tr>
      <w:tr w14:paraId="0BE62E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2AB3B1F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restart"/>
            <w:shd w:val="clear" w:color="auto" w:fill="auto"/>
            <w:vAlign w:val="center"/>
          </w:tcPr>
          <w:p w14:paraId="0EC1C8D3">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受影响水体水环境质量</w:t>
            </w:r>
          </w:p>
        </w:tc>
        <w:tc>
          <w:tcPr>
            <w:tcW w:w="1800" w:type="pct"/>
            <w:gridSpan w:val="5"/>
            <w:shd w:val="clear" w:color="auto" w:fill="auto"/>
            <w:vAlign w:val="center"/>
          </w:tcPr>
          <w:p w14:paraId="7302310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调查时期</w:t>
            </w:r>
          </w:p>
        </w:tc>
        <w:tc>
          <w:tcPr>
            <w:tcW w:w="2328" w:type="pct"/>
            <w:gridSpan w:val="5"/>
            <w:shd w:val="clear" w:color="auto" w:fill="auto"/>
            <w:vAlign w:val="center"/>
          </w:tcPr>
          <w:p w14:paraId="22B3D31B">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数据来源</w:t>
            </w:r>
          </w:p>
        </w:tc>
      </w:tr>
      <w:tr w14:paraId="383AEC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7166AFC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1135DA23">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1800" w:type="pct"/>
            <w:gridSpan w:val="5"/>
            <w:shd w:val="clear" w:color="auto" w:fill="auto"/>
            <w:vAlign w:val="center"/>
          </w:tcPr>
          <w:p w14:paraId="2077A10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丰水期□；平水期□；枯水期</w:t>
            </w:r>
            <w:r>
              <w:rPr>
                <w:rFonts w:hint="eastAsia" w:ascii="Arial" w:hAnsi="Arial" w:cs="Arial"/>
                <w:snapToGrid w:val="0"/>
                <w:sz w:val="22"/>
                <w:szCs w:val="22"/>
                <w:lang w:eastAsia="zh-CN"/>
              </w:rPr>
              <w:t>□</w:t>
            </w:r>
            <w:r>
              <w:rPr>
                <w:rFonts w:hint="default" w:ascii="Arial" w:hAnsi="Arial" w:cs="Arial"/>
                <w:snapToGrid w:val="0"/>
                <w:sz w:val="22"/>
                <w:szCs w:val="22"/>
              </w:rPr>
              <w:t>；</w:t>
            </w:r>
          </w:p>
          <w:p w14:paraId="32DFD199">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冰封期□；春季□；夏季□；秋季□；冬季□</w:t>
            </w:r>
          </w:p>
        </w:tc>
        <w:tc>
          <w:tcPr>
            <w:tcW w:w="2328" w:type="pct"/>
            <w:gridSpan w:val="5"/>
            <w:shd w:val="clear" w:color="auto" w:fill="auto"/>
            <w:vAlign w:val="center"/>
          </w:tcPr>
          <w:p w14:paraId="0B58B3FB">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生态环境保护主管部门</w:t>
            </w:r>
            <w:r>
              <w:rPr>
                <w:rFonts w:hint="eastAsia" w:ascii="Arial" w:hAnsi="Arial" w:cs="Arial"/>
                <w:snapToGrid w:val="0"/>
                <w:sz w:val="22"/>
                <w:szCs w:val="22"/>
                <w:lang w:eastAsia="zh-CN"/>
              </w:rPr>
              <w:t>☑</w:t>
            </w:r>
            <w:r>
              <w:rPr>
                <w:rFonts w:hint="default" w:ascii="Arial" w:hAnsi="Arial" w:cs="Arial"/>
                <w:snapToGrid w:val="0"/>
                <w:sz w:val="22"/>
                <w:szCs w:val="22"/>
              </w:rPr>
              <w:t>；补充监测</w:t>
            </w:r>
            <w:r>
              <w:rPr>
                <w:rFonts w:hint="eastAsia" w:ascii="Arial" w:hAnsi="Arial" w:cs="Arial"/>
                <w:snapToGrid w:val="0"/>
                <w:sz w:val="22"/>
                <w:szCs w:val="22"/>
                <w:lang w:eastAsia="zh-CN"/>
              </w:rPr>
              <w:t>☑</w:t>
            </w:r>
            <w:r>
              <w:rPr>
                <w:rFonts w:hint="default" w:ascii="Arial" w:hAnsi="Arial" w:cs="Arial"/>
                <w:snapToGrid w:val="0"/>
                <w:sz w:val="22"/>
                <w:szCs w:val="22"/>
              </w:rPr>
              <w:t>；其他□</w:t>
            </w:r>
          </w:p>
        </w:tc>
      </w:tr>
      <w:tr w14:paraId="0F0C5F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6E899633">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643368A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区域水资源开发利用状况</w:t>
            </w:r>
          </w:p>
        </w:tc>
        <w:tc>
          <w:tcPr>
            <w:tcW w:w="4128" w:type="pct"/>
            <w:gridSpan w:val="10"/>
            <w:shd w:val="clear" w:color="auto" w:fill="auto"/>
            <w:vAlign w:val="center"/>
          </w:tcPr>
          <w:p w14:paraId="2B3E275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未开发</w:t>
            </w:r>
            <w:r>
              <w:rPr>
                <w:rFonts w:hint="eastAsia" w:ascii="Arial" w:hAnsi="Arial" w:cs="Arial"/>
                <w:snapToGrid w:val="0"/>
                <w:sz w:val="22"/>
                <w:szCs w:val="22"/>
                <w:lang w:eastAsia="zh-CN"/>
              </w:rPr>
              <w:t>☑</w:t>
            </w:r>
            <w:r>
              <w:rPr>
                <w:rFonts w:hint="default" w:ascii="Arial" w:hAnsi="Arial" w:cs="Arial"/>
                <w:snapToGrid w:val="0"/>
                <w:sz w:val="22"/>
                <w:szCs w:val="22"/>
              </w:rPr>
              <w:t>；开发量40%以下□；开发量40%以上□</w:t>
            </w:r>
          </w:p>
        </w:tc>
      </w:tr>
      <w:tr w14:paraId="5B7ABD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297FC01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restart"/>
            <w:shd w:val="clear" w:color="auto" w:fill="auto"/>
            <w:vAlign w:val="center"/>
          </w:tcPr>
          <w:p w14:paraId="364C311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水文情势调查</w:t>
            </w:r>
          </w:p>
        </w:tc>
        <w:tc>
          <w:tcPr>
            <w:tcW w:w="1800" w:type="pct"/>
            <w:gridSpan w:val="5"/>
            <w:shd w:val="clear" w:color="auto" w:fill="auto"/>
            <w:vAlign w:val="center"/>
          </w:tcPr>
          <w:p w14:paraId="2D1AC68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调查时期</w:t>
            </w:r>
          </w:p>
        </w:tc>
        <w:tc>
          <w:tcPr>
            <w:tcW w:w="2328" w:type="pct"/>
            <w:gridSpan w:val="5"/>
            <w:shd w:val="clear" w:color="auto" w:fill="auto"/>
            <w:vAlign w:val="center"/>
          </w:tcPr>
          <w:p w14:paraId="6734CE57">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数据来源</w:t>
            </w:r>
          </w:p>
        </w:tc>
      </w:tr>
      <w:tr w14:paraId="42AEA6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4F6ED9C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7B4C841F">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1800" w:type="pct"/>
            <w:gridSpan w:val="5"/>
            <w:shd w:val="clear" w:color="auto" w:fill="auto"/>
            <w:vAlign w:val="center"/>
          </w:tcPr>
          <w:p w14:paraId="3DB5C8B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丰水期</w:t>
            </w:r>
            <w:r>
              <w:rPr>
                <w:rFonts w:hint="eastAsia" w:ascii="Arial" w:hAnsi="Arial" w:cs="Arial"/>
                <w:snapToGrid w:val="0"/>
                <w:sz w:val="22"/>
                <w:szCs w:val="22"/>
                <w:lang w:eastAsia="zh-CN"/>
              </w:rPr>
              <w:t>☑</w:t>
            </w:r>
            <w:r>
              <w:rPr>
                <w:rFonts w:hint="default" w:ascii="Arial" w:hAnsi="Arial" w:cs="Arial"/>
                <w:snapToGrid w:val="0"/>
                <w:sz w:val="22"/>
                <w:szCs w:val="22"/>
              </w:rPr>
              <w:t>；平水期□；枯水期</w:t>
            </w:r>
            <w:r>
              <w:rPr>
                <w:rFonts w:hint="eastAsia" w:ascii="Arial" w:hAnsi="Arial" w:cs="Arial"/>
                <w:snapToGrid w:val="0"/>
                <w:sz w:val="22"/>
                <w:szCs w:val="22"/>
                <w:lang w:eastAsia="zh-CN"/>
              </w:rPr>
              <w:t>☑</w:t>
            </w:r>
            <w:r>
              <w:rPr>
                <w:rFonts w:hint="default" w:ascii="Arial" w:hAnsi="Arial" w:cs="Arial"/>
                <w:snapToGrid w:val="0"/>
                <w:sz w:val="22"/>
                <w:szCs w:val="22"/>
              </w:rPr>
              <w:t>；</w:t>
            </w:r>
          </w:p>
          <w:p w14:paraId="7F73D9CF">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冰封期□；春季□；夏季□；秋季□；冬季□</w:t>
            </w:r>
          </w:p>
        </w:tc>
        <w:tc>
          <w:tcPr>
            <w:tcW w:w="2328" w:type="pct"/>
            <w:gridSpan w:val="5"/>
            <w:shd w:val="clear" w:color="auto" w:fill="auto"/>
            <w:vAlign w:val="center"/>
          </w:tcPr>
          <w:p w14:paraId="089B450F">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水行政主管部门□；补充监测□；其他</w:t>
            </w:r>
            <w:r>
              <w:rPr>
                <w:rFonts w:hint="eastAsia" w:ascii="Arial" w:hAnsi="Arial" w:cs="Arial"/>
                <w:snapToGrid w:val="0"/>
                <w:sz w:val="22"/>
                <w:szCs w:val="22"/>
                <w:lang w:eastAsia="zh-CN"/>
              </w:rPr>
              <w:t>☑</w:t>
            </w:r>
          </w:p>
        </w:tc>
      </w:tr>
      <w:tr w14:paraId="3AB8C5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5F865197">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restart"/>
            <w:shd w:val="clear" w:color="auto" w:fill="auto"/>
            <w:vAlign w:val="center"/>
          </w:tcPr>
          <w:p w14:paraId="770CF75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补充监测</w:t>
            </w:r>
          </w:p>
        </w:tc>
        <w:tc>
          <w:tcPr>
            <w:tcW w:w="1800" w:type="pct"/>
            <w:gridSpan w:val="5"/>
            <w:shd w:val="clear" w:color="auto" w:fill="auto"/>
            <w:vAlign w:val="center"/>
          </w:tcPr>
          <w:p w14:paraId="47222BB5">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监测时期</w:t>
            </w:r>
          </w:p>
        </w:tc>
        <w:tc>
          <w:tcPr>
            <w:tcW w:w="1708" w:type="pct"/>
            <w:gridSpan w:val="4"/>
            <w:shd w:val="clear" w:color="auto" w:fill="auto"/>
            <w:vAlign w:val="center"/>
          </w:tcPr>
          <w:p w14:paraId="7CE51585">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监测因子</w:t>
            </w:r>
          </w:p>
        </w:tc>
        <w:tc>
          <w:tcPr>
            <w:tcW w:w="620" w:type="pct"/>
            <w:shd w:val="clear" w:color="auto" w:fill="auto"/>
            <w:vAlign w:val="center"/>
          </w:tcPr>
          <w:p w14:paraId="674063B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监测断面或点位</w:t>
            </w:r>
          </w:p>
        </w:tc>
      </w:tr>
      <w:tr w14:paraId="01F9E9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16F2452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3541CD5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1800" w:type="pct"/>
            <w:gridSpan w:val="5"/>
            <w:shd w:val="clear" w:color="auto" w:fill="auto"/>
            <w:vAlign w:val="center"/>
          </w:tcPr>
          <w:p w14:paraId="79985D87">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丰水期</w:t>
            </w:r>
            <w:r>
              <w:rPr>
                <w:rFonts w:hint="eastAsia" w:ascii="Arial" w:hAnsi="Arial" w:cs="Arial"/>
                <w:snapToGrid w:val="0"/>
                <w:sz w:val="22"/>
                <w:szCs w:val="22"/>
                <w:lang w:eastAsia="zh-CN"/>
              </w:rPr>
              <w:t>☑</w:t>
            </w:r>
            <w:r>
              <w:rPr>
                <w:rFonts w:hint="default" w:ascii="Arial" w:hAnsi="Arial" w:cs="Arial"/>
                <w:snapToGrid w:val="0"/>
                <w:sz w:val="22"/>
                <w:szCs w:val="22"/>
              </w:rPr>
              <w:t>；平水期□；枯水期</w:t>
            </w:r>
            <w:r>
              <w:rPr>
                <w:rFonts w:hint="eastAsia" w:ascii="Arial" w:hAnsi="Arial" w:cs="Arial"/>
                <w:snapToGrid w:val="0"/>
                <w:sz w:val="22"/>
                <w:szCs w:val="22"/>
                <w:lang w:eastAsia="zh-CN"/>
              </w:rPr>
              <w:t>☑</w:t>
            </w:r>
            <w:r>
              <w:rPr>
                <w:rFonts w:hint="default" w:ascii="Arial" w:hAnsi="Arial" w:cs="Arial"/>
                <w:snapToGrid w:val="0"/>
                <w:sz w:val="22"/>
                <w:szCs w:val="22"/>
              </w:rPr>
              <w:t>；</w:t>
            </w:r>
          </w:p>
          <w:p w14:paraId="22CFEA7F">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冰封期□；春季□；夏季□；秋季□；冬季□</w:t>
            </w:r>
          </w:p>
        </w:tc>
        <w:tc>
          <w:tcPr>
            <w:tcW w:w="1708" w:type="pct"/>
            <w:gridSpan w:val="4"/>
            <w:shd w:val="clear" w:color="auto" w:fill="auto"/>
            <w:vAlign w:val="center"/>
          </w:tcPr>
          <w:p w14:paraId="28131024">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eastAsia" w:ascii="Arial" w:hAnsi="Arial" w:cs="Arial"/>
                <w:snapToGrid w:val="0"/>
                <w:sz w:val="22"/>
                <w:szCs w:val="22"/>
                <w:lang w:eastAsia="zh-CN"/>
              </w:rPr>
              <w:t>（</w:t>
            </w:r>
            <w:r>
              <w:rPr>
                <w:rFonts w:hint="default" w:ascii="Arial" w:hAnsi="Arial" w:cs="Arial"/>
                <w:b w:val="0"/>
                <w:bCs w:val="0"/>
                <w:snapToGrid w:val="0"/>
                <w:color w:val="auto"/>
                <w:kern w:val="0"/>
                <w:sz w:val="22"/>
                <w:szCs w:val="22"/>
                <w:highlight w:val="none"/>
                <w:lang w:bidi="ar"/>
              </w:rPr>
              <w:t>水温、pH、DO、高锰酸盐指数、COD、总磷、BOD</w:t>
            </w:r>
            <w:r>
              <w:rPr>
                <w:rFonts w:hint="default" w:ascii="Arial" w:hAnsi="Arial" w:cs="Arial"/>
                <w:b w:val="0"/>
                <w:bCs w:val="0"/>
                <w:snapToGrid w:val="0"/>
                <w:color w:val="auto"/>
                <w:kern w:val="0"/>
                <w:sz w:val="22"/>
                <w:szCs w:val="22"/>
                <w:highlight w:val="none"/>
                <w:vertAlign w:val="subscript"/>
                <w:lang w:bidi="ar"/>
              </w:rPr>
              <w:t>5</w:t>
            </w:r>
            <w:r>
              <w:rPr>
                <w:rFonts w:hint="default" w:ascii="Arial" w:hAnsi="Arial" w:cs="Arial"/>
                <w:b w:val="0"/>
                <w:bCs w:val="0"/>
                <w:snapToGrid w:val="0"/>
                <w:color w:val="auto"/>
                <w:kern w:val="0"/>
                <w:sz w:val="22"/>
                <w:szCs w:val="22"/>
                <w:highlight w:val="none"/>
                <w:lang w:bidi="ar"/>
              </w:rPr>
              <w:t>、氨氮、总氮、铜、锌、氟化物、硒、砷、汞、镉、铬（六价）、铅、氰化物、挥发酚、石油类、阴离子表面活性剂、硫化物、粪大肠菌群、叶绿素a、透明度、硫酸盐、氯化物、铁、锰、硝酸盐</w:t>
            </w:r>
            <w:r>
              <w:rPr>
                <w:rFonts w:hint="eastAsia" w:ascii="Arial" w:hAnsi="Arial" w:cs="Arial"/>
                <w:snapToGrid w:val="0"/>
                <w:sz w:val="22"/>
                <w:szCs w:val="22"/>
                <w:lang w:eastAsia="zh-CN"/>
              </w:rPr>
              <w:t>）</w:t>
            </w:r>
          </w:p>
        </w:tc>
        <w:tc>
          <w:tcPr>
            <w:tcW w:w="620" w:type="pct"/>
            <w:shd w:val="clear" w:color="auto" w:fill="auto"/>
            <w:vAlign w:val="center"/>
          </w:tcPr>
          <w:p w14:paraId="16D03D17">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监测断面或点位个数</w:t>
            </w: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3）</w:t>
            </w:r>
            <w:r>
              <w:rPr>
                <w:rFonts w:hint="default" w:ascii="Arial" w:hAnsi="Arial" w:cs="Arial"/>
                <w:snapToGrid w:val="0"/>
                <w:sz w:val="22"/>
                <w:szCs w:val="22"/>
              </w:rPr>
              <w:t>个</w:t>
            </w:r>
          </w:p>
        </w:tc>
      </w:tr>
      <w:tr w14:paraId="2C85D7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restart"/>
            <w:shd w:val="clear" w:color="auto" w:fill="auto"/>
            <w:vAlign w:val="center"/>
          </w:tcPr>
          <w:p w14:paraId="51511E2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现状评价</w:t>
            </w:r>
          </w:p>
        </w:tc>
        <w:tc>
          <w:tcPr>
            <w:tcW w:w="630" w:type="pct"/>
            <w:shd w:val="clear" w:color="auto" w:fill="auto"/>
            <w:vAlign w:val="center"/>
          </w:tcPr>
          <w:p w14:paraId="24B4C54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评价范围</w:t>
            </w:r>
          </w:p>
        </w:tc>
        <w:tc>
          <w:tcPr>
            <w:tcW w:w="4128" w:type="pct"/>
            <w:gridSpan w:val="10"/>
            <w:shd w:val="clear" w:color="auto" w:fill="auto"/>
            <w:vAlign w:val="center"/>
          </w:tcPr>
          <w:p w14:paraId="0C64F86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河流：长度</w:t>
            </w: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8.48</w:t>
            </w:r>
            <w:r>
              <w:rPr>
                <w:rFonts w:hint="eastAsia" w:ascii="Arial" w:hAnsi="Arial" w:cs="Arial"/>
                <w:snapToGrid w:val="0"/>
                <w:sz w:val="22"/>
                <w:szCs w:val="22"/>
                <w:lang w:eastAsia="zh-CN"/>
              </w:rPr>
              <w:t>）</w:t>
            </w:r>
            <w:r>
              <w:rPr>
                <w:rFonts w:hint="default" w:ascii="Arial" w:hAnsi="Arial" w:cs="Arial"/>
                <w:snapToGrid w:val="0"/>
                <w:sz w:val="22"/>
                <w:szCs w:val="22"/>
              </w:rPr>
              <w:t>km；湖库、河口及近岸海域：面积</w:t>
            </w: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r>
              <w:rPr>
                <w:rFonts w:hint="default" w:ascii="Arial" w:hAnsi="Arial" w:cs="Arial"/>
                <w:snapToGrid w:val="0"/>
                <w:sz w:val="22"/>
                <w:szCs w:val="22"/>
              </w:rPr>
              <w:t>km</w:t>
            </w:r>
            <w:r>
              <w:rPr>
                <w:rFonts w:hint="default" w:ascii="Arial" w:hAnsi="Arial" w:cs="Arial"/>
                <w:snapToGrid w:val="0"/>
                <w:sz w:val="22"/>
                <w:szCs w:val="22"/>
                <w:vertAlign w:val="superscript"/>
              </w:rPr>
              <w:t>2</w:t>
            </w:r>
          </w:p>
        </w:tc>
      </w:tr>
      <w:tr w14:paraId="2470F6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0DF8453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23EC7065">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评价因子</w:t>
            </w:r>
          </w:p>
        </w:tc>
        <w:tc>
          <w:tcPr>
            <w:tcW w:w="4128" w:type="pct"/>
            <w:gridSpan w:val="10"/>
            <w:shd w:val="clear" w:color="auto" w:fill="auto"/>
            <w:vAlign w:val="center"/>
          </w:tcPr>
          <w:p w14:paraId="0E8A2AE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eastAsia" w:ascii="宋体" w:hAnsi="宋体" w:eastAsia="宋体" w:cs="宋体"/>
                <w:snapToGrid w:val="0"/>
                <w:sz w:val="22"/>
                <w:szCs w:val="22"/>
              </w:rPr>
              <w:t>(</w:t>
            </w:r>
            <w:r>
              <w:rPr>
                <w:rFonts w:hint="default" w:ascii="Arial" w:hAnsi="Arial" w:cs="Arial"/>
                <w:b w:val="0"/>
                <w:bCs w:val="0"/>
                <w:snapToGrid w:val="0"/>
                <w:color w:val="auto"/>
                <w:kern w:val="0"/>
                <w:sz w:val="22"/>
                <w:szCs w:val="22"/>
                <w:highlight w:val="none"/>
                <w:lang w:bidi="ar"/>
              </w:rPr>
              <w:t>水温、pH、DO、高锰酸盐指数、COD、总磷、BOD</w:t>
            </w:r>
            <w:r>
              <w:rPr>
                <w:rFonts w:hint="default" w:ascii="Arial" w:hAnsi="Arial" w:cs="Arial"/>
                <w:b w:val="0"/>
                <w:bCs w:val="0"/>
                <w:snapToGrid w:val="0"/>
                <w:color w:val="auto"/>
                <w:kern w:val="0"/>
                <w:sz w:val="22"/>
                <w:szCs w:val="22"/>
                <w:highlight w:val="none"/>
                <w:vertAlign w:val="subscript"/>
                <w:lang w:bidi="ar"/>
              </w:rPr>
              <w:t>5</w:t>
            </w:r>
            <w:r>
              <w:rPr>
                <w:rFonts w:hint="default" w:ascii="Arial" w:hAnsi="Arial" w:cs="Arial"/>
                <w:b w:val="0"/>
                <w:bCs w:val="0"/>
                <w:snapToGrid w:val="0"/>
                <w:color w:val="auto"/>
                <w:kern w:val="0"/>
                <w:sz w:val="22"/>
                <w:szCs w:val="22"/>
                <w:highlight w:val="none"/>
                <w:lang w:bidi="ar"/>
              </w:rPr>
              <w:t>、氨氮、总氮、铜、锌、氟化物、硒、砷、汞、镉、铬（六价）、铅、氰化物、挥发酚、石油类、阴离子表面活性剂、硫化物、粪大肠菌群、叶绿素a、透明度、硫酸盐、氯化物、铁、锰、硝酸盐</w:t>
            </w:r>
            <w:r>
              <w:rPr>
                <w:rFonts w:hint="eastAsia" w:ascii="宋体" w:hAnsi="宋体" w:eastAsia="宋体" w:cs="宋体"/>
                <w:snapToGrid w:val="0"/>
                <w:sz w:val="22"/>
                <w:szCs w:val="22"/>
              </w:rPr>
              <w:t>)</w:t>
            </w:r>
          </w:p>
        </w:tc>
      </w:tr>
      <w:tr w14:paraId="2CDED7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7287F06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797F1F0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评价标准</w:t>
            </w:r>
          </w:p>
        </w:tc>
        <w:tc>
          <w:tcPr>
            <w:tcW w:w="4128" w:type="pct"/>
            <w:gridSpan w:val="10"/>
            <w:shd w:val="clear" w:color="auto" w:fill="auto"/>
            <w:vAlign w:val="center"/>
          </w:tcPr>
          <w:p w14:paraId="585B88A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河流、湖库、河口：Ⅰ类□；Ⅱ类□；Ⅲ类</w:t>
            </w:r>
            <w:r>
              <w:rPr>
                <w:rFonts w:hint="eastAsia" w:ascii="Arial" w:hAnsi="Arial" w:cs="Arial"/>
                <w:snapToGrid w:val="0"/>
                <w:sz w:val="22"/>
                <w:szCs w:val="22"/>
                <w:lang w:eastAsia="zh-CN"/>
              </w:rPr>
              <w:t>☑</w:t>
            </w:r>
            <w:r>
              <w:rPr>
                <w:rFonts w:hint="default" w:ascii="Arial" w:hAnsi="Arial" w:cs="Arial"/>
                <w:snapToGrid w:val="0"/>
                <w:sz w:val="22"/>
                <w:szCs w:val="22"/>
              </w:rPr>
              <w:t>；Ⅳ类□；Ⅴ类□；</w:t>
            </w:r>
          </w:p>
          <w:p w14:paraId="1BFBB8C9">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近岸海域：第一类□；第二类□；第三类□；第四类□；</w:t>
            </w:r>
          </w:p>
        </w:tc>
      </w:tr>
      <w:tr w14:paraId="7B8734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09F18C6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74156CF5">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评价时期</w:t>
            </w:r>
          </w:p>
        </w:tc>
        <w:tc>
          <w:tcPr>
            <w:tcW w:w="4128" w:type="pct"/>
            <w:gridSpan w:val="10"/>
            <w:shd w:val="clear" w:color="auto" w:fill="auto"/>
            <w:vAlign w:val="center"/>
          </w:tcPr>
          <w:p w14:paraId="0006718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丰水期</w:t>
            </w:r>
            <w:r>
              <w:rPr>
                <w:rFonts w:hint="eastAsia" w:ascii="Arial" w:hAnsi="Arial" w:cs="Arial"/>
                <w:snapToGrid w:val="0"/>
                <w:sz w:val="22"/>
                <w:szCs w:val="22"/>
                <w:lang w:eastAsia="zh-CN"/>
              </w:rPr>
              <w:t>☑</w:t>
            </w:r>
            <w:r>
              <w:rPr>
                <w:rFonts w:hint="default" w:ascii="Arial" w:hAnsi="Arial" w:cs="Arial"/>
                <w:snapToGrid w:val="0"/>
                <w:sz w:val="22"/>
                <w:szCs w:val="22"/>
              </w:rPr>
              <w:t>；平水期□；枯水期</w:t>
            </w:r>
            <w:r>
              <w:rPr>
                <w:rFonts w:hint="eastAsia" w:ascii="Arial" w:hAnsi="Arial" w:cs="Arial"/>
                <w:snapToGrid w:val="0"/>
                <w:sz w:val="22"/>
                <w:szCs w:val="22"/>
                <w:lang w:eastAsia="zh-CN"/>
              </w:rPr>
              <w:t>☑</w:t>
            </w:r>
            <w:r>
              <w:rPr>
                <w:rFonts w:hint="default" w:ascii="Arial" w:hAnsi="Arial" w:cs="Arial"/>
                <w:snapToGrid w:val="0"/>
                <w:sz w:val="22"/>
                <w:szCs w:val="22"/>
              </w:rPr>
              <w:t>；冰封期□；</w:t>
            </w:r>
          </w:p>
          <w:p w14:paraId="40EA855B">
            <w:pPr>
              <w:keepLines w:val="0"/>
              <w:pageBreakBefore w:val="0"/>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春季□；夏季□；秋季□；冬季□</w:t>
            </w:r>
          </w:p>
        </w:tc>
      </w:tr>
      <w:tr w14:paraId="7F4F8A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68A115F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48BB683E">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评价结论</w:t>
            </w:r>
          </w:p>
        </w:tc>
        <w:tc>
          <w:tcPr>
            <w:tcW w:w="3508" w:type="pct"/>
            <w:gridSpan w:val="9"/>
            <w:shd w:val="clear" w:color="auto" w:fill="auto"/>
            <w:vAlign w:val="center"/>
          </w:tcPr>
          <w:p w14:paraId="55B84B06">
            <w:pPr>
              <w:keepLines w:val="0"/>
              <w:pageBreakBefore w:val="0"/>
              <w:widowControl/>
              <w:kinsoku/>
              <w:wordWrap/>
              <w:overflowPunct/>
              <w:topLinePunct w:val="0"/>
              <w:autoSpaceDE/>
              <w:autoSpaceDN/>
              <w:bidi w:val="0"/>
              <w:adjustRightInd/>
              <w:snapToGrid/>
              <w:spacing w:line="300" w:lineRule="exact"/>
              <w:jc w:val="both"/>
              <w:textAlignment w:val="auto"/>
              <w:rPr>
                <w:rFonts w:hint="default" w:ascii="Arial" w:hAnsi="Arial" w:cs="Arial"/>
                <w:snapToGrid w:val="0"/>
                <w:sz w:val="22"/>
                <w:szCs w:val="22"/>
              </w:rPr>
            </w:pPr>
            <w:r>
              <w:rPr>
                <w:rFonts w:hint="default" w:ascii="Arial" w:hAnsi="Arial" w:cs="Arial"/>
                <w:snapToGrid w:val="0"/>
                <w:sz w:val="22"/>
                <w:szCs w:val="22"/>
              </w:rPr>
              <w:t>水环境功能区水质达标状况：达标</w:t>
            </w:r>
            <w:r>
              <w:rPr>
                <w:rFonts w:hint="eastAsia" w:ascii="Arial" w:hAnsi="Arial" w:cs="Arial"/>
                <w:snapToGrid w:val="0"/>
                <w:sz w:val="22"/>
                <w:szCs w:val="22"/>
                <w:lang w:eastAsia="zh-CN"/>
              </w:rPr>
              <w:t>☑</w:t>
            </w:r>
            <w:r>
              <w:rPr>
                <w:rFonts w:hint="default" w:ascii="Arial" w:hAnsi="Arial" w:cs="Arial"/>
                <w:snapToGrid w:val="0"/>
                <w:sz w:val="22"/>
                <w:szCs w:val="22"/>
              </w:rPr>
              <w:t>；不达标□</w:t>
            </w:r>
          </w:p>
          <w:p w14:paraId="68B2C02A">
            <w:pPr>
              <w:keepLines w:val="0"/>
              <w:pageBreakBefore w:val="0"/>
              <w:widowControl/>
              <w:kinsoku/>
              <w:wordWrap/>
              <w:overflowPunct/>
              <w:topLinePunct w:val="0"/>
              <w:autoSpaceDE/>
              <w:autoSpaceDN/>
              <w:bidi w:val="0"/>
              <w:adjustRightInd/>
              <w:snapToGrid/>
              <w:spacing w:line="300" w:lineRule="exact"/>
              <w:jc w:val="both"/>
              <w:textAlignment w:val="auto"/>
              <w:rPr>
                <w:rFonts w:hint="default" w:ascii="Arial" w:hAnsi="Arial" w:cs="Arial"/>
                <w:snapToGrid w:val="0"/>
                <w:sz w:val="22"/>
                <w:szCs w:val="22"/>
              </w:rPr>
            </w:pPr>
            <w:r>
              <w:rPr>
                <w:rFonts w:hint="default" w:ascii="Arial" w:hAnsi="Arial" w:cs="Arial"/>
                <w:snapToGrid w:val="0"/>
                <w:sz w:val="22"/>
                <w:szCs w:val="22"/>
              </w:rPr>
              <w:t>水环境控制单元或断面水质达标状况：达标</w:t>
            </w:r>
            <w:r>
              <w:rPr>
                <w:rFonts w:hint="eastAsia" w:ascii="Arial" w:hAnsi="Arial" w:cs="Arial"/>
                <w:snapToGrid w:val="0"/>
                <w:sz w:val="22"/>
                <w:szCs w:val="22"/>
                <w:lang w:eastAsia="zh-CN"/>
              </w:rPr>
              <w:t>☑</w:t>
            </w:r>
            <w:r>
              <w:rPr>
                <w:rFonts w:hint="default" w:ascii="Arial" w:hAnsi="Arial" w:cs="Arial"/>
                <w:snapToGrid w:val="0"/>
                <w:sz w:val="22"/>
                <w:szCs w:val="22"/>
              </w:rPr>
              <w:t>；不达标□</w:t>
            </w:r>
          </w:p>
          <w:p w14:paraId="16AE4455">
            <w:pPr>
              <w:keepLines w:val="0"/>
              <w:pageBreakBefore w:val="0"/>
              <w:widowControl/>
              <w:kinsoku/>
              <w:wordWrap/>
              <w:overflowPunct/>
              <w:topLinePunct w:val="0"/>
              <w:autoSpaceDE/>
              <w:autoSpaceDN/>
              <w:bidi w:val="0"/>
              <w:adjustRightInd/>
              <w:snapToGrid/>
              <w:spacing w:line="300" w:lineRule="exact"/>
              <w:jc w:val="both"/>
              <w:textAlignment w:val="auto"/>
              <w:rPr>
                <w:rFonts w:hint="default" w:ascii="Arial" w:hAnsi="Arial" w:cs="Arial"/>
                <w:snapToGrid w:val="0"/>
                <w:sz w:val="22"/>
                <w:szCs w:val="22"/>
              </w:rPr>
            </w:pPr>
            <w:r>
              <w:rPr>
                <w:rFonts w:hint="default" w:ascii="Arial" w:hAnsi="Arial" w:cs="Arial"/>
                <w:snapToGrid w:val="0"/>
                <w:sz w:val="22"/>
                <w:szCs w:val="22"/>
              </w:rPr>
              <w:t>水环境保护目标质量状况：达标</w:t>
            </w:r>
            <w:r>
              <w:rPr>
                <w:rFonts w:hint="eastAsia" w:ascii="Arial" w:hAnsi="Arial" w:cs="Arial"/>
                <w:snapToGrid w:val="0"/>
                <w:sz w:val="22"/>
                <w:szCs w:val="22"/>
                <w:lang w:eastAsia="zh-CN"/>
              </w:rPr>
              <w:t>☑</w:t>
            </w:r>
            <w:r>
              <w:rPr>
                <w:rFonts w:hint="default" w:ascii="Arial" w:hAnsi="Arial" w:cs="Arial"/>
                <w:snapToGrid w:val="0"/>
                <w:sz w:val="22"/>
                <w:szCs w:val="22"/>
              </w:rPr>
              <w:t>；不达标□</w:t>
            </w:r>
          </w:p>
          <w:p w14:paraId="793DE191">
            <w:pPr>
              <w:keepLines w:val="0"/>
              <w:pageBreakBefore w:val="0"/>
              <w:widowControl/>
              <w:kinsoku/>
              <w:wordWrap/>
              <w:overflowPunct/>
              <w:topLinePunct w:val="0"/>
              <w:autoSpaceDE/>
              <w:autoSpaceDN/>
              <w:bidi w:val="0"/>
              <w:adjustRightInd/>
              <w:snapToGrid/>
              <w:spacing w:line="300" w:lineRule="exact"/>
              <w:jc w:val="both"/>
              <w:textAlignment w:val="auto"/>
              <w:rPr>
                <w:rFonts w:hint="default" w:ascii="Arial" w:hAnsi="Arial" w:cs="Arial"/>
                <w:snapToGrid w:val="0"/>
                <w:sz w:val="22"/>
                <w:szCs w:val="22"/>
              </w:rPr>
            </w:pPr>
            <w:r>
              <w:rPr>
                <w:rFonts w:hint="default" w:ascii="Arial" w:hAnsi="Arial" w:cs="Arial"/>
                <w:snapToGrid w:val="0"/>
                <w:sz w:val="22"/>
                <w:szCs w:val="22"/>
              </w:rPr>
              <w:t>对照断面、控制断面等代表性断面水质：达标</w:t>
            </w:r>
            <w:r>
              <w:rPr>
                <w:rFonts w:hint="eastAsia" w:ascii="Arial" w:hAnsi="Arial" w:cs="Arial"/>
                <w:snapToGrid w:val="0"/>
                <w:sz w:val="22"/>
                <w:szCs w:val="22"/>
                <w:lang w:eastAsia="zh-CN"/>
              </w:rPr>
              <w:t>☑</w:t>
            </w:r>
            <w:r>
              <w:rPr>
                <w:rFonts w:hint="default" w:ascii="Arial" w:hAnsi="Arial" w:cs="Arial"/>
                <w:snapToGrid w:val="0"/>
                <w:sz w:val="22"/>
                <w:szCs w:val="22"/>
              </w:rPr>
              <w:t>；不达标□</w:t>
            </w:r>
          </w:p>
          <w:p w14:paraId="2C44B985">
            <w:pPr>
              <w:keepLines w:val="0"/>
              <w:pageBreakBefore w:val="0"/>
              <w:widowControl/>
              <w:kinsoku/>
              <w:wordWrap/>
              <w:overflowPunct/>
              <w:topLinePunct w:val="0"/>
              <w:autoSpaceDE/>
              <w:autoSpaceDN/>
              <w:bidi w:val="0"/>
              <w:adjustRightInd/>
              <w:snapToGrid/>
              <w:spacing w:line="300" w:lineRule="exact"/>
              <w:jc w:val="both"/>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 xml:space="preserve">底泥污染评价 </w:t>
            </w:r>
            <w:r>
              <w:rPr>
                <w:rFonts w:hint="eastAsia" w:ascii="Arial" w:hAnsi="Arial" w:cs="Arial"/>
                <w:snapToGrid w:val="0"/>
                <w:sz w:val="22"/>
                <w:szCs w:val="22"/>
                <w:lang w:eastAsia="zh-CN"/>
              </w:rPr>
              <w:t>☑</w:t>
            </w:r>
          </w:p>
          <w:p w14:paraId="1DFCAF0D">
            <w:pPr>
              <w:keepLines w:val="0"/>
              <w:pageBreakBefore w:val="0"/>
              <w:widowControl/>
              <w:kinsoku/>
              <w:wordWrap/>
              <w:overflowPunct/>
              <w:topLinePunct w:val="0"/>
              <w:autoSpaceDE/>
              <w:autoSpaceDN/>
              <w:bidi w:val="0"/>
              <w:adjustRightInd/>
              <w:snapToGrid/>
              <w:spacing w:line="300" w:lineRule="exact"/>
              <w:jc w:val="both"/>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 xml:space="preserve">水资源与开发利用程度及其水文情势评价 </w:t>
            </w:r>
            <w:r>
              <w:rPr>
                <w:rFonts w:hint="eastAsia" w:ascii="Arial" w:hAnsi="Arial" w:cs="Arial"/>
                <w:snapToGrid w:val="0"/>
                <w:sz w:val="22"/>
                <w:szCs w:val="22"/>
                <w:lang w:eastAsia="zh-CN"/>
              </w:rPr>
              <w:t>☑</w:t>
            </w:r>
          </w:p>
          <w:p w14:paraId="090C84E4">
            <w:pPr>
              <w:keepLines w:val="0"/>
              <w:pageBreakBefore w:val="0"/>
              <w:widowControl/>
              <w:kinsoku/>
              <w:wordWrap/>
              <w:overflowPunct/>
              <w:topLinePunct w:val="0"/>
              <w:autoSpaceDE/>
              <w:autoSpaceDN/>
              <w:bidi w:val="0"/>
              <w:adjustRightInd/>
              <w:snapToGrid/>
              <w:spacing w:line="300" w:lineRule="exact"/>
              <w:jc w:val="both"/>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 xml:space="preserve">水环境质量回顾评价 </w:t>
            </w:r>
            <w:r>
              <w:rPr>
                <w:rFonts w:hint="eastAsia" w:ascii="Arial" w:hAnsi="Arial" w:cs="Arial"/>
                <w:snapToGrid w:val="0"/>
                <w:sz w:val="22"/>
                <w:szCs w:val="22"/>
                <w:lang w:eastAsia="zh-CN"/>
              </w:rPr>
              <w:t>☑</w:t>
            </w:r>
          </w:p>
          <w:p w14:paraId="1E564B64">
            <w:pPr>
              <w:keepLines w:val="0"/>
              <w:pageBreakBefore w:val="0"/>
              <w:widowControl/>
              <w:kinsoku/>
              <w:wordWrap/>
              <w:overflowPunct/>
              <w:topLinePunct w:val="0"/>
              <w:autoSpaceDE/>
              <w:autoSpaceDN/>
              <w:bidi w:val="0"/>
              <w:adjustRightInd/>
              <w:snapToGrid/>
              <w:spacing w:line="300" w:lineRule="exact"/>
              <w:jc w:val="both"/>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 xml:space="preserve">流域(区域)水资源(包括水能资源)与开发利用总体状况、生态流量管理要求与现状满足程度、建设项目占用水域空间的水流状况与河湖演变状况 </w:t>
            </w:r>
            <w:r>
              <w:rPr>
                <w:rFonts w:hint="eastAsia" w:ascii="Arial" w:hAnsi="Arial" w:cs="Arial"/>
                <w:snapToGrid w:val="0"/>
                <w:sz w:val="22"/>
                <w:szCs w:val="22"/>
                <w:lang w:eastAsia="zh-CN"/>
              </w:rPr>
              <w:t>☑</w:t>
            </w:r>
          </w:p>
        </w:tc>
        <w:tc>
          <w:tcPr>
            <w:tcW w:w="620" w:type="pct"/>
            <w:shd w:val="clear" w:color="auto" w:fill="auto"/>
            <w:vAlign w:val="center"/>
          </w:tcPr>
          <w:p w14:paraId="291BF6D8">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达标区</w:t>
            </w:r>
            <w:r>
              <w:rPr>
                <w:rFonts w:hint="eastAsia" w:ascii="Arial" w:hAnsi="Arial" w:cs="Arial"/>
                <w:snapToGrid w:val="0"/>
                <w:sz w:val="22"/>
                <w:szCs w:val="22"/>
                <w:lang w:eastAsia="zh-CN"/>
              </w:rPr>
              <w:t>☑</w:t>
            </w:r>
          </w:p>
          <w:p w14:paraId="4D91639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不达标区□</w:t>
            </w:r>
          </w:p>
        </w:tc>
      </w:tr>
      <w:tr w14:paraId="13193E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restart"/>
            <w:shd w:val="clear" w:color="auto" w:fill="auto"/>
            <w:vAlign w:val="center"/>
          </w:tcPr>
          <w:p w14:paraId="19B1987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影响预测</w:t>
            </w:r>
          </w:p>
        </w:tc>
        <w:tc>
          <w:tcPr>
            <w:tcW w:w="630" w:type="pct"/>
            <w:shd w:val="clear" w:color="auto" w:fill="auto"/>
            <w:vAlign w:val="center"/>
          </w:tcPr>
          <w:p w14:paraId="548EA4B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预测范围</w:t>
            </w:r>
          </w:p>
        </w:tc>
        <w:tc>
          <w:tcPr>
            <w:tcW w:w="4128" w:type="pct"/>
            <w:gridSpan w:val="10"/>
            <w:shd w:val="clear" w:color="auto" w:fill="auto"/>
            <w:vAlign w:val="center"/>
          </w:tcPr>
          <w:p w14:paraId="353218E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河流：长度</w:t>
            </w: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8.48</w:t>
            </w:r>
            <w:r>
              <w:rPr>
                <w:rFonts w:hint="eastAsia" w:ascii="Arial" w:hAnsi="Arial" w:cs="Arial"/>
                <w:snapToGrid w:val="0"/>
                <w:sz w:val="22"/>
                <w:szCs w:val="22"/>
                <w:lang w:eastAsia="zh-CN"/>
              </w:rPr>
              <w:t>）</w:t>
            </w:r>
            <w:r>
              <w:rPr>
                <w:rFonts w:hint="default" w:ascii="Arial" w:hAnsi="Arial" w:cs="Arial"/>
                <w:snapToGrid w:val="0"/>
                <w:sz w:val="22"/>
                <w:szCs w:val="22"/>
              </w:rPr>
              <w:t>km；湖库、河口及近岸海域：面积</w:t>
            </w: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r>
              <w:rPr>
                <w:rFonts w:hint="default" w:ascii="Arial" w:hAnsi="Arial" w:cs="Arial"/>
                <w:snapToGrid w:val="0"/>
                <w:sz w:val="22"/>
                <w:szCs w:val="22"/>
              </w:rPr>
              <w:t>km</w:t>
            </w:r>
            <w:r>
              <w:rPr>
                <w:rFonts w:hint="default" w:ascii="Arial" w:hAnsi="Arial" w:cs="Arial"/>
                <w:snapToGrid w:val="0"/>
                <w:sz w:val="22"/>
                <w:szCs w:val="22"/>
                <w:vertAlign w:val="superscript"/>
              </w:rPr>
              <w:t>2</w:t>
            </w:r>
          </w:p>
        </w:tc>
      </w:tr>
      <w:tr w14:paraId="78A0E9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6DBEFE8F">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7C2FC419">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预测因子</w:t>
            </w:r>
          </w:p>
        </w:tc>
        <w:tc>
          <w:tcPr>
            <w:tcW w:w="4128" w:type="pct"/>
            <w:gridSpan w:val="10"/>
            <w:shd w:val="clear" w:color="auto" w:fill="auto"/>
            <w:vAlign w:val="center"/>
          </w:tcPr>
          <w:p w14:paraId="74851C1A">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eastAsia" w:ascii="Arial" w:hAnsi="Arial" w:cs="Arial"/>
                <w:snapToGrid w:val="0"/>
                <w:sz w:val="22"/>
                <w:szCs w:val="22"/>
                <w:lang w:eastAsia="zh-CN"/>
              </w:rPr>
              <w:t>（流速、流量、水面宽度、水深）</w:t>
            </w:r>
          </w:p>
        </w:tc>
      </w:tr>
      <w:tr w14:paraId="14C84F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09E3F49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270194B1">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预测时期</w:t>
            </w:r>
          </w:p>
        </w:tc>
        <w:tc>
          <w:tcPr>
            <w:tcW w:w="4128" w:type="pct"/>
            <w:gridSpan w:val="10"/>
            <w:shd w:val="clear" w:color="auto" w:fill="auto"/>
            <w:vAlign w:val="center"/>
          </w:tcPr>
          <w:p w14:paraId="719DD9F5">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丰水期</w:t>
            </w:r>
            <w:r>
              <w:rPr>
                <w:rFonts w:hint="eastAsia" w:ascii="Arial" w:hAnsi="Arial" w:cs="Arial"/>
                <w:snapToGrid w:val="0"/>
                <w:sz w:val="22"/>
                <w:szCs w:val="22"/>
                <w:lang w:eastAsia="zh-CN"/>
              </w:rPr>
              <w:t>☑</w:t>
            </w:r>
            <w:r>
              <w:rPr>
                <w:rFonts w:hint="default" w:ascii="Arial" w:hAnsi="Arial" w:cs="Arial"/>
                <w:snapToGrid w:val="0"/>
                <w:sz w:val="22"/>
                <w:szCs w:val="22"/>
              </w:rPr>
              <w:t>；平水期□；枯水期</w:t>
            </w:r>
            <w:r>
              <w:rPr>
                <w:rFonts w:hint="eastAsia" w:ascii="Arial" w:hAnsi="Arial" w:cs="Arial"/>
                <w:snapToGrid w:val="0"/>
                <w:sz w:val="22"/>
                <w:szCs w:val="22"/>
                <w:lang w:eastAsia="zh-CN"/>
              </w:rPr>
              <w:t>☑</w:t>
            </w:r>
            <w:r>
              <w:rPr>
                <w:rFonts w:hint="default" w:ascii="Arial" w:hAnsi="Arial" w:cs="Arial"/>
                <w:snapToGrid w:val="0"/>
                <w:sz w:val="22"/>
                <w:szCs w:val="22"/>
              </w:rPr>
              <w:t>；冰封期□；</w:t>
            </w:r>
          </w:p>
          <w:p w14:paraId="4409630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春季□；夏季□；秋季□；冬季□</w:t>
            </w:r>
          </w:p>
          <w:p w14:paraId="6E0589F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设计水文条件□</w:t>
            </w:r>
          </w:p>
        </w:tc>
      </w:tr>
      <w:tr w14:paraId="295421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3D15FCE3">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6187C2F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预测情景</w:t>
            </w:r>
          </w:p>
        </w:tc>
        <w:tc>
          <w:tcPr>
            <w:tcW w:w="4128" w:type="pct"/>
            <w:gridSpan w:val="10"/>
            <w:shd w:val="clear" w:color="auto" w:fill="auto"/>
            <w:vAlign w:val="center"/>
          </w:tcPr>
          <w:p w14:paraId="532E1E8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 xml:space="preserve">建设期□；生产运行期 </w:t>
            </w:r>
            <w:r>
              <w:rPr>
                <w:rFonts w:hint="eastAsia" w:ascii="Arial" w:hAnsi="Arial" w:cs="Arial"/>
                <w:snapToGrid w:val="0"/>
                <w:sz w:val="22"/>
                <w:szCs w:val="22"/>
                <w:lang w:eastAsia="zh-CN"/>
              </w:rPr>
              <w:t>☑</w:t>
            </w:r>
            <w:r>
              <w:rPr>
                <w:rFonts w:hint="default" w:ascii="Arial" w:hAnsi="Arial" w:cs="Arial"/>
                <w:snapToGrid w:val="0"/>
                <w:sz w:val="22"/>
                <w:szCs w:val="22"/>
              </w:rPr>
              <w:t>；服务期满后 □</w:t>
            </w:r>
          </w:p>
          <w:p w14:paraId="7A85F264">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 xml:space="preserve">正常工况 </w:t>
            </w:r>
            <w:r>
              <w:rPr>
                <w:rFonts w:hint="eastAsia" w:ascii="Arial" w:hAnsi="Arial" w:cs="Arial"/>
                <w:snapToGrid w:val="0"/>
                <w:sz w:val="22"/>
                <w:szCs w:val="22"/>
                <w:lang w:eastAsia="zh-CN"/>
              </w:rPr>
              <w:t>☑</w:t>
            </w:r>
            <w:r>
              <w:rPr>
                <w:rFonts w:hint="default" w:ascii="Arial" w:hAnsi="Arial" w:cs="Arial"/>
                <w:snapToGrid w:val="0"/>
                <w:sz w:val="22"/>
                <w:szCs w:val="22"/>
              </w:rPr>
              <w:t>；非正常工况□</w:t>
            </w:r>
          </w:p>
          <w:p w14:paraId="0BA6BFF7">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污染控制和减排措施方案 □</w:t>
            </w:r>
          </w:p>
          <w:p w14:paraId="5DF480B4">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区(流)域环境质量改善目标要求 □</w:t>
            </w:r>
          </w:p>
        </w:tc>
      </w:tr>
      <w:tr w14:paraId="7400E5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2EDDA9E3">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0D52626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预测方法</w:t>
            </w:r>
          </w:p>
        </w:tc>
        <w:tc>
          <w:tcPr>
            <w:tcW w:w="4128" w:type="pct"/>
            <w:gridSpan w:val="10"/>
            <w:shd w:val="clear" w:color="auto" w:fill="auto"/>
            <w:vAlign w:val="center"/>
          </w:tcPr>
          <w:p w14:paraId="42D220E5">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数值解 □；解析解 □；其他 □；</w:t>
            </w:r>
          </w:p>
          <w:p w14:paraId="0C41A27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导则推荐模式 □；其他□</w:t>
            </w:r>
          </w:p>
        </w:tc>
      </w:tr>
      <w:tr w14:paraId="1C3FAC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restart"/>
            <w:shd w:val="clear" w:color="auto" w:fill="auto"/>
            <w:vAlign w:val="center"/>
          </w:tcPr>
          <w:p w14:paraId="750DA54B">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影响评价</w:t>
            </w:r>
          </w:p>
        </w:tc>
        <w:tc>
          <w:tcPr>
            <w:tcW w:w="630" w:type="pct"/>
            <w:shd w:val="clear" w:color="auto" w:fill="auto"/>
            <w:vAlign w:val="center"/>
          </w:tcPr>
          <w:p w14:paraId="78412D9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水污染控制和水环境影响减缓措施有效性评价</w:t>
            </w:r>
          </w:p>
        </w:tc>
        <w:tc>
          <w:tcPr>
            <w:tcW w:w="4128" w:type="pct"/>
            <w:gridSpan w:val="10"/>
            <w:shd w:val="clear" w:color="auto" w:fill="auto"/>
            <w:vAlign w:val="center"/>
          </w:tcPr>
          <w:p w14:paraId="653B99EB">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区(流)域水环境质量改善目标 □；替代削减源 □</w:t>
            </w:r>
          </w:p>
        </w:tc>
      </w:tr>
      <w:tr w14:paraId="57BCD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5856B689">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2BB54A2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水环境影响评价</w:t>
            </w:r>
          </w:p>
        </w:tc>
        <w:tc>
          <w:tcPr>
            <w:tcW w:w="4128" w:type="pct"/>
            <w:gridSpan w:val="10"/>
            <w:shd w:val="clear" w:color="auto" w:fill="auto"/>
            <w:vAlign w:val="center"/>
          </w:tcPr>
          <w:p w14:paraId="5B35095A">
            <w:pPr>
              <w:keepLines w:val="0"/>
              <w:pageBreakBefore w:val="0"/>
              <w:widowControl/>
              <w:kinsoku/>
              <w:wordWrap/>
              <w:overflowPunct/>
              <w:topLinePunct w:val="0"/>
              <w:autoSpaceDE/>
              <w:autoSpaceDN/>
              <w:bidi w:val="0"/>
              <w:adjustRightInd/>
              <w:snapToGrid/>
              <w:spacing w:line="300" w:lineRule="exact"/>
              <w:jc w:val="both"/>
              <w:textAlignment w:val="auto"/>
              <w:rPr>
                <w:rFonts w:hint="default" w:ascii="Arial" w:hAnsi="Arial" w:cs="Arial"/>
                <w:snapToGrid w:val="0"/>
                <w:sz w:val="22"/>
                <w:szCs w:val="22"/>
              </w:rPr>
            </w:pPr>
            <w:r>
              <w:rPr>
                <w:rFonts w:hint="default" w:ascii="Arial" w:hAnsi="Arial" w:cs="Arial"/>
                <w:snapToGrid w:val="0"/>
                <w:sz w:val="22"/>
                <w:szCs w:val="22"/>
              </w:rPr>
              <w:t>排放口混合区外满足水环境管理要求 □</w:t>
            </w:r>
          </w:p>
          <w:p w14:paraId="625C148C">
            <w:pPr>
              <w:keepLines w:val="0"/>
              <w:pageBreakBefore w:val="0"/>
              <w:widowControl/>
              <w:kinsoku/>
              <w:wordWrap/>
              <w:overflowPunct/>
              <w:topLinePunct w:val="0"/>
              <w:autoSpaceDE/>
              <w:autoSpaceDN/>
              <w:bidi w:val="0"/>
              <w:adjustRightInd/>
              <w:snapToGrid/>
              <w:spacing w:line="300" w:lineRule="exact"/>
              <w:jc w:val="both"/>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 xml:space="preserve">水环境功能区或水功能区、近岸海域环境功能区水质达标 </w:t>
            </w:r>
            <w:r>
              <w:rPr>
                <w:rFonts w:hint="eastAsia" w:ascii="Arial" w:hAnsi="Arial" w:cs="Arial"/>
                <w:snapToGrid w:val="0"/>
                <w:sz w:val="22"/>
                <w:szCs w:val="22"/>
                <w:lang w:eastAsia="zh-CN"/>
              </w:rPr>
              <w:t>☑</w:t>
            </w:r>
          </w:p>
          <w:p w14:paraId="0EE65C33">
            <w:pPr>
              <w:keepLines w:val="0"/>
              <w:pageBreakBefore w:val="0"/>
              <w:widowControl/>
              <w:kinsoku/>
              <w:wordWrap/>
              <w:overflowPunct/>
              <w:topLinePunct w:val="0"/>
              <w:autoSpaceDE/>
              <w:autoSpaceDN/>
              <w:bidi w:val="0"/>
              <w:adjustRightInd/>
              <w:snapToGrid/>
              <w:spacing w:line="300" w:lineRule="exact"/>
              <w:jc w:val="both"/>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 xml:space="preserve">满足水环境保护目标水域水环境质量要求 </w:t>
            </w:r>
            <w:r>
              <w:rPr>
                <w:rFonts w:hint="eastAsia" w:ascii="Arial" w:hAnsi="Arial" w:cs="Arial"/>
                <w:snapToGrid w:val="0"/>
                <w:sz w:val="22"/>
                <w:szCs w:val="22"/>
                <w:lang w:eastAsia="zh-CN"/>
              </w:rPr>
              <w:t>☑</w:t>
            </w:r>
          </w:p>
          <w:p w14:paraId="0511833E">
            <w:pPr>
              <w:keepLines w:val="0"/>
              <w:pageBreakBefore w:val="0"/>
              <w:widowControl/>
              <w:kinsoku/>
              <w:wordWrap/>
              <w:overflowPunct/>
              <w:topLinePunct w:val="0"/>
              <w:autoSpaceDE/>
              <w:autoSpaceDN/>
              <w:bidi w:val="0"/>
              <w:adjustRightInd/>
              <w:snapToGrid/>
              <w:spacing w:line="300" w:lineRule="exact"/>
              <w:jc w:val="both"/>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 xml:space="preserve">水环境控制单元或断面水质达标 </w:t>
            </w:r>
            <w:r>
              <w:rPr>
                <w:rFonts w:hint="eastAsia" w:ascii="Arial" w:hAnsi="Arial" w:cs="Arial"/>
                <w:snapToGrid w:val="0"/>
                <w:sz w:val="22"/>
                <w:szCs w:val="22"/>
                <w:lang w:eastAsia="zh-CN"/>
              </w:rPr>
              <w:t>☑</w:t>
            </w:r>
          </w:p>
          <w:p w14:paraId="44370E4F">
            <w:pPr>
              <w:keepLines w:val="0"/>
              <w:pageBreakBefore w:val="0"/>
              <w:widowControl/>
              <w:kinsoku/>
              <w:wordWrap/>
              <w:overflowPunct/>
              <w:topLinePunct w:val="0"/>
              <w:autoSpaceDE/>
              <w:autoSpaceDN/>
              <w:bidi w:val="0"/>
              <w:adjustRightInd/>
              <w:snapToGrid/>
              <w:spacing w:line="300" w:lineRule="exact"/>
              <w:jc w:val="both"/>
              <w:textAlignment w:val="auto"/>
              <w:rPr>
                <w:rFonts w:hint="default" w:ascii="Arial" w:hAnsi="Arial" w:cs="Arial"/>
                <w:snapToGrid w:val="0"/>
                <w:sz w:val="22"/>
                <w:szCs w:val="22"/>
              </w:rPr>
            </w:pPr>
            <w:r>
              <w:rPr>
                <w:rFonts w:hint="default" w:ascii="Arial" w:hAnsi="Arial" w:cs="Arial"/>
                <w:snapToGrid w:val="0"/>
                <w:sz w:val="22"/>
                <w:szCs w:val="22"/>
              </w:rPr>
              <w:t>满足重点水污染排放总量控制指标要求，重点行业建设项目，主要污染物排放满足等量或减量替代要求 □</w:t>
            </w:r>
          </w:p>
          <w:p w14:paraId="123D2EEE">
            <w:pPr>
              <w:keepLines w:val="0"/>
              <w:pageBreakBefore w:val="0"/>
              <w:widowControl/>
              <w:kinsoku/>
              <w:wordWrap/>
              <w:overflowPunct/>
              <w:topLinePunct w:val="0"/>
              <w:autoSpaceDE/>
              <w:autoSpaceDN/>
              <w:bidi w:val="0"/>
              <w:adjustRightInd/>
              <w:snapToGrid/>
              <w:spacing w:line="300" w:lineRule="exact"/>
              <w:jc w:val="both"/>
              <w:textAlignment w:val="auto"/>
              <w:rPr>
                <w:rFonts w:hint="default" w:ascii="Arial" w:hAnsi="Arial" w:cs="Arial"/>
                <w:snapToGrid w:val="0"/>
                <w:sz w:val="22"/>
                <w:szCs w:val="22"/>
              </w:rPr>
            </w:pPr>
            <w:r>
              <w:rPr>
                <w:rFonts w:hint="default" w:ascii="Arial" w:hAnsi="Arial" w:cs="Arial"/>
                <w:snapToGrid w:val="0"/>
                <w:sz w:val="22"/>
                <w:szCs w:val="22"/>
              </w:rPr>
              <w:t>水文要素影响型建设项目同时应包括水文情势变化评价、主要水文特征值影响评价、生态流量符合性评价 □</w:t>
            </w:r>
          </w:p>
          <w:p w14:paraId="2DBC50EB">
            <w:pPr>
              <w:keepLines w:val="0"/>
              <w:pageBreakBefore w:val="0"/>
              <w:widowControl/>
              <w:kinsoku/>
              <w:wordWrap/>
              <w:overflowPunct/>
              <w:topLinePunct w:val="0"/>
              <w:autoSpaceDE/>
              <w:autoSpaceDN/>
              <w:bidi w:val="0"/>
              <w:adjustRightInd/>
              <w:snapToGrid/>
              <w:spacing w:line="300" w:lineRule="exact"/>
              <w:jc w:val="both"/>
              <w:textAlignment w:val="auto"/>
              <w:rPr>
                <w:rFonts w:hint="default" w:ascii="Arial" w:hAnsi="Arial" w:cs="Arial"/>
                <w:snapToGrid w:val="0"/>
                <w:sz w:val="22"/>
                <w:szCs w:val="22"/>
              </w:rPr>
            </w:pPr>
            <w:r>
              <w:rPr>
                <w:rFonts w:hint="default" w:ascii="Arial" w:hAnsi="Arial" w:cs="Arial"/>
                <w:snapToGrid w:val="0"/>
                <w:sz w:val="22"/>
                <w:szCs w:val="22"/>
              </w:rPr>
              <w:t>新设或调整入河排放口建设项目，应包括排放口设置的环境合理性评价 □</w:t>
            </w:r>
          </w:p>
          <w:p w14:paraId="793C4F74">
            <w:pPr>
              <w:keepLines w:val="0"/>
              <w:pageBreakBefore w:val="0"/>
              <w:widowControl/>
              <w:kinsoku/>
              <w:wordWrap/>
              <w:overflowPunct/>
              <w:topLinePunct w:val="0"/>
              <w:autoSpaceDE/>
              <w:autoSpaceDN/>
              <w:bidi w:val="0"/>
              <w:adjustRightInd/>
              <w:snapToGrid/>
              <w:spacing w:line="300" w:lineRule="exact"/>
              <w:jc w:val="both"/>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 xml:space="preserve">满足生态保护红线、水环境质量底线、资源利用上线和环境准入清单管理要求 </w:t>
            </w:r>
            <w:r>
              <w:rPr>
                <w:rFonts w:hint="eastAsia" w:ascii="Arial" w:hAnsi="Arial" w:cs="Arial"/>
                <w:snapToGrid w:val="0"/>
                <w:sz w:val="22"/>
                <w:szCs w:val="22"/>
                <w:lang w:eastAsia="zh-CN"/>
              </w:rPr>
              <w:t>☑</w:t>
            </w:r>
          </w:p>
        </w:tc>
      </w:tr>
      <w:tr w14:paraId="3AA1D5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7131A64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restart"/>
            <w:shd w:val="clear" w:color="auto" w:fill="auto"/>
            <w:vAlign w:val="center"/>
          </w:tcPr>
          <w:p w14:paraId="3966908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污染源排放量</w:t>
            </w:r>
          </w:p>
          <w:p w14:paraId="32409DC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核算</w:t>
            </w:r>
          </w:p>
        </w:tc>
        <w:tc>
          <w:tcPr>
            <w:tcW w:w="1646" w:type="pct"/>
            <w:gridSpan w:val="4"/>
            <w:shd w:val="clear" w:color="auto" w:fill="auto"/>
            <w:vAlign w:val="center"/>
          </w:tcPr>
          <w:p w14:paraId="39C8D54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污染物名称</w:t>
            </w:r>
          </w:p>
        </w:tc>
        <w:tc>
          <w:tcPr>
            <w:tcW w:w="1275" w:type="pct"/>
            <w:gridSpan w:val="3"/>
            <w:shd w:val="clear" w:color="auto" w:fill="auto"/>
            <w:vAlign w:val="center"/>
          </w:tcPr>
          <w:p w14:paraId="0A05C0D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排放量，t/a</w:t>
            </w:r>
          </w:p>
        </w:tc>
        <w:tc>
          <w:tcPr>
            <w:tcW w:w="1207" w:type="pct"/>
            <w:gridSpan w:val="3"/>
            <w:shd w:val="clear" w:color="auto" w:fill="auto"/>
            <w:vAlign w:val="center"/>
          </w:tcPr>
          <w:p w14:paraId="7018F18F">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排放浓度，mg/L</w:t>
            </w:r>
          </w:p>
        </w:tc>
      </w:tr>
      <w:tr w14:paraId="6B42D9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71C54FF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18DFE16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1646" w:type="pct"/>
            <w:gridSpan w:val="4"/>
            <w:shd w:val="clear" w:color="auto" w:fill="auto"/>
            <w:vAlign w:val="center"/>
          </w:tcPr>
          <w:p w14:paraId="6F43E1C9">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p>
        </w:tc>
        <w:tc>
          <w:tcPr>
            <w:tcW w:w="1275" w:type="pct"/>
            <w:gridSpan w:val="3"/>
            <w:shd w:val="clear" w:color="auto" w:fill="auto"/>
            <w:vAlign w:val="center"/>
          </w:tcPr>
          <w:p w14:paraId="1B12D7F3">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p>
        </w:tc>
        <w:tc>
          <w:tcPr>
            <w:tcW w:w="1207" w:type="pct"/>
            <w:gridSpan w:val="3"/>
            <w:shd w:val="clear" w:color="auto" w:fill="auto"/>
            <w:vAlign w:val="center"/>
          </w:tcPr>
          <w:p w14:paraId="25015F1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p>
        </w:tc>
      </w:tr>
      <w:tr w14:paraId="654379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4085DFB5">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10AA0BB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1646" w:type="pct"/>
            <w:gridSpan w:val="4"/>
            <w:shd w:val="clear" w:color="auto" w:fill="auto"/>
            <w:vAlign w:val="center"/>
          </w:tcPr>
          <w:p w14:paraId="40BC406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p>
        </w:tc>
        <w:tc>
          <w:tcPr>
            <w:tcW w:w="1275" w:type="pct"/>
            <w:gridSpan w:val="3"/>
            <w:shd w:val="clear" w:color="auto" w:fill="auto"/>
            <w:vAlign w:val="center"/>
          </w:tcPr>
          <w:p w14:paraId="772B6BA3">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p>
        </w:tc>
        <w:tc>
          <w:tcPr>
            <w:tcW w:w="1207" w:type="pct"/>
            <w:gridSpan w:val="3"/>
            <w:shd w:val="clear" w:color="auto" w:fill="auto"/>
            <w:vAlign w:val="center"/>
          </w:tcPr>
          <w:p w14:paraId="3CD1D78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p>
        </w:tc>
      </w:tr>
      <w:tr w14:paraId="24254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05EADB0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restart"/>
            <w:shd w:val="clear" w:color="auto" w:fill="auto"/>
            <w:vAlign w:val="center"/>
          </w:tcPr>
          <w:p w14:paraId="40E48067">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替代源排放情况</w:t>
            </w:r>
          </w:p>
        </w:tc>
        <w:tc>
          <w:tcPr>
            <w:tcW w:w="742" w:type="pct"/>
            <w:gridSpan w:val="2"/>
            <w:shd w:val="clear" w:color="auto" w:fill="auto"/>
            <w:vAlign w:val="center"/>
          </w:tcPr>
          <w:p w14:paraId="507FCC1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污染源名称</w:t>
            </w:r>
          </w:p>
        </w:tc>
        <w:tc>
          <w:tcPr>
            <w:tcW w:w="904" w:type="pct"/>
            <w:gridSpan w:val="2"/>
            <w:shd w:val="clear" w:color="auto" w:fill="auto"/>
            <w:vAlign w:val="center"/>
          </w:tcPr>
          <w:p w14:paraId="320DB689">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排污许可证</w:t>
            </w:r>
          </w:p>
          <w:p w14:paraId="6FFADF16">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编号</w:t>
            </w:r>
          </w:p>
        </w:tc>
        <w:tc>
          <w:tcPr>
            <w:tcW w:w="851" w:type="pct"/>
            <w:gridSpan w:val="2"/>
            <w:shd w:val="clear" w:color="auto" w:fill="auto"/>
            <w:vAlign w:val="center"/>
          </w:tcPr>
          <w:p w14:paraId="02689A39">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污染物名称</w:t>
            </w:r>
          </w:p>
        </w:tc>
        <w:tc>
          <w:tcPr>
            <w:tcW w:w="648" w:type="pct"/>
            <w:gridSpan w:val="2"/>
            <w:shd w:val="clear" w:color="auto" w:fill="auto"/>
            <w:vAlign w:val="center"/>
          </w:tcPr>
          <w:p w14:paraId="39917787">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排放量，t/a</w:t>
            </w:r>
          </w:p>
        </w:tc>
        <w:tc>
          <w:tcPr>
            <w:tcW w:w="982" w:type="pct"/>
            <w:gridSpan w:val="2"/>
            <w:shd w:val="clear" w:color="auto" w:fill="auto"/>
            <w:vAlign w:val="center"/>
          </w:tcPr>
          <w:p w14:paraId="65CCF5F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排放浓度，mg/L</w:t>
            </w:r>
          </w:p>
        </w:tc>
      </w:tr>
      <w:tr w14:paraId="7AEA6D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59B264F1">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53E1FBC9">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742" w:type="pct"/>
            <w:gridSpan w:val="2"/>
            <w:shd w:val="clear" w:color="auto" w:fill="auto"/>
            <w:vAlign w:val="center"/>
          </w:tcPr>
          <w:p w14:paraId="57BFD40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w:t>
            </w:r>
          </w:p>
        </w:tc>
        <w:tc>
          <w:tcPr>
            <w:tcW w:w="904" w:type="pct"/>
            <w:gridSpan w:val="2"/>
            <w:shd w:val="clear" w:color="auto" w:fill="auto"/>
            <w:vAlign w:val="center"/>
          </w:tcPr>
          <w:p w14:paraId="10E0810E">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w:t>
            </w:r>
          </w:p>
        </w:tc>
        <w:tc>
          <w:tcPr>
            <w:tcW w:w="851" w:type="pct"/>
            <w:gridSpan w:val="2"/>
            <w:shd w:val="clear" w:color="auto" w:fill="auto"/>
            <w:vAlign w:val="center"/>
          </w:tcPr>
          <w:p w14:paraId="15CAFFF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w:t>
            </w:r>
          </w:p>
        </w:tc>
        <w:tc>
          <w:tcPr>
            <w:tcW w:w="648" w:type="pct"/>
            <w:gridSpan w:val="2"/>
            <w:shd w:val="clear" w:color="auto" w:fill="auto"/>
            <w:vAlign w:val="center"/>
          </w:tcPr>
          <w:p w14:paraId="0489780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w:t>
            </w:r>
          </w:p>
        </w:tc>
        <w:tc>
          <w:tcPr>
            <w:tcW w:w="982" w:type="pct"/>
            <w:gridSpan w:val="2"/>
            <w:shd w:val="clear" w:color="auto" w:fill="auto"/>
            <w:vAlign w:val="center"/>
          </w:tcPr>
          <w:p w14:paraId="6509F18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w:t>
            </w:r>
          </w:p>
        </w:tc>
      </w:tr>
      <w:tr w14:paraId="3D1C13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7EA28074">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5A1B55BB">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生态流量确定</w:t>
            </w:r>
          </w:p>
        </w:tc>
        <w:tc>
          <w:tcPr>
            <w:tcW w:w="4128" w:type="pct"/>
            <w:gridSpan w:val="10"/>
            <w:shd w:val="clear" w:color="auto" w:fill="auto"/>
            <w:vAlign w:val="center"/>
          </w:tcPr>
          <w:p w14:paraId="756F1029">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生态流量：一般水期</w:t>
            </w: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0.005</w:t>
            </w:r>
            <w:r>
              <w:rPr>
                <w:rFonts w:hint="eastAsia" w:ascii="Arial" w:hAnsi="Arial" w:cs="Arial"/>
                <w:snapToGrid w:val="0"/>
                <w:sz w:val="22"/>
                <w:szCs w:val="22"/>
                <w:lang w:eastAsia="zh-CN"/>
              </w:rPr>
              <w:t>）</w:t>
            </w:r>
            <w:r>
              <w:rPr>
                <w:rFonts w:hint="default" w:ascii="Arial" w:hAnsi="Arial" w:cs="Arial"/>
                <w:snapToGrid w:val="0"/>
                <w:sz w:val="22"/>
                <w:szCs w:val="22"/>
              </w:rPr>
              <w:t>m</w:t>
            </w:r>
            <w:r>
              <w:rPr>
                <w:rFonts w:hint="default" w:ascii="Arial" w:hAnsi="Arial" w:cs="Arial"/>
                <w:snapToGrid w:val="0"/>
                <w:sz w:val="22"/>
                <w:szCs w:val="22"/>
                <w:vertAlign w:val="superscript"/>
              </w:rPr>
              <w:t>3</w:t>
            </w:r>
            <w:r>
              <w:rPr>
                <w:rFonts w:hint="default" w:ascii="Arial" w:hAnsi="Arial" w:cs="Arial"/>
                <w:snapToGrid w:val="0"/>
                <w:sz w:val="22"/>
                <w:szCs w:val="22"/>
              </w:rPr>
              <w:t>/s；鱼类繁殖期</w:t>
            </w:r>
            <w:r>
              <w:rPr>
                <w:rFonts w:hint="eastAsia" w:ascii="Arial" w:hAnsi="Arial" w:cs="Arial"/>
                <w:snapToGrid w:val="0"/>
                <w:sz w:val="22"/>
                <w:szCs w:val="22"/>
                <w:lang w:eastAsia="zh-CN"/>
              </w:rPr>
              <w:t>（）</w:t>
            </w:r>
            <w:r>
              <w:rPr>
                <w:rFonts w:hint="default" w:ascii="Arial" w:hAnsi="Arial" w:cs="Arial"/>
                <w:snapToGrid w:val="0"/>
                <w:sz w:val="22"/>
                <w:szCs w:val="22"/>
              </w:rPr>
              <w:t>m</w:t>
            </w:r>
            <w:r>
              <w:rPr>
                <w:rFonts w:hint="default" w:ascii="Arial" w:hAnsi="Arial" w:cs="Arial"/>
                <w:snapToGrid w:val="0"/>
                <w:sz w:val="22"/>
                <w:szCs w:val="22"/>
                <w:vertAlign w:val="superscript"/>
              </w:rPr>
              <w:t>3</w:t>
            </w:r>
            <w:r>
              <w:rPr>
                <w:rFonts w:hint="default" w:ascii="Arial" w:hAnsi="Arial" w:cs="Arial"/>
                <w:snapToGrid w:val="0"/>
                <w:sz w:val="22"/>
                <w:szCs w:val="22"/>
              </w:rPr>
              <w:t>/s；其他</w:t>
            </w:r>
            <w:r>
              <w:rPr>
                <w:rFonts w:hint="eastAsia" w:ascii="Arial" w:hAnsi="Arial" w:cs="Arial"/>
                <w:snapToGrid w:val="0"/>
                <w:sz w:val="22"/>
                <w:szCs w:val="22"/>
                <w:lang w:eastAsia="zh-CN"/>
              </w:rPr>
              <w:t>（）</w:t>
            </w:r>
            <w:r>
              <w:rPr>
                <w:rFonts w:hint="default" w:ascii="Arial" w:hAnsi="Arial" w:cs="Arial"/>
                <w:snapToGrid w:val="0"/>
                <w:sz w:val="22"/>
                <w:szCs w:val="22"/>
              </w:rPr>
              <w:t>m</w:t>
            </w:r>
            <w:r>
              <w:rPr>
                <w:rFonts w:hint="default" w:ascii="Arial" w:hAnsi="Arial" w:cs="Arial"/>
                <w:snapToGrid w:val="0"/>
                <w:sz w:val="22"/>
                <w:szCs w:val="22"/>
                <w:vertAlign w:val="superscript"/>
              </w:rPr>
              <w:t>3</w:t>
            </w:r>
            <w:r>
              <w:rPr>
                <w:rFonts w:hint="default" w:ascii="Arial" w:hAnsi="Arial" w:cs="Arial"/>
                <w:snapToGrid w:val="0"/>
                <w:sz w:val="22"/>
                <w:szCs w:val="22"/>
              </w:rPr>
              <w:t>/s</w:t>
            </w:r>
          </w:p>
          <w:p w14:paraId="753C219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生态水位：一般水期</w:t>
            </w:r>
            <w:r>
              <w:rPr>
                <w:rFonts w:hint="eastAsia" w:ascii="Arial" w:hAnsi="Arial" w:cs="Arial"/>
                <w:snapToGrid w:val="0"/>
                <w:sz w:val="22"/>
                <w:szCs w:val="22"/>
                <w:lang w:eastAsia="zh-CN"/>
              </w:rPr>
              <w:t>（）</w:t>
            </w:r>
            <w:r>
              <w:rPr>
                <w:rFonts w:hint="default" w:ascii="Arial" w:hAnsi="Arial" w:cs="Arial"/>
                <w:snapToGrid w:val="0"/>
                <w:sz w:val="22"/>
                <w:szCs w:val="22"/>
              </w:rPr>
              <w:t>m； 鱼类繁殖期</w:t>
            </w:r>
            <w:r>
              <w:rPr>
                <w:rFonts w:hint="eastAsia" w:ascii="Arial" w:hAnsi="Arial" w:cs="Arial"/>
                <w:snapToGrid w:val="0"/>
                <w:sz w:val="22"/>
                <w:szCs w:val="22"/>
                <w:lang w:eastAsia="zh-CN"/>
              </w:rPr>
              <w:t>（）</w:t>
            </w:r>
            <w:r>
              <w:rPr>
                <w:rFonts w:hint="default" w:ascii="Arial" w:hAnsi="Arial" w:cs="Arial"/>
                <w:snapToGrid w:val="0"/>
                <w:sz w:val="22"/>
                <w:szCs w:val="22"/>
              </w:rPr>
              <w:t>m； 其他</w:t>
            </w:r>
            <w:r>
              <w:rPr>
                <w:rFonts w:hint="eastAsia" w:ascii="Arial" w:hAnsi="Arial" w:cs="Arial"/>
                <w:snapToGrid w:val="0"/>
                <w:sz w:val="22"/>
                <w:szCs w:val="22"/>
                <w:lang w:eastAsia="zh-CN"/>
              </w:rPr>
              <w:t>（）</w:t>
            </w:r>
            <w:r>
              <w:rPr>
                <w:rFonts w:hint="default" w:ascii="Arial" w:hAnsi="Arial" w:cs="Arial"/>
                <w:snapToGrid w:val="0"/>
                <w:sz w:val="22"/>
                <w:szCs w:val="22"/>
              </w:rPr>
              <w:t>m</w:t>
            </w:r>
          </w:p>
        </w:tc>
      </w:tr>
      <w:tr w14:paraId="2A63A5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restart"/>
            <w:shd w:val="clear" w:color="auto" w:fill="auto"/>
            <w:vAlign w:val="center"/>
          </w:tcPr>
          <w:p w14:paraId="3836A4C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防治措施</w:t>
            </w:r>
          </w:p>
        </w:tc>
        <w:tc>
          <w:tcPr>
            <w:tcW w:w="630" w:type="pct"/>
            <w:shd w:val="clear" w:color="auto" w:fill="auto"/>
            <w:vAlign w:val="center"/>
          </w:tcPr>
          <w:p w14:paraId="04164C8E">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环保措施</w:t>
            </w:r>
          </w:p>
        </w:tc>
        <w:tc>
          <w:tcPr>
            <w:tcW w:w="4128" w:type="pct"/>
            <w:gridSpan w:val="10"/>
            <w:shd w:val="clear" w:color="auto" w:fill="auto"/>
            <w:vAlign w:val="center"/>
          </w:tcPr>
          <w:p w14:paraId="63DD2B7E">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 xml:space="preserve">污水处理设施 </w:t>
            </w:r>
            <w:r>
              <w:rPr>
                <w:rFonts w:hint="eastAsia" w:ascii="Arial" w:hAnsi="Arial" w:cs="Arial"/>
                <w:snapToGrid w:val="0"/>
                <w:sz w:val="22"/>
                <w:szCs w:val="22"/>
                <w:lang w:eastAsia="zh-CN"/>
              </w:rPr>
              <w:t>☑</w:t>
            </w:r>
            <w:r>
              <w:rPr>
                <w:rFonts w:hint="default" w:ascii="Arial" w:hAnsi="Arial" w:cs="Arial"/>
                <w:snapToGrid w:val="0"/>
                <w:sz w:val="22"/>
                <w:szCs w:val="22"/>
              </w:rPr>
              <w:t xml:space="preserve">；水文减缓措施 </w:t>
            </w:r>
            <w:r>
              <w:rPr>
                <w:rFonts w:hint="eastAsia" w:ascii="Arial" w:hAnsi="Arial" w:cs="Arial"/>
                <w:snapToGrid w:val="0"/>
                <w:sz w:val="22"/>
                <w:szCs w:val="22"/>
                <w:lang w:eastAsia="zh-CN"/>
              </w:rPr>
              <w:t>☑</w:t>
            </w:r>
            <w:r>
              <w:rPr>
                <w:rFonts w:hint="default" w:ascii="Arial" w:hAnsi="Arial" w:cs="Arial"/>
                <w:snapToGrid w:val="0"/>
                <w:sz w:val="22"/>
                <w:szCs w:val="22"/>
              </w:rPr>
              <w:t xml:space="preserve">；生态流量保障设施 </w:t>
            </w:r>
            <w:r>
              <w:rPr>
                <w:rFonts w:hint="eastAsia" w:ascii="Arial" w:hAnsi="Arial" w:cs="Arial"/>
                <w:snapToGrid w:val="0"/>
                <w:sz w:val="22"/>
                <w:szCs w:val="22"/>
                <w:lang w:eastAsia="zh-CN"/>
              </w:rPr>
              <w:t>☑</w:t>
            </w:r>
            <w:r>
              <w:rPr>
                <w:rFonts w:hint="default" w:ascii="Arial" w:hAnsi="Arial" w:cs="Arial"/>
                <w:snapToGrid w:val="0"/>
                <w:sz w:val="22"/>
                <w:szCs w:val="22"/>
              </w:rPr>
              <w:t>；</w:t>
            </w:r>
          </w:p>
          <w:p w14:paraId="5DDEFFE8">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 xml:space="preserve">区域削减 □；依托其他工程措施 □；其他 </w:t>
            </w:r>
            <w:r>
              <w:rPr>
                <w:rFonts w:hint="eastAsia" w:ascii="Arial" w:hAnsi="Arial" w:cs="Arial"/>
                <w:snapToGrid w:val="0"/>
                <w:sz w:val="22"/>
                <w:szCs w:val="22"/>
                <w:lang w:eastAsia="zh-CN"/>
              </w:rPr>
              <w:t>□</w:t>
            </w:r>
          </w:p>
        </w:tc>
      </w:tr>
      <w:tr w14:paraId="4ACF90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4C9C3D28">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restart"/>
            <w:shd w:val="clear" w:color="auto" w:fill="auto"/>
            <w:vAlign w:val="center"/>
          </w:tcPr>
          <w:p w14:paraId="63AC207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监测计划</w:t>
            </w:r>
          </w:p>
        </w:tc>
        <w:tc>
          <w:tcPr>
            <w:tcW w:w="700" w:type="pct"/>
            <w:shd w:val="clear" w:color="auto" w:fill="auto"/>
            <w:vAlign w:val="center"/>
          </w:tcPr>
          <w:p w14:paraId="421DCD10">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1796" w:type="pct"/>
            <w:gridSpan w:val="5"/>
            <w:shd w:val="clear" w:color="auto" w:fill="auto"/>
            <w:vAlign w:val="center"/>
          </w:tcPr>
          <w:p w14:paraId="422C039B">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环境质量</w:t>
            </w:r>
          </w:p>
        </w:tc>
        <w:tc>
          <w:tcPr>
            <w:tcW w:w="1631" w:type="pct"/>
            <w:gridSpan w:val="4"/>
            <w:shd w:val="clear" w:color="auto" w:fill="auto"/>
            <w:vAlign w:val="center"/>
          </w:tcPr>
          <w:p w14:paraId="45D13BC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污染源</w:t>
            </w:r>
          </w:p>
        </w:tc>
      </w:tr>
      <w:tr w14:paraId="244FAA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4EAB48E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2E9DF78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700" w:type="pct"/>
            <w:shd w:val="clear" w:color="auto" w:fill="auto"/>
            <w:vAlign w:val="center"/>
          </w:tcPr>
          <w:p w14:paraId="45C29D23">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监测方式</w:t>
            </w:r>
          </w:p>
        </w:tc>
        <w:tc>
          <w:tcPr>
            <w:tcW w:w="1796" w:type="pct"/>
            <w:gridSpan w:val="5"/>
            <w:shd w:val="clear" w:color="auto" w:fill="auto"/>
            <w:vAlign w:val="center"/>
          </w:tcPr>
          <w:p w14:paraId="47456970">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手动□；自动□；无监测</w:t>
            </w:r>
            <w:r>
              <w:rPr>
                <w:rFonts w:hint="eastAsia" w:ascii="Arial" w:hAnsi="Arial" w:cs="Arial"/>
                <w:snapToGrid w:val="0"/>
                <w:sz w:val="22"/>
                <w:szCs w:val="22"/>
                <w:lang w:eastAsia="zh-CN"/>
              </w:rPr>
              <w:t>☑</w:t>
            </w:r>
          </w:p>
        </w:tc>
        <w:tc>
          <w:tcPr>
            <w:tcW w:w="1631" w:type="pct"/>
            <w:gridSpan w:val="4"/>
            <w:shd w:val="clear" w:color="auto" w:fill="auto"/>
            <w:vAlign w:val="center"/>
          </w:tcPr>
          <w:p w14:paraId="3EB68615">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default" w:ascii="Arial" w:hAnsi="Arial" w:cs="Arial"/>
                <w:snapToGrid w:val="0"/>
                <w:sz w:val="22"/>
                <w:szCs w:val="22"/>
              </w:rPr>
              <w:t xml:space="preserve">手动 □；自动 □；无监测 </w:t>
            </w:r>
            <w:r>
              <w:rPr>
                <w:rFonts w:hint="eastAsia" w:ascii="Arial" w:hAnsi="Arial" w:cs="Arial"/>
                <w:snapToGrid w:val="0"/>
                <w:sz w:val="22"/>
                <w:szCs w:val="22"/>
                <w:lang w:eastAsia="zh-CN"/>
              </w:rPr>
              <w:t>☑</w:t>
            </w:r>
          </w:p>
        </w:tc>
      </w:tr>
      <w:tr w14:paraId="1D8A00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61E1549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5A2AE81C">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700" w:type="pct"/>
            <w:shd w:val="clear" w:color="auto" w:fill="auto"/>
            <w:vAlign w:val="center"/>
          </w:tcPr>
          <w:p w14:paraId="6EEE071A">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监测点位</w:t>
            </w:r>
          </w:p>
        </w:tc>
        <w:tc>
          <w:tcPr>
            <w:tcW w:w="1796" w:type="pct"/>
            <w:gridSpan w:val="5"/>
            <w:shd w:val="clear" w:color="auto" w:fill="auto"/>
            <w:vAlign w:val="center"/>
          </w:tcPr>
          <w:p w14:paraId="76BAC197">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eastAsia="宋体" w:cs="Arial"/>
                <w:snapToGrid w:val="0"/>
                <w:kern w:val="2"/>
                <w:sz w:val="22"/>
                <w:szCs w:val="22"/>
                <w:lang w:val="en-US" w:eastAsia="zh-CN" w:bidi="ar-SA"/>
              </w:rPr>
            </w:pP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p>
        </w:tc>
        <w:tc>
          <w:tcPr>
            <w:tcW w:w="1631" w:type="pct"/>
            <w:gridSpan w:val="4"/>
            <w:shd w:val="clear" w:color="auto" w:fill="auto"/>
            <w:vAlign w:val="center"/>
          </w:tcPr>
          <w:p w14:paraId="30DCBBD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eastAsia="宋体" w:cs="Arial"/>
                <w:snapToGrid w:val="0"/>
                <w:kern w:val="2"/>
                <w:sz w:val="22"/>
                <w:szCs w:val="22"/>
                <w:lang w:val="en-US" w:eastAsia="zh-CN" w:bidi="ar-SA"/>
              </w:rPr>
            </w:pP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p>
        </w:tc>
      </w:tr>
      <w:tr w14:paraId="337C1B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50896697">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vMerge w:val="continue"/>
            <w:shd w:val="clear" w:color="auto" w:fill="auto"/>
            <w:vAlign w:val="center"/>
          </w:tcPr>
          <w:p w14:paraId="358D452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700" w:type="pct"/>
            <w:shd w:val="clear" w:color="auto" w:fill="auto"/>
            <w:vAlign w:val="center"/>
          </w:tcPr>
          <w:p w14:paraId="21BDD6A4">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监测因子</w:t>
            </w:r>
          </w:p>
        </w:tc>
        <w:tc>
          <w:tcPr>
            <w:tcW w:w="1796" w:type="pct"/>
            <w:gridSpan w:val="5"/>
            <w:shd w:val="clear" w:color="auto" w:fill="auto"/>
            <w:vAlign w:val="center"/>
          </w:tcPr>
          <w:p w14:paraId="1160BDBE">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eastAsia="宋体" w:cs="Arial"/>
                <w:snapToGrid w:val="0"/>
                <w:kern w:val="2"/>
                <w:sz w:val="22"/>
                <w:szCs w:val="22"/>
                <w:lang w:val="en-US" w:eastAsia="zh-CN" w:bidi="ar-SA"/>
              </w:rPr>
            </w:pP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p>
        </w:tc>
        <w:tc>
          <w:tcPr>
            <w:tcW w:w="1631" w:type="pct"/>
            <w:gridSpan w:val="4"/>
            <w:shd w:val="clear" w:color="auto" w:fill="auto"/>
            <w:vAlign w:val="center"/>
          </w:tcPr>
          <w:p w14:paraId="1B647F0B">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eastAsia="宋体" w:cs="Arial"/>
                <w:snapToGrid w:val="0"/>
                <w:kern w:val="2"/>
                <w:sz w:val="22"/>
                <w:szCs w:val="22"/>
                <w:lang w:val="en-US" w:eastAsia="zh-CN" w:bidi="ar-SA"/>
              </w:rPr>
            </w:pPr>
            <w:r>
              <w:rPr>
                <w:rFonts w:hint="eastAsia" w:ascii="Arial" w:hAnsi="Arial" w:cs="Arial"/>
                <w:snapToGrid w:val="0"/>
                <w:sz w:val="22"/>
                <w:szCs w:val="22"/>
                <w:lang w:eastAsia="zh-CN"/>
              </w:rPr>
              <w:t>（</w:t>
            </w:r>
            <w:r>
              <w:rPr>
                <w:rFonts w:hint="eastAsia" w:ascii="Arial" w:hAnsi="Arial" w:cs="Arial"/>
                <w:snapToGrid w:val="0"/>
                <w:sz w:val="22"/>
                <w:szCs w:val="22"/>
                <w:lang w:val="en-US" w:eastAsia="zh-CN"/>
              </w:rPr>
              <w:t>/</w:t>
            </w:r>
            <w:r>
              <w:rPr>
                <w:rFonts w:hint="eastAsia" w:ascii="Arial" w:hAnsi="Arial" w:cs="Arial"/>
                <w:snapToGrid w:val="0"/>
                <w:sz w:val="22"/>
                <w:szCs w:val="22"/>
                <w:lang w:eastAsia="zh-CN"/>
              </w:rPr>
              <w:t>）</w:t>
            </w:r>
          </w:p>
        </w:tc>
      </w:tr>
      <w:tr w14:paraId="79CD4E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 w:type="pct"/>
            <w:vMerge w:val="continue"/>
            <w:shd w:val="clear" w:color="auto" w:fill="auto"/>
            <w:vAlign w:val="center"/>
          </w:tcPr>
          <w:p w14:paraId="0563D701">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p>
        </w:tc>
        <w:tc>
          <w:tcPr>
            <w:tcW w:w="630" w:type="pct"/>
            <w:shd w:val="clear" w:color="auto" w:fill="auto"/>
            <w:vAlign w:val="center"/>
          </w:tcPr>
          <w:p w14:paraId="63C322D4">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污染物排放清单</w:t>
            </w:r>
          </w:p>
        </w:tc>
        <w:tc>
          <w:tcPr>
            <w:tcW w:w="4128" w:type="pct"/>
            <w:gridSpan w:val="10"/>
            <w:shd w:val="clear" w:color="auto" w:fill="auto"/>
            <w:vAlign w:val="center"/>
          </w:tcPr>
          <w:p w14:paraId="769D0C49">
            <w:pPr>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Arial" w:hAnsi="Arial" w:eastAsia="宋体" w:cs="Arial"/>
                <w:snapToGrid w:val="0"/>
                <w:sz w:val="22"/>
                <w:szCs w:val="22"/>
                <w:lang w:eastAsia="zh-CN"/>
              </w:rPr>
            </w:pPr>
            <w:r>
              <w:rPr>
                <w:rFonts w:hint="eastAsia" w:ascii="Arial" w:hAnsi="Arial" w:cs="Arial"/>
                <w:snapToGrid w:val="0"/>
                <w:sz w:val="22"/>
                <w:szCs w:val="22"/>
                <w:lang w:eastAsia="zh-CN"/>
              </w:rPr>
              <w:t>无</w:t>
            </w:r>
          </w:p>
        </w:tc>
      </w:tr>
      <w:tr w14:paraId="0BF348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1" w:type="pct"/>
            <w:gridSpan w:val="2"/>
            <w:shd w:val="clear" w:color="auto" w:fill="auto"/>
            <w:vAlign w:val="center"/>
          </w:tcPr>
          <w:p w14:paraId="628E0A42">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评价结论</w:t>
            </w:r>
          </w:p>
        </w:tc>
        <w:tc>
          <w:tcPr>
            <w:tcW w:w="4128" w:type="pct"/>
            <w:gridSpan w:val="10"/>
            <w:shd w:val="clear" w:color="auto" w:fill="auto"/>
            <w:vAlign w:val="center"/>
          </w:tcPr>
          <w:p w14:paraId="2A3E325E">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 xml:space="preserve">可以接受 </w:t>
            </w:r>
            <w:r>
              <w:rPr>
                <w:rFonts w:hint="eastAsia" w:ascii="Arial" w:hAnsi="Arial" w:cs="Arial"/>
                <w:snapToGrid w:val="0"/>
                <w:sz w:val="22"/>
                <w:szCs w:val="22"/>
                <w:lang w:eastAsia="zh-CN"/>
              </w:rPr>
              <w:t>☑</w:t>
            </w:r>
            <w:r>
              <w:rPr>
                <w:rFonts w:hint="default" w:ascii="Arial" w:hAnsi="Arial" w:cs="Arial"/>
                <w:snapToGrid w:val="0"/>
                <w:sz w:val="22"/>
                <w:szCs w:val="22"/>
              </w:rPr>
              <w:t>；不可以接受 □</w:t>
            </w:r>
          </w:p>
        </w:tc>
      </w:tr>
      <w:tr w14:paraId="3B6DF1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12"/>
            <w:shd w:val="clear" w:color="auto" w:fill="auto"/>
            <w:vAlign w:val="center"/>
          </w:tcPr>
          <w:p w14:paraId="32F1A3FD">
            <w:pPr>
              <w:keepLines w:val="0"/>
              <w:pageBreakBefore w:val="0"/>
              <w:widowControl/>
              <w:kinsoku/>
              <w:wordWrap/>
              <w:overflowPunct/>
              <w:topLinePunct w:val="0"/>
              <w:autoSpaceDE/>
              <w:autoSpaceDN/>
              <w:bidi w:val="0"/>
              <w:adjustRightInd/>
              <w:snapToGrid/>
              <w:spacing w:line="300" w:lineRule="exact"/>
              <w:jc w:val="center"/>
              <w:textAlignment w:val="auto"/>
              <w:rPr>
                <w:rFonts w:hint="default" w:ascii="Arial" w:hAnsi="Arial" w:cs="Arial"/>
                <w:snapToGrid w:val="0"/>
                <w:sz w:val="22"/>
                <w:szCs w:val="22"/>
              </w:rPr>
            </w:pPr>
            <w:r>
              <w:rPr>
                <w:rFonts w:hint="default" w:ascii="Arial" w:hAnsi="Arial" w:cs="Arial"/>
                <w:snapToGrid w:val="0"/>
                <w:sz w:val="22"/>
                <w:szCs w:val="22"/>
              </w:rPr>
              <w:t>注：“□”为勾选项 ，填“√”；“</w:t>
            </w:r>
            <w:r>
              <w:rPr>
                <w:rFonts w:hint="eastAsia" w:ascii="Arial" w:hAnsi="Arial" w:cs="Arial"/>
                <w:snapToGrid w:val="0"/>
                <w:sz w:val="22"/>
                <w:szCs w:val="22"/>
                <w:lang w:eastAsia="zh-CN"/>
              </w:rPr>
              <w:t>（）</w:t>
            </w:r>
            <w:r>
              <w:rPr>
                <w:rFonts w:hint="default" w:ascii="Arial" w:hAnsi="Arial" w:cs="Arial"/>
                <w:snapToGrid w:val="0"/>
                <w:sz w:val="22"/>
                <w:szCs w:val="22"/>
              </w:rPr>
              <w:t>” 为内容填写项；“备注”为其他补充内容。</w:t>
            </w:r>
          </w:p>
        </w:tc>
      </w:tr>
    </w:tbl>
    <w:p w14:paraId="063EC661">
      <w:pPr>
        <w:pStyle w:val="1291"/>
        <w:keepNext w:val="0"/>
        <w:keepLines w:val="0"/>
        <w:pageBreakBefore w:val="0"/>
        <w:widowControl/>
        <w:kinsoku/>
        <w:wordWrap/>
        <w:overflowPunct/>
        <w:topLinePunct w:val="0"/>
        <w:autoSpaceDE/>
        <w:autoSpaceDN/>
        <w:bidi w:val="0"/>
        <w:adjustRightInd w:val="0"/>
        <w:snapToGrid w:val="0"/>
        <w:spacing w:line="240" w:lineRule="exact"/>
        <w:textAlignment w:val="auto"/>
        <w:outlineLvl w:val="9"/>
        <w:rPr>
          <w:sz w:val="24"/>
          <w:szCs w:val="24"/>
        </w:rPr>
      </w:pPr>
    </w:p>
    <w:p w14:paraId="5F0667A9">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both"/>
        <w:textAlignment w:val="auto"/>
        <w:rPr>
          <w:rFonts w:hint="default" w:ascii="Arial" w:hAnsi="Arial" w:eastAsia="宋体" w:cs="Arial"/>
          <w:color w:val="auto"/>
          <w:sz w:val="26"/>
          <w:szCs w:val="26"/>
          <w:lang w:val="en-US" w:eastAsia="zh-CN"/>
        </w:rPr>
      </w:pPr>
      <w:r>
        <w:rPr>
          <w:rFonts w:hint="eastAsia" w:ascii="Arial" w:hAnsi="Arial" w:eastAsia="宋体" w:cs="Arial"/>
          <w:color w:val="auto"/>
          <w:sz w:val="26"/>
          <w:szCs w:val="26"/>
          <w:lang w:val="en-US" w:eastAsia="zh-CN"/>
        </w:rPr>
        <w:t>本项目生态影响评价自查表见表</w:t>
      </w:r>
      <w:r>
        <w:rPr>
          <w:rFonts w:hint="default" w:ascii="Arial" w:hAnsi="Arial" w:eastAsia="宋体" w:cs="Arial"/>
          <w:color w:val="auto"/>
          <w:sz w:val="26"/>
          <w:szCs w:val="26"/>
          <w:lang w:val="en-US" w:eastAsia="zh-CN"/>
        </w:rPr>
        <w:t>6.</w:t>
      </w:r>
      <w:r>
        <w:rPr>
          <w:rFonts w:hint="eastAsia" w:ascii="Arial" w:hAnsi="Arial" w:cs="Arial"/>
          <w:color w:val="auto"/>
          <w:sz w:val="26"/>
          <w:szCs w:val="26"/>
          <w:lang w:val="en-US" w:eastAsia="zh-CN"/>
        </w:rPr>
        <w:t>8</w:t>
      </w:r>
      <w:r>
        <w:rPr>
          <w:rFonts w:hint="eastAsia" w:ascii="Arial" w:hAnsi="Arial" w:eastAsia="宋体" w:cs="Arial"/>
          <w:color w:val="auto"/>
          <w:sz w:val="26"/>
          <w:szCs w:val="26"/>
          <w:lang w:val="en-US" w:eastAsia="zh-CN"/>
        </w:rPr>
        <w:t>-</w:t>
      </w:r>
      <w:r>
        <w:rPr>
          <w:rFonts w:hint="eastAsia" w:ascii="Arial" w:hAnsi="Arial" w:cs="Arial"/>
          <w:color w:val="auto"/>
          <w:sz w:val="26"/>
          <w:szCs w:val="26"/>
          <w:lang w:val="en-US" w:eastAsia="zh-CN"/>
        </w:rPr>
        <w:t>2</w:t>
      </w:r>
      <w:r>
        <w:rPr>
          <w:rFonts w:hint="eastAsia" w:ascii="Arial" w:hAnsi="Arial" w:eastAsia="宋体" w:cs="Arial"/>
          <w:color w:val="auto"/>
          <w:sz w:val="26"/>
          <w:szCs w:val="26"/>
          <w:lang w:val="en-US" w:eastAsia="zh-CN"/>
        </w:rPr>
        <w:t>。</w:t>
      </w:r>
    </w:p>
    <w:p w14:paraId="71CBBBFC">
      <w:pPr>
        <w:pStyle w:val="1085"/>
        <w:keepNext w:val="0"/>
        <w:keepLines w:val="0"/>
        <w:pageBreakBefore w:val="0"/>
        <w:widowControl w:val="0"/>
        <w:kinsoku/>
        <w:wordWrap/>
        <w:overflowPunct/>
        <w:topLinePunct w:val="0"/>
        <w:autoSpaceDE/>
        <w:autoSpaceDN/>
        <w:bidi w:val="0"/>
        <w:adjustRightInd/>
        <w:snapToGrid w:val="0"/>
        <w:spacing w:line="460" w:lineRule="exact"/>
        <w:textAlignment w:val="auto"/>
        <w:rPr>
          <w:rFonts w:hint="default" w:ascii="Arial" w:hAnsi="Arial" w:cs="Arial"/>
          <w:color w:val="auto"/>
          <w:sz w:val="26"/>
          <w:szCs w:val="26"/>
          <w:highlight w:val="none"/>
        </w:rPr>
      </w:pPr>
      <w:r>
        <w:rPr>
          <w:rFonts w:hint="default" w:ascii="Arial" w:hAnsi="Arial" w:cs="Arial"/>
          <w:color w:val="auto"/>
          <w:sz w:val="26"/>
          <w:szCs w:val="26"/>
          <w:highlight w:val="none"/>
        </w:rPr>
        <w:t>表6.</w:t>
      </w:r>
      <w:r>
        <w:rPr>
          <w:rFonts w:hint="eastAsia" w:ascii="Arial" w:hAnsi="Arial" w:cs="Arial"/>
          <w:color w:val="auto"/>
          <w:sz w:val="26"/>
          <w:szCs w:val="26"/>
          <w:highlight w:val="none"/>
          <w:lang w:val="en-US" w:eastAsia="zh-CN"/>
        </w:rPr>
        <w:t>8</w:t>
      </w:r>
      <w:r>
        <w:rPr>
          <w:rFonts w:hint="default" w:ascii="Arial" w:hAnsi="Arial" w:cs="Arial"/>
          <w:color w:val="auto"/>
          <w:sz w:val="26"/>
          <w:szCs w:val="26"/>
          <w:highlight w:val="none"/>
          <w:lang w:val="en-US" w:eastAsia="zh-CN"/>
        </w:rPr>
        <w:t>-</w:t>
      </w:r>
      <w:r>
        <w:rPr>
          <w:rFonts w:hint="eastAsia" w:ascii="Arial" w:hAnsi="Arial" w:cs="Arial"/>
          <w:color w:val="auto"/>
          <w:sz w:val="26"/>
          <w:szCs w:val="26"/>
          <w:highlight w:val="none"/>
          <w:lang w:val="en-US" w:eastAsia="zh-CN"/>
        </w:rPr>
        <w:t>2</w:t>
      </w:r>
      <w:r>
        <w:rPr>
          <w:rFonts w:hint="default" w:ascii="Arial" w:hAnsi="Arial" w:cs="Arial"/>
          <w:color w:val="auto"/>
          <w:sz w:val="26"/>
          <w:szCs w:val="26"/>
          <w:highlight w:val="none"/>
        </w:rPr>
        <w:t xml:space="preserve">  生态影响评价自查表</w:t>
      </w:r>
    </w:p>
    <w:tbl>
      <w:tblPr>
        <w:tblStyle w:val="1893"/>
        <w:tblW w:w="507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45"/>
        <w:gridCol w:w="1338"/>
        <w:gridCol w:w="6718"/>
      </w:tblGrid>
      <w:tr w14:paraId="7E11EF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jc w:val="center"/>
        </w:trPr>
        <w:tc>
          <w:tcPr>
            <w:tcW w:w="1268" w:type="pct"/>
            <w:gridSpan w:val="2"/>
            <w:tcBorders>
              <w:tl2br w:val="nil"/>
              <w:tr2bl w:val="nil"/>
            </w:tcBorders>
            <w:vAlign w:val="center"/>
          </w:tcPr>
          <w:p w14:paraId="098CBA4C">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工作内容</w:t>
            </w:r>
          </w:p>
        </w:tc>
        <w:tc>
          <w:tcPr>
            <w:tcW w:w="3732" w:type="pct"/>
            <w:tcBorders>
              <w:tl2br w:val="nil"/>
              <w:tr2bl w:val="nil"/>
            </w:tcBorders>
            <w:vAlign w:val="center"/>
          </w:tcPr>
          <w:p w14:paraId="339481CA">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自查项目</w:t>
            </w:r>
          </w:p>
        </w:tc>
      </w:tr>
      <w:tr w14:paraId="426024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restart"/>
            <w:tcBorders>
              <w:tl2br w:val="nil"/>
              <w:tr2bl w:val="nil"/>
            </w:tcBorders>
            <w:vAlign w:val="center"/>
          </w:tcPr>
          <w:p w14:paraId="39C566D6">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生态影响 识别</w:t>
            </w:r>
          </w:p>
        </w:tc>
        <w:tc>
          <w:tcPr>
            <w:tcW w:w="743" w:type="pct"/>
            <w:tcBorders>
              <w:tl2br w:val="nil"/>
              <w:tr2bl w:val="nil"/>
            </w:tcBorders>
            <w:vAlign w:val="center"/>
          </w:tcPr>
          <w:p w14:paraId="530F00B9">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生态保护目标</w:t>
            </w:r>
          </w:p>
        </w:tc>
        <w:tc>
          <w:tcPr>
            <w:tcW w:w="3732" w:type="pct"/>
            <w:tcBorders>
              <w:tl2br w:val="nil"/>
              <w:tr2bl w:val="nil"/>
            </w:tcBorders>
            <w:vAlign w:val="center"/>
          </w:tcPr>
          <w:p w14:paraId="1FD124B6">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color w:val="auto"/>
                <w:sz w:val="22"/>
                <w:szCs w:val="22"/>
                <w:lang w:eastAsia="zh-CN"/>
              </w:rPr>
            </w:pPr>
            <w:r>
              <w:rPr>
                <w:rFonts w:hint="default" w:ascii="Arial" w:hAnsi="Arial" w:cs="Arial"/>
                <w:color w:val="auto"/>
                <w:spacing w:val="2"/>
                <w:sz w:val="22"/>
                <w:szCs w:val="22"/>
                <w:lang w:eastAsia="zh-CN"/>
              </w:rPr>
              <w:t>重要物</w:t>
            </w:r>
            <w:r>
              <w:rPr>
                <w:rFonts w:hint="default" w:ascii="Arial" w:hAnsi="Arial" w:cs="Arial"/>
                <w:color w:val="auto"/>
                <w:spacing w:val="3"/>
                <w:sz w:val="22"/>
                <w:szCs w:val="22"/>
                <w:lang w:eastAsia="zh-CN"/>
              </w:rPr>
              <w:t>种</w:t>
            </w:r>
            <w:r>
              <w:rPr>
                <w:rFonts w:hint="eastAsia" w:ascii="Arial" w:hAnsi="Arial" w:cs="Arial"/>
                <w:snapToGrid w:val="0"/>
                <w:color w:val="auto"/>
                <w:sz w:val="22"/>
                <w:szCs w:val="22"/>
                <w:lang w:eastAsia="zh-CN"/>
              </w:rPr>
              <w:t>□</w:t>
            </w:r>
            <w:r>
              <w:rPr>
                <w:rFonts w:hint="default" w:ascii="Arial" w:hAnsi="Arial" w:cs="Arial"/>
                <w:color w:val="auto"/>
                <w:spacing w:val="2"/>
                <w:sz w:val="22"/>
                <w:szCs w:val="22"/>
                <w:lang w:eastAsia="zh-CN"/>
              </w:rPr>
              <w:t>；国家</w:t>
            </w:r>
            <w:r>
              <w:rPr>
                <w:rFonts w:hint="default" w:ascii="Arial" w:hAnsi="Arial" w:cs="Arial"/>
                <w:color w:val="auto"/>
                <w:sz w:val="22"/>
                <w:szCs w:val="22"/>
                <w:lang w:eastAsia="zh-CN"/>
              </w:rPr>
              <w:t>公</w:t>
            </w:r>
            <w:r>
              <w:rPr>
                <w:rFonts w:hint="default" w:ascii="Arial" w:hAnsi="Arial" w:cs="Arial"/>
                <w:color w:val="auto"/>
                <w:spacing w:val="2"/>
                <w:sz w:val="22"/>
                <w:szCs w:val="22"/>
                <w:lang w:eastAsia="zh-CN"/>
              </w:rPr>
              <w:t>园</w:t>
            </w:r>
            <w:r>
              <w:rPr>
                <w:rFonts w:hint="default" w:ascii="Arial" w:hAnsi="Arial" w:cs="Arial"/>
                <w:snapToGrid w:val="0"/>
                <w:color w:val="auto"/>
                <w:sz w:val="22"/>
                <w:szCs w:val="22"/>
                <w:lang w:eastAsia="zh-CN"/>
              </w:rPr>
              <w:t>□</w:t>
            </w:r>
            <w:r>
              <w:rPr>
                <w:rFonts w:hint="default" w:ascii="Arial" w:hAnsi="Arial" w:cs="Arial"/>
                <w:color w:val="auto"/>
                <w:spacing w:val="2"/>
                <w:sz w:val="22"/>
                <w:szCs w:val="22"/>
                <w:lang w:eastAsia="zh-CN"/>
              </w:rPr>
              <w:t>；</w:t>
            </w:r>
            <w:r>
              <w:rPr>
                <w:rFonts w:hint="default" w:ascii="Arial" w:hAnsi="Arial" w:cs="Arial"/>
                <w:color w:val="auto"/>
                <w:sz w:val="22"/>
                <w:szCs w:val="22"/>
                <w:lang w:eastAsia="zh-CN"/>
              </w:rPr>
              <w:t>自</w:t>
            </w:r>
            <w:r>
              <w:rPr>
                <w:rFonts w:hint="default" w:ascii="Arial" w:hAnsi="Arial" w:cs="Arial"/>
                <w:color w:val="auto"/>
                <w:spacing w:val="2"/>
                <w:sz w:val="22"/>
                <w:szCs w:val="22"/>
                <w:lang w:eastAsia="zh-CN"/>
              </w:rPr>
              <w:t>然保护</w:t>
            </w:r>
            <w:r>
              <w:rPr>
                <w:rFonts w:hint="default" w:ascii="Arial" w:hAnsi="Arial" w:cs="Arial"/>
                <w:color w:val="auto"/>
                <w:spacing w:val="3"/>
                <w:sz w:val="22"/>
                <w:szCs w:val="22"/>
                <w:lang w:eastAsia="zh-CN"/>
              </w:rPr>
              <w:t>区</w:t>
            </w:r>
            <w:r>
              <w:rPr>
                <w:rFonts w:hint="default" w:ascii="Arial" w:hAnsi="Arial" w:cs="Arial"/>
                <w:snapToGrid w:val="0"/>
                <w:color w:val="auto"/>
                <w:sz w:val="22"/>
                <w:szCs w:val="22"/>
                <w:lang w:eastAsia="zh-CN"/>
              </w:rPr>
              <w:t>□</w:t>
            </w:r>
            <w:r>
              <w:rPr>
                <w:rFonts w:hint="default" w:ascii="Arial" w:hAnsi="Arial" w:cs="Arial"/>
                <w:color w:val="auto"/>
                <w:spacing w:val="2"/>
                <w:sz w:val="22"/>
                <w:szCs w:val="22"/>
                <w:lang w:eastAsia="zh-CN"/>
              </w:rPr>
              <w:t>；自然</w:t>
            </w:r>
            <w:r>
              <w:rPr>
                <w:rFonts w:hint="default" w:ascii="Arial" w:hAnsi="Arial" w:cs="Arial"/>
                <w:color w:val="auto"/>
                <w:sz w:val="22"/>
                <w:szCs w:val="22"/>
                <w:lang w:eastAsia="zh-CN"/>
              </w:rPr>
              <w:t>公</w:t>
            </w:r>
            <w:r>
              <w:rPr>
                <w:rFonts w:hint="default" w:ascii="Arial" w:hAnsi="Arial" w:cs="Arial"/>
                <w:color w:val="auto"/>
                <w:spacing w:val="3"/>
                <w:sz w:val="22"/>
                <w:szCs w:val="22"/>
                <w:lang w:eastAsia="zh-CN"/>
              </w:rPr>
              <w:t>园</w:t>
            </w:r>
            <w:r>
              <w:rPr>
                <w:rFonts w:hint="default" w:ascii="Arial" w:hAnsi="Arial" w:cs="Arial"/>
                <w:snapToGrid w:val="0"/>
                <w:color w:val="auto"/>
                <w:sz w:val="22"/>
                <w:szCs w:val="22"/>
                <w:lang w:eastAsia="zh-CN"/>
              </w:rPr>
              <w:t>□</w:t>
            </w:r>
            <w:r>
              <w:rPr>
                <w:rFonts w:hint="default" w:ascii="Arial" w:hAnsi="Arial" w:cs="Arial"/>
                <w:color w:val="auto"/>
                <w:spacing w:val="2"/>
                <w:sz w:val="22"/>
                <w:szCs w:val="22"/>
                <w:lang w:eastAsia="zh-CN"/>
              </w:rPr>
              <w:t>；</w:t>
            </w:r>
            <w:r>
              <w:rPr>
                <w:rFonts w:hint="default" w:ascii="Arial" w:hAnsi="Arial" w:cs="Arial"/>
                <w:color w:val="auto"/>
                <w:sz w:val="22"/>
                <w:szCs w:val="22"/>
                <w:lang w:eastAsia="zh-CN"/>
              </w:rPr>
              <w:t>世</w:t>
            </w:r>
            <w:r>
              <w:rPr>
                <w:rFonts w:hint="default" w:ascii="Arial" w:hAnsi="Arial" w:cs="Arial"/>
                <w:color w:val="auto"/>
                <w:spacing w:val="2"/>
                <w:sz w:val="22"/>
                <w:szCs w:val="22"/>
                <w:lang w:eastAsia="zh-CN"/>
              </w:rPr>
              <w:t>界自然遗</w:t>
            </w:r>
            <w:r>
              <w:rPr>
                <w:rFonts w:hint="default" w:ascii="Arial" w:hAnsi="Arial" w:cs="Arial"/>
                <w:color w:val="auto"/>
                <w:spacing w:val="1"/>
                <w:sz w:val="22"/>
                <w:szCs w:val="22"/>
                <w:lang w:eastAsia="zh-CN"/>
              </w:rPr>
              <w:t>产</w:t>
            </w:r>
            <w:r>
              <w:rPr>
                <w:rFonts w:hint="default" w:ascii="Arial" w:hAnsi="Arial" w:cs="Arial"/>
                <w:snapToGrid w:val="0"/>
                <w:color w:val="auto"/>
                <w:sz w:val="22"/>
                <w:szCs w:val="22"/>
                <w:lang w:eastAsia="zh-CN"/>
              </w:rPr>
              <w:t>□</w:t>
            </w:r>
            <w:r>
              <w:rPr>
                <w:rFonts w:hint="default" w:ascii="Arial" w:hAnsi="Arial" w:cs="Arial"/>
                <w:color w:val="auto"/>
                <w:spacing w:val="2"/>
                <w:sz w:val="22"/>
                <w:szCs w:val="22"/>
                <w:lang w:eastAsia="zh-CN"/>
              </w:rPr>
              <w:t>；生</w:t>
            </w:r>
            <w:r>
              <w:rPr>
                <w:rFonts w:hint="default" w:ascii="Arial" w:hAnsi="Arial" w:cs="Arial"/>
                <w:color w:val="auto"/>
                <w:sz w:val="22"/>
                <w:szCs w:val="22"/>
                <w:lang w:eastAsia="zh-CN"/>
              </w:rPr>
              <w:t>态</w:t>
            </w:r>
            <w:r>
              <w:rPr>
                <w:rFonts w:hint="default" w:ascii="Arial" w:hAnsi="Arial" w:cs="Arial"/>
                <w:color w:val="auto"/>
                <w:spacing w:val="2"/>
                <w:sz w:val="22"/>
                <w:szCs w:val="22"/>
                <w:lang w:eastAsia="zh-CN"/>
              </w:rPr>
              <w:t>保</w:t>
            </w:r>
            <w:r>
              <w:rPr>
                <w:rFonts w:hint="default" w:ascii="Arial" w:hAnsi="Arial" w:cs="Arial"/>
                <w:color w:val="auto"/>
                <w:sz w:val="22"/>
                <w:szCs w:val="22"/>
                <w:lang w:eastAsia="zh-CN"/>
              </w:rPr>
              <w:t>护</w:t>
            </w:r>
            <w:r>
              <w:rPr>
                <w:rFonts w:hint="default" w:ascii="Arial" w:hAnsi="Arial" w:cs="Arial"/>
                <w:color w:val="auto"/>
                <w:spacing w:val="2"/>
                <w:sz w:val="22"/>
                <w:szCs w:val="22"/>
                <w:lang w:eastAsia="zh-CN"/>
              </w:rPr>
              <w:t>红</w:t>
            </w:r>
            <w:r>
              <w:rPr>
                <w:rFonts w:hint="default" w:ascii="Arial" w:hAnsi="Arial" w:cs="Arial"/>
                <w:color w:val="auto"/>
                <w:spacing w:val="3"/>
                <w:sz w:val="22"/>
                <w:szCs w:val="22"/>
                <w:lang w:eastAsia="zh-CN"/>
              </w:rPr>
              <w:t>线</w:t>
            </w:r>
            <w:r>
              <w:rPr>
                <w:rFonts w:hint="eastAsia" w:ascii="Arial" w:hAnsi="Arial" w:cs="Arial"/>
                <w:snapToGrid w:val="0"/>
                <w:color w:val="auto"/>
                <w:sz w:val="22"/>
                <w:szCs w:val="22"/>
                <w:lang w:eastAsia="zh-CN"/>
              </w:rPr>
              <w:t>□</w:t>
            </w:r>
            <w:r>
              <w:rPr>
                <w:rFonts w:hint="default" w:ascii="Arial" w:hAnsi="Arial" w:cs="Arial"/>
                <w:color w:val="auto"/>
                <w:spacing w:val="2"/>
                <w:sz w:val="22"/>
                <w:szCs w:val="22"/>
                <w:lang w:eastAsia="zh-CN"/>
              </w:rPr>
              <w:t>；</w:t>
            </w:r>
            <w:r>
              <w:rPr>
                <w:rFonts w:hint="default" w:ascii="Arial" w:hAnsi="Arial" w:cs="Arial"/>
                <w:color w:val="auto"/>
                <w:sz w:val="22"/>
                <w:szCs w:val="22"/>
                <w:lang w:eastAsia="zh-CN"/>
              </w:rPr>
              <w:t>重</w:t>
            </w:r>
            <w:r>
              <w:rPr>
                <w:rFonts w:hint="default" w:ascii="Arial" w:hAnsi="Arial" w:cs="Arial"/>
                <w:color w:val="auto"/>
                <w:spacing w:val="2"/>
                <w:sz w:val="22"/>
                <w:szCs w:val="22"/>
                <w:lang w:eastAsia="zh-CN"/>
              </w:rPr>
              <w:t>要生</w:t>
            </w:r>
            <w:r>
              <w:rPr>
                <w:rFonts w:hint="default" w:ascii="Arial" w:hAnsi="Arial" w:cs="Arial"/>
                <w:color w:val="auto"/>
                <w:spacing w:val="3"/>
                <w:sz w:val="22"/>
                <w:szCs w:val="22"/>
                <w:lang w:eastAsia="zh-CN"/>
              </w:rPr>
              <w:t>境</w:t>
            </w:r>
            <w:r>
              <w:rPr>
                <w:rFonts w:hint="default" w:ascii="Arial" w:hAnsi="Arial" w:cs="Arial"/>
                <w:snapToGrid w:val="0"/>
                <w:color w:val="auto"/>
                <w:sz w:val="22"/>
                <w:szCs w:val="22"/>
                <w:lang w:eastAsia="zh-CN"/>
              </w:rPr>
              <w:t>□</w:t>
            </w:r>
            <w:r>
              <w:rPr>
                <w:rFonts w:hint="default" w:ascii="Arial" w:hAnsi="Arial" w:cs="Arial"/>
                <w:color w:val="auto"/>
                <w:spacing w:val="2"/>
                <w:sz w:val="22"/>
                <w:szCs w:val="22"/>
                <w:lang w:eastAsia="zh-CN"/>
              </w:rPr>
              <w:t>；其他</w:t>
            </w:r>
            <w:r>
              <w:rPr>
                <w:rFonts w:hint="default" w:ascii="Arial" w:hAnsi="Arial" w:cs="Arial"/>
                <w:color w:val="auto"/>
                <w:sz w:val="22"/>
                <w:szCs w:val="22"/>
                <w:lang w:eastAsia="zh-CN"/>
              </w:rPr>
              <w:t>具</w:t>
            </w:r>
            <w:r>
              <w:rPr>
                <w:rFonts w:hint="default" w:ascii="Arial" w:hAnsi="Arial" w:cs="Arial"/>
                <w:color w:val="auto"/>
                <w:spacing w:val="2"/>
                <w:sz w:val="22"/>
                <w:szCs w:val="22"/>
                <w:lang w:eastAsia="zh-CN"/>
              </w:rPr>
              <w:t>有重要生</w:t>
            </w:r>
            <w:r>
              <w:rPr>
                <w:rFonts w:hint="default" w:ascii="Arial" w:hAnsi="Arial" w:cs="Arial"/>
                <w:color w:val="auto"/>
                <w:sz w:val="22"/>
                <w:szCs w:val="22"/>
                <w:lang w:eastAsia="zh-CN"/>
              </w:rPr>
              <w:t>态</w:t>
            </w:r>
            <w:r>
              <w:rPr>
                <w:rFonts w:hint="default" w:ascii="Arial" w:hAnsi="Arial" w:cs="Arial"/>
                <w:color w:val="auto"/>
                <w:spacing w:val="2"/>
                <w:sz w:val="22"/>
                <w:szCs w:val="22"/>
                <w:lang w:eastAsia="zh-CN"/>
              </w:rPr>
              <w:t>功能、</w:t>
            </w:r>
            <w:r>
              <w:rPr>
                <w:rFonts w:hint="default" w:ascii="Arial" w:hAnsi="Arial" w:cs="Arial"/>
                <w:color w:val="auto"/>
                <w:sz w:val="22"/>
                <w:szCs w:val="22"/>
                <w:lang w:eastAsia="zh-CN"/>
              </w:rPr>
              <w:t>对</w:t>
            </w:r>
            <w:r>
              <w:rPr>
                <w:rFonts w:hint="default" w:ascii="Arial" w:hAnsi="Arial" w:cs="Arial"/>
                <w:color w:val="auto"/>
                <w:spacing w:val="2"/>
                <w:sz w:val="22"/>
                <w:szCs w:val="22"/>
                <w:lang w:eastAsia="zh-CN"/>
              </w:rPr>
              <w:t>保护生</w:t>
            </w:r>
            <w:r>
              <w:rPr>
                <w:rFonts w:hint="default" w:ascii="Arial" w:hAnsi="Arial" w:cs="Arial"/>
                <w:color w:val="auto"/>
                <w:sz w:val="22"/>
                <w:szCs w:val="22"/>
                <w:lang w:eastAsia="zh-CN"/>
              </w:rPr>
              <w:t>物</w:t>
            </w:r>
            <w:r>
              <w:rPr>
                <w:rFonts w:hint="default" w:ascii="Arial" w:hAnsi="Arial" w:cs="Arial"/>
                <w:color w:val="auto"/>
                <w:spacing w:val="2"/>
                <w:sz w:val="22"/>
                <w:szCs w:val="22"/>
                <w:lang w:eastAsia="zh-CN"/>
              </w:rPr>
              <w:t>多样性具</w:t>
            </w:r>
            <w:r>
              <w:rPr>
                <w:rFonts w:hint="default" w:ascii="Arial" w:hAnsi="Arial" w:cs="Arial"/>
                <w:color w:val="auto"/>
                <w:sz w:val="22"/>
                <w:szCs w:val="22"/>
                <w:lang w:eastAsia="zh-CN"/>
              </w:rPr>
              <w:t>有</w:t>
            </w:r>
            <w:r>
              <w:rPr>
                <w:rFonts w:hint="default" w:ascii="Arial" w:hAnsi="Arial" w:cs="Arial"/>
                <w:color w:val="auto"/>
                <w:spacing w:val="2"/>
                <w:sz w:val="22"/>
                <w:szCs w:val="22"/>
                <w:lang w:eastAsia="zh-CN"/>
              </w:rPr>
              <w:t>重要意</w:t>
            </w:r>
            <w:r>
              <w:rPr>
                <w:rFonts w:hint="default" w:ascii="Arial" w:hAnsi="Arial" w:cs="Arial"/>
                <w:color w:val="auto"/>
                <w:sz w:val="22"/>
                <w:szCs w:val="22"/>
                <w:lang w:eastAsia="zh-CN"/>
              </w:rPr>
              <w:t>义</w:t>
            </w:r>
            <w:r>
              <w:rPr>
                <w:rFonts w:hint="default" w:ascii="Arial" w:hAnsi="Arial" w:cs="Arial"/>
                <w:color w:val="auto"/>
                <w:spacing w:val="2"/>
                <w:sz w:val="22"/>
                <w:szCs w:val="22"/>
                <w:lang w:eastAsia="zh-CN"/>
              </w:rPr>
              <w:t>的</w:t>
            </w:r>
            <w:r>
              <w:rPr>
                <w:rFonts w:hint="default" w:ascii="Arial" w:hAnsi="Arial" w:cs="Arial"/>
                <w:color w:val="auto"/>
                <w:sz w:val="22"/>
                <w:szCs w:val="22"/>
                <w:lang w:eastAsia="zh-CN"/>
              </w:rPr>
              <w:t>区域</w:t>
            </w:r>
            <w:r>
              <w:rPr>
                <w:rFonts w:hint="default" w:ascii="Arial" w:hAnsi="Arial" w:cs="Arial"/>
                <w:snapToGrid w:val="0"/>
                <w:color w:val="auto"/>
                <w:sz w:val="22"/>
                <w:szCs w:val="22"/>
                <w:lang w:eastAsia="zh-CN"/>
              </w:rPr>
              <w:t>□</w:t>
            </w:r>
            <w:r>
              <w:rPr>
                <w:rFonts w:hint="default" w:ascii="Arial" w:hAnsi="Arial" w:cs="Arial"/>
                <w:color w:val="auto"/>
                <w:sz w:val="22"/>
                <w:szCs w:val="22"/>
                <w:lang w:eastAsia="zh-CN"/>
              </w:rPr>
              <w:t>；其他</w:t>
            </w:r>
            <w:r>
              <w:rPr>
                <w:rFonts w:hint="eastAsia" w:ascii="Arial" w:hAnsi="Arial" w:cs="Arial"/>
                <w:snapToGrid w:val="0"/>
                <w:color w:val="auto"/>
                <w:sz w:val="22"/>
                <w:szCs w:val="22"/>
                <w:lang w:eastAsia="zh-CN"/>
              </w:rPr>
              <w:t>☑</w:t>
            </w:r>
          </w:p>
        </w:tc>
      </w:tr>
      <w:tr w14:paraId="21FCA1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continue"/>
            <w:tcBorders>
              <w:tl2br w:val="nil"/>
              <w:tr2bl w:val="nil"/>
            </w:tcBorders>
            <w:vAlign w:val="center"/>
          </w:tcPr>
          <w:p w14:paraId="2BDB4C37">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zh-CN"/>
              </w:rPr>
            </w:pPr>
          </w:p>
        </w:tc>
        <w:tc>
          <w:tcPr>
            <w:tcW w:w="743" w:type="pct"/>
            <w:tcBorders>
              <w:tl2br w:val="nil"/>
              <w:tr2bl w:val="nil"/>
            </w:tcBorders>
            <w:vAlign w:val="center"/>
          </w:tcPr>
          <w:p w14:paraId="040895B4">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影响方式</w:t>
            </w:r>
          </w:p>
        </w:tc>
        <w:tc>
          <w:tcPr>
            <w:tcW w:w="3732" w:type="pct"/>
            <w:tcBorders>
              <w:tl2br w:val="nil"/>
              <w:tr2bl w:val="nil"/>
            </w:tcBorders>
            <w:vAlign w:val="center"/>
          </w:tcPr>
          <w:p w14:paraId="51A7B6EF">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color w:val="auto"/>
                <w:sz w:val="22"/>
                <w:szCs w:val="22"/>
                <w:lang w:eastAsia="zh-CN"/>
              </w:rPr>
            </w:pPr>
            <w:r>
              <w:rPr>
                <w:rFonts w:hint="default" w:ascii="Arial" w:hAnsi="Arial" w:cs="Arial"/>
                <w:color w:val="auto"/>
                <w:sz w:val="22"/>
                <w:szCs w:val="22"/>
                <w:lang w:eastAsia="zh-CN"/>
              </w:rPr>
              <w:t>工程占用</w:t>
            </w:r>
            <w:r>
              <w:rPr>
                <w:rFonts w:hint="eastAsia" w:ascii="Arial" w:hAnsi="Arial" w:cs="Arial"/>
                <w:snapToGrid w:val="0"/>
                <w:color w:val="auto"/>
                <w:sz w:val="22"/>
                <w:szCs w:val="22"/>
                <w:lang w:eastAsia="zh-CN"/>
              </w:rPr>
              <w:t>☑</w:t>
            </w:r>
            <w:r>
              <w:rPr>
                <w:rFonts w:hint="default" w:ascii="Arial" w:hAnsi="Arial" w:cs="Arial"/>
                <w:color w:val="auto"/>
                <w:sz w:val="22"/>
                <w:szCs w:val="22"/>
                <w:lang w:eastAsia="zh-CN"/>
              </w:rPr>
              <w:t>；施工活动干扰</w:t>
            </w:r>
            <w:r>
              <w:rPr>
                <w:rFonts w:hint="eastAsia" w:ascii="Arial" w:hAnsi="Arial" w:cs="Arial"/>
                <w:snapToGrid w:val="0"/>
                <w:color w:val="auto"/>
                <w:sz w:val="22"/>
                <w:szCs w:val="22"/>
                <w:lang w:eastAsia="zh-CN"/>
              </w:rPr>
              <w:t>☑</w:t>
            </w:r>
            <w:r>
              <w:rPr>
                <w:rFonts w:hint="default" w:ascii="Arial" w:hAnsi="Arial" w:cs="Arial"/>
                <w:color w:val="auto"/>
                <w:sz w:val="22"/>
                <w:szCs w:val="22"/>
                <w:lang w:eastAsia="zh-CN"/>
              </w:rPr>
              <w:t>；改变环境条件</w:t>
            </w:r>
            <w:r>
              <w:rPr>
                <w:rFonts w:hint="eastAsia" w:ascii="Arial" w:hAnsi="Arial" w:cs="Arial"/>
                <w:snapToGrid w:val="0"/>
                <w:color w:val="auto"/>
                <w:sz w:val="22"/>
                <w:szCs w:val="22"/>
                <w:lang w:eastAsia="zh-CN"/>
              </w:rPr>
              <w:t>☑</w:t>
            </w:r>
            <w:r>
              <w:rPr>
                <w:rFonts w:hint="default" w:ascii="Arial" w:hAnsi="Arial" w:cs="Arial"/>
                <w:color w:val="auto"/>
                <w:sz w:val="22"/>
                <w:szCs w:val="22"/>
                <w:lang w:eastAsia="zh-CN"/>
              </w:rPr>
              <w:t>；其他</w:t>
            </w:r>
            <w:r>
              <w:rPr>
                <w:rFonts w:hint="default" w:ascii="Arial" w:hAnsi="Arial" w:cs="Arial"/>
                <w:snapToGrid w:val="0"/>
                <w:color w:val="auto"/>
                <w:sz w:val="22"/>
                <w:szCs w:val="22"/>
                <w:lang w:eastAsia="zh-CN"/>
              </w:rPr>
              <w:t>□</w:t>
            </w:r>
          </w:p>
        </w:tc>
      </w:tr>
      <w:tr w14:paraId="58205F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continue"/>
            <w:tcBorders>
              <w:tl2br w:val="nil"/>
              <w:tr2bl w:val="nil"/>
            </w:tcBorders>
            <w:vAlign w:val="center"/>
          </w:tcPr>
          <w:p w14:paraId="4CF61780">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zh-CN"/>
              </w:rPr>
            </w:pPr>
          </w:p>
        </w:tc>
        <w:tc>
          <w:tcPr>
            <w:tcW w:w="743" w:type="pct"/>
            <w:tcBorders>
              <w:tl2br w:val="nil"/>
              <w:tr2bl w:val="nil"/>
            </w:tcBorders>
            <w:vAlign w:val="center"/>
          </w:tcPr>
          <w:p w14:paraId="65283F48">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评价因子</w:t>
            </w:r>
          </w:p>
        </w:tc>
        <w:tc>
          <w:tcPr>
            <w:tcW w:w="3732" w:type="pct"/>
            <w:tcBorders>
              <w:tl2br w:val="nil"/>
              <w:tr2bl w:val="nil"/>
            </w:tcBorders>
            <w:vAlign w:val="center"/>
          </w:tcPr>
          <w:p w14:paraId="67F28DF6">
            <w:pPr>
              <w:pStyle w:val="147"/>
              <w:keepNext w:val="0"/>
              <w:keepLines w:val="0"/>
              <w:pageBreakBefore w:val="0"/>
              <w:widowControl w:val="0"/>
              <w:tabs>
                <w:tab w:val="left" w:pos="2628"/>
              </w:tabs>
              <w:kinsoku/>
              <w:wordWrap/>
              <w:overflowPunct/>
              <w:topLinePunct w:val="0"/>
              <w:autoSpaceDE w:val="0"/>
              <w:autoSpaceDN w:val="0"/>
              <w:bidi w:val="0"/>
              <w:adjustRightInd/>
              <w:snapToGrid/>
              <w:spacing w:line="300" w:lineRule="exact"/>
              <w:jc w:val="both"/>
              <w:textAlignment w:val="auto"/>
              <w:rPr>
                <w:rFonts w:hint="eastAsia" w:ascii="Arial" w:hAnsi="Arial" w:eastAsia="宋体" w:cs="Arial"/>
                <w:color w:val="auto"/>
                <w:sz w:val="22"/>
                <w:szCs w:val="22"/>
                <w:lang w:eastAsia="zh-CN"/>
              </w:rPr>
            </w:pPr>
            <w:r>
              <w:rPr>
                <w:rFonts w:hint="default" w:ascii="Arial" w:hAnsi="Arial" w:cs="Arial"/>
                <w:color w:val="auto"/>
                <w:sz w:val="22"/>
                <w:szCs w:val="22"/>
                <w:lang w:eastAsia="en-US"/>
              </w:rPr>
              <w:t>物种</w:t>
            </w:r>
            <w:r>
              <w:rPr>
                <w:rFonts w:hint="eastAsia" w:ascii="Arial" w:hAnsi="Arial" w:cs="Arial"/>
                <w:snapToGrid w:val="0"/>
                <w:color w:val="auto"/>
                <w:sz w:val="22"/>
                <w:szCs w:val="22"/>
                <w:lang w:eastAsia="zh-CN"/>
              </w:rPr>
              <w:t>☑</w:t>
            </w:r>
            <w:r>
              <w:rPr>
                <w:rFonts w:hint="eastAsia" w:ascii="Arial" w:hAnsi="Arial" w:cs="Arial"/>
                <w:color w:val="auto"/>
                <w:sz w:val="22"/>
                <w:szCs w:val="22"/>
                <w:lang w:eastAsia="zh-CN"/>
              </w:rPr>
              <w:t>（</w:t>
            </w:r>
            <w:r>
              <w:rPr>
                <w:rFonts w:hint="default" w:ascii="Arial" w:hAnsi="Arial" w:eastAsia="宋体" w:cs="Arial"/>
                <w:color w:val="auto"/>
                <w:sz w:val="22"/>
                <w:szCs w:val="22"/>
              </w:rPr>
              <w:t>分布范围、种群数量、种群结构、行为等</w:t>
            </w:r>
            <w:r>
              <w:rPr>
                <w:rFonts w:hint="eastAsia" w:ascii="Arial" w:hAnsi="Arial" w:eastAsia="宋体" w:cs="Arial"/>
                <w:color w:val="auto"/>
                <w:sz w:val="22"/>
                <w:szCs w:val="22"/>
                <w:lang w:eastAsia="zh-CN"/>
              </w:rPr>
              <w:t>）</w:t>
            </w:r>
          </w:p>
          <w:p w14:paraId="48E63BAC">
            <w:pPr>
              <w:pStyle w:val="147"/>
              <w:keepNext w:val="0"/>
              <w:keepLines w:val="0"/>
              <w:pageBreakBefore w:val="0"/>
              <w:widowControl w:val="0"/>
              <w:tabs>
                <w:tab w:val="left" w:pos="2628"/>
              </w:tabs>
              <w:kinsoku/>
              <w:wordWrap/>
              <w:overflowPunct/>
              <w:topLinePunct w:val="0"/>
              <w:autoSpaceDE w:val="0"/>
              <w:autoSpaceDN w:val="0"/>
              <w:bidi w:val="0"/>
              <w:adjustRightInd/>
              <w:snapToGrid/>
              <w:spacing w:line="300" w:lineRule="exact"/>
              <w:jc w:val="both"/>
              <w:textAlignment w:val="auto"/>
              <w:rPr>
                <w:rFonts w:hint="default" w:ascii="Arial" w:hAnsi="Arial" w:cs="Arial"/>
                <w:color w:val="auto"/>
                <w:sz w:val="22"/>
                <w:szCs w:val="22"/>
                <w:lang w:eastAsia="zh-CN"/>
              </w:rPr>
            </w:pPr>
            <w:r>
              <w:rPr>
                <w:rFonts w:hint="default" w:ascii="Arial" w:hAnsi="Arial" w:cs="Arial"/>
                <w:color w:val="auto"/>
                <w:sz w:val="22"/>
                <w:szCs w:val="22"/>
                <w:lang w:eastAsia="zh-CN"/>
              </w:rPr>
              <w:t>生境</w:t>
            </w:r>
            <w:r>
              <w:rPr>
                <w:rFonts w:hint="eastAsia" w:ascii="Arial" w:hAnsi="Arial" w:cs="Arial"/>
                <w:snapToGrid w:val="0"/>
                <w:color w:val="auto"/>
                <w:sz w:val="22"/>
                <w:szCs w:val="22"/>
                <w:lang w:eastAsia="zh-CN"/>
              </w:rPr>
              <w:t>☑</w:t>
            </w:r>
            <w:r>
              <w:rPr>
                <w:rFonts w:hint="eastAsia" w:ascii="Arial" w:hAnsi="Arial" w:cs="Arial"/>
                <w:color w:val="auto"/>
                <w:sz w:val="22"/>
                <w:szCs w:val="22"/>
                <w:lang w:eastAsia="zh-CN"/>
              </w:rPr>
              <w:t>（</w:t>
            </w:r>
            <w:r>
              <w:rPr>
                <w:rFonts w:hint="default" w:ascii="Arial" w:hAnsi="Arial" w:cs="Arial"/>
                <w:color w:val="auto"/>
                <w:sz w:val="22"/>
                <w:szCs w:val="22"/>
                <w:lang w:eastAsia="zh-CN"/>
              </w:rPr>
              <w:t>动物分布生境</w:t>
            </w:r>
            <w:r>
              <w:rPr>
                <w:rFonts w:hint="eastAsia" w:ascii="Arial" w:hAnsi="Arial" w:cs="Arial"/>
                <w:color w:val="auto"/>
                <w:sz w:val="22"/>
                <w:szCs w:val="22"/>
                <w:lang w:eastAsia="zh-CN"/>
              </w:rPr>
              <w:t>）</w:t>
            </w:r>
          </w:p>
          <w:p w14:paraId="1F6EB75D">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Arial" w:hAnsi="Arial" w:eastAsia="宋体" w:cs="Arial"/>
                <w:color w:val="auto"/>
                <w:sz w:val="22"/>
                <w:szCs w:val="22"/>
              </w:rPr>
            </w:pPr>
            <w:r>
              <w:rPr>
                <w:rFonts w:hint="default" w:ascii="Arial" w:hAnsi="Arial" w:eastAsia="宋体" w:cs="Arial"/>
                <w:color w:val="auto"/>
                <w:sz w:val="22"/>
                <w:szCs w:val="22"/>
              </w:rPr>
              <w:t>生物群落</w:t>
            </w:r>
            <w:r>
              <w:rPr>
                <w:rFonts w:hint="eastAsia" w:ascii="Arial" w:hAnsi="Arial" w:cs="Arial"/>
                <w:snapToGrid w:val="0"/>
                <w:color w:val="auto"/>
                <w:sz w:val="22"/>
                <w:szCs w:val="22"/>
                <w:lang w:eastAsia="zh-CN"/>
              </w:rPr>
              <w:t>☑</w:t>
            </w:r>
            <w:r>
              <w:rPr>
                <w:rFonts w:hint="default" w:ascii="Arial" w:hAnsi="Arial" w:eastAsia="宋体" w:cs="Arial"/>
                <w:color w:val="auto"/>
                <w:sz w:val="22"/>
                <w:szCs w:val="22"/>
              </w:rPr>
              <w:t>（物种组成，群落结构）</w:t>
            </w:r>
          </w:p>
          <w:p w14:paraId="4E749870">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Arial" w:hAnsi="Arial" w:eastAsia="宋体" w:cs="Arial"/>
                <w:color w:val="auto"/>
                <w:sz w:val="22"/>
                <w:szCs w:val="22"/>
              </w:rPr>
            </w:pPr>
            <w:r>
              <w:rPr>
                <w:rFonts w:hint="default" w:ascii="Arial" w:hAnsi="Arial" w:eastAsia="宋体" w:cs="Arial"/>
                <w:color w:val="auto"/>
                <w:sz w:val="22"/>
                <w:szCs w:val="22"/>
              </w:rPr>
              <w:t>生态系统</w:t>
            </w:r>
            <w:r>
              <w:rPr>
                <w:rFonts w:hint="eastAsia" w:ascii="Arial" w:hAnsi="Arial" w:cs="Arial"/>
                <w:snapToGrid w:val="0"/>
                <w:color w:val="auto"/>
                <w:sz w:val="22"/>
                <w:szCs w:val="22"/>
                <w:lang w:eastAsia="zh-CN"/>
              </w:rPr>
              <w:t>☑</w:t>
            </w:r>
            <w:r>
              <w:rPr>
                <w:rFonts w:hint="default" w:ascii="Arial" w:hAnsi="Arial" w:eastAsia="宋体" w:cs="Arial"/>
                <w:color w:val="auto"/>
                <w:sz w:val="22"/>
                <w:szCs w:val="22"/>
              </w:rPr>
              <w:t>（植被覆盖度、生物量、生态系统功能）</w:t>
            </w:r>
          </w:p>
          <w:p w14:paraId="1777530A">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Arial" w:hAnsi="Arial" w:eastAsia="宋体" w:cs="Arial"/>
                <w:color w:val="auto"/>
                <w:sz w:val="22"/>
                <w:szCs w:val="22"/>
              </w:rPr>
            </w:pPr>
            <w:r>
              <w:rPr>
                <w:rFonts w:hint="default" w:ascii="Arial" w:hAnsi="Arial" w:eastAsia="宋体" w:cs="Arial"/>
                <w:color w:val="auto"/>
                <w:sz w:val="22"/>
                <w:szCs w:val="22"/>
              </w:rPr>
              <w:t>生物多样性</w:t>
            </w:r>
            <w:r>
              <w:rPr>
                <w:rFonts w:hint="eastAsia" w:ascii="Arial" w:hAnsi="Arial" w:cs="Arial"/>
                <w:color w:val="auto"/>
                <w:sz w:val="22"/>
                <w:szCs w:val="22"/>
                <w:lang w:eastAsia="zh-CN"/>
              </w:rPr>
              <w:t>☑</w:t>
            </w:r>
            <w:r>
              <w:rPr>
                <w:rFonts w:hint="default" w:ascii="Arial" w:hAnsi="Arial" w:eastAsia="宋体" w:cs="Arial"/>
                <w:color w:val="auto"/>
                <w:sz w:val="22"/>
                <w:szCs w:val="22"/>
              </w:rPr>
              <w:t>（ ）</w:t>
            </w:r>
          </w:p>
          <w:p w14:paraId="67246B89">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Arial" w:hAnsi="Arial" w:eastAsia="宋体" w:cs="Arial"/>
                <w:color w:val="auto"/>
                <w:sz w:val="22"/>
                <w:szCs w:val="22"/>
              </w:rPr>
            </w:pPr>
            <w:r>
              <w:rPr>
                <w:rFonts w:hint="default" w:ascii="Arial" w:hAnsi="Arial" w:eastAsia="宋体" w:cs="Arial"/>
                <w:color w:val="auto"/>
                <w:sz w:val="22"/>
                <w:szCs w:val="22"/>
              </w:rPr>
              <w:t>生态敏感区</w:t>
            </w:r>
            <w:r>
              <w:rPr>
                <w:rFonts w:hint="eastAsia" w:ascii="Arial" w:hAnsi="Arial" w:cs="Arial"/>
                <w:color w:val="auto"/>
                <w:sz w:val="22"/>
                <w:szCs w:val="22"/>
                <w:lang w:eastAsia="zh-CN"/>
              </w:rPr>
              <w:t>□</w:t>
            </w:r>
            <w:r>
              <w:rPr>
                <w:rFonts w:hint="default" w:ascii="Arial" w:hAnsi="Arial" w:eastAsia="宋体" w:cs="Arial"/>
                <w:color w:val="auto"/>
                <w:sz w:val="22"/>
                <w:szCs w:val="22"/>
              </w:rPr>
              <w:t>（ ）</w:t>
            </w:r>
          </w:p>
          <w:p w14:paraId="7F1F1C31">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Arial" w:hAnsi="Arial" w:eastAsia="宋体" w:cs="Arial"/>
                <w:color w:val="auto"/>
                <w:sz w:val="22"/>
                <w:szCs w:val="22"/>
              </w:rPr>
            </w:pPr>
            <w:r>
              <w:rPr>
                <w:rFonts w:hint="default" w:ascii="Arial" w:hAnsi="Arial" w:eastAsia="宋体" w:cs="Arial"/>
                <w:color w:val="auto"/>
                <w:sz w:val="22"/>
                <w:szCs w:val="22"/>
              </w:rPr>
              <w:t>自然景观□（ ）</w:t>
            </w:r>
          </w:p>
          <w:p w14:paraId="7A83EA00">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Arial" w:hAnsi="Arial" w:eastAsia="宋体" w:cs="Arial"/>
                <w:color w:val="auto"/>
                <w:sz w:val="22"/>
                <w:szCs w:val="22"/>
              </w:rPr>
            </w:pPr>
            <w:r>
              <w:rPr>
                <w:rFonts w:hint="default" w:ascii="Arial" w:hAnsi="Arial" w:eastAsia="宋体" w:cs="Arial"/>
                <w:color w:val="auto"/>
                <w:sz w:val="22"/>
                <w:szCs w:val="22"/>
              </w:rPr>
              <w:t>自然遗迹□（ ）</w:t>
            </w:r>
          </w:p>
          <w:p w14:paraId="31948B4E">
            <w:pPr>
              <w:pStyle w:val="147"/>
              <w:keepNext w:val="0"/>
              <w:keepLines w:val="0"/>
              <w:pageBreakBefore w:val="0"/>
              <w:widowControl w:val="0"/>
              <w:tabs>
                <w:tab w:val="left" w:pos="2628"/>
              </w:tabs>
              <w:kinsoku/>
              <w:wordWrap/>
              <w:overflowPunct/>
              <w:topLinePunct w:val="0"/>
              <w:autoSpaceDE w:val="0"/>
              <w:autoSpaceDN w:val="0"/>
              <w:bidi w:val="0"/>
              <w:adjustRightInd/>
              <w:snapToGrid/>
              <w:spacing w:line="300" w:lineRule="exact"/>
              <w:jc w:val="both"/>
              <w:textAlignment w:val="auto"/>
              <w:rPr>
                <w:rFonts w:hint="default" w:ascii="Arial" w:hAnsi="Arial" w:cs="Arial"/>
                <w:color w:val="auto"/>
                <w:sz w:val="22"/>
                <w:szCs w:val="22"/>
                <w:lang w:eastAsia="en-US"/>
              </w:rPr>
            </w:pPr>
            <w:r>
              <w:rPr>
                <w:rFonts w:hint="default" w:ascii="Arial" w:hAnsi="Arial" w:eastAsia="宋体" w:cs="Arial"/>
                <w:color w:val="auto"/>
                <w:sz w:val="22"/>
                <w:szCs w:val="22"/>
              </w:rPr>
              <w:t>其他□（主要动植物）</w:t>
            </w:r>
          </w:p>
        </w:tc>
      </w:tr>
      <w:tr w14:paraId="7EE726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68" w:type="pct"/>
            <w:gridSpan w:val="2"/>
            <w:tcBorders>
              <w:tl2br w:val="nil"/>
              <w:tr2bl w:val="nil"/>
            </w:tcBorders>
            <w:vAlign w:val="center"/>
          </w:tcPr>
          <w:p w14:paraId="2D0B8650">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评价等级</w:t>
            </w:r>
          </w:p>
        </w:tc>
        <w:tc>
          <w:tcPr>
            <w:tcW w:w="3732" w:type="pct"/>
            <w:tcBorders>
              <w:tl2br w:val="nil"/>
              <w:tr2bl w:val="nil"/>
            </w:tcBorders>
            <w:vAlign w:val="center"/>
          </w:tcPr>
          <w:p w14:paraId="6191167B">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zh-CN"/>
              </w:rPr>
            </w:pPr>
            <w:r>
              <w:rPr>
                <w:rFonts w:hint="default" w:ascii="Arial" w:hAnsi="Arial" w:cs="Arial"/>
                <w:sz w:val="22"/>
                <w:szCs w:val="22"/>
                <w:lang w:eastAsia="zh-CN"/>
              </w:rPr>
              <w:t>一级</w:t>
            </w:r>
            <w:r>
              <w:rPr>
                <w:rFonts w:hint="eastAsia" w:ascii="Arial" w:hAnsi="Arial" w:cs="Arial"/>
                <w:snapToGrid w:val="0"/>
                <w:sz w:val="22"/>
                <w:szCs w:val="22"/>
                <w:lang w:eastAsia="zh-CN"/>
              </w:rPr>
              <w:t>☑</w:t>
            </w:r>
            <w:r>
              <w:rPr>
                <w:rFonts w:hint="default" w:ascii="Arial" w:hAnsi="Arial" w:cs="Arial"/>
                <w:sz w:val="22"/>
                <w:szCs w:val="22"/>
                <w:lang w:eastAsia="zh-CN"/>
              </w:rPr>
              <w:tab/>
            </w:r>
            <w:r>
              <w:rPr>
                <w:rFonts w:hint="default" w:ascii="Arial" w:hAnsi="Arial" w:cs="Arial"/>
                <w:sz w:val="22"/>
                <w:szCs w:val="22"/>
                <w:lang w:eastAsia="zh-CN"/>
              </w:rPr>
              <w:t xml:space="preserve">    二级</w:t>
            </w:r>
            <w:r>
              <w:rPr>
                <w:rFonts w:hint="eastAsia" w:ascii="Arial" w:hAnsi="Arial" w:cs="Arial"/>
                <w:snapToGrid w:val="0"/>
                <w:sz w:val="22"/>
                <w:szCs w:val="22"/>
                <w:lang w:eastAsia="zh-CN"/>
              </w:rPr>
              <w:t>☑</w:t>
            </w:r>
            <w:r>
              <w:rPr>
                <w:rFonts w:hint="default" w:ascii="Arial" w:hAnsi="Arial" w:cs="Arial"/>
                <w:sz w:val="22"/>
                <w:szCs w:val="22"/>
                <w:lang w:eastAsia="zh-CN"/>
              </w:rPr>
              <w:tab/>
            </w:r>
            <w:r>
              <w:rPr>
                <w:rFonts w:hint="default" w:ascii="Arial" w:hAnsi="Arial" w:cs="Arial"/>
                <w:sz w:val="22"/>
                <w:szCs w:val="22"/>
                <w:lang w:eastAsia="zh-CN"/>
              </w:rPr>
              <w:t xml:space="preserve">    三级</w:t>
            </w:r>
            <w:r>
              <w:rPr>
                <w:rFonts w:hint="eastAsia" w:ascii="Arial" w:hAnsi="Arial" w:cs="Arial"/>
                <w:snapToGrid w:val="0"/>
                <w:sz w:val="22"/>
                <w:szCs w:val="22"/>
                <w:lang w:eastAsia="zh-CN"/>
              </w:rPr>
              <w:t>□</w:t>
            </w:r>
            <w:r>
              <w:rPr>
                <w:rFonts w:hint="default" w:ascii="Arial" w:hAnsi="Arial" w:cs="Arial"/>
                <w:sz w:val="22"/>
                <w:szCs w:val="22"/>
                <w:lang w:eastAsia="zh-CN"/>
              </w:rPr>
              <w:tab/>
            </w:r>
            <w:r>
              <w:rPr>
                <w:rFonts w:hint="default" w:ascii="Arial" w:hAnsi="Arial" w:cs="Arial"/>
                <w:sz w:val="22"/>
                <w:szCs w:val="22"/>
                <w:lang w:eastAsia="zh-CN"/>
              </w:rPr>
              <w:t xml:space="preserve">    生态影</w:t>
            </w:r>
            <w:r>
              <w:rPr>
                <w:rFonts w:hint="default" w:ascii="Arial" w:hAnsi="Arial" w:cs="Arial"/>
                <w:spacing w:val="-3"/>
                <w:sz w:val="22"/>
                <w:szCs w:val="22"/>
                <w:lang w:eastAsia="zh-CN"/>
              </w:rPr>
              <w:t>响</w:t>
            </w:r>
            <w:r>
              <w:rPr>
                <w:rFonts w:hint="default" w:ascii="Arial" w:hAnsi="Arial" w:cs="Arial"/>
                <w:sz w:val="22"/>
                <w:szCs w:val="22"/>
                <w:lang w:eastAsia="zh-CN"/>
              </w:rPr>
              <w:t>简单分析</w:t>
            </w:r>
            <w:r>
              <w:rPr>
                <w:rFonts w:hint="default" w:ascii="Arial" w:hAnsi="Arial" w:cs="Arial"/>
                <w:snapToGrid w:val="0"/>
                <w:sz w:val="22"/>
                <w:szCs w:val="22"/>
                <w:lang w:eastAsia="zh-CN"/>
              </w:rPr>
              <w:t>□</w:t>
            </w:r>
          </w:p>
        </w:tc>
      </w:tr>
      <w:tr w14:paraId="54B6AA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68" w:type="pct"/>
            <w:gridSpan w:val="2"/>
            <w:tcBorders>
              <w:tl2br w:val="nil"/>
              <w:tr2bl w:val="nil"/>
            </w:tcBorders>
            <w:vAlign w:val="center"/>
          </w:tcPr>
          <w:p w14:paraId="15FBF06A">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评价范围</w:t>
            </w:r>
          </w:p>
        </w:tc>
        <w:tc>
          <w:tcPr>
            <w:tcW w:w="3732" w:type="pct"/>
            <w:tcBorders>
              <w:tl2br w:val="nil"/>
              <w:tr2bl w:val="nil"/>
            </w:tcBorders>
            <w:vAlign w:val="center"/>
          </w:tcPr>
          <w:p w14:paraId="01AE99F3">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zh-CN"/>
              </w:rPr>
            </w:pPr>
            <w:r>
              <w:rPr>
                <w:rFonts w:hint="default" w:ascii="Arial" w:hAnsi="Arial" w:cs="Arial"/>
                <w:sz w:val="22"/>
                <w:szCs w:val="22"/>
                <w:lang w:eastAsia="zh-CN"/>
              </w:rPr>
              <w:t>陆域面</w:t>
            </w:r>
            <w:r>
              <w:rPr>
                <w:rFonts w:hint="default" w:ascii="Arial" w:hAnsi="Arial" w:cs="Arial"/>
                <w:color w:val="auto"/>
                <w:sz w:val="22"/>
                <w:szCs w:val="22"/>
                <w:highlight w:val="none"/>
                <w:lang w:eastAsia="zh-CN"/>
              </w:rPr>
              <w:t>积</w:t>
            </w:r>
            <w:r>
              <w:rPr>
                <w:rFonts w:hint="default" w:ascii="Arial" w:hAnsi="Arial" w:cs="Arial"/>
                <w:color w:val="auto"/>
                <w:spacing w:val="-92"/>
                <w:sz w:val="22"/>
                <w:szCs w:val="22"/>
                <w:highlight w:val="none"/>
                <w:lang w:eastAsia="zh-CN"/>
              </w:rPr>
              <w:t>：</w:t>
            </w:r>
            <w:r>
              <w:rPr>
                <w:rFonts w:hint="eastAsia" w:ascii="宋体" w:hAnsi="宋体" w:eastAsia="宋体" w:cs="宋体"/>
                <w:color w:val="auto"/>
                <w:sz w:val="22"/>
                <w:szCs w:val="22"/>
                <w:highlight w:val="none"/>
                <w:lang w:eastAsia="zh-CN"/>
              </w:rPr>
              <w:t>(</w:t>
            </w:r>
            <w:r>
              <w:rPr>
                <w:rFonts w:hint="eastAsia" w:ascii="Arial" w:hAnsi="Arial" w:cs="Arial"/>
                <w:color w:val="auto"/>
                <w:sz w:val="22"/>
                <w:szCs w:val="22"/>
                <w:highlight w:val="none"/>
                <w:lang w:val="en-US" w:eastAsia="zh-CN"/>
              </w:rPr>
              <w:t>18.991</w:t>
            </w:r>
            <w:r>
              <w:rPr>
                <w:rFonts w:hint="eastAsia" w:ascii="宋体" w:hAnsi="宋体" w:eastAsia="宋体" w:cs="宋体"/>
                <w:color w:val="auto"/>
                <w:sz w:val="22"/>
                <w:szCs w:val="22"/>
                <w:highlight w:val="none"/>
                <w:lang w:eastAsia="zh-CN"/>
              </w:rPr>
              <w:t>)</w:t>
            </w:r>
            <w:r>
              <w:rPr>
                <w:rFonts w:hint="default" w:ascii="Arial" w:hAnsi="Arial" w:eastAsia="宋体" w:cs="Arial"/>
                <w:color w:val="auto"/>
                <w:spacing w:val="-2"/>
                <w:sz w:val="22"/>
                <w:szCs w:val="22"/>
                <w:highlight w:val="none"/>
                <w:lang w:eastAsia="zh-CN"/>
              </w:rPr>
              <w:t>k</w:t>
            </w:r>
            <w:r>
              <w:rPr>
                <w:rFonts w:hint="default" w:ascii="Arial" w:hAnsi="Arial" w:cs="Arial"/>
                <w:color w:val="auto"/>
                <w:spacing w:val="-4"/>
                <w:sz w:val="22"/>
                <w:szCs w:val="22"/>
                <w:highlight w:val="none"/>
                <w:lang w:eastAsia="zh-CN"/>
              </w:rPr>
              <w:t>m</w:t>
            </w:r>
            <w:r>
              <w:rPr>
                <w:rFonts w:hint="default" w:ascii="Arial" w:hAnsi="Arial" w:cs="Arial"/>
                <w:color w:val="auto"/>
                <w:spacing w:val="-4"/>
                <w:sz w:val="22"/>
                <w:szCs w:val="22"/>
                <w:highlight w:val="none"/>
                <w:vertAlign w:val="superscript"/>
                <w:lang w:eastAsia="zh-CN"/>
              </w:rPr>
              <w:t>2</w:t>
            </w:r>
            <w:r>
              <w:rPr>
                <w:rFonts w:hint="default" w:ascii="Arial" w:hAnsi="Arial" w:cs="Arial"/>
                <w:color w:val="auto"/>
                <w:sz w:val="22"/>
                <w:szCs w:val="22"/>
                <w:highlight w:val="none"/>
                <w:lang w:eastAsia="zh-CN"/>
              </w:rPr>
              <w:t>；水</w:t>
            </w:r>
            <w:r>
              <w:rPr>
                <w:rFonts w:hint="default" w:ascii="Arial" w:hAnsi="Arial" w:cs="Arial"/>
                <w:color w:val="auto"/>
                <w:spacing w:val="2"/>
                <w:sz w:val="22"/>
                <w:szCs w:val="22"/>
                <w:highlight w:val="none"/>
                <w:lang w:eastAsia="zh-CN"/>
              </w:rPr>
              <w:t>域</w:t>
            </w:r>
            <w:r>
              <w:rPr>
                <w:rFonts w:hint="default" w:ascii="Arial" w:hAnsi="Arial" w:cs="Arial"/>
                <w:color w:val="auto"/>
                <w:sz w:val="22"/>
                <w:szCs w:val="22"/>
                <w:highlight w:val="none"/>
                <w:lang w:eastAsia="zh-CN"/>
              </w:rPr>
              <w:t>面积</w:t>
            </w:r>
            <w:r>
              <w:rPr>
                <w:rFonts w:hint="eastAsia" w:ascii="宋体" w:hAnsi="宋体" w:eastAsia="宋体" w:cs="宋体"/>
                <w:color w:val="auto"/>
                <w:spacing w:val="-92"/>
                <w:sz w:val="22"/>
                <w:szCs w:val="22"/>
                <w:highlight w:val="none"/>
                <w:lang w:eastAsia="zh-CN"/>
              </w:rPr>
              <w:t>：</w:t>
            </w:r>
            <w:r>
              <w:rPr>
                <w:rFonts w:hint="eastAsia" w:ascii="宋体" w:hAnsi="宋体" w:eastAsia="宋体" w:cs="宋体"/>
                <w:color w:val="auto"/>
                <w:sz w:val="22"/>
                <w:szCs w:val="22"/>
                <w:highlight w:val="none"/>
                <w:lang w:eastAsia="zh-CN"/>
              </w:rPr>
              <w:t>(</w:t>
            </w:r>
            <w:r>
              <w:rPr>
                <w:rFonts w:hint="eastAsia" w:ascii="Arial" w:hAnsi="Arial" w:cs="Arial"/>
                <w:color w:val="auto"/>
                <w:sz w:val="22"/>
                <w:szCs w:val="22"/>
                <w:highlight w:val="none"/>
                <w:lang w:val="en-US" w:eastAsia="zh-CN"/>
              </w:rPr>
              <w:t xml:space="preserve">  /  </w:t>
            </w:r>
            <w:r>
              <w:rPr>
                <w:rFonts w:hint="eastAsia" w:ascii="宋体" w:hAnsi="宋体" w:eastAsia="宋体" w:cs="宋体"/>
                <w:color w:val="auto"/>
                <w:sz w:val="22"/>
                <w:szCs w:val="22"/>
                <w:highlight w:val="none"/>
                <w:lang w:eastAsia="zh-CN"/>
              </w:rPr>
              <w:t>)</w:t>
            </w:r>
            <w:r>
              <w:rPr>
                <w:rFonts w:hint="default" w:ascii="Arial" w:hAnsi="Arial" w:cs="Arial"/>
                <w:color w:val="auto"/>
                <w:spacing w:val="-2"/>
                <w:sz w:val="22"/>
                <w:szCs w:val="22"/>
                <w:highlight w:val="none"/>
                <w:lang w:eastAsia="zh-CN"/>
              </w:rPr>
              <w:t>k</w:t>
            </w:r>
            <w:r>
              <w:rPr>
                <w:rFonts w:hint="default" w:ascii="Arial" w:hAnsi="Arial" w:cs="Arial"/>
                <w:color w:val="auto"/>
                <w:spacing w:val="-4"/>
                <w:sz w:val="22"/>
                <w:szCs w:val="22"/>
                <w:highlight w:val="none"/>
                <w:lang w:eastAsia="zh-CN"/>
              </w:rPr>
              <w:t>m</w:t>
            </w:r>
            <w:r>
              <w:rPr>
                <w:rFonts w:hint="default" w:ascii="Arial" w:hAnsi="Arial" w:cs="Arial"/>
                <w:color w:val="auto"/>
                <w:spacing w:val="-4"/>
                <w:sz w:val="22"/>
                <w:szCs w:val="22"/>
                <w:highlight w:val="none"/>
                <w:vertAlign w:val="superscript"/>
                <w:lang w:eastAsia="zh-CN"/>
              </w:rPr>
              <w:t>2</w:t>
            </w:r>
          </w:p>
        </w:tc>
      </w:tr>
      <w:tr w14:paraId="671188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restart"/>
            <w:tcBorders>
              <w:tl2br w:val="nil"/>
              <w:tr2bl w:val="nil"/>
            </w:tcBorders>
            <w:vAlign w:val="center"/>
          </w:tcPr>
          <w:p w14:paraId="08DFC886">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生态现状 调查与评价</w:t>
            </w:r>
          </w:p>
        </w:tc>
        <w:tc>
          <w:tcPr>
            <w:tcW w:w="743" w:type="pct"/>
            <w:tcBorders>
              <w:tl2br w:val="nil"/>
              <w:tr2bl w:val="nil"/>
            </w:tcBorders>
            <w:vAlign w:val="center"/>
          </w:tcPr>
          <w:p w14:paraId="24869692">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调查方法</w:t>
            </w:r>
          </w:p>
        </w:tc>
        <w:tc>
          <w:tcPr>
            <w:tcW w:w="3732" w:type="pct"/>
            <w:tcBorders>
              <w:tl2br w:val="nil"/>
              <w:tr2bl w:val="nil"/>
            </w:tcBorders>
            <w:vAlign w:val="center"/>
          </w:tcPr>
          <w:p w14:paraId="7E8623F6">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zh-CN"/>
              </w:rPr>
            </w:pPr>
            <w:r>
              <w:rPr>
                <w:rFonts w:hint="default" w:ascii="Arial" w:hAnsi="Arial" w:cs="Arial"/>
                <w:spacing w:val="2"/>
                <w:sz w:val="22"/>
                <w:szCs w:val="22"/>
                <w:lang w:eastAsia="zh-CN"/>
              </w:rPr>
              <w:t>资料收</w:t>
            </w:r>
            <w:r>
              <w:rPr>
                <w:rFonts w:hint="default" w:ascii="Arial" w:hAnsi="Arial" w:cs="Arial"/>
                <w:spacing w:val="3"/>
                <w:sz w:val="22"/>
                <w:szCs w:val="22"/>
                <w:lang w:eastAsia="zh-CN"/>
              </w:rPr>
              <w:t>集</w:t>
            </w:r>
            <w:r>
              <w:rPr>
                <w:rFonts w:hint="eastAsia" w:ascii="Arial" w:hAnsi="Arial" w:cs="Arial"/>
                <w:snapToGrid w:val="0"/>
                <w:sz w:val="22"/>
                <w:szCs w:val="22"/>
                <w:lang w:eastAsia="zh-CN"/>
              </w:rPr>
              <w:t>☑</w:t>
            </w:r>
            <w:r>
              <w:rPr>
                <w:rFonts w:hint="default" w:ascii="Arial" w:hAnsi="Arial" w:cs="Arial"/>
                <w:spacing w:val="2"/>
                <w:sz w:val="22"/>
                <w:szCs w:val="22"/>
                <w:lang w:eastAsia="zh-CN"/>
              </w:rPr>
              <w:t>；遥感</w:t>
            </w:r>
            <w:r>
              <w:rPr>
                <w:rFonts w:hint="default" w:ascii="Arial" w:hAnsi="Arial" w:cs="Arial"/>
                <w:sz w:val="22"/>
                <w:szCs w:val="22"/>
                <w:lang w:eastAsia="zh-CN"/>
              </w:rPr>
              <w:t>调</w:t>
            </w:r>
            <w:r>
              <w:rPr>
                <w:rFonts w:hint="default" w:ascii="Arial" w:hAnsi="Arial" w:cs="Arial"/>
                <w:spacing w:val="2"/>
                <w:sz w:val="22"/>
                <w:szCs w:val="22"/>
                <w:lang w:eastAsia="zh-CN"/>
              </w:rPr>
              <w:t>查</w:t>
            </w:r>
            <w:r>
              <w:rPr>
                <w:rFonts w:hint="eastAsia" w:ascii="Arial" w:hAnsi="Arial" w:cs="Arial"/>
                <w:snapToGrid w:val="0"/>
                <w:sz w:val="22"/>
                <w:szCs w:val="22"/>
                <w:lang w:eastAsia="zh-CN"/>
              </w:rPr>
              <w:t>☑</w:t>
            </w:r>
            <w:r>
              <w:rPr>
                <w:rFonts w:hint="default" w:ascii="Arial" w:hAnsi="Arial" w:cs="Arial"/>
                <w:spacing w:val="2"/>
                <w:sz w:val="22"/>
                <w:szCs w:val="22"/>
                <w:lang w:eastAsia="zh-CN"/>
              </w:rPr>
              <w:t>；</w:t>
            </w:r>
            <w:r>
              <w:rPr>
                <w:rFonts w:hint="default" w:ascii="Arial" w:hAnsi="Arial" w:cs="Arial"/>
                <w:sz w:val="22"/>
                <w:szCs w:val="22"/>
                <w:lang w:eastAsia="zh-CN"/>
              </w:rPr>
              <w:t>调</w:t>
            </w:r>
            <w:r>
              <w:rPr>
                <w:rFonts w:hint="default" w:ascii="Arial" w:hAnsi="Arial" w:cs="Arial"/>
                <w:spacing w:val="2"/>
                <w:sz w:val="22"/>
                <w:szCs w:val="22"/>
                <w:lang w:eastAsia="zh-CN"/>
              </w:rPr>
              <w:t>查样</w:t>
            </w:r>
            <w:r>
              <w:rPr>
                <w:rFonts w:hint="default" w:ascii="Arial" w:hAnsi="Arial" w:cs="Arial"/>
                <w:spacing w:val="3"/>
                <w:sz w:val="22"/>
                <w:szCs w:val="22"/>
                <w:lang w:eastAsia="zh-CN"/>
              </w:rPr>
              <w:t>方</w:t>
            </w:r>
            <w:r>
              <w:rPr>
                <w:rFonts w:hint="default" w:ascii="Arial" w:hAnsi="Arial" w:cs="Arial"/>
                <w:spacing w:val="2"/>
                <w:sz w:val="22"/>
                <w:szCs w:val="22"/>
                <w:lang w:eastAsia="zh-CN"/>
              </w:rPr>
              <w:t>、</w:t>
            </w:r>
            <w:r>
              <w:rPr>
                <w:rFonts w:hint="default" w:ascii="Arial" w:hAnsi="Arial" w:cs="Arial"/>
                <w:sz w:val="22"/>
                <w:szCs w:val="22"/>
                <w:lang w:eastAsia="zh-CN"/>
              </w:rPr>
              <w:t>样</w:t>
            </w:r>
            <w:r>
              <w:rPr>
                <w:rFonts w:hint="default" w:ascii="Arial" w:hAnsi="Arial" w:cs="Arial"/>
                <w:spacing w:val="2"/>
                <w:sz w:val="22"/>
                <w:szCs w:val="22"/>
                <w:lang w:eastAsia="zh-CN"/>
              </w:rPr>
              <w:t>线</w:t>
            </w:r>
            <w:r>
              <w:rPr>
                <w:rFonts w:hint="eastAsia" w:ascii="Arial" w:hAnsi="Arial" w:cs="Arial"/>
                <w:snapToGrid w:val="0"/>
                <w:sz w:val="22"/>
                <w:szCs w:val="22"/>
                <w:lang w:eastAsia="zh-CN"/>
              </w:rPr>
              <w:t>☑</w:t>
            </w:r>
            <w:r>
              <w:rPr>
                <w:rFonts w:hint="default" w:ascii="Arial" w:hAnsi="Arial" w:cs="Arial"/>
                <w:spacing w:val="2"/>
                <w:sz w:val="22"/>
                <w:szCs w:val="22"/>
                <w:lang w:eastAsia="zh-CN"/>
              </w:rPr>
              <w:t>；</w:t>
            </w:r>
            <w:r>
              <w:rPr>
                <w:rFonts w:hint="default" w:ascii="Arial" w:hAnsi="Arial" w:cs="Arial"/>
                <w:sz w:val="22"/>
                <w:szCs w:val="22"/>
                <w:lang w:eastAsia="zh-CN"/>
              </w:rPr>
              <w:t>调</w:t>
            </w:r>
            <w:r>
              <w:rPr>
                <w:rFonts w:hint="default" w:ascii="Arial" w:hAnsi="Arial" w:cs="Arial"/>
                <w:spacing w:val="2"/>
                <w:sz w:val="22"/>
                <w:szCs w:val="22"/>
                <w:lang w:eastAsia="zh-CN"/>
              </w:rPr>
              <w:t>查点位</w:t>
            </w:r>
            <w:r>
              <w:rPr>
                <w:rFonts w:hint="default" w:ascii="Arial" w:hAnsi="Arial" w:cs="Arial"/>
                <w:sz w:val="22"/>
                <w:szCs w:val="22"/>
                <w:lang w:eastAsia="zh-CN"/>
              </w:rPr>
              <w:t>、</w:t>
            </w:r>
            <w:r>
              <w:rPr>
                <w:rFonts w:hint="default" w:ascii="Arial" w:hAnsi="Arial" w:cs="Arial"/>
                <w:spacing w:val="2"/>
                <w:sz w:val="22"/>
                <w:szCs w:val="22"/>
                <w:lang w:eastAsia="zh-CN"/>
              </w:rPr>
              <w:t>断</w:t>
            </w:r>
            <w:r>
              <w:rPr>
                <w:rFonts w:hint="default" w:ascii="Arial" w:hAnsi="Arial" w:cs="Arial"/>
                <w:spacing w:val="4"/>
                <w:sz w:val="22"/>
                <w:szCs w:val="22"/>
                <w:lang w:eastAsia="zh-CN"/>
              </w:rPr>
              <w:t>面</w:t>
            </w:r>
            <w:r>
              <w:rPr>
                <w:rFonts w:hint="eastAsia" w:ascii="Arial" w:hAnsi="Arial" w:cs="Arial"/>
                <w:snapToGrid w:val="0"/>
                <w:sz w:val="22"/>
                <w:szCs w:val="22"/>
                <w:lang w:eastAsia="zh-CN"/>
              </w:rPr>
              <w:t>☑</w:t>
            </w:r>
            <w:r>
              <w:rPr>
                <w:rFonts w:hint="default" w:ascii="Arial" w:hAnsi="Arial" w:cs="Arial"/>
                <w:spacing w:val="2"/>
                <w:sz w:val="22"/>
                <w:szCs w:val="22"/>
                <w:lang w:eastAsia="zh-CN"/>
              </w:rPr>
              <w:t>；</w:t>
            </w:r>
            <w:r>
              <w:rPr>
                <w:rFonts w:hint="default" w:ascii="Arial" w:hAnsi="Arial" w:cs="Arial"/>
                <w:sz w:val="22"/>
                <w:szCs w:val="22"/>
                <w:lang w:eastAsia="zh-CN"/>
              </w:rPr>
              <w:t>专</w:t>
            </w:r>
            <w:r>
              <w:rPr>
                <w:rFonts w:hint="default" w:ascii="Arial" w:hAnsi="Arial" w:cs="Arial"/>
                <w:spacing w:val="2"/>
                <w:sz w:val="22"/>
                <w:szCs w:val="22"/>
                <w:lang w:eastAsia="zh-CN"/>
              </w:rPr>
              <w:t>家和公</w:t>
            </w:r>
            <w:r>
              <w:rPr>
                <w:rFonts w:hint="default" w:ascii="Arial" w:hAnsi="Arial" w:cs="Arial"/>
                <w:sz w:val="22"/>
                <w:szCs w:val="22"/>
                <w:lang w:eastAsia="zh-CN"/>
              </w:rPr>
              <w:t>众</w:t>
            </w:r>
            <w:r>
              <w:rPr>
                <w:rFonts w:hint="default" w:ascii="Arial" w:hAnsi="Arial" w:cs="Arial"/>
                <w:spacing w:val="2"/>
                <w:sz w:val="22"/>
                <w:szCs w:val="22"/>
                <w:lang w:eastAsia="zh-CN"/>
              </w:rPr>
              <w:t>咨</w:t>
            </w:r>
            <w:r>
              <w:rPr>
                <w:rFonts w:hint="default" w:ascii="Arial" w:hAnsi="Arial" w:cs="Arial"/>
                <w:sz w:val="22"/>
                <w:szCs w:val="22"/>
                <w:lang w:eastAsia="zh-CN"/>
              </w:rPr>
              <w:t>询法</w:t>
            </w:r>
            <w:r>
              <w:rPr>
                <w:rFonts w:hint="eastAsia" w:ascii="Arial" w:hAnsi="Arial" w:cs="Arial"/>
                <w:snapToGrid w:val="0"/>
                <w:sz w:val="22"/>
                <w:szCs w:val="22"/>
                <w:lang w:eastAsia="zh-CN"/>
              </w:rPr>
              <w:t>☑</w:t>
            </w:r>
            <w:r>
              <w:rPr>
                <w:rFonts w:hint="default" w:ascii="Arial" w:hAnsi="Arial" w:cs="Arial"/>
                <w:sz w:val="22"/>
                <w:szCs w:val="22"/>
                <w:lang w:eastAsia="zh-CN"/>
              </w:rPr>
              <w:t>；其他</w:t>
            </w:r>
            <w:r>
              <w:rPr>
                <w:rFonts w:hint="default" w:ascii="Arial" w:hAnsi="Arial" w:cs="Arial"/>
                <w:snapToGrid w:val="0"/>
                <w:sz w:val="22"/>
                <w:szCs w:val="22"/>
                <w:lang w:eastAsia="zh-CN"/>
              </w:rPr>
              <w:t>□</w:t>
            </w:r>
          </w:p>
        </w:tc>
      </w:tr>
      <w:tr w14:paraId="26A294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continue"/>
            <w:tcBorders>
              <w:tl2br w:val="nil"/>
              <w:tr2bl w:val="nil"/>
            </w:tcBorders>
            <w:vAlign w:val="center"/>
          </w:tcPr>
          <w:p w14:paraId="1E39C4B8">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zh-CN"/>
              </w:rPr>
            </w:pPr>
          </w:p>
        </w:tc>
        <w:tc>
          <w:tcPr>
            <w:tcW w:w="743" w:type="pct"/>
            <w:tcBorders>
              <w:tl2br w:val="nil"/>
              <w:tr2bl w:val="nil"/>
            </w:tcBorders>
            <w:vAlign w:val="center"/>
          </w:tcPr>
          <w:p w14:paraId="20F5B1B8">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调查时间</w:t>
            </w:r>
          </w:p>
        </w:tc>
        <w:tc>
          <w:tcPr>
            <w:tcW w:w="3732" w:type="pct"/>
            <w:tcBorders>
              <w:tl2br w:val="nil"/>
              <w:tr2bl w:val="nil"/>
            </w:tcBorders>
            <w:vAlign w:val="center"/>
          </w:tcPr>
          <w:p w14:paraId="2C06209A">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en-US"/>
              </w:rPr>
            </w:pPr>
            <w:r>
              <w:rPr>
                <w:rFonts w:hint="default" w:ascii="Arial" w:hAnsi="Arial" w:cs="Arial"/>
                <w:sz w:val="22"/>
                <w:szCs w:val="22"/>
                <w:lang w:eastAsia="en-US"/>
              </w:rPr>
              <w:t>春季</w:t>
            </w:r>
            <w:r>
              <w:rPr>
                <w:rFonts w:hint="eastAsia" w:ascii="Arial" w:hAnsi="Arial" w:cs="Arial"/>
                <w:snapToGrid w:val="0"/>
                <w:sz w:val="22"/>
                <w:szCs w:val="22"/>
                <w:lang w:eastAsia="zh-CN"/>
              </w:rPr>
              <w:t>☑</w:t>
            </w:r>
            <w:r>
              <w:rPr>
                <w:rFonts w:hint="default" w:ascii="Arial" w:hAnsi="Arial" w:cs="Arial"/>
                <w:sz w:val="22"/>
                <w:szCs w:val="22"/>
                <w:lang w:eastAsia="en-US"/>
              </w:rPr>
              <w:t>；夏季</w:t>
            </w:r>
            <w:r>
              <w:rPr>
                <w:rFonts w:hint="eastAsia" w:ascii="Arial" w:hAnsi="Arial" w:cs="Arial"/>
                <w:snapToGrid w:val="0"/>
                <w:sz w:val="22"/>
                <w:szCs w:val="22"/>
                <w:lang w:eastAsia="zh-CN"/>
              </w:rPr>
              <w:t>□</w:t>
            </w:r>
            <w:r>
              <w:rPr>
                <w:rFonts w:hint="default" w:ascii="Arial" w:hAnsi="Arial" w:cs="Arial"/>
                <w:sz w:val="22"/>
                <w:szCs w:val="22"/>
                <w:lang w:eastAsia="en-US"/>
              </w:rPr>
              <w:t>；秋季</w:t>
            </w:r>
            <w:r>
              <w:rPr>
                <w:rFonts w:hint="eastAsia" w:ascii="Arial" w:hAnsi="Arial" w:cs="Arial"/>
                <w:snapToGrid w:val="0"/>
                <w:sz w:val="22"/>
                <w:szCs w:val="22"/>
                <w:lang w:eastAsia="zh-CN"/>
              </w:rPr>
              <w:t>☑</w:t>
            </w:r>
            <w:r>
              <w:rPr>
                <w:rFonts w:hint="default" w:ascii="Arial" w:hAnsi="Arial" w:cs="Arial"/>
                <w:sz w:val="22"/>
                <w:szCs w:val="22"/>
                <w:lang w:eastAsia="en-US"/>
              </w:rPr>
              <w:t>；冬季</w:t>
            </w:r>
            <w:r>
              <w:rPr>
                <w:rFonts w:hint="default" w:ascii="Arial" w:hAnsi="Arial" w:cs="Arial"/>
                <w:snapToGrid w:val="0"/>
                <w:sz w:val="22"/>
                <w:szCs w:val="22"/>
                <w:lang w:eastAsia="en-US"/>
              </w:rPr>
              <w:t>□</w:t>
            </w:r>
          </w:p>
          <w:p w14:paraId="267A62FF">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en-US"/>
              </w:rPr>
            </w:pPr>
            <w:r>
              <w:rPr>
                <w:rFonts w:hint="default" w:ascii="Arial" w:hAnsi="Arial" w:cs="Arial"/>
                <w:sz w:val="22"/>
                <w:szCs w:val="22"/>
                <w:lang w:eastAsia="en-US"/>
              </w:rPr>
              <w:t>丰水期</w:t>
            </w:r>
            <w:r>
              <w:rPr>
                <w:rFonts w:hint="eastAsia" w:ascii="Arial" w:hAnsi="Arial" w:cs="Arial"/>
                <w:snapToGrid w:val="0"/>
                <w:sz w:val="22"/>
                <w:szCs w:val="22"/>
                <w:lang w:eastAsia="zh-CN"/>
              </w:rPr>
              <w:t>☑</w:t>
            </w:r>
            <w:r>
              <w:rPr>
                <w:rFonts w:hint="default" w:ascii="Arial" w:hAnsi="Arial" w:cs="Arial"/>
                <w:sz w:val="22"/>
                <w:szCs w:val="22"/>
                <w:lang w:eastAsia="en-US"/>
              </w:rPr>
              <w:t>；枯水期</w:t>
            </w:r>
            <w:r>
              <w:rPr>
                <w:rFonts w:hint="eastAsia" w:ascii="Arial" w:hAnsi="Arial" w:cs="Arial"/>
                <w:snapToGrid w:val="0"/>
                <w:sz w:val="22"/>
                <w:szCs w:val="22"/>
                <w:lang w:eastAsia="zh-CN"/>
              </w:rPr>
              <w:t>☑</w:t>
            </w:r>
            <w:r>
              <w:rPr>
                <w:rFonts w:hint="default" w:ascii="Arial" w:hAnsi="Arial" w:cs="Arial"/>
                <w:sz w:val="22"/>
                <w:szCs w:val="22"/>
                <w:lang w:eastAsia="en-US"/>
              </w:rPr>
              <w:t>；平水期</w:t>
            </w:r>
            <w:r>
              <w:rPr>
                <w:rFonts w:hint="default" w:ascii="Arial" w:hAnsi="Arial" w:cs="Arial"/>
                <w:snapToGrid w:val="0"/>
                <w:sz w:val="22"/>
                <w:szCs w:val="22"/>
                <w:lang w:eastAsia="en-US"/>
              </w:rPr>
              <w:t>□</w:t>
            </w:r>
          </w:p>
        </w:tc>
      </w:tr>
      <w:tr w14:paraId="397AE7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continue"/>
            <w:tcBorders>
              <w:tl2br w:val="nil"/>
              <w:tr2bl w:val="nil"/>
            </w:tcBorders>
            <w:vAlign w:val="center"/>
          </w:tcPr>
          <w:p w14:paraId="7D43FEAF">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p>
        </w:tc>
        <w:tc>
          <w:tcPr>
            <w:tcW w:w="743" w:type="pct"/>
            <w:tcBorders>
              <w:tl2br w:val="nil"/>
              <w:tr2bl w:val="nil"/>
            </w:tcBorders>
            <w:vAlign w:val="center"/>
          </w:tcPr>
          <w:p w14:paraId="64119C2F">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所在区域的生态问题</w:t>
            </w:r>
          </w:p>
        </w:tc>
        <w:tc>
          <w:tcPr>
            <w:tcW w:w="3732" w:type="pct"/>
            <w:tcBorders>
              <w:tl2br w:val="nil"/>
              <w:tr2bl w:val="nil"/>
            </w:tcBorders>
            <w:vAlign w:val="center"/>
          </w:tcPr>
          <w:p w14:paraId="38CA6C32">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zh-CN"/>
              </w:rPr>
            </w:pPr>
            <w:r>
              <w:rPr>
                <w:rFonts w:hint="default" w:ascii="Arial" w:hAnsi="Arial" w:cs="Arial"/>
                <w:sz w:val="22"/>
                <w:szCs w:val="22"/>
                <w:lang w:eastAsia="zh-CN"/>
              </w:rPr>
              <w:t>水土流失</w:t>
            </w:r>
            <w:r>
              <w:rPr>
                <w:rFonts w:hint="default" w:ascii="Arial" w:hAnsi="Arial" w:cs="Arial"/>
                <w:snapToGrid w:val="0"/>
                <w:sz w:val="22"/>
                <w:szCs w:val="22"/>
                <w:lang w:eastAsia="zh-CN"/>
              </w:rPr>
              <w:t>□</w:t>
            </w:r>
            <w:r>
              <w:rPr>
                <w:rFonts w:hint="default" w:ascii="Arial" w:hAnsi="Arial" w:cs="Arial"/>
                <w:sz w:val="22"/>
                <w:szCs w:val="22"/>
                <w:lang w:eastAsia="zh-CN"/>
              </w:rPr>
              <w:t>；沙漠化</w:t>
            </w:r>
            <w:r>
              <w:rPr>
                <w:rFonts w:hint="default" w:ascii="Arial" w:hAnsi="Arial" w:cs="Arial"/>
                <w:snapToGrid w:val="0"/>
                <w:sz w:val="22"/>
                <w:szCs w:val="22"/>
                <w:lang w:eastAsia="zh-CN"/>
              </w:rPr>
              <w:t>□</w:t>
            </w:r>
            <w:r>
              <w:rPr>
                <w:rFonts w:hint="default" w:ascii="Arial" w:hAnsi="Arial" w:cs="Arial"/>
                <w:sz w:val="22"/>
                <w:szCs w:val="22"/>
                <w:lang w:eastAsia="zh-CN"/>
              </w:rPr>
              <w:t>；石漠化</w:t>
            </w:r>
            <w:r>
              <w:rPr>
                <w:rFonts w:hint="default" w:ascii="Arial" w:hAnsi="Arial" w:cs="Arial"/>
                <w:snapToGrid w:val="0"/>
                <w:sz w:val="22"/>
                <w:szCs w:val="22"/>
                <w:lang w:eastAsia="zh-CN"/>
              </w:rPr>
              <w:t>□</w:t>
            </w:r>
            <w:r>
              <w:rPr>
                <w:rFonts w:hint="default" w:ascii="Arial" w:hAnsi="Arial" w:cs="Arial"/>
                <w:sz w:val="22"/>
                <w:szCs w:val="22"/>
                <w:lang w:eastAsia="zh-CN"/>
              </w:rPr>
              <w:t>；盐渍化</w:t>
            </w:r>
            <w:r>
              <w:rPr>
                <w:rFonts w:hint="default" w:ascii="Arial" w:hAnsi="Arial" w:cs="Arial"/>
                <w:snapToGrid w:val="0"/>
                <w:sz w:val="22"/>
                <w:szCs w:val="22"/>
                <w:lang w:eastAsia="zh-CN"/>
              </w:rPr>
              <w:t>□</w:t>
            </w:r>
            <w:r>
              <w:rPr>
                <w:rFonts w:hint="default" w:ascii="Arial" w:hAnsi="Arial" w:cs="Arial"/>
                <w:sz w:val="22"/>
                <w:szCs w:val="22"/>
                <w:lang w:eastAsia="zh-CN"/>
              </w:rPr>
              <w:t>；生物入侵</w:t>
            </w:r>
            <w:r>
              <w:rPr>
                <w:rFonts w:hint="default" w:ascii="Arial" w:hAnsi="Arial" w:cs="Arial"/>
                <w:snapToGrid w:val="0"/>
                <w:sz w:val="22"/>
                <w:szCs w:val="22"/>
                <w:lang w:eastAsia="zh-CN"/>
              </w:rPr>
              <w:t>□</w:t>
            </w:r>
            <w:r>
              <w:rPr>
                <w:rFonts w:hint="default" w:ascii="Arial" w:hAnsi="Arial" w:cs="Arial"/>
                <w:sz w:val="22"/>
                <w:szCs w:val="22"/>
                <w:lang w:eastAsia="zh-CN"/>
              </w:rPr>
              <w:t>；污染危害</w:t>
            </w:r>
            <w:r>
              <w:rPr>
                <w:rFonts w:hint="default" w:ascii="Arial" w:hAnsi="Arial" w:cs="Arial"/>
                <w:snapToGrid w:val="0"/>
                <w:sz w:val="22"/>
                <w:szCs w:val="22"/>
                <w:lang w:eastAsia="zh-CN"/>
              </w:rPr>
              <w:t>□</w:t>
            </w:r>
            <w:r>
              <w:rPr>
                <w:rFonts w:hint="default" w:ascii="Arial" w:hAnsi="Arial" w:cs="Arial"/>
                <w:sz w:val="22"/>
                <w:szCs w:val="22"/>
                <w:lang w:eastAsia="zh-CN"/>
              </w:rPr>
              <w:t>；其他</w:t>
            </w:r>
            <w:r>
              <w:rPr>
                <w:rFonts w:hint="eastAsia" w:ascii="Arial" w:hAnsi="Arial" w:cs="Arial"/>
                <w:snapToGrid w:val="0"/>
                <w:sz w:val="22"/>
                <w:szCs w:val="22"/>
                <w:lang w:eastAsia="zh-CN"/>
              </w:rPr>
              <w:t>□</w:t>
            </w:r>
          </w:p>
        </w:tc>
      </w:tr>
      <w:tr w14:paraId="4F99FA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continue"/>
            <w:tcBorders>
              <w:tl2br w:val="nil"/>
              <w:tr2bl w:val="nil"/>
            </w:tcBorders>
            <w:vAlign w:val="center"/>
          </w:tcPr>
          <w:p w14:paraId="08FE9375">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zh-CN"/>
              </w:rPr>
            </w:pPr>
          </w:p>
        </w:tc>
        <w:tc>
          <w:tcPr>
            <w:tcW w:w="743" w:type="pct"/>
            <w:tcBorders>
              <w:tl2br w:val="nil"/>
              <w:tr2bl w:val="nil"/>
            </w:tcBorders>
            <w:vAlign w:val="center"/>
          </w:tcPr>
          <w:p w14:paraId="5058B512">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评价内容</w:t>
            </w:r>
          </w:p>
        </w:tc>
        <w:tc>
          <w:tcPr>
            <w:tcW w:w="3732" w:type="pct"/>
            <w:tcBorders>
              <w:tl2br w:val="nil"/>
              <w:tr2bl w:val="nil"/>
            </w:tcBorders>
            <w:vAlign w:val="center"/>
          </w:tcPr>
          <w:p w14:paraId="47BB1F49">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zh-CN"/>
              </w:rPr>
            </w:pPr>
            <w:r>
              <w:rPr>
                <w:rFonts w:hint="default" w:ascii="Arial" w:hAnsi="Arial" w:cs="Arial"/>
                <w:sz w:val="22"/>
                <w:szCs w:val="22"/>
                <w:lang w:eastAsia="zh-CN"/>
              </w:rPr>
              <w:t>植被/植物群落</w:t>
            </w:r>
            <w:r>
              <w:rPr>
                <w:rFonts w:hint="eastAsia" w:ascii="Arial" w:hAnsi="Arial" w:cs="Arial"/>
                <w:snapToGrid w:val="0"/>
                <w:sz w:val="22"/>
                <w:szCs w:val="22"/>
                <w:lang w:eastAsia="zh-CN"/>
              </w:rPr>
              <w:t>☑</w:t>
            </w:r>
            <w:r>
              <w:rPr>
                <w:rFonts w:hint="default" w:ascii="Arial" w:hAnsi="Arial" w:cs="Arial"/>
                <w:sz w:val="22"/>
                <w:szCs w:val="22"/>
                <w:lang w:eastAsia="zh-CN"/>
              </w:rPr>
              <w:t>；</w:t>
            </w:r>
            <w:r>
              <w:rPr>
                <w:rFonts w:hint="default" w:ascii="Arial" w:hAnsi="Arial" w:cs="Arial"/>
                <w:spacing w:val="2"/>
                <w:sz w:val="22"/>
                <w:szCs w:val="22"/>
                <w:lang w:eastAsia="zh-CN"/>
              </w:rPr>
              <w:t>土</w:t>
            </w:r>
            <w:r>
              <w:rPr>
                <w:rFonts w:hint="default" w:ascii="Arial" w:hAnsi="Arial" w:cs="Arial"/>
                <w:sz w:val="22"/>
                <w:szCs w:val="22"/>
                <w:lang w:eastAsia="zh-CN"/>
              </w:rPr>
              <w:t>地利用</w:t>
            </w:r>
            <w:r>
              <w:rPr>
                <w:rFonts w:hint="eastAsia" w:ascii="Arial" w:hAnsi="Arial" w:cs="Arial"/>
                <w:snapToGrid w:val="0"/>
                <w:sz w:val="22"/>
                <w:szCs w:val="22"/>
                <w:lang w:eastAsia="zh-CN"/>
              </w:rPr>
              <w:t>☑</w:t>
            </w:r>
            <w:r>
              <w:rPr>
                <w:rFonts w:hint="default" w:ascii="Arial" w:hAnsi="Arial" w:cs="Arial"/>
                <w:sz w:val="22"/>
                <w:szCs w:val="22"/>
                <w:lang w:eastAsia="zh-CN"/>
              </w:rPr>
              <w:t>；生态系统</w:t>
            </w:r>
            <w:r>
              <w:rPr>
                <w:rFonts w:hint="eastAsia" w:ascii="Arial" w:hAnsi="Arial" w:cs="Arial"/>
                <w:snapToGrid w:val="0"/>
                <w:sz w:val="22"/>
                <w:szCs w:val="22"/>
                <w:lang w:eastAsia="zh-CN"/>
              </w:rPr>
              <w:t>☑</w:t>
            </w:r>
            <w:r>
              <w:rPr>
                <w:rFonts w:hint="default" w:ascii="Arial" w:hAnsi="Arial" w:cs="Arial"/>
                <w:sz w:val="22"/>
                <w:szCs w:val="22"/>
                <w:lang w:eastAsia="zh-CN"/>
              </w:rPr>
              <w:t>；生</w:t>
            </w:r>
            <w:r>
              <w:rPr>
                <w:rFonts w:hint="default" w:ascii="Arial" w:hAnsi="Arial" w:cs="Arial"/>
                <w:spacing w:val="2"/>
                <w:sz w:val="22"/>
                <w:szCs w:val="22"/>
                <w:lang w:eastAsia="zh-CN"/>
              </w:rPr>
              <w:t>物</w:t>
            </w:r>
            <w:r>
              <w:rPr>
                <w:rFonts w:hint="default" w:ascii="Arial" w:hAnsi="Arial" w:cs="Arial"/>
                <w:sz w:val="22"/>
                <w:szCs w:val="22"/>
                <w:lang w:eastAsia="zh-CN"/>
              </w:rPr>
              <w:t>多样性</w:t>
            </w:r>
            <w:r>
              <w:rPr>
                <w:rFonts w:hint="eastAsia" w:ascii="Arial" w:hAnsi="Arial" w:cs="Arial"/>
                <w:snapToGrid w:val="0"/>
                <w:sz w:val="22"/>
                <w:szCs w:val="22"/>
                <w:lang w:eastAsia="zh-CN"/>
              </w:rPr>
              <w:t>☑</w:t>
            </w:r>
            <w:r>
              <w:rPr>
                <w:rFonts w:hint="default" w:ascii="Arial" w:hAnsi="Arial" w:cs="Arial"/>
                <w:sz w:val="22"/>
                <w:szCs w:val="22"/>
                <w:lang w:eastAsia="zh-CN"/>
              </w:rPr>
              <w:t>；重要物种</w:t>
            </w:r>
            <w:r>
              <w:rPr>
                <w:rFonts w:hint="eastAsia" w:ascii="Arial" w:hAnsi="Arial" w:cs="Arial"/>
                <w:snapToGrid w:val="0"/>
                <w:sz w:val="22"/>
                <w:szCs w:val="22"/>
                <w:lang w:eastAsia="zh-CN"/>
              </w:rPr>
              <w:t>□</w:t>
            </w:r>
            <w:r>
              <w:rPr>
                <w:rFonts w:hint="default" w:ascii="Arial" w:hAnsi="Arial" w:cs="Arial"/>
                <w:sz w:val="22"/>
                <w:szCs w:val="22"/>
                <w:lang w:eastAsia="zh-CN"/>
              </w:rPr>
              <w:t>；生</w:t>
            </w:r>
            <w:r>
              <w:rPr>
                <w:rFonts w:hint="default" w:ascii="Arial" w:hAnsi="Arial" w:cs="Arial"/>
                <w:spacing w:val="2"/>
                <w:sz w:val="22"/>
                <w:szCs w:val="22"/>
                <w:lang w:eastAsia="zh-CN"/>
              </w:rPr>
              <w:t>态</w:t>
            </w:r>
            <w:r>
              <w:rPr>
                <w:rFonts w:hint="default" w:ascii="Arial" w:hAnsi="Arial" w:cs="Arial"/>
                <w:sz w:val="22"/>
                <w:szCs w:val="22"/>
                <w:lang w:eastAsia="zh-CN"/>
              </w:rPr>
              <w:t>敏感区</w:t>
            </w:r>
            <w:r>
              <w:rPr>
                <w:rFonts w:hint="eastAsia" w:ascii="Arial" w:hAnsi="Arial" w:cs="Arial"/>
                <w:snapToGrid w:val="0"/>
                <w:sz w:val="22"/>
                <w:szCs w:val="22"/>
                <w:lang w:eastAsia="zh-CN"/>
              </w:rPr>
              <w:t>□</w:t>
            </w:r>
            <w:r>
              <w:rPr>
                <w:rFonts w:hint="default" w:ascii="Arial" w:hAnsi="Arial" w:cs="Arial"/>
                <w:sz w:val="22"/>
                <w:szCs w:val="22"/>
                <w:lang w:eastAsia="zh-CN"/>
              </w:rPr>
              <w:t>；其他</w:t>
            </w:r>
            <w:r>
              <w:rPr>
                <w:rFonts w:hint="default" w:ascii="Arial" w:hAnsi="Arial" w:cs="Arial"/>
                <w:snapToGrid w:val="0"/>
                <w:sz w:val="22"/>
                <w:szCs w:val="22"/>
                <w:lang w:eastAsia="zh-CN"/>
              </w:rPr>
              <w:t>□</w:t>
            </w:r>
          </w:p>
        </w:tc>
      </w:tr>
      <w:tr w14:paraId="084199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restart"/>
            <w:tcBorders>
              <w:tl2br w:val="nil"/>
              <w:tr2bl w:val="nil"/>
            </w:tcBorders>
            <w:vAlign w:val="center"/>
          </w:tcPr>
          <w:p w14:paraId="75C0EBE1">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生态影响 预测与评价</w:t>
            </w:r>
          </w:p>
        </w:tc>
        <w:tc>
          <w:tcPr>
            <w:tcW w:w="743" w:type="pct"/>
            <w:tcBorders>
              <w:tl2br w:val="nil"/>
              <w:tr2bl w:val="nil"/>
            </w:tcBorders>
            <w:vAlign w:val="center"/>
          </w:tcPr>
          <w:p w14:paraId="75C270E7">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评价方法</w:t>
            </w:r>
          </w:p>
        </w:tc>
        <w:tc>
          <w:tcPr>
            <w:tcW w:w="3732" w:type="pct"/>
            <w:tcBorders>
              <w:tl2br w:val="nil"/>
              <w:tr2bl w:val="nil"/>
            </w:tcBorders>
            <w:vAlign w:val="center"/>
          </w:tcPr>
          <w:p w14:paraId="05FB3471">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en-US"/>
              </w:rPr>
            </w:pPr>
            <w:r>
              <w:rPr>
                <w:rFonts w:hint="default" w:ascii="Arial" w:hAnsi="Arial" w:cs="Arial"/>
                <w:sz w:val="22"/>
                <w:szCs w:val="22"/>
                <w:lang w:eastAsia="en-US"/>
              </w:rPr>
              <w:t>定性</w:t>
            </w:r>
            <w:r>
              <w:rPr>
                <w:rFonts w:hint="default" w:ascii="Arial" w:hAnsi="Arial" w:cs="Arial"/>
                <w:snapToGrid w:val="0"/>
                <w:sz w:val="22"/>
                <w:szCs w:val="22"/>
                <w:lang w:eastAsia="en-US"/>
              </w:rPr>
              <w:t>□</w:t>
            </w:r>
            <w:r>
              <w:rPr>
                <w:rFonts w:hint="default" w:ascii="Arial" w:hAnsi="Arial" w:cs="Arial"/>
                <w:sz w:val="22"/>
                <w:szCs w:val="22"/>
                <w:lang w:eastAsia="en-US"/>
              </w:rPr>
              <w:t>；定性和定量</w:t>
            </w:r>
            <w:r>
              <w:rPr>
                <w:rFonts w:hint="eastAsia" w:ascii="Arial" w:hAnsi="Arial" w:cs="Arial"/>
                <w:snapToGrid w:val="0"/>
                <w:sz w:val="22"/>
                <w:szCs w:val="22"/>
                <w:lang w:eastAsia="zh-CN"/>
              </w:rPr>
              <w:t>☑</w:t>
            </w:r>
          </w:p>
        </w:tc>
      </w:tr>
      <w:tr w14:paraId="0B9DC2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continue"/>
            <w:tcBorders>
              <w:tl2br w:val="nil"/>
              <w:tr2bl w:val="nil"/>
            </w:tcBorders>
            <w:vAlign w:val="center"/>
          </w:tcPr>
          <w:p w14:paraId="70239E74">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p>
        </w:tc>
        <w:tc>
          <w:tcPr>
            <w:tcW w:w="743" w:type="pct"/>
            <w:tcBorders>
              <w:tl2br w:val="nil"/>
              <w:tr2bl w:val="nil"/>
            </w:tcBorders>
            <w:vAlign w:val="center"/>
          </w:tcPr>
          <w:p w14:paraId="474BBDAE">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评价内容</w:t>
            </w:r>
          </w:p>
        </w:tc>
        <w:tc>
          <w:tcPr>
            <w:tcW w:w="3732" w:type="pct"/>
            <w:tcBorders>
              <w:tl2br w:val="nil"/>
              <w:tr2bl w:val="nil"/>
            </w:tcBorders>
            <w:vAlign w:val="center"/>
          </w:tcPr>
          <w:p w14:paraId="05FF6760">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zh-CN"/>
              </w:rPr>
            </w:pPr>
            <w:r>
              <w:rPr>
                <w:rFonts w:hint="default" w:ascii="Arial" w:hAnsi="Arial" w:cs="Arial"/>
                <w:sz w:val="22"/>
                <w:szCs w:val="22"/>
                <w:lang w:eastAsia="zh-CN"/>
              </w:rPr>
              <w:t>植被/植物群落</w:t>
            </w:r>
            <w:r>
              <w:rPr>
                <w:rFonts w:hint="eastAsia" w:ascii="Arial" w:hAnsi="Arial" w:cs="Arial"/>
                <w:snapToGrid w:val="0"/>
                <w:sz w:val="22"/>
                <w:szCs w:val="22"/>
                <w:lang w:eastAsia="zh-CN"/>
              </w:rPr>
              <w:t>☑</w:t>
            </w:r>
            <w:r>
              <w:rPr>
                <w:rFonts w:hint="default" w:ascii="Arial" w:hAnsi="Arial" w:cs="Arial"/>
                <w:sz w:val="22"/>
                <w:szCs w:val="22"/>
                <w:lang w:eastAsia="zh-CN"/>
              </w:rPr>
              <w:t>；土地利用</w:t>
            </w:r>
            <w:r>
              <w:rPr>
                <w:rFonts w:hint="eastAsia" w:ascii="Arial" w:hAnsi="Arial" w:cs="Arial"/>
                <w:snapToGrid w:val="0"/>
                <w:sz w:val="22"/>
                <w:szCs w:val="22"/>
                <w:lang w:eastAsia="zh-CN"/>
              </w:rPr>
              <w:t>☑</w:t>
            </w:r>
            <w:r>
              <w:rPr>
                <w:rFonts w:hint="default" w:ascii="Arial" w:hAnsi="Arial" w:cs="Arial"/>
                <w:sz w:val="22"/>
                <w:szCs w:val="22"/>
                <w:lang w:eastAsia="zh-CN"/>
              </w:rPr>
              <w:t>；生态系统</w:t>
            </w:r>
            <w:r>
              <w:rPr>
                <w:rFonts w:hint="eastAsia" w:ascii="Arial" w:hAnsi="Arial" w:cs="Arial"/>
                <w:snapToGrid w:val="0"/>
                <w:sz w:val="22"/>
                <w:szCs w:val="22"/>
                <w:lang w:eastAsia="zh-CN"/>
              </w:rPr>
              <w:t>☑</w:t>
            </w:r>
            <w:r>
              <w:rPr>
                <w:rFonts w:hint="default" w:ascii="Arial" w:hAnsi="Arial" w:cs="Arial"/>
                <w:sz w:val="22"/>
                <w:szCs w:val="22"/>
                <w:lang w:eastAsia="zh-CN"/>
              </w:rPr>
              <w:t>；生物多样性</w:t>
            </w:r>
            <w:r>
              <w:rPr>
                <w:rFonts w:hint="eastAsia" w:ascii="Arial" w:hAnsi="Arial" w:cs="Arial"/>
                <w:snapToGrid w:val="0"/>
                <w:sz w:val="22"/>
                <w:szCs w:val="22"/>
                <w:lang w:eastAsia="zh-CN"/>
              </w:rPr>
              <w:t>☑</w:t>
            </w:r>
            <w:r>
              <w:rPr>
                <w:rFonts w:hint="default" w:ascii="Arial" w:hAnsi="Arial" w:cs="Arial"/>
                <w:sz w:val="22"/>
                <w:szCs w:val="22"/>
                <w:lang w:eastAsia="zh-CN"/>
              </w:rPr>
              <w:t>；重要物种</w:t>
            </w:r>
            <w:r>
              <w:rPr>
                <w:rFonts w:hint="eastAsia" w:ascii="Arial" w:hAnsi="Arial" w:cs="Arial"/>
                <w:snapToGrid w:val="0"/>
                <w:sz w:val="22"/>
                <w:szCs w:val="22"/>
                <w:lang w:eastAsia="zh-CN"/>
              </w:rPr>
              <w:t>□</w:t>
            </w:r>
            <w:r>
              <w:rPr>
                <w:rFonts w:hint="default" w:ascii="Arial" w:hAnsi="Arial" w:cs="Arial"/>
                <w:sz w:val="22"/>
                <w:szCs w:val="22"/>
                <w:lang w:eastAsia="zh-CN"/>
              </w:rPr>
              <w:t>；生态敏感区</w:t>
            </w:r>
            <w:r>
              <w:rPr>
                <w:rFonts w:hint="eastAsia" w:ascii="Arial" w:hAnsi="Arial" w:cs="Arial"/>
                <w:snapToGrid w:val="0"/>
                <w:sz w:val="22"/>
                <w:szCs w:val="22"/>
                <w:lang w:eastAsia="zh-CN"/>
              </w:rPr>
              <w:t>□</w:t>
            </w:r>
            <w:r>
              <w:rPr>
                <w:rFonts w:hint="default" w:ascii="Arial" w:hAnsi="Arial" w:cs="Arial"/>
                <w:sz w:val="22"/>
                <w:szCs w:val="22"/>
                <w:lang w:eastAsia="zh-CN"/>
              </w:rPr>
              <w:t>；生物入侵风险</w:t>
            </w:r>
            <w:r>
              <w:rPr>
                <w:rFonts w:hint="eastAsia" w:ascii="Arial" w:hAnsi="Arial" w:cs="Arial"/>
                <w:snapToGrid w:val="0"/>
                <w:sz w:val="22"/>
                <w:szCs w:val="22"/>
                <w:lang w:eastAsia="zh-CN"/>
              </w:rPr>
              <w:t>☑</w:t>
            </w:r>
            <w:r>
              <w:rPr>
                <w:rFonts w:hint="default" w:ascii="Arial" w:hAnsi="Arial" w:cs="Arial"/>
                <w:sz w:val="22"/>
                <w:szCs w:val="22"/>
                <w:lang w:eastAsia="zh-CN"/>
              </w:rPr>
              <w:t>；其他</w:t>
            </w:r>
            <w:r>
              <w:rPr>
                <w:rFonts w:hint="default" w:ascii="Arial" w:hAnsi="Arial" w:cs="Arial"/>
                <w:snapToGrid w:val="0"/>
                <w:sz w:val="22"/>
                <w:szCs w:val="22"/>
                <w:lang w:eastAsia="zh-CN"/>
              </w:rPr>
              <w:t>□</w:t>
            </w:r>
          </w:p>
        </w:tc>
      </w:tr>
      <w:tr w14:paraId="2F29B7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restart"/>
            <w:tcBorders>
              <w:tl2br w:val="nil"/>
              <w:tr2bl w:val="nil"/>
            </w:tcBorders>
            <w:vAlign w:val="center"/>
          </w:tcPr>
          <w:p w14:paraId="21287AE1">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生态保护 对策措施</w:t>
            </w:r>
          </w:p>
        </w:tc>
        <w:tc>
          <w:tcPr>
            <w:tcW w:w="743" w:type="pct"/>
            <w:tcBorders>
              <w:tl2br w:val="nil"/>
              <w:tr2bl w:val="nil"/>
            </w:tcBorders>
            <w:vAlign w:val="center"/>
          </w:tcPr>
          <w:p w14:paraId="589D25DC">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对策措施</w:t>
            </w:r>
          </w:p>
        </w:tc>
        <w:tc>
          <w:tcPr>
            <w:tcW w:w="3732" w:type="pct"/>
            <w:tcBorders>
              <w:tl2br w:val="nil"/>
              <w:tr2bl w:val="nil"/>
            </w:tcBorders>
            <w:vAlign w:val="center"/>
          </w:tcPr>
          <w:p w14:paraId="123CFF82">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zh-CN"/>
              </w:rPr>
            </w:pPr>
            <w:r>
              <w:rPr>
                <w:rFonts w:hint="default" w:ascii="Arial" w:hAnsi="Arial" w:cs="Arial"/>
                <w:sz w:val="22"/>
                <w:szCs w:val="22"/>
                <w:lang w:eastAsia="zh-CN"/>
              </w:rPr>
              <w:t>避让</w:t>
            </w:r>
            <w:r>
              <w:rPr>
                <w:rFonts w:hint="default" w:ascii="Arial" w:hAnsi="Arial" w:cs="Arial"/>
                <w:snapToGrid w:val="0"/>
                <w:sz w:val="22"/>
                <w:szCs w:val="22"/>
                <w:lang w:eastAsia="zh-CN"/>
              </w:rPr>
              <w:t>□</w:t>
            </w:r>
            <w:r>
              <w:rPr>
                <w:rFonts w:hint="default" w:ascii="Arial" w:hAnsi="Arial" w:cs="Arial"/>
                <w:sz w:val="22"/>
                <w:szCs w:val="22"/>
                <w:lang w:eastAsia="zh-CN"/>
              </w:rPr>
              <w:t>；减缓</w:t>
            </w:r>
            <w:r>
              <w:rPr>
                <w:rFonts w:hint="eastAsia" w:ascii="Arial" w:hAnsi="Arial" w:cs="Arial"/>
                <w:snapToGrid w:val="0"/>
                <w:sz w:val="22"/>
                <w:szCs w:val="22"/>
                <w:lang w:eastAsia="zh-CN"/>
              </w:rPr>
              <w:t>☑</w:t>
            </w:r>
            <w:r>
              <w:rPr>
                <w:rFonts w:hint="default" w:ascii="Arial" w:hAnsi="Arial" w:cs="Arial"/>
                <w:sz w:val="22"/>
                <w:szCs w:val="22"/>
                <w:lang w:eastAsia="zh-CN"/>
              </w:rPr>
              <w:t>；生态修复</w:t>
            </w:r>
            <w:r>
              <w:rPr>
                <w:rFonts w:hint="eastAsia" w:ascii="Arial" w:hAnsi="Arial" w:cs="Arial"/>
                <w:snapToGrid w:val="0"/>
                <w:sz w:val="22"/>
                <w:szCs w:val="22"/>
                <w:lang w:eastAsia="zh-CN"/>
              </w:rPr>
              <w:t>☑</w:t>
            </w:r>
            <w:r>
              <w:rPr>
                <w:rFonts w:hint="default" w:ascii="Arial" w:hAnsi="Arial" w:cs="Arial"/>
                <w:sz w:val="22"/>
                <w:szCs w:val="22"/>
                <w:lang w:eastAsia="zh-CN"/>
              </w:rPr>
              <w:t>；生态补偿</w:t>
            </w:r>
            <w:r>
              <w:rPr>
                <w:rFonts w:hint="default" w:ascii="Arial" w:hAnsi="Arial" w:cs="Arial"/>
                <w:snapToGrid w:val="0"/>
                <w:sz w:val="22"/>
                <w:szCs w:val="22"/>
                <w:lang w:eastAsia="zh-CN"/>
              </w:rPr>
              <w:t>□</w:t>
            </w:r>
            <w:r>
              <w:rPr>
                <w:rFonts w:hint="default" w:ascii="Arial" w:hAnsi="Arial" w:cs="Arial"/>
                <w:sz w:val="22"/>
                <w:szCs w:val="22"/>
                <w:lang w:eastAsia="zh-CN"/>
              </w:rPr>
              <w:t>；科研</w:t>
            </w:r>
            <w:r>
              <w:rPr>
                <w:rFonts w:hint="default" w:ascii="Arial" w:hAnsi="Arial" w:cs="Arial"/>
                <w:snapToGrid w:val="0"/>
                <w:sz w:val="22"/>
                <w:szCs w:val="22"/>
                <w:lang w:eastAsia="zh-CN"/>
              </w:rPr>
              <w:t>□</w:t>
            </w:r>
            <w:r>
              <w:rPr>
                <w:rFonts w:hint="default" w:ascii="Arial" w:hAnsi="Arial" w:cs="Arial"/>
                <w:sz w:val="22"/>
                <w:szCs w:val="22"/>
                <w:lang w:eastAsia="zh-CN"/>
              </w:rPr>
              <w:t>；其他</w:t>
            </w:r>
            <w:r>
              <w:rPr>
                <w:rFonts w:hint="default" w:ascii="Arial" w:hAnsi="Arial" w:cs="Arial"/>
                <w:snapToGrid w:val="0"/>
                <w:sz w:val="22"/>
                <w:szCs w:val="22"/>
                <w:lang w:eastAsia="zh-CN"/>
              </w:rPr>
              <w:t>□</w:t>
            </w:r>
          </w:p>
        </w:tc>
      </w:tr>
      <w:tr w14:paraId="081089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continue"/>
            <w:tcBorders>
              <w:tl2br w:val="nil"/>
              <w:tr2bl w:val="nil"/>
            </w:tcBorders>
            <w:vAlign w:val="center"/>
          </w:tcPr>
          <w:p w14:paraId="4B2A19BF">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zh-CN"/>
              </w:rPr>
            </w:pPr>
          </w:p>
        </w:tc>
        <w:tc>
          <w:tcPr>
            <w:tcW w:w="743" w:type="pct"/>
            <w:tcBorders>
              <w:tl2br w:val="nil"/>
              <w:tr2bl w:val="nil"/>
            </w:tcBorders>
            <w:vAlign w:val="center"/>
          </w:tcPr>
          <w:p w14:paraId="2756CFA3">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生态监测计划</w:t>
            </w:r>
          </w:p>
        </w:tc>
        <w:tc>
          <w:tcPr>
            <w:tcW w:w="3732" w:type="pct"/>
            <w:tcBorders>
              <w:tl2br w:val="nil"/>
              <w:tr2bl w:val="nil"/>
            </w:tcBorders>
            <w:vAlign w:val="center"/>
          </w:tcPr>
          <w:p w14:paraId="76FA3BDD">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zh-CN"/>
              </w:rPr>
            </w:pPr>
            <w:r>
              <w:rPr>
                <w:rFonts w:hint="default" w:ascii="Arial" w:hAnsi="Arial" w:cs="Arial"/>
                <w:sz w:val="22"/>
                <w:szCs w:val="22"/>
                <w:lang w:eastAsia="zh-CN"/>
              </w:rPr>
              <w:t>全生命周期</w:t>
            </w:r>
            <w:r>
              <w:rPr>
                <w:rFonts w:hint="default" w:ascii="Arial" w:hAnsi="Arial" w:cs="Arial"/>
                <w:snapToGrid w:val="0"/>
                <w:sz w:val="22"/>
                <w:szCs w:val="22"/>
                <w:lang w:eastAsia="zh-CN"/>
              </w:rPr>
              <w:t>□</w:t>
            </w:r>
            <w:r>
              <w:rPr>
                <w:rFonts w:hint="default" w:ascii="Arial" w:hAnsi="Arial" w:cs="Arial"/>
                <w:sz w:val="22"/>
                <w:szCs w:val="22"/>
                <w:lang w:eastAsia="zh-CN"/>
              </w:rPr>
              <w:t>；长期跟踪</w:t>
            </w:r>
            <w:r>
              <w:rPr>
                <w:rFonts w:hint="default" w:ascii="Arial" w:hAnsi="Arial" w:cs="Arial"/>
                <w:snapToGrid w:val="0"/>
                <w:sz w:val="22"/>
                <w:szCs w:val="22"/>
                <w:lang w:eastAsia="zh-CN"/>
              </w:rPr>
              <w:t>□</w:t>
            </w:r>
            <w:r>
              <w:rPr>
                <w:rFonts w:hint="default" w:ascii="Arial" w:hAnsi="Arial" w:cs="Arial"/>
                <w:sz w:val="22"/>
                <w:szCs w:val="22"/>
                <w:lang w:eastAsia="zh-CN"/>
              </w:rPr>
              <w:t>；常规</w:t>
            </w:r>
            <w:r>
              <w:rPr>
                <w:rFonts w:hint="eastAsia" w:ascii="Arial" w:hAnsi="Arial" w:cs="Arial"/>
                <w:snapToGrid w:val="0"/>
                <w:sz w:val="22"/>
                <w:szCs w:val="22"/>
                <w:lang w:eastAsia="zh-CN"/>
              </w:rPr>
              <w:t>☑</w:t>
            </w:r>
            <w:r>
              <w:rPr>
                <w:rFonts w:hint="default" w:ascii="Arial" w:hAnsi="Arial" w:cs="Arial"/>
                <w:sz w:val="22"/>
                <w:szCs w:val="22"/>
                <w:lang w:eastAsia="zh-CN"/>
              </w:rPr>
              <w:t>；无</w:t>
            </w:r>
            <w:r>
              <w:rPr>
                <w:rFonts w:hint="default" w:ascii="Arial" w:hAnsi="Arial" w:cs="Arial"/>
                <w:snapToGrid w:val="0"/>
                <w:sz w:val="22"/>
                <w:szCs w:val="22"/>
                <w:lang w:eastAsia="zh-CN"/>
              </w:rPr>
              <w:t>□</w:t>
            </w:r>
          </w:p>
        </w:tc>
      </w:tr>
      <w:tr w14:paraId="28CF3A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vMerge w:val="continue"/>
            <w:tcBorders>
              <w:tl2br w:val="nil"/>
              <w:tr2bl w:val="nil"/>
            </w:tcBorders>
            <w:vAlign w:val="center"/>
          </w:tcPr>
          <w:p w14:paraId="2EC4EC76">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zh-CN"/>
              </w:rPr>
            </w:pPr>
          </w:p>
        </w:tc>
        <w:tc>
          <w:tcPr>
            <w:tcW w:w="743" w:type="pct"/>
            <w:tcBorders>
              <w:tl2br w:val="nil"/>
              <w:tr2bl w:val="nil"/>
            </w:tcBorders>
            <w:vAlign w:val="center"/>
          </w:tcPr>
          <w:p w14:paraId="4B73E684">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环境管理</w:t>
            </w:r>
          </w:p>
        </w:tc>
        <w:tc>
          <w:tcPr>
            <w:tcW w:w="3732" w:type="pct"/>
            <w:tcBorders>
              <w:tl2br w:val="nil"/>
              <w:tr2bl w:val="nil"/>
            </w:tcBorders>
            <w:vAlign w:val="center"/>
          </w:tcPr>
          <w:p w14:paraId="3A95D567">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zh-CN"/>
              </w:rPr>
            </w:pPr>
            <w:r>
              <w:rPr>
                <w:rFonts w:hint="default" w:ascii="Arial" w:hAnsi="Arial" w:cs="Arial"/>
                <w:sz w:val="22"/>
                <w:szCs w:val="22"/>
                <w:lang w:eastAsia="zh-CN"/>
              </w:rPr>
              <w:t>环境监理</w:t>
            </w:r>
            <w:r>
              <w:rPr>
                <w:rFonts w:hint="eastAsia" w:ascii="Arial" w:hAnsi="Arial" w:cs="Arial"/>
                <w:snapToGrid w:val="0"/>
                <w:sz w:val="22"/>
                <w:szCs w:val="22"/>
                <w:lang w:eastAsia="zh-CN"/>
              </w:rPr>
              <w:t>☑</w:t>
            </w:r>
            <w:r>
              <w:rPr>
                <w:rFonts w:hint="default" w:ascii="Arial" w:hAnsi="Arial" w:cs="Arial"/>
                <w:sz w:val="22"/>
                <w:szCs w:val="22"/>
                <w:lang w:eastAsia="zh-CN"/>
              </w:rPr>
              <w:t>；环境影响后评价</w:t>
            </w:r>
            <w:r>
              <w:rPr>
                <w:rFonts w:hint="default" w:ascii="Arial" w:hAnsi="Arial" w:cs="Arial"/>
                <w:snapToGrid w:val="0"/>
                <w:sz w:val="22"/>
                <w:szCs w:val="22"/>
                <w:lang w:eastAsia="zh-CN"/>
              </w:rPr>
              <w:t>□</w:t>
            </w:r>
            <w:r>
              <w:rPr>
                <w:rFonts w:hint="default" w:ascii="Arial" w:hAnsi="Arial" w:cs="Arial"/>
                <w:sz w:val="22"/>
                <w:szCs w:val="22"/>
                <w:lang w:eastAsia="zh-CN"/>
              </w:rPr>
              <w:t>；其他</w:t>
            </w:r>
            <w:r>
              <w:rPr>
                <w:rFonts w:hint="default" w:ascii="Arial" w:hAnsi="Arial" w:cs="Arial"/>
                <w:snapToGrid w:val="0"/>
                <w:sz w:val="22"/>
                <w:szCs w:val="22"/>
                <w:lang w:eastAsia="zh-CN"/>
              </w:rPr>
              <w:t>□</w:t>
            </w:r>
          </w:p>
        </w:tc>
      </w:tr>
      <w:tr w14:paraId="7A94BE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25" w:type="pct"/>
            <w:tcBorders>
              <w:tl2br w:val="nil"/>
              <w:tr2bl w:val="nil"/>
            </w:tcBorders>
            <w:vAlign w:val="center"/>
          </w:tcPr>
          <w:p w14:paraId="57B2D1DF">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评价结论</w:t>
            </w:r>
          </w:p>
        </w:tc>
        <w:tc>
          <w:tcPr>
            <w:tcW w:w="743" w:type="pct"/>
            <w:tcBorders>
              <w:tl2br w:val="nil"/>
              <w:tr2bl w:val="nil"/>
            </w:tcBorders>
            <w:vAlign w:val="center"/>
          </w:tcPr>
          <w:p w14:paraId="472D0BAC">
            <w:pPr>
              <w:pStyle w:val="14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ascii="Arial" w:hAnsi="Arial" w:cs="Arial"/>
                <w:sz w:val="22"/>
                <w:szCs w:val="22"/>
                <w:lang w:eastAsia="en-US"/>
              </w:rPr>
            </w:pPr>
            <w:r>
              <w:rPr>
                <w:rFonts w:hint="default" w:ascii="Arial" w:hAnsi="Arial" w:cs="Arial"/>
                <w:sz w:val="22"/>
                <w:szCs w:val="22"/>
                <w:lang w:eastAsia="en-US"/>
              </w:rPr>
              <w:t>生态影响</w:t>
            </w:r>
          </w:p>
        </w:tc>
        <w:tc>
          <w:tcPr>
            <w:tcW w:w="3732" w:type="pct"/>
            <w:tcBorders>
              <w:tl2br w:val="nil"/>
              <w:tr2bl w:val="nil"/>
            </w:tcBorders>
            <w:vAlign w:val="center"/>
          </w:tcPr>
          <w:p w14:paraId="094EBC7F">
            <w:pPr>
              <w:pStyle w:val="147"/>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default" w:ascii="Arial" w:hAnsi="Arial" w:cs="Arial"/>
                <w:sz w:val="22"/>
                <w:szCs w:val="22"/>
                <w:lang w:eastAsia="en-US"/>
              </w:rPr>
            </w:pPr>
            <w:r>
              <w:rPr>
                <w:rFonts w:hint="default" w:ascii="Arial" w:hAnsi="Arial" w:cs="Arial"/>
                <w:sz w:val="22"/>
                <w:szCs w:val="22"/>
                <w:lang w:eastAsia="en-US"/>
              </w:rPr>
              <w:t>可行</w:t>
            </w:r>
            <w:r>
              <w:rPr>
                <w:rFonts w:hint="eastAsia" w:ascii="Arial" w:hAnsi="Arial" w:cs="Arial"/>
                <w:snapToGrid w:val="0"/>
                <w:sz w:val="22"/>
                <w:szCs w:val="22"/>
                <w:lang w:eastAsia="zh-CN"/>
              </w:rPr>
              <w:t>☑</w:t>
            </w:r>
            <w:r>
              <w:rPr>
                <w:rFonts w:hint="default" w:ascii="Arial" w:hAnsi="Arial" w:cs="Arial"/>
                <w:sz w:val="22"/>
                <w:szCs w:val="22"/>
                <w:lang w:eastAsia="en-US"/>
              </w:rPr>
              <w:t>；不可行</w:t>
            </w:r>
            <w:r>
              <w:rPr>
                <w:rFonts w:hint="default" w:ascii="Arial" w:hAnsi="Arial" w:cs="Arial"/>
                <w:snapToGrid w:val="0"/>
                <w:sz w:val="22"/>
                <w:szCs w:val="22"/>
                <w:lang w:eastAsia="en-US"/>
              </w:rPr>
              <w:t>□</w:t>
            </w:r>
          </w:p>
        </w:tc>
      </w:tr>
      <w:tr w14:paraId="0A0E0F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00" w:type="pct"/>
            <w:gridSpan w:val="3"/>
            <w:tcBorders>
              <w:tl2br w:val="nil"/>
              <w:tr2bl w:val="nil"/>
            </w:tcBorders>
            <w:vAlign w:val="center"/>
          </w:tcPr>
          <w:p w14:paraId="1D76E5C3">
            <w:pPr>
              <w:pStyle w:val="147"/>
              <w:keepNext w:val="0"/>
              <w:keepLines w:val="0"/>
              <w:pageBreakBefore w:val="0"/>
              <w:widowControl w:val="0"/>
              <w:kinsoku/>
              <w:wordWrap/>
              <w:overflowPunct/>
              <w:topLinePunct w:val="0"/>
              <w:autoSpaceDE w:val="0"/>
              <w:autoSpaceDN w:val="0"/>
              <w:bidi w:val="0"/>
              <w:adjustRightInd/>
              <w:snapToGrid/>
              <w:spacing w:line="300" w:lineRule="exact"/>
              <w:jc w:val="left"/>
              <w:textAlignment w:val="auto"/>
              <w:rPr>
                <w:rFonts w:hint="default" w:ascii="Arial" w:hAnsi="Arial" w:cs="Arial"/>
                <w:sz w:val="22"/>
                <w:szCs w:val="22"/>
                <w:lang w:eastAsia="zh-CN"/>
              </w:rPr>
            </w:pPr>
            <w:r>
              <w:rPr>
                <w:rFonts w:hint="default" w:ascii="Arial" w:hAnsi="Arial" w:cs="Arial"/>
                <w:sz w:val="22"/>
                <w:szCs w:val="22"/>
                <w:lang w:eastAsia="zh-CN"/>
              </w:rPr>
              <w:t>注：</w:t>
            </w:r>
            <w:r>
              <w:rPr>
                <w:rFonts w:hint="eastAsia" w:ascii="宋体" w:hAnsi="宋体" w:eastAsia="宋体" w:cs="宋体"/>
                <w:spacing w:val="1"/>
                <w:sz w:val="22"/>
                <w:szCs w:val="22"/>
                <w:lang w:eastAsia="zh-CN"/>
              </w:rPr>
              <w:t xml:space="preserve"> </w:t>
            </w:r>
            <w:r>
              <w:rPr>
                <w:rFonts w:hint="eastAsia" w:ascii="宋体" w:hAnsi="宋体" w:eastAsia="宋体" w:cs="宋体"/>
                <w:sz w:val="22"/>
                <w:szCs w:val="22"/>
                <w:lang w:eastAsia="zh-CN"/>
              </w:rPr>
              <w:t>“</w:t>
            </w:r>
            <w:r>
              <w:rPr>
                <w:rFonts w:hint="eastAsia" w:ascii="宋体" w:hAnsi="宋体" w:eastAsia="宋体" w:cs="宋体"/>
                <w:snapToGrid w:val="0"/>
                <w:sz w:val="22"/>
                <w:szCs w:val="22"/>
                <w:lang w:eastAsia="zh-CN"/>
              </w:rPr>
              <w:t>□</w:t>
            </w:r>
            <w:r>
              <w:rPr>
                <w:rFonts w:hint="eastAsia" w:ascii="宋体" w:hAnsi="宋体" w:eastAsia="宋体" w:cs="宋体"/>
                <w:sz w:val="22"/>
                <w:szCs w:val="22"/>
                <w:lang w:eastAsia="zh-CN"/>
              </w:rPr>
              <w:t>”</w:t>
            </w:r>
            <w:r>
              <w:rPr>
                <w:rFonts w:hint="eastAsia" w:ascii="宋体" w:hAnsi="宋体" w:eastAsia="宋体" w:cs="宋体"/>
                <w:spacing w:val="1"/>
                <w:sz w:val="22"/>
                <w:szCs w:val="22"/>
                <w:lang w:eastAsia="zh-CN"/>
              </w:rPr>
              <w:t xml:space="preserve"> </w:t>
            </w:r>
            <w:r>
              <w:rPr>
                <w:rFonts w:hint="default" w:ascii="Arial" w:hAnsi="Arial" w:cs="Arial"/>
                <w:sz w:val="22"/>
                <w:szCs w:val="22"/>
                <w:lang w:eastAsia="zh-CN"/>
              </w:rPr>
              <w:t>为勾选项</w:t>
            </w:r>
            <w:r>
              <w:rPr>
                <w:rFonts w:hint="default" w:ascii="Arial" w:hAnsi="Arial" w:cs="Arial"/>
                <w:spacing w:val="1"/>
                <w:sz w:val="22"/>
                <w:szCs w:val="22"/>
                <w:lang w:eastAsia="zh-CN"/>
              </w:rPr>
              <w:t xml:space="preserve"> </w:t>
            </w:r>
            <w:r>
              <w:rPr>
                <w:rFonts w:hint="default" w:ascii="Arial" w:hAnsi="Arial" w:cs="Arial"/>
                <w:sz w:val="22"/>
                <w:szCs w:val="22"/>
                <w:lang w:eastAsia="zh-CN"/>
              </w:rPr>
              <w:t>，可√；</w:t>
            </w:r>
            <w:r>
              <w:rPr>
                <w:rFonts w:hint="eastAsia" w:ascii="宋体" w:hAnsi="宋体" w:eastAsia="宋体" w:cs="宋体"/>
                <w:sz w:val="22"/>
                <w:szCs w:val="22"/>
                <w:lang w:eastAsia="zh-CN"/>
              </w:rPr>
              <w:t xml:space="preserve">“(  </w:t>
            </w:r>
            <w:r>
              <w:rPr>
                <w:rFonts w:hint="eastAsia" w:ascii="宋体" w:hAnsi="宋体" w:eastAsia="宋体" w:cs="宋体"/>
                <w:spacing w:val="-92"/>
                <w:sz w:val="22"/>
                <w:szCs w:val="22"/>
                <w:lang w:eastAsia="zh-CN"/>
              </w:rPr>
              <w:t>)</w:t>
            </w:r>
            <w:r>
              <w:rPr>
                <w:rFonts w:hint="eastAsia" w:ascii="宋体" w:hAnsi="宋体" w:eastAsia="宋体" w:cs="宋体"/>
                <w:spacing w:val="1"/>
                <w:sz w:val="22"/>
                <w:szCs w:val="22"/>
                <w:lang w:eastAsia="zh-CN"/>
              </w:rPr>
              <w:t>”</w:t>
            </w:r>
            <w:r>
              <w:rPr>
                <w:rFonts w:hint="default" w:ascii="Arial" w:hAnsi="Arial" w:cs="Arial"/>
                <w:sz w:val="22"/>
                <w:szCs w:val="22"/>
                <w:lang w:eastAsia="zh-CN"/>
              </w:rPr>
              <w:t>为内容填写项。</w:t>
            </w:r>
          </w:p>
        </w:tc>
      </w:tr>
    </w:tbl>
    <w:p w14:paraId="4A002B81">
      <w:pPr>
        <w:pStyle w:val="1873"/>
      </w:pPr>
    </w:p>
    <w:p w14:paraId="5ED520E2">
      <w:pPr>
        <w:pStyle w:val="1873"/>
      </w:pPr>
    </w:p>
    <w:p w14:paraId="39751FCF">
      <w:pPr>
        <w:pStyle w:val="1873"/>
        <w:rPr>
          <w:b/>
          <w:sz w:val="28"/>
          <w:szCs w:val="28"/>
        </w:rPr>
      </w:pPr>
      <w:r>
        <w:br w:type="page"/>
      </w:r>
    </w:p>
    <w:p w14:paraId="463B87C7">
      <w:pPr>
        <w:keepNext w:val="0"/>
        <w:keepLines w:val="0"/>
        <w:pageBreakBefore w:val="0"/>
        <w:widowControl w:val="0"/>
        <w:kinsoku/>
        <w:wordWrap/>
        <w:overflowPunct/>
        <w:topLinePunct w:val="0"/>
        <w:autoSpaceDE/>
        <w:autoSpaceDN/>
        <w:bidi w:val="0"/>
        <w:adjustRightInd/>
        <w:snapToGrid/>
        <w:spacing w:before="313" w:beforeLines="100" w:after="313" w:afterLines="100" w:line="460" w:lineRule="exact"/>
        <w:jc w:val="center"/>
        <w:textAlignment w:val="auto"/>
        <w:outlineLvl w:val="0"/>
        <w:rPr>
          <w:rFonts w:hint="eastAsia" w:ascii="Arial" w:hAnsi="Arial" w:eastAsia="宋体" w:cs="Arial"/>
          <w:b/>
          <w:sz w:val="26"/>
          <w:szCs w:val="26"/>
          <w:lang w:eastAsia="zh-CN"/>
        </w:rPr>
      </w:pPr>
      <w:bookmarkStart w:id="119" w:name="_Toc28969"/>
      <w:r>
        <w:rPr>
          <w:rFonts w:hint="default" w:ascii="Arial" w:hAnsi="Arial" w:cs="Arial"/>
          <w:b/>
          <w:sz w:val="26"/>
          <w:szCs w:val="26"/>
          <w:lang w:val="en-US" w:eastAsia="zh-CN"/>
        </w:rPr>
        <w:t>7</w:t>
      </w:r>
      <w:r>
        <w:rPr>
          <w:rFonts w:hint="default" w:ascii="Arial" w:hAnsi="Arial" w:cs="Arial"/>
          <w:b/>
          <w:sz w:val="26"/>
          <w:szCs w:val="26"/>
        </w:rPr>
        <w:t xml:space="preserve"> 环境</w:t>
      </w:r>
      <w:bookmarkEnd w:id="119"/>
      <w:r>
        <w:rPr>
          <w:rFonts w:hint="eastAsia" w:ascii="Arial" w:hAnsi="Arial" w:cs="Arial"/>
          <w:b/>
          <w:sz w:val="26"/>
          <w:szCs w:val="26"/>
          <w:lang w:eastAsia="zh-CN"/>
        </w:rPr>
        <w:t>保护措施及其可行性论证</w:t>
      </w:r>
    </w:p>
    <w:p w14:paraId="0FEA4EFB">
      <w:pPr>
        <w:pStyle w:val="2018"/>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lang w:eastAsia="zh-CN"/>
        </w:rPr>
      </w:pPr>
      <w:bookmarkStart w:id="120" w:name="_Toc154809029"/>
      <w:bookmarkStart w:id="121" w:name="_Toc164444948"/>
      <w:bookmarkStart w:id="122" w:name="_Toc47925452"/>
      <w:bookmarkStart w:id="123" w:name="_Toc52094398"/>
      <w:bookmarkStart w:id="124" w:name="_Toc22645"/>
      <w:bookmarkStart w:id="125" w:name="_Toc427599819"/>
      <w:r>
        <w:rPr>
          <w:rFonts w:hint="eastAsia" w:ascii="Arial" w:hAnsi="Arial" w:cs="Arial"/>
          <w:sz w:val="26"/>
          <w:szCs w:val="26"/>
          <w:lang w:val="en-US" w:eastAsia="zh-CN"/>
        </w:rPr>
        <w:t>7</w:t>
      </w:r>
      <w:r>
        <w:rPr>
          <w:rFonts w:hint="default" w:ascii="Arial" w:hAnsi="Arial" w:cs="Arial"/>
          <w:sz w:val="26"/>
          <w:szCs w:val="26"/>
        </w:rPr>
        <w:t>.1</w:t>
      </w:r>
      <w:bookmarkEnd w:id="120"/>
      <w:bookmarkEnd w:id="121"/>
      <w:bookmarkEnd w:id="122"/>
      <w:bookmarkEnd w:id="123"/>
      <w:r>
        <w:rPr>
          <w:rFonts w:hint="eastAsia" w:ascii="Arial" w:hAnsi="Arial" w:cs="Arial"/>
          <w:sz w:val="26"/>
          <w:szCs w:val="26"/>
          <w:lang w:eastAsia="zh-CN"/>
        </w:rPr>
        <w:t>施工期</w:t>
      </w:r>
      <w:bookmarkEnd w:id="124"/>
      <w:r>
        <w:rPr>
          <w:rFonts w:hint="eastAsia" w:ascii="Arial" w:hAnsi="Arial" w:cs="Arial"/>
          <w:sz w:val="26"/>
          <w:szCs w:val="26"/>
          <w:lang w:eastAsia="zh-CN"/>
        </w:rPr>
        <w:t>环境保护措施</w:t>
      </w:r>
    </w:p>
    <w:p w14:paraId="4A24132D">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b/>
          <w:bCs/>
          <w:sz w:val="26"/>
          <w:szCs w:val="26"/>
          <w:lang w:val="en-US" w:eastAsia="zh-CN"/>
        </w:rPr>
        <w:t>7.1.1</w:t>
      </w:r>
      <w:r>
        <w:rPr>
          <w:rFonts w:hint="eastAsia" w:ascii="Arial" w:hAnsi="Arial" w:cs="Arial"/>
          <w:b/>
          <w:bCs/>
          <w:sz w:val="26"/>
          <w:szCs w:val="26"/>
          <w:lang w:val="en-US" w:eastAsia="zh-CN"/>
        </w:rPr>
        <w:t>地表水污染防治措施</w:t>
      </w:r>
    </w:p>
    <w:p w14:paraId="29E1F7F4">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outlineLvl w:val="2"/>
        <w:rPr>
          <w:rFonts w:hint="eastAsia" w:ascii="Arial" w:hAnsi="Arial" w:cs="Arial"/>
          <w:b w:val="0"/>
          <w:bCs/>
          <w:sz w:val="26"/>
          <w:szCs w:val="26"/>
          <w:lang w:val="en-US" w:eastAsia="zh-CN"/>
        </w:rPr>
      </w:pPr>
      <w:r>
        <w:rPr>
          <w:rFonts w:hint="eastAsia" w:ascii="Arial" w:hAnsi="Arial" w:cs="Arial"/>
          <w:b w:val="0"/>
          <w:bCs/>
          <w:sz w:val="26"/>
          <w:szCs w:val="26"/>
          <w:lang w:val="en-US" w:eastAsia="zh-CN"/>
        </w:rPr>
        <w:t>项目施工废水主要为混凝土拌合系统废水、基坑废水、车辆及施工设备冲洗等产生的含油废水、管道试压废水等生产废水，以及施工场地初期雨水和施工人员产生的生活污水。</w:t>
      </w:r>
    </w:p>
    <w:p w14:paraId="015AFA6B">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default" w:ascii="Arial" w:hAnsi="Arial" w:eastAsia="宋体" w:cs="Arial"/>
          <w:b/>
          <w:bCs/>
          <w:sz w:val="26"/>
          <w:szCs w:val="26"/>
          <w:lang w:val="en-US" w:eastAsia="zh-CN"/>
        </w:rPr>
      </w:pPr>
      <w:r>
        <w:rPr>
          <w:rFonts w:hint="eastAsia" w:ascii="Arial" w:hAnsi="Arial" w:cs="Arial"/>
          <w:b/>
          <w:bCs/>
          <w:sz w:val="26"/>
          <w:szCs w:val="26"/>
          <w:lang w:val="en-US" w:eastAsia="zh-CN"/>
        </w:rPr>
        <w:t>（1）混凝土拌合系统废水</w:t>
      </w:r>
    </w:p>
    <w:p w14:paraId="40F92CC0">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eastAsia="宋体" w:cs="Arial"/>
          <w:sz w:val="26"/>
          <w:szCs w:val="26"/>
          <w:lang w:val="en-US" w:eastAsia="zh-CN"/>
        </w:rPr>
      </w:pPr>
      <w:r>
        <w:rPr>
          <w:rFonts w:hint="eastAsia" w:ascii="Arial" w:hAnsi="Arial" w:cs="Arial"/>
          <w:b w:val="0"/>
          <w:bCs/>
          <w:sz w:val="26"/>
          <w:szCs w:val="26"/>
          <w:lang w:val="en-US" w:eastAsia="zh-CN"/>
        </w:rPr>
        <w:t>混凝土加工系统废水来源于混凝土转筒和料罐的冲洗、混凝土养护废水，混凝土浇筑养护也会产生少量废水，均为碱性废水，主要污染因子为pH、SS。在枢纽工程施工场地混凝土搅拌系统区域四周设置截排水沟，末端设置一座容积合计为30m</w:t>
      </w:r>
      <w:r>
        <w:rPr>
          <w:rFonts w:hint="eastAsia" w:ascii="Arial" w:hAnsi="Arial" w:cs="Arial"/>
          <w:b w:val="0"/>
          <w:bCs/>
          <w:sz w:val="26"/>
          <w:szCs w:val="26"/>
          <w:vertAlign w:val="superscript"/>
          <w:lang w:val="en-US" w:eastAsia="zh-CN"/>
        </w:rPr>
        <w:t>3</w:t>
      </w:r>
      <w:r>
        <w:rPr>
          <w:rFonts w:hint="eastAsia" w:ascii="Arial" w:hAnsi="Arial" w:cs="Arial"/>
          <w:b w:val="0"/>
          <w:bCs/>
          <w:sz w:val="26"/>
          <w:szCs w:val="26"/>
          <w:lang w:val="en-US" w:eastAsia="zh-CN"/>
        </w:rPr>
        <w:t>的三级沉淀池，第一级投加中和剂调节pH，第二级投加絮凝剂使悬浮物沉淀，第三级则为滤池。混凝土拌合系统废水在经过上述工艺处理后，上清液可回用作混凝土拌合、养护等生产用水，或抑尘洒水，不外排地表水体。</w:t>
      </w:r>
    </w:p>
    <w:p w14:paraId="465407C1">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sz w:val="26"/>
          <w:szCs w:val="26"/>
          <w:lang w:val="en-US" w:eastAsia="zh-CN"/>
        </w:rPr>
      </w:pPr>
      <w:r>
        <w:rPr>
          <w:rFonts w:hint="eastAsia" w:ascii="Arial" w:hAnsi="Arial" w:cs="Arial"/>
          <w:b/>
          <w:bCs/>
          <w:sz w:val="26"/>
          <w:szCs w:val="26"/>
          <w:lang w:val="en-US" w:eastAsia="zh-CN"/>
        </w:rPr>
        <w:t>（2）清洗含油废水</w:t>
      </w:r>
    </w:p>
    <w:p w14:paraId="07BD30B3">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Arial" w:hAnsi="Arial" w:eastAsia="宋体" w:cs="Arial"/>
          <w:sz w:val="26"/>
          <w:szCs w:val="26"/>
          <w:lang w:val="en-US" w:eastAsia="zh-CN"/>
        </w:rPr>
      </w:pPr>
      <w:r>
        <w:rPr>
          <w:rFonts w:hint="eastAsia" w:ascii="Arial" w:hAnsi="Arial" w:eastAsia="宋体" w:cs="Arial"/>
          <w:b w:val="0"/>
          <w:bCs/>
          <w:sz w:val="26"/>
          <w:szCs w:val="26"/>
          <w:lang w:val="en-US" w:eastAsia="zh-CN"/>
        </w:rPr>
        <w:t>施工机械、运输车辆在保养、冲洗过程中均会有含油废水产生，主要污染因子为石油类、SS，间歇产生。在枢纽工程、</w:t>
      </w:r>
      <w:r>
        <w:rPr>
          <w:rFonts w:hint="eastAsia" w:ascii="Arial" w:hAnsi="Arial" w:cs="Arial"/>
          <w:b w:val="0"/>
          <w:bCs/>
          <w:sz w:val="26"/>
          <w:szCs w:val="26"/>
          <w:lang w:val="en-US" w:eastAsia="zh-CN"/>
        </w:rPr>
        <w:t>输水工程</w:t>
      </w:r>
      <w:r>
        <w:rPr>
          <w:rFonts w:hint="eastAsia" w:ascii="Arial" w:hAnsi="Arial" w:eastAsia="宋体" w:cs="Arial"/>
          <w:b w:val="0"/>
          <w:bCs/>
          <w:sz w:val="26"/>
          <w:szCs w:val="26"/>
          <w:lang w:val="en-US" w:eastAsia="zh-CN"/>
        </w:rPr>
        <w:t>各设置一座容积分别为5m</w:t>
      </w:r>
      <w:r>
        <w:rPr>
          <w:rFonts w:hint="eastAsia" w:ascii="Arial" w:hAnsi="Arial" w:eastAsia="宋体" w:cs="Arial"/>
          <w:b w:val="0"/>
          <w:bCs/>
          <w:sz w:val="26"/>
          <w:szCs w:val="26"/>
          <w:vertAlign w:val="superscript"/>
          <w:lang w:val="en-US" w:eastAsia="zh-CN"/>
        </w:rPr>
        <w:t>3</w:t>
      </w:r>
      <w:r>
        <w:rPr>
          <w:rFonts w:hint="eastAsia" w:ascii="Arial" w:hAnsi="Arial" w:eastAsia="宋体" w:cs="Arial"/>
          <w:b w:val="0"/>
          <w:bCs/>
          <w:sz w:val="26"/>
          <w:szCs w:val="26"/>
          <w:lang w:val="en-US" w:eastAsia="zh-CN"/>
        </w:rPr>
        <w:t>、3m</w:t>
      </w:r>
      <w:r>
        <w:rPr>
          <w:rFonts w:hint="eastAsia" w:ascii="Arial" w:hAnsi="Arial" w:eastAsia="宋体" w:cs="Arial"/>
          <w:b w:val="0"/>
          <w:bCs/>
          <w:sz w:val="26"/>
          <w:szCs w:val="26"/>
          <w:vertAlign w:val="superscript"/>
          <w:lang w:val="en-US" w:eastAsia="zh-CN"/>
        </w:rPr>
        <w:t>3</w:t>
      </w:r>
      <w:r>
        <w:rPr>
          <w:rFonts w:hint="eastAsia" w:ascii="Arial" w:hAnsi="Arial" w:eastAsia="宋体" w:cs="Arial"/>
          <w:b w:val="0"/>
          <w:bCs/>
          <w:sz w:val="26"/>
          <w:szCs w:val="26"/>
          <w:lang w:val="en-US" w:eastAsia="zh-CN"/>
        </w:rPr>
        <w:t>的隔油沉淀池，将清洗产生的含油废水收集处理后</w:t>
      </w:r>
      <w:r>
        <w:rPr>
          <w:rFonts w:hint="eastAsia" w:ascii="Arial" w:cs="Arial"/>
          <w:b w:val="0"/>
          <w:bCs/>
          <w:sz w:val="26"/>
          <w:szCs w:val="26"/>
          <w:lang w:eastAsia="zh-CN"/>
        </w:rPr>
        <w:t>全部回用，不外排地表水体</w:t>
      </w:r>
      <w:r>
        <w:rPr>
          <w:rFonts w:hint="eastAsia" w:ascii="Arial" w:hAnsi="Arial" w:eastAsia="宋体" w:cs="Arial"/>
          <w:b w:val="0"/>
          <w:bCs/>
          <w:sz w:val="26"/>
          <w:szCs w:val="26"/>
          <w:lang w:val="en-US" w:eastAsia="zh-CN"/>
        </w:rPr>
        <w:t>。</w:t>
      </w:r>
      <w:r>
        <w:rPr>
          <w:rFonts w:hint="eastAsia" w:ascii="Arial" w:hAnsi="宋体" w:cs="Arial"/>
          <w:sz w:val="26"/>
          <w:szCs w:val="26"/>
        </w:rPr>
        <w:t>隔油池除油效率在</w:t>
      </w:r>
      <w:r>
        <w:rPr>
          <w:rFonts w:ascii="Arial" w:hAnsi="宋体" w:cs="Arial"/>
          <w:sz w:val="26"/>
          <w:szCs w:val="26"/>
        </w:rPr>
        <w:t>60%~80%</w:t>
      </w:r>
      <w:r>
        <w:rPr>
          <w:rFonts w:hint="eastAsia" w:ascii="Arial" w:hAnsi="宋体" w:cs="Arial"/>
          <w:sz w:val="26"/>
          <w:szCs w:val="26"/>
        </w:rPr>
        <w:t>之间，处理后的出水含油浓度在</w:t>
      </w:r>
      <w:r>
        <w:rPr>
          <w:rFonts w:ascii="Arial" w:hAnsi="宋体" w:cs="Arial"/>
          <w:sz w:val="26"/>
          <w:szCs w:val="26"/>
        </w:rPr>
        <w:t>20~40mg/L</w:t>
      </w:r>
      <w:r>
        <w:rPr>
          <w:rFonts w:hint="eastAsia" w:ascii="Arial" w:hAnsi="宋体" w:cs="Arial"/>
          <w:sz w:val="26"/>
          <w:szCs w:val="26"/>
        </w:rPr>
        <w:t>，对水质要求不高的施工车辆、机械维修、清洗等可实现废水全部回用，不排入地表水体。</w:t>
      </w:r>
    </w:p>
    <w:p w14:paraId="256511F9">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sz w:val="26"/>
          <w:szCs w:val="26"/>
          <w:lang w:val="en-US" w:eastAsia="zh-CN"/>
        </w:rPr>
      </w:pPr>
      <w:r>
        <w:rPr>
          <w:rFonts w:hint="eastAsia" w:ascii="Arial" w:hAnsi="Arial" w:cs="Arial"/>
          <w:b/>
          <w:bCs/>
          <w:sz w:val="26"/>
          <w:szCs w:val="26"/>
          <w:lang w:val="en-US" w:eastAsia="zh-CN"/>
        </w:rPr>
        <w:t>（3）基坑排水</w:t>
      </w:r>
    </w:p>
    <w:p w14:paraId="3114BA71">
      <w:pPr>
        <w:spacing w:line="460" w:lineRule="exact"/>
        <w:ind w:firstLine="520" w:firstLineChars="200"/>
        <w:rPr>
          <w:rFonts w:ascii="Arial" w:cs="Arial"/>
          <w:sz w:val="26"/>
          <w:szCs w:val="26"/>
        </w:rPr>
      </w:pPr>
      <w:r>
        <w:rPr>
          <w:rFonts w:ascii="Arial" w:cs="Arial"/>
          <w:sz w:val="26"/>
          <w:szCs w:val="26"/>
        </w:rPr>
        <w:t>基坑排水分初期排水和经常性排水。</w:t>
      </w:r>
    </w:p>
    <w:p w14:paraId="4AB81615">
      <w:pPr>
        <w:spacing w:line="460" w:lineRule="exact"/>
        <w:ind w:firstLine="520" w:firstLineChars="200"/>
        <w:rPr>
          <w:rFonts w:hint="eastAsia" w:ascii="Arial" w:hAnsi="Arial" w:eastAsia="宋体" w:cs="Arial"/>
          <w:b w:val="0"/>
          <w:bCs/>
          <w:sz w:val="26"/>
          <w:szCs w:val="26"/>
          <w:lang w:val="en-US" w:eastAsia="zh-CN"/>
        </w:rPr>
      </w:pPr>
      <w:r>
        <w:rPr>
          <w:rFonts w:ascii="Arial" w:cs="Arial"/>
          <w:sz w:val="26"/>
          <w:szCs w:val="26"/>
        </w:rPr>
        <w:t>初期排水为截流后基坑内的积水，主要包括基坑积水、围堰渗水等，其特点是废水量大、以天然水体为主，</w:t>
      </w:r>
      <w:r>
        <w:rPr>
          <w:rFonts w:hint="eastAsia" w:ascii="Arial" w:cs="Arial"/>
          <w:sz w:val="26"/>
          <w:szCs w:val="26"/>
          <w:lang w:val="en-US" w:eastAsia="zh-CN"/>
        </w:rPr>
        <w:t>SS浓度低，</w:t>
      </w:r>
      <w:r>
        <w:rPr>
          <w:rFonts w:hint="eastAsia" w:ascii="Arial" w:hAnsi="Arial" w:eastAsia="宋体" w:cs="Arial"/>
          <w:b w:val="0"/>
          <w:bCs/>
          <w:sz w:val="26"/>
          <w:szCs w:val="26"/>
          <w:lang w:val="en-US" w:eastAsia="zh-CN"/>
        </w:rPr>
        <w:t>泵入下游河道后对河流水质影响较小。</w:t>
      </w:r>
    </w:p>
    <w:p w14:paraId="43CA984E">
      <w:pPr>
        <w:spacing w:line="460" w:lineRule="exact"/>
        <w:ind w:firstLine="520" w:firstLineChars="200"/>
        <w:rPr>
          <w:rFonts w:hint="eastAsia" w:ascii="Arial" w:hAnsi="Times New Roman" w:eastAsia="宋体" w:cs="Arial"/>
          <w:sz w:val="26"/>
          <w:szCs w:val="26"/>
          <w:lang w:val="en-US" w:eastAsia="zh-CN"/>
        </w:rPr>
      </w:pPr>
      <w:r>
        <w:rPr>
          <w:rFonts w:hint="eastAsia" w:ascii="Arial" w:hAnsi="Times New Roman" w:eastAsia="宋体" w:cs="Arial"/>
          <w:sz w:val="26"/>
          <w:szCs w:val="26"/>
          <w:lang w:val="en-US" w:eastAsia="zh-CN"/>
        </w:rPr>
        <w:t>经常性排水</w:t>
      </w:r>
      <w:r>
        <w:rPr>
          <w:rFonts w:ascii="Arial" w:hAnsi="Times New Roman" w:eastAsia="宋体" w:cs="Arial"/>
          <w:sz w:val="26"/>
          <w:szCs w:val="26"/>
        </w:rPr>
        <w:t>主要</w:t>
      </w:r>
      <w:r>
        <w:rPr>
          <w:rFonts w:hint="eastAsia" w:ascii="Arial" w:hAnsi="Times New Roman" w:eastAsia="宋体" w:cs="Arial"/>
          <w:sz w:val="26"/>
          <w:szCs w:val="26"/>
          <w:lang w:eastAsia="zh-CN"/>
        </w:rPr>
        <w:t>受</w:t>
      </w:r>
      <w:r>
        <w:rPr>
          <w:rFonts w:ascii="Arial" w:hAnsi="Times New Roman" w:eastAsia="宋体" w:cs="Arial"/>
          <w:sz w:val="26"/>
          <w:szCs w:val="26"/>
        </w:rPr>
        <w:t>堰体渗水</w:t>
      </w:r>
      <w:r>
        <w:rPr>
          <w:rFonts w:hint="eastAsia" w:ascii="Arial" w:hAnsi="Times New Roman" w:eastAsia="宋体" w:cs="Arial"/>
          <w:sz w:val="26"/>
          <w:szCs w:val="26"/>
          <w:lang w:eastAsia="zh-CN"/>
        </w:rPr>
        <w:t>、施工废水（主要是混凝土养护废水）、</w:t>
      </w:r>
      <w:r>
        <w:rPr>
          <w:rFonts w:ascii="Arial" w:hAnsi="Times New Roman" w:eastAsia="宋体" w:cs="Arial"/>
          <w:sz w:val="26"/>
          <w:szCs w:val="26"/>
        </w:rPr>
        <w:t>大气降水等</w:t>
      </w:r>
      <w:r>
        <w:rPr>
          <w:rFonts w:hint="eastAsia" w:ascii="Arial" w:hAnsi="Times New Roman" w:eastAsia="宋体" w:cs="Arial"/>
          <w:sz w:val="26"/>
          <w:szCs w:val="26"/>
          <w:lang w:eastAsia="zh-CN"/>
        </w:rPr>
        <w:t>因素影响</w:t>
      </w:r>
      <w:r>
        <w:rPr>
          <w:rFonts w:ascii="Arial" w:hAnsi="Times New Roman" w:eastAsia="宋体" w:cs="Arial"/>
          <w:sz w:val="26"/>
          <w:szCs w:val="26"/>
        </w:rPr>
        <w:t>，</w:t>
      </w:r>
      <w:r>
        <w:rPr>
          <w:rFonts w:hint="eastAsia" w:ascii="Arial" w:hAnsi="Times New Roman" w:eastAsia="宋体" w:cs="Arial"/>
          <w:sz w:val="26"/>
          <w:szCs w:val="26"/>
          <w:lang w:val="en-US" w:eastAsia="zh-CN"/>
        </w:rPr>
        <w:t>主要污染物</w:t>
      </w:r>
      <w:r>
        <w:rPr>
          <w:rFonts w:ascii="Arial" w:hAnsi="Times New Roman" w:eastAsia="宋体" w:cs="Arial"/>
          <w:sz w:val="26"/>
          <w:szCs w:val="26"/>
        </w:rPr>
        <w:t>SS浓度一般在</w:t>
      </w:r>
      <w:r>
        <w:rPr>
          <w:rFonts w:hint="eastAsia" w:ascii="Arial" w:hAnsi="Times New Roman" w:eastAsia="宋体" w:cs="Arial"/>
          <w:sz w:val="26"/>
          <w:szCs w:val="26"/>
          <w:lang w:val="en-US" w:eastAsia="zh-CN"/>
        </w:rPr>
        <w:t>1</w:t>
      </w:r>
      <w:r>
        <w:rPr>
          <w:rFonts w:ascii="Arial" w:hAnsi="Times New Roman" w:eastAsia="宋体" w:cs="Arial"/>
          <w:sz w:val="26"/>
          <w:szCs w:val="26"/>
        </w:rPr>
        <w:t>000mg/L左右，pH值为11~12</w:t>
      </w:r>
      <w:r>
        <w:rPr>
          <w:rFonts w:hint="eastAsia" w:ascii="Arial" w:hAnsi="Times New Roman" w:eastAsia="宋体" w:cs="Arial"/>
          <w:sz w:val="26"/>
          <w:szCs w:val="26"/>
          <w:lang w:val="en-US" w:eastAsia="zh-CN"/>
        </w:rPr>
        <w:t>。</w:t>
      </w:r>
      <w:r>
        <w:rPr>
          <w:rFonts w:ascii="Arial" w:hAnsi="Times New Roman" w:eastAsia="宋体" w:cs="Arial"/>
          <w:sz w:val="26"/>
          <w:szCs w:val="26"/>
        </w:rPr>
        <w:t>根据施工进度安排，施工时段</w:t>
      </w:r>
      <w:r>
        <w:rPr>
          <w:rFonts w:hint="eastAsia" w:ascii="Arial" w:hAnsi="Times New Roman" w:eastAsia="宋体" w:cs="Arial"/>
          <w:sz w:val="26"/>
          <w:szCs w:val="26"/>
          <w:lang w:eastAsia="zh-CN"/>
        </w:rPr>
        <w:t>优先</w:t>
      </w:r>
      <w:r>
        <w:rPr>
          <w:rFonts w:hint="eastAsia" w:ascii="Arial" w:hAnsi="Times New Roman" w:eastAsia="宋体" w:cs="Arial"/>
          <w:sz w:val="26"/>
          <w:szCs w:val="26"/>
        </w:rPr>
        <w:t>选择</w:t>
      </w:r>
      <w:r>
        <w:rPr>
          <w:rFonts w:hint="eastAsia" w:ascii="Arial" w:hAnsi="Times New Roman" w:eastAsia="宋体" w:cs="Arial"/>
          <w:sz w:val="26"/>
          <w:szCs w:val="26"/>
          <w:lang w:eastAsia="zh-CN"/>
        </w:rPr>
        <w:t>在</w:t>
      </w:r>
      <w:r>
        <w:rPr>
          <w:rFonts w:ascii="Arial" w:hAnsi="Times New Roman" w:eastAsia="宋体" w:cs="Arial"/>
          <w:sz w:val="26"/>
          <w:szCs w:val="26"/>
        </w:rPr>
        <w:t>枯水期完成，</w:t>
      </w:r>
      <w:r>
        <w:rPr>
          <w:rFonts w:hint="eastAsia" w:ascii="Arial" w:hAnsi="Times New Roman" w:eastAsia="宋体" w:cs="Arial"/>
          <w:sz w:val="26"/>
          <w:szCs w:val="26"/>
        </w:rPr>
        <w:t>分段施工，严格控制开挖面。</w:t>
      </w:r>
      <w:r>
        <w:rPr>
          <w:rFonts w:hint="eastAsia" w:ascii="Arial" w:hAnsi="Times New Roman" w:eastAsia="宋体" w:cs="Arial"/>
          <w:sz w:val="26"/>
          <w:szCs w:val="26"/>
          <w:lang w:val="en-US" w:eastAsia="zh-CN"/>
        </w:rPr>
        <w:t>根据相似水利工程经验，在基坑内设立截水沟、集水坑，将基坑废水收集并静置1~2h后，</w:t>
      </w:r>
      <w:r>
        <w:rPr>
          <w:rFonts w:hint="eastAsia" w:ascii="Arial" w:hAnsi="Arial" w:cs="Arial"/>
          <w:b w:val="0"/>
          <w:bCs/>
          <w:color w:val="auto"/>
          <w:sz w:val="26"/>
          <w:szCs w:val="26"/>
          <w:lang w:val="en-US" w:eastAsia="zh-CN"/>
        </w:rPr>
        <w:t>上清液可用作施工用水，多余部分泵入下游河道。同时，输水管线穿越河道时尽量采用顶管、定向钻等不涉水施工工艺，</w:t>
      </w:r>
      <w:r>
        <w:rPr>
          <w:rFonts w:hint="eastAsia" w:ascii="Arial" w:hAnsi="宋体" w:cs="Arial"/>
          <w:b w:val="0"/>
          <w:bCs/>
          <w:color w:val="auto"/>
          <w:spacing w:val="-4"/>
          <w:sz w:val="26"/>
          <w:szCs w:val="26"/>
        </w:rPr>
        <w:t>设置围挡，严格控制施工活动，做好废弃土石方的收集处理工作，严禁向</w:t>
      </w:r>
      <w:r>
        <w:rPr>
          <w:rFonts w:hint="eastAsia" w:ascii="Arial" w:hAnsi="宋体" w:cs="Arial"/>
          <w:b w:val="0"/>
          <w:bCs/>
          <w:color w:val="auto"/>
          <w:spacing w:val="-4"/>
          <w:sz w:val="26"/>
          <w:szCs w:val="26"/>
          <w:lang w:eastAsia="zh-CN"/>
        </w:rPr>
        <w:t>河道</w:t>
      </w:r>
      <w:r>
        <w:rPr>
          <w:rFonts w:hint="eastAsia" w:ascii="Arial" w:hAnsi="宋体" w:cs="Arial"/>
          <w:b w:val="0"/>
          <w:bCs/>
          <w:color w:val="auto"/>
          <w:spacing w:val="-4"/>
          <w:sz w:val="26"/>
          <w:szCs w:val="26"/>
        </w:rPr>
        <w:t>内倾倒废渣，减轻涉水作业对</w:t>
      </w:r>
      <w:r>
        <w:rPr>
          <w:rFonts w:hint="eastAsia" w:ascii="Arial" w:hAnsi="宋体" w:cs="Arial"/>
          <w:b w:val="0"/>
          <w:bCs/>
          <w:color w:val="auto"/>
          <w:spacing w:val="-4"/>
          <w:sz w:val="26"/>
          <w:szCs w:val="26"/>
          <w:lang w:eastAsia="zh-CN"/>
        </w:rPr>
        <w:t>河道</w:t>
      </w:r>
      <w:r>
        <w:rPr>
          <w:rFonts w:hint="eastAsia" w:ascii="Arial" w:hAnsi="宋体" w:cs="Arial"/>
          <w:b w:val="0"/>
          <w:bCs/>
          <w:color w:val="auto"/>
          <w:spacing w:val="-4"/>
          <w:sz w:val="26"/>
          <w:szCs w:val="26"/>
        </w:rPr>
        <w:t>水质影响。</w:t>
      </w:r>
    </w:p>
    <w:p w14:paraId="2DBD1C8D">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sz w:val="26"/>
          <w:szCs w:val="26"/>
          <w:lang w:val="en-US" w:eastAsia="zh-CN"/>
        </w:rPr>
      </w:pPr>
      <w:r>
        <w:rPr>
          <w:rFonts w:hint="eastAsia" w:ascii="Arial" w:hAnsi="Arial" w:cs="Arial"/>
          <w:b/>
          <w:bCs/>
          <w:sz w:val="26"/>
          <w:szCs w:val="26"/>
          <w:lang w:val="en-US" w:eastAsia="zh-CN"/>
        </w:rPr>
        <w:t>（4）初期雨水</w:t>
      </w:r>
    </w:p>
    <w:p w14:paraId="1084C046">
      <w:pPr>
        <w:spacing w:line="460" w:lineRule="exact"/>
        <w:ind w:firstLine="520" w:firstLineChars="200"/>
        <w:rPr>
          <w:rFonts w:hint="eastAsia" w:ascii="Arial" w:hAnsi="Times New Roman" w:eastAsia="宋体" w:cs="Arial"/>
          <w:sz w:val="26"/>
          <w:szCs w:val="26"/>
          <w:lang w:val="en-US" w:eastAsia="zh-CN"/>
        </w:rPr>
      </w:pPr>
      <w:r>
        <w:rPr>
          <w:rFonts w:hint="eastAsia" w:ascii="Arial" w:hAnsi="Times New Roman" w:eastAsia="宋体" w:cs="Arial"/>
          <w:sz w:val="26"/>
          <w:szCs w:val="26"/>
          <w:lang w:val="en-US" w:eastAsia="zh-CN"/>
        </w:rPr>
        <w:t>初期雨水主要为雨天产生，</w:t>
      </w:r>
      <w:r>
        <w:rPr>
          <w:rFonts w:hint="eastAsia" w:ascii="Arial" w:cs="Arial"/>
          <w:b w:val="0"/>
          <w:bCs/>
          <w:sz w:val="26"/>
          <w:szCs w:val="26"/>
          <w:lang w:eastAsia="zh-CN"/>
        </w:rPr>
        <w:t>主要污染物为SS，主要发生区域为施工临时用地区，尤其是砂石料及土方堆放场所。本评价要求施工单位根据施工进度，在</w:t>
      </w:r>
      <w:r>
        <w:rPr>
          <w:rFonts w:hint="eastAsia" w:ascii="Arial" w:cs="Arial"/>
          <w:sz w:val="26"/>
          <w:szCs w:val="26"/>
          <w:lang w:eastAsia="zh-CN"/>
        </w:rPr>
        <w:t>各施工作业点地势较高一侧设置截水沟，在场地地势较低一侧设置排水沟和沉砂池，一方面减少场地雨水汇入量，二是将初期雨水沉淀后回用作施工用水或排入环境。</w:t>
      </w:r>
    </w:p>
    <w:p w14:paraId="108E928F">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sz w:val="26"/>
          <w:szCs w:val="26"/>
          <w:lang w:val="en-US" w:eastAsia="zh-CN"/>
        </w:rPr>
      </w:pPr>
      <w:r>
        <w:rPr>
          <w:rFonts w:hint="eastAsia" w:ascii="Arial" w:hAnsi="Arial" w:cs="Arial"/>
          <w:b/>
          <w:bCs/>
          <w:sz w:val="26"/>
          <w:szCs w:val="26"/>
          <w:lang w:val="en-US" w:eastAsia="zh-CN"/>
        </w:rPr>
        <w:t>（5）生活污水</w:t>
      </w:r>
    </w:p>
    <w:p w14:paraId="55C1A514">
      <w:pPr>
        <w:spacing w:line="460" w:lineRule="exact"/>
        <w:ind w:firstLine="520" w:firstLineChars="200"/>
        <w:rPr>
          <w:rFonts w:hint="default" w:ascii="Arial" w:hAnsi="Times New Roman" w:eastAsia="宋体" w:cs="Arial"/>
          <w:sz w:val="26"/>
          <w:szCs w:val="26"/>
          <w:lang w:val="en-US" w:eastAsia="zh-CN"/>
        </w:rPr>
      </w:pPr>
      <w:r>
        <w:rPr>
          <w:rFonts w:hint="eastAsia" w:ascii="Arial" w:hAnsi="Times New Roman" w:eastAsia="宋体" w:cs="Arial"/>
          <w:sz w:val="26"/>
          <w:szCs w:val="26"/>
          <w:lang w:val="en-US" w:eastAsia="zh-CN"/>
        </w:rPr>
        <w:t>本项目租赁项目区已有居民房屋作施工营地，施工人员就近招用，仅少量管理人员、施工人员在营地内食宿，产生的生活污水</w:t>
      </w:r>
      <w:r>
        <w:rPr>
          <w:rFonts w:hint="eastAsia" w:ascii="Arial" w:cs="Arial"/>
          <w:b w:val="0"/>
          <w:bCs/>
          <w:sz w:val="26"/>
          <w:szCs w:val="26"/>
          <w:lang w:eastAsia="zh-CN"/>
        </w:rPr>
        <w:t>经租赁居民房屋内已有的旱厕收集处理后，全部用作农肥，不外排。根据现场勘查，项目地处山区，周围农耕作业覆盖范围大，有足够的田地可消纳本项目经处理后的生活污水。</w:t>
      </w:r>
      <w:r>
        <w:rPr>
          <w:rFonts w:hint="eastAsia"/>
          <w:kern w:val="28"/>
          <w:sz w:val="26"/>
          <w:szCs w:val="26"/>
        </w:rPr>
        <w:t>经厌氧消化后的生活污水作临近的林地、耕地灌溉水处理，一则可避免污水长途运输产生对环境的二次污染问题，二则实现的废物的资源化利用，为林地、耕地提供的肥料。</w:t>
      </w:r>
    </w:p>
    <w:p w14:paraId="0E99BACB">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sz w:val="26"/>
          <w:szCs w:val="26"/>
          <w:lang w:val="en-US" w:eastAsia="zh-CN"/>
        </w:rPr>
      </w:pPr>
      <w:r>
        <w:rPr>
          <w:rFonts w:hint="eastAsia" w:ascii="Arial" w:hAnsi="Arial" w:cs="Arial"/>
          <w:b/>
          <w:bCs/>
          <w:sz w:val="26"/>
          <w:szCs w:val="26"/>
          <w:lang w:val="en-US" w:eastAsia="zh-CN"/>
        </w:rPr>
        <w:t>（6）围堰施工注意事项</w:t>
      </w:r>
    </w:p>
    <w:p w14:paraId="2636A3DD">
      <w:pPr>
        <w:spacing w:line="460" w:lineRule="exact"/>
        <w:ind w:firstLine="520" w:firstLineChars="200"/>
        <w:rPr>
          <w:rFonts w:hint="eastAsia" w:ascii="Arial" w:cs="Arial"/>
          <w:sz w:val="26"/>
          <w:szCs w:val="26"/>
        </w:rPr>
      </w:pPr>
      <w:r>
        <w:rPr>
          <w:rFonts w:hint="eastAsia"/>
          <w:sz w:val="26"/>
          <w:szCs w:val="26"/>
        </w:rPr>
        <w:t>本工程施工导流设施在枯水季节施工，汛期前完成围堰和导流设施施工。围堰施工初期受水流影响，可能有部分泥土冲刷入河流，为避免或减少这种影响，建议围堰初期采用</w:t>
      </w:r>
      <w:r>
        <w:rPr>
          <w:rFonts w:hint="eastAsia"/>
          <w:sz w:val="26"/>
          <w:szCs w:val="26"/>
          <w:lang w:eastAsia="zh-CN"/>
        </w:rPr>
        <w:t>开挖产生的土石料</w:t>
      </w:r>
      <w:r>
        <w:rPr>
          <w:rFonts w:hint="eastAsia"/>
          <w:sz w:val="26"/>
          <w:szCs w:val="26"/>
        </w:rPr>
        <w:t>进行拦挡</w:t>
      </w:r>
      <w:r>
        <w:rPr>
          <w:rFonts w:hint="eastAsia"/>
          <w:sz w:val="26"/>
          <w:szCs w:val="26"/>
          <w:lang w:eastAsia="zh-CN"/>
        </w:rPr>
        <w:t>，并敷设土工膜防渗</w:t>
      </w:r>
      <w:r>
        <w:rPr>
          <w:rFonts w:hint="eastAsia"/>
          <w:sz w:val="26"/>
          <w:szCs w:val="26"/>
        </w:rPr>
        <w:t>。</w:t>
      </w:r>
    </w:p>
    <w:p w14:paraId="1F8175FA">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Times New Roman" w:eastAsia="宋体" w:cs="Arial"/>
          <w:sz w:val="26"/>
          <w:szCs w:val="26"/>
          <w:lang w:val="en-US" w:eastAsia="zh-CN"/>
        </w:rPr>
      </w:pPr>
      <w:r>
        <w:rPr>
          <w:rFonts w:hint="eastAsia" w:ascii="Arial" w:hAnsi="Arial" w:cs="Arial"/>
          <w:b/>
          <w:bCs/>
          <w:sz w:val="26"/>
          <w:szCs w:val="26"/>
          <w:lang w:val="en-US" w:eastAsia="zh-CN"/>
        </w:rPr>
        <w:t>（7）管道试压废水</w:t>
      </w:r>
    </w:p>
    <w:p w14:paraId="532440BA">
      <w:pPr>
        <w:spacing w:line="460" w:lineRule="exact"/>
        <w:ind w:firstLine="520" w:firstLineChars="200"/>
        <w:rPr>
          <w:rFonts w:hint="eastAsia" w:ascii="Times New Roman" w:hAnsi="Times New Roman" w:eastAsia="宋体" w:cs="Times New Roman"/>
          <w:sz w:val="26"/>
          <w:szCs w:val="26"/>
        </w:rPr>
      </w:pPr>
      <w:r>
        <w:rPr>
          <w:rFonts w:hint="eastAsia" w:ascii="Arial" w:hAnsi="Times New Roman" w:eastAsia="宋体" w:cs="Arial"/>
          <w:b w:val="0"/>
          <w:bCs/>
          <w:kern w:val="2"/>
          <w:sz w:val="26"/>
          <w:szCs w:val="26"/>
          <w:lang w:val="en-US" w:eastAsia="zh-CN" w:bidi="ar-SA"/>
        </w:rPr>
        <w:t>输送管道敷设完成后，将按照《给水排水管道工程施工及验收规范》（GB50268-2008）进行试压作业，试压采用河道清水，且试压点相对分散，局部排水量小，试压排水水质较好，属于清净下水，可直接用于浇灌周边林草，无污废水产生。</w:t>
      </w:r>
    </w:p>
    <w:p w14:paraId="1AD77D34">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Times New Roman" w:eastAsia="宋体" w:cs="Arial"/>
          <w:sz w:val="26"/>
          <w:szCs w:val="26"/>
          <w:lang w:val="en-US" w:eastAsia="zh-CN"/>
        </w:rPr>
      </w:pPr>
      <w:r>
        <w:rPr>
          <w:rFonts w:hint="eastAsia" w:ascii="Arial" w:hAnsi="Arial" w:cs="Arial"/>
          <w:b/>
          <w:bCs/>
          <w:sz w:val="26"/>
          <w:szCs w:val="26"/>
          <w:lang w:val="en-US" w:eastAsia="zh-CN"/>
        </w:rPr>
        <w:t>（8）小结</w:t>
      </w:r>
    </w:p>
    <w:p w14:paraId="658FC523">
      <w:pPr>
        <w:spacing w:line="460" w:lineRule="exact"/>
        <w:ind w:firstLine="520" w:firstLineChars="200"/>
        <w:rPr>
          <w:rFonts w:hint="eastAsia" w:ascii="Times New Roman" w:hAnsi="Times New Roman" w:eastAsia="宋体" w:cs="Times New Roman"/>
          <w:sz w:val="26"/>
          <w:szCs w:val="26"/>
        </w:rPr>
      </w:pPr>
      <w:r>
        <w:rPr>
          <w:rFonts w:hint="eastAsia" w:ascii="Arial" w:cs="Arial"/>
          <w:sz w:val="26"/>
          <w:szCs w:val="26"/>
        </w:rPr>
        <w:t>综上所述，本项目施工期生产废水污染成份不复杂，经简单的沉淀或隔油处置后，可满足施工重复用水的要求；生活污水就近利用作林地或耕地肥料，实现废物的资源化利用。上述废水治理环保措施皆是国内类似工程施工常用且成熟的技术，从环保角度是可行的。经采取上述环保措施，本项目施工期无施工废水排入</w:t>
      </w:r>
      <w:r>
        <w:rPr>
          <w:rFonts w:hint="eastAsia" w:ascii="Arial" w:cs="Arial"/>
          <w:sz w:val="26"/>
          <w:szCs w:val="26"/>
          <w:lang w:eastAsia="zh-CN"/>
        </w:rPr>
        <w:t>海螺沟</w:t>
      </w:r>
      <w:r>
        <w:rPr>
          <w:rFonts w:hint="eastAsia" w:ascii="Arial" w:cs="Arial"/>
          <w:sz w:val="26"/>
          <w:szCs w:val="26"/>
        </w:rPr>
        <w:t>，对地表水环境质量影响较小。</w:t>
      </w:r>
    </w:p>
    <w:p w14:paraId="534443F2">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b/>
          <w:bCs/>
          <w:sz w:val="26"/>
          <w:szCs w:val="26"/>
          <w:lang w:val="en-US" w:eastAsia="zh-CN"/>
        </w:rPr>
        <w:t>7.1.2</w:t>
      </w:r>
      <w:r>
        <w:rPr>
          <w:rFonts w:hint="eastAsia" w:ascii="Arial" w:hAnsi="Arial" w:cs="Arial"/>
          <w:b/>
          <w:bCs/>
          <w:sz w:val="26"/>
          <w:szCs w:val="26"/>
          <w:lang w:val="en-US" w:eastAsia="zh-CN"/>
        </w:rPr>
        <w:t>地下水污染防治措施</w:t>
      </w:r>
    </w:p>
    <w:p w14:paraId="62B96D41">
      <w:pPr>
        <w:spacing w:line="460" w:lineRule="exact"/>
        <w:ind w:firstLine="520" w:firstLineChars="200"/>
        <w:rPr>
          <w:rFonts w:hint="eastAsia" w:ascii="Arial" w:eastAsia="宋体" w:cs="Arial"/>
          <w:sz w:val="26"/>
          <w:szCs w:val="26"/>
          <w:lang w:eastAsia="zh-CN"/>
        </w:rPr>
      </w:pPr>
      <w:r>
        <w:rPr>
          <w:rFonts w:hint="eastAsia" w:ascii="Arial" w:cs="Arial"/>
          <w:sz w:val="26"/>
          <w:szCs w:val="26"/>
        </w:rPr>
        <w:t>拟建工程施工期对地下水的影响可能来源于</w:t>
      </w:r>
      <w:r>
        <w:rPr>
          <w:rFonts w:hint="eastAsia" w:ascii="Arial" w:cs="Arial"/>
          <w:sz w:val="26"/>
          <w:szCs w:val="26"/>
          <w:lang w:eastAsia="zh-CN"/>
        </w:rPr>
        <w:t>施工废水处理设施（如隔油</w:t>
      </w:r>
      <w:r>
        <w:rPr>
          <w:rFonts w:hint="eastAsia" w:ascii="Arial" w:cs="Arial"/>
          <w:sz w:val="26"/>
          <w:szCs w:val="26"/>
        </w:rPr>
        <w:t>沉淀池</w:t>
      </w:r>
      <w:r>
        <w:rPr>
          <w:rFonts w:hint="eastAsia" w:ascii="Arial" w:cs="Arial"/>
          <w:sz w:val="26"/>
          <w:szCs w:val="26"/>
          <w:lang w:eastAsia="zh-CN"/>
        </w:rPr>
        <w:t>）</w:t>
      </w:r>
      <w:r>
        <w:rPr>
          <w:rFonts w:hint="eastAsia" w:ascii="Arial" w:cs="Arial"/>
          <w:sz w:val="26"/>
          <w:szCs w:val="26"/>
        </w:rPr>
        <w:t>污废水、</w:t>
      </w:r>
      <w:r>
        <w:rPr>
          <w:rFonts w:hint="eastAsia" w:ascii="Arial" w:cs="Arial"/>
          <w:sz w:val="26"/>
          <w:szCs w:val="26"/>
          <w:lang w:eastAsia="zh-CN"/>
        </w:rPr>
        <w:t>油罐区、危废储存库等。为</w:t>
      </w:r>
      <w:r>
        <w:rPr>
          <w:rFonts w:hint="eastAsia" w:ascii="Arial" w:cs="Arial"/>
          <w:sz w:val="26"/>
          <w:szCs w:val="26"/>
        </w:rPr>
        <w:t>防止施工期污废水渗漏进入地下水体</w:t>
      </w:r>
      <w:r>
        <w:rPr>
          <w:rFonts w:hint="eastAsia" w:ascii="Arial" w:cs="Arial"/>
          <w:sz w:val="26"/>
          <w:szCs w:val="26"/>
          <w:lang w:eastAsia="zh-CN"/>
        </w:rPr>
        <w:t>，</w:t>
      </w:r>
      <w:r>
        <w:rPr>
          <w:rFonts w:hint="eastAsia" w:ascii="Arial" w:cs="Arial"/>
          <w:sz w:val="26"/>
          <w:szCs w:val="26"/>
        </w:rPr>
        <w:t>环评要求</w:t>
      </w:r>
      <w:r>
        <w:rPr>
          <w:rFonts w:hint="eastAsia" w:ascii="Arial" w:cs="Arial"/>
          <w:sz w:val="26"/>
          <w:szCs w:val="26"/>
          <w:lang w:eastAsia="zh-CN"/>
        </w:rPr>
        <w:t>对隔油池等进行防渗处理；施工燃用的柴油、汽油均采取桶装密闭储存，四周设置围堰，储存区地面及围堰均进行重点防渗处置，</w:t>
      </w:r>
      <w:r>
        <w:rPr>
          <w:rFonts w:hint="eastAsia" w:ascii="Arial" w:cs="Arial"/>
          <w:sz w:val="26"/>
          <w:szCs w:val="26"/>
        </w:rPr>
        <w:t>防渗性能不应低于</w:t>
      </w:r>
      <w:r>
        <w:rPr>
          <w:rFonts w:ascii="Arial" w:cs="Arial"/>
          <w:sz w:val="26"/>
          <w:szCs w:val="26"/>
        </w:rPr>
        <w:t>6.0m</w:t>
      </w:r>
      <w:r>
        <w:rPr>
          <w:rFonts w:hint="eastAsia" w:ascii="Arial" w:cs="Arial"/>
          <w:sz w:val="26"/>
          <w:szCs w:val="26"/>
        </w:rPr>
        <w:t>厚渗透系数为</w:t>
      </w:r>
      <w:r>
        <w:rPr>
          <w:rFonts w:ascii="Arial" w:cs="Arial"/>
          <w:sz w:val="26"/>
          <w:szCs w:val="26"/>
        </w:rPr>
        <w:t>1.0*10</w:t>
      </w:r>
      <w:r>
        <w:rPr>
          <w:rFonts w:ascii="Arial" w:cs="Arial"/>
          <w:sz w:val="26"/>
          <w:szCs w:val="26"/>
          <w:vertAlign w:val="superscript"/>
        </w:rPr>
        <w:t>-10</w:t>
      </w:r>
      <w:r>
        <w:rPr>
          <w:rFonts w:ascii="Arial" w:cs="Arial"/>
          <w:sz w:val="26"/>
          <w:szCs w:val="26"/>
        </w:rPr>
        <w:t>cm/s</w:t>
      </w:r>
      <w:r>
        <w:rPr>
          <w:rFonts w:hint="eastAsia" w:ascii="Arial" w:cs="Arial"/>
          <w:sz w:val="26"/>
          <w:szCs w:val="26"/>
        </w:rPr>
        <w:t>的黏土层的防渗性能要求</w:t>
      </w:r>
      <w:r>
        <w:rPr>
          <w:rFonts w:hint="eastAsia" w:ascii="Arial" w:cs="Arial"/>
          <w:sz w:val="26"/>
          <w:szCs w:val="26"/>
          <w:lang w:eastAsia="zh-CN"/>
        </w:rPr>
        <w:t>；废油桶装收集后暂存于施工场地所设危废贮存间内，危废贮存间进行“六防”处置，</w:t>
      </w:r>
      <w:r>
        <w:rPr>
          <w:rFonts w:hint="eastAsia" w:ascii="Arial" w:hAnsi="宋体" w:cs="Arial"/>
          <w:b w:val="0"/>
          <w:bCs w:val="0"/>
          <w:sz w:val="26"/>
          <w:szCs w:val="26"/>
          <w:lang w:eastAsia="zh-CN"/>
        </w:rPr>
        <w:t>储存区下方加设托盘。</w:t>
      </w:r>
      <w:r>
        <w:rPr>
          <w:rFonts w:hint="eastAsia" w:ascii="Arial" w:hAnsi="宋体" w:cs="Arial"/>
          <w:b w:val="0"/>
          <w:bCs w:val="0"/>
          <w:sz w:val="26"/>
          <w:szCs w:val="26"/>
        </w:rPr>
        <w:t>从而减轻对地下水环境的影响。</w:t>
      </w:r>
    </w:p>
    <w:p w14:paraId="6FC01C8D">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b/>
          <w:bCs/>
          <w:sz w:val="26"/>
          <w:szCs w:val="26"/>
          <w:lang w:val="en-US" w:eastAsia="zh-CN"/>
        </w:rPr>
        <w:t>7.1.3</w:t>
      </w:r>
      <w:r>
        <w:rPr>
          <w:rFonts w:hint="eastAsia" w:ascii="Arial" w:hAnsi="Arial" w:cs="Arial"/>
          <w:b/>
          <w:bCs/>
          <w:sz w:val="26"/>
          <w:szCs w:val="26"/>
          <w:lang w:val="en-US" w:eastAsia="zh-CN"/>
        </w:rPr>
        <w:t>环境空气污染防治措施</w:t>
      </w:r>
    </w:p>
    <w:p w14:paraId="46DCDEBF">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color w:val="000000"/>
          <w:sz w:val="26"/>
          <w:szCs w:val="26"/>
        </w:rPr>
      </w:pPr>
      <w:r>
        <w:rPr>
          <w:rFonts w:hint="eastAsia" w:ascii="Arial" w:hAnsi="Arial" w:cs="Arial"/>
          <w:color w:val="000000"/>
          <w:sz w:val="26"/>
          <w:szCs w:val="26"/>
        </w:rPr>
        <w:t>本项目施工期外排废气主要为粉尘，执行《大气污染物综合排放标准》（</w:t>
      </w:r>
      <w:r>
        <w:rPr>
          <w:rFonts w:ascii="Arial" w:hAnsi="Arial" w:cs="Arial"/>
          <w:color w:val="000000"/>
          <w:sz w:val="26"/>
          <w:szCs w:val="26"/>
        </w:rPr>
        <w:t>DB50</w:t>
      </w:r>
      <w:r>
        <w:rPr>
          <w:rFonts w:hint="eastAsia" w:ascii="Arial" w:hAnsi="Arial" w:cs="Arial"/>
          <w:color w:val="000000"/>
          <w:sz w:val="26"/>
          <w:szCs w:val="26"/>
          <w:lang w:val="en-US" w:eastAsia="zh-CN"/>
        </w:rPr>
        <w:t>/</w:t>
      </w:r>
      <w:r>
        <w:rPr>
          <w:rFonts w:ascii="Arial" w:hAnsi="Arial" w:cs="Arial"/>
          <w:color w:val="000000"/>
          <w:sz w:val="26"/>
          <w:szCs w:val="26"/>
        </w:rPr>
        <w:t>418-2016</w:t>
      </w:r>
      <w:r>
        <w:rPr>
          <w:rFonts w:hint="eastAsia" w:ascii="Arial" w:hAnsi="Arial" w:cs="Arial"/>
          <w:color w:val="000000"/>
          <w:sz w:val="26"/>
          <w:szCs w:val="26"/>
        </w:rPr>
        <w:t>）表中</w:t>
      </w:r>
      <w:r>
        <w:rPr>
          <w:rFonts w:hint="eastAsia" w:ascii="Arial" w:hAnsi="Arial" w:cs="Arial"/>
          <w:color w:val="000000"/>
          <w:sz w:val="26"/>
          <w:szCs w:val="26"/>
          <w:lang w:eastAsia="zh-CN"/>
        </w:rPr>
        <w:t>“</w:t>
      </w:r>
      <w:r>
        <w:rPr>
          <w:rFonts w:hint="eastAsia" w:ascii="Arial" w:hAnsi="Arial" w:cs="Arial"/>
          <w:color w:val="000000"/>
          <w:sz w:val="26"/>
          <w:szCs w:val="26"/>
        </w:rPr>
        <w:t>其他区域</w:t>
      </w:r>
      <w:r>
        <w:rPr>
          <w:rFonts w:hint="eastAsia" w:ascii="Arial" w:hAnsi="Arial" w:cs="Arial"/>
          <w:color w:val="000000"/>
          <w:sz w:val="26"/>
          <w:szCs w:val="26"/>
          <w:lang w:eastAsia="zh-CN"/>
        </w:rPr>
        <w:t>”</w:t>
      </w:r>
      <w:r>
        <w:rPr>
          <w:rFonts w:hint="eastAsia" w:ascii="Arial" w:hAnsi="Arial" w:cs="Arial"/>
          <w:color w:val="000000"/>
          <w:sz w:val="26"/>
          <w:szCs w:val="26"/>
        </w:rPr>
        <w:t>无组织排放监控浓度限值，周界外浓度最高点的颗粒物浓度</w:t>
      </w:r>
      <w:r>
        <w:rPr>
          <w:rFonts w:ascii="宋体" w:hAnsi="宋体" w:cs="Arial"/>
          <w:color w:val="000000"/>
          <w:sz w:val="26"/>
          <w:szCs w:val="26"/>
        </w:rPr>
        <w:t>≤</w:t>
      </w:r>
      <w:r>
        <w:rPr>
          <w:rFonts w:ascii="Arial" w:hAnsi="Arial" w:cs="Arial"/>
          <w:color w:val="000000"/>
          <w:sz w:val="26"/>
          <w:szCs w:val="26"/>
        </w:rPr>
        <w:t>1.0mg/m</w:t>
      </w:r>
      <w:r>
        <w:rPr>
          <w:rFonts w:ascii="Arial" w:hAnsi="Arial" w:cs="Arial"/>
          <w:color w:val="000000"/>
          <w:sz w:val="26"/>
          <w:szCs w:val="26"/>
          <w:vertAlign w:val="superscript"/>
        </w:rPr>
        <w:t>3</w:t>
      </w:r>
      <w:r>
        <w:rPr>
          <w:rFonts w:hint="eastAsia" w:ascii="Arial" w:hAnsi="Arial" w:cs="Arial"/>
          <w:color w:val="000000"/>
          <w:sz w:val="26"/>
          <w:szCs w:val="26"/>
        </w:rPr>
        <w:t>。</w:t>
      </w:r>
      <w:r>
        <w:rPr>
          <w:rFonts w:hint="eastAsia" w:ascii="Arial" w:cs="Arial"/>
          <w:color w:val="000000"/>
          <w:sz w:val="26"/>
        </w:rPr>
        <w:t>为减轻项目施工粉尘对外环境的影响，本评价特提出如下控制措施。</w:t>
      </w:r>
    </w:p>
    <w:p w14:paraId="5FFBFA20">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eastAsia" w:ascii="Arial" w:hAnsi="Arial" w:eastAsia="宋体" w:cs="Arial"/>
          <w:color w:val="000000"/>
          <w:sz w:val="26"/>
          <w:szCs w:val="26"/>
        </w:rPr>
      </w:pPr>
      <w:r>
        <w:rPr>
          <w:rFonts w:hint="eastAsia" w:ascii="Arial" w:hAnsi="Arial" w:eastAsia="宋体" w:cs="Arial"/>
          <w:color w:val="000000"/>
          <w:sz w:val="26"/>
          <w:szCs w:val="26"/>
          <w:lang w:val="en-US" w:eastAsia="zh-CN"/>
        </w:rPr>
        <w:t>（1）</w:t>
      </w:r>
      <w:r>
        <w:rPr>
          <w:rFonts w:hint="eastAsia" w:ascii="Arial" w:hAnsi="Arial" w:eastAsia="宋体" w:cs="Arial"/>
          <w:color w:val="000000"/>
          <w:sz w:val="26"/>
          <w:szCs w:val="26"/>
        </w:rPr>
        <w:t>严格施工扬尘监管，建立扬尘控制责任制度。在建设项目招投标中增加控制扬尘污染指标的内容和责任承诺，将所需资金列入工程造价。在施工前，必须按照文明施工要求，制订控制扬尘污染方案，经主管部门审批后方可办理施工许可证。</w:t>
      </w:r>
    </w:p>
    <w:p w14:paraId="4C5AAFCF">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eastAsia" w:ascii="Arial" w:hAnsi="Arial" w:eastAsia="宋体" w:cs="Arial"/>
          <w:color w:val="000000"/>
          <w:sz w:val="26"/>
          <w:szCs w:val="26"/>
        </w:rPr>
      </w:pPr>
      <w:r>
        <w:rPr>
          <w:rFonts w:hint="eastAsia" w:ascii="Arial" w:hAnsi="Arial" w:eastAsia="宋体" w:cs="Arial"/>
          <w:color w:val="000000"/>
          <w:sz w:val="26"/>
          <w:szCs w:val="26"/>
          <w:lang w:eastAsia="zh-CN"/>
        </w:rPr>
        <w:t>（</w:t>
      </w:r>
      <w:r>
        <w:rPr>
          <w:rFonts w:hint="eastAsia" w:ascii="Arial" w:hAnsi="Arial" w:eastAsia="宋体" w:cs="Arial"/>
          <w:color w:val="000000"/>
          <w:sz w:val="26"/>
          <w:szCs w:val="26"/>
          <w:lang w:val="en-US" w:eastAsia="zh-CN"/>
        </w:rPr>
        <w:t>2）</w:t>
      </w:r>
      <w:r>
        <w:rPr>
          <w:rFonts w:hint="eastAsia" w:ascii="Arial" w:hAnsi="Arial" w:eastAsia="宋体" w:cs="Arial"/>
          <w:color w:val="000000"/>
          <w:sz w:val="26"/>
          <w:szCs w:val="26"/>
          <w:lang w:eastAsia="zh-CN"/>
        </w:rPr>
        <w:t>施工过程中推广湿法作业，配备洒水车，加强洒水防尘，大风天气增加洒水频次</w:t>
      </w:r>
      <w:r>
        <w:rPr>
          <w:rFonts w:hint="eastAsia" w:ascii="Arial" w:hAnsi="Arial" w:eastAsia="宋体" w:cs="Arial"/>
          <w:color w:val="000000"/>
          <w:sz w:val="26"/>
          <w:szCs w:val="26"/>
        </w:rPr>
        <w:t>。</w:t>
      </w:r>
    </w:p>
    <w:p w14:paraId="0FBD6CEC">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eastAsia" w:ascii="Arial" w:hAnsi="Arial" w:eastAsia="宋体" w:cs="Arial"/>
          <w:color w:val="000000"/>
          <w:sz w:val="26"/>
          <w:szCs w:val="26"/>
          <w:lang w:val="en-US" w:eastAsia="zh-CN"/>
        </w:rPr>
      </w:pPr>
      <w:r>
        <w:rPr>
          <w:rFonts w:hint="eastAsia" w:ascii="Arial" w:hAnsi="Arial" w:eastAsia="宋体" w:cs="Arial"/>
          <w:color w:val="000000"/>
          <w:sz w:val="26"/>
          <w:szCs w:val="26"/>
          <w:lang w:eastAsia="zh-CN"/>
        </w:rPr>
        <w:t>（</w:t>
      </w:r>
      <w:r>
        <w:rPr>
          <w:rFonts w:hint="eastAsia" w:ascii="Arial" w:hAnsi="Arial" w:eastAsia="宋体" w:cs="Arial"/>
          <w:color w:val="000000"/>
          <w:sz w:val="26"/>
          <w:szCs w:val="26"/>
          <w:lang w:val="en-US" w:eastAsia="zh-CN"/>
        </w:rPr>
        <w:t>3）施工场地内设置车辆冲洗装置，对进出场车辆进行冲洗，避免带泥上路引起二次扬尘，限速限载。施工道路需硬化，石灰、袋装水泥等粉质物料和渣土等运输过程中加盖篷布，安排专人清扫道路，减少积尘量，并洒水抑尘。合理安排运输路线，按规定线路行驶，尽量避开居民集中分布区域。</w:t>
      </w:r>
    </w:p>
    <w:p w14:paraId="0475EC75">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eastAsia"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（4）混凝土拌合站水泥采取罐车运输、筒仓储存，筒仓上部安装仓顶除尘器，搅拌罐密闭设置，并洒水抑尘。</w:t>
      </w:r>
    </w:p>
    <w:p w14:paraId="2F7028D9">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eastAsia"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（5）露天堆放的水泥、砂石等易起尘粉质物料应当设置不低于堆高的密闭围栏并予以覆盖，</w:t>
      </w:r>
      <w:r>
        <w:rPr>
          <w:rFonts w:hint="eastAsia" w:ascii="Arial" w:hAnsi="Arial" w:eastAsia="宋体" w:cs="Arial"/>
          <w:color w:val="000000"/>
          <w:sz w:val="26"/>
          <w:szCs w:val="26"/>
          <w:lang w:eastAsia="zh-CN"/>
        </w:rPr>
        <w:t>并</w:t>
      </w:r>
      <w:r>
        <w:rPr>
          <w:rFonts w:hint="eastAsia" w:ascii="Arial" w:hAnsi="Arial" w:eastAsia="宋体" w:cs="Arial"/>
          <w:color w:val="000000"/>
          <w:sz w:val="26"/>
          <w:szCs w:val="26"/>
        </w:rPr>
        <w:t>对其进行洒水，提高表面含水率，也能起到抑尘的效果</w:t>
      </w:r>
      <w:r>
        <w:rPr>
          <w:rFonts w:hint="eastAsia" w:ascii="Arial" w:hAnsi="Arial" w:eastAsia="宋体" w:cs="Arial"/>
          <w:color w:val="000000"/>
          <w:sz w:val="26"/>
          <w:szCs w:val="26"/>
          <w:lang w:eastAsia="zh-CN"/>
        </w:rPr>
        <w:t>；</w:t>
      </w:r>
      <w:r>
        <w:rPr>
          <w:rFonts w:hint="eastAsia" w:ascii="Arial" w:hAnsi="Arial" w:eastAsia="宋体" w:cs="Arial"/>
          <w:color w:val="000000"/>
          <w:sz w:val="26"/>
          <w:szCs w:val="26"/>
          <w:lang w:val="en-US" w:eastAsia="zh-CN"/>
        </w:rPr>
        <w:t>禁止从3m以上高处抛撒物料。</w:t>
      </w:r>
    </w:p>
    <w:p w14:paraId="0D741DA7">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default"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（6）施工作业时间较长的区域，建议设置硬质围挡，以减轻粉尘对周围环境的影响</w:t>
      </w:r>
      <w:r>
        <w:rPr>
          <w:rFonts w:hint="eastAsia" w:ascii="Arial" w:hAnsi="Arial" w:eastAsia="宋体" w:cs="Arial"/>
          <w:color w:val="000000"/>
          <w:sz w:val="26"/>
          <w:szCs w:val="26"/>
        </w:rPr>
        <w:t>。</w:t>
      </w:r>
    </w:p>
    <w:p w14:paraId="51836566">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eastAsia"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（7）加强对施工机具、车辆的维护和保养，确保其处于良好的运行状态，以轻质柴油</w:t>
      </w:r>
      <w:r>
        <w:rPr>
          <w:rFonts w:hint="eastAsia" w:ascii="Arial" w:hAnsi="Arial" w:cs="Arial"/>
          <w:color w:val="000000"/>
          <w:sz w:val="26"/>
          <w:szCs w:val="26"/>
          <w:lang w:val="en-US" w:eastAsia="zh-CN"/>
        </w:rPr>
        <w:t>、汽油</w:t>
      </w:r>
      <w:r>
        <w:rPr>
          <w:rFonts w:hint="eastAsia" w:ascii="Arial" w:hAnsi="Arial" w:eastAsia="宋体" w:cs="Arial"/>
          <w:color w:val="000000"/>
          <w:sz w:val="26"/>
          <w:szCs w:val="26"/>
          <w:lang w:val="en-US" w:eastAsia="zh-CN"/>
        </w:rPr>
        <w:t>为燃料，减少燃油尾气的产生和排放量。</w:t>
      </w:r>
    </w:p>
    <w:p w14:paraId="34127A53">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default"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（8）合理安排施工作业时间，避开大风天气进行土石方挖填作业，</w:t>
      </w:r>
      <w:r>
        <w:rPr>
          <w:rFonts w:hint="eastAsia" w:ascii="Arial" w:hAnsi="Arial" w:cs="Arial"/>
          <w:kern w:val="0"/>
          <w:sz w:val="26"/>
          <w:szCs w:val="26"/>
          <w:lang w:val="en-US" w:eastAsia="zh-CN"/>
        </w:rPr>
        <w:t>分段施工，避免同步施工造成大面积裸露，引起风力扬尘；物料装卸过程中控制高度，洒水抑尘</w:t>
      </w:r>
      <w:r>
        <w:rPr>
          <w:rFonts w:hint="eastAsia" w:ascii="Arial" w:hAnsi="Arial" w:eastAsia="宋体" w:cs="Arial"/>
          <w:color w:val="000000"/>
          <w:sz w:val="26"/>
          <w:szCs w:val="26"/>
        </w:rPr>
        <w:t>。</w:t>
      </w:r>
    </w:p>
    <w:p w14:paraId="6EBA32C6">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default"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（9）对闲置3个月以上的施工区进行覆盖、简易铺装或绿化。</w:t>
      </w:r>
    </w:p>
    <w:p w14:paraId="59BF5BEB">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eastAsia"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（10）施工营地内以液化气、电等清洁能源为热能，烹饪油烟经油烟净化器收集处理后，引至超屋顶外排。生活垃圾定点存放，及时交市政部门处置，不得随意焚烧。</w:t>
      </w:r>
    </w:p>
    <w:p w14:paraId="7A9BA983">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default"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（11）开挖产生的土石方及时回填，无再利用价值的及时清运至弃渣场内夯实堆存，达到台阶设计堆存高度后，及时覆土绿化。</w:t>
      </w:r>
    </w:p>
    <w:p w14:paraId="4EBDB7DA">
      <w:pPr>
        <w:pStyle w:val="1873"/>
        <w:keepNext w:val="0"/>
        <w:keepLines w:val="0"/>
        <w:pageBreakBefore w:val="0"/>
        <w:widowControl w:val="0"/>
        <w:kinsoku/>
        <w:wordWrap/>
        <w:overflowPunct/>
        <w:topLinePunct w:val="0"/>
        <w:autoSpaceDE/>
        <w:autoSpaceDN/>
        <w:bidi w:val="0"/>
        <w:adjustRightInd w:val="0"/>
        <w:snapToGrid w:val="0"/>
        <w:spacing w:line="460" w:lineRule="exact"/>
        <w:ind w:firstLine="390" w:firstLineChars="150"/>
        <w:textAlignment w:val="auto"/>
        <w:rPr>
          <w:rFonts w:hint="default" w:ascii="Arial" w:hAnsi="Arial" w:eastAsia="宋体" w:cs="Arial"/>
          <w:color w:val="auto"/>
          <w:sz w:val="26"/>
          <w:szCs w:val="26"/>
          <w:lang w:val="en-US" w:eastAsia="zh-CN"/>
        </w:rPr>
      </w:pPr>
      <w:r>
        <w:rPr>
          <w:rFonts w:hint="eastAsia" w:ascii="Arial" w:hAnsi="Arial" w:cs="Arial"/>
          <w:color w:val="auto"/>
          <w:sz w:val="26"/>
          <w:szCs w:val="26"/>
          <w:lang w:val="en-US" w:eastAsia="zh-CN"/>
        </w:rPr>
        <w:t>（12）备用柴油发电机仅停电时临时启用，以轻质柴油为燃料，燃烧废气经自带排气筒外排。</w:t>
      </w:r>
    </w:p>
    <w:p w14:paraId="30D24799">
      <w:pPr>
        <w:pStyle w:val="1873"/>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color w:val="000000"/>
          <w:sz w:val="26"/>
          <w:szCs w:val="26"/>
          <w:lang w:val="en-US" w:eastAsia="zh-CN"/>
        </w:rPr>
      </w:pPr>
      <w:r>
        <w:rPr>
          <w:rFonts w:hint="eastAsia" w:ascii="Arial" w:hAnsi="Arial" w:eastAsia="宋体" w:cs="Arial"/>
          <w:color w:val="000000"/>
          <w:sz w:val="26"/>
          <w:szCs w:val="26"/>
          <w:lang w:val="en-US" w:eastAsia="zh-CN"/>
        </w:rPr>
        <w:t>在采取以上大气污染物防治措施后，可以有效抑制施工废气对环境的不良影响，对环境空气影响有限。</w:t>
      </w:r>
    </w:p>
    <w:p w14:paraId="5FD60782">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b/>
          <w:bCs/>
          <w:sz w:val="26"/>
          <w:szCs w:val="26"/>
          <w:lang w:val="en-US" w:eastAsia="zh-CN"/>
        </w:rPr>
        <w:t>7.1.4</w:t>
      </w:r>
      <w:r>
        <w:rPr>
          <w:rFonts w:hint="eastAsia" w:ascii="Arial" w:hAnsi="Arial" w:cs="Arial"/>
          <w:b/>
          <w:bCs/>
          <w:sz w:val="26"/>
          <w:szCs w:val="26"/>
          <w:lang w:val="en-US" w:eastAsia="zh-CN"/>
        </w:rPr>
        <w:t>声环境污染防治措施</w:t>
      </w:r>
    </w:p>
    <w:p w14:paraId="1D5CCE09">
      <w:pPr>
        <w:spacing w:line="460" w:lineRule="exact"/>
        <w:ind w:firstLine="520" w:firstLineChars="200"/>
        <w:rPr>
          <w:rFonts w:hint="eastAsia"/>
          <w:sz w:val="26"/>
          <w:szCs w:val="26"/>
        </w:rPr>
      </w:pPr>
      <w:r>
        <w:rPr>
          <w:rFonts w:hint="eastAsia" w:ascii="Arial" w:hAnsi="Arial" w:cs="Arial"/>
          <w:sz w:val="26"/>
          <w:szCs w:val="26"/>
        </w:rPr>
        <w:t>本项目施工</w:t>
      </w:r>
      <w:r>
        <w:rPr>
          <w:rFonts w:hint="eastAsia" w:ascii="Arial" w:cs="Arial"/>
          <w:sz w:val="26"/>
          <w:szCs w:val="26"/>
        </w:rPr>
        <w:t>过程中主要的噪声源为施工机具、运输车辆等。为减轻对周边居民、运输道路沿线居民声环境的影响，根据</w:t>
      </w:r>
      <w:r>
        <w:rPr>
          <w:rFonts w:hint="eastAsia"/>
          <w:sz w:val="26"/>
          <w:szCs w:val="26"/>
        </w:rPr>
        <w:t>《重庆市噪声污染防治办法》</w:t>
      </w:r>
      <w:r>
        <w:rPr>
          <w:rFonts w:hint="eastAsia"/>
          <w:sz w:val="26"/>
          <w:szCs w:val="26"/>
          <w:lang w:eastAsia="zh-CN"/>
        </w:rPr>
        <w:t>（渝府令</w:t>
      </w:r>
      <w:r>
        <w:rPr>
          <w:rFonts w:hint="default" w:ascii="Arial" w:hAnsi="Arial" w:eastAsia="宋体" w:cs="Arial"/>
          <w:sz w:val="26"/>
          <w:szCs w:val="26"/>
          <w:lang w:eastAsia="zh-CN"/>
        </w:rPr>
        <w:t>〔</w:t>
      </w:r>
      <w:r>
        <w:rPr>
          <w:rFonts w:hint="default" w:ascii="Arial" w:hAnsi="Arial" w:eastAsia="宋体" w:cs="Arial"/>
          <w:sz w:val="26"/>
          <w:szCs w:val="26"/>
          <w:lang w:val="en-US" w:eastAsia="zh-CN"/>
        </w:rPr>
        <w:t>2023</w:t>
      </w:r>
      <w:r>
        <w:rPr>
          <w:rFonts w:hint="default" w:ascii="Arial" w:hAnsi="Arial" w:eastAsia="宋体" w:cs="Arial"/>
          <w:sz w:val="26"/>
          <w:szCs w:val="26"/>
          <w:lang w:eastAsia="zh-CN"/>
        </w:rPr>
        <w:t>〕</w:t>
      </w:r>
      <w:r>
        <w:rPr>
          <w:rFonts w:hint="default" w:ascii="Arial" w:hAnsi="Arial" w:eastAsia="宋体" w:cs="Arial"/>
          <w:sz w:val="26"/>
          <w:szCs w:val="26"/>
          <w:lang w:val="en-US" w:eastAsia="zh-CN"/>
        </w:rPr>
        <w:t>363</w:t>
      </w:r>
      <w:r>
        <w:rPr>
          <w:rFonts w:hint="eastAsia" w:ascii="宋体" w:hAnsi="宋体" w:eastAsia="宋体" w:cs="宋体"/>
          <w:sz w:val="26"/>
          <w:szCs w:val="26"/>
          <w:lang w:val="en-US" w:eastAsia="zh-CN"/>
        </w:rPr>
        <w:t>号）</w:t>
      </w:r>
      <w:r>
        <w:rPr>
          <w:rFonts w:hint="eastAsia"/>
          <w:sz w:val="26"/>
          <w:szCs w:val="26"/>
        </w:rPr>
        <w:t>的相关要求，以及本项目建设的实际情况，拟采取以下措施：</w:t>
      </w:r>
    </w:p>
    <w:p w14:paraId="11C6B393">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eastAsia" w:ascii="Arial" w:hAnsi="Arial" w:eastAsia="宋体" w:cs="Arial"/>
          <w:kern w:val="0"/>
          <w:sz w:val="26"/>
          <w:szCs w:val="26"/>
          <w:lang w:val="en-US" w:eastAsia="zh-CN"/>
        </w:rPr>
      </w:pPr>
      <w:r>
        <w:rPr>
          <w:rFonts w:hint="eastAsia" w:ascii="Arial" w:hAnsi="Arial" w:eastAsia="宋体" w:cs="Arial"/>
          <w:kern w:val="0"/>
          <w:sz w:val="26"/>
          <w:szCs w:val="26"/>
          <w:lang w:val="en-US" w:eastAsia="zh-CN"/>
        </w:rPr>
        <w:t>（1）工程开工前15日，建设单位应向地方环境保护行政主管部门申报该工程名称、施工场所和期限，可能产生的环境噪声值，以及所采取的环境噪声污染防治措施情况，经环境保护行政主管部门批准后方能进行施工。</w:t>
      </w:r>
    </w:p>
    <w:p w14:paraId="3CF26583">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eastAsia" w:ascii="Arial" w:hAnsi="Arial" w:eastAsia="宋体" w:cs="Arial"/>
          <w:kern w:val="0"/>
          <w:sz w:val="26"/>
          <w:szCs w:val="26"/>
          <w:lang w:val="en-US" w:eastAsia="zh-CN"/>
        </w:rPr>
      </w:pPr>
      <w:r>
        <w:rPr>
          <w:rFonts w:hint="eastAsia" w:ascii="Arial" w:hAnsi="Arial" w:eastAsia="宋体" w:cs="Arial"/>
          <w:kern w:val="0"/>
          <w:sz w:val="26"/>
          <w:szCs w:val="26"/>
          <w:lang w:val="en-US" w:eastAsia="zh-CN"/>
        </w:rPr>
        <w:t>（2）优先选用低产噪设备，从根本上降低噪声源强，同时加强施工机械的维护保养，避免由于设备性能差而使机械噪声增大的现象发生。</w:t>
      </w:r>
    </w:p>
    <w:p w14:paraId="44DFD2C5">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default" w:ascii="Arial" w:hAnsi="Arial" w:eastAsia="宋体" w:cs="Arial"/>
          <w:kern w:val="0"/>
          <w:sz w:val="26"/>
          <w:szCs w:val="26"/>
          <w:lang w:val="en-US" w:eastAsia="zh-CN"/>
        </w:rPr>
      </w:pPr>
      <w:r>
        <w:rPr>
          <w:rFonts w:hint="eastAsia" w:ascii="Arial" w:hAnsi="Arial" w:eastAsia="宋体" w:cs="Arial"/>
          <w:kern w:val="0"/>
          <w:sz w:val="26"/>
          <w:szCs w:val="26"/>
          <w:lang w:val="en-US" w:eastAsia="zh-CN"/>
        </w:rPr>
        <w:t>（3）合理布局，合理安排施工作业强度，做好施工组织计划；施工场地内设置有综合加工厂、混凝土搅拌系统等可能产生高噪声的作业区域，应尽量远离敏感点布置，确实无法远离的，需加装临时隔声罩或者硬质围挡。</w:t>
      </w:r>
    </w:p>
    <w:p w14:paraId="06E1ECCC">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eastAsia" w:ascii="Arial" w:hAnsi="Arial" w:eastAsia="宋体" w:cs="Arial"/>
          <w:kern w:val="0"/>
          <w:sz w:val="26"/>
          <w:szCs w:val="26"/>
          <w:lang w:val="en-US" w:eastAsia="zh-CN"/>
        </w:rPr>
      </w:pPr>
      <w:r>
        <w:rPr>
          <w:rFonts w:hint="eastAsia" w:ascii="Arial" w:hAnsi="Arial" w:eastAsia="宋体" w:cs="Arial"/>
          <w:kern w:val="0"/>
          <w:sz w:val="26"/>
          <w:szCs w:val="26"/>
          <w:lang w:val="en-US" w:eastAsia="zh-CN"/>
        </w:rPr>
        <w:t>（4）物料、挖方运输安排在昼间进行，并尽量避开沿线居民休息时间；运输车辆途径居民点分布较为集中区域限速、禁鸣；并在主要节点安排专人负责运输车辆的组织和指挥，合理疏导，防止引起交通阻塞和交通噪声影响。</w:t>
      </w:r>
    </w:p>
    <w:p w14:paraId="5F862389">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default" w:ascii="Arial" w:hAnsi="Arial" w:eastAsia="宋体" w:cs="Arial"/>
          <w:kern w:val="0"/>
          <w:sz w:val="26"/>
          <w:szCs w:val="26"/>
          <w:lang w:val="en-US" w:eastAsia="zh-CN"/>
        </w:rPr>
      </w:pPr>
      <w:r>
        <w:rPr>
          <w:rFonts w:hint="eastAsia" w:ascii="Arial" w:hAnsi="Arial" w:eastAsia="宋体" w:cs="Arial"/>
          <w:kern w:val="0"/>
          <w:sz w:val="26"/>
          <w:szCs w:val="26"/>
          <w:lang w:val="en-US" w:eastAsia="zh-CN"/>
        </w:rPr>
        <w:t>（5）合理安排施工作业时间，尽量避开夜间施工，因施工工艺需要必须进行夜间施工时，施工单位应当取得城市管理或者住房城乡建设部门的证明。建设单位应当于开始施工1日前在施工现场显著位置公示或者以其他方式公告附近居民。除抢修、抢险作业外，中等学校招生考试、高等学校招生统一考试结束前15日内以及其他特殊活动期间，禁止夜间在噪声敏感建筑物集中区域进行产生噪声扰民的活动；中等学校招生考试、高等学校招生统一考试等特殊活动期间，禁止在考场周围100m区域内进行产生噪声扰民的活动。</w:t>
      </w:r>
    </w:p>
    <w:p w14:paraId="3FE3EAAE">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eastAsia" w:ascii="Arial" w:hAnsi="Arial" w:eastAsia="宋体" w:cs="Arial"/>
          <w:kern w:val="0"/>
          <w:sz w:val="26"/>
          <w:szCs w:val="26"/>
          <w:lang w:val="en-US" w:eastAsia="zh-CN"/>
        </w:rPr>
      </w:pPr>
      <w:r>
        <w:rPr>
          <w:rFonts w:hint="eastAsia" w:ascii="Arial" w:hAnsi="Arial" w:eastAsia="宋体" w:cs="Arial"/>
          <w:kern w:val="0"/>
          <w:sz w:val="26"/>
          <w:szCs w:val="26"/>
          <w:lang w:val="en-US" w:eastAsia="zh-CN"/>
        </w:rPr>
        <w:t>（6）加强对施工人员的宣传教育，轻拿轻放，物料装卸可采取铺设草垫的方式降低碰撞噪声。</w:t>
      </w:r>
    </w:p>
    <w:p w14:paraId="0276D09E">
      <w:pPr>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eastAsia" w:ascii="Arial" w:hAnsi="Arial" w:eastAsia="宋体" w:cs="Arial"/>
          <w:kern w:val="0"/>
          <w:sz w:val="26"/>
          <w:szCs w:val="26"/>
          <w:lang w:val="en-US" w:eastAsia="zh-CN"/>
        </w:rPr>
      </w:pPr>
      <w:r>
        <w:rPr>
          <w:rFonts w:hint="eastAsia" w:ascii="Arial" w:hAnsi="Arial" w:eastAsia="宋体" w:cs="Arial"/>
          <w:kern w:val="0"/>
          <w:sz w:val="26"/>
          <w:szCs w:val="26"/>
          <w:lang w:val="en-US" w:eastAsia="zh-CN"/>
        </w:rPr>
        <w:t>（7）施工单位需贯彻各项施工管理制度施工单位要确保施工噪声满足《建筑施工场界环境噪声排放标准》（</w:t>
      </w:r>
      <w:r>
        <w:rPr>
          <w:rFonts w:hint="default" w:ascii="Arial" w:hAnsi="Arial" w:eastAsia="宋体" w:cs="Arial"/>
          <w:kern w:val="0"/>
          <w:sz w:val="26"/>
          <w:szCs w:val="26"/>
          <w:lang w:val="en-US" w:eastAsia="zh-CN"/>
        </w:rPr>
        <w:t>GB12523-2011</w:t>
      </w:r>
      <w:r>
        <w:rPr>
          <w:rFonts w:hint="eastAsia" w:ascii="Arial" w:hAnsi="Arial" w:eastAsia="宋体" w:cs="Arial"/>
          <w:kern w:val="0"/>
          <w:sz w:val="26"/>
          <w:szCs w:val="26"/>
          <w:lang w:val="en-US" w:eastAsia="zh-CN"/>
        </w:rPr>
        <w:t>），在施工期应不定期地对声环境敏感点进行噪声监测。</w:t>
      </w:r>
    </w:p>
    <w:p w14:paraId="5C291F1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kern w:val="0"/>
          <w:sz w:val="26"/>
          <w:szCs w:val="26"/>
          <w:lang w:val="en-US" w:eastAsia="zh-CN"/>
        </w:rPr>
      </w:pPr>
      <w:r>
        <w:rPr>
          <w:rFonts w:hint="eastAsia" w:ascii="Arial" w:hAnsi="Arial" w:eastAsia="宋体" w:cs="Arial"/>
          <w:kern w:val="0"/>
          <w:sz w:val="26"/>
          <w:szCs w:val="26"/>
          <w:lang w:val="en-US" w:eastAsia="zh-CN"/>
        </w:rPr>
        <w:t>在采取上述降噪措施后，能最大限度的降低项目施工噪声对沿线区域声环境的影响。</w:t>
      </w:r>
    </w:p>
    <w:p w14:paraId="085A021E">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b/>
          <w:bCs/>
          <w:sz w:val="26"/>
          <w:szCs w:val="26"/>
          <w:lang w:val="en-US" w:eastAsia="zh-CN"/>
        </w:rPr>
        <w:t>7.1.5</w:t>
      </w:r>
      <w:r>
        <w:rPr>
          <w:rFonts w:hint="eastAsia" w:ascii="Arial" w:hAnsi="Arial" w:cs="Arial"/>
          <w:b/>
          <w:bCs/>
          <w:sz w:val="26"/>
          <w:szCs w:val="26"/>
          <w:lang w:val="en-US" w:eastAsia="zh-CN"/>
        </w:rPr>
        <w:t>固体废物处置措施</w:t>
      </w:r>
    </w:p>
    <w:p w14:paraId="7B068DBD">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Times New Roman" w:eastAsia="宋体" w:cs="Arial"/>
          <w:b w:val="0"/>
          <w:color w:val="auto"/>
          <w:kern w:val="2"/>
          <w:sz w:val="26"/>
          <w:szCs w:val="26"/>
          <w:lang w:val="en-US" w:eastAsia="zh-CN" w:bidi="ar-SA"/>
        </w:rPr>
      </w:pPr>
      <w:r>
        <w:rPr>
          <w:rFonts w:hint="eastAsia" w:ascii="Arial" w:hAnsi="Times New Roman" w:eastAsia="宋体" w:cs="Arial"/>
          <w:b w:val="0"/>
          <w:color w:val="auto"/>
          <w:kern w:val="2"/>
          <w:sz w:val="26"/>
          <w:szCs w:val="26"/>
          <w:lang w:val="en-US" w:eastAsia="zh-CN" w:bidi="ar-SA"/>
        </w:rPr>
        <w:t>施工期固体废物来自场地清理出的表土、开挖产生的弃渣、施工机械及运输车辆维修废油、施工人员产生的生活垃圾和餐厨垃圾，以及库区清理出的林木。</w:t>
      </w:r>
    </w:p>
    <w:p w14:paraId="04D63A8C">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eastAsia="宋体" w:cs="Arial"/>
          <w:b/>
          <w:bCs/>
          <w:sz w:val="26"/>
          <w:szCs w:val="26"/>
          <w:lang w:val="en-US" w:eastAsia="zh-CN"/>
        </w:rPr>
      </w:pPr>
      <w:r>
        <w:rPr>
          <w:rFonts w:hint="default" w:ascii="Arial" w:hAnsi="Arial" w:cs="Arial"/>
          <w:b/>
          <w:bCs/>
          <w:sz w:val="26"/>
          <w:szCs w:val="26"/>
          <w:lang w:eastAsia="zh-CN"/>
        </w:rPr>
        <w:t>（</w:t>
      </w:r>
      <w:r>
        <w:rPr>
          <w:rFonts w:hint="default" w:ascii="Arial" w:hAnsi="Arial" w:cs="Arial"/>
          <w:b/>
          <w:bCs/>
          <w:sz w:val="26"/>
          <w:szCs w:val="26"/>
          <w:lang w:val="en-US" w:eastAsia="zh-CN"/>
        </w:rPr>
        <w:t>1）表土</w:t>
      </w:r>
    </w:p>
    <w:p w14:paraId="1FF7E67B">
      <w:pPr>
        <w:spacing w:line="460" w:lineRule="exact"/>
        <w:ind w:firstLine="520" w:firstLineChars="200"/>
        <w:rPr>
          <w:rFonts w:hint="eastAsia" w:ascii="Times New Roman" w:hAnsi="Times New Roman" w:eastAsia="宋体" w:cs="Times New Roman"/>
          <w:sz w:val="26"/>
          <w:szCs w:val="26"/>
          <w:lang w:eastAsia="zh-CN"/>
        </w:rPr>
      </w:pPr>
      <w:r>
        <w:rPr>
          <w:rFonts w:hint="eastAsia" w:cs="Times New Roman"/>
          <w:sz w:val="26"/>
          <w:szCs w:val="26"/>
          <w:lang w:eastAsia="zh-CN"/>
        </w:rPr>
        <w:t>本项目施工期</w:t>
      </w:r>
      <w:r>
        <w:rPr>
          <w:rFonts w:hint="eastAsia" w:ascii="Arial" w:hAnsi="Arial" w:cs="Arial"/>
          <w:bCs/>
          <w:color w:val="auto"/>
          <w:sz w:val="26"/>
          <w:szCs w:val="26"/>
          <w:lang w:eastAsia="zh-CN"/>
        </w:rPr>
        <w:t>清表产生的表土约</w:t>
      </w:r>
      <w:r>
        <w:rPr>
          <w:rFonts w:hint="eastAsia" w:ascii="Arial" w:hAnsi="Arial" w:cs="Arial"/>
          <w:bCs/>
          <w:color w:val="auto"/>
          <w:sz w:val="26"/>
          <w:szCs w:val="26"/>
          <w:lang w:val="en-US" w:eastAsia="zh-CN"/>
        </w:rPr>
        <w:t>2.51万m</w:t>
      </w:r>
      <w:r>
        <w:rPr>
          <w:rFonts w:hint="eastAsia" w:ascii="Arial" w:hAnsi="Arial" w:cs="Arial"/>
          <w:bCs/>
          <w:color w:val="auto"/>
          <w:sz w:val="26"/>
          <w:szCs w:val="26"/>
          <w:vertAlign w:val="superscript"/>
          <w:lang w:val="en-US" w:eastAsia="zh-CN"/>
        </w:rPr>
        <w:t>3</w:t>
      </w:r>
      <w:r>
        <w:rPr>
          <w:rFonts w:hint="eastAsia" w:ascii="Arial" w:hAnsi="Arial" w:cs="Arial"/>
          <w:bCs/>
          <w:color w:val="auto"/>
          <w:sz w:val="26"/>
          <w:szCs w:val="26"/>
          <w:lang w:val="en-US" w:eastAsia="zh-CN"/>
        </w:rPr>
        <w:t>，集中收集后，分区暂存于项目所设弃渣场内，后期全部用作绿化覆土，不外排。</w:t>
      </w:r>
    </w:p>
    <w:p w14:paraId="7D670AC6">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eastAsia="宋体" w:cs="Arial"/>
          <w:b/>
          <w:bCs/>
          <w:sz w:val="26"/>
          <w:szCs w:val="26"/>
          <w:lang w:val="en-US" w:eastAsia="zh-CN"/>
        </w:rPr>
      </w:pPr>
      <w:r>
        <w:rPr>
          <w:rFonts w:hint="default" w:ascii="Arial" w:hAnsi="Arial" w:cs="Arial"/>
          <w:b/>
          <w:bCs/>
          <w:sz w:val="26"/>
          <w:szCs w:val="26"/>
          <w:lang w:eastAsia="zh-CN"/>
        </w:rPr>
        <w:t>（</w:t>
      </w:r>
      <w:r>
        <w:rPr>
          <w:rFonts w:hint="eastAsia" w:ascii="Arial" w:hAnsi="Arial" w:cs="Arial"/>
          <w:b/>
          <w:bCs/>
          <w:sz w:val="26"/>
          <w:szCs w:val="26"/>
          <w:lang w:val="en-US" w:eastAsia="zh-CN"/>
        </w:rPr>
        <w:t>2</w:t>
      </w:r>
      <w:r>
        <w:rPr>
          <w:rFonts w:hint="default" w:ascii="Arial" w:hAnsi="Arial" w:cs="Arial"/>
          <w:b/>
          <w:bCs/>
          <w:sz w:val="26"/>
          <w:szCs w:val="26"/>
          <w:lang w:val="en-US" w:eastAsia="zh-CN"/>
        </w:rPr>
        <w:t>）</w:t>
      </w:r>
      <w:r>
        <w:rPr>
          <w:rFonts w:hint="eastAsia" w:ascii="Arial" w:hAnsi="Arial" w:cs="Arial"/>
          <w:b/>
          <w:bCs/>
          <w:sz w:val="26"/>
          <w:szCs w:val="26"/>
          <w:lang w:val="en-US" w:eastAsia="zh-CN"/>
        </w:rPr>
        <w:t>弃渣</w:t>
      </w:r>
    </w:p>
    <w:p w14:paraId="092C6E40">
      <w:pPr>
        <w:spacing w:line="460" w:lineRule="exact"/>
        <w:ind w:firstLine="520" w:firstLineChars="200"/>
        <w:rPr>
          <w:rFonts w:hint="eastAsia" w:ascii="Arial" w:hAnsi="Arial" w:cs="Arial"/>
          <w:bCs/>
          <w:color w:val="auto"/>
          <w:sz w:val="26"/>
          <w:szCs w:val="26"/>
          <w:lang w:val="en-US" w:eastAsia="zh-CN"/>
        </w:rPr>
      </w:pPr>
      <w:r>
        <w:rPr>
          <w:rFonts w:hint="eastAsia" w:cs="Times New Roman"/>
          <w:sz w:val="26"/>
          <w:szCs w:val="26"/>
          <w:lang w:eastAsia="zh-CN"/>
        </w:rPr>
        <w:t>经挖填平衡后，本项目施工期枢纽工程、输水工程弃渣产生量合计为</w:t>
      </w:r>
      <w:r>
        <w:rPr>
          <w:rFonts w:hint="eastAsia" w:ascii="Arial" w:hAnsi="Arial" w:cs="Arial"/>
          <w:bCs/>
          <w:color w:val="auto"/>
          <w:sz w:val="26"/>
          <w:szCs w:val="26"/>
          <w:lang w:val="en-US" w:eastAsia="zh-CN"/>
        </w:rPr>
        <w:t>6.81万m</w:t>
      </w:r>
      <w:r>
        <w:rPr>
          <w:rFonts w:hint="eastAsia" w:ascii="Arial" w:hAnsi="Arial" w:cs="Arial"/>
          <w:bCs/>
          <w:color w:val="auto"/>
          <w:sz w:val="26"/>
          <w:szCs w:val="26"/>
          <w:vertAlign w:val="superscript"/>
          <w:lang w:val="en-US" w:eastAsia="zh-CN"/>
        </w:rPr>
        <w:t>3</w:t>
      </w:r>
      <w:r>
        <w:rPr>
          <w:rFonts w:hint="eastAsia" w:ascii="Arial" w:hAnsi="Arial" w:cs="Arial"/>
          <w:bCs/>
          <w:color w:val="auto"/>
          <w:sz w:val="26"/>
          <w:szCs w:val="26"/>
          <w:lang w:val="en-US" w:eastAsia="zh-CN"/>
        </w:rPr>
        <w:t>。采取汽车清运至项目所设弃渣场内填埋处置，弃渣前按规定修建挡墙、截排水沟、沉砂池等环保设施，分台阶堆存后及时覆土绿化</w:t>
      </w:r>
      <w:r>
        <w:rPr>
          <w:rFonts w:hint="eastAsia" w:ascii="Arial" w:hAnsi="宋体" w:cs="Arial"/>
          <w:color w:val="auto"/>
          <w:sz w:val="26"/>
          <w:szCs w:val="26"/>
        </w:rPr>
        <w:t>，对周边环境产生影响较小</w:t>
      </w:r>
      <w:r>
        <w:rPr>
          <w:rFonts w:hint="eastAsia" w:ascii="Arial" w:hAnsi="Arial" w:cs="Arial"/>
          <w:bCs/>
          <w:color w:val="auto"/>
          <w:sz w:val="26"/>
          <w:szCs w:val="26"/>
          <w:lang w:val="en-US" w:eastAsia="zh-CN"/>
        </w:rPr>
        <w:t>。</w:t>
      </w:r>
      <w:r>
        <w:rPr>
          <w:rFonts w:hint="eastAsia" w:ascii="Arial" w:cs="Arial"/>
          <w:bCs/>
          <w:color w:val="auto"/>
          <w:sz w:val="26"/>
        </w:rPr>
        <w:t>同时，输水管线施工段应设置临时围挡，严格控制施工活动，做好废弃土石方的暂存、清运工作，严禁向河道内倾倒废渣，减轻对</w:t>
      </w:r>
      <w:r>
        <w:rPr>
          <w:rFonts w:hint="eastAsia" w:ascii="Arial" w:cs="Arial"/>
          <w:bCs/>
          <w:color w:val="auto"/>
          <w:sz w:val="26"/>
          <w:lang w:eastAsia="zh-CN"/>
        </w:rPr>
        <w:t>河道水质、水生生态的</w:t>
      </w:r>
      <w:r>
        <w:rPr>
          <w:rFonts w:hint="eastAsia" w:ascii="Arial" w:cs="Arial"/>
          <w:bCs/>
          <w:color w:val="auto"/>
          <w:sz w:val="26"/>
        </w:rPr>
        <w:t>影响。</w:t>
      </w:r>
    </w:p>
    <w:p w14:paraId="2D85FEFF">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eastAsia="宋体" w:cs="Arial"/>
          <w:b/>
          <w:bCs/>
          <w:sz w:val="26"/>
          <w:szCs w:val="26"/>
          <w:lang w:val="en-US" w:eastAsia="zh-CN"/>
        </w:rPr>
      </w:pPr>
      <w:r>
        <w:rPr>
          <w:rFonts w:hint="default" w:ascii="Arial" w:hAnsi="Arial" w:cs="Arial"/>
          <w:b/>
          <w:bCs/>
          <w:sz w:val="26"/>
          <w:szCs w:val="26"/>
          <w:lang w:eastAsia="zh-CN"/>
        </w:rPr>
        <w:t>（</w:t>
      </w:r>
      <w:r>
        <w:rPr>
          <w:rFonts w:hint="eastAsia" w:ascii="Arial" w:hAnsi="Arial" w:cs="Arial"/>
          <w:b/>
          <w:bCs/>
          <w:sz w:val="26"/>
          <w:szCs w:val="26"/>
          <w:lang w:val="en-US" w:eastAsia="zh-CN"/>
        </w:rPr>
        <w:t>3</w:t>
      </w:r>
      <w:r>
        <w:rPr>
          <w:rFonts w:hint="default" w:ascii="Arial" w:hAnsi="Arial" w:cs="Arial"/>
          <w:b/>
          <w:bCs/>
          <w:sz w:val="26"/>
          <w:szCs w:val="26"/>
          <w:lang w:val="en-US" w:eastAsia="zh-CN"/>
        </w:rPr>
        <w:t>）</w:t>
      </w:r>
      <w:r>
        <w:rPr>
          <w:rFonts w:hint="eastAsia" w:ascii="Arial" w:hAnsi="Arial" w:cs="Arial"/>
          <w:b/>
          <w:bCs/>
          <w:sz w:val="26"/>
          <w:szCs w:val="26"/>
          <w:lang w:val="en-US" w:eastAsia="zh-CN"/>
        </w:rPr>
        <w:t>生活垃圾</w:t>
      </w:r>
    </w:p>
    <w:p w14:paraId="42FDD35F">
      <w:pPr>
        <w:spacing w:line="460" w:lineRule="exact"/>
        <w:ind w:firstLine="520" w:firstLineChars="200"/>
        <w:rPr>
          <w:rFonts w:hint="eastAsia" w:cs="Times New Roman"/>
          <w:sz w:val="26"/>
          <w:szCs w:val="26"/>
          <w:lang w:eastAsia="zh-CN"/>
        </w:rPr>
      </w:pPr>
      <w:r>
        <w:rPr>
          <w:rFonts w:hint="eastAsia" w:cs="Times New Roman"/>
          <w:sz w:val="26"/>
          <w:szCs w:val="26"/>
          <w:lang w:eastAsia="zh-CN"/>
        </w:rPr>
        <w:t>各施工区内施工人员生活垃圾应定点收集，统一交当地环卫部门清运处置。生活垃圾暂存过程中应定期喷洒消毒剂，以防止苍蝇等害虫滋生。</w:t>
      </w:r>
    </w:p>
    <w:p w14:paraId="31FC21CA">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eastAsia="宋体" w:cs="Arial"/>
          <w:b/>
          <w:bCs/>
          <w:sz w:val="26"/>
          <w:szCs w:val="26"/>
          <w:lang w:val="en-US" w:eastAsia="zh-CN"/>
        </w:rPr>
      </w:pPr>
      <w:r>
        <w:rPr>
          <w:rFonts w:hint="default" w:ascii="Arial" w:hAnsi="Arial" w:cs="Arial"/>
          <w:b/>
          <w:bCs/>
          <w:sz w:val="26"/>
          <w:szCs w:val="26"/>
          <w:lang w:eastAsia="zh-CN"/>
        </w:rPr>
        <w:t>（</w:t>
      </w:r>
      <w:r>
        <w:rPr>
          <w:rFonts w:hint="eastAsia" w:ascii="Arial" w:hAnsi="Arial" w:cs="Arial"/>
          <w:b/>
          <w:bCs/>
          <w:sz w:val="26"/>
          <w:szCs w:val="26"/>
          <w:lang w:val="en-US" w:eastAsia="zh-CN"/>
        </w:rPr>
        <w:t>4</w:t>
      </w:r>
      <w:r>
        <w:rPr>
          <w:rFonts w:hint="default" w:ascii="Arial" w:hAnsi="Arial" w:cs="Arial"/>
          <w:b/>
          <w:bCs/>
          <w:sz w:val="26"/>
          <w:szCs w:val="26"/>
          <w:lang w:val="en-US" w:eastAsia="zh-CN"/>
        </w:rPr>
        <w:t>）</w:t>
      </w:r>
      <w:r>
        <w:rPr>
          <w:rFonts w:hint="eastAsia" w:ascii="Arial" w:hAnsi="Arial" w:cs="Arial"/>
          <w:b/>
          <w:bCs/>
          <w:sz w:val="26"/>
          <w:szCs w:val="26"/>
          <w:lang w:val="en-US" w:eastAsia="zh-CN"/>
        </w:rPr>
        <w:t>餐厨垃圾</w:t>
      </w:r>
    </w:p>
    <w:p w14:paraId="68BCFAA6">
      <w:pPr>
        <w:spacing w:line="460" w:lineRule="exact"/>
        <w:ind w:firstLine="520" w:firstLineChars="200"/>
        <w:rPr>
          <w:rFonts w:hint="eastAsia" w:ascii="Arial" w:hAnsi="Arial" w:cs="Arial"/>
          <w:bCs/>
          <w:color w:val="auto"/>
          <w:sz w:val="26"/>
          <w:szCs w:val="26"/>
          <w:lang w:val="en-US" w:eastAsia="zh-CN"/>
        </w:rPr>
      </w:pPr>
      <w:r>
        <w:rPr>
          <w:rFonts w:hint="eastAsia" w:ascii="Arial" w:hAnsi="Arial" w:cs="Arial"/>
          <w:bCs/>
          <w:color w:val="auto"/>
          <w:sz w:val="26"/>
          <w:szCs w:val="26"/>
          <w:lang w:val="en-US" w:eastAsia="zh-CN"/>
        </w:rPr>
        <w:t>施工营地内餐厨垃圾应</w:t>
      </w:r>
      <w:r>
        <w:rPr>
          <w:rFonts w:hint="eastAsia" w:ascii="Arial" w:hAnsi="Arial" w:cs="Arial"/>
          <w:color w:val="auto"/>
          <w:sz w:val="26"/>
          <w:szCs w:val="26"/>
        </w:rPr>
        <w:t>桶装收集后，交有资质的单位清运处置。</w:t>
      </w:r>
    </w:p>
    <w:p w14:paraId="51CCFB76">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eastAsia="宋体" w:cs="Arial"/>
          <w:b/>
          <w:bCs/>
          <w:sz w:val="26"/>
          <w:szCs w:val="26"/>
          <w:lang w:val="en-US" w:eastAsia="zh-CN"/>
        </w:rPr>
      </w:pPr>
      <w:r>
        <w:rPr>
          <w:rFonts w:hint="default" w:ascii="Arial" w:hAnsi="Arial" w:cs="Arial"/>
          <w:b/>
          <w:bCs/>
          <w:sz w:val="26"/>
          <w:szCs w:val="26"/>
          <w:lang w:eastAsia="zh-CN"/>
        </w:rPr>
        <w:t>（</w:t>
      </w:r>
      <w:r>
        <w:rPr>
          <w:rFonts w:hint="eastAsia" w:ascii="Arial" w:hAnsi="Arial" w:cs="Arial"/>
          <w:b/>
          <w:bCs/>
          <w:sz w:val="26"/>
          <w:szCs w:val="26"/>
          <w:lang w:val="en-US" w:eastAsia="zh-CN"/>
        </w:rPr>
        <w:t>5</w:t>
      </w:r>
      <w:r>
        <w:rPr>
          <w:rFonts w:hint="default" w:ascii="Arial" w:hAnsi="Arial" w:cs="Arial"/>
          <w:b/>
          <w:bCs/>
          <w:sz w:val="26"/>
          <w:szCs w:val="26"/>
          <w:lang w:val="en-US" w:eastAsia="zh-CN"/>
        </w:rPr>
        <w:t>）</w:t>
      </w:r>
      <w:r>
        <w:rPr>
          <w:rFonts w:hint="eastAsia" w:ascii="Arial" w:hAnsi="Arial" w:cs="Arial"/>
          <w:b/>
          <w:bCs/>
          <w:sz w:val="26"/>
          <w:szCs w:val="26"/>
          <w:lang w:val="en-US" w:eastAsia="zh-CN"/>
        </w:rPr>
        <w:t>废油</w:t>
      </w:r>
    </w:p>
    <w:p w14:paraId="489E9696">
      <w:pPr>
        <w:spacing w:line="460" w:lineRule="exact"/>
        <w:ind w:firstLine="520" w:firstLineChars="200"/>
        <w:rPr>
          <w:rFonts w:hint="eastAsia" w:ascii="Arial" w:hAnsi="Arial" w:cs="Arial"/>
          <w:color w:val="auto"/>
          <w:sz w:val="26"/>
          <w:szCs w:val="26"/>
        </w:rPr>
      </w:pPr>
      <w:r>
        <w:rPr>
          <w:rFonts w:hint="eastAsia" w:ascii="Arial" w:hAnsi="Arial" w:cs="Arial"/>
          <w:color w:val="auto"/>
          <w:sz w:val="26"/>
          <w:szCs w:val="26"/>
        </w:rPr>
        <w:t>施工机械及运输车辆检修、维修等产生少量废油，</w:t>
      </w:r>
      <w:r>
        <w:rPr>
          <w:rFonts w:hint="eastAsia" w:ascii="Arial" w:hAnsi="Arial" w:cs="Arial"/>
          <w:color w:val="auto"/>
          <w:sz w:val="26"/>
          <w:szCs w:val="26"/>
          <w:lang w:eastAsia="zh-CN"/>
        </w:rPr>
        <w:t>属于危险废物，桶装收集后，</w:t>
      </w:r>
      <w:r>
        <w:rPr>
          <w:rFonts w:hint="eastAsia" w:ascii="Arial" w:hAnsi="Arial" w:cs="Arial"/>
          <w:color w:val="auto"/>
          <w:sz w:val="26"/>
          <w:szCs w:val="26"/>
        </w:rPr>
        <w:t>暂存于施工</w:t>
      </w:r>
      <w:r>
        <w:rPr>
          <w:rFonts w:hint="eastAsia" w:ascii="Arial" w:hAnsi="Arial" w:cs="Arial"/>
          <w:color w:val="auto"/>
          <w:sz w:val="26"/>
          <w:szCs w:val="26"/>
          <w:lang w:eastAsia="zh-CN"/>
        </w:rPr>
        <w:t>场地</w:t>
      </w:r>
      <w:r>
        <w:rPr>
          <w:rFonts w:hint="eastAsia" w:ascii="Arial" w:hAnsi="Arial" w:cs="Arial"/>
          <w:color w:val="auto"/>
          <w:sz w:val="26"/>
          <w:szCs w:val="26"/>
        </w:rPr>
        <w:t>内独立设置的危废</w:t>
      </w:r>
      <w:r>
        <w:rPr>
          <w:rFonts w:hint="eastAsia" w:ascii="Arial" w:hAnsi="Arial" w:cs="Arial"/>
          <w:color w:val="auto"/>
          <w:sz w:val="26"/>
          <w:szCs w:val="26"/>
          <w:lang w:eastAsia="zh-CN"/>
        </w:rPr>
        <w:t>贮存区内</w:t>
      </w:r>
      <w:r>
        <w:rPr>
          <w:rFonts w:hint="eastAsia" w:ascii="Arial" w:hAnsi="Arial" w:cs="Arial"/>
          <w:color w:val="auto"/>
          <w:sz w:val="26"/>
          <w:szCs w:val="26"/>
        </w:rPr>
        <w:t>，按规定进行“</w:t>
      </w:r>
      <w:r>
        <w:rPr>
          <w:rFonts w:hint="eastAsia" w:ascii="Arial" w:hAnsi="Arial" w:cs="Arial"/>
          <w:color w:val="auto"/>
          <w:sz w:val="26"/>
          <w:szCs w:val="26"/>
          <w:lang w:eastAsia="zh-CN"/>
        </w:rPr>
        <w:t>六</w:t>
      </w:r>
      <w:r>
        <w:rPr>
          <w:rFonts w:hint="eastAsia" w:ascii="Arial" w:hAnsi="Arial" w:cs="Arial"/>
          <w:color w:val="auto"/>
          <w:sz w:val="26"/>
          <w:szCs w:val="26"/>
        </w:rPr>
        <w:t>防”处置，最终交有有资质的单位回收处置。</w:t>
      </w:r>
    </w:p>
    <w:p w14:paraId="6733F9D3">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Arial" w:eastAsia="宋体" w:cs="Arial"/>
          <w:b/>
          <w:bCs/>
          <w:sz w:val="26"/>
          <w:szCs w:val="26"/>
          <w:lang w:val="en-US" w:eastAsia="zh-CN"/>
        </w:rPr>
      </w:pPr>
      <w:r>
        <w:rPr>
          <w:rFonts w:hint="default" w:ascii="Arial" w:hAnsi="Arial" w:cs="Arial"/>
          <w:b/>
          <w:bCs/>
          <w:sz w:val="26"/>
          <w:szCs w:val="26"/>
          <w:lang w:eastAsia="zh-CN"/>
        </w:rPr>
        <w:t>（</w:t>
      </w:r>
      <w:r>
        <w:rPr>
          <w:rFonts w:hint="eastAsia" w:ascii="Arial" w:hAnsi="Arial" w:cs="Arial"/>
          <w:b/>
          <w:bCs/>
          <w:sz w:val="26"/>
          <w:szCs w:val="26"/>
          <w:lang w:val="en-US" w:eastAsia="zh-CN"/>
        </w:rPr>
        <w:t>6</w:t>
      </w:r>
      <w:r>
        <w:rPr>
          <w:rFonts w:hint="default" w:ascii="Arial" w:hAnsi="Arial" w:cs="Arial"/>
          <w:b/>
          <w:bCs/>
          <w:sz w:val="26"/>
          <w:szCs w:val="26"/>
          <w:lang w:val="en-US" w:eastAsia="zh-CN"/>
        </w:rPr>
        <w:t>）</w:t>
      </w:r>
      <w:r>
        <w:rPr>
          <w:rFonts w:hint="eastAsia" w:ascii="Arial" w:hAnsi="Arial" w:cs="Arial"/>
          <w:b/>
          <w:bCs/>
          <w:sz w:val="26"/>
          <w:szCs w:val="26"/>
          <w:lang w:val="en-US" w:eastAsia="zh-CN"/>
        </w:rPr>
        <w:t>清库垃圾</w:t>
      </w:r>
    </w:p>
    <w:p w14:paraId="47E4080D">
      <w:pPr>
        <w:spacing w:line="460" w:lineRule="exact"/>
        <w:ind w:firstLine="520" w:firstLineChars="200"/>
        <w:rPr>
          <w:rFonts w:hint="eastAsia" w:ascii="Arial" w:hAnsi="Arial" w:cs="Arial"/>
          <w:color w:val="auto"/>
          <w:sz w:val="26"/>
          <w:szCs w:val="26"/>
        </w:rPr>
      </w:pPr>
      <w:r>
        <w:rPr>
          <w:rFonts w:hint="eastAsia" w:ascii="Arial" w:hAnsi="宋体" w:cs="Arial"/>
          <w:color w:val="auto"/>
          <w:sz w:val="26"/>
          <w:szCs w:val="26"/>
        </w:rPr>
        <w:t>清理出来的废物按要求进行分类收集，建筑垃圾运至弃渣场处置，生活垃圾等运至当地垃圾填埋场处置，林木外卖综合利用，运输过程中需加盖、遮挡，避免二次污染，不得擅自丢弃或违法处置，对环境影响小。</w:t>
      </w:r>
    </w:p>
    <w:p w14:paraId="072EA34E">
      <w:pPr>
        <w:spacing w:line="460" w:lineRule="exact"/>
        <w:ind w:firstLine="520" w:firstLineChars="200"/>
        <w:rPr>
          <w:rFonts w:hint="eastAsia" w:ascii="Arial" w:hAnsi="Arial" w:cs="Arial"/>
          <w:color w:val="auto"/>
          <w:sz w:val="26"/>
          <w:szCs w:val="26"/>
          <w:lang w:eastAsia="zh-CN"/>
        </w:rPr>
      </w:pPr>
      <w:r>
        <w:rPr>
          <w:rFonts w:hint="eastAsia" w:ascii="Arial" w:hAnsi="Arial" w:cs="Arial"/>
          <w:color w:val="auto"/>
          <w:sz w:val="26"/>
          <w:szCs w:val="26"/>
          <w:lang w:eastAsia="zh-CN"/>
        </w:rPr>
        <w:t>综上所述，本项目施工期各类固体废物均得到了合理有效的处置，不会对区域外环境造成二次污染。</w:t>
      </w:r>
    </w:p>
    <w:p w14:paraId="7117AA00">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b/>
          <w:bCs/>
          <w:sz w:val="26"/>
          <w:szCs w:val="26"/>
          <w:lang w:val="en-US" w:eastAsia="zh-CN"/>
        </w:rPr>
        <w:t>7.1.</w:t>
      </w:r>
      <w:r>
        <w:rPr>
          <w:rFonts w:hint="eastAsia" w:ascii="Arial" w:hAnsi="Arial" w:cs="Arial"/>
          <w:b/>
          <w:bCs/>
          <w:sz w:val="26"/>
          <w:szCs w:val="26"/>
          <w:lang w:val="en-US" w:eastAsia="zh-CN"/>
        </w:rPr>
        <w:t>6环境风险防范措施</w:t>
      </w:r>
    </w:p>
    <w:p w14:paraId="02484A60">
      <w:pPr>
        <w:pStyle w:val="1873"/>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390" w:firstLineChars="150"/>
        <w:textAlignment w:val="auto"/>
        <w:rPr>
          <w:rFonts w:hint="eastAsia" w:ascii="Arial" w:hAnsi="Arial" w:eastAsia="宋体" w:cs="Arial"/>
          <w:color w:val="auto"/>
          <w:kern w:val="2"/>
          <w:sz w:val="26"/>
          <w:szCs w:val="26"/>
          <w:lang w:val="en-US" w:eastAsia="zh-CN" w:bidi="ar-SA"/>
        </w:rPr>
      </w:pPr>
      <w:r>
        <w:rPr>
          <w:rFonts w:hint="eastAsia" w:ascii="Arial" w:hAnsi="Arial" w:cs="Arial"/>
          <w:color w:val="auto"/>
          <w:sz w:val="26"/>
          <w:szCs w:val="26"/>
          <w:lang w:eastAsia="zh-CN"/>
        </w:rPr>
        <w:t>本项目施工期环境风险物质主要有枢纽工程施工区内暂存的施工机械用燃油，包括柴油、汽油。</w:t>
      </w:r>
      <w:r>
        <w:rPr>
          <w:rFonts w:hint="eastAsia" w:ascii="Arial" w:hAnsi="Arial" w:cs="Arial"/>
          <w:color w:val="auto"/>
          <w:sz w:val="26"/>
          <w:szCs w:val="26"/>
          <w:highlight w:val="none"/>
          <w:lang w:val="en-US" w:eastAsia="zh-CN"/>
        </w:rPr>
        <w:t>燃油均</w:t>
      </w:r>
      <w:r>
        <w:rPr>
          <w:rFonts w:hint="eastAsia" w:ascii="Arial" w:hAnsi="Arial" w:eastAsia="宋体" w:cs="Arial"/>
          <w:color w:val="auto"/>
          <w:sz w:val="26"/>
          <w:szCs w:val="26"/>
          <w:highlight w:val="none"/>
          <w:lang w:val="en-US" w:eastAsia="zh-CN"/>
        </w:rPr>
        <w:t>采取</w:t>
      </w:r>
      <w:r>
        <w:rPr>
          <w:rFonts w:hint="eastAsia" w:ascii="Arial" w:hAnsi="Arial" w:cs="Arial"/>
          <w:color w:val="auto"/>
          <w:sz w:val="26"/>
          <w:szCs w:val="26"/>
          <w:highlight w:val="none"/>
          <w:lang w:val="en-US" w:eastAsia="zh-CN"/>
        </w:rPr>
        <w:t>桶装密闭储存</w:t>
      </w:r>
      <w:r>
        <w:rPr>
          <w:rFonts w:hint="eastAsia" w:ascii="Arial" w:hAnsi="Arial" w:eastAsia="宋体" w:cs="Arial"/>
          <w:color w:val="auto"/>
          <w:sz w:val="26"/>
          <w:szCs w:val="26"/>
          <w:highlight w:val="none"/>
          <w:lang w:val="en-US" w:eastAsia="zh-CN"/>
        </w:rPr>
        <w:t>，</w:t>
      </w:r>
      <w:r>
        <w:rPr>
          <w:rFonts w:hint="eastAsia" w:ascii="Arial" w:hAnsi="Arial" w:cs="Arial"/>
          <w:color w:val="auto"/>
          <w:sz w:val="26"/>
          <w:szCs w:val="26"/>
          <w:highlight w:val="none"/>
          <w:lang w:val="en-US" w:eastAsia="zh-CN"/>
        </w:rPr>
        <w:t>暂存区四周设围堰，围堰和地面均进行重点防渗处置；</w:t>
      </w:r>
      <w:r>
        <w:rPr>
          <w:rFonts w:hint="eastAsia" w:ascii="Arial" w:hAnsi="Arial" w:eastAsia="宋体" w:cs="Arial"/>
          <w:color w:val="auto"/>
          <w:sz w:val="26"/>
          <w:szCs w:val="26"/>
          <w:highlight w:val="none"/>
          <w:lang w:val="en-US" w:eastAsia="zh-CN"/>
        </w:rPr>
        <w:t>配置灭火器、消防砂、铁铲</w:t>
      </w:r>
      <w:r>
        <w:rPr>
          <w:rFonts w:hint="eastAsia" w:ascii="Arial" w:hAnsi="Arial" w:cs="Arial"/>
          <w:color w:val="auto"/>
          <w:sz w:val="26"/>
          <w:szCs w:val="26"/>
          <w:highlight w:val="none"/>
          <w:lang w:val="en-US" w:eastAsia="zh-CN"/>
        </w:rPr>
        <w:t>、铁桶</w:t>
      </w:r>
      <w:r>
        <w:rPr>
          <w:rFonts w:hint="eastAsia" w:ascii="Arial" w:hAnsi="Arial" w:eastAsia="宋体" w:cs="Arial"/>
          <w:color w:val="auto"/>
          <w:sz w:val="26"/>
          <w:szCs w:val="26"/>
          <w:highlight w:val="none"/>
          <w:lang w:val="en-US" w:eastAsia="zh-CN"/>
        </w:rPr>
        <w:t>的应急物资</w:t>
      </w:r>
      <w:r>
        <w:rPr>
          <w:rFonts w:hint="eastAsia" w:ascii="Arial" w:hAnsi="Arial" w:cs="Arial"/>
          <w:color w:val="auto"/>
          <w:sz w:val="26"/>
          <w:szCs w:val="26"/>
          <w:highlight w:val="none"/>
          <w:lang w:val="en-US" w:eastAsia="zh-CN"/>
        </w:rPr>
        <w:t>，远离火源；</w:t>
      </w:r>
      <w:r>
        <w:rPr>
          <w:rFonts w:hint="eastAsia" w:ascii="Arial" w:hAnsi="Arial" w:cs="Arial"/>
          <w:color w:val="auto"/>
          <w:sz w:val="26"/>
          <w:szCs w:val="26"/>
          <w:highlight w:val="none"/>
        </w:rPr>
        <w:t>建立日常巡检制度，一旦发现</w:t>
      </w:r>
      <w:r>
        <w:rPr>
          <w:rFonts w:hint="eastAsia" w:ascii="Arial" w:hAnsi="Arial" w:cs="Arial"/>
          <w:color w:val="auto"/>
          <w:sz w:val="26"/>
          <w:szCs w:val="26"/>
          <w:highlight w:val="none"/>
          <w:lang w:eastAsia="zh-CN"/>
        </w:rPr>
        <w:t>储罐</w:t>
      </w:r>
      <w:r>
        <w:rPr>
          <w:rFonts w:hint="eastAsia" w:ascii="Arial" w:hAnsi="Arial" w:cs="Arial"/>
          <w:color w:val="auto"/>
          <w:sz w:val="26"/>
          <w:szCs w:val="26"/>
          <w:highlight w:val="none"/>
        </w:rPr>
        <w:t>破损，立即对</w:t>
      </w:r>
      <w:r>
        <w:rPr>
          <w:rFonts w:hint="eastAsia" w:ascii="Arial" w:hAnsi="Arial" w:cs="Arial"/>
          <w:color w:val="auto"/>
          <w:sz w:val="26"/>
          <w:szCs w:val="26"/>
          <w:highlight w:val="none"/>
          <w:lang w:eastAsia="zh-CN"/>
        </w:rPr>
        <w:t>桶</w:t>
      </w:r>
      <w:r>
        <w:rPr>
          <w:rFonts w:hint="eastAsia" w:ascii="Arial" w:hAnsi="Arial" w:cs="Arial"/>
          <w:color w:val="auto"/>
          <w:sz w:val="26"/>
          <w:szCs w:val="26"/>
          <w:highlight w:val="none"/>
        </w:rPr>
        <w:t>内</w:t>
      </w:r>
      <w:r>
        <w:rPr>
          <w:rFonts w:hint="eastAsia" w:ascii="Arial" w:hAnsi="Arial" w:cs="Arial"/>
          <w:color w:val="auto"/>
          <w:sz w:val="26"/>
          <w:szCs w:val="26"/>
          <w:highlight w:val="none"/>
          <w:lang w:eastAsia="zh-CN"/>
        </w:rPr>
        <w:t>油料</w:t>
      </w:r>
      <w:r>
        <w:rPr>
          <w:rFonts w:hint="eastAsia" w:ascii="Arial" w:hAnsi="Arial" w:cs="Arial"/>
          <w:color w:val="auto"/>
          <w:sz w:val="26"/>
          <w:szCs w:val="26"/>
          <w:highlight w:val="none"/>
        </w:rPr>
        <w:t>进行转移</w:t>
      </w:r>
      <w:r>
        <w:rPr>
          <w:rFonts w:hint="eastAsia" w:ascii="Arial" w:hAnsi="Arial" w:cs="Arial"/>
          <w:color w:val="auto"/>
          <w:sz w:val="26"/>
          <w:szCs w:val="26"/>
          <w:highlight w:val="none"/>
          <w:lang w:val="en-US" w:eastAsia="zh-CN"/>
        </w:rPr>
        <w:t>；</w:t>
      </w:r>
      <w:r>
        <w:rPr>
          <w:rFonts w:hint="eastAsia" w:ascii="Arial" w:hAnsi="Arial" w:eastAsia="宋体" w:cs="Arial"/>
          <w:color w:val="auto"/>
          <w:kern w:val="2"/>
          <w:sz w:val="26"/>
          <w:szCs w:val="26"/>
          <w:lang w:val="en-US" w:eastAsia="zh-CN" w:bidi="ar-SA"/>
        </w:rPr>
        <w:t>定期对施工机械进行维护和保养，防止跑、冒、漏、滴。</w:t>
      </w:r>
    </w:p>
    <w:p w14:paraId="6E8E04B9">
      <w:pPr>
        <w:pStyle w:val="2018"/>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lang w:eastAsia="zh-CN"/>
        </w:rPr>
      </w:pPr>
      <w:r>
        <w:rPr>
          <w:rFonts w:hint="eastAsia" w:ascii="Arial" w:hAnsi="Arial" w:cs="Arial"/>
          <w:sz w:val="26"/>
          <w:szCs w:val="26"/>
          <w:lang w:val="en-US" w:eastAsia="zh-CN"/>
        </w:rPr>
        <w:t>7</w:t>
      </w:r>
      <w:r>
        <w:rPr>
          <w:rFonts w:hint="default" w:ascii="Arial" w:hAnsi="Arial" w:cs="Arial"/>
          <w:sz w:val="26"/>
          <w:szCs w:val="26"/>
        </w:rPr>
        <w:t>.</w:t>
      </w:r>
      <w:r>
        <w:rPr>
          <w:rFonts w:hint="eastAsia" w:ascii="Arial" w:hAnsi="Arial" w:cs="Arial"/>
          <w:sz w:val="26"/>
          <w:szCs w:val="26"/>
          <w:lang w:val="en-US" w:eastAsia="zh-CN"/>
        </w:rPr>
        <w:t>2</w:t>
      </w:r>
      <w:r>
        <w:rPr>
          <w:rFonts w:hint="eastAsia" w:ascii="Arial" w:hAnsi="Arial" w:cs="Arial"/>
          <w:sz w:val="26"/>
          <w:szCs w:val="26"/>
          <w:lang w:eastAsia="zh-CN"/>
        </w:rPr>
        <w:t>运营期环境保护措施</w:t>
      </w:r>
    </w:p>
    <w:p w14:paraId="1D932111">
      <w:pPr>
        <w:spacing w:line="460" w:lineRule="exact"/>
        <w:ind w:firstLine="522" w:firstLineChars="200"/>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7.2.1水环境保护措施</w:t>
      </w:r>
    </w:p>
    <w:p w14:paraId="02DCEA05">
      <w:pPr>
        <w:spacing w:line="460" w:lineRule="exact"/>
        <w:ind w:firstLine="520" w:firstLineChars="200"/>
        <w:rPr>
          <w:rFonts w:hint="eastAsia" w:ascii="Arial" w:hAnsi="宋体" w:cs="Arial"/>
          <w:color w:val="auto"/>
          <w:sz w:val="26"/>
          <w:szCs w:val="26"/>
          <w:lang w:val="en-US" w:eastAsia="zh-CN"/>
        </w:rPr>
      </w:pPr>
      <w:r>
        <w:rPr>
          <w:rFonts w:hint="eastAsia" w:ascii="Arial" w:hAnsi="宋体" w:cs="Arial"/>
          <w:color w:val="auto"/>
          <w:sz w:val="26"/>
          <w:szCs w:val="26"/>
          <w:lang w:eastAsia="zh-CN"/>
        </w:rPr>
        <w:t>本项目属于生态类，运营期仅管理用房内</w:t>
      </w:r>
      <w:r>
        <w:rPr>
          <w:rFonts w:hint="eastAsia" w:ascii="Arial" w:hAnsi="宋体" w:cs="Arial"/>
          <w:color w:val="auto"/>
          <w:sz w:val="26"/>
          <w:szCs w:val="26"/>
          <w:lang w:val="en-US" w:eastAsia="zh-CN"/>
        </w:rPr>
        <w:t>4个工作人员产生少量生活污水，经化粪池收集处理后，交附近居民作农肥，不外排。项目所在地为农村，四周分布有较多的农耕地，可消耗经处理后的职工生活污水。</w:t>
      </w:r>
    </w:p>
    <w:p w14:paraId="3FEFE395">
      <w:pPr>
        <w:spacing w:line="460" w:lineRule="exact"/>
        <w:ind w:firstLine="520" w:firstLineChars="200"/>
        <w:rPr>
          <w:rFonts w:hint="eastAsia" w:ascii="Arial" w:hAnsi="Arial" w:eastAsia="宋体" w:cs="Arial"/>
          <w:bCs/>
          <w:sz w:val="26"/>
          <w:szCs w:val="26"/>
        </w:rPr>
      </w:pPr>
      <w:r>
        <w:rPr>
          <w:rFonts w:hint="eastAsia" w:ascii="Arial" w:hAnsi="宋体" w:cs="Arial"/>
          <w:color w:val="auto"/>
          <w:sz w:val="26"/>
          <w:szCs w:val="26"/>
          <w:lang w:val="en-US" w:eastAsia="zh-CN"/>
        </w:rPr>
        <w:t>本项目蓄水初期，考虑下游河道生态用水调度方案如下：</w:t>
      </w:r>
      <w:r>
        <w:rPr>
          <w:rFonts w:hint="eastAsia" w:ascii="Arial" w:hAnsi="Arial" w:cs="Arial"/>
          <w:bCs/>
          <w:sz w:val="26"/>
          <w:szCs w:val="26"/>
          <w:lang w:eastAsia="zh-CN"/>
        </w:rPr>
        <w:t>当坝址来水小于生态流量</w:t>
      </w:r>
      <w:r>
        <w:rPr>
          <w:rFonts w:hint="eastAsia" w:ascii="Arial" w:hAnsi="Arial" w:cs="Arial"/>
          <w:bCs/>
          <w:sz w:val="26"/>
          <w:szCs w:val="26"/>
          <w:lang w:val="en-US" w:eastAsia="zh-CN"/>
        </w:rPr>
        <w:t>0.005m</w:t>
      </w:r>
      <w:r>
        <w:rPr>
          <w:rFonts w:hint="eastAsia" w:ascii="Arial" w:hAnsi="Arial" w:cs="Arial"/>
          <w:bCs/>
          <w:sz w:val="26"/>
          <w:szCs w:val="26"/>
          <w:vertAlign w:val="superscript"/>
          <w:lang w:val="en-US" w:eastAsia="zh-CN"/>
        </w:rPr>
        <w:t>3</w:t>
      </w:r>
      <w:r>
        <w:rPr>
          <w:rFonts w:hint="eastAsia" w:ascii="Arial" w:hAnsi="Arial" w:cs="Arial"/>
          <w:bCs/>
          <w:sz w:val="26"/>
          <w:szCs w:val="26"/>
          <w:lang w:val="en-US" w:eastAsia="zh-CN"/>
        </w:rPr>
        <w:t>/s时不蓄水，证下游河道的生态用水；</w:t>
      </w:r>
      <w:r>
        <w:rPr>
          <w:rFonts w:hint="eastAsia" w:ascii="Arial" w:hAnsi="Arial" w:cs="Arial"/>
          <w:bCs/>
          <w:sz w:val="26"/>
          <w:szCs w:val="26"/>
        </w:rPr>
        <w:t>封堵导流设施蓄水至死水位</w:t>
      </w:r>
      <w:r>
        <w:rPr>
          <w:rFonts w:hint="eastAsia" w:ascii="Arial" w:hAnsi="Arial" w:cs="Arial"/>
          <w:bCs/>
          <w:sz w:val="26"/>
          <w:szCs w:val="26"/>
          <w:lang w:val="en-US" w:eastAsia="zh-CN"/>
        </w:rPr>
        <w:t>407.5</w:t>
      </w:r>
      <w:r>
        <w:rPr>
          <w:rFonts w:ascii="Arial" w:hAnsi="Arial" w:cs="Arial"/>
          <w:bCs/>
          <w:sz w:val="26"/>
          <w:szCs w:val="26"/>
        </w:rPr>
        <w:t>m</w:t>
      </w:r>
      <w:r>
        <w:rPr>
          <w:rFonts w:hint="eastAsia" w:ascii="Arial" w:hAnsi="Arial" w:cs="Arial"/>
          <w:bCs/>
          <w:sz w:val="26"/>
          <w:szCs w:val="26"/>
          <w:lang w:eastAsia="zh-CN"/>
        </w:rPr>
        <w:t>时</w:t>
      </w:r>
      <w:r>
        <w:rPr>
          <w:rFonts w:hint="eastAsia" w:ascii="Arial" w:hAnsi="Arial" w:cs="Arial"/>
          <w:bCs/>
          <w:sz w:val="26"/>
          <w:szCs w:val="26"/>
        </w:rPr>
        <w:t>，</w:t>
      </w:r>
      <w:r>
        <w:rPr>
          <w:rFonts w:hint="eastAsia" w:ascii="Arial" w:hAnsi="Arial" w:cs="Arial"/>
          <w:bCs/>
          <w:sz w:val="26"/>
          <w:szCs w:val="26"/>
          <w:lang w:eastAsia="zh-CN"/>
        </w:rPr>
        <w:t>通过水泵抽水来满足下游河道的生态蓄水；当水位在</w:t>
      </w:r>
      <w:r>
        <w:rPr>
          <w:rFonts w:hint="eastAsia" w:ascii="Arial" w:hAnsi="Arial" w:cs="Arial"/>
          <w:bCs/>
          <w:sz w:val="26"/>
          <w:szCs w:val="26"/>
          <w:lang w:val="en-US" w:eastAsia="zh-CN"/>
        </w:rPr>
        <w:t>407.5m~420m之间时，直接通过生</w:t>
      </w:r>
      <w:r>
        <w:rPr>
          <w:rFonts w:hint="eastAsia" w:ascii="Arial" w:hAnsi="Arial" w:eastAsia="宋体" w:cs="Arial"/>
          <w:bCs/>
          <w:sz w:val="26"/>
          <w:szCs w:val="26"/>
          <w:lang w:val="en-US" w:eastAsia="zh-CN"/>
        </w:rPr>
        <w:t>态放流管下泄生态流量。</w:t>
      </w:r>
      <w:r>
        <w:rPr>
          <w:rFonts w:hint="eastAsia" w:ascii="Arial" w:hAnsi="Arial" w:cs="Arial"/>
          <w:bCs/>
          <w:sz w:val="26"/>
          <w:szCs w:val="26"/>
          <w:lang w:val="en-US" w:eastAsia="zh-CN"/>
        </w:rPr>
        <w:t>蓄水初期在采取必要的生态放流措施情况下，不会造成坝后脱水河段。在</w:t>
      </w:r>
      <w:r>
        <w:rPr>
          <w:rFonts w:hint="eastAsia" w:ascii="Arial" w:hAnsi="Arial" w:eastAsia="宋体" w:cs="Arial"/>
          <w:bCs/>
          <w:sz w:val="26"/>
          <w:szCs w:val="26"/>
        </w:rPr>
        <w:t>初期蓄水过程中，岸边原有松散物质易冲入水库，影响水质，因此评价要求蓄水前清库工作严格按照《长江三峡水库库底固体废物清理技术规范》</w:t>
      </w:r>
      <w:r>
        <w:rPr>
          <w:rFonts w:hint="eastAsia" w:ascii="Arial" w:hAnsi="Arial" w:eastAsia="宋体" w:cs="Arial"/>
          <w:bCs/>
          <w:sz w:val="26"/>
          <w:szCs w:val="26"/>
          <w:lang w:eastAsia="zh-CN"/>
        </w:rPr>
        <w:t>（</w:t>
      </w:r>
      <w:r>
        <w:rPr>
          <w:rFonts w:hint="eastAsia" w:ascii="Arial" w:hAnsi="Arial" w:eastAsia="宋体" w:cs="Arial"/>
          <w:bCs/>
          <w:sz w:val="26"/>
          <w:szCs w:val="26"/>
        </w:rPr>
        <w:t>HJ85-2005</w:t>
      </w:r>
      <w:r>
        <w:rPr>
          <w:rFonts w:hint="eastAsia" w:ascii="Arial" w:hAnsi="Arial" w:eastAsia="宋体" w:cs="Arial"/>
          <w:bCs/>
          <w:sz w:val="26"/>
          <w:szCs w:val="26"/>
          <w:lang w:eastAsia="zh-CN"/>
        </w:rPr>
        <w:t>）</w:t>
      </w:r>
      <w:r>
        <w:rPr>
          <w:rFonts w:hint="eastAsia" w:ascii="Arial" w:hAnsi="Arial" w:eastAsia="宋体" w:cs="Arial"/>
          <w:bCs/>
          <w:sz w:val="26"/>
          <w:szCs w:val="26"/>
        </w:rPr>
        <w:t>、《长江三峡水库库底卫生清理规范》</w:t>
      </w:r>
      <w:r>
        <w:rPr>
          <w:rFonts w:hint="eastAsia" w:ascii="Arial" w:hAnsi="Arial" w:eastAsia="宋体" w:cs="Arial"/>
          <w:bCs/>
          <w:sz w:val="26"/>
          <w:szCs w:val="26"/>
          <w:lang w:eastAsia="zh-CN"/>
        </w:rPr>
        <w:t>（</w:t>
      </w:r>
      <w:r>
        <w:rPr>
          <w:rFonts w:hint="eastAsia" w:ascii="Arial" w:hAnsi="Arial" w:eastAsia="宋体" w:cs="Arial"/>
          <w:bCs/>
          <w:sz w:val="26"/>
          <w:szCs w:val="26"/>
        </w:rPr>
        <w:t>卫疾控发</w:t>
      </w:r>
      <w:r>
        <w:rPr>
          <w:rFonts w:hint="eastAsia" w:ascii="宋体" w:hAnsi="宋体" w:eastAsia="宋体" w:cs="宋体"/>
          <w:bCs/>
          <w:sz w:val="26"/>
          <w:szCs w:val="26"/>
        </w:rPr>
        <w:t>〔</w:t>
      </w:r>
      <w:r>
        <w:rPr>
          <w:rFonts w:hint="eastAsia" w:ascii="Arial" w:hAnsi="Arial" w:eastAsia="宋体" w:cs="Arial"/>
          <w:bCs/>
          <w:sz w:val="26"/>
          <w:szCs w:val="26"/>
        </w:rPr>
        <w:t>2005</w:t>
      </w:r>
      <w:r>
        <w:rPr>
          <w:rFonts w:hint="eastAsia" w:ascii="宋体" w:hAnsi="宋体" w:eastAsia="宋体" w:cs="宋体"/>
          <w:bCs/>
          <w:sz w:val="26"/>
          <w:szCs w:val="26"/>
        </w:rPr>
        <w:t>〕</w:t>
      </w:r>
      <w:r>
        <w:rPr>
          <w:rFonts w:hint="eastAsia" w:ascii="Arial" w:hAnsi="Arial" w:eastAsia="宋体" w:cs="Arial"/>
          <w:bCs/>
          <w:sz w:val="26"/>
          <w:szCs w:val="26"/>
        </w:rPr>
        <w:t>261号</w:t>
      </w:r>
      <w:r>
        <w:rPr>
          <w:rFonts w:hint="eastAsia" w:ascii="Arial" w:hAnsi="Arial" w:eastAsia="宋体" w:cs="Arial"/>
          <w:bCs/>
          <w:sz w:val="26"/>
          <w:szCs w:val="26"/>
          <w:lang w:eastAsia="zh-CN"/>
        </w:rPr>
        <w:t>）</w:t>
      </w:r>
      <w:r>
        <w:rPr>
          <w:rFonts w:hint="eastAsia" w:ascii="Arial" w:hAnsi="Arial" w:eastAsia="宋体" w:cs="Arial"/>
          <w:bCs/>
          <w:sz w:val="26"/>
          <w:szCs w:val="26"/>
        </w:rPr>
        <w:t>等要求进行；蓄水后，及时对库区漂浮物进行打捞，避免影响水库水质。</w:t>
      </w:r>
    </w:p>
    <w:p w14:paraId="7D20C2CF">
      <w:pPr>
        <w:spacing w:line="460" w:lineRule="exact"/>
        <w:ind w:firstLine="520" w:firstLineChars="200"/>
        <w:rPr>
          <w:rFonts w:hint="eastAsia" w:ascii="Arial" w:hAnsi="宋体" w:cs="Arial"/>
          <w:color w:val="auto"/>
          <w:sz w:val="26"/>
          <w:szCs w:val="26"/>
        </w:rPr>
      </w:pPr>
      <w:r>
        <w:rPr>
          <w:rFonts w:hint="eastAsia" w:ascii="Arial" w:hAnsi="宋体" w:cs="Arial"/>
          <w:color w:val="auto"/>
          <w:sz w:val="26"/>
          <w:szCs w:val="26"/>
        </w:rPr>
        <w:t>灌区回归水需以节水灌溉为主要措施，并</w:t>
      </w:r>
      <w:r>
        <w:rPr>
          <w:rFonts w:hint="eastAsia" w:ascii="Arial" w:hAnsi="宋体" w:cs="Arial"/>
          <w:bCs/>
          <w:color w:val="auto"/>
          <w:sz w:val="26"/>
          <w:szCs w:val="26"/>
        </w:rPr>
        <w:t>根据《长江保护修复攻坚战行动计划》，落实化肥、农药施用量负增长行动，通过开展化肥、农药减量利用和替代利用，加大测土配方施肥推广力度，引导科学合理施肥施药，</w:t>
      </w:r>
      <w:r>
        <w:rPr>
          <w:rFonts w:hint="eastAsia" w:ascii="Arial" w:hAnsi="宋体" w:cs="Arial"/>
          <w:color w:val="auto"/>
          <w:sz w:val="26"/>
          <w:szCs w:val="26"/>
        </w:rPr>
        <w:t>减轻回归水对地表水环境的影响。</w:t>
      </w:r>
    </w:p>
    <w:p w14:paraId="2F10FAC6">
      <w:pPr>
        <w:spacing w:line="460" w:lineRule="exact"/>
        <w:ind w:firstLine="520" w:firstLineChars="200"/>
        <w:rPr>
          <w:rFonts w:hint="eastAsia" w:ascii="Arial" w:hAnsi="宋体" w:eastAsia="宋体" w:cs="Arial"/>
          <w:color w:val="auto"/>
          <w:sz w:val="26"/>
          <w:szCs w:val="26"/>
          <w:lang w:eastAsia="zh-CN"/>
        </w:rPr>
      </w:pPr>
      <w:r>
        <w:rPr>
          <w:rFonts w:hint="eastAsia" w:ascii="Arial" w:hAnsi="宋体" w:cs="Arial"/>
          <w:color w:val="auto"/>
          <w:sz w:val="26"/>
          <w:szCs w:val="26"/>
          <w:lang w:eastAsia="zh-CN"/>
        </w:rPr>
        <w:t>双龙社区人饮退水进入双龙镇污水处理厂内处理达标后，进入双龙河。田家山村、回龙场村人饮退水经各居民自建旱厕收集处理后，</w:t>
      </w:r>
      <w:r>
        <w:rPr>
          <w:rFonts w:hint="eastAsia" w:ascii="Arial" w:hAnsi="宋体" w:cs="Arial"/>
          <w:bCs/>
          <w:color w:val="auto"/>
          <w:sz w:val="26"/>
          <w:szCs w:val="26"/>
          <w:lang w:eastAsia="zh-CN"/>
        </w:rPr>
        <w:t>循序用作农肥，</w:t>
      </w:r>
      <w:r>
        <w:rPr>
          <w:rFonts w:hint="eastAsia" w:ascii="Arial" w:hAnsi="Arial" w:eastAsia="宋体" w:cs="Arial"/>
          <w:bCs/>
          <w:color w:val="auto"/>
          <w:sz w:val="26"/>
          <w:szCs w:val="26"/>
          <w:lang w:eastAsia="zh-CN"/>
        </w:rPr>
        <w:t>大部分有机物被农作物吸收利用，</w:t>
      </w:r>
      <w:r>
        <w:rPr>
          <w:rFonts w:hint="eastAsia" w:ascii="Arial" w:hAnsi="Arial" w:cs="Arial"/>
          <w:bCs/>
          <w:color w:val="auto"/>
          <w:sz w:val="26"/>
          <w:szCs w:val="26"/>
          <w:lang w:eastAsia="zh-CN"/>
        </w:rPr>
        <w:t>再经土壤的过滤、吸附和自然蒸发作用后，</w:t>
      </w:r>
      <w:r>
        <w:rPr>
          <w:rFonts w:hint="eastAsia" w:ascii="Arial" w:hAnsi="宋体" w:cs="Arial"/>
          <w:bCs/>
          <w:color w:val="auto"/>
          <w:sz w:val="26"/>
          <w:szCs w:val="26"/>
          <w:lang w:eastAsia="zh-CN"/>
        </w:rPr>
        <w:t>随降雨、地下水流进入河道内的量极小，对河道水质影响极小。</w:t>
      </w:r>
    </w:p>
    <w:p w14:paraId="53FF6A57">
      <w:pPr>
        <w:spacing w:line="460" w:lineRule="exact"/>
        <w:ind w:firstLine="522" w:firstLineChars="200"/>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7.2.2环境空气保护措施</w:t>
      </w:r>
    </w:p>
    <w:p w14:paraId="7DDC6291">
      <w:pPr>
        <w:spacing w:line="460" w:lineRule="exact"/>
        <w:ind w:firstLine="520" w:firstLineChars="200"/>
        <w:rPr>
          <w:rFonts w:hint="eastAsia" w:ascii="Arial" w:cs="Arial"/>
          <w:sz w:val="26"/>
          <w:szCs w:val="26"/>
        </w:rPr>
      </w:pPr>
      <w:r>
        <w:rPr>
          <w:rFonts w:hint="eastAsia" w:ascii="Arial" w:cs="Arial"/>
          <w:sz w:val="26"/>
          <w:szCs w:val="26"/>
        </w:rPr>
        <w:t>本项目属于水源工程，营运期自身无废气产生，管理</w:t>
      </w:r>
      <w:r>
        <w:rPr>
          <w:rFonts w:hint="eastAsia" w:ascii="Arial" w:cs="Arial"/>
          <w:sz w:val="26"/>
          <w:szCs w:val="26"/>
          <w:lang w:eastAsia="zh-CN"/>
        </w:rPr>
        <w:t>用房内</w:t>
      </w:r>
      <w:r>
        <w:rPr>
          <w:rFonts w:hint="eastAsia" w:ascii="Arial" w:cs="Arial"/>
          <w:sz w:val="26"/>
          <w:szCs w:val="26"/>
        </w:rPr>
        <w:t>设置有简易职工食堂，</w:t>
      </w:r>
      <w:r>
        <w:rPr>
          <w:rFonts w:hint="eastAsia" w:ascii="Arial" w:hAnsi="宋体" w:cs="Arial"/>
          <w:sz w:val="26"/>
          <w:szCs w:val="26"/>
        </w:rPr>
        <w:t>采用电能或液化石油天然气，均属于清洁能源，烟尘、</w:t>
      </w:r>
      <w:r>
        <w:rPr>
          <w:rFonts w:ascii="Arial" w:hAnsi="宋体" w:cs="Arial"/>
          <w:sz w:val="26"/>
          <w:szCs w:val="26"/>
        </w:rPr>
        <w:t>SO</w:t>
      </w:r>
      <w:r>
        <w:rPr>
          <w:rFonts w:ascii="Arial" w:hAnsi="宋体" w:cs="Arial"/>
          <w:sz w:val="26"/>
          <w:szCs w:val="26"/>
          <w:vertAlign w:val="subscript"/>
        </w:rPr>
        <w:t>2</w:t>
      </w:r>
      <w:r>
        <w:rPr>
          <w:rFonts w:hint="eastAsia" w:ascii="Arial" w:hAnsi="宋体" w:cs="Arial"/>
          <w:sz w:val="26"/>
          <w:szCs w:val="26"/>
        </w:rPr>
        <w:t>、</w:t>
      </w:r>
      <w:r>
        <w:rPr>
          <w:rFonts w:ascii="Arial" w:hAnsi="宋体" w:cs="Arial"/>
          <w:sz w:val="26"/>
          <w:szCs w:val="26"/>
        </w:rPr>
        <w:t>NOx</w:t>
      </w:r>
      <w:r>
        <w:rPr>
          <w:rFonts w:hint="eastAsia" w:ascii="Arial" w:hAnsi="宋体" w:cs="Arial"/>
          <w:sz w:val="26"/>
          <w:szCs w:val="26"/>
        </w:rPr>
        <w:t>和油烟等大气污染物产生量极少。食堂油烟采用油烟净化器处理后</w:t>
      </w:r>
      <w:r>
        <w:rPr>
          <w:rFonts w:hint="eastAsia" w:ascii="Arial" w:hAnsi="宋体" w:cs="Arial"/>
          <w:sz w:val="26"/>
          <w:szCs w:val="26"/>
          <w:lang w:eastAsia="zh-CN"/>
        </w:rPr>
        <w:t>引至屋顶</w:t>
      </w:r>
      <w:r>
        <w:rPr>
          <w:rFonts w:hint="eastAsia" w:ascii="Arial" w:hAnsi="宋体" w:cs="Arial"/>
          <w:sz w:val="26"/>
          <w:szCs w:val="26"/>
        </w:rPr>
        <w:t>排放，对区域环境空气基本无影响。</w:t>
      </w:r>
    </w:p>
    <w:p w14:paraId="2597E74A">
      <w:pPr>
        <w:spacing w:line="460" w:lineRule="exact"/>
        <w:ind w:firstLine="522" w:firstLineChars="200"/>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7.2.3声环境保护措施</w:t>
      </w:r>
    </w:p>
    <w:p w14:paraId="5856752F">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宋体" w:cs="Arial"/>
          <w:color w:val="auto"/>
          <w:sz w:val="26"/>
          <w:szCs w:val="26"/>
          <w:lang w:val="en-US" w:eastAsia="zh-CN"/>
        </w:rPr>
      </w:pPr>
      <w:r>
        <w:rPr>
          <w:rFonts w:hint="eastAsia" w:ascii="Arial" w:hAnsi="Arial" w:eastAsia="宋体" w:cs="Arial"/>
          <w:color w:val="000000"/>
          <w:sz w:val="26"/>
          <w:szCs w:val="26"/>
          <w:lang w:val="en-US" w:eastAsia="zh-CN"/>
        </w:rPr>
        <w:t>本工程属水源项目，枢纽工程主要噪声源为闸阀房内控制阀、溢洪道启闭设备运行噪声，属于偶发、瞬时性噪声源，无水泵等固定噪声源，且其四周200m范围内无居民点居住，对外环境影响小。输水工程均为重力自流，沿线未设置提升泵站等，对外环境影响小。上坝道路主要链接区域已建农村公路、大坝、闸阀房，车流量小，主要为库区人员、物料流动，且距离周边居民点较远，交通噪声对外环境影响小。</w:t>
      </w:r>
    </w:p>
    <w:p w14:paraId="6C44A55D">
      <w:pPr>
        <w:spacing w:line="460" w:lineRule="exact"/>
        <w:ind w:firstLine="522" w:firstLineChars="200"/>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7.2.4固体废物处置措施</w:t>
      </w:r>
    </w:p>
    <w:p w14:paraId="323B9A16">
      <w:pPr>
        <w:spacing w:line="460" w:lineRule="exact"/>
        <w:ind w:firstLine="520" w:firstLineChars="200"/>
        <w:rPr>
          <w:rFonts w:hint="eastAsia" w:ascii="Arial" w:hAnsi="宋体" w:cs="Arial"/>
          <w:sz w:val="26"/>
          <w:szCs w:val="26"/>
        </w:rPr>
      </w:pPr>
      <w:r>
        <w:rPr>
          <w:rFonts w:hint="eastAsia" w:ascii="Arial" w:cs="Arial"/>
          <w:sz w:val="26"/>
          <w:szCs w:val="26"/>
        </w:rPr>
        <w:t>生活垃圾集中收集后，交当地环卫部门统一清运处置；餐厨垃圾桶装收集后，交有资质单位清运处置</w:t>
      </w:r>
      <w:r>
        <w:rPr>
          <w:rFonts w:hint="eastAsia" w:ascii="Arial" w:hAnsi="宋体" w:cs="Arial"/>
          <w:sz w:val="26"/>
          <w:szCs w:val="26"/>
        </w:rPr>
        <w:t>。库区打捞出的漂浮物</w:t>
      </w:r>
      <w:r>
        <w:rPr>
          <w:rFonts w:hint="eastAsia" w:ascii="Arial" w:cs="Arial"/>
          <w:sz w:val="26"/>
          <w:szCs w:val="26"/>
        </w:rPr>
        <w:t>交当地环卫部门统一清运处置</w:t>
      </w:r>
      <w:r>
        <w:rPr>
          <w:rFonts w:hint="eastAsia" w:ascii="Arial" w:hAnsi="宋体" w:cs="Arial"/>
          <w:sz w:val="26"/>
          <w:szCs w:val="26"/>
        </w:rPr>
        <w:t>。</w:t>
      </w:r>
    </w:p>
    <w:p w14:paraId="7C0FBBA2">
      <w:pPr>
        <w:spacing w:line="460" w:lineRule="exact"/>
        <w:ind w:firstLine="522" w:firstLineChars="200"/>
        <w:rPr>
          <w:rFonts w:hint="default" w:ascii="Arial" w:hAnsi="Arial" w:cs="Arial"/>
          <w:b/>
          <w:bCs/>
          <w:color w:val="auto"/>
          <w:sz w:val="26"/>
          <w:szCs w:val="26"/>
          <w:lang w:val="en-US" w:eastAsia="zh-CN"/>
        </w:rPr>
      </w:pPr>
      <w:r>
        <w:rPr>
          <w:rFonts w:hint="eastAsia" w:ascii="Arial" w:hAnsi="Arial" w:cs="Arial"/>
          <w:b/>
          <w:bCs/>
          <w:color w:val="auto"/>
          <w:sz w:val="26"/>
          <w:szCs w:val="26"/>
          <w:lang w:val="en-US" w:eastAsia="zh-CN"/>
        </w:rPr>
        <w:t>7.2.5环境风险防范措施</w:t>
      </w:r>
    </w:p>
    <w:p w14:paraId="6768903E">
      <w:pPr>
        <w:spacing w:line="460" w:lineRule="exact"/>
        <w:ind w:firstLine="520" w:firstLineChars="200"/>
        <w:rPr>
          <w:rFonts w:hint="eastAsia" w:ascii="Arial" w:eastAsia="宋体" w:cs="Arial"/>
          <w:sz w:val="26"/>
          <w:szCs w:val="26"/>
          <w:lang w:eastAsia="zh-CN"/>
        </w:rPr>
      </w:pPr>
      <w:r>
        <w:rPr>
          <w:rFonts w:hint="eastAsia" w:ascii="Arial" w:cs="Arial"/>
          <w:sz w:val="26"/>
          <w:szCs w:val="26"/>
          <w:lang w:eastAsia="zh-CN"/>
        </w:rPr>
        <w:t>本项目运营期环境风险源主要为</w:t>
      </w:r>
      <w:r>
        <w:rPr>
          <w:rFonts w:hint="eastAsia" w:ascii="Arial" w:cs="Arial"/>
          <w:sz w:val="26"/>
          <w:szCs w:val="26"/>
        </w:rPr>
        <w:t>农业面源和</w:t>
      </w:r>
      <w:r>
        <w:rPr>
          <w:rFonts w:hint="eastAsia" w:ascii="Arial" w:cs="Arial"/>
          <w:sz w:val="26"/>
          <w:szCs w:val="26"/>
          <w:lang w:eastAsia="zh-CN"/>
        </w:rPr>
        <w:t>上坝</w:t>
      </w:r>
      <w:r>
        <w:rPr>
          <w:rFonts w:hint="eastAsia" w:ascii="Arial" w:cs="Arial"/>
          <w:sz w:val="26"/>
          <w:szCs w:val="26"/>
        </w:rPr>
        <w:t>道路车辆事故造成的污染</w:t>
      </w:r>
      <w:r>
        <w:rPr>
          <w:rFonts w:hint="eastAsia" w:ascii="Arial" w:cs="Arial"/>
          <w:sz w:val="26"/>
          <w:szCs w:val="26"/>
          <w:lang w:eastAsia="zh-CN"/>
        </w:rPr>
        <w:t>，通过加强管理，建立限速、保护水源等警示标识，与农业部门协作，正确引导居民少量、合理的施用化肥，</w:t>
      </w:r>
      <w:r>
        <w:rPr>
          <w:rFonts w:hint="default" w:ascii="Arial" w:hAnsi="Arial" w:cs="Arial"/>
          <w:bCs/>
          <w:kern w:val="0"/>
          <w:sz w:val="26"/>
          <w:szCs w:val="26"/>
        </w:rPr>
        <w:t>减少生活污水排放，是减少农业面源污染的主要途径</w:t>
      </w:r>
      <w:r>
        <w:rPr>
          <w:rFonts w:hint="eastAsia" w:ascii="Arial" w:hAnsi="Arial" w:cs="Arial"/>
          <w:bCs/>
          <w:kern w:val="0"/>
          <w:sz w:val="26"/>
          <w:szCs w:val="26"/>
          <w:lang w:eastAsia="zh-CN"/>
        </w:rPr>
        <w:t>；同时按照</w:t>
      </w:r>
      <w:r>
        <w:rPr>
          <w:rFonts w:hint="default" w:ascii="Arial" w:hAnsi="Arial" w:cs="Arial"/>
          <w:bCs/>
          <w:kern w:val="0"/>
          <w:sz w:val="26"/>
          <w:szCs w:val="26"/>
        </w:rPr>
        <w:t>《集中式地表饮用水水源地环境应急管理工作指南（试行）》</w:t>
      </w:r>
      <w:r>
        <w:rPr>
          <w:rFonts w:hint="eastAsia" w:ascii="Arial" w:hAnsi="Arial" w:cs="Arial"/>
          <w:bCs/>
          <w:kern w:val="0"/>
          <w:sz w:val="26"/>
          <w:szCs w:val="26"/>
          <w:lang w:eastAsia="zh-CN"/>
        </w:rPr>
        <w:t>（</w:t>
      </w:r>
      <w:r>
        <w:rPr>
          <w:rFonts w:hint="default" w:ascii="Arial" w:hAnsi="Arial" w:cs="Arial"/>
          <w:bCs/>
          <w:kern w:val="0"/>
          <w:sz w:val="26"/>
          <w:szCs w:val="26"/>
        </w:rPr>
        <w:t>环办</w:t>
      </w:r>
      <w:r>
        <w:rPr>
          <w:rFonts w:hint="eastAsia" w:ascii="宋体" w:hAnsi="宋体" w:eastAsia="宋体" w:cs="宋体"/>
          <w:bCs/>
          <w:kern w:val="0"/>
          <w:sz w:val="26"/>
          <w:szCs w:val="26"/>
        </w:rPr>
        <w:t>〔</w:t>
      </w:r>
      <w:r>
        <w:rPr>
          <w:rFonts w:hint="default" w:ascii="Arial" w:hAnsi="Arial" w:cs="Arial"/>
          <w:bCs/>
          <w:kern w:val="0"/>
          <w:sz w:val="26"/>
          <w:szCs w:val="26"/>
        </w:rPr>
        <w:t>2011</w:t>
      </w:r>
      <w:r>
        <w:rPr>
          <w:rFonts w:hint="eastAsia" w:ascii="宋体" w:hAnsi="宋体" w:eastAsia="宋体" w:cs="宋体"/>
          <w:bCs/>
          <w:kern w:val="0"/>
          <w:sz w:val="26"/>
          <w:szCs w:val="26"/>
        </w:rPr>
        <w:t>〕</w:t>
      </w:r>
      <w:r>
        <w:rPr>
          <w:rFonts w:hint="default" w:ascii="Arial" w:hAnsi="Arial" w:cs="Arial"/>
          <w:bCs/>
          <w:kern w:val="0"/>
          <w:sz w:val="26"/>
          <w:szCs w:val="26"/>
        </w:rPr>
        <w:t>93号</w:t>
      </w:r>
      <w:r>
        <w:rPr>
          <w:rFonts w:hint="eastAsia" w:ascii="Arial" w:hAnsi="Arial" w:cs="Arial"/>
          <w:bCs/>
          <w:kern w:val="0"/>
          <w:sz w:val="26"/>
          <w:szCs w:val="26"/>
          <w:lang w:eastAsia="zh-CN"/>
        </w:rPr>
        <w:t>），设置</w:t>
      </w:r>
      <w:r>
        <w:rPr>
          <w:rFonts w:hint="default" w:ascii="Arial" w:hAnsi="Arial" w:cs="Arial"/>
          <w:bCs/>
          <w:kern w:val="0"/>
          <w:sz w:val="26"/>
          <w:szCs w:val="26"/>
        </w:rPr>
        <w:t>水源水质保护应急预案</w:t>
      </w:r>
      <w:r>
        <w:rPr>
          <w:rFonts w:hint="eastAsia" w:ascii="Arial" w:hAnsi="Arial" w:cs="Arial"/>
          <w:bCs/>
          <w:kern w:val="0"/>
          <w:sz w:val="26"/>
          <w:szCs w:val="26"/>
          <w:lang w:eastAsia="zh-CN"/>
        </w:rPr>
        <w:t>。</w:t>
      </w:r>
    </w:p>
    <w:p w14:paraId="70A19AC5">
      <w:pPr>
        <w:pStyle w:val="2018"/>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lang w:eastAsia="zh-CN"/>
        </w:rPr>
      </w:pPr>
      <w:r>
        <w:rPr>
          <w:rFonts w:hint="eastAsia" w:ascii="Arial" w:hAnsi="Arial" w:cs="Arial"/>
          <w:sz w:val="26"/>
          <w:szCs w:val="26"/>
          <w:lang w:val="en-US" w:eastAsia="zh-CN"/>
        </w:rPr>
        <w:t>7</w:t>
      </w:r>
      <w:r>
        <w:rPr>
          <w:rFonts w:hint="default" w:ascii="Arial" w:hAnsi="Arial" w:cs="Arial"/>
          <w:sz w:val="26"/>
          <w:szCs w:val="26"/>
        </w:rPr>
        <w:t>.</w:t>
      </w:r>
      <w:r>
        <w:rPr>
          <w:rFonts w:hint="eastAsia" w:ascii="Arial" w:hAnsi="Arial" w:cs="Arial"/>
          <w:sz w:val="26"/>
          <w:szCs w:val="26"/>
          <w:lang w:val="en-US" w:eastAsia="zh-CN"/>
        </w:rPr>
        <w:t>3</w:t>
      </w:r>
      <w:r>
        <w:rPr>
          <w:rFonts w:hint="eastAsia" w:ascii="Arial" w:hAnsi="Arial" w:cs="Arial"/>
          <w:sz w:val="26"/>
          <w:szCs w:val="26"/>
          <w:lang w:eastAsia="zh-CN"/>
        </w:rPr>
        <w:t>生态环境保护措施</w:t>
      </w:r>
    </w:p>
    <w:p w14:paraId="50B628FD">
      <w:pPr>
        <w:spacing w:line="460" w:lineRule="exact"/>
        <w:ind w:firstLine="522" w:firstLineChars="200"/>
        <w:rPr>
          <w:rFonts w:hint="default" w:ascii="Arial" w:hAnsi="宋体" w:eastAsia="宋体" w:cs="Arial"/>
          <w:b/>
          <w:bCs/>
          <w:sz w:val="26"/>
          <w:szCs w:val="26"/>
          <w:lang w:val="en-US" w:eastAsia="zh-CN"/>
        </w:rPr>
      </w:pPr>
      <w:r>
        <w:rPr>
          <w:rFonts w:hint="eastAsia" w:ascii="Arial" w:hAnsi="宋体" w:cs="Arial"/>
          <w:b/>
          <w:bCs/>
          <w:sz w:val="26"/>
          <w:szCs w:val="26"/>
          <w:lang w:val="en-US" w:eastAsia="zh-CN"/>
        </w:rPr>
        <w:t>7.3.1生态环境影响避让措施</w:t>
      </w:r>
    </w:p>
    <w:p w14:paraId="24F5E33C">
      <w:pPr>
        <w:spacing w:line="460" w:lineRule="exact"/>
        <w:ind w:firstLine="520" w:firstLineChars="200"/>
        <w:rPr>
          <w:rFonts w:hint="eastAsia" w:ascii="Arial" w:hAnsi="宋体" w:cs="Arial"/>
          <w:sz w:val="26"/>
          <w:szCs w:val="26"/>
          <w:lang w:val="en-US" w:eastAsia="zh-CN"/>
        </w:rPr>
      </w:pPr>
      <w:r>
        <w:rPr>
          <w:rFonts w:hint="eastAsia" w:ascii="Arial" w:hAnsi="宋体" w:cs="Arial"/>
          <w:sz w:val="26"/>
          <w:szCs w:val="26"/>
          <w:lang w:val="en-US" w:eastAsia="zh-CN"/>
        </w:rPr>
        <w:t>根据叠图分析，本项目选址、选线不涉及丰都县划定的生态保护红线，同时根据2023年10月26日丰都县生态环境局出具的“关于丰都县海螺沟水库工程不涉及生态保护红线的说明”，本项目枢纽工程、淹没区占地均不在丰都县划定的生态环保红线内。根据2024年8月1日丰都县林业局出具的“关于丰都县海螺沟水库工程不涉及自然保护地的说明”，本项目枢纽工程、淹没区占地均不在丰都县划定的自然保护地内。</w:t>
      </w:r>
    </w:p>
    <w:p w14:paraId="2E5F0FA7">
      <w:pPr>
        <w:spacing w:line="460" w:lineRule="exact"/>
        <w:ind w:firstLine="520" w:firstLineChars="200"/>
        <w:rPr>
          <w:rFonts w:hint="default" w:ascii="Arial" w:hAnsi="宋体" w:cs="Arial"/>
          <w:sz w:val="26"/>
          <w:szCs w:val="26"/>
          <w:lang w:val="en-US" w:eastAsia="zh-CN"/>
        </w:rPr>
      </w:pPr>
      <w:r>
        <w:rPr>
          <w:rFonts w:hint="eastAsia" w:ascii="Arial" w:hAnsi="宋体" w:cs="Arial"/>
          <w:sz w:val="26"/>
          <w:szCs w:val="26"/>
          <w:lang w:val="en-US" w:eastAsia="zh-CN"/>
        </w:rPr>
        <w:t>由此可见，本项目在前期勘察选址、选线时，优先避让了丰都县生态保护线、自然保护地等特殊生态敏感区，现工程占地及影响范围内主要分布为耕地、林地，</w:t>
      </w:r>
      <w:r>
        <w:rPr>
          <w:rFonts w:hint="eastAsia" w:ascii="Arial" w:hAnsi="Arial" w:cs="Arial"/>
          <w:sz w:val="26"/>
          <w:szCs w:val="26"/>
        </w:rPr>
        <w:t>由于人类的干扰破坏，场地内主要为乔木、灌木，植物种类较少，</w:t>
      </w:r>
      <w:r>
        <w:rPr>
          <w:rFonts w:hint="eastAsia" w:ascii="Arial" w:hAnsi="宋体" w:cs="Arial"/>
          <w:bCs/>
          <w:sz w:val="26"/>
          <w:szCs w:val="26"/>
        </w:rPr>
        <w:t>无珍稀濒危动植物、名木古树分布。在施工结束后易于恢复，从环保角度基本可行。</w:t>
      </w:r>
    </w:p>
    <w:p w14:paraId="7496DAC5">
      <w:pPr>
        <w:spacing w:line="460" w:lineRule="exact"/>
        <w:ind w:firstLine="522" w:firstLineChars="200"/>
        <w:rPr>
          <w:rFonts w:hint="default" w:ascii="Arial" w:hAnsi="宋体" w:eastAsia="宋体" w:cs="Arial"/>
          <w:b/>
          <w:bCs/>
          <w:sz w:val="26"/>
          <w:szCs w:val="26"/>
          <w:lang w:val="en-US" w:eastAsia="zh-CN"/>
        </w:rPr>
      </w:pPr>
      <w:r>
        <w:rPr>
          <w:rFonts w:hint="eastAsia" w:ascii="Arial" w:hAnsi="宋体" w:cs="Arial"/>
          <w:b/>
          <w:bCs/>
          <w:sz w:val="26"/>
          <w:szCs w:val="26"/>
          <w:lang w:val="en-US" w:eastAsia="zh-CN"/>
        </w:rPr>
        <w:t>7.3.2生态环境影响减缓措施</w:t>
      </w:r>
    </w:p>
    <w:p w14:paraId="109FB5B1">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hAnsi="宋体" w:cs="Arial"/>
          <w:b/>
          <w:bCs/>
          <w:color w:val="auto"/>
          <w:sz w:val="26"/>
          <w:szCs w:val="26"/>
          <w:lang w:val="en-US" w:eastAsia="zh-CN"/>
        </w:rPr>
      </w:pPr>
      <w:r>
        <w:rPr>
          <w:rFonts w:hint="eastAsia" w:ascii="Arial" w:hAnsi="宋体" w:cs="Arial"/>
          <w:b/>
          <w:bCs/>
          <w:color w:val="auto"/>
          <w:sz w:val="26"/>
          <w:szCs w:val="26"/>
          <w:lang w:val="en-US" w:eastAsia="zh-CN"/>
        </w:rPr>
        <w:t>（1）施工管理</w:t>
      </w:r>
    </w:p>
    <w:p w14:paraId="588B3ABD">
      <w:pPr>
        <w:keepNext w:val="0"/>
        <w:keepLines w:val="0"/>
        <w:pageBreakBefore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sz w:val="26"/>
          <w:szCs w:val="26"/>
        </w:rPr>
      </w:pPr>
      <w:r>
        <w:rPr>
          <w:rFonts w:hint="default" w:ascii="Arial" w:hAnsi="Arial" w:cs="Arial"/>
          <w:sz w:val="26"/>
          <w:szCs w:val="26"/>
          <w:lang w:eastAsia="zh-CN"/>
        </w:rPr>
        <w:t>①</w:t>
      </w:r>
      <w:r>
        <w:rPr>
          <w:rFonts w:hint="default" w:ascii="Arial" w:hAnsi="Arial" w:cs="Arial"/>
          <w:sz w:val="26"/>
          <w:szCs w:val="26"/>
        </w:rPr>
        <w:t>各施工建设单位，应制定相应的</w:t>
      </w:r>
      <w:r>
        <w:rPr>
          <w:rFonts w:hint="eastAsia" w:ascii="Arial" w:hAnsi="Arial" w:cs="Arial"/>
          <w:sz w:val="26"/>
          <w:szCs w:val="26"/>
          <w:lang w:eastAsia="zh-CN"/>
        </w:rPr>
        <w:t>环保</w:t>
      </w:r>
      <w:r>
        <w:rPr>
          <w:rFonts w:hint="default" w:ascii="Arial" w:hAnsi="Arial" w:cs="Arial"/>
          <w:sz w:val="26"/>
          <w:szCs w:val="26"/>
        </w:rPr>
        <w:t>制度，明确施工区域范围，规范施工人员行为，管理好施工机械和运输车辆，避免乱压乱挖及越界施工。</w:t>
      </w:r>
    </w:p>
    <w:p w14:paraId="5C387288">
      <w:pPr>
        <w:keepNext w:val="0"/>
        <w:keepLines w:val="0"/>
        <w:pageBreakBefore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sz w:val="26"/>
          <w:szCs w:val="26"/>
        </w:rPr>
      </w:pPr>
      <w:r>
        <w:rPr>
          <w:rFonts w:hint="default" w:ascii="Arial" w:hAnsi="Arial" w:cs="Arial"/>
          <w:sz w:val="26"/>
          <w:szCs w:val="26"/>
          <w:lang w:eastAsia="zh-CN"/>
        </w:rPr>
        <w:t>②</w:t>
      </w:r>
      <w:r>
        <w:rPr>
          <w:rFonts w:hint="default" w:ascii="Arial" w:hAnsi="Arial" w:cs="Arial"/>
          <w:sz w:val="26"/>
          <w:szCs w:val="26"/>
        </w:rPr>
        <w:t>严格控制用地范围，可通过</w:t>
      </w:r>
      <w:r>
        <w:rPr>
          <w:rFonts w:hint="eastAsia" w:ascii="Arial" w:hAnsi="Arial" w:cs="Arial"/>
          <w:sz w:val="26"/>
          <w:szCs w:val="26"/>
          <w:lang w:eastAsia="zh-CN"/>
        </w:rPr>
        <w:t>租赁周边居民房屋作施工营地、淹没库区建施工便道等方式，优化施工临时占地，</w:t>
      </w:r>
      <w:r>
        <w:rPr>
          <w:rFonts w:hint="default" w:ascii="Arial" w:hAnsi="Arial" w:cs="Arial"/>
          <w:sz w:val="26"/>
          <w:szCs w:val="26"/>
        </w:rPr>
        <w:t>禁止将</w:t>
      </w:r>
      <w:r>
        <w:rPr>
          <w:rFonts w:hint="eastAsia" w:ascii="Arial" w:hAnsi="Arial" w:cs="Arial"/>
          <w:sz w:val="26"/>
          <w:szCs w:val="26"/>
          <w:lang w:eastAsia="zh-CN"/>
        </w:rPr>
        <w:t>弃渣场、施工场地等</w:t>
      </w:r>
      <w:r>
        <w:rPr>
          <w:rFonts w:hint="default" w:ascii="Arial" w:hAnsi="Arial" w:cs="Arial"/>
          <w:sz w:val="26"/>
          <w:szCs w:val="26"/>
        </w:rPr>
        <w:t>选择在永久基本农田、公益林</w:t>
      </w:r>
      <w:r>
        <w:rPr>
          <w:rFonts w:hint="eastAsia" w:ascii="Arial" w:hAnsi="Arial" w:cs="Arial"/>
          <w:sz w:val="26"/>
          <w:szCs w:val="26"/>
          <w:lang w:eastAsia="zh-CN"/>
        </w:rPr>
        <w:t>等范围内</w:t>
      </w:r>
      <w:r>
        <w:rPr>
          <w:rFonts w:hint="default" w:ascii="Arial" w:hAnsi="Arial" w:cs="Arial"/>
          <w:sz w:val="26"/>
          <w:szCs w:val="26"/>
        </w:rPr>
        <w:t>。</w:t>
      </w:r>
    </w:p>
    <w:p w14:paraId="271083F6">
      <w:pPr>
        <w:keepNext w:val="0"/>
        <w:keepLines w:val="0"/>
        <w:pageBreakBefore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cs="Arial"/>
          <w:sz w:val="26"/>
          <w:szCs w:val="26"/>
        </w:rPr>
      </w:pPr>
      <w:r>
        <w:rPr>
          <w:rFonts w:hint="default" w:ascii="Arial" w:hAnsi="Arial" w:eastAsia="宋体" w:cs="Arial"/>
          <w:sz w:val="26"/>
          <w:szCs w:val="26"/>
          <w:lang w:eastAsia="zh-CN"/>
        </w:rPr>
        <w:t>③</w:t>
      </w:r>
      <w:r>
        <w:rPr>
          <w:rFonts w:hint="default" w:ascii="Arial" w:hAnsi="Arial" w:cs="Arial"/>
          <w:sz w:val="26"/>
          <w:szCs w:val="26"/>
        </w:rPr>
        <w:t>合理组织施工，安排好施工时序</w:t>
      </w:r>
      <w:r>
        <w:rPr>
          <w:rFonts w:hint="eastAsia" w:ascii="Arial" w:hAnsi="Arial" w:cs="Arial"/>
          <w:sz w:val="26"/>
          <w:szCs w:val="26"/>
          <w:lang w:eastAsia="zh-CN"/>
        </w:rPr>
        <w:t>，尽量避开暴雨积极进行场地挖填平整施工</w:t>
      </w:r>
      <w:r>
        <w:rPr>
          <w:rFonts w:hint="default" w:ascii="Arial" w:hAnsi="Arial" w:cs="Arial"/>
          <w:sz w:val="26"/>
          <w:szCs w:val="26"/>
        </w:rPr>
        <w:t>。</w:t>
      </w:r>
      <w:r>
        <w:rPr>
          <w:rFonts w:hint="eastAsia" w:ascii="Arial" w:hAnsi="Arial" w:cs="Arial"/>
          <w:sz w:val="26"/>
          <w:szCs w:val="26"/>
          <w:lang w:eastAsia="zh-CN"/>
        </w:rPr>
        <w:t>弃渣场</w:t>
      </w:r>
      <w:r>
        <w:rPr>
          <w:rFonts w:hint="default" w:ascii="Arial" w:hAnsi="Arial" w:cs="Arial"/>
          <w:sz w:val="26"/>
          <w:szCs w:val="26"/>
        </w:rPr>
        <w:t>应配置防护设施，修筑</w:t>
      </w:r>
      <w:r>
        <w:rPr>
          <w:rFonts w:hint="eastAsia" w:ascii="Arial" w:hAnsi="Arial" w:cs="Arial"/>
          <w:sz w:val="26"/>
          <w:szCs w:val="26"/>
          <w:lang w:eastAsia="zh-CN"/>
        </w:rPr>
        <w:t>挡土墙</w:t>
      </w:r>
      <w:r>
        <w:rPr>
          <w:rFonts w:hint="default" w:ascii="Arial" w:hAnsi="Arial" w:cs="Arial"/>
          <w:sz w:val="26"/>
          <w:szCs w:val="26"/>
        </w:rPr>
        <w:t>、</w:t>
      </w:r>
      <w:r>
        <w:rPr>
          <w:rFonts w:hint="eastAsia" w:ascii="Arial" w:hAnsi="Arial" w:cs="Arial"/>
          <w:sz w:val="26"/>
          <w:szCs w:val="26"/>
          <w:lang w:eastAsia="zh-CN"/>
        </w:rPr>
        <w:t>截排水沟</w:t>
      </w:r>
      <w:r>
        <w:rPr>
          <w:rFonts w:hint="default" w:ascii="Arial" w:hAnsi="Arial" w:cs="Arial"/>
          <w:sz w:val="26"/>
          <w:szCs w:val="26"/>
        </w:rPr>
        <w:t>进行拦截；各类施工材料应备有防雨遮雨设施。</w:t>
      </w:r>
    </w:p>
    <w:p w14:paraId="4737A40D">
      <w:pPr>
        <w:spacing w:line="460" w:lineRule="exact"/>
        <w:ind w:firstLine="520" w:firstLineChars="200"/>
        <w:rPr>
          <w:rFonts w:hint="eastAsia" w:ascii="Arial" w:hAnsi="宋体" w:eastAsia="宋体" w:cs="Arial"/>
          <w:sz w:val="26"/>
          <w:szCs w:val="26"/>
          <w:lang w:val="en-US" w:eastAsia="zh-CN"/>
        </w:rPr>
      </w:pPr>
      <w:r>
        <w:rPr>
          <w:rFonts w:hint="default" w:ascii="Arial" w:hAnsi="Arial" w:eastAsia="宋体" w:cs="Arial"/>
          <w:sz w:val="26"/>
          <w:szCs w:val="26"/>
          <w:lang w:eastAsia="zh-CN"/>
        </w:rPr>
        <w:t>④</w:t>
      </w:r>
      <w:r>
        <w:rPr>
          <w:rFonts w:hint="default" w:ascii="Arial" w:hAnsi="Arial" w:cs="Arial"/>
          <w:sz w:val="26"/>
          <w:szCs w:val="26"/>
        </w:rPr>
        <w:t>对施工人员进行有关环境保护的法律、法规宣传教育。在施工营地设置生态保护警示牌，禁止施工人员乱砍滥伐、猎捕野生动物等违法行为。</w:t>
      </w:r>
    </w:p>
    <w:p w14:paraId="451482E7">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hAnsi="宋体" w:cs="Arial"/>
          <w:b/>
          <w:bCs/>
          <w:color w:val="auto"/>
          <w:sz w:val="26"/>
          <w:szCs w:val="26"/>
          <w:lang w:val="en-US" w:eastAsia="zh-CN"/>
        </w:rPr>
      </w:pPr>
      <w:r>
        <w:rPr>
          <w:rFonts w:hint="eastAsia" w:ascii="Arial" w:hAnsi="宋体" w:cs="Arial"/>
          <w:b/>
          <w:bCs/>
          <w:color w:val="auto"/>
          <w:sz w:val="26"/>
          <w:szCs w:val="26"/>
          <w:lang w:val="en-US" w:eastAsia="zh-CN"/>
        </w:rPr>
        <w:t>（2）土地利用的保护措施</w:t>
      </w:r>
    </w:p>
    <w:p w14:paraId="1F60F78C">
      <w:pPr>
        <w:keepNext w:val="0"/>
        <w:keepLines w:val="0"/>
        <w:pageBreakBefore w:val="0"/>
        <w:kinsoku/>
        <w:wordWrap/>
        <w:overflowPunct/>
        <w:topLinePunct w:val="0"/>
        <w:autoSpaceDE/>
        <w:autoSpaceDN/>
        <w:bidi w:val="0"/>
        <w:adjustRightInd w:val="0"/>
        <w:snapToGrid w:val="0"/>
        <w:spacing w:line="460" w:lineRule="exact"/>
        <w:ind w:firstLine="520" w:firstLineChars="200"/>
        <w:textAlignment w:val="auto"/>
        <w:rPr>
          <w:rFonts w:hint="default" w:ascii="Arial" w:hAnsi="Arial" w:eastAsia="宋体" w:cs="Arial"/>
          <w:sz w:val="26"/>
          <w:szCs w:val="26"/>
          <w:lang w:eastAsia="zh-CN"/>
        </w:rPr>
      </w:pPr>
      <w:r>
        <w:rPr>
          <w:rFonts w:hint="eastAsia" w:ascii="Arial" w:hAnsi="Arial" w:eastAsia="宋体" w:cs="Arial"/>
          <w:sz w:val="26"/>
          <w:szCs w:val="26"/>
          <w:lang w:eastAsia="zh-CN"/>
        </w:rPr>
        <w:t>临时用地尽量少占耕地、林地。道路施工期施工场地、施工便道等临时用地占用时间较长，故要求施工场地等临时用地尽量选择在道路征地范围内，减少耕地、林地占用量。施工便道尽量利用原有道路，施工结束后及时恢复或交由地方使用。</w:t>
      </w:r>
    </w:p>
    <w:p w14:paraId="01C019A1">
      <w:pPr>
        <w:keepNext w:val="0"/>
        <w:keepLines w:val="0"/>
        <w:pageBreakBefore w:val="0"/>
        <w:kinsoku/>
        <w:wordWrap/>
        <w:overflowPunct/>
        <w:topLinePunct w:val="0"/>
        <w:autoSpaceDE/>
        <w:autoSpaceDN/>
        <w:bidi w:val="0"/>
        <w:adjustRightInd w:val="0"/>
        <w:snapToGrid w:val="0"/>
        <w:spacing w:line="460" w:lineRule="exact"/>
        <w:ind w:firstLine="520" w:firstLineChars="200"/>
        <w:textAlignment w:val="auto"/>
        <w:rPr>
          <w:rFonts w:hint="eastAsia" w:ascii="Arial" w:hAnsi="Arial" w:eastAsia="宋体" w:cs="Arial"/>
          <w:sz w:val="26"/>
          <w:szCs w:val="26"/>
          <w:lang w:eastAsia="zh-CN"/>
        </w:rPr>
      </w:pPr>
      <w:r>
        <w:rPr>
          <w:rFonts w:hint="eastAsia" w:ascii="Arial" w:hAnsi="Arial" w:cs="Arial"/>
          <w:sz w:val="26"/>
          <w:szCs w:val="26"/>
          <w:lang w:eastAsia="zh-CN"/>
        </w:rPr>
        <w:t>弃渣场</w:t>
      </w:r>
      <w:r>
        <w:rPr>
          <w:rFonts w:hint="eastAsia" w:ascii="Arial" w:hAnsi="Arial" w:eastAsia="宋体" w:cs="Arial"/>
          <w:sz w:val="26"/>
          <w:szCs w:val="26"/>
          <w:lang w:eastAsia="zh-CN"/>
        </w:rPr>
        <w:t>要及时进行生态恢复，宜工程措施和生物措施相结合。弃渣要分台阶夯实堆存，开挖好排水沟，砌好挡土墙；完工时，生物防护采用乡土植物种类，以速生、根系发达、美观的植物为主，乔灌草搭配。</w:t>
      </w:r>
    </w:p>
    <w:p w14:paraId="4862D648">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hAnsi="宋体" w:cs="Arial"/>
          <w:b/>
          <w:bCs/>
          <w:color w:val="auto"/>
          <w:sz w:val="26"/>
          <w:szCs w:val="26"/>
          <w:lang w:val="en-US" w:eastAsia="zh-CN"/>
        </w:rPr>
      </w:pPr>
      <w:r>
        <w:rPr>
          <w:rFonts w:hint="eastAsia" w:ascii="Arial" w:hAnsi="宋体" w:cs="Arial"/>
          <w:b/>
          <w:bCs/>
          <w:color w:val="auto"/>
          <w:sz w:val="26"/>
          <w:szCs w:val="26"/>
          <w:lang w:val="en-US" w:eastAsia="zh-CN"/>
        </w:rPr>
        <w:t>（3）植物保护措施</w:t>
      </w:r>
    </w:p>
    <w:p w14:paraId="101D590E">
      <w:pPr>
        <w:spacing w:line="460" w:lineRule="exact"/>
        <w:ind w:firstLine="520" w:firstLineChars="200"/>
        <w:rPr>
          <w:rFonts w:hint="eastAsia" w:ascii="Arial" w:hAnsi="Arial" w:cs="Arial"/>
          <w:sz w:val="26"/>
          <w:szCs w:val="26"/>
        </w:rPr>
      </w:pPr>
      <w:r>
        <w:rPr>
          <w:rFonts w:hint="eastAsia" w:ascii="Arial" w:hAnsi="Arial" w:cs="Arial"/>
          <w:sz w:val="26"/>
          <w:szCs w:val="26"/>
        </w:rPr>
        <w:t>植物保护的一般原则为：首先应尽量保存施工区的熟化土，对于建设中永久占用地、临时用地占用耕地部分的表层土予以收集保存，用于</w:t>
      </w:r>
      <w:r>
        <w:rPr>
          <w:rFonts w:hint="eastAsia" w:ascii="Arial" w:hAnsi="Arial" w:cs="Arial"/>
          <w:sz w:val="26"/>
          <w:szCs w:val="26"/>
          <w:lang w:eastAsia="zh-CN"/>
        </w:rPr>
        <w:t>后期绿化覆土</w:t>
      </w:r>
      <w:r>
        <w:rPr>
          <w:rFonts w:hint="eastAsia" w:ascii="Arial" w:hAnsi="Arial" w:cs="Arial"/>
          <w:sz w:val="26"/>
          <w:szCs w:val="26"/>
        </w:rPr>
        <w:t>等，复耕或选择当地适宜植物及时恢复绿化。对淹没区、施工临时占地和永久占地内的高大乔木应尽量移栽，若发现珍惜保护植物必须严格按照林业局相关要求进行移栽，并派专人看护。</w:t>
      </w:r>
    </w:p>
    <w:p w14:paraId="7649022B">
      <w:pPr>
        <w:spacing w:line="460" w:lineRule="exact"/>
        <w:ind w:firstLine="520" w:firstLineChars="200"/>
        <w:rPr>
          <w:rFonts w:hint="eastAsia" w:ascii="Arial" w:hAnsi="Arial" w:cs="Arial"/>
          <w:sz w:val="26"/>
          <w:szCs w:val="26"/>
        </w:rPr>
      </w:pPr>
      <w:r>
        <w:rPr>
          <w:rFonts w:hint="eastAsia" w:ascii="Arial" w:hAnsi="Arial" w:cs="Arial"/>
          <w:sz w:val="26"/>
          <w:szCs w:val="26"/>
        </w:rPr>
        <w:t>临时用地深翻处理后，应植树种草恢复植被。施工中应加强施工管理，对边界以外的植被应不破坏或尽量减少破坏，两侧植被恢复除考虑临时占地防护、水土保持外，使水保、绿化、美化、环保有机结合为一体。在施工建设结束后，对临时占地进行绿化，在“适地适树、适地适草”的原则下，树种、草种的选择应对各地区的地形、土壤和气候条件经过详细的调查以当地优良乡土树种为主，适当引进新的优良树种草种，保证绿化栽植的成活率。凡施工造成植被及林地破碎化的地方，应进行景观生态学设计，减少植被破碎程度。施工后应及时对渣场进行清理和恢复施工场地，渣场应平整还土，恢复原有土地使用功能。</w:t>
      </w:r>
    </w:p>
    <w:p w14:paraId="746CA713">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hAnsi="宋体" w:cs="Arial"/>
          <w:b/>
          <w:bCs/>
          <w:color w:val="auto"/>
          <w:sz w:val="26"/>
          <w:szCs w:val="26"/>
          <w:lang w:val="en-US" w:eastAsia="zh-CN"/>
        </w:rPr>
      </w:pPr>
      <w:r>
        <w:rPr>
          <w:rFonts w:hint="eastAsia" w:ascii="Arial" w:hAnsi="宋体" w:cs="Arial"/>
          <w:b/>
          <w:bCs/>
          <w:color w:val="auto"/>
          <w:sz w:val="26"/>
          <w:szCs w:val="26"/>
          <w:lang w:val="en-US" w:eastAsia="zh-CN"/>
        </w:rPr>
        <w:t>（4）动物保护措施</w:t>
      </w:r>
    </w:p>
    <w:p w14:paraId="7F50AD15">
      <w:pPr>
        <w:spacing w:line="460" w:lineRule="exact"/>
        <w:ind w:firstLine="520" w:firstLineChars="200"/>
        <w:rPr>
          <w:rFonts w:hint="eastAsia" w:ascii="Arial" w:hAnsi="Arial" w:cs="Arial"/>
          <w:sz w:val="26"/>
          <w:szCs w:val="26"/>
        </w:rPr>
      </w:pPr>
      <w:r>
        <w:rPr>
          <w:rFonts w:hint="eastAsia" w:ascii="Arial" w:hAnsi="Arial" w:cs="Arial"/>
          <w:sz w:val="26"/>
          <w:szCs w:val="26"/>
        </w:rPr>
        <w:t>施工期和运营期对评价范围内野生动物的保护主要针对清库过程中的管理，严格按照划定的清库范围作业，</w:t>
      </w:r>
      <w:r>
        <w:rPr>
          <w:rFonts w:hint="eastAsia"/>
          <w:sz w:val="26"/>
          <w:szCs w:val="26"/>
        </w:rPr>
        <w:t>全面贯彻执行《中华人民共和国野生动物保护法》</w:t>
      </w:r>
      <w:r>
        <w:rPr>
          <w:rFonts w:hint="eastAsia"/>
          <w:sz w:val="26"/>
          <w:szCs w:val="26"/>
          <w:lang w:eastAsia="zh-CN"/>
        </w:rPr>
        <w:t>、</w:t>
      </w:r>
      <w:r>
        <w:rPr>
          <w:rFonts w:hint="eastAsia"/>
          <w:sz w:val="26"/>
          <w:szCs w:val="26"/>
        </w:rPr>
        <w:t>《重庆市实施</w:t>
      </w:r>
      <w:r>
        <w:rPr>
          <w:sz w:val="26"/>
          <w:szCs w:val="26"/>
        </w:rPr>
        <w:t>&lt;</w:t>
      </w:r>
      <w:r>
        <w:rPr>
          <w:rFonts w:hint="eastAsia"/>
          <w:sz w:val="26"/>
          <w:szCs w:val="26"/>
        </w:rPr>
        <w:t>中华人民共和国野生动物保护法</w:t>
      </w:r>
      <w:r>
        <w:rPr>
          <w:sz w:val="26"/>
          <w:szCs w:val="26"/>
        </w:rPr>
        <w:t>&gt;</w:t>
      </w:r>
      <w:r>
        <w:rPr>
          <w:rFonts w:hint="eastAsia"/>
          <w:sz w:val="26"/>
          <w:szCs w:val="26"/>
        </w:rPr>
        <w:t>办法》</w:t>
      </w:r>
      <w:r>
        <w:rPr>
          <w:rFonts w:hint="eastAsia"/>
          <w:sz w:val="26"/>
          <w:szCs w:val="26"/>
          <w:lang w:eastAsia="zh-CN"/>
        </w:rPr>
        <w:t>、《重庆市野生动物保护规定》等文件要求</w:t>
      </w:r>
      <w:r>
        <w:rPr>
          <w:rFonts w:hint="eastAsia"/>
          <w:sz w:val="26"/>
          <w:szCs w:val="26"/>
        </w:rPr>
        <w:t>，增强人们的生态保护意识，</w:t>
      </w:r>
      <w:r>
        <w:rPr>
          <w:rFonts w:hint="eastAsia" w:ascii="Arial" w:hAnsi="Arial" w:cs="Arial"/>
          <w:sz w:val="26"/>
          <w:szCs w:val="26"/>
        </w:rPr>
        <w:t>禁止在捕捉野生动物，尽量避免工人进入作业范围之外的山体区域，并加强进入项目区的外来人员的宣传、教育和管理，从而使外界活动尽可能不干扰这些野生动物的栖息活动，保证其较高的生境质量。</w:t>
      </w:r>
    </w:p>
    <w:p w14:paraId="6FC930E3">
      <w:pPr>
        <w:spacing w:line="460" w:lineRule="exact"/>
        <w:ind w:firstLine="520" w:firstLineChars="200"/>
        <w:rPr>
          <w:rFonts w:hint="eastAsia" w:ascii="Arial" w:hAnsi="Arial" w:eastAsia="宋体" w:cs="Arial"/>
          <w:sz w:val="26"/>
          <w:szCs w:val="26"/>
        </w:rPr>
      </w:pPr>
      <w:r>
        <w:rPr>
          <w:rFonts w:hint="eastAsia" w:ascii="Arial" w:hAnsi="Arial" w:eastAsia="宋体" w:cs="Arial"/>
          <w:sz w:val="26"/>
          <w:szCs w:val="26"/>
        </w:rPr>
        <w:t>①工程所在区域动物以小型为主，虽然随着工程的进度该部分动物会自动迁移至周围适生环境，但为了减少对其影响，需对施工人员进行</w:t>
      </w:r>
      <w:r>
        <w:rPr>
          <w:rFonts w:hint="eastAsia" w:ascii="Arial" w:hAnsi="Arial" w:eastAsia="宋体" w:cs="Arial"/>
          <w:sz w:val="26"/>
          <w:szCs w:val="26"/>
          <w:lang w:eastAsia="zh-CN"/>
        </w:rPr>
        <w:t>宣传</w:t>
      </w:r>
      <w:r>
        <w:rPr>
          <w:rFonts w:hint="eastAsia" w:ascii="Arial" w:hAnsi="Arial" w:eastAsia="宋体" w:cs="Arial"/>
          <w:sz w:val="26"/>
          <w:szCs w:val="26"/>
        </w:rPr>
        <w:t>教育</w:t>
      </w:r>
      <w:r>
        <w:rPr>
          <w:rFonts w:hint="eastAsia" w:ascii="Arial" w:hAnsi="Arial" w:eastAsia="宋体" w:cs="Arial"/>
          <w:sz w:val="26"/>
          <w:szCs w:val="26"/>
          <w:lang w:eastAsia="zh-CN"/>
        </w:rPr>
        <w:t>，</w:t>
      </w:r>
      <w:r>
        <w:rPr>
          <w:rFonts w:hint="eastAsia" w:ascii="Arial" w:hAnsi="Arial" w:eastAsia="宋体" w:cs="Arial"/>
          <w:sz w:val="26"/>
          <w:szCs w:val="26"/>
        </w:rPr>
        <w:t>提高环保意识，施工期间重点注意国家</w:t>
      </w:r>
      <w:r>
        <w:rPr>
          <w:rFonts w:hint="eastAsia" w:ascii="Arial" w:hAnsi="Arial" w:eastAsia="宋体" w:cs="Arial"/>
          <w:sz w:val="26"/>
          <w:szCs w:val="26"/>
          <w:lang w:eastAsia="zh-CN"/>
        </w:rPr>
        <w:t>、重庆市</w:t>
      </w:r>
      <w:r>
        <w:rPr>
          <w:rFonts w:hint="eastAsia" w:ascii="Arial" w:hAnsi="Arial" w:eastAsia="宋体" w:cs="Arial"/>
          <w:sz w:val="26"/>
          <w:szCs w:val="26"/>
        </w:rPr>
        <w:t>重点保护的</w:t>
      </w:r>
      <w:r>
        <w:rPr>
          <w:rFonts w:hint="eastAsia" w:ascii="Arial" w:hAnsi="Arial" w:eastAsia="宋体" w:cs="Arial"/>
          <w:sz w:val="26"/>
          <w:szCs w:val="26"/>
          <w:lang w:eastAsia="zh-CN"/>
        </w:rPr>
        <w:t>野生动物</w:t>
      </w:r>
      <w:r>
        <w:rPr>
          <w:rFonts w:hint="eastAsia" w:ascii="Arial" w:hAnsi="Arial" w:eastAsia="宋体" w:cs="Arial"/>
          <w:sz w:val="26"/>
          <w:szCs w:val="26"/>
        </w:rPr>
        <w:t>，如发现应及时上报，并严禁捕猎。</w:t>
      </w:r>
    </w:p>
    <w:p w14:paraId="697EB88C">
      <w:pPr>
        <w:spacing w:line="460" w:lineRule="exact"/>
        <w:ind w:firstLine="520" w:firstLineChars="200"/>
        <w:rPr>
          <w:rFonts w:hint="eastAsia" w:ascii="Arial" w:hAnsi="Arial" w:eastAsia="宋体" w:cs="Arial"/>
          <w:sz w:val="26"/>
          <w:szCs w:val="26"/>
        </w:rPr>
      </w:pPr>
      <w:r>
        <w:rPr>
          <w:rFonts w:hint="default" w:ascii="Arial" w:hAnsi="Arial" w:eastAsia="宋体" w:cs="Arial"/>
          <w:sz w:val="26"/>
          <w:szCs w:val="26"/>
        </w:rPr>
        <w:t>②</w:t>
      </w:r>
      <w:r>
        <w:rPr>
          <w:rFonts w:hint="eastAsia" w:ascii="Arial" w:hAnsi="Arial" w:eastAsia="宋体" w:cs="Arial"/>
          <w:sz w:val="26"/>
          <w:szCs w:val="26"/>
        </w:rPr>
        <w:t>在水库清库前采取鸣笛敲鼓等办法驱逐野生动物，保证其顺利迁移。施工期间如误伤野生动物，应立即送往当地动物医疗机构（兽医站）进行抢救。</w:t>
      </w:r>
    </w:p>
    <w:p w14:paraId="04848E13">
      <w:pPr>
        <w:spacing w:line="460" w:lineRule="exact"/>
        <w:ind w:firstLine="520" w:firstLineChars="200"/>
        <w:rPr>
          <w:rFonts w:hint="eastAsia" w:ascii="Arial" w:hAnsi="Arial" w:cs="Arial"/>
          <w:sz w:val="26"/>
          <w:szCs w:val="26"/>
        </w:rPr>
      </w:pPr>
      <w:r>
        <w:rPr>
          <w:rFonts w:hint="eastAsia" w:ascii="Arial" w:hAnsi="Arial" w:eastAsia="宋体" w:cs="Arial"/>
          <w:sz w:val="26"/>
          <w:szCs w:val="26"/>
        </w:rPr>
        <w:t>③施工人员和施工机械</w:t>
      </w:r>
      <w:r>
        <w:rPr>
          <w:rFonts w:hint="eastAsia" w:ascii="Arial" w:hAnsi="Arial" w:cs="Arial"/>
          <w:sz w:val="26"/>
          <w:szCs w:val="26"/>
        </w:rPr>
        <w:t>进场前，对工程占地区域界限用绳索拦护，并用醒目标志示意，禁止到非施工区域活动，非施工区严禁烟火、狩猎和捕鱼等活动。</w:t>
      </w:r>
    </w:p>
    <w:p w14:paraId="42A99D6D">
      <w:pPr>
        <w:spacing w:line="460" w:lineRule="exact"/>
        <w:ind w:firstLine="520" w:firstLineChars="200"/>
        <w:rPr>
          <w:rFonts w:hint="eastAsia" w:ascii="Arial" w:hAnsi="宋体" w:eastAsia="宋体" w:cs="Arial"/>
          <w:sz w:val="26"/>
          <w:szCs w:val="26"/>
          <w:lang w:val="en-US" w:eastAsia="zh-CN"/>
        </w:rPr>
      </w:pPr>
      <w:r>
        <w:rPr>
          <w:rFonts w:hint="eastAsia" w:ascii="宋体" w:hAnsi="宋体" w:eastAsia="宋体" w:cs="宋体"/>
          <w:sz w:val="26"/>
          <w:szCs w:val="26"/>
          <w:lang w:val="en-US" w:eastAsia="zh-CN"/>
        </w:rPr>
        <w:t>④</w:t>
      </w:r>
      <w:r>
        <w:rPr>
          <w:rFonts w:hint="eastAsia" w:ascii="宋体" w:hAnsi="宋体" w:eastAsia="宋体" w:cs="宋体"/>
          <w:sz w:val="26"/>
          <w:szCs w:val="26"/>
          <w:lang w:eastAsia="zh-CN"/>
        </w:rPr>
        <w:t>合理安排施工作业时间，尽量避免在晨昏和正午</w:t>
      </w:r>
      <w:r>
        <w:rPr>
          <w:rFonts w:hint="eastAsia" w:ascii="宋体" w:hAnsi="宋体" w:cs="宋体"/>
          <w:sz w:val="26"/>
          <w:szCs w:val="26"/>
          <w:lang w:eastAsia="zh-CN"/>
        </w:rPr>
        <w:t>、夜间进行产生振动影响的</w:t>
      </w:r>
      <w:r>
        <w:rPr>
          <w:rFonts w:hint="eastAsia" w:ascii="宋体" w:hAnsi="宋体" w:eastAsia="宋体" w:cs="宋体"/>
          <w:sz w:val="26"/>
          <w:szCs w:val="26"/>
          <w:lang w:eastAsia="zh-CN"/>
        </w:rPr>
        <w:t>施工作业。</w:t>
      </w:r>
    </w:p>
    <w:p w14:paraId="661AE96E">
      <w:pPr>
        <w:spacing w:line="460" w:lineRule="exact"/>
        <w:ind w:firstLine="520" w:firstLineChars="200"/>
        <w:rPr>
          <w:rFonts w:hint="eastAsia" w:ascii="Arial" w:hAnsi="宋体" w:eastAsia="宋体" w:cs="Arial"/>
          <w:sz w:val="26"/>
          <w:szCs w:val="26"/>
          <w:lang w:val="en-US" w:eastAsia="zh-CN"/>
        </w:rPr>
      </w:pPr>
      <w:r>
        <w:rPr>
          <w:rFonts w:hint="eastAsia" w:ascii="宋体" w:hAnsi="宋体" w:eastAsia="宋体" w:cs="宋体"/>
          <w:sz w:val="26"/>
          <w:szCs w:val="26"/>
          <w:lang w:val="en-US" w:eastAsia="zh-CN"/>
        </w:rPr>
        <w:t>⑤尽快恢复施工迹地的植被，</w:t>
      </w:r>
      <w:r>
        <w:rPr>
          <w:rFonts w:hint="eastAsia" w:ascii="宋体" w:hAnsi="宋体" w:eastAsia="宋体" w:cs="宋体"/>
          <w:sz w:val="26"/>
          <w:szCs w:val="26"/>
          <w:lang w:eastAsia="zh-CN"/>
        </w:rPr>
        <w:t>为野生动物提供新的适宜生境。</w:t>
      </w:r>
    </w:p>
    <w:p w14:paraId="599CFF56">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宋体" w:eastAsia="宋体" w:cs="Arial"/>
          <w:b/>
          <w:bCs/>
          <w:color w:val="auto"/>
          <w:sz w:val="26"/>
          <w:szCs w:val="26"/>
          <w:lang w:val="en-US" w:eastAsia="zh-CN"/>
        </w:rPr>
      </w:pPr>
      <w:r>
        <w:rPr>
          <w:rFonts w:hint="eastAsia" w:ascii="Arial" w:hAnsi="宋体" w:eastAsia="宋体" w:cs="Arial"/>
          <w:b/>
          <w:bCs/>
          <w:color w:val="auto"/>
          <w:sz w:val="26"/>
          <w:szCs w:val="26"/>
          <w:lang w:val="en-US" w:eastAsia="zh-CN"/>
        </w:rPr>
        <w:t>（5）水生生态保护措施</w:t>
      </w:r>
    </w:p>
    <w:p w14:paraId="40C9C704">
      <w:pPr>
        <w:spacing w:line="460" w:lineRule="exact"/>
        <w:ind w:firstLine="522" w:firstLineChars="200"/>
        <w:rPr>
          <w:rFonts w:hint="default" w:ascii="Arial" w:hAnsi="宋体" w:cs="Arial"/>
          <w:b/>
          <w:bCs/>
          <w:sz w:val="26"/>
          <w:szCs w:val="26"/>
          <w:lang w:val="en-US" w:eastAsia="zh-CN"/>
        </w:rPr>
      </w:pPr>
      <w:r>
        <w:rPr>
          <w:rFonts w:hint="eastAsia" w:ascii="Arial" w:hAnsi="宋体" w:cs="Arial"/>
          <w:b/>
          <w:bCs/>
          <w:sz w:val="26"/>
          <w:szCs w:val="26"/>
          <w:lang w:val="en-US" w:eastAsia="zh-CN"/>
        </w:rPr>
        <w:t>①施工期</w:t>
      </w:r>
    </w:p>
    <w:p w14:paraId="653D507F">
      <w:pPr>
        <w:spacing w:line="460" w:lineRule="exact"/>
        <w:ind w:firstLine="520" w:firstLineChars="200"/>
        <w:rPr>
          <w:rFonts w:hint="eastAsia" w:ascii="Arial" w:hAnsi="Times New Roman" w:eastAsia="宋体" w:cs="Arial"/>
          <w:color w:val="auto"/>
          <w:sz w:val="26"/>
          <w:szCs w:val="26"/>
        </w:rPr>
      </w:pPr>
      <w:r>
        <w:rPr>
          <w:rFonts w:hint="eastAsia" w:ascii="Arial" w:hAnsi="Times New Roman" w:eastAsia="宋体" w:cs="Arial"/>
          <w:color w:val="auto"/>
          <w:sz w:val="26"/>
          <w:szCs w:val="26"/>
          <w:lang w:eastAsia="zh-CN"/>
        </w:rPr>
        <w:t>为保证施工安全，先进行枢纽工程施工区施工导流和围堰建设，选择枯水期导流，</w:t>
      </w:r>
      <w:r>
        <w:rPr>
          <w:rFonts w:hint="eastAsia" w:ascii="Arial" w:hAnsi="Times New Roman" w:eastAsia="宋体" w:cs="Arial"/>
          <w:color w:val="auto"/>
          <w:sz w:val="26"/>
          <w:szCs w:val="26"/>
        </w:rPr>
        <w:t>采用围堰一次性拦断河床、涵管导流的导流方式，导流设计洪水标准采用5年一遇</w:t>
      </w:r>
      <w:r>
        <w:rPr>
          <w:rFonts w:hint="eastAsia" w:ascii="Arial" w:hAnsi="Times New Roman" w:eastAsia="宋体" w:cs="Arial"/>
          <w:color w:val="auto"/>
          <w:sz w:val="26"/>
          <w:szCs w:val="26"/>
          <w:lang w:eastAsia="zh-CN"/>
        </w:rPr>
        <w:t>，</w:t>
      </w:r>
      <w:r>
        <w:rPr>
          <w:rFonts w:hint="eastAsia" w:ascii="Arial" w:hAnsi="Times New Roman" w:eastAsia="宋体" w:cs="Arial"/>
          <w:color w:val="auto"/>
          <w:sz w:val="26"/>
          <w:szCs w:val="26"/>
        </w:rPr>
        <w:t>确保河道水流正常排泄</w:t>
      </w:r>
      <w:r>
        <w:rPr>
          <w:rFonts w:hint="eastAsia" w:ascii="Arial" w:hAnsi="Times New Roman" w:eastAsia="宋体" w:cs="Arial"/>
          <w:color w:val="auto"/>
          <w:sz w:val="26"/>
          <w:szCs w:val="26"/>
          <w:lang w:eastAsia="zh-CN"/>
        </w:rPr>
        <w:t>。</w:t>
      </w:r>
      <w:r>
        <w:rPr>
          <w:rFonts w:hint="eastAsia" w:ascii="Arial" w:hAnsi="Times New Roman" w:eastAsia="宋体" w:cs="Arial"/>
          <w:color w:val="auto"/>
          <w:sz w:val="26"/>
          <w:szCs w:val="26"/>
        </w:rPr>
        <w:t>施工期间，通过施工导流可将上游来水全部直接导排至下游河道，不蓄水、不引水，即枢纽施工区下游无减脱水河段，不对河道生态环境影响造成明显影响。</w:t>
      </w:r>
    </w:p>
    <w:p w14:paraId="6BD65853">
      <w:pPr>
        <w:spacing w:line="460" w:lineRule="exact"/>
        <w:ind w:firstLine="520" w:firstLineChars="200"/>
        <w:rPr>
          <w:rFonts w:hint="eastAsia" w:ascii="Arial" w:cs="Arial"/>
          <w:bCs/>
          <w:color w:val="auto"/>
          <w:sz w:val="26"/>
        </w:rPr>
      </w:pPr>
      <w:r>
        <w:rPr>
          <w:rFonts w:hint="eastAsia" w:ascii="Arial" w:hAnsi="宋体" w:cs="Arial"/>
          <w:color w:val="auto"/>
          <w:sz w:val="26"/>
          <w:szCs w:val="26"/>
          <w:lang w:val="en-US" w:eastAsia="zh-CN"/>
        </w:rPr>
        <w:t>输水管线有5处跨河，为避免对河道水生生态环境造成影响，本评价建议建设单位优先选用定向钻、顶管等不涉水施工工艺，无法选用时，需做好施工导流、围堰等工作，</w:t>
      </w:r>
      <w:r>
        <w:rPr>
          <w:rFonts w:hint="eastAsia" w:ascii="Arial" w:hAnsi="宋体" w:cs="Arial"/>
          <w:color w:val="auto"/>
          <w:spacing w:val="-4"/>
          <w:sz w:val="26"/>
          <w:szCs w:val="26"/>
        </w:rPr>
        <w:t>选择枯水期分段作业，严格控制施工开挖面，并尽可能将处理后的基坑废水回用于施工抑尘洒水，</w:t>
      </w:r>
      <w:r>
        <w:rPr>
          <w:rFonts w:hint="eastAsia" w:ascii="Arial" w:hAnsi="宋体" w:cs="Arial"/>
          <w:bCs/>
          <w:color w:val="auto"/>
          <w:sz w:val="26"/>
          <w:szCs w:val="26"/>
        </w:rPr>
        <w:t>多余部分需经沉淀处理</w:t>
      </w:r>
      <w:r>
        <w:rPr>
          <w:rFonts w:hint="eastAsia" w:ascii="Arial" w:hAnsi="宋体" w:cs="Arial"/>
          <w:bCs/>
          <w:color w:val="auto"/>
          <w:sz w:val="26"/>
          <w:szCs w:val="26"/>
          <w:lang w:eastAsia="zh-CN"/>
        </w:rPr>
        <w:t>后引至下游河道排放。</w:t>
      </w:r>
      <w:r>
        <w:rPr>
          <w:rFonts w:hint="eastAsia" w:ascii="Arial" w:cs="Arial"/>
          <w:bCs/>
          <w:color w:val="auto"/>
          <w:sz w:val="26"/>
        </w:rPr>
        <w:t>同时，输水管线施工段应设置临时围挡，严格控制施工活动，做好废弃土石方的暂存、清运工作，严禁向河道内倾倒废渣，减轻对</w:t>
      </w:r>
      <w:r>
        <w:rPr>
          <w:rFonts w:hint="eastAsia" w:ascii="Arial" w:cs="Arial"/>
          <w:bCs/>
          <w:color w:val="auto"/>
          <w:sz w:val="26"/>
          <w:lang w:eastAsia="zh-CN"/>
        </w:rPr>
        <w:t>河道水质、水生生态的</w:t>
      </w:r>
      <w:r>
        <w:rPr>
          <w:rFonts w:hint="eastAsia" w:ascii="Arial" w:cs="Arial"/>
          <w:bCs/>
          <w:color w:val="auto"/>
          <w:sz w:val="26"/>
        </w:rPr>
        <w:t>影响。</w:t>
      </w:r>
    </w:p>
    <w:p w14:paraId="5001971D">
      <w:pPr>
        <w:spacing w:line="460" w:lineRule="exact"/>
        <w:ind w:firstLine="520" w:firstLineChars="200"/>
        <w:rPr>
          <w:rFonts w:hint="eastAsia" w:ascii="Arial" w:hAnsi="Times New Roman" w:eastAsia="宋体" w:cs="Arial"/>
          <w:color w:val="auto"/>
          <w:sz w:val="26"/>
          <w:szCs w:val="26"/>
        </w:rPr>
      </w:pPr>
      <w:r>
        <w:rPr>
          <w:rFonts w:hint="eastAsia" w:ascii="Arial" w:hAnsi="Times New Roman" w:eastAsia="宋体" w:cs="Arial"/>
          <w:color w:val="auto"/>
          <w:sz w:val="26"/>
          <w:szCs w:val="26"/>
        </w:rPr>
        <w:t>在施工前做好各施工场地、弃渣场、施工区的防护，避免初期雨水直排河流；同时做好各类污废水的收集处理工作，避免直接排放，减水水体污染和防止水体流失。加强对施工人员自然保护教育，建立和完善鱼类资源保护规章制度，在工程施工区设置水生生物保护警示牌，增强施工人员的环保意识，</w:t>
      </w:r>
      <w:r>
        <w:rPr>
          <w:rFonts w:hint="eastAsia" w:ascii="Arial" w:hAnsi="Times New Roman" w:eastAsia="宋体" w:cs="Arial"/>
          <w:color w:val="auto"/>
          <w:sz w:val="26"/>
          <w:szCs w:val="26"/>
          <w:lang w:eastAsia="zh-CN"/>
        </w:rPr>
        <w:t>严禁下河捕鱼，</w:t>
      </w:r>
      <w:r>
        <w:rPr>
          <w:rFonts w:hint="eastAsia" w:ascii="Arial" w:hAnsi="Times New Roman" w:eastAsia="宋体" w:cs="Arial"/>
          <w:color w:val="auto"/>
          <w:sz w:val="26"/>
          <w:szCs w:val="26"/>
        </w:rPr>
        <w:t>同时加强施工期的环境监管。</w:t>
      </w:r>
    </w:p>
    <w:p w14:paraId="7E1B6109">
      <w:pPr>
        <w:spacing w:line="460" w:lineRule="exact"/>
        <w:ind w:firstLine="522" w:firstLineChars="200"/>
        <w:rPr>
          <w:rFonts w:hint="default" w:ascii="Arial" w:hAnsi="宋体" w:cs="Arial"/>
          <w:b/>
          <w:bCs/>
          <w:sz w:val="26"/>
          <w:szCs w:val="26"/>
          <w:lang w:val="en-US" w:eastAsia="zh-CN"/>
        </w:rPr>
      </w:pPr>
      <w:r>
        <w:rPr>
          <w:rFonts w:hint="default" w:ascii="Arial" w:hAnsi="宋体" w:cs="Arial"/>
          <w:b/>
          <w:bCs/>
          <w:sz w:val="26"/>
          <w:szCs w:val="26"/>
          <w:lang w:val="en-US" w:eastAsia="zh-CN"/>
        </w:rPr>
        <w:t>②</w:t>
      </w:r>
      <w:r>
        <w:rPr>
          <w:rFonts w:hint="eastAsia" w:ascii="Arial" w:hAnsi="宋体" w:cs="Arial"/>
          <w:b/>
          <w:bCs/>
          <w:sz w:val="26"/>
          <w:szCs w:val="26"/>
          <w:lang w:val="en-US" w:eastAsia="zh-CN"/>
        </w:rPr>
        <w:t>运营期</w:t>
      </w:r>
    </w:p>
    <w:p w14:paraId="725DA23D">
      <w:pPr>
        <w:spacing w:line="460" w:lineRule="exact"/>
        <w:ind w:firstLine="520" w:firstLineChars="200"/>
        <w:rPr>
          <w:rFonts w:hint="eastAsia" w:ascii="Arial" w:eastAsia="宋体" w:cs="Arial"/>
          <w:color w:val="auto"/>
          <w:sz w:val="26"/>
          <w:lang w:eastAsia="zh-CN"/>
        </w:rPr>
      </w:pPr>
      <w:r>
        <w:rPr>
          <w:rFonts w:hint="eastAsia" w:ascii="Arial" w:cs="Arial"/>
          <w:color w:val="auto"/>
          <w:sz w:val="26"/>
          <w:lang w:eastAsia="zh-CN"/>
        </w:rPr>
        <w:t>项目建成后，将导致坝后</w:t>
      </w:r>
      <w:r>
        <w:rPr>
          <w:rFonts w:hint="eastAsia" w:ascii="Arial" w:cs="Arial"/>
          <w:color w:val="auto"/>
          <w:sz w:val="26"/>
        </w:rPr>
        <w:t>减水河段水量减小，</w:t>
      </w:r>
      <w:r>
        <w:rPr>
          <w:rFonts w:hint="eastAsia" w:ascii="Arial" w:cs="Arial"/>
          <w:color w:val="auto"/>
          <w:sz w:val="26"/>
          <w:lang w:eastAsia="zh-CN"/>
        </w:rPr>
        <w:t>同时</w:t>
      </w:r>
      <w:r>
        <w:rPr>
          <w:rFonts w:hint="eastAsia" w:ascii="Arial" w:cs="Arial"/>
          <w:color w:val="auto"/>
          <w:sz w:val="26"/>
        </w:rPr>
        <w:t>对上</w:t>
      </w:r>
      <w:r>
        <w:rPr>
          <w:rFonts w:hint="eastAsia" w:ascii="Arial" w:cs="Arial"/>
          <w:color w:val="auto"/>
          <w:sz w:val="26"/>
          <w:lang w:eastAsia="zh-CN"/>
        </w:rPr>
        <w:t>、</w:t>
      </w:r>
      <w:r>
        <w:rPr>
          <w:rFonts w:hint="eastAsia" w:ascii="Arial" w:cs="Arial"/>
          <w:color w:val="auto"/>
          <w:sz w:val="26"/>
        </w:rPr>
        <w:t>下游河段</w:t>
      </w:r>
      <w:r>
        <w:rPr>
          <w:rFonts w:hint="eastAsia" w:ascii="Arial" w:cs="Arial"/>
          <w:color w:val="auto"/>
          <w:sz w:val="26"/>
          <w:lang w:eastAsia="zh-CN"/>
        </w:rPr>
        <w:t>水生生态</w:t>
      </w:r>
      <w:r>
        <w:rPr>
          <w:rFonts w:hint="eastAsia" w:ascii="Arial" w:cs="Arial"/>
          <w:color w:val="auto"/>
          <w:sz w:val="26"/>
        </w:rPr>
        <w:t>造成阻隔</w:t>
      </w:r>
      <w:r>
        <w:rPr>
          <w:rFonts w:hint="eastAsia" w:ascii="Arial" w:cs="Arial"/>
          <w:color w:val="auto"/>
          <w:sz w:val="26"/>
          <w:lang w:eastAsia="zh-CN"/>
        </w:rPr>
        <w:t>；库区蓄水后，水温将稳定分层，若造成低温水下泄，也会对坝后河段水生生态造成影响。</w:t>
      </w:r>
    </w:p>
    <w:p w14:paraId="35950641">
      <w:pPr>
        <w:spacing w:line="460" w:lineRule="exact"/>
        <w:ind w:firstLine="522" w:firstLineChars="200"/>
        <w:rPr>
          <w:rFonts w:hint="default" w:ascii="Arial" w:hAnsi="宋体" w:cs="Arial"/>
          <w:b/>
          <w:bCs/>
          <w:color w:val="auto"/>
          <w:sz w:val="26"/>
          <w:szCs w:val="26"/>
          <w:lang w:val="en-US" w:eastAsia="zh-CN"/>
        </w:rPr>
      </w:pPr>
      <w:r>
        <w:rPr>
          <w:rFonts w:hint="eastAsia" w:ascii="Arial" w:hAnsi="宋体" w:cs="Arial"/>
          <w:b/>
          <w:bCs/>
          <w:color w:val="auto"/>
          <w:sz w:val="26"/>
          <w:szCs w:val="26"/>
          <w:lang w:val="en-US" w:eastAsia="zh-CN"/>
        </w:rPr>
        <w:t>1）分层取水</w:t>
      </w:r>
    </w:p>
    <w:p w14:paraId="66F92E57">
      <w:pPr>
        <w:spacing w:line="460" w:lineRule="exact"/>
        <w:ind w:firstLine="520" w:firstLineChars="200"/>
        <w:rPr>
          <w:rFonts w:hint="eastAsia" w:ascii="Arial" w:cs="Arial"/>
          <w:sz w:val="26"/>
          <w:szCs w:val="26"/>
          <w:lang w:eastAsia="zh-CN"/>
        </w:rPr>
      </w:pPr>
      <w:r>
        <w:rPr>
          <w:rFonts w:hint="eastAsia" w:ascii="Arial" w:hAnsi="宋体" w:cs="Arial"/>
          <w:color w:val="auto"/>
          <w:sz w:val="26"/>
          <w:szCs w:val="26"/>
          <w:lang w:val="en-US" w:eastAsia="zh-CN"/>
        </w:rPr>
        <w:t>本项目</w:t>
      </w:r>
      <w:r>
        <w:rPr>
          <w:rFonts w:hint="eastAsia" w:ascii="Arial" w:hAnsi="宋体" w:cs="Arial"/>
          <w:sz w:val="26"/>
          <w:szCs w:val="26"/>
        </w:rPr>
        <w:t>采取分层取水方式，分</w:t>
      </w:r>
      <w:r>
        <w:rPr>
          <w:rFonts w:hint="eastAsia" w:ascii="Arial" w:hAnsi="宋体" w:cs="Arial"/>
          <w:sz w:val="26"/>
          <w:szCs w:val="26"/>
          <w:lang w:val="en-US" w:eastAsia="zh-CN"/>
        </w:rPr>
        <w:t>5</w:t>
      </w:r>
      <w:r>
        <w:rPr>
          <w:rFonts w:hint="eastAsia" w:ascii="Arial" w:hAnsi="宋体" w:cs="Arial"/>
          <w:sz w:val="26"/>
          <w:szCs w:val="26"/>
        </w:rPr>
        <w:t>层取水，</w:t>
      </w:r>
      <w:r>
        <w:rPr>
          <w:rFonts w:hint="eastAsia" w:ascii="Arial" w:hAnsi="Arial" w:cs="Arial"/>
          <w:bCs/>
          <w:sz w:val="26"/>
          <w:szCs w:val="26"/>
          <w:lang w:eastAsia="zh-CN"/>
        </w:rPr>
        <w:t>各层取水口从上到下高程依次为</w:t>
      </w:r>
      <w:r>
        <w:rPr>
          <w:rFonts w:hint="default" w:ascii="Arial" w:hAnsi="Arial" w:cs="Arial"/>
          <w:sz w:val="26"/>
          <w:szCs w:val="26"/>
        </w:rPr>
        <w:t>418.00m、415.00m、412.00m</w:t>
      </w:r>
      <w:r>
        <w:rPr>
          <w:rFonts w:hint="eastAsia" w:ascii="Arial" w:hAnsi="Arial" w:cs="Arial"/>
          <w:sz w:val="26"/>
          <w:szCs w:val="26"/>
        </w:rPr>
        <w:t>、</w:t>
      </w:r>
      <w:r>
        <w:rPr>
          <w:rFonts w:hint="default" w:ascii="Arial" w:hAnsi="Arial" w:cs="Arial"/>
          <w:sz w:val="26"/>
          <w:szCs w:val="26"/>
        </w:rPr>
        <w:t>409.00m</w:t>
      </w:r>
      <w:r>
        <w:rPr>
          <w:rFonts w:hint="eastAsia" w:ascii="Arial" w:hAnsi="Arial" w:cs="Arial"/>
          <w:sz w:val="26"/>
          <w:szCs w:val="26"/>
        </w:rPr>
        <w:t>、</w:t>
      </w:r>
      <w:r>
        <w:rPr>
          <w:rFonts w:hint="default" w:ascii="Arial" w:hAnsi="Arial" w:cs="Arial"/>
          <w:sz w:val="26"/>
          <w:szCs w:val="26"/>
        </w:rPr>
        <w:t>405.50m</w:t>
      </w:r>
      <w:r>
        <w:rPr>
          <w:rFonts w:hint="eastAsia" w:ascii="Arial" w:hAnsi="Arial" w:cs="Arial"/>
          <w:sz w:val="26"/>
          <w:szCs w:val="26"/>
          <w:lang w:eastAsia="zh-CN"/>
        </w:rPr>
        <w:t>，</w:t>
      </w:r>
      <w:r>
        <w:rPr>
          <w:rFonts w:hint="eastAsia" w:ascii="Arial" w:hAnsi="宋体" w:cs="Arial"/>
          <w:sz w:val="26"/>
          <w:szCs w:val="26"/>
        </w:rPr>
        <w:t>各层取水</w:t>
      </w:r>
      <w:r>
        <w:rPr>
          <w:rFonts w:hint="eastAsia" w:ascii="Arial" w:hAnsi="宋体" w:cs="Arial"/>
          <w:sz w:val="26"/>
          <w:szCs w:val="26"/>
          <w:lang w:eastAsia="zh-CN"/>
        </w:rPr>
        <w:t>口</w:t>
      </w:r>
      <w:r>
        <w:rPr>
          <w:rFonts w:hint="eastAsia" w:ascii="Arial" w:hAnsi="宋体" w:cs="Arial"/>
          <w:sz w:val="26"/>
          <w:szCs w:val="26"/>
        </w:rPr>
        <w:t>处水深分别为</w:t>
      </w:r>
      <w:r>
        <w:rPr>
          <w:rFonts w:hint="eastAsia" w:ascii="Arial" w:hAnsi="宋体" w:cs="Arial"/>
          <w:sz w:val="26"/>
          <w:szCs w:val="26"/>
          <w:lang w:val="en-US" w:eastAsia="zh-CN"/>
        </w:rPr>
        <w:t>2</w:t>
      </w:r>
      <w:r>
        <w:rPr>
          <w:rFonts w:hint="eastAsia" w:ascii="Arial" w:hAnsi="宋体" w:cs="Arial"/>
          <w:sz w:val="26"/>
          <w:szCs w:val="26"/>
        </w:rPr>
        <w:t>m、</w:t>
      </w:r>
      <w:r>
        <w:rPr>
          <w:rFonts w:hint="eastAsia" w:ascii="Arial" w:hAnsi="宋体" w:cs="Arial"/>
          <w:sz w:val="26"/>
          <w:szCs w:val="26"/>
          <w:lang w:val="en-US" w:eastAsia="zh-CN"/>
        </w:rPr>
        <w:t>5</w:t>
      </w:r>
      <w:r>
        <w:rPr>
          <w:rFonts w:hint="eastAsia" w:ascii="Arial" w:hAnsi="宋体" w:cs="Arial"/>
          <w:sz w:val="26"/>
          <w:szCs w:val="26"/>
        </w:rPr>
        <w:t>m、</w:t>
      </w:r>
      <w:r>
        <w:rPr>
          <w:rFonts w:hint="eastAsia" w:ascii="Arial" w:hAnsi="宋体" w:cs="Arial"/>
          <w:sz w:val="26"/>
          <w:szCs w:val="26"/>
          <w:lang w:val="en-US" w:eastAsia="zh-CN"/>
        </w:rPr>
        <w:t>8</w:t>
      </w:r>
      <w:r>
        <w:rPr>
          <w:rFonts w:hint="eastAsia" w:ascii="Arial" w:hAnsi="宋体" w:cs="Arial"/>
          <w:sz w:val="26"/>
          <w:szCs w:val="26"/>
        </w:rPr>
        <w:t>m、</w:t>
      </w:r>
      <w:r>
        <w:rPr>
          <w:rFonts w:hint="eastAsia" w:ascii="Arial" w:hAnsi="宋体" w:cs="Arial"/>
          <w:sz w:val="26"/>
          <w:szCs w:val="26"/>
          <w:lang w:val="en-US" w:eastAsia="zh-CN"/>
        </w:rPr>
        <w:t>11</w:t>
      </w:r>
      <w:r>
        <w:rPr>
          <w:rFonts w:hint="eastAsia" w:ascii="Arial" w:hAnsi="宋体" w:cs="Arial"/>
          <w:sz w:val="26"/>
          <w:szCs w:val="26"/>
        </w:rPr>
        <w:t>m</w:t>
      </w:r>
      <w:r>
        <w:rPr>
          <w:rFonts w:hint="eastAsia" w:ascii="Arial" w:hAnsi="宋体" w:cs="Arial"/>
          <w:sz w:val="26"/>
          <w:szCs w:val="26"/>
          <w:lang w:eastAsia="zh-CN"/>
        </w:rPr>
        <w:t>、</w:t>
      </w:r>
      <w:r>
        <w:rPr>
          <w:rFonts w:hint="eastAsia" w:ascii="Arial" w:hAnsi="宋体" w:cs="Arial"/>
          <w:sz w:val="26"/>
          <w:szCs w:val="26"/>
          <w:lang w:val="en-US" w:eastAsia="zh-CN"/>
        </w:rPr>
        <w:t>14.5m</w:t>
      </w:r>
      <w:r>
        <w:rPr>
          <w:rFonts w:hint="eastAsia" w:ascii="Arial" w:hAnsi="宋体" w:cs="Arial"/>
          <w:sz w:val="26"/>
          <w:szCs w:val="26"/>
          <w:lang w:eastAsia="zh-CN"/>
        </w:rPr>
        <w:t>，</w:t>
      </w:r>
      <w:r>
        <w:rPr>
          <w:rFonts w:hint="eastAsia" w:ascii="Arial" w:hAnsi="Arial" w:cs="Arial"/>
          <w:sz w:val="26"/>
          <w:szCs w:val="26"/>
        </w:rPr>
        <w:t>五</w:t>
      </w:r>
      <w:r>
        <w:rPr>
          <w:rFonts w:hint="default" w:ascii="Arial" w:hAnsi="Arial" w:cs="Arial"/>
          <w:sz w:val="26"/>
          <w:szCs w:val="26"/>
        </w:rPr>
        <w:t>层取水管从坝体下游坝坡穿出后汇合成一根引水管，引水管沿大坝下游坝坡左侧坝脚布置，</w:t>
      </w:r>
      <w:r>
        <w:rPr>
          <w:rFonts w:hint="eastAsia" w:ascii="Arial" w:hAnsi="Arial" w:cs="Arial"/>
          <w:sz w:val="26"/>
          <w:szCs w:val="26"/>
          <w:lang w:eastAsia="zh-CN"/>
        </w:rPr>
        <w:t>引入闸阀房内，</w:t>
      </w:r>
      <w:r>
        <w:rPr>
          <w:rFonts w:hint="eastAsia" w:ascii="Arial" w:cs="Arial"/>
          <w:sz w:val="26"/>
          <w:szCs w:val="26"/>
          <w:lang w:eastAsia="zh-CN"/>
        </w:rPr>
        <w:t>充分混合后，根据用水性质分类，室内分设3根管道，分别为农灌、供水、生态放水管。</w:t>
      </w:r>
    </w:p>
    <w:p w14:paraId="26D15D98">
      <w:pPr>
        <w:spacing w:line="460" w:lineRule="exact"/>
        <w:ind w:firstLine="520" w:firstLineChars="200"/>
        <w:rPr>
          <w:rFonts w:hint="eastAsia" w:ascii="Arial" w:cs="Arial"/>
          <w:sz w:val="26"/>
          <w:szCs w:val="26"/>
          <w:lang w:eastAsia="zh-CN"/>
        </w:rPr>
      </w:pPr>
      <w:r>
        <w:rPr>
          <w:rFonts w:hint="eastAsia" w:ascii="Arial" w:cs="Arial"/>
          <w:sz w:val="26"/>
          <w:szCs w:val="26"/>
          <w:lang w:eastAsia="zh-CN"/>
        </w:rPr>
        <w:t>由此可见，本项目下泄生态流量为经混合后的库区蓄水，而不是简易的直接下泄最底层水，有效避免了低温水下泄对坝后水生生态环境的影响。且根据现有资料收集，及走访调查，海螺沟水库坝后减水河段内水深较浅、水体交换频率高，对水生生物的生境改变小；且鱼类资源以鲤型目为主，无珍稀鱼类、鱼类“三场”分布，对水温变化适应能力强。</w:t>
      </w:r>
    </w:p>
    <w:p w14:paraId="63CE7FE6">
      <w:pPr>
        <w:spacing w:line="460" w:lineRule="exact"/>
        <w:ind w:firstLine="520" w:firstLineChars="200"/>
        <w:rPr>
          <w:rFonts w:hint="eastAsia" w:ascii="Arial" w:cs="Arial"/>
          <w:sz w:val="26"/>
          <w:szCs w:val="26"/>
          <w:lang w:eastAsia="zh-CN"/>
        </w:rPr>
      </w:pPr>
      <w:r>
        <w:rPr>
          <w:rFonts w:hint="eastAsia" w:ascii="Arial" w:cs="Arial"/>
          <w:sz w:val="26"/>
          <w:szCs w:val="26"/>
          <w:lang w:eastAsia="zh-CN"/>
        </w:rPr>
        <w:t>由此可见，在采取下泄混合后的水库蓄水后，对坝后减水河段内水生生物的影响小。</w:t>
      </w:r>
    </w:p>
    <w:p w14:paraId="3E84C275">
      <w:pPr>
        <w:spacing w:line="460" w:lineRule="exact"/>
        <w:ind w:firstLine="522" w:firstLineChars="200"/>
        <w:rPr>
          <w:rFonts w:hint="eastAsia" w:ascii="Arial" w:hAnsi="宋体" w:cs="Arial"/>
          <w:b/>
          <w:bCs/>
          <w:color w:val="auto"/>
          <w:sz w:val="26"/>
          <w:szCs w:val="26"/>
          <w:lang w:val="en-US" w:eastAsia="zh-CN"/>
        </w:rPr>
      </w:pPr>
      <w:r>
        <w:rPr>
          <w:rFonts w:hint="eastAsia" w:ascii="Arial" w:hAnsi="宋体" w:cs="Arial"/>
          <w:b/>
          <w:bCs/>
          <w:color w:val="auto"/>
          <w:sz w:val="26"/>
          <w:szCs w:val="26"/>
          <w:lang w:val="en-US" w:eastAsia="zh-CN"/>
        </w:rPr>
        <w:t>2）渔政措施</w:t>
      </w:r>
    </w:p>
    <w:p w14:paraId="3697ACD1">
      <w:pPr>
        <w:spacing w:line="460" w:lineRule="exact"/>
        <w:ind w:firstLine="520" w:firstLineChars="200"/>
        <w:rPr>
          <w:rFonts w:hint="eastAsia" w:ascii="Arial" w:hAnsi="宋体" w:eastAsia="宋体" w:cs="Arial"/>
          <w:color w:val="auto"/>
          <w:sz w:val="26"/>
          <w:szCs w:val="26"/>
          <w:lang w:val="en-US" w:eastAsia="zh-CN"/>
        </w:rPr>
      </w:pPr>
      <w:r>
        <w:rPr>
          <w:rFonts w:hint="eastAsia" w:ascii="Arial" w:hAnsi="宋体" w:eastAsia="宋体" w:cs="Arial"/>
          <w:color w:val="auto"/>
          <w:sz w:val="26"/>
          <w:szCs w:val="26"/>
          <w:lang w:val="en-US" w:eastAsia="zh-CN"/>
        </w:rPr>
        <w:t>大坝形成后，将对</w:t>
      </w:r>
      <w:r>
        <w:rPr>
          <w:rFonts w:hint="eastAsia" w:ascii="Arial" w:cs="Arial"/>
          <w:color w:val="auto"/>
          <w:sz w:val="26"/>
        </w:rPr>
        <w:t>上</w:t>
      </w:r>
      <w:r>
        <w:rPr>
          <w:rFonts w:hint="eastAsia" w:ascii="Arial" w:cs="Arial"/>
          <w:color w:val="auto"/>
          <w:sz w:val="26"/>
          <w:lang w:eastAsia="zh-CN"/>
        </w:rPr>
        <w:t>、</w:t>
      </w:r>
      <w:r>
        <w:rPr>
          <w:rFonts w:hint="eastAsia" w:ascii="Arial" w:cs="Arial"/>
          <w:color w:val="auto"/>
          <w:sz w:val="26"/>
        </w:rPr>
        <w:t>下游河段</w:t>
      </w:r>
      <w:r>
        <w:rPr>
          <w:rFonts w:hint="eastAsia" w:ascii="Arial" w:cs="Arial"/>
          <w:color w:val="auto"/>
          <w:sz w:val="26"/>
          <w:lang w:eastAsia="zh-CN"/>
        </w:rPr>
        <w:t>造成阻隔影响，</w:t>
      </w:r>
      <w:r>
        <w:rPr>
          <w:rFonts w:hint="eastAsia" w:ascii="Arial" w:cs="Arial"/>
          <w:color w:val="auto"/>
          <w:sz w:val="26"/>
        </w:rPr>
        <w:t>从而影响河道内的鱼类资源</w:t>
      </w:r>
      <w:r>
        <w:rPr>
          <w:rFonts w:hint="eastAsia" w:ascii="Arial" w:cs="Arial"/>
          <w:color w:val="auto"/>
          <w:sz w:val="26"/>
          <w:lang w:eastAsia="zh-CN"/>
        </w:rPr>
        <w:t>，建设单位应协同当地农业农村主管部门，</w:t>
      </w:r>
      <w:r>
        <w:rPr>
          <w:rFonts w:hint="eastAsia" w:ascii="Arial" w:cs="Arial"/>
          <w:color w:val="auto"/>
          <w:sz w:val="26"/>
        </w:rPr>
        <w:t>加强渔政管理措施，尽量保持鱼类天然资源，并以此作为工程影响的鱼类补救途径之一，减缓水库工程开发建设对鱼类资源的不利影响。</w:t>
      </w:r>
    </w:p>
    <w:p w14:paraId="51E18B99">
      <w:pPr>
        <w:spacing w:line="460" w:lineRule="exact"/>
        <w:ind w:firstLine="520" w:firstLineChars="200"/>
        <w:rPr>
          <w:rFonts w:hint="eastAsia" w:ascii="Arial" w:hAnsi="宋体" w:eastAsia="宋体" w:cs="Arial"/>
          <w:color w:val="auto"/>
          <w:sz w:val="26"/>
          <w:szCs w:val="26"/>
          <w:lang w:val="en-US" w:eastAsia="zh-CN"/>
        </w:rPr>
      </w:pPr>
      <w:r>
        <w:rPr>
          <w:rFonts w:hint="eastAsia" w:ascii="Arial" w:cs="Arial"/>
          <w:sz w:val="26"/>
        </w:rPr>
        <w:t>主要保护措施为：</w:t>
      </w:r>
      <w:r>
        <w:rPr>
          <w:rFonts w:hint="eastAsia" w:ascii="Arial" w:cs="Arial"/>
          <w:sz w:val="26"/>
          <w:lang w:eastAsia="zh-CN"/>
        </w:rPr>
        <w:t>在运行过程中，根据</w:t>
      </w:r>
      <w:r>
        <w:rPr>
          <w:rFonts w:hint="eastAsia" w:ascii="Arial" w:cs="Arial"/>
          <w:color w:val="auto"/>
          <w:sz w:val="26"/>
          <w:lang w:eastAsia="zh-CN"/>
        </w:rPr>
        <w:t>当地农业农村主管部门要求，对</w:t>
      </w:r>
      <w:r>
        <w:rPr>
          <w:rFonts w:hint="eastAsia" w:ascii="Arial" w:cs="Arial"/>
          <w:sz w:val="26"/>
        </w:rPr>
        <w:t>坝下减水段经济鱼类资源进行补偿，用于当地渔业资源的发展。取缔非法渔具和捕捞方法，协调</w:t>
      </w:r>
      <w:r>
        <w:rPr>
          <w:rFonts w:hint="eastAsia" w:ascii="Arial" w:cs="Arial"/>
          <w:sz w:val="26"/>
          <w:lang w:eastAsia="zh-CN"/>
        </w:rPr>
        <w:t>生态环境主管</w:t>
      </w:r>
      <w:r>
        <w:rPr>
          <w:rFonts w:hint="eastAsia" w:ascii="Arial" w:cs="Arial"/>
          <w:sz w:val="26"/>
        </w:rPr>
        <w:t>部门控制水域污染，保护鱼类生存环境。</w:t>
      </w:r>
    </w:p>
    <w:p w14:paraId="5DD876F2">
      <w:pPr>
        <w:spacing w:line="460" w:lineRule="exact"/>
        <w:ind w:firstLine="522" w:firstLineChars="200"/>
        <w:rPr>
          <w:rFonts w:hint="default" w:ascii="Arial" w:hAnsi="宋体" w:cs="Arial"/>
          <w:b/>
          <w:bCs/>
          <w:color w:val="auto"/>
          <w:sz w:val="26"/>
          <w:szCs w:val="26"/>
          <w:lang w:val="en-US" w:eastAsia="zh-CN"/>
        </w:rPr>
      </w:pPr>
      <w:r>
        <w:rPr>
          <w:rFonts w:hint="eastAsia" w:ascii="Arial" w:hAnsi="宋体" w:cs="Arial"/>
          <w:b/>
          <w:bCs/>
          <w:color w:val="auto"/>
          <w:sz w:val="26"/>
          <w:szCs w:val="26"/>
          <w:lang w:val="en-US" w:eastAsia="zh-CN"/>
        </w:rPr>
        <w:t>3）生态流量下泄措施</w:t>
      </w:r>
    </w:p>
    <w:p w14:paraId="0D9D29D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color w:val="auto"/>
          <w:sz w:val="26"/>
          <w:szCs w:val="26"/>
          <w:lang w:val="en-US" w:eastAsia="zh-CN"/>
        </w:rPr>
      </w:pPr>
      <w:r>
        <w:rPr>
          <w:rFonts w:hint="eastAsia" w:ascii="Arial" w:hAnsi="宋体" w:eastAsia="宋体" w:cs="Arial"/>
          <w:color w:val="auto"/>
          <w:sz w:val="26"/>
          <w:szCs w:val="26"/>
          <w:lang w:val="en-US" w:eastAsia="zh-CN"/>
        </w:rPr>
        <w:t>本项目放水设施兼有下放生态流量的功能，水库利用5层取水管取水后，</w:t>
      </w:r>
      <w:r>
        <w:rPr>
          <w:rFonts w:hint="default" w:ascii="Arial" w:hAnsi="宋体" w:eastAsia="宋体" w:cs="Arial"/>
          <w:color w:val="auto"/>
          <w:sz w:val="26"/>
          <w:szCs w:val="26"/>
          <w:lang w:val="en-US" w:eastAsia="zh-CN"/>
        </w:rPr>
        <w:t>汇合成一根引水管，引水管沿大坝下游坝坡左侧坝脚布置，</w:t>
      </w:r>
      <w:r>
        <w:rPr>
          <w:rFonts w:hint="eastAsia" w:ascii="Arial" w:hAnsi="宋体" w:eastAsia="宋体" w:cs="Arial"/>
          <w:color w:val="auto"/>
          <w:sz w:val="26"/>
          <w:szCs w:val="26"/>
          <w:lang w:val="en-US" w:eastAsia="zh-CN"/>
        </w:rPr>
        <w:t>引入闸阀房内，充分混合后，根据用水性质分类，室内分设3根管道，其中一根为DN100生态放水管，下泄生态流量为0.005m</w:t>
      </w:r>
      <w:r>
        <w:rPr>
          <w:rFonts w:hint="eastAsia" w:ascii="Arial" w:hAnsi="宋体" w:eastAsia="宋体" w:cs="Arial"/>
          <w:color w:val="auto"/>
          <w:sz w:val="26"/>
          <w:szCs w:val="26"/>
          <w:vertAlign w:val="superscript"/>
          <w:lang w:val="en-US" w:eastAsia="zh-CN"/>
        </w:rPr>
        <w:t>3</w:t>
      </w:r>
      <w:r>
        <w:rPr>
          <w:rFonts w:hint="eastAsia" w:ascii="Arial" w:hAnsi="宋体" w:eastAsia="宋体" w:cs="Arial"/>
          <w:color w:val="auto"/>
          <w:sz w:val="26"/>
          <w:szCs w:val="26"/>
          <w:lang w:val="en-US" w:eastAsia="zh-CN"/>
        </w:rPr>
        <w:t>/s。</w:t>
      </w:r>
    </w:p>
    <w:p w14:paraId="7A0B030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color w:val="auto"/>
          <w:sz w:val="26"/>
          <w:szCs w:val="26"/>
          <w:lang w:val="en-US" w:eastAsia="zh-CN"/>
        </w:rPr>
      </w:pPr>
      <w:r>
        <w:rPr>
          <w:rFonts w:hint="eastAsia" w:ascii="Arial" w:hAnsi="宋体" w:eastAsia="宋体" w:cs="Arial"/>
          <w:color w:val="auto"/>
          <w:sz w:val="26"/>
          <w:szCs w:val="26"/>
          <w:lang w:val="en-US" w:eastAsia="zh-CN"/>
        </w:rPr>
        <w:t>工程运行过程中，经确保生态放水管控制阀处于常年开启状态，并设置在线监控装置。同时加强管理和监督，根据上游来水量及时调整生态下泄放流方式，避免坝后下游河段出现脱水现象。</w:t>
      </w:r>
    </w:p>
    <w:p w14:paraId="46F9135F">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default" w:ascii="Arial" w:hAnsi="宋体" w:cs="Arial"/>
          <w:b/>
          <w:bCs/>
          <w:color w:val="auto"/>
          <w:sz w:val="26"/>
          <w:szCs w:val="26"/>
          <w:highlight w:val="none"/>
          <w:lang w:val="en-US" w:eastAsia="zh-CN"/>
        </w:rPr>
      </w:pPr>
      <w:r>
        <w:rPr>
          <w:rFonts w:hint="eastAsia" w:ascii="Arial" w:hAnsi="宋体" w:cs="Arial"/>
          <w:b/>
          <w:bCs/>
          <w:color w:val="auto"/>
          <w:sz w:val="26"/>
          <w:szCs w:val="26"/>
          <w:highlight w:val="none"/>
          <w:lang w:val="en-US" w:eastAsia="zh-CN"/>
        </w:rPr>
        <w:t>（6）输水工程生态保护措施</w:t>
      </w:r>
    </w:p>
    <w:p w14:paraId="7DAF810B">
      <w:pPr>
        <w:spacing w:line="460" w:lineRule="exact"/>
        <w:ind w:firstLine="520" w:firstLineChars="200"/>
        <w:rPr>
          <w:rFonts w:ascii="Arial" w:hAnsi="Arial" w:cs="Arial"/>
          <w:sz w:val="26"/>
          <w:szCs w:val="26"/>
        </w:rPr>
      </w:pPr>
      <w:r>
        <w:rPr>
          <w:rFonts w:hint="eastAsia" w:ascii="Arial" w:hAnsi="Arial" w:cs="Arial"/>
          <w:sz w:val="26"/>
          <w:szCs w:val="26"/>
        </w:rPr>
        <w:t>为保障输水管道的安全运行和沿线生态系统的稳定，在管道施工完毕后，应进行生态恢复，建立基本生态安全格局。占用林地的恢复成林地；范围内的农田，应建立乔灌草相结合的密集型农田防护林体系；管道顶部两侧</w:t>
      </w:r>
      <w:r>
        <w:rPr>
          <w:rFonts w:ascii="Arial" w:hAnsi="Arial" w:cs="Arial"/>
          <w:sz w:val="26"/>
          <w:szCs w:val="26"/>
        </w:rPr>
        <w:t>5m</w:t>
      </w:r>
      <w:r>
        <w:rPr>
          <w:rFonts w:hint="eastAsia" w:ascii="Arial" w:hAnsi="Arial" w:cs="Arial"/>
          <w:sz w:val="26"/>
          <w:szCs w:val="26"/>
        </w:rPr>
        <w:t>内不能种植深根性乔灌木；此外，还应减少人为活动对此范围环境的破坏，避免在本区内修路、开挖管道、建其他水利设施等影响环境和管道的工程。环评建议分地段进行植被恢复，农业用地以恢复农田或退耕还林为主；林业用地和滩地等以恢复自然植被为主；各区域的植被恢复应以乔灌草相结合，实现最大保持水土功能。</w:t>
      </w:r>
    </w:p>
    <w:p w14:paraId="717A67AB">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Arial" w:cs="Arial"/>
          <w:b/>
          <w:bCs/>
          <w:sz w:val="26"/>
          <w:szCs w:val="26"/>
          <w:lang w:val="en-US" w:eastAsia="zh-CN"/>
        </w:rPr>
      </w:pPr>
      <w:r>
        <w:rPr>
          <w:rFonts w:hint="eastAsia" w:ascii="Arial" w:hAnsi="Arial" w:cs="Arial"/>
          <w:b/>
          <w:bCs/>
          <w:sz w:val="26"/>
          <w:szCs w:val="26"/>
          <w:lang w:val="en-US" w:eastAsia="zh-CN"/>
        </w:rPr>
        <w:t>7.4水源地水质保护措施</w:t>
      </w:r>
    </w:p>
    <w:p w14:paraId="38EEEA6F">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宋体" w:eastAsia="宋体" w:cs="Arial"/>
          <w:b/>
          <w:bCs/>
          <w:color w:val="auto"/>
          <w:sz w:val="26"/>
          <w:szCs w:val="26"/>
          <w:lang w:val="en-US" w:eastAsia="zh-CN"/>
        </w:rPr>
      </w:pPr>
      <w:r>
        <w:rPr>
          <w:rFonts w:hint="eastAsia" w:ascii="Arial" w:hAnsi="宋体" w:eastAsia="宋体" w:cs="Arial"/>
          <w:b/>
          <w:bCs/>
          <w:color w:val="auto"/>
          <w:sz w:val="26"/>
          <w:szCs w:val="26"/>
          <w:lang w:val="en-US" w:eastAsia="zh-CN"/>
        </w:rPr>
        <w:t>7.4.1水源保护区划分</w:t>
      </w:r>
    </w:p>
    <w:p w14:paraId="30BB5C91">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hAnsi="宋体" w:eastAsia="宋体" w:cs="Arial"/>
          <w:color w:val="auto"/>
          <w:sz w:val="26"/>
          <w:szCs w:val="26"/>
          <w:lang w:val="en-US" w:eastAsia="zh-CN"/>
        </w:rPr>
      </w:pPr>
      <w:r>
        <w:rPr>
          <w:rFonts w:hint="eastAsia" w:ascii="Arial" w:hAnsi="宋体" w:eastAsia="宋体" w:cs="Arial"/>
          <w:b/>
          <w:bCs/>
          <w:color w:val="auto"/>
          <w:sz w:val="26"/>
          <w:szCs w:val="26"/>
          <w:lang w:val="en-US" w:eastAsia="zh-CN"/>
        </w:rPr>
        <w:t>（1）划分依据</w:t>
      </w:r>
    </w:p>
    <w:p w14:paraId="187CEBF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color w:val="auto"/>
          <w:sz w:val="26"/>
          <w:szCs w:val="26"/>
          <w:lang w:val="en-US" w:eastAsia="zh-CN"/>
        </w:rPr>
      </w:pPr>
      <w:r>
        <w:rPr>
          <w:rFonts w:hint="eastAsia" w:ascii="Arial" w:hAnsi="宋体" w:eastAsia="宋体" w:cs="Arial"/>
          <w:color w:val="auto"/>
          <w:sz w:val="26"/>
          <w:szCs w:val="26"/>
          <w:lang w:val="en-US" w:eastAsia="zh-CN"/>
        </w:rPr>
        <w:t>水源保护区划分主要依据《饮用水水源保护区划分技术规范》（HJ338 -2018）、《重庆市饮用水源污染防治办法》。建议保护区范围如下：</w:t>
      </w:r>
    </w:p>
    <w:p w14:paraId="01925594">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宋体" w:eastAsia="宋体" w:cs="Arial"/>
          <w:b/>
          <w:bCs/>
          <w:color w:val="auto"/>
          <w:sz w:val="26"/>
          <w:szCs w:val="26"/>
          <w:lang w:val="en-US" w:eastAsia="zh-CN"/>
        </w:rPr>
      </w:pPr>
      <w:r>
        <w:rPr>
          <w:rFonts w:hint="eastAsia" w:ascii="Arial" w:hAnsi="宋体" w:eastAsia="宋体" w:cs="Arial"/>
          <w:b/>
          <w:bCs/>
          <w:color w:val="auto"/>
          <w:sz w:val="26"/>
          <w:szCs w:val="26"/>
          <w:lang w:val="en-US" w:eastAsia="zh-CN"/>
        </w:rPr>
        <w:t>①水域保护区划分</w:t>
      </w:r>
    </w:p>
    <w:p w14:paraId="350EA25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color w:val="auto"/>
          <w:sz w:val="26"/>
          <w:szCs w:val="26"/>
          <w:lang w:val="en-US" w:eastAsia="zh-CN"/>
        </w:rPr>
      </w:pPr>
      <w:r>
        <w:rPr>
          <w:rFonts w:hint="eastAsia" w:ascii="Arial" w:hAnsi="宋体" w:eastAsia="宋体" w:cs="Arial"/>
          <w:color w:val="auto"/>
          <w:sz w:val="26"/>
          <w:szCs w:val="26"/>
          <w:lang w:val="en-US" w:eastAsia="zh-CN"/>
        </w:rPr>
        <w:t>一级保护区：水域范围，小型水库和单一供水功能的湖泊、水库应将多年平均水位对应的高程线以下的全部水域划为一级保护区。</w:t>
      </w:r>
    </w:p>
    <w:p w14:paraId="6A22D1E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color w:val="auto"/>
          <w:sz w:val="26"/>
          <w:szCs w:val="26"/>
          <w:lang w:val="en-US" w:eastAsia="zh-CN"/>
        </w:rPr>
      </w:pPr>
      <w:r>
        <w:rPr>
          <w:rFonts w:hint="eastAsia" w:ascii="Arial" w:hAnsi="宋体" w:eastAsia="宋体" w:cs="Arial"/>
          <w:color w:val="auto"/>
          <w:sz w:val="26"/>
          <w:szCs w:val="26"/>
          <w:lang w:val="en-US" w:eastAsia="zh-CN"/>
        </w:rPr>
        <w:t>二级保护区：小型湖泊、中小型水库一级保护区边界外的水域面积设定为二级保护区。</w:t>
      </w:r>
    </w:p>
    <w:p w14:paraId="08F1FB4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color w:val="auto"/>
          <w:sz w:val="26"/>
          <w:szCs w:val="26"/>
          <w:lang w:val="en-US" w:eastAsia="zh-CN"/>
        </w:rPr>
      </w:pPr>
      <w:r>
        <w:rPr>
          <w:rFonts w:hint="eastAsia" w:ascii="Arial" w:hAnsi="宋体" w:eastAsia="宋体" w:cs="Arial"/>
          <w:color w:val="auto"/>
          <w:sz w:val="26"/>
          <w:szCs w:val="26"/>
          <w:lang w:val="en-US" w:eastAsia="zh-CN"/>
        </w:rPr>
        <w:t>二级保护区上游侧边界现状水质浓度水平满足GB 3838规定的一级保护区水质标准要求的水源，其二级保护区水域长度不小于2000m，但不超过水域范围。</w:t>
      </w:r>
    </w:p>
    <w:p w14:paraId="5A3105AF">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宋体" w:eastAsia="宋体" w:cs="Arial"/>
          <w:b/>
          <w:bCs/>
          <w:color w:val="auto"/>
          <w:sz w:val="26"/>
          <w:szCs w:val="26"/>
          <w:lang w:val="en-US" w:eastAsia="zh-CN"/>
        </w:rPr>
      </w:pPr>
      <w:r>
        <w:rPr>
          <w:rFonts w:hint="default" w:ascii="Arial" w:hAnsi="宋体" w:eastAsia="宋体" w:cs="Arial"/>
          <w:b/>
          <w:bCs/>
          <w:color w:val="auto"/>
          <w:sz w:val="26"/>
          <w:szCs w:val="26"/>
          <w:lang w:val="en-US" w:eastAsia="zh-CN"/>
        </w:rPr>
        <w:t>②</w:t>
      </w:r>
      <w:r>
        <w:rPr>
          <w:rFonts w:hint="eastAsia" w:ascii="Arial" w:hAnsi="宋体" w:eastAsia="宋体" w:cs="Arial"/>
          <w:b/>
          <w:bCs/>
          <w:color w:val="auto"/>
          <w:sz w:val="26"/>
          <w:szCs w:val="26"/>
          <w:lang w:val="en-US" w:eastAsia="zh-CN"/>
        </w:rPr>
        <w:t>陆域保护区划分</w:t>
      </w:r>
    </w:p>
    <w:p w14:paraId="0433CE3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color w:val="auto"/>
          <w:sz w:val="26"/>
          <w:szCs w:val="26"/>
          <w:lang w:val="en-US" w:eastAsia="zh-CN"/>
        </w:rPr>
      </w:pPr>
      <w:r>
        <w:rPr>
          <w:rFonts w:hint="eastAsia" w:ascii="Arial" w:hAnsi="宋体" w:eastAsia="宋体" w:cs="Arial"/>
          <w:color w:val="auto"/>
          <w:sz w:val="26"/>
          <w:szCs w:val="26"/>
          <w:lang w:val="en-US" w:eastAsia="zh-CN"/>
        </w:rPr>
        <w:t>一级保护区：小型和单一供水功能的湖泊、水库以及中小型水库为一级保护区水域外不小于200m范围内的陆域，或一定高程线以下的陆域，但不超过流域分水岭范围。</w:t>
      </w:r>
    </w:p>
    <w:p w14:paraId="72CEF05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color w:val="auto"/>
          <w:sz w:val="26"/>
          <w:szCs w:val="26"/>
          <w:lang w:val="en-US" w:eastAsia="zh-CN"/>
        </w:rPr>
      </w:pPr>
      <w:r>
        <w:rPr>
          <w:rFonts w:hint="eastAsia" w:ascii="Arial" w:hAnsi="宋体" w:eastAsia="宋体" w:cs="Arial"/>
          <w:color w:val="auto"/>
          <w:sz w:val="26"/>
          <w:szCs w:val="26"/>
          <w:lang w:val="en-US" w:eastAsia="zh-CN"/>
        </w:rPr>
        <w:t>二级保护区：小型水库可将上游整个流域（一级保护区陆域外区域）设定为二级保护区。单一功能的湖泊、水库、小型湖泊和平原型中型水库的二级保护区范围是一级保护区以外水平距离不小于2000m区域，山区型中型水库二级保护区的范围为水库周边山脊线以内（一级保护区以外）及入库河流上溯不小于3000m的汇水区域。二级保护区陆域边界不超过流域分水岭。大中型湖泊、大型水库可以划分一级保护区外径向局里不小于3000m的区域为二级保护区范围。二级保护区陆域边界不超过相应的流域分水岭。</w:t>
      </w:r>
    </w:p>
    <w:p w14:paraId="18D18398">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hAnsi="宋体" w:eastAsia="宋体" w:cs="Arial"/>
          <w:color w:val="auto"/>
          <w:sz w:val="26"/>
          <w:szCs w:val="26"/>
          <w:lang w:val="en-US" w:eastAsia="zh-CN"/>
        </w:rPr>
      </w:pPr>
      <w:r>
        <w:rPr>
          <w:rFonts w:hint="eastAsia" w:ascii="Arial" w:hAnsi="宋体" w:eastAsia="宋体" w:cs="Arial"/>
          <w:b/>
          <w:bCs/>
          <w:color w:val="auto"/>
          <w:sz w:val="26"/>
          <w:szCs w:val="26"/>
          <w:lang w:val="en-US" w:eastAsia="zh-CN"/>
        </w:rPr>
        <w:t>（</w:t>
      </w:r>
      <w:r>
        <w:rPr>
          <w:rFonts w:hint="eastAsia" w:ascii="Arial" w:hAnsi="宋体" w:cs="Arial"/>
          <w:b/>
          <w:bCs/>
          <w:color w:val="auto"/>
          <w:sz w:val="26"/>
          <w:szCs w:val="26"/>
          <w:lang w:val="en-US" w:eastAsia="zh-CN"/>
        </w:rPr>
        <w:t>2</w:t>
      </w:r>
      <w:r>
        <w:rPr>
          <w:rFonts w:hint="eastAsia" w:ascii="Arial" w:hAnsi="宋体" w:eastAsia="宋体" w:cs="Arial"/>
          <w:b/>
          <w:bCs/>
          <w:color w:val="auto"/>
          <w:sz w:val="26"/>
          <w:szCs w:val="26"/>
          <w:lang w:val="en-US" w:eastAsia="zh-CN"/>
        </w:rPr>
        <w:t>）划分</w:t>
      </w:r>
      <w:r>
        <w:rPr>
          <w:rFonts w:hint="eastAsia" w:ascii="Arial" w:hAnsi="宋体" w:cs="Arial"/>
          <w:b/>
          <w:bCs/>
          <w:color w:val="auto"/>
          <w:sz w:val="26"/>
          <w:szCs w:val="26"/>
          <w:lang w:val="en-US" w:eastAsia="zh-CN"/>
        </w:rPr>
        <w:t>建议</w:t>
      </w:r>
    </w:p>
    <w:p w14:paraId="749B286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color w:val="auto"/>
          <w:sz w:val="26"/>
          <w:szCs w:val="26"/>
          <w:lang w:val="en-US" w:eastAsia="zh-CN"/>
        </w:rPr>
      </w:pPr>
      <w:r>
        <w:rPr>
          <w:rFonts w:hint="eastAsia" w:ascii="Arial" w:hAnsi="宋体" w:eastAsia="宋体" w:cs="Arial"/>
          <w:color w:val="auto"/>
          <w:sz w:val="26"/>
          <w:szCs w:val="26"/>
          <w:lang w:val="en-US" w:eastAsia="zh-CN"/>
        </w:rPr>
        <w:t>海螺沟水库为小（2）型水库，本次仅提出建议划分范围，建议水域一级保护区为整个水库水域；陆域一级保护区为水域外200m范围内的陆域，二级保护区为一级保护区以外入库河流流域分水岭范围。</w:t>
      </w:r>
      <w:r>
        <w:rPr>
          <w:rFonts w:hint="eastAsia" w:ascii="Arial" w:hAnsi="宋体" w:eastAsia="宋体" w:cs="Arial"/>
          <w:b/>
          <w:bCs/>
          <w:color w:val="auto"/>
          <w:sz w:val="26"/>
          <w:szCs w:val="26"/>
          <w:lang w:val="en-US" w:eastAsia="zh-CN"/>
        </w:rPr>
        <w:t>最终划分方案以水库建成蓄水后的饮用水水源保护区划分技术报告和主管部门的批复结果为准</w:t>
      </w:r>
      <w:r>
        <w:rPr>
          <w:rFonts w:hint="eastAsia" w:ascii="Arial" w:hAnsi="宋体" w:eastAsia="宋体" w:cs="Arial"/>
          <w:color w:val="auto"/>
          <w:sz w:val="26"/>
          <w:szCs w:val="26"/>
          <w:lang w:val="en-US" w:eastAsia="zh-CN"/>
        </w:rPr>
        <w:t>。</w:t>
      </w:r>
    </w:p>
    <w:p w14:paraId="6A5CF1B4">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rPr>
          <w:rFonts w:hint="eastAsia" w:ascii="Arial" w:hAnsi="宋体" w:eastAsia="宋体" w:cs="Arial"/>
          <w:color w:val="auto"/>
          <w:sz w:val="26"/>
          <w:szCs w:val="26"/>
          <w:lang w:val="en-US" w:eastAsia="zh-CN"/>
        </w:rPr>
      </w:pPr>
      <w:r>
        <w:rPr>
          <w:rFonts w:hint="eastAsia" w:ascii="Arial" w:hAnsi="宋体" w:eastAsia="宋体" w:cs="Arial"/>
          <w:b/>
          <w:bCs/>
          <w:color w:val="auto"/>
          <w:sz w:val="26"/>
          <w:szCs w:val="26"/>
          <w:lang w:val="en-US" w:eastAsia="zh-CN"/>
        </w:rPr>
        <w:t>（</w:t>
      </w:r>
      <w:r>
        <w:rPr>
          <w:rFonts w:hint="eastAsia" w:ascii="Arial" w:hAnsi="宋体" w:cs="Arial"/>
          <w:b/>
          <w:bCs/>
          <w:color w:val="auto"/>
          <w:sz w:val="26"/>
          <w:szCs w:val="26"/>
          <w:lang w:val="en-US" w:eastAsia="zh-CN"/>
        </w:rPr>
        <w:t>3</w:t>
      </w:r>
      <w:r>
        <w:rPr>
          <w:rFonts w:hint="eastAsia" w:ascii="Arial" w:hAnsi="宋体" w:eastAsia="宋体" w:cs="Arial"/>
          <w:b/>
          <w:bCs/>
          <w:color w:val="auto"/>
          <w:sz w:val="26"/>
          <w:szCs w:val="26"/>
          <w:lang w:val="en-US" w:eastAsia="zh-CN"/>
        </w:rPr>
        <w:t>）划定程序</w:t>
      </w:r>
    </w:p>
    <w:p w14:paraId="1B3878F1">
      <w:pPr>
        <w:autoSpaceDE w:val="0"/>
        <w:autoSpaceDN w:val="0"/>
        <w:adjustRightInd w:val="0"/>
        <w:spacing w:line="500" w:lineRule="exact"/>
        <w:ind w:firstLine="520" w:firstLineChars="200"/>
        <w:rPr>
          <w:rFonts w:hint="eastAsia" w:ascii="Arial" w:hAnsi="Arial" w:eastAsia="宋体" w:cs="Arial"/>
          <w:kern w:val="2"/>
          <w:sz w:val="26"/>
          <w:szCs w:val="26"/>
          <w:lang w:val="en-US" w:eastAsia="zh-CN" w:bidi="ar-SA"/>
        </w:rPr>
      </w:pPr>
      <w:r>
        <w:rPr>
          <w:rFonts w:hint="eastAsia" w:ascii="Arial" w:hAnsi="Arial" w:eastAsia="宋体" w:cs="Arial"/>
          <w:kern w:val="2"/>
          <w:sz w:val="26"/>
          <w:szCs w:val="26"/>
          <w:lang w:val="en-US" w:eastAsia="zh-CN" w:bidi="ar-SA"/>
        </w:rPr>
        <w:t>根据《饮用水水源保护区污染防治管理规定》：饮用水水源保护区的划定由有关市、县人民政府提出划定方案，报省、自治区、直辖市人民政府批准。项目饮用水水源保护区由丰都县人民政府提出划定方案，报重庆市人民政府批准后生效。按照《饮用水水源保护区标志技术要求》（HJ/T433-2008）的要求规范设置饮用水水源保护区界标、交通警示牌、宣传牌。</w:t>
      </w:r>
    </w:p>
    <w:p w14:paraId="4CC9DB28">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宋体" w:eastAsia="宋体" w:cs="Arial"/>
          <w:b/>
          <w:bCs/>
          <w:color w:val="auto"/>
          <w:sz w:val="26"/>
          <w:szCs w:val="26"/>
          <w:lang w:val="en-US" w:eastAsia="zh-CN"/>
        </w:rPr>
      </w:pPr>
      <w:r>
        <w:rPr>
          <w:rFonts w:hint="eastAsia" w:ascii="Arial" w:hAnsi="宋体" w:eastAsia="宋体" w:cs="Arial"/>
          <w:b/>
          <w:bCs/>
          <w:color w:val="auto"/>
          <w:sz w:val="26"/>
          <w:szCs w:val="26"/>
          <w:lang w:val="en-US" w:eastAsia="zh-CN"/>
        </w:rPr>
        <w:t>7.4.2库底清理</w:t>
      </w:r>
    </w:p>
    <w:p w14:paraId="37A0C0AF">
      <w:pPr>
        <w:pStyle w:val="2115"/>
        <w:spacing w:line="460" w:lineRule="exact"/>
        <w:rPr>
          <w:rFonts w:hint="eastAsia" w:ascii="Arial" w:hAnsi="Arial" w:eastAsia="宋体" w:cs="Arial"/>
          <w:color w:val="auto"/>
          <w:lang w:val="en-US" w:eastAsia="zh-CN"/>
        </w:rPr>
      </w:pPr>
      <w:r>
        <w:rPr>
          <w:rFonts w:hint="eastAsia" w:ascii="Arial" w:hAnsi="Arial" w:cs="Arial"/>
        </w:rPr>
        <w:t>为防止水库淹没区内的植被、杂物等对库区水体的污染，保护水库水资源</w:t>
      </w:r>
      <w:r>
        <w:rPr>
          <w:rFonts w:hint="eastAsia" w:ascii="Arial" w:hAnsi="Arial" w:cs="Arial"/>
          <w:color w:val="auto"/>
        </w:rPr>
        <w:t>和下游人群健康，在蓄水前三个月必须完成库底清理工作，</w:t>
      </w:r>
      <w:r>
        <w:rPr>
          <w:rFonts w:hint="eastAsia" w:ascii="Arial" w:hAnsi="Arial" w:cs="Arial"/>
          <w:color w:val="auto"/>
          <w:lang w:val="en-US" w:eastAsia="zh-CN"/>
        </w:rPr>
        <w:t>参照</w:t>
      </w:r>
      <w:r>
        <w:rPr>
          <w:rFonts w:hint="eastAsia" w:ascii="Arial" w:hAnsi="Arial" w:eastAsia="宋体" w:cs="Arial"/>
          <w:color w:val="auto"/>
        </w:rPr>
        <w:t>《水利水电工程建设征地移民安置规划设计规范》</w:t>
      </w:r>
      <w:r>
        <w:rPr>
          <w:rFonts w:hint="eastAsia" w:ascii="Arial" w:hAnsi="Arial" w:eastAsia="宋体" w:cs="Arial"/>
          <w:color w:val="auto"/>
          <w:lang w:eastAsia="zh-CN"/>
        </w:rPr>
        <w:t>（</w:t>
      </w:r>
      <w:r>
        <w:rPr>
          <w:rFonts w:hint="eastAsia" w:ascii="Arial" w:hAnsi="Arial" w:eastAsia="宋体" w:cs="Arial"/>
          <w:color w:val="auto"/>
        </w:rPr>
        <w:t>SL290-2009</w:t>
      </w:r>
      <w:r>
        <w:rPr>
          <w:rFonts w:hint="eastAsia" w:ascii="Arial" w:hAnsi="Arial" w:eastAsia="宋体" w:cs="Arial"/>
          <w:color w:val="auto"/>
          <w:lang w:eastAsia="zh-CN"/>
        </w:rPr>
        <w:t>）</w:t>
      </w:r>
      <w:r>
        <w:rPr>
          <w:rFonts w:hint="eastAsia" w:ascii="Arial" w:hAnsi="Arial" w:eastAsia="宋体" w:cs="Arial"/>
          <w:color w:val="auto"/>
        </w:rPr>
        <w:t>和《水利水电工程水库库底清理设计规范》</w:t>
      </w:r>
      <w:r>
        <w:rPr>
          <w:rFonts w:hint="eastAsia" w:ascii="Arial" w:hAnsi="Arial" w:eastAsia="宋体" w:cs="Arial"/>
          <w:color w:val="auto"/>
          <w:lang w:eastAsia="zh-CN"/>
        </w:rPr>
        <w:t>（</w:t>
      </w:r>
      <w:r>
        <w:rPr>
          <w:rFonts w:hint="eastAsia" w:ascii="Arial" w:hAnsi="Arial" w:eastAsia="宋体" w:cs="Arial"/>
          <w:color w:val="auto"/>
        </w:rPr>
        <w:t>SL644-2014</w:t>
      </w:r>
      <w:r>
        <w:rPr>
          <w:rFonts w:hint="eastAsia" w:ascii="Arial" w:hAnsi="Arial" w:eastAsia="宋体" w:cs="Arial"/>
          <w:color w:val="auto"/>
          <w:lang w:eastAsia="zh-CN"/>
        </w:rPr>
        <w:t>）</w:t>
      </w:r>
      <w:r>
        <w:rPr>
          <w:rFonts w:hint="eastAsia" w:ascii="Arial" w:hAnsi="Arial" w:cs="Arial"/>
          <w:color w:val="auto"/>
          <w:lang w:eastAsia="zh-CN"/>
        </w:rPr>
        <w:t>，水库库底清理分一般清理和特殊清理，本项目地处农村，库区淹没范围内无工矿企业、集中式污染源、规模化畜禽养殖场等，故库底清理为一般清理。</w:t>
      </w:r>
    </w:p>
    <w:p w14:paraId="34A495C6">
      <w:pPr>
        <w:pStyle w:val="2115"/>
        <w:spacing w:line="460" w:lineRule="exact"/>
        <w:ind w:firstLine="392" w:firstLineChars="150"/>
        <w:rPr>
          <w:rFonts w:hint="eastAsia" w:ascii="Arial" w:hAnsi="Arial" w:cs="Arial"/>
          <w:b/>
          <w:color w:val="auto"/>
        </w:rPr>
      </w:pPr>
      <w:r>
        <w:rPr>
          <w:rFonts w:hint="eastAsia" w:ascii="Arial" w:hAnsi="Arial" w:cs="Arial"/>
          <w:b/>
          <w:color w:val="auto"/>
        </w:rPr>
        <w:t>（1）清理范围</w:t>
      </w:r>
    </w:p>
    <w:p w14:paraId="2241AC8F">
      <w:pPr>
        <w:pStyle w:val="2115"/>
        <w:spacing w:line="460" w:lineRule="exact"/>
        <w:rPr>
          <w:rFonts w:hint="eastAsia" w:ascii="Arial" w:hAnsi="Arial" w:cs="Arial"/>
        </w:rPr>
      </w:pPr>
      <w:r>
        <w:rPr>
          <w:rFonts w:hint="eastAsia" w:ascii="Arial" w:hAnsi="Arial" w:cs="Arial"/>
        </w:rPr>
        <w:t>①卫生清理</w:t>
      </w:r>
      <w:r>
        <w:rPr>
          <w:rFonts w:hint="eastAsia" w:ascii="Arial" w:hAnsi="Arial" w:cs="Arial"/>
          <w:lang w:eastAsia="zh-CN"/>
        </w:rPr>
        <w:t>、固体废物</w:t>
      </w:r>
      <w:r>
        <w:rPr>
          <w:rFonts w:hint="eastAsia" w:ascii="Arial" w:hAnsi="Arial" w:cs="Arial"/>
        </w:rPr>
        <w:t>范围为居民迁移线以下（不含影响区）区域。</w:t>
      </w:r>
    </w:p>
    <w:p w14:paraId="6A6B39CC">
      <w:pPr>
        <w:pStyle w:val="2115"/>
        <w:spacing w:line="460" w:lineRule="exact"/>
        <w:rPr>
          <w:rFonts w:hint="eastAsia" w:ascii="Arial" w:hAnsi="Arial" w:cs="Arial"/>
        </w:rPr>
      </w:pPr>
      <w:r>
        <w:rPr>
          <w:rFonts w:hint="eastAsia" w:ascii="Arial" w:hAnsi="Arial" w:cs="Arial"/>
        </w:rPr>
        <w:t>②一般建（构）筑物清理范围为居民迁移线以下区域。</w:t>
      </w:r>
    </w:p>
    <w:p w14:paraId="1C17F2BA">
      <w:pPr>
        <w:pStyle w:val="2115"/>
        <w:spacing w:line="460" w:lineRule="exact"/>
        <w:rPr>
          <w:rFonts w:hint="eastAsia" w:ascii="Arial" w:hAnsi="Arial" w:cs="Arial"/>
        </w:rPr>
      </w:pPr>
      <w:r>
        <w:rPr>
          <w:rFonts w:hint="eastAsia" w:ascii="Arial" w:hAnsi="Arial" w:cs="Arial"/>
        </w:rPr>
        <w:t>③大体积建（构）筑物残留体清理范围为居民迁移线以下至死水位（含极限死位）以下3m范围内。</w:t>
      </w:r>
    </w:p>
    <w:p w14:paraId="053E6419">
      <w:pPr>
        <w:pStyle w:val="2115"/>
        <w:spacing w:line="460" w:lineRule="exact"/>
        <w:rPr>
          <w:rFonts w:hint="eastAsia" w:ascii="Arial" w:hAnsi="Arial" w:cs="Arial"/>
        </w:rPr>
      </w:pPr>
      <w:r>
        <w:rPr>
          <w:rFonts w:hint="eastAsia" w:ascii="Arial" w:hAnsi="Arial" w:cs="Arial"/>
        </w:rPr>
        <w:t>④林木清理范围为正常蓄水位以下的水库淹没区。</w:t>
      </w:r>
    </w:p>
    <w:p w14:paraId="778F62BF">
      <w:pPr>
        <w:pStyle w:val="2115"/>
        <w:spacing w:line="460" w:lineRule="exact"/>
        <w:ind w:firstLine="392" w:firstLineChars="150"/>
        <w:rPr>
          <w:rFonts w:hint="eastAsia" w:ascii="Arial" w:hAnsi="Arial" w:cs="Arial"/>
          <w:b/>
          <w:color w:val="auto"/>
        </w:rPr>
      </w:pPr>
      <w:r>
        <w:rPr>
          <w:rFonts w:hint="eastAsia" w:ascii="Arial" w:hAnsi="Arial" w:cs="Arial"/>
          <w:b/>
          <w:color w:val="auto"/>
        </w:rPr>
        <w:t>（2）清理对象</w:t>
      </w:r>
    </w:p>
    <w:p w14:paraId="485F3072">
      <w:pPr>
        <w:pStyle w:val="2115"/>
        <w:spacing w:line="460" w:lineRule="exact"/>
        <w:rPr>
          <w:rFonts w:hint="eastAsia" w:ascii="Arial" w:hAnsi="Arial" w:cs="Arial"/>
        </w:rPr>
      </w:pPr>
      <w:r>
        <w:rPr>
          <w:rFonts w:hint="eastAsia" w:ascii="Arial" w:hAnsi="Arial" w:cs="Arial"/>
        </w:rPr>
        <w:t>清理对象包括所有可能对水体产生污染的固体、液体废弃物，分为常规（一般）污染源、传染性污染源、生物类污染源、一般固体废物、危险废物等。</w:t>
      </w:r>
    </w:p>
    <w:p w14:paraId="49BE1C1B">
      <w:pPr>
        <w:pStyle w:val="2115"/>
        <w:spacing w:line="460" w:lineRule="exact"/>
        <w:rPr>
          <w:rFonts w:hint="eastAsia" w:ascii="Arial" w:hAnsi="Arial" w:cs="Arial"/>
        </w:rPr>
      </w:pPr>
      <w:r>
        <w:rPr>
          <w:rFonts w:hint="eastAsia" w:ascii="Arial" w:hAnsi="Arial" w:cs="Arial"/>
        </w:rPr>
        <w:t>①常规（一般）污染源。化粪池、沼气池、粪池、公共厕所、牲畜栏、污水池。生活垃圾及其堆放场。普通坟墓。</w:t>
      </w:r>
    </w:p>
    <w:p w14:paraId="41E1D48D">
      <w:pPr>
        <w:pStyle w:val="2115"/>
        <w:spacing w:line="460" w:lineRule="exact"/>
        <w:rPr>
          <w:rFonts w:hint="eastAsia" w:ascii="Arial" w:hAnsi="Arial" w:cs="Arial"/>
        </w:rPr>
      </w:pPr>
      <w:r>
        <w:rPr>
          <w:rFonts w:hint="eastAsia" w:ascii="Arial" w:hAnsi="Arial" w:cs="Arial"/>
        </w:rPr>
        <w:t>②传染性污染源。传染病疫源地。医疗卫生机构工作区和医院垃圾。兽医站、屠宰场及牲畜交易所。传染病死亡者墓地和病死畜掩埋地。</w:t>
      </w:r>
    </w:p>
    <w:p w14:paraId="01D219D1">
      <w:pPr>
        <w:pStyle w:val="2115"/>
        <w:spacing w:line="460" w:lineRule="exact"/>
        <w:rPr>
          <w:rFonts w:hint="eastAsia" w:ascii="Arial" w:hAnsi="Arial" w:cs="Arial"/>
        </w:rPr>
      </w:pPr>
      <w:r>
        <w:rPr>
          <w:rFonts w:hint="eastAsia" w:ascii="Arial" w:hAnsi="Arial" w:cs="Arial"/>
        </w:rPr>
        <w:t>③生物类污染源。居民区、集贸市场、仓库、屠宰场、码头、垃圾堆放场及耕作区的鼠类。钉螺、蟑螂等其他生物类污染源。</w:t>
      </w:r>
    </w:p>
    <w:p w14:paraId="72B51F4F">
      <w:pPr>
        <w:pStyle w:val="2115"/>
        <w:spacing w:line="460" w:lineRule="exact"/>
        <w:rPr>
          <w:rFonts w:hint="eastAsia" w:ascii="Arial" w:hAnsi="Arial" w:cs="Arial"/>
        </w:rPr>
      </w:pPr>
      <w:r>
        <w:rPr>
          <w:rFonts w:hint="eastAsia" w:ascii="Arial" w:hAnsi="Arial" w:cs="Arial"/>
        </w:rPr>
        <w:t>④一般固体废物。一般工业固体废物。废弃建筑材料。不属于危险废物的废弃尾矿渣，暂未发现。</w:t>
      </w:r>
    </w:p>
    <w:p w14:paraId="5E35EC5A">
      <w:pPr>
        <w:pStyle w:val="2115"/>
        <w:spacing w:line="460" w:lineRule="exact"/>
        <w:rPr>
          <w:rFonts w:hint="eastAsia" w:ascii="Arial" w:hAnsi="Arial" w:cs="Arial"/>
        </w:rPr>
      </w:pPr>
      <w:r>
        <w:rPr>
          <w:rFonts w:hint="eastAsia" w:ascii="Arial" w:hAnsi="Arial" w:cs="Arial"/>
        </w:rPr>
        <w:t>⑤危险废物。列入环发《国家危险废物名录》或根据GB5085认定的具有危险特征的固体废物。</w:t>
      </w:r>
    </w:p>
    <w:p w14:paraId="64142C63">
      <w:pPr>
        <w:pStyle w:val="2115"/>
        <w:spacing w:line="460" w:lineRule="exact"/>
        <w:rPr>
          <w:rFonts w:hint="eastAsia" w:ascii="Arial" w:hAnsi="Arial" w:cs="Arial"/>
        </w:rPr>
      </w:pPr>
      <w:r>
        <w:rPr>
          <w:rFonts w:hint="eastAsia" w:ascii="Arial" w:hAnsi="Arial" w:cs="Arial"/>
          <w:lang w:eastAsia="zh-CN"/>
        </w:rPr>
        <w:t>海螺沟</w:t>
      </w:r>
      <w:r>
        <w:rPr>
          <w:rFonts w:hint="eastAsia" w:ascii="Arial" w:hAnsi="Arial" w:cs="Arial"/>
        </w:rPr>
        <w:t>水库工程清理对象主要为第①类。</w:t>
      </w:r>
    </w:p>
    <w:p w14:paraId="568659D1">
      <w:pPr>
        <w:pStyle w:val="2115"/>
        <w:spacing w:line="460" w:lineRule="exact"/>
        <w:ind w:firstLine="392" w:firstLineChars="150"/>
        <w:rPr>
          <w:rFonts w:hint="eastAsia" w:ascii="Arial" w:hAnsi="Arial" w:cs="Arial"/>
          <w:b/>
          <w:color w:val="auto"/>
        </w:rPr>
      </w:pPr>
      <w:r>
        <w:rPr>
          <w:rFonts w:hint="eastAsia" w:ascii="Arial" w:hAnsi="Arial" w:cs="Arial"/>
          <w:b/>
          <w:color w:val="auto"/>
        </w:rPr>
        <w:t>（3）清理</w:t>
      </w:r>
      <w:r>
        <w:rPr>
          <w:rFonts w:hint="eastAsia" w:ascii="Arial" w:hAnsi="Arial" w:cs="Arial"/>
          <w:b/>
          <w:color w:val="auto"/>
          <w:lang w:eastAsia="zh-CN"/>
        </w:rPr>
        <w:t>技术</w:t>
      </w:r>
      <w:r>
        <w:rPr>
          <w:rFonts w:hint="eastAsia" w:ascii="Arial" w:hAnsi="Arial" w:cs="Arial"/>
          <w:b/>
          <w:color w:val="auto"/>
        </w:rPr>
        <w:t>要求</w:t>
      </w:r>
    </w:p>
    <w:p w14:paraId="57152A33">
      <w:pPr>
        <w:pStyle w:val="2115"/>
        <w:spacing w:line="460" w:lineRule="exact"/>
        <w:rPr>
          <w:rFonts w:hint="eastAsia" w:ascii="Arial" w:hAnsi="Arial" w:cs="Arial"/>
          <w:color w:val="auto"/>
          <w:sz w:val="26"/>
          <w:szCs w:val="26"/>
        </w:rPr>
      </w:pPr>
      <w:r>
        <w:rPr>
          <w:rFonts w:hint="eastAsia" w:ascii="Arial" w:hAnsi="Arial" w:cs="Arial"/>
          <w:color w:val="auto"/>
          <w:sz w:val="26"/>
          <w:szCs w:val="26"/>
        </w:rPr>
        <w:t>①林木清理</w:t>
      </w:r>
    </w:p>
    <w:p w14:paraId="17DA0263">
      <w:pPr>
        <w:pStyle w:val="2115"/>
        <w:spacing w:line="460" w:lineRule="exact"/>
        <w:rPr>
          <w:rFonts w:hint="eastAsia" w:ascii="Arial" w:hAnsi="Arial" w:cs="Arial"/>
          <w:color w:val="auto"/>
          <w:sz w:val="26"/>
          <w:szCs w:val="26"/>
        </w:rPr>
      </w:pPr>
      <w:r>
        <w:rPr>
          <w:rFonts w:hint="eastAsia" w:ascii="Arial" w:hAnsi="Arial" w:cs="Arial"/>
          <w:color w:val="auto"/>
          <w:sz w:val="26"/>
          <w:szCs w:val="26"/>
        </w:rPr>
        <w:t>清理范围内的林木应齐地砍伐，残留树桩不高出地面0.3m</w:t>
      </w:r>
      <w:r>
        <w:rPr>
          <w:rFonts w:hint="eastAsia" w:ascii="Arial" w:hAnsi="Arial" w:cs="Arial"/>
          <w:color w:val="auto"/>
          <w:sz w:val="26"/>
          <w:szCs w:val="26"/>
          <w:lang w:eastAsia="zh-CN"/>
        </w:rPr>
        <w:t>，</w:t>
      </w:r>
      <w:r>
        <w:rPr>
          <w:rFonts w:hint="eastAsia" w:ascii="Arial" w:hAnsi="Arial" w:cs="Arial"/>
          <w:color w:val="auto"/>
          <w:sz w:val="26"/>
          <w:szCs w:val="26"/>
        </w:rPr>
        <w:t>枝丫不得残留库区。林地清理应严格按照林业部门的有关规定进行，严禁放火烧林。</w:t>
      </w:r>
    </w:p>
    <w:p w14:paraId="7C8B7F6E">
      <w:pPr>
        <w:pStyle w:val="2115"/>
        <w:spacing w:line="460" w:lineRule="exact"/>
        <w:rPr>
          <w:rFonts w:hint="eastAsia" w:ascii="Arial" w:hAnsi="Arial" w:cs="Arial"/>
          <w:color w:val="auto"/>
          <w:sz w:val="26"/>
          <w:szCs w:val="26"/>
          <w:lang w:eastAsia="zh-CN"/>
        </w:rPr>
      </w:pPr>
      <w:r>
        <w:rPr>
          <w:rFonts w:hint="eastAsia" w:ascii="Arial" w:hAnsi="Arial" w:cs="Arial"/>
          <w:color w:val="auto"/>
          <w:sz w:val="26"/>
          <w:szCs w:val="26"/>
        </w:rPr>
        <w:t>②</w:t>
      </w:r>
      <w:r>
        <w:rPr>
          <w:rFonts w:hint="eastAsia" w:ascii="Arial" w:hAnsi="Arial" w:cs="Arial"/>
          <w:color w:val="auto"/>
          <w:sz w:val="26"/>
          <w:szCs w:val="26"/>
          <w:lang w:eastAsia="zh-CN"/>
        </w:rPr>
        <w:t>卫生清理</w:t>
      </w:r>
    </w:p>
    <w:p w14:paraId="35EBBCF5">
      <w:pPr>
        <w:pStyle w:val="2115"/>
        <w:spacing w:line="460" w:lineRule="exact"/>
        <w:rPr>
          <w:rFonts w:hint="eastAsia" w:ascii="Arial" w:hAnsi="Arial" w:cs="Arial"/>
          <w:color w:val="auto"/>
          <w:sz w:val="26"/>
          <w:szCs w:val="26"/>
          <w:lang w:eastAsia="zh-CN"/>
        </w:rPr>
      </w:pPr>
      <w:r>
        <w:rPr>
          <w:rFonts w:hint="eastAsia" w:ascii="Arial" w:hAnsi="Arial" w:cs="Arial"/>
          <w:color w:val="auto"/>
          <w:sz w:val="26"/>
          <w:szCs w:val="26"/>
          <w:lang w:eastAsia="zh-CN"/>
        </w:rPr>
        <w:t>包括粪池、坟墓等，</w:t>
      </w:r>
      <w:r>
        <w:rPr>
          <w:rFonts w:hint="eastAsia" w:ascii="Arial" w:hAnsi="Arial" w:cs="Arial"/>
          <w:color w:val="auto"/>
          <w:sz w:val="26"/>
          <w:szCs w:val="26"/>
        </w:rPr>
        <w:t>对清理范围内粪池、 沼气池的污物、坑穴及被污染的土壤，均应进行无害化处理。</w:t>
      </w:r>
      <w:r>
        <w:rPr>
          <w:rFonts w:hint="eastAsia" w:ascii="Arial" w:hAnsi="Arial" w:cs="Arial"/>
          <w:color w:val="auto"/>
          <w:sz w:val="26"/>
          <w:szCs w:val="26"/>
          <w:lang w:eastAsia="zh-CN"/>
        </w:rPr>
        <w:t>清除污染物后的坑穴</w:t>
      </w:r>
      <w:r>
        <w:rPr>
          <w:rFonts w:hint="eastAsia" w:ascii="Arial" w:hAnsi="Arial" w:cs="Arial"/>
          <w:color w:val="auto"/>
          <w:sz w:val="26"/>
          <w:szCs w:val="26"/>
        </w:rPr>
        <w:t>应加等量生石灰或按1kg/m</w:t>
      </w:r>
      <w:r>
        <w:rPr>
          <w:rFonts w:hint="eastAsia" w:ascii="Arial" w:hAnsi="Arial" w:cs="Arial"/>
          <w:color w:val="auto"/>
          <w:sz w:val="26"/>
          <w:szCs w:val="26"/>
          <w:vertAlign w:val="superscript"/>
        </w:rPr>
        <w:t>2</w:t>
      </w:r>
      <w:r>
        <w:rPr>
          <w:rFonts w:hint="eastAsia" w:ascii="Arial" w:hAnsi="Arial" w:cs="Arial"/>
          <w:color w:val="auto"/>
          <w:sz w:val="26"/>
          <w:szCs w:val="26"/>
        </w:rPr>
        <w:t>撒布漂白粉</w:t>
      </w:r>
      <w:r>
        <w:rPr>
          <w:rFonts w:hint="eastAsia" w:ascii="Arial" w:hAnsi="Arial" w:cs="Arial"/>
          <w:color w:val="auto"/>
          <w:sz w:val="26"/>
          <w:szCs w:val="26"/>
          <w:lang w:eastAsia="zh-CN"/>
        </w:rPr>
        <w:t>进行消毒处理，消毒后的坑穴采用净土覆盖压实。</w:t>
      </w:r>
    </w:p>
    <w:p w14:paraId="652272AB">
      <w:pPr>
        <w:pStyle w:val="2115"/>
        <w:spacing w:line="460" w:lineRule="exact"/>
        <w:rPr>
          <w:rFonts w:hint="eastAsia" w:ascii="Arial" w:hAnsi="Arial" w:cs="Arial"/>
          <w:color w:val="auto"/>
          <w:sz w:val="26"/>
          <w:szCs w:val="26"/>
          <w:lang w:eastAsia="zh-CN"/>
        </w:rPr>
      </w:pPr>
      <w:r>
        <w:rPr>
          <w:rFonts w:hint="eastAsia" w:ascii="Arial" w:hAnsi="Arial" w:cs="Arial"/>
          <w:color w:val="auto"/>
          <w:sz w:val="26"/>
          <w:szCs w:val="26"/>
        </w:rPr>
        <w:t>有主坟墓应限期迁出库区，过期无人管理一律按无主坟墓处理。埋葬15年以内的墓穴及周围土应摊晒，或直接用4%漂白粉上清液按1~2kg/m</w:t>
      </w:r>
      <w:r>
        <w:rPr>
          <w:rFonts w:hint="eastAsia" w:ascii="Arial" w:hAnsi="Arial" w:cs="Arial"/>
          <w:color w:val="auto"/>
          <w:sz w:val="26"/>
          <w:szCs w:val="26"/>
          <w:vertAlign w:val="superscript"/>
        </w:rPr>
        <w:t>2</w:t>
      </w:r>
      <w:r>
        <w:rPr>
          <w:rFonts w:hint="eastAsia" w:ascii="Arial" w:hAnsi="Arial" w:cs="Arial"/>
          <w:color w:val="auto"/>
          <w:sz w:val="26"/>
          <w:szCs w:val="26"/>
        </w:rPr>
        <w:t>或生石灰0.5~1kg/m</w:t>
      </w:r>
      <w:r>
        <w:rPr>
          <w:rFonts w:hint="eastAsia" w:ascii="Arial" w:hAnsi="Arial" w:cs="Arial"/>
          <w:color w:val="auto"/>
          <w:sz w:val="26"/>
          <w:szCs w:val="26"/>
          <w:vertAlign w:val="superscript"/>
        </w:rPr>
        <w:t>2</w:t>
      </w:r>
      <w:r>
        <w:rPr>
          <w:rFonts w:hint="eastAsia" w:ascii="Arial" w:hAnsi="Arial" w:cs="Arial"/>
          <w:color w:val="auto"/>
          <w:sz w:val="26"/>
          <w:szCs w:val="26"/>
        </w:rPr>
        <w:t>处理后，回填压实。无主坟墓压实处理。</w:t>
      </w:r>
    </w:p>
    <w:p w14:paraId="63F30701">
      <w:pPr>
        <w:pStyle w:val="2115"/>
        <w:spacing w:line="460" w:lineRule="exact"/>
        <w:rPr>
          <w:rFonts w:hint="eastAsia" w:ascii="Arial" w:hAnsi="Arial" w:cs="Arial"/>
          <w:color w:val="auto"/>
        </w:rPr>
      </w:pPr>
      <w:r>
        <w:rPr>
          <w:rFonts w:hint="eastAsia" w:ascii="宋体" w:hAnsi="宋体" w:eastAsia="宋体" w:cs="宋体"/>
          <w:spacing w:val="-6"/>
          <w:sz w:val="25"/>
          <w:szCs w:val="25"/>
          <w:lang w:eastAsia="zh-CN"/>
        </w:rPr>
        <w:t>生活垃圾人工清理后，</w:t>
      </w:r>
      <w:r>
        <w:rPr>
          <w:rFonts w:hint="eastAsia" w:ascii="Arial" w:hAnsi="Arial" w:cs="Arial"/>
          <w:color w:val="auto"/>
        </w:rPr>
        <w:t>交</w:t>
      </w:r>
      <w:r>
        <w:rPr>
          <w:rFonts w:hint="eastAsia" w:ascii="Arial" w:hAnsi="Arial" w:cs="Arial"/>
          <w:color w:val="auto"/>
          <w:lang w:eastAsia="zh-CN"/>
        </w:rPr>
        <w:t>当地市政</w:t>
      </w:r>
      <w:r>
        <w:rPr>
          <w:rFonts w:hint="eastAsia" w:ascii="Arial" w:hAnsi="Arial" w:cs="Arial"/>
          <w:color w:val="auto"/>
        </w:rPr>
        <w:t>环卫部门统一</w:t>
      </w:r>
      <w:r>
        <w:rPr>
          <w:rFonts w:hint="eastAsia" w:ascii="Arial" w:hAnsi="Arial" w:cs="Arial"/>
          <w:color w:val="auto"/>
          <w:lang w:eastAsia="zh-CN"/>
        </w:rPr>
        <w:t>清运</w:t>
      </w:r>
      <w:r>
        <w:rPr>
          <w:rFonts w:hint="eastAsia" w:ascii="Arial" w:hAnsi="Arial" w:cs="Arial"/>
          <w:color w:val="auto"/>
        </w:rPr>
        <w:t>处置。</w:t>
      </w:r>
    </w:p>
    <w:p w14:paraId="329A6E7F">
      <w:pPr>
        <w:pStyle w:val="2115"/>
        <w:spacing w:line="460" w:lineRule="exact"/>
        <w:rPr>
          <w:rFonts w:hint="eastAsia" w:ascii="Arial" w:hAnsi="Arial" w:cs="Arial"/>
          <w:color w:val="auto"/>
        </w:rPr>
      </w:pPr>
      <w:r>
        <w:rPr>
          <w:rFonts w:hint="eastAsia" w:ascii="Arial" w:hAnsi="Arial" w:cs="Arial"/>
          <w:color w:val="auto"/>
        </w:rPr>
        <w:t>普通坟墓有主坟墓应限期迁出库区，过期无人管理一律按无主坟墓处理。经生石灰消毒处理后，回填压实。</w:t>
      </w:r>
    </w:p>
    <w:p w14:paraId="02DCF80D">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outlineLvl w:val="1"/>
        <w:rPr>
          <w:rFonts w:hint="default" w:ascii="Arial" w:hAnsi="Arial" w:cs="Arial"/>
          <w:sz w:val="26"/>
          <w:szCs w:val="26"/>
        </w:rPr>
      </w:pPr>
      <w:r>
        <w:rPr>
          <w:rFonts w:hint="eastAsia" w:ascii="Arial" w:hAnsi="Arial" w:cs="Arial"/>
          <w:b/>
          <w:color w:val="auto"/>
          <w:sz w:val="26"/>
          <w:szCs w:val="26"/>
        </w:rPr>
        <w:t>（</w:t>
      </w:r>
      <w:r>
        <w:rPr>
          <w:rFonts w:hint="eastAsia" w:ascii="Arial" w:hAnsi="Arial" w:cs="Arial"/>
          <w:b/>
          <w:color w:val="auto"/>
          <w:sz w:val="26"/>
          <w:szCs w:val="26"/>
          <w:lang w:val="en-US" w:eastAsia="zh-CN"/>
        </w:rPr>
        <w:t>4</w:t>
      </w:r>
      <w:r>
        <w:rPr>
          <w:rFonts w:hint="eastAsia" w:ascii="Arial" w:hAnsi="Arial" w:cs="Arial"/>
          <w:b/>
          <w:color w:val="auto"/>
          <w:sz w:val="26"/>
          <w:szCs w:val="26"/>
        </w:rPr>
        <w:t>）清理</w:t>
      </w:r>
      <w:r>
        <w:rPr>
          <w:rFonts w:hint="eastAsia" w:ascii="Arial" w:hAnsi="Arial" w:cs="Arial"/>
          <w:b/>
          <w:color w:val="auto"/>
          <w:sz w:val="26"/>
          <w:szCs w:val="26"/>
          <w:lang w:eastAsia="zh-CN"/>
        </w:rPr>
        <w:t>物处置</w:t>
      </w:r>
    </w:p>
    <w:p w14:paraId="6C6E6FD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default" w:ascii="Arial" w:hAnsi="Arial" w:cs="Arial"/>
          <w:sz w:val="26"/>
          <w:szCs w:val="26"/>
        </w:rPr>
      </w:pPr>
      <w:r>
        <w:rPr>
          <w:rFonts w:hint="eastAsia" w:ascii="Arial" w:hAnsi="Arial" w:cs="Arial"/>
          <w:bCs/>
          <w:color w:val="auto"/>
          <w:sz w:val="26"/>
          <w:szCs w:val="26"/>
          <w:lang w:eastAsia="zh-CN"/>
        </w:rPr>
        <w:t>项目清库废物主要为林木和生活垃圾，生活垃圾等交当地市政环卫部门统一清运处置，木材可外卖进行综合再利用，运输过程中需加盖、遮挡，避免二次污染。</w:t>
      </w:r>
    </w:p>
    <w:p w14:paraId="447006FC">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宋体" w:eastAsia="宋体" w:cs="Arial"/>
          <w:b/>
          <w:bCs/>
          <w:color w:val="auto"/>
          <w:sz w:val="26"/>
          <w:szCs w:val="26"/>
          <w:lang w:val="en-US" w:eastAsia="zh-CN"/>
        </w:rPr>
      </w:pPr>
      <w:r>
        <w:rPr>
          <w:rFonts w:hint="eastAsia" w:ascii="Arial" w:hAnsi="宋体" w:eastAsia="宋体" w:cs="Arial"/>
          <w:b/>
          <w:bCs/>
          <w:color w:val="auto"/>
          <w:sz w:val="26"/>
          <w:szCs w:val="26"/>
          <w:lang w:val="en-US" w:eastAsia="zh-CN"/>
        </w:rPr>
        <w:t>7.4.3水库集雨范围及库区污染防治措施</w:t>
      </w:r>
    </w:p>
    <w:p w14:paraId="584874CA">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outlineLvl w:val="1"/>
        <w:rPr>
          <w:rFonts w:hint="eastAsia" w:ascii="Arial" w:hAnsi="Arial" w:eastAsia="宋体" w:cs="Arial"/>
          <w:sz w:val="26"/>
          <w:szCs w:val="26"/>
          <w:lang w:eastAsia="zh-CN"/>
        </w:rPr>
      </w:pPr>
      <w:r>
        <w:rPr>
          <w:rFonts w:hint="eastAsia" w:ascii="Arial" w:hAnsi="Arial" w:cs="Arial"/>
          <w:b/>
          <w:color w:val="auto"/>
          <w:sz w:val="26"/>
          <w:szCs w:val="26"/>
        </w:rPr>
        <w:t>（</w:t>
      </w:r>
      <w:r>
        <w:rPr>
          <w:rFonts w:hint="eastAsia" w:ascii="Arial" w:hAnsi="Arial" w:cs="Arial"/>
          <w:b/>
          <w:color w:val="auto"/>
          <w:sz w:val="26"/>
          <w:szCs w:val="26"/>
          <w:lang w:val="en-US" w:eastAsia="zh-CN"/>
        </w:rPr>
        <w:t>1</w:t>
      </w:r>
      <w:r>
        <w:rPr>
          <w:rFonts w:hint="eastAsia" w:ascii="Arial" w:hAnsi="Arial" w:cs="Arial"/>
          <w:b/>
          <w:color w:val="auto"/>
          <w:sz w:val="26"/>
          <w:szCs w:val="26"/>
        </w:rPr>
        <w:t>）</w:t>
      </w:r>
      <w:r>
        <w:rPr>
          <w:rFonts w:hint="eastAsia" w:ascii="Arial" w:hAnsi="Arial" w:cs="Arial"/>
          <w:b/>
          <w:color w:val="auto"/>
          <w:sz w:val="26"/>
          <w:szCs w:val="26"/>
          <w:lang w:eastAsia="zh-CN"/>
        </w:rPr>
        <w:t>农业面源污染控制</w:t>
      </w:r>
    </w:p>
    <w:p w14:paraId="4908AD7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default" w:ascii="Arial" w:hAnsi="Arial" w:cs="Arial"/>
          <w:bCs/>
          <w:kern w:val="0"/>
          <w:sz w:val="26"/>
          <w:szCs w:val="26"/>
        </w:rPr>
      </w:pPr>
      <w:r>
        <w:rPr>
          <w:rFonts w:hint="default" w:ascii="Arial" w:hAnsi="Arial" w:cs="Arial"/>
          <w:sz w:val="26"/>
          <w:szCs w:val="26"/>
          <w:lang w:eastAsia="zh-CN"/>
        </w:rPr>
        <w:t>海螺沟水库集雨范围内主要为农村和农业区域，</w:t>
      </w:r>
      <w:r>
        <w:rPr>
          <w:rFonts w:hint="default" w:ascii="Arial" w:hAnsi="Arial" w:cs="Arial"/>
          <w:bCs/>
          <w:kern w:val="0"/>
          <w:sz w:val="26"/>
          <w:szCs w:val="26"/>
        </w:rPr>
        <w:t>无大型污染企业，其水质主要受农业面源影响，控制面源污染是保证库区水质的最为重要途径。</w:t>
      </w:r>
      <w:r>
        <w:rPr>
          <w:rFonts w:hint="eastAsia" w:ascii="Arial" w:hAnsi="Arial" w:cs="Arial"/>
          <w:bCs/>
          <w:kern w:val="0"/>
          <w:sz w:val="26"/>
          <w:szCs w:val="26"/>
          <w:lang w:eastAsia="zh-CN"/>
        </w:rPr>
        <w:t>面源污染控制是一综合管控要求，需水库建设单位协同相关部门共同实施，</w:t>
      </w:r>
      <w:r>
        <w:rPr>
          <w:rFonts w:hint="default" w:ascii="Arial" w:hAnsi="Arial" w:cs="Arial"/>
          <w:bCs/>
          <w:kern w:val="0"/>
          <w:sz w:val="26"/>
          <w:szCs w:val="26"/>
        </w:rPr>
        <w:t>严格</w:t>
      </w:r>
      <w:r>
        <w:rPr>
          <w:rFonts w:hint="eastAsia" w:ascii="Arial" w:hAnsi="宋体" w:eastAsia="宋体" w:cs="Arial"/>
          <w:b w:val="0"/>
          <w:bCs w:val="0"/>
          <w:color w:val="auto"/>
          <w:sz w:val="26"/>
          <w:szCs w:val="26"/>
          <w:lang w:val="en-US" w:eastAsia="zh-CN"/>
        </w:rPr>
        <w:t>按照</w:t>
      </w:r>
      <w:r>
        <w:rPr>
          <w:rFonts w:hint="default" w:ascii="Arial" w:hAnsi="Arial" w:cs="Arial"/>
          <w:b w:val="0"/>
          <w:bCs w:val="0"/>
          <w:kern w:val="0"/>
          <w:sz w:val="26"/>
          <w:szCs w:val="26"/>
        </w:rPr>
        <w:t>《农村生活污染防治技术政策》（环发</w:t>
      </w:r>
      <w:r>
        <w:rPr>
          <w:rFonts w:hint="eastAsia" w:ascii="宋体" w:hAnsi="宋体" w:eastAsia="宋体" w:cs="宋体"/>
          <w:b w:val="0"/>
          <w:bCs w:val="0"/>
          <w:kern w:val="0"/>
          <w:sz w:val="26"/>
          <w:szCs w:val="26"/>
        </w:rPr>
        <w:t>〔</w:t>
      </w:r>
      <w:r>
        <w:rPr>
          <w:rFonts w:hint="default" w:ascii="Arial" w:hAnsi="Arial" w:cs="Arial"/>
          <w:b w:val="0"/>
          <w:bCs w:val="0"/>
          <w:kern w:val="0"/>
          <w:sz w:val="26"/>
          <w:szCs w:val="26"/>
        </w:rPr>
        <w:t>2010</w:t>
      </w:r>
      <w:r>
        <w:rPr>
          <w:rFonts w:hint="eastAsia" w:ascii="宋体" w:hAnsi="宋体" w:eastAsia="宋体" w:cs="宋体"/>
          <w:b w:val="0"/>
          <w:bCs w:val="0"/>
          <w:kern w:val="0"/>
          <w:sz w:val="26"/>
          <w:szCs w:val="26"/>
        </w:rPr>
        <w:t>〕</w:t>
      </w:r>
      <w:r>
        <w:rPr>
          <w:rFonts w:hint="default" w:ascii="Arial" w:hAnsi="Arial" w:cs="Arial"/>
          <w:b w:val="0"/>
          <w:bCs w:val="0"/>
          <w:kern w:val="0"/>
          <w:sz w:val="26"/>
          <w:szCs w:val="26"/>
        </w:rPr>
        <w:t>20号）</w:t>
      </w:r>
      <w:r>
        <w:rPr>
          <w:rFonts w:hint="default" w:ascii="Arial" w:hAnsi="Arial" w:cs="Arial"/>
          <w:bCs/>
          <w:kern w:val="0"/>
          <w:sz w:val="26"/>
          <w:szCs w:val="26"/>
        </w:rPr>
        <w:t>、《农药使用环境安全技术导则》（HJ556-2010）、《化肥使用环境安全技术导则》（HJ555-2010）的要求控制面源污染。</w:t>
      </w:r>
    </w:p>
    <w:p w14:paraId="32499770">
      <w:pPr>
        <w:keepNext w:val="0"/>
        <w:keepLines w:val="0"/>
        <w:pageBreakBefore w:val="0"/>
        <w:widowControl w:val="0"/>
        <w:kinsoku/>
        <w:wordWrap/>
        <w:overflowPunct/>
        <w:topLinePunct w:val="0"/>
        <w:autoSpaceDE/>
        <w:autoSpaceDN/>
        <w:bidi w:val="0"/>
        <w:adjustRightInd/>
        <w:snapToGrid/>
        <w:spacing w:line="460" w:lineRule="exact"/>
        <w:ind w:firstLine="392" w:firstLineChars="150"/>
        <w:textAlignment w:val="auto"/>
        <w:outlineLvl w:val="1"/>
        <w:rPr>
          <w:rFonts w:hint="eastAsia" w:ascii="Arial" w:hAnsi="Arial" w:eastAsia="宋体" w:cs="Arial"/>
          <w:sz w:val="26"/>
          <w:szCs w:val="26"/>
          <w:lang w:eastAsia="zh-CN"/>
        </w:rPr>
      </w:pPr>
      <w:r>
        <w:rPr>
          <w:rFonts w:hint="eastAsia" w:ascii="Arial" w:hAnsi="Arial" w:cs="Arial"/>
          <w:b/>
          <w:color w:val="auto"/>
          <w:sz w:val="26"/>
          <w:szCs w:val="26"/>
        </w:rPr>
        <w:t>（</w:t>
      </w:r>
      <w:r>
        <w:rPr>
          <w:rFonts w:hint="eastAsia" w:ascii="Arial" w:hAnsi="Arial" w:cs="Arial"/>
          <w:b/>
          <w:color w:val="auto"/>
          <w:sz w:val="26"/>
          <w:szCs w:val="26"/>
          <w:lang w:val="en-US" w:eastAsia="zh-CN"/>
        </w:rPr>
        <w:t>2</w:t>
      </w:r>
      <w:r>
        <w:rPr>
          <w:rFonts w:hint="eastAsia" w:ascii="Arial" w:hAnsi="Arial" w:cs="Arial"/>
          <w:b/>
          <w:color w:val="auto"/>
          <w:sz w:val="26"/>
          <w:szCs w:val="26"/>
        </w:rPr>
        <w:t>）</w:t>
      </w:r>
      <w:r>
        <w:rPr>
          <w:rFonts w:hint="eastAsia" w:ascii="Arial" w:hAnsi="Arial" w:cs="Arial"/>
          <w:b/>
          <w:color w:val="auto"/>
          <w:sz w:val="26"/>
          <w:szCs w:val="26"/>
          <w:lang w:eastAsia="zh-CN"/>
        </w:rPr>
        <w:t>防治水库富营养化</w:t>
      </w:r>
    </w:p>
    <w:p w14:paraId="06AA6AB6">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default" w:ascii="Arial" w:hAnsi="宋体" w:eastAsia="宋体" w:cs="Arial"/>
          <w:b/>
          <w:bCs/>
          <w:color w:val="auto"/>
          <w:sz w:val="26"/>
          <w:szCs w:val="26"/>
          <w:lang w:val="en-US" w:eastAsia="zh-CN"/>
        </w:rPr>
      </w:pPr>
      <w:r>
        <w:rPr>
          <w:rFonts w:hint="default" w:ascii="Arial" w:hAnsi="宋体" w:eastAsia="宋体" w:cs="Arial"/>
          <w:b/>
          <w:bCs/>
          <w:color w:val="auto"/>
          <w:sz w:val="26"/>
          <w:szCs w:val="26"/>
          <w:lang w:val="en-US" w:eastAsia="zh-CN"/>
        </w:rPr>
        <w:t>①</w:t>
      </w:r>
      <w:r>
        <w:rPr>
          <w:rFonts w:hint="eastAsia" w:ascii="Arial" w:hAnsi="宋体" w:eastAsia="宋体" w:cs="Arial"/>
          <w:b/>
          <w:bCs/>
          <w:color w:val="auto"/>
          <w:sz w:val="26"/>
          <w:szCs w:val="26"/>
          <w:lang w:val="en-US" w:eastAsia="zh-CN"/>
        </w:rPr>
        <w:t>富营养化预防措施</w:t>
      </w:r>
    </w:p>
    <w:p w14:paraId="7F678834">
      <w:pPr>
        <w:spacing w:line="460" w:lineRule="exact"/>
        <w:ind w:firstLine="520" w:firstLineChars="200"/>
        <w:rPr>
          <w:rFonts w:hint="eastAsia" w:ascii="Arial" w:hAnsi="宋体" w:cs="Arial"/>
          <w:sz w:val="26"/>
          <w:szCs w:val="26"/>
        </w:rPr>
      </w:pPr>
      <w:r>
        <w:rPr>
          <w:rFonts w:hint="eastAsia" w:ascii="Arial" w:hAnsi="宋体" w:cs="Arial"/>
          <w:sz w:val="26"/>
          <w:szCs w:val="26"/>
        </w:rPr>
        <w:t>水库成库可采取如下减缓措施，河流水质将逐渐改善，减少水库富营养化的趋势。</w:t>
      </w:r>
    </w:p>
    <w:p w14:paraId="4C4D0060">
      <w:pPr>
        <w:spacing w:line="460" w:lineRule="exact"/>
        <w:ind w:firstLine="520" w:firstLineChars="200"/>
        <w:rPr>
          <w:rFonts w:hint="eastAsia" w:ascii="Arial" w:hAnsi="宋体" w:cs="Arial"/>
          <w:sz w:val="26"/>
          <w:szCs w:val="26"/>
        </w:rPr>
      </w:pPr>
      <w:r>
        <w:rPr>
          <w:rFonts w:hint="eastAsia" w:ascii="Arial" w:hAnsi="宋体" w:cs="Arial"/>
          <w:sz w:val="26"/>
          <w:szCs w:val="26"/>
          <w:lang w:val="en-US" w:eastAsia="zh-CN"/>
        </w:rPr>
        <w:t>1）</w:t>
      </w:r>
      <w:r>
        <w:rPr>
          <w:rFonts w:hint="eastAsia" w:ascii="Arial" w:hAnsi="宋体" w:cs="Arial"/>
          <w:sz w:val="26"/>
          <w:szCs w:val="26"/>
        </w:rPr>
        <w:t>在蓄水前，按要求对库区进行清库作业，并进行消毒处理；</w:t>
      </w:r>
    </w:p>
    <w:p w14:paraId="54DF6345">
      <w:pPr>
        <w:spacing w:line="460" w:lineRule="exact"/>
        <w:ind w:firstLine="520" w:firstLineChars="200"/>
        <w:rPr>
          <w:rFonts w:hint="eastAsia" w:ascii="Arial" w:hAnsi="宋体" w:cs="Arial"/>
          <w:sz w:val="26"/>
          <w:szCs w:val="26"/>
        </w:rPr>
      </w:pPr>
      <w:r>
        <w:rPr>
          <w:rFonts w:hint="eastAsia" w:ascii="Arial" w:hAnsi="宋体" w:cs="Arial"/>
          <w:sz w:val="26"/>
          <w:szCs w:val="26"/>
          <w:lang w:val="en-US" w:eastAsia="zh-CN"/>
        </w:rPr>
        <w:t>2）</w:t>
      </w:r>
      <w:r>
        <w:rPr>
          <w:rFonts w:hint="eastAsia" w:ascii="Arial" w:hAnsi="宋体" w:cs="Arial"/>
          <w:sz w:val="26"/>
          <w:szCs w:val="26"/>
        </w:rPr>
        <w:t>运行过程中加强库区水质监测，特别是TP、TN、透明度、叶绿素a、</w:t>
      </w:r>
      <w:r>
        <w:rPr>
          <w:rFonts w:hint="eastAsia" w:ascii="Arial" w:hAnsi="宋体" w:cs="Arial"/>
          <w:sz w:val="26"/>
          <w:szCs w:val="26"/>
          <w:lang w:val="en-US" w:eastAsia="zh-CN"/>
        </w:rPr>
        <w:t>DO</w:t>
      </w:r>
      <w:r>
        <w:rPr>
          <w:rFonts w:hint="eastAsia" w:ascii="Arial" w:hAnsi="宋体" w:cs="Arial"/>
          <w:sz w:val="26"/>
          <w:szCs w:val="26"/>
        </w:rPr>
        <w:t>等敏感性指标，最大程度上判断水库富营养化的趋势和爆发可能性；</w:t>
      </w:r>
    </w:p>
    <w:p w14:paraId="6EA2726B">
      <w:pPr>
        <w:spacing w:line="460" w:lineRule="exact"/>
        <w:ind w:firstLine="520" w:firstLineChars="200"/>
        <w:rPr>
          <w:rFonts w:hint="eastAsia" w:ascii="Arial" w:hAnsi="宋体" w:cs="Arial"/>
          <w:sz w:val="26"/>
          <w:szCs w:val="26"/>
        </w:rPr>
      </w:pPr>
      <w:r>
        <w:rPr>
          <w:rFonts w:hint="eastAsia" w:ascii="Arial" w:hAnsi="宋体" w:cs="Arial"/>
          <w:sz w:val="26"/>
          <w:szCs w:val="26"/>
          <w:lang w:val="en-US" w:eastAsia="zh-CN"/>
        </w:rPr>
        <w:t>3）</w:t>
      </w:r>
      <w:r>
        <w:rPr>
          <w:rFonts w:hint="eastAsia" w:ascii="Arial" w:hAnsi="宋体" w:cs="Arial"/>
          <w:sz w:val="26"/>
          <w:szCs w:val="26"/>
        </w:rPr>
        <w:t>组织清漂作业，定期清理水库表面、库岸漂浮的树枝、固体废物、动植物尸体等；</w:t>
      </w:r>
    </w:p>
    <w:p w14:paraId="16647599">
      <w:pPr>
        <w:spacing w:line="460" w:lineRule="exact"/>
        <w:ind w:firstLine="520" w:firstLineChars="200"/>
        <w:rPr>
          <w:rFonts w:hint="eastAsia" w:ascii="Arial" w:hAnsi="宋体" w:cs="Arial"/>
          <w:sz w:val="26"/>
          <w:szCs w:val="26"/>
        </w:rPr>
      </w:pPr>
      <w:r>
        <w:rPr>
          <w:rFonts w:hint="eastAsia" w:ascii="Arial" w:hAnsi="宋体" w:cs="Arial"/>
          <w:sz w:val="26"/>
          <w:szCs w:val="26"/>
          <w:lang w:val="en-US" w:eastAsia="zh-CN"/>
        </w:rPr>
        <w:t>4）</w:t>
      </w:r>
      <w:r>
        <w:rPr>
          <w:rFonts w:hint="eastAsia" w:ascii="Arial" w:hAnsi="宋体" w:cs="Arial"/>
          <w:sz w:val="26"/>
          <w:szCs w:val="26"/>
        </w:rPr>
        <w:t>严格控制集雨范围内的耕作面积，加强宣传教育，引导库岸居民合理科学施用化肥、农药，不得使用含磷洗衣粉，控制农业面源污染；</w:t>
      </w:r>
    </w:p>
    <w:p w14:paraId="24FDE98E">
      <w:pPr>
        <w:spacing w:line="460" w:lineRule="exact"/>
        <w:ind w:firstLine="520" w:firstLineChars="200"/>
        <w:rPr>
          <w:rFonts w:hint="eastAsia" w:ascii="Arial" w:hAnsi="宋体" w:cs="Arial"/>
          <w:sz w:val="26"/>
          <w:szCs w:val="26"/>
          <w:lang w:eastAsia="zh-CN"/>
        </w:rPr>
      </w:pPr>
      <w:r>
        <w:rPr>
          <w:rFonts w:hint="eastAsia" w:ascii="Arial" w:hAnsi="宋体" w:cs="Arial"/>
          <w:sz w:val="26"/>
          <w:szCs w:val="26"/>
          <w:lang w:val="en-US" w:eastAsia="zh-CN"/>
        </w:rPr>
        <w:t>5）</w:t>
      </w:r>
      <w:r>
        <w:rPr>
          <w:rFonts w:hint="eastAsia" w:ascii="Arial" w:hAnsi="宋体" w:cs="Arial"/>
          <w:sz w:val="26"/>
          <w:szCs w:val="26"/>
        </w:rPr>
        <w:t>保证水库生态下泄流量，加强水体置换，同时在放水口前设置软基围栏，避免藻类进入下游河道</w:t>
      </w:r>
      <w:r>
        <w:rPr>
          <w:rFonts w:hint="eastAsia" w:ascii="Arial" w:hAnsi="宋体" w:cs="Arial"/>
          <w:sz w:val="26"/>
          <w:szCs w:val="26"/>
          <w:lang w:eastAsia="zh-CN"/>
        </w:rPr>
        <w:t>。</w:t>
      </w:r>
    </w:p>
    <w:p w14:paraId="7108B152">
      <w:pPr>
        <w:spacing w:line="460" w:lineRule="exact"/>
        <w:ind w:firstLine="520" w:firstLineChars="200"/>
        <w:rPr>
          <w:rFonts w:hint="eastAsia" w:ascii="Arial" w:hAnsi="宋体" w:cs="Arial"/>
          <w:sz w:val="26"/>
          <w:szCs w:val="26"/>
          <w:lang w:eastAsia="zh-CN"/>
        </w:rPr>
      </w:pPr>
      <w:r>
        <w:rPr>
          <w:rFonts w:hint="eastAsia" w:ascii="Arial" w:hAnsi="宋体" w:cs="Arial"/>
          <w:sz w:val="26"/>
          <w:szCs w:val="26"/>
        </w:rPr>
        <w:t>从水库特性和运用方式上分析，通过采取有效措施控制有机物和氮磷营养盐等污染源进入库区水体，保证彻底清库和上游交接断面水质达标，可有效减轻面源污染。运行过程中仍需加强监测，以便及时采取控制措施。</w:t>
      </w:r>
    </w:p>
    <w:p w14:paraId="713EC305">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宋体" w:eastAsia="宋体" w:cs="Arial"/>
          <w:b/>
          <w:bCs/>
          <w:color w:val="auto"/>
          <w:sz w:val="26"/>
          <w:szCs w:val="26"/>
          <w:lang w:val="en-US" w:eastAsia="zh-CN"/>
        </w:rPr>
      </w:pPr>
      <w:r>
        <w:rPr>
          <w:rFonts w:hint="default" w:ascii="Arial" w:hAnsi="宋体" w:eastAsia="宋体" w:cs="Arial"/>
          <w:b/>
          <w:bCs/>
          <w:color w:val="auto"/>
          <w:sz w:val="26"/>
          <w:szCs w:val="26"/>
          <w:lang w:val="en-US" w:eastAsia="zh-CN"/>
        </w:rPr>
        <w:t>②</w:t>
      </w:r>
      <w:r>
        <w:rPr>
          <w:rFonts w:hint="eastAsia" w:ascii="Arial" w:hAnsi="宋体" w:eastAsia="宋体" w:cs="Arial"/>
          <w:b/>
          <w:bCs/>
          <w:color w:val="auto"/>
          <w:sz w:val="26"/>
          <w:szCs w:val="26"/>
          <w:lang w:val="en-US" w:eastAsia="zh-CN"/>
        </w:rPr>
        <w:t>藻类水华控制</w:t>
      </w:r>
    </w:p>
    <w:p w14:paraId="575700E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default" w:ascii="Arial" w:hAnsi="Arial" w:eastAsia="宋体" w:cs="Arial"/>
          <w:sz w:val="26"/>
          <w:szCs w:val="26"/>
          <w:lang w:eastAsia="zh-CN"/>
        </w:rPr>
      </w:pPr>
      <w:r>
        <w:rPr>
          <w:rFonts w:hint="default" w:ascii="Arial" w:hAnsi="Arial" w:eastAsia="宋体" w:cs="Arial"/>
          <w:sz w:val="26"/>
          <w:szCs w:val="26"/>
          <w:lang w:eastAsia="zh-CN"/>
        </w:rPr>
        <w:t>针对湖库型饮用水水源地的水华主要发生区域，分析其水文、水化学特征、营养负荷特征，以不同水华发生特征为基础，研究制定水华控制方案。除藻技术有机械打捞、工程物理、生物控藻三类。</w:t>
      </w:r>
    </w:p>
    <w:p w14:paraId="498A65F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Arial" w:hAnsi="Arial" w:eastAsia="宋体" w:cs="Arial"/>
          <w:sz w:val="26"/>
          <w:szCs w:val="26"/>
          <w:lang w:eastAsia="zh-CN"/>
        </w:rPr>
      </w:pPr>
      <w:r>
        <w:rPr>
          <w:rFonts w:hint="eastAsia" w:ascii="Arial" w:hAnsi="Arial" w:eastAsia="宋体" w:cs="Arial"/>
          <w:sz w:val="26"/>
          <w:szCs w:val="26"/>
          <w:lang w:eastAsia="zh-CN"/>
        </w:rPr>
        <w:t>机械打捞。高效机械打捞和水藻高效分离技术：通过合适的过滤或者絮凝等技术与装置，高效打捞并实现藻水分离。藻类打捞时间和地点确定技术：根据短期的气象与水文预测信息，确定在未来时间内藻类水华易聚集的时间和地点，组织人员和机械，在藻类高度聚集的水域打捞藻类，提高打捞效率。藻类与畜禽粪便混合发酵生产沼气技术：根据藻类难以发酵的特点，将其与畜禽粪便混合，提高发酵生产沼气的效率。</w:t>
      </w:r>
    </w:p>
    <w:p w14:paraId="49730AE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Arial" w:hAnsi="Arial" w:eastAsia="宋体" w:cs="Arial"/>
          <w:sz w:val="26"/>
          <w:szCs w:val="26"/>
          <w:lang w:eastAsia="zh-CN"/>
        </w:rPr>
      </w:pPr>
      <w:r>
        <w:rPr>
          <w:rFonts w:hint="eastAsia" w:ascii="Arial" w:hAnsi="Arial" w:eastAsia="宋体" w:cs="Arial"/>
          <w:sz w:val="26"/>
          <w:szCs w:val="26"/>
          <w:lang w:eastAsia="zh-CN"/>
        </w:rPr>
        <w:t>工程物理。利用过滤、紫外线、电磁电场等物理学方法，对藻类进行杀灭或抑制的技术。物理方法除藻效果普遍较好，可持久使用，但一次性投入成本很高且处理能力有限，大都局限于水处理工程中的应用。</w:t>
      </w:r>
    </w:p>
    <w:p w14:paraId="59B215B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Arial" w:hAnsi="Arial" w:eastAsia="宋体" w:cs="Arial"/>
          <w:sz w:val="26"/>
          <w:szCs w:val="26"/>
          <w:lang w:eastAsia="zh-CN"/>
        </w:rPr>
      </w:pPr>
      <w:r>
        <w:rPr>
          <w:rFonts w:hint="eastAsia" w:ascii="Arial" w:hAnsi="Arial" w:eastAsia="宋体" w:cs="Arial"/>
          <w:sz w:val="26"/>
          <w:szCs w:val="26"/>
          <w:lang w:eastAsia="zh-CN"/>
        </w:rPr>
        <w:t>生物控藻。利用藻类的天敌及其产生的生长抑制物质来控制或杀灭藻类的技术，主要包括：1）利用藻类病原菌（细菌、真菌）抑制藻类生长；2）利用藻类病毒（噬藻体）控制藻类的生长；3）利用植物的抑制物质、植物间的相互抑制以及富集和争夺营养源的抑藻作用；4）利用食藻鱼类控制藻类生长；5）酶处理技术。生物防治是最为科学的方法，藻类不易采用化学药剂来彻底杀灭，一是难以做到，二是代价太大，三是造成环境污染或破坏生态平衡；改用生物学方法并不是彻底杀灭或消除藻类，而是利用生态平衡原理将藻类的生长和繁殖控制在非危害水平之下，从而控制藻体数量、防治富营养化带来的各种危害。</w:t>
      </w:r>
    </w:p>
    <w:p w14:paraId="6E48D94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Arial" w:hAnsi="Arial" w:eastAsia="宋体" w:cs="Arial"/>
          <w:sz w:val="26"/>
          <w:szCs w:val="26"/>
          <w:lang w:eastAsia="zh-CN"/>
        </w:rPr>
      </w:pPr>
      <w:r>
        <w:rPr>
          <w:rFonts w:hint="eastAsia" w:ascii="Arial" w:hAnsi="Arial" w:eastAsia="宋体" w:cs="Arial"/>
          <w:sz w:val="26"/>
          <w:szCs w:val="26"/>
          <w:lang w:eastAsia="zh-CN"/>
        </w:rPr>
        <w:t>运营期间，水库业主应连同当地政府、农业部门等加强水库集雨范围内的污染监督管理，避免违规企业建设和运行对水库的影响。</w:t>
      </w:r>
    </w:p>
    <w:p w14:paraId="7326392C">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宋体" w:eastAsia="宋体" w:cs="Arial"/>
          <w:b/>
          <w:bCs/>
          <w:color w:val="auto"/>
          <w:sz w:val="26"/>
          <w:szCs w:val="26"/>
          <w:lang w:val="en-US" w:eastAsia="zh-CN"/>
        </w:rPr>
      </w:pPr>
      <w:r>
        <w:rPr>
          <w:rFonts w:hint="eastAsia" w:ascii="Arial" w:hAnsi="宋体" w:eastAsia="宋体" w:cs="Arial"/>
          <w:b/>
          <w:bCs/>
          <w:color w:val="auto"/>
          <w:sz w:val="26"/>
          <w:szCs w:val="26"/>
          <w:lang w:val="en-US" w:eastAsia="zh-CN"/>
        </w:rPr>
        <w:t>7.4.4入库污染源控制</w:t>
      </w:r>
    </w:p>
    <w:p w14:paraId="32BAA6D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宋体" w:hAnsi="宋体" w:eastAsia="宋体" w:cs="宋体"/>
          <w:sz w:val="26"/>
          <w:szCs w:val="26"/>
          <w:lang w:val="en-US" w:eastAsia="zh-CN"/>
        </w:rPr>
      </w:pPr>
      <w:r>
        <w:rPr>
          <w:rFonts w:hint="default" w:ascii="Arial" w:hAnsi="Arial" w:eastAsia="宋体" w:cs="Arial"/>
          <w:sz w:val="26"/>
          <w:szCs w:val="26"/>
          <w:lang w:eastAsia="zh-CN"/>
        </w:rPr>
        <w:t>《重庆市人民政府关于加强集中式饮用水源保护工作的通知》（渝府发〔</w:t>
      </w:r>
      <w:r>
        <w:rPr>
          <w:rFonts w:hint="default" w:ascii="Arial" w:hAnsi="Arial" w:eastAsia="宋体" w:cs="Arial"/>
          <w:sz w:val="26"/>
          <w:szCs w:val="26"/>
          <w:lang w:val="en-US" w:eastAsia="zh-CN"/>
        </w:rPr>
        <w:t>2012</w:t>
      </w:r>
      <w:r>
        <w:rPr>
          <w:rFonts w:hint="default" w:ascii="Arial" w:hAnsi="Arial" w:eastAsia="宋体" w:cs="Arial"/>
          <w:sz w:val="26"/>
          <w:szCs w:val="26"/>
          <w:lang w:eastAsia="zh-CN"/>
        </w:rPr>
        <w:t>〕</w:t>
      </w:r>
      <w:r>
        <w:rPr>
          <w:rFonts w:hint="default" w:ascii="Arial" w:hAnsi="Arial" w:eastAsia="宋体" w:cs="Arial"/>
          <w:sz w:val="26"/>
          <w:szCs w:val="26"/>
          <w:lang w:val="en-US" w:eastAsia="zh-CN"/>
        </w:rPr>
        <w:t>79号）</w:t>
      </w:r>
      <w:r>
        <w:rPr>
          <w:rFonts w:hint="eastAsia" w:ascii="Arial" w:hAnsi="Arial" w:eastAsia="宋体" w:cs="Arial"/>
          <w:sz w:val="26"/>
          <w:szCs w:val="26"/>
          <w:lang w:val="en-US" w:eastAsia="zh-CN"/>
        </w:rPr>
        <w:t>指出</w:t>
      </w:r>
      <w:r>
        <w:rPr>
          <w:rFonts w:hint="eastAsia" w:ascii="宋体" w:hAnsi="宋体" w:eastAsia="宋体" w:cs="宋体"/>
          <w:sz w:val="26"/>
          <w:szCs w:val="26"/>
          <w:lang w:val="en-US" w:eastAsia="zh-CN"/>
        </w:rPr>
        <w:t>，各区县人民政府是集中式饮用水源地管理工作的责任主体，规划部门应将集中式饮用水源保护区纳入规划红线控制范围，水利部门在水利项目审批、环保部门在建设项目审批、交通部门和海事部门在岸线审批、 农业部门在农业项目审批、食品药品监管部门在餐饮服务许可、卫生部门在服务业卫生许可时均应按照集中式饮用水源保护区管理规定依法审批。</w:t>
      </w:r>
    </w:p>
    <w:p w14:paraId="59C9942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Arial" w:hAnsi="Arial" w:eastAsia="宋体" w:cs="Arial"/>
          <w:sz w:val="26"/>
          <w:szCs w:val="26"/>
          <w:lang w:eastAsia="zh-CN"/>
        </w:rPr>
      </w:pPr>
      <w:r>
        <w:rPr>
          <w:rFonts w:hint="eastAsia" w:ascii="Arial" w:hAnsi="Arial" w:eastAsia="宋体" w:cs="Arial"/>
          <w:sz w:val="26"/>
          <w:szCs w:val="26"/>
          <w:lang w:eastAsia="zh-CN"/>
        </w:rPr>
        <w:t>海螺沟水库不涉及交通和海事部门，其余部门应按照要求，认真履行各自职责。《中华人民共和国水污染防治法》、《饮用水水源保护区污染防治管理规定》（环境保护令第16号）、《关于进一步加强饮用水水源安全保障工作的通知》（环办</w:t>
      </w:r>
      <w:r>
        <w:rPr>
          <w:rFonts w:hint="eastAsia" w:ascii="宋体" w:hAnsi="宋体" w:eastAsia="宋体" w:cs="宋体"/>
          <w:sz w:val="26"/>
          <w:szCs w:val="26"/>
          <w:lang w:eastAsia="zh-CN"/>
        </w:rPr>
        <w:t>〔</w:t>
      </w:r>
      <w:r>
        <w:rPr>
          <w:rFonts w:hint="eastAsia" w:ascii="Arial" w:hAnsi="Arial" w:eastAsia="宋体" w:cs="Arial"/>
          <w:sz w:val="26"/>
          <w:szCs w:val="26"/>
          <w:lang w:eastAsia="zh-CN"/>
        </w:rPr>
        <w:t>2009</w:t>
      </w:r>
      <w:r>
        <w:rPr>
          <w:rFonts w:hint="eastAsia" w:ascii="宋体" w:hAnsi="宋体" w:eastAsia="宋体" w:cs="宋体"/>
          <w:sz w:val="26"/>
          <w:szCs w:val="26"/>
          <w:lang w:eastAsia="zh-CN"/>
        </w:rPr>
        <w:t>〕</w:t>
      </w:r>
      <w:r>
        <w:rPr>
          <w:rFonts w:hint="eastAsia" w:ascii="Arial" w:hAnsi="Arial" w:eastAsia="宋体" w:cs="Arial"/>
          <w:sz w:val="26"/>
          <w:szCs w:val="26"/>
          <w:lang w:eastAsia="zh-CN"/>
        </w:rPr>
        <w:t>30号）、《重庆市水资源管理条例》、《重庆市人民政府关于加强集中式饮用水源保护工作的通知》（渝府发〔2012〕79号）对水源保护区进行了严格的保护和限制，详见下表（表中以“水污染防治法”为主，其他法规条例进行补充，相同内容不再罗列）。</w:t>
      </w:r>
    </w:p>
    <w:p w14:paraId="2414ED62">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1"/>
        <w:rPr>
          <w:rFonts w:hint="eastAsia" w:ascii="Arial" w:hAnsi="Arial" w:eastAsia="宋体" w:cs="Arial"/>
          <w:b/>
          <w:bCs/>
          <w:sz w:val="26"/>
          <w:szCs w:val="26"/>
          <w:lang w:val="en-US" w:eastAsia="zh-CN"/>
        </w:rPr>
      </w:pPr>
      <w:r>
        <w:rPr>
          <w:rFonts w:hint="eastAsia" w:ascii="Arial" w:hAnsi="Arial" w:eastAsia="宋体" w:cs="Arial"/>
          <w:b/>
          <w:bCs/>
          <w:sz w:val="26"/>
          <w:szCs w:val="26"/>
          <w:lang w:eastAsia="zh-CN"/>
        </w:rPr>
        <w:t>表</w:t>
      </w:r>
      <w:r>
        <w:rPr>
          <w:rFonts w:hint="eastAsia" w:ascii="Arial" w:hAnsi="Arial" w:eastAsia="宋体" w:cs="Arial"/>
          <w:b/>
          <w:bCs/>
          <w:sz w:val="26"/>
          <w:szCs w:val="26"/>
          <w:lang w:val="en-US" w:eastAsia="zh-CN"/>
        </w:rPr>
        <w:t>7.4-1 水源保护区相关管理规定</w:t>
      </w:r>
    </w:p>
    <w:tbl>
      <w:tblPr>
        <w:tblStyle w:val="77"/>
        <w:tblW w:w="89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4"/>
        <w:gridCol w:w="1844"/>
        <w:gridCol w:w="6474"/>
      </w:tblGrid>
      <w:tr w14:paraId="06178D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noWrap w:val="0"/>
            <w:vAlign w:val="center"/>
          </w:tcPr>
          <w:p w14:paraId="5BD48FB0">
            <w:pPr>
              <w:pStyle w:val="2106"/>
              <w:spacing w:beforeLines="0" w:afterLines="0" w:line="300" w:lineRule="exact"/>
              <w:rPr>
                <w:rFonts w:ascii="Arial" w:hAnsi="Arial" w:cs="Arial"/>
                <w:color w:val="auto"/>
                <w:sz w:val="22"/>
                <w:szCs w:val="22"/>
              </w:rPr>
            </w:pPr>
            <w:r>
              <w:rPr>
                <w:rFonts w:ascii="Arial" w:cs="Arial"/>
                <w:color w:val="auto"/>
                <w:sz w:val="22"/>
                <w:szCs w:val="22"/>
              </w:rPr>
              <w:t>序号</w:t>
            </w:r>
          </w:p>
        </w:tc>
        <w:tc>
          <w:tcPr>
            <w:tcW w:w="1844" w:type="dxa"/>
            <w:noWrap w:val="0"/>
            <w:vAlign w:val="center"/>
          </w:tcPr>
          <w:p w14:paraId="38920A61">
            <w:pPr>
              <w:pStyle w:val="2106"/>
              <w:spacing w:beforeLines="0" w:afterLines="0" w:line="300" w:lineRule="exact"/>
              <w:rPr>
                <w:rFonts w:ascii="Arial" w:hAnsi="Arial" w:cs="Arial"/>
                <w:color w:val="auto"/>
                <w:sz w:val="22"/>
                <w:szCs w:val="22"/>
              </w:rPr>
            </w:pPr>
            <w:r>
              <w:rPr>
                <w:rFonts w:ascii="Arial" w:cs="Arial"/>
                <w:color w:val="auto"/>
                <w:sz w:val="22"/>
                <w:szCs w:val="22"/>
              </w:rPr>
              <w:t>相关政策</w:t>
            </w:r>
          </w:p>
        </w:tc>
        <w:tc>
          <w:tcPr>
            <w:tcW w:w="6474" w:type="dxa"/>
            <w:noWrap w:val="0"/>
            <w:vAlign w:val="center"/>
          </w:tcPr>
          <w:p w14:paraId="7C8BA949">
            <w:pPr>
              <w:pStyle w:val="2106"/>
              <w:spacing w:beforeLines="0" w:afterLines="0" w:line="300" w:lineRule="exact"/>
              <w:rPr>
                <w:rFonts w:ascii="Arial" w:hAnsi="Arial" w:cs="Arial"/>
                <w:color w:val="auto"/>
                <w:sz w:val="22"/>
                <w:szCs w:val="22"/>
              </w:rPr>
            </w:pPr>
            <w:r>
              <w:rPr>
                <w:rFonts w:ascii="Arial" w:cs="Arial"/>
                <w:color w:val="auto"/>
                <w:sz w:val="22"/>
                <w:szCs w:val="22"/>
              </w:rPr>
              <w:t>管控要求</w:t>
            </w:r>
          </w:p>
        </w:tc>
      </w:tr>
      <w:tr w14:paraId="69E8A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674" w:type="dxa"/>
            <w:noWrap w:val="0"/>
            <w:vAlign w:val="center"/>
          </w:tcPr>
          <w:p w14:paraId="1F64F0B4">
            <w:pPr>
              <w:pStyle w:val="2106"/>
              <w:spacing w:beforeLines="0" w:afterLines="0" w:line="300" w:lineRule="exact"/>
              <w:rPr>
                <w:rFonts w:ascii="Arial" w:hAnsi="Arial" w:cs="Arial"/>
                <w:color w:val="auto"/>
                <w:sz w:val="22"/>
                <w:szCs w:val="22"/>
              </w:rPr>
            </w:pPr>
            <w:r>
              <w:rPr>
                <w:rFonts w:ascii="Arial" w:hAnsi="Arial" w:cs="Arial"/>
                <w:color w:val="auto"/>
                <w:sz w:val="22"/>
                <w:szCs w:val="22"/>
              </w:rPr>
              <w:t>1</w:t>
            </w:r>
          </w:p>
        </w:tc>
        <w:tc>
          <w:tcPr>
            <w:tcW w:w="1844" w:type="dxa"/>
            <w:noWrap w:val="0"/>
            <w:vAlign w:val="center"/>
          </w:tcPr>
          <w:p w14:paraId="6CCFFE00">
            <w:pPr>
              <w:pStyle w:val="2106"/>
              <w:spacing w:beforeLines="0" w:afterLines="0" w:line="300" w:lineRule="exact"/>
              <w:rPr>
                <w:rFonts w:ascii="Arial" w:hAnsi="Arial" w:cs="Arial"/>
                <w:color w:val="auto"/>
                <w:sz w:val="22"/>
                <w:szCs w:val="22"/>
              </w:rPr>
            </w:pPr>
            <w:r>
              <w:rPr>
                <w:rFonts w:hint="eastAsia" w:ascii="Arial" w:cs="Arial"/>
                <w:color w:val="auto"/>
                <w:sz w:val="22"/>
                <w:szCs w:val="22"/>
                <w:lang w:eastAsia="zh-CN"/>
              </w:rPr>
              <w:t>《</w:t>
            </w:r>
            <w:r>
              <w:rPr>
                <w:rFonts w:ascii="Arial" w:cs="Arial"/>
                <w:color w:val="auto"/>
                <w:sz w:val="22"/>
                <w:szCs w:val="22"/>
              </w:rPr>
              <w:t>中华人民共和国水污染防治法</w:t>
            </w:r>
            <w:r>
              <w:rPr>
                <w:rFonts w:hint="eastAsia" w:ascii="Arial" w:cs="Arial"/>
                <w:color w:val="auto"/>
                <w:sz w:val="22"/>
                <w:szCs w:val="22"/>
                <w:lang w:eastAsia="zh-CN"/>
              </w:rPr>
              <w:t>》</w:t>
            </w:r>
          </w:p>
        </w:tc>
        <w:tc>
          <w:tcPr>
            <w:tcW w:w="6474" w:type="dxa"/>
            <w:noWrap w:val="0"/>
            <w:vAlign w:val="center"/>
          </w:tcPr>
          <w:p w14:paraId="7EBF9FF4">
            <w:pPr>
              <w:pStyle w:val="2106"/>
              <w:spacing w:beforeLines="0" w:afterLines="0" w:line="300" w:lineRule="exact"/>
              <w:jc w:val="both"/>
              <w:rPr>
                <w:rFonts w:hint="eastAsia" w:ascii="Arial" w:cs="Arial"/>
                <w:color w:val="auto"/>
                <w:sz w:val="22"/>
                <w:szCs w:val="22"/>
                <w:lang w:eastAsia="zh-CN"/>
              </w:rPr>
            </w:pPr>
            <w:r>
              <w:rPr>
                <w:rFonts w:ascii="Arial" w:cs="Arial"/>
                <w:color w:val="auto"/>
                <w:sz w:val="22"/>
                <w:szCs w:val="22"/>
              </w:rPr>
              <w:t>第六十四条</w:t>
            </w:r>
            <w:r>
              <w:rPr>
                <w:rFonts w:ascii="Arial" w:hAnsi="Arial" w:cs="Arial"/>
                <w:color w:val="auto"/>
                <w:sz w:val="22"/>
                <w:szCs w:val="22"/>
              </w:rPr>
              <w:t xml:space="preserve"> </w:t>
            </w:r>
            <w:r>
              <w:rPr>
                <w:rFonts w:ascii="Arial" w:cs="Arial"/>
                <w:color w:val="auto"/>
                <w:sz w:val="22"/>
                <w:szCs w:val="22"/>
              </w:rPr>
              <w:t>在饮用水水源保护区内，禁止设置排污口。</w:t>
            </w:r>
          </w:p>
          <w:p w14:paraId="7C152C2F">
            <w:pPr>
              <w:pStyle w:val="2106"/>
              <w:spacing w:beforeLines="0" w:afterLines="0" w:line="300" w:lineRule="exact"/>
              <w:jc w:val="both"/>
              <w:rPr>
                <w:rFonts w:ascii="Arial" w:hAnsi="Arial" w:cs="Arial"/>
                <w:color w:val="auto"/>
                <w:sz w:val="22"/>
                <w:szCs w:val="22"/>
              </w:rPr>
            </w:pPr>
            <w:r>
              <w:rPr>
                <w:rFonts w:ascii="Arial" w:cs="Arial"/>
                <w:color w:val="auto"/>
                <w:sz w:val="22"/>
                <w:szCs w:val="22"/>
              </w:rPr>
              <w:t>第六十五条</w:t>
            </w:r>
            <w:r>
              <w:rPr>
                <w:rFonts w:ascii="Arial" w:hAnsi="Arial" w:cs="Arial"/>
                <w:color w:val="auto"/>
                <w:sz w:val="22"/>
                <w:szCs w:val="22"/>
              </w:rPr>
              <w:t xml:space="preserve"> </w:t>
            </w:r>
            <w:r>
              <w:rPr>
                <w:rFonts w:ascii="Arial" w:cs="Arial"/>
                <w:color w:val="auto"/>
                <w:sz w:val="22"/>
                <w:szCs w:val="22"/>
              </w:rPr>
              <w:t>禁止在饮用水水源一级保护区内新建、改建、扩建与供水设施和保护水源无关的建设项目；已建成的与供水设施和保护水源无关的建设项目，由县级以上人民政府责令拆除或者关闭。</w:t>
            </w:r>
          </w:p>
          <w:p w14:paraId="72C378D9">
            <w:pPr>
              <w:pStyle w:val="2106"/>
              <w:spacing w:beforeLines="0" w:afterLines="0" w:line="300" w:lineRule="exact"/>
              <w:jc w:val="both"/>
              <w:rPr>
                <w:rFonts w:ascii="Arial" w:hAnsi="Arial" w:cs="Arial"/>
                <w:color w:val="auto"/>
                <w:sz w:val="22"/>
                <w:szCs w:val="22"/>
              </w:rPr>
            </w:pPr>
            <w:r>
              <w:rPr>
                <w:rFonts w:ascii="Arial" w:cs="Arial"/>
                <w:color w:val="auto"/>
                <w:sz w:val="22"/>
                <w:szCs w:val="22"/>
              </w:rPr>
              <w:t>禁止在饮用水水源一级保护区内从事网箱养殖、旅游、游泳、垂钓或者其他可能污染饮用水水体的活动。</w:t>
            </w:r>
          </w:p>
          <w:p w14:paraId="51D16380">
            <w:pPr>
              <w:pStyle w:val="2106"/>
              <w:spacing w:beforeLines="0" w:afterLines="0" w:line="300" w:lineRule="exact"/>
              <w:jc w:val="both"/>
              <w:rPr>
                <w:rFonts w:ascii="Arial" w:hAnsi="Arial" w:cs="Arial"/>
                <w:color w:val="auto"/>
                <w:sz w:val="22"/>
                <w:szCs w:val="22"/>
              </w:rPr>
            </w:pPr>
            <w:r>
              <w:rPr>
                <w:rFonts w:ascii="Arial" w:cs="Arial"/>
                <w:color w:val="auto"/>
                <w:sz w:val="22"/>
                <w:szCs w:val="22"/>
              </w:rPr>
              <w:t>第六十六条</w:t>
            </w:r>
            <w:r>
              <w:rPr>
                <w:rFonts w:ascii="Arial" w:hAnsi="Arial" w:cs="Arial"/>
                <w:color w:val="auto"/>
                <w:sz w:val="22"/>
                <w:szCs w:val="22"/>
              </w:rPr>
              <w:t xml:space="preserve"> </w:t>
            </w:r>
            <w:r>
              <w:rPr>
                <w:rFonts w:ascii="Arial" w:cs="Arial"/>
                <w:color w:val="auto"/>
                <w:sz w:val="22"/>
                <w:szCs w:val="22"/>
              </w:rPr>
              <w:t>禁止在饮用水水源二级保护区内新建、改建、扩建排放污染物的建设项目；已建成的排放污染物的建设项目，由县级以上人民政府责令拆除或者关闭。</w:t>
            </w:r>
          </w:p>
          <w:p w14:paraId="7141E460">
            <w:pPr>
              <w:pStyle w:val="2106"/>
              <w:spacing w:beforeLines="0" w:afterLines="0" w:line="300" w:lineRule="exact"/>
              <w:jc w:val="both"/>
              <w:rPr>
                <w:rFonts w:ascii="Arial" w:hAnsi="Arial" w:cs="Arial"/>
                <w:color w:val="auto"/>
                <w:sz w:val="22"/>
                <w:szCs w:val="22"/>
              </w:rPr>
            </w:pPr>
            <w:r>
              <w:rPr>
                <w:rFonts w:ascii="Arial" w:cs="Arial"/>
                <w:color w:val="auto"/>
                <w:sz w:val="22"/>
                <w:szCs w:val="22"/>
              </w:rPr>
              <w:t>在饮用水水源二级保护区内从事网箱养殖、旅游等活动的，应当按照规定采取措施，防止污染饮用水水体。</w:t>
            </w:r>
          </w:p>
          <w:p w14:paraId="3F5B2D08">
            <w:pPr>
              <w:pStyle w:val="2106"/>
              <w:spacing w:beforeLines="0" w:afterLines="0" w:line="300" w:lineRule="exact"/>
              <w:jc w:val="both"/>
              <w:rPr>
                <w:rFonts w:ascii="Arial" w:hAnsi="Arial" w:cs="Arial"/>
                <w:color w:val="auto"/>
                <w:sz w:val="22"/>
                <w:szCs w:val="22"/>
              </w:rPr>
            </w:pPr>
            <w:r>
              <w:rPr>
                <w:rFonts w:ascii="Arial" w:cs="Arial"/>
                <w:color w:val="auto"/>
                <w:sz w:val="22"/>
                <w:szCs w:val="22"/>
              </w:rPr>
              <w:t>第六十七条</w:t>
            </w:r>
            <w:r>
              <w:rPr>
                <w:rFonts w:ascii="Arial" w:hAnsi="Arial" w:cs="Arial"/>
                <w:color w:val="auto"/>
                <w:sz w:val="22"/>
                <w:szCs w:val="22"/>
              </w:rPr>
              <w:t xml:space="preserve"> </w:t>
            </w:r>
            <w:r>
              <w:rPr>
                <w:rFonts w:ascii="Arial" w:cs="Arial"/>
                <w:color w:val="auto"/>
                <w:sz w:val="22"/>
                <w:szCs w:val="22"/>
              </w:rPr>
              <w:t>禁止在饮用水水源准保护区内新建、扩建对水体污染严重的建设项目；改建建设项目，不得增加排污量。</w:t>
            </w:r>
          </w:p>
        </w:tc>
      </w:tr>
      <w:tr w14:paraId="143D6B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noWrap w:val="0"/>
            <w:vAlign w:val="center"/>
          </w:tcPr>
          <w:p w14:paraId="515B796E">
            <w:pPr>
              <w:pStyle w:val="2106"/>
              <w:spacing w:beforeLines="0" w:afterLines="0" w:line="300" w:lineRule="exact"/>
              <w:rPr>
                <w:rFonts w:hint="eastAsia" w:ascii="Arial" w:hAnsi="Arial" w:cs="Arial"/>
                <w:color w:val="auto"/>
                <w:sz w:val="22"/>
                <w:szCs w:val="22"/>
                <w:lang w:eastAsia="zh-CN"/>
              </w:rPr>
            </w:pPr>
            <w:r>
              <w:rPr>
                <w:rFonts w:hint="eastAsia" w:ascii="Arial" w:hAnsi="Arial" w:cs="Arial"/>
                <w:color w:val="auto"/>
                <w:sz w:val="22"/>
                <w:szCs w:val="22"/>
                <w:lang w:eastAsia="zh-CN"/>
              </w:rPr>
              <w:t>2</w:t>
            </w:r>
          </w:p>
        </w:tc>
        <w:tc>
          <w:tcPr>
            <w:tcW w:w="1844" w:type="dxa"/>
            <w:shd w:val="clear" w:color="auto" w:fill="auto"/>
            <w:noWrap w:val="0"/>
            <w:vAlign w:val="center"/>
          </w:tcPr>
          <w:p w14:paraId="704A0620">
            <w:pPr>
              <w:pStyle w:val="2106"/>
              <w:spacing w:beforeLines="0" w:afterLines="0" w:line="300" w:lineRule="exact"/>
              <w:rPr>
                <w:rFonts w:hint="eastAsia" w:ascii="Arial" w:cs="Arial"/>
                <w:color w:val="auto"/>
                <w:sz w:val="22"/>
                <w:szCs w:val="22"/>
                <w:lang w:eastAsia="zh-CN"/>
              </w:rPr>
            </w:pPr>
            <w:r>
              <w:rPr>
                <w:rFonts w:hint="eastAsia" w:ascii="Arial" w:cs="Arial"/>
                <w:color w:val="auto"/>
                <w:sz w:val="22"/>
                <w:szCs w:val="22"/>
                <w:lang w:eastAsia="zh-CN"/>
              </w:rPr>
              <w:t>《饮用水水源保</w:t>
            </w:r>
          </w:p>
          <w:p w14:paraId="214B72F1">
            <w:pPr>
              <w:pStyle w:val="2106"/>
              <w:spacing w:beforeLines="0" w:afterLines="0" w:line="300" w:lineRule="exact"/>
              <w:ind w:firstLine="0" w:firstLineChars="0"/>
              <w:rPr>
                <w:rFonts w:hint="eastAsia" w:ascii="Arial" w:hAnsi="Times New Roman" w:eastAsia="宋体" w:cs="Arial"/>
                <w:color w:val="auto"/>
                <w:kern w:val="2"/>
                <w:sz w:val="22"/>
                <w:szCs w:val="22"/>
                <w:lang w:val="en-US" w:eastAsia="zh-CN" w:bidi="ar-SA"/>
              </w:rPr>
            </w:pPr>
            <w:r>
              <w:rPr>
                <w:rFonts w:hint="eastAsia" w:ascii="Arial" w:cs="Arial"/>
                <w:color w:val="auto"/>
                <w:sz w:val="22"/>
                <w:szCs w:val="22"/>
                <w:lang w:eastAsia="zh-CN"/>
              </w:rPr>
              <w:t>护区污染防治管理规定》</w:t>
            </w:r>
          </w:p>
        </w:tc>
        <w:tc>
          <w:tcPr>
            <w:tcW w:w="6474" w:type="dxa"/>
            <w:shd w:val="clear" w:color="auto" w:fill="auto"/>
            <w:noWrap w:val="0"/>
            <w:vAlign w:val="center"/>
          </w:tcPr>
          <w:p w14:paraId="20129A89">
            <w:pPr>
              <w:pStyle w:val="2106"/>
              <w:spacing w:beforeLines="0" w:afterLines="0" w:line="300" w:lineRule="exact"/>
              <w:jc w:val="both"/>
              <w:rPr>
                <w:rFonts w:hint="eastAsia" w:ascii="Arial" w:hAnsi="Arial" w:cs="Arial"/>
                <w:color w:val="auto"/>
                <w:sz w:val="22"/>
                <w:szCs w:val="22"/>
              </w:rPr>
            </w:pPr>
            <w:r>
              <w:rPr>
                <w:rFonts w:hint="eastAsia" w:ascii="Arial" w:hAnsi="Arial" w:cs="Arial"/>
                <w:color w:val="auto"/>
                <w:sz w:val="22"/>
                <w:szCs w:val="22"/>
              </w:rPr>
              <w:t>1、禁止一切破坏水环境生态平衡的活动以及破坏水源林、护岸林、与水源保护相关植被的活动。</w:t>
            </w:r>
          </w:p>
          <w:p w14:paraId="42FDF834">
            <w:pPr>
              <w:pStyle w:val="2106"/>
              <w:spacing w:beforeLines="0" w:afterLines="0" w:line="300" w:lineRule="exact"/>
              <w:jc w:val="both"/>
              <w:rPr>
                <w:rFonts w:hint="eastAsia" w:ascii="Arial" w:hAnsi="Arial" w:cs="Arial"/>
                <w:color w:val="auto"/>
                <w:sz w:val="22"/>
                <w:szCs w:val="22"/>
              </w:rPr>
            </w:pPr>
            <w:r>
              <w:rPr>
                <w:rFonts w:hint="eastAsia" w:ascii="Arial" w:hAnsi="Arial" w:cs="Arial"/>
                <w:color w:val="auto"/>
                <w:sz w:val="22"/>
                <w:szCs w:val="22"/>
              </w:rPr>
              <w:t>2、禁止向水域倾倒工业废渣、城市垃圾、粪便及其它废弃物。</w:t>
            </w:r>
          </w:p>
          <w:p w14:paraId="5095465B">
            <w:pPr>
              <w:pStyle w:val="2106"/>
              <w:spacing w:beforeLines="0" w:afterLines="0" w:line="300" w:lineRule="exact"/>
              <w:jc w:val="both"/>
              <w:rPr>
                <w:rFonts w:hint="eastAsia" w:ascii="Arial" w:hAnsi="Arial" w:cs="Arial"/>
                <w:color w:val="auto"/>
                <w:sz w:val="22"/>
                <w:szCs w:val="22"/>
              </w:rPr>
            </w:pPr>
            <w:r>
              <w:rPr>
                <w:rFonts w:hint="eastAsia" w:ascii="Arial" w:hAnsi="Arial" w:cs="Arial"/>
                <w:color w:val="auto"/>
                <w:sz w:val="22"/>
                <w:szCs w:val="22"/>
              </w:rPr>
              <w:t>3、运输有毒有害物质，油类、粪便的船舶和车辆一般不准进入保护区，必须进入者应事先申请并经有关部门批准，登记并设置防渗、防溢、防漏设施。</w:t>
            </w:r>
          </w:p>
          <w:p w14:paraId="0ED593E2">
            <w:pPr>
              <w:pStyle w:val="2106"/>
              <w:spacing w:beforeLines="0" w:afterLines="0" w:line="300" w:lineRule="exact"/>
              <w:ind w:firstLine="0" w:firstLineChars="0"/>
              <w:jc w:val="both"/>
              <w:rPr>
                <w:rFonts w:ascii="Arial" w:hAnsi="Arial" w:eastAsia="宋体" w:cs="Arial"/>
                <w:color w:val="auto"/>
                <w:kern w:val="2"/>
                <w:sz w:val="22"/>
                <w:szCs w:val="22"/>
                <w:lang w:val="en-US" w:eastAsia="zh-CN" w:bidi="ar-SA"/>
              </w:rPr>
            </w:pPr>
            <w:r>
              <w:rPr>
                <w:rFonts w:hint="eastAsia" w:ascii="Arial" w:hAnsi="Arial" w:cs="Arial"/>
                <w:color w:val="auto"/>
                <w:sz w:val="22"/>
                <w:szCs w:val="22"/>
              </w:rPr>
              <w:t>4、禁止使用剧毒和高残留农药，不得滥用化肥，不得使用炸，毒品捕杀鱼类。</w:t>
            </w:r>
          </w:p>
        </w:tc>
      </w:tr>
      <w:tr w14:paraId="42588F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674" w:type="dxa"/>
            <w:noWrap w:val="0"/>
            <w:vAlign w:val="center"/>
          </w:tcPr>
          <w:p w14:paraId="66C0AF3D">
            <w:pPr>
              <w:pStyle w:val="2106"/>
              <w:spacing w:beforeLines="0" w:afterLines="0" w:line="300" w:lineRule="exact"/>
              <w:rPr>
                <w:rFonts w:hint="eastAsia" w:ascii="Arial" w:hAnsi="Arial" w:cs="Arial"/>
                <w:color w:val="auto"/>
                <w:sz w:val="22"/>
                <w:szCs w:val="22"/>
                <w:lang w:eastAsia="zh-CN"/>
              </w:rPr>
            </w:pPr>
            <w:r>
              <w:rPr>
                <w:rFonts w:hint="eastAsia" w:ascii="Arial" w:hAnsi="Arial" w:cs="Arial"/>
                <w:color w:val="auto"/>
                <w:sz w:val="22"/>
                <w:szCs w:val="22"/>
                <w:lang w:eastAsia="zh-CN"/>
              </w:rPr>
              <w:t>3</w:t>
            </w:r>
          </w:p>
        </w:tc>
        <w:tc>
          <w:tcPr>
            <w:tcW w:w="1844" w:type="dxa"/>
            <w:shd w:val="clear" w:color="auto" w:fill="auto"/>
            <w:noWrap w:val="0"/>
            <w:vAlign w:val="center"/>
          </w:tcPr>
          <w:p w14:paraId="57A6B7BC">
            <w:pPr>
              <w:pStyle w:val="2106"/>
              <w:spacing w:beforeLines="0" w:afterLines="0" w:line="300" w:lineRule="exact"/>
              <w:rPr>
                <w:rFonts w:hint="eastAsia" w:ascii="Arial" w:cs="Arial"/>
                <w:color w:val="auto"/>
                <w:sz w:val="22"/>
                <w:szCs w:val="22"/>
                <w:lang w:eastAsia="zh-CN"/>
              </w:rPr>
            </w:pPr>
            <w:r>
              <w:rPr>
                <w:rFonts w:hint="eastAsia" w:ascii="Arial" w:cs="Arial"/>
                <w:color w:val="auto"/>
                <w:sz w:val="22"/>
                <w:szCs w:val="22"/>
                <w:lang w:eastAsia="zh-CN"/>
              </w:rPr>
              <w:t>《关于进一步加</w:t>
            </w:r>
          </w:p>
          <w:p w14:paraId="262E4271">
            <w:pPr>
              <w:pStyle w:val="2106"/>
              <w:spacing w:beforeLines="0" w:afterLines="0" w:line="300" w:lineRule="exact"/>
              <w:ind w:firstLine="0" w:firstLineChars="0"/>
              <w:rPr>
                <w:rFonts w:hint="eastAsia" w:ascii="Arial" w:hAnsi="Times New Roman" w:eastAsia="宋体" w:cs="Arial"/>
                <w:b/>
                <w:color w:val="auto"/>
                <w:kern w:val="2"/>
                <w:sz w:val="22"/>
                <w:szCs w:val="22"/>
                <w:lang w:val="en-US" w:eastAsia="zh-CN" w:bidi="ar-SA"/>
              </w:rPr>
            </w:pPr>
            <w:r>
              <w:rPr>
                <w:rFonts w:hint="eastAsia" w:ascii="Arial" w:cs="Arial"/>
                <w:color w:val="auto"/>
                <w:sz w:val="22"/>
                <w:szCs w:val="22"/>
                <w:lang w:eastAsia="zh-CN"/>
              </w:rPr>
              <w:t>强饮用水水源安全保障工作的通知》</w:t>
            </w:r>
          </w:p>
        </w:tc>
        <w:tc>
          <w:tcPr>
            <w:tcW w:w="6474" w:type="dxa"/>
            <w:shd w:val="clear" w:color="auto" w:fill="auto"/>
            <w:noWrap w:val="0"/>
            <w:vAlign w:val="center"/>
          </w:tcPr>
          <w:p w14:paraId="501BD1DD">
            <w:pPr>
              <w:pStyle w:val="2106"/>
              <w:spacing w:beforeLines="0" w:afterLines="0" w:line="300" w:lineRule="exact"/>
              <w:jc w:val="both"/>
              <w:rPr>
                <w:rFonts w:hint="eastAsia" w:ascii="Arial" w:hAnsi="Arial" w:cs="Arial"/>
                <w:color w:val="auto"/>
                <w:sz w:val="22"/>
                <w:szCs w:val="22"/>
              </w:rPr>
            </w:pPr>
            <w:r>
              <w:rPr>
                <w:rFonts w:hint="eastAsia" w:ascii="Arial" w:hAnsi="Arial" w:cs="Arial"/>
                <w:color w:val="auto"/>
                <w:sz w:val="22"/>
                <w:szCs w:val="22"/>
              </w:rPr>
              <w:t>1、加强辖区饮用水水源安全风险隐患排查。在全国饮用水水源基础环境调查及评估工作基础上，全面排查饮用水水源保护区、准保护区内及上游地区的污染源，加强对可能影响饮水安全的制药、化工、造纸、冶炼等重点行业、重点污染源的监督管理，建立风险源名录，从源头控制隐患。一旦发生饮用水水源污染事故， 要迅速查清并切断污染来源，在当地政府统一领导下，开展污染防控工作，确保群众饮水安全。</w:t>
            </w:r>
          </w:p>
          <w:p w14:paraId="1C5E8D4D">
            <w:pPr>
              <w:pStyle w:val="2106"/>
              <w:spacing w:beforeLines="0" w:afterLines="0" w:line="300" w:lineRule="exact"/>
              <w:jc w:val="both"/>
              <w:rPr>
                <w:rFonts w:hint="eastAsia" w:ascii="Arial" w:hAnsi="Arial" w:cs="Arial"/>
                <w:color w:val="auto"/>
                <w:sz w:val="22"/>
                <w:szCs w:val="22"/>
              </w:rPr>
            </w:pPr>
            <w:r>
              <w:rPr>
                <w:rFonts w:hint="eastAsia" w:ascii="Arial" w:hAnsi="Arial" w:cs="Arial"/>
                <w:color w:val="auto"/>
                <w:sz w:val="22"/>
                <w:szCs w:val="22"/>
              </w:rPr>
              <w:t>2、加强交通运输行业的污染防治工作。配合交通及海事部门，严格按照《危险化学品安全管理条例》及《内河交通安全管理条例》等法律法规的要求， 加强饮用水源保护区、准保护区内及上游地区油类和危险化学品运载、装卸和储存设施的监管，督促其完善防溢流、防渗漏、防污染措施。各相关码头要配备足够的 污染物、废弃物接收设施。</w:t>
            </w:r>
          </w:p>
          <w:p w14:paraId="0BAA0417">
            <w:pPr>
              <w:pStyle w:val="2106"/>
              <w:spacing w:beforeLines="0" w:afterLines="0" w:line="300" w:lineRule="exact"/>
              <w:ind w:firstLine="0" w:firstLineChars="0"/>
              <w:jc w:val="both"/>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3、进一步加强饮用水水源水质监测工作。针对存在风险隐患的水源，要加密跨界断面水质及污染特征因子监测频次，及时了解水质变化状况，及时发现 问题、解决问题。要加强环境应急监测能力建设，一旦发生污染事故，要迅速准确监测分析出污染物种类、数量、来源和潜在危害，及时提出应急处理处置建议。国 家环保重点城市要按照我部的统一要求，开展饮用水源水质监测工作，并按程序上报监测结果。</w:t>
            </w:r>
          </w:p>
        </w:tc>
      </w:tr>
      <w:tr w14:paraId="36A636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noWrap w:val="0"/>
            <w:vAlign w:val="center"/>
          </w:tcPr>
          <w:p w14:paraId="1E5A14B1">
            <w:pPr>
              <w:pStyle w:val="2106"/>
              <w:spacing w:beforeLines="0" w:afterLines="0" w:line="300" w:lineRule="exact"/>
              <w:rPr>
                <w:rFonts w:hint="eastAsia" w:ascii="Arial" w:hAnsi="Arial" w:cs="Arial"/>
                <w:color w:val="auto"/>
                <w:sz w:val="22"/>
                <w:szCs w:val="22"/>
                <w:lang w:eastAsia="zh-CN"/>
              </w:rPr>
            </w:pPr>
            <w:r>
              <w:rPr>
                <w:rFonts w:hint="eastAsia" w:ascii="Arial" w:hAnsi="Arial" w:cs="Arial"/>
                <w:color w:val="auto"/>
                <w:sz w:val="22"/>
                <w:szCs w:val="22"/>
                <w:lang w:eastAsia="zh-CN"/>
              </w:rPr>
              <w:t>4</w:t>
            </w:r>
          </w:p>
        </w:tc>
        <w:tc>
          <w:tcPr>
            <w:tcW w:w="1844" w:type="dxa"/>
            <w:shd w:val="clear" w:color="auto" w:fill="auto"/>
            <w:noWrap w:val="0"/>
            <w:vAlign w:val="center"/>
          </w:tcPr>
          <w:p w14:paraId="5D70C770">
            <w:pPr>
              <w:pStyle w:val="2106"/>
              <w:spacing w:beforeLines="0" w:afterLines="0" w:line="300" w:lineRule="exact"/>
              <w:rPr>
                <w:rFonts w:hint="eastAsia" w:ascii="Arial" w:cs="Arial"/>
                <w:color w:val="auto"/>
                <w:sz w:val="22"/>
                <w:szCs w:val="22"/>
                <w:lang w:eastAsia="zh-CN"/>
              </w:rPr>
            </w:pPr>
            <w:r>
              <w:rPr>
                <w:rFonts w:hint="eastAsia" w:ascii="Arial" w:cs="Arial"/>
                <w:color w:val="auto"/>
                <w:sz w:val="22"/>
                <w:szCs w:val="22"/>
                <w:lang w:eastAsia="zh-CN"/>
              </w:rPr>
              <w:t>《重庆市水资源</w:t>
            </w:r>
          </w:p>
          <w:p w14:paraId="17310046">
            <w:pPr>
              <w:pStyle w:val="2106"/>
              <w:spacing w:beforeLines="0" w:afterLines="0" w:line="300" w:lineRule="exact"/>
              <w:ind w:firstLine="0" w:firstLineChars="0"/>
              <w:rPr>
                <w:rFonts w:hint="eastAsia" w:ascii="Arial" w:hAnsi="Times New Roman" w:eastAsia="宋体" w:cs="Arial"/>
                <w:color w:val="auto"/>
                <w:kern w:val="2"/>
                <w:sz w:val="22"/>
                <w:szCs w:val="22"/>
                <w:lang w:val="en-US" w:eastAsia="zh-CN" w:bidi="ar-SA"/>
              </w:rPr>
            </w:pPr>
            <w:r>
              <w:rPr>
                <w:rFonts w:hint="eastAsia" w:ascii="Arial" w:cs="Arial"/>
                <w:color w:val="auto"/>
                <w:sz w:val="22"/>
                <w:szCs w:val="22"/>
                <w:lang w:eastAsia="zh-CN"/>
              </w:rPr>
              <w:t>管理条例》</w:t>
            </w:r>
          </w:p>
        </w:tc>
        <w:tc>
          <w:tcPr>
            <w:tcW w:w="6474" w:type="dxa"/>
            <w:shd w:val="clear" w:color="auto" w:fill="auto"/>
            <w:noWrap w:val="0"/>
            <w:vAlign w:val="center"/>
          </w:tcPr>
          <w:p w14:paraId="3A257D0E">
            <w:pPr>
              <w:pStyle w:val="2106"/>
              <w:spacing w:beforeLines="0" w:afterLines="0" w:line="300" w:lineRule="exact"/>
              <w:ind w:firstLine="0" w:firstLineChars="0"/>
              <w:jc w:val="both"/>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rPr>
              <w:t>饮用水水源地管理单位、取水单位应当按照各自职责建立、健全巡查制度，组织对饮用水水源地及相关设施进行巡查，并做好巡查记录。对巡查中发现可能造成饮用水水源污染的行为应当劝阻和制止，劝阻和制止无效的，应当及时向有关执法机关报告，由有关执法机关依法处置。</w:t>
            </w:r>
          </w:p>
        </w:tc>
      </w:tr>
      <w:tr w14:paraId="453856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74" w:type="dxa"/>
            <w:noWrap w:val="0"/>
            <w:vAlign w:val="center"/>
          </w:tcPr>
          <w:p w14:paraId="2FEAB1E8">
            <w:pPr>
              <w:pStyle w:val="2106"/>
              <w:spacing w:beforeLines="0" w:afterLines="0" w:line="300" w:lineRule="exact"/>
              <w:rPr>
                <w:rFonts w:hint="eastAsia" w:ascii="Arial" w:hAnsi="Arial" w:cs="Arial"/>
                <w:color w:val="auto"/>
                <w:sz w:val="22"/>
                <w:szCs w:val="22"/>
                <w:lang w:eastAsia="zh-CN"/>
              </w:rPr>
            </w:pPr>
            <w:r>
              <w:rPr>
                <w:rFonts w:hint="eastAsia" w:ascii="Arial" w:hAnsi="Arial" w:cs="Arial"/>
                <w:color w:val="auto"/>
                <w:sz w:val="22"/>
                <w:szCs w:val="22"/>
                <w:lang w:eastAsia="zh-CN"/>
              </w:rPr>
              <w:t>5</w:t>
            </w:r>
          </w:p>
        </w:tc>
        <w:tc>
          <w:tcPr>
            <w:tcW w:w="1844" w:type="dxa"/>
            <w:shd w:val="clear" w:color="auto" w:fill="auto"/>
            <w:noWrap w:val="0"/>
            <w:vAlign w:val="center"/>
          </w:tcPr>
          <w:p w14:paraId="32AADB2A">
            <w:pPr>
              <w:pStyle w:val="2106"/>
              <w:spacing w:beforeLines="0" w:afterLines="0" w:line="300" w:lineRule="exact"/>
              <w:rPr>
                <w:rFonts w:hint="eastAsia" w:ascii="Arial" w:cs="Arial"/>
                <w:color w:val="auto"/>
                <w:sz w:val="22"/>
                <w:szCs w:val="22"/>
                <w:lang w:eastAsia="zh-CN"/>
              </w:rPr>
            </w:pPr>
            <w:r>
              <w:rPr>
                <w:rFonts w:hint="eastAsia" w:ascii="Arial" w:cs="Arial"/>
                <w:color w:val="auto"/>
                <w:sz w:val="22"/>
                <w:szCs w:val="22"/>
                <w:lang w:eastAsia="zh-CN"/>
              </w:rPr>
              <w:t>《重庆市人民政</w:t>
            </w:r>
          </w:p>
          <w:p w14:paraId="4D1FBCBF">
            <w:pPr>
              <w:pStyle w:val="2106"/>
              <w:spacing w:beforeLines="0" w:afterLines="0" w:line="300" w:lineRule="exact"/>
              <w:ind w:firstLine="0" w:firstLineChars="0"/>
              <w:rPr>
                <w:rFonts w:hint="eastAsia" w:ascii="Arial" w:hAnsi="Times New Roman" w:eastAsia="宋体" w:cs="Arial"/>
                <w:color w:val="auto"/>
                <w:kern w:val="2"/>
                <w:sz w:val="22"/>
                <w:szCs w:val="22"/>
                <w:lang w:val="en-US" w:eastAsia="zh-CN" w:bidi="ar-SA"/>
              </w:rPr>
            </w:pPr>
            <w:r>
              <w:rPr>
                <w:rFonts w:hint="eastAsia" w:ascii="Arial" w:cs="Arial"/>
                <w:color w:val="auto"/>
                <w:sz w:val="22"/>
                <w:szCs w:val="22"/>
                <w:lang w:eastAsia="zh-CN"/>
              </w:rPr>
              <w:t>府关于加强集中式饮用水源保护工作的通知》</w:t>
            </w:r>
          </w:p>
        </w:tc>
        <w:tc>
          <w:tcPr>
            <w:tcW w:w="6474" w:type="dxa"/>
            <w:shd w:val="clear" w:color="auto" w:fill="auto"/>
            <w:noWrap w:val="0"/>
            <w:vAlign w:val="center"/>
          </w:tcPr>
          <w:p w14:paraId="2E7EBA1C">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textAlignment w:val="auto"/>
              <w:rPr>
                <w:rFonts w:hint="eastAsia" w:ascii="Arial" w:hAnsi="Arial" w:cs="Arial"/>
                <w:sz w:val="22"/>
                <w:szCs w:val="22"/>
                <w:lang w:val="en-US" w:eastAsia="zh-CN"/>
              </w:rPr>
            </w:pPr>
            <w:r>
              <w:rPr>
                <w:rFonts w:hint="eastAsia" w:ascii="Arial" w:hAnsi="Arial" w:cs="Arial"/>
                <w:sz w:val="22"/>
                <w:szCs w:val="22"/>
                <w:lang w:val="en-US" w:eastAsia="zh-CN"/>
              </w:rPr>
              <w:t>1、依法实施集中式饮用水源保护区管理。集中式饮用水源保护区一经划定，必须依法实施保护。规划部门应将集中式饮用水源保护区纳入规划红线控制范围，水利部门在水利项目审批、环保部门在建设项目审批、农业部门在农业项目审批、食品药品监管部门在餐饮服务许可、卫生部门在服务业卫生许可时均应按照集中式饮用水源保护区管理规定依法审批,不得在保护区内批准设置排污口和与供水设施无关的构</w:t>
            </w:r>
            <w:r>
              <w:rPr>
                <w:rFonts w:hint="eastAsia" w:ascii="宋体" w:hAnsi="宋体" w:eastAsia="宋体" w:cs="宋体"/>
                <w:sz w:val="22"/>
                <w:szCs w:val="22"/>
                <w:lang w:val="en-US" w:eastAsia="zh-CN"/>
              </w:rPr>
              <w:t>(建)</w:t>
            </w:r>
            <w:r>
              <w:rPr>
                <w:rFonts w:hint="eastAsia" w:ascii="Arial" w:hAnsi="Arial" w:cs="Arial"/>
                <w:sz w:val="22"/>
                <w:szCs w:val="22"/>
                <w:lang w:val="en-US" w:eastAsia="zh-CN"/>
              </w:rPr>
              <w:t>筑物。</w:t>
            </w:r>
          </w:p>
          <w:p w14:paraId="29BFAB6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textAlignment w:val="auto"/>
              <w:rPr>
                <w:rFonts w:hint="eastAsia" w:ascii="宋体" w:hAnsi="宋体" w:eastAsia="宋体" w:cs="宋体"/>
                <w:sz w:val="22"/>
                <w:szCs w:val="22"/>
                <w:lang w:val="en-US" w:eastAsia="zh-CN"/>
              </w:rPr>
            </w:pPr>
            <w:r>
              <w:rPr>
                <w:rFonts w:hint="eastAsia" w:ascii="Arial" w:hAnsi="Arial" w:cs="Arial"/>
                <w:sz w:val="22"/>
                <w:szCs w:val="22"/>
                <w:lang w:val="en-US" w:eastAsia="zh-CN"/>
              </w:rPr>
              <w:t>2、彻底整治集中式饮用水源保护区内污染源，确</w:t>
            </w:r>
            <w:r>
              <w:rPr>
                <w:rFonts w:hint="eastAsia" w:ascii="宋体" w:hAnsi="宋体" w:eastAsia="宋体" w:cs="宋体"/>
                <w:sz w:val="22"/>
                <w:szCs w:val="22"/>
                <w:lang w:val="en-US" w:eastAsia="zh-CN"/>
              </w:rPr>
              <w:t>保水质达标。各区县(自治县)人民政府要对照《中华人民共和国水污染防治法》、《重庆市长江三峡水库库区及流域水污染防治条例》等规定，通过搬迁、关闭等治理措施，全面取缔饮用水源保护区内工业和市政排污口、畜禽养殖、网箱(围栏)及投饵性养殖、经营性船舶和码头、种植等污染源和与供水设施无关的构(建)筑物。禁止在一、二级保护区内从事旅游、游泳、垂钓或者其他可能污染水体的活动。</w:t>
            </w:r>
          </w:p>
          <w:p w14:paraId="75661870">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textAlignment w:val="auto"/>
              <w:rPr>
                <w:rFonts w:hint="eastAsia" w:ascii="Arial" w:hAnsi="Arial" w:eastAsia="宋体" w:cs="Arial"/>
                <w:sz w:val="22"/>
                <w:szCs w:val="22"/>
                <w:lang w:val="en-US" w:eastAsia="zh-CN"/>
              </w:rPr>
            </w:pPr>
            <w:r>
              <w:rPr>
                <w:rFonts w:hint="eastAsia" w:ascii="Arial" w:hAnsi="Arial" w:eastAsia="宋体" w:cs="Arial"/>
                <w:sz w:val="22"/>
                <w:szCs w:val="22"/>
                <w:lang w:val="en-US" w:eastAsia="zh-CN"/>
              </w:rPr>
              <w:t>3、制订风险防范预案。各区县</w:t>
            </w:r>
            <w:r>
              <w:rPr>
                <w:rFonts w:hint="eastAsia" w:ascii="宋体" w:hAnsi="宋体" w:eastAsia="宋体" w:cs="宋体"/>
                <w:sz w:val="22"/>
                <w:szCs w:val="22"/>
                <w:lang w:val="en-US" w:eastAsia="zh-CN"/>
              </w:rPr>
              <w:t>(自治县)人民</w:t>
            </w:r>
            <w:r>
              <w:rPr>
                <w:rFonts w:hint="eastAsia" w:ascii="Arial" w:hAnsi="Arial" w:eastAsia="宋体" w:cs="Arial"/>
                <w:sz w:val="22"/>
                <w:szCs w:val="22"/>
                <w:lang w:val="en-US" w:eastAsia="zh-CN"/>
              </w:rPr>
              <w:t>政府要制订集中式饮用水源地  应急预案并督促水源地水厂制订水厂应急预案，落实水源地及水厂应急物资 储备和应急技术、队伍及装备保障，每年开展1次集中式饮用水源地、水厂应急演练。强化集中式饮用水源地周边化工、造纸等风险源检查管理工作， 严格控制运输危险化学品、危险废物及其他影响饮用水安全等物资进入集中式水源保护区，积极推进农业面源污染防治，提高水源地风险防范能力。对现有环境风险等级高或采取措施水质难以达标的水源地，要实施优化整合工作，或建设水利工程项目和备用水源，保障饮用水安全。</w:t>
            </w:r>
          </w:p>
          <w:p w14:paraId="047465FE">
            <w:pPr>
              <w:pStyle w:val="2106"/>
              <w:spacing w:beforeLines="0" w:afterLines="0" w:line="300" w:lineRule="exact"/>
              <w:ind w:firstLine="0" w:firstLineChars="0"/>
              <w:jc w:val="both"/>
              <w:rPr>
                <w:rFonts w:hint="eastAsia" w:ascii="Arial" w:hAnsi="Arial" w:eastAsia="宋体" w:cs="Arial"/>
                <w:color w:val="auto"/>
                <w:kern w:val="2"/>
                <w:sz w:val="22"/>
                <w:szCs w:val="22"/>
                <w:lang w:val="en-US" w:eastAsia="zh-CN" w:bidi="ar-SA"/>
              </w:rPr>
            </w:pPr>
            <w:r>
              <w:rPr>
                <w:rFonts w:hint="eastAsia" w:ascii="Arial" w:hAnsi="Arial" w:eastAsia="宋体" w:cs="Arial"/>
                <w:sz w:val="22"/>
                <w:szCs w:val="22"/>
                <w:lang w:val="en-US" w:eastAsia="zh-CN"/>
              </w:rPr>
              <w:t>4、强化应急处置工作。发生影响或可能影响集中式饮用水源安全的突发环境 事件时，要及时启动应急预案并开展应急处置工作。突发环境事件处置工作应在政府的统一指挥下，各有关部门相互配合，立即开展应急监测，采取切断污染源头和拦截、吸附、消解污染物等多种措施控制、减轻或消除对水体的污染，并及时发布突发事件的相关信息，正确引导社会舆论。</w:t>
            </w:r>
          </w:p>
        </w:tc>
      </w:tr>
    </w:tbl>
    <w:p w14:paraId="158587B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outlineLvl w:val="1"/>
        <w:rPr>
          <w:rFonts w:hint="eastAsia" w:ascii="Arial" w:hAnsi="Arial" w:eastAsia="宋体" w:cs="Arial"/>
          <w:b/>
          <w:bCs/>
          <w:sz w:val="26"/>
          <w:szCs w:val="26"/>
          <w:lang w:val="en-US" w:eastAsia="zh-CN"/>
        </w:rPr>
      </w:pPr>
    </w:p>
    <w:p w14:paraId="65C05FA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bCs/>
          <w:kern w:val="0"/>
          <w:sz w:val="26"/>
          <w:szCs w:val="26"/>
        </w:rPr>
      </w:pPr>
      <w:r>
        <w:rPr>
          <w:rFonts w:hint="eastAsia"/>
          <w:bCs/>
          <w:kern w:val="0"/>
          <w:sz w:val="26"/>
          <w:szCs w:val="26"/>
        </w:rPr>
        <w:t>本项目在环评、主体工程初步设计等报告批复后，水库业主应将水源保护区范围、要求等情况反馈到</w:t>
      </w:r>
      <w:r>
        <w:rPr>
          <w:rFonts w:hint="eastAsia"/>
          <w:bCs/>
          <w:kern w:val="0"/>
          <w:sz w:val="26"/>
          <w:szCs w:val="26"/>
          <w:lang w:eastAsia="zh-CN"/>
        </w:rPr>
        <w:t>环保、</w:t>
      </w:r>
      <w:r>
        <w:rPr>
          <w:rFonts w:hint="eastAsia"/>
          <w:bCs/>
          <w:kern w:val="0"/>
          <w:sz w:val="26"/>
          <w:szCs w:val="26"/>
        </w:rPr>
        <w:t>规划、建设等部门，不得在水库水源保护区内批建污染企业，已建成的排放污染物的建设项目，由县级以上人民政府责令拆除或者关闭。此外，对于水库集雨范围内的现有道路，应设置警示牌，尽量避免因车祸造成水库水质污染的情况发生。</w:t>
      </w:r>
    </w:p>
    <w:p w14:paraId="1F4B322F">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宋体" w:eastAsia="宋体" w:cs="Arial"/>
          <w:b/>
          <w:bCs/>
          <w:color w:val="auto"/>
          <w:sz w:val="26"/>
          <w:szCs w:val="26"/>
          <w:lang w:val="en-US" w:eastAsia="zh-CN"/>
        </w:rPr>
      </w:pPr>
      <w:r>
        <w:rPr>
          <w:rFonts w:hint="eastAsia" w:ascii="Arial" w:hAnsi="宋体" w:eastAsia="宋体" w:cs="Arial"/>
          <w:b/>
          <w:bCs/>
          <w:color w:val="auto"/>
          <w:sz w:val="26"/>
          <w:szCs w:val="26"/>
          <w:lang w:val="en-US" w:eastAsia="zh-CN"/>
        </w:rPr>
        <w:t>7.4.5饮用水水源污染防治措施</w:t>
      </w:r>
    </w:p>
    <w:p w14:paraId="0A4A519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default" w:ascii="Arial" w:hAnsi="Arial" w:eastAsia="宋体" w:cs="Arial"/>
          <w:bCs/>
          <w:kern w:val="0"/>
          <w:sz w:val="26"/>
          <w:szCs w:val="26"/>
        </w:rPr>
      </w:pPr>
      <w:r>
        <w:rPr>
          <w:rFonts w:hint="eastAsia" w:ascii="Times New Roman" w:hAnsi="Times New Roman" w:eastAsia="宋体" w:cs="Times New Roman"/>
          <w:bCs/>
          <w:kern w:val="0"/>
          <w:sz w:val="26"/>
          <w:szCs w:val="26"/>
          <w:lang w:eastAsia="zh-CN"/>
        </w:rPr>
        <w:t>本项目运营期具有农村人畜供水功能，采取管道供水，</w:t>
      </w:r>
      <w:r>
        <w:rPr>
          <w:rFonts w:hint="eastAsia" w:ascii="Times New Roman" w:hAnsi="Times New Roman" w:eastAsia="宋体" w:cs="Times New Roman"/>
          <w:bCs/>
          <w:kern w:val="0"/>
          <w:sz w:val="26"/>
          <w:szCs w:val="26"/>
        </w:rPr>
        <w:t>为加强农村饮用水水质安全，根据《全国农村饮水安全工程“十二五”规划</w:t>
      </w:r>
      <w:r>
        <w:rPr>
          <w:rFonts w:hint="eastAsia" w:ascii="宋体" w:hAnsi="宋体" w:eastAsia="宋体" w:cs="宋体"/>
          <w:bCs/>
          <w:kern w:val="0"/>
          <w:sz w:val="26"/>
          <w:szCs w:val="26"/>
        </w:rPr>
        <w:t>(公开稿)</w:t>
      </w:r>
      <w:r>
        <w:rPr>
          <w:rFonts w:hint="eastAsia" w:ascii="Times New Roman" w:hAnsi="Times New Roman" w:eastAsia="宋体" w:cs="Times New Roman"/>
          <w:bCs/>
          <w:kern w:val="0"/>
          <w:sz w:val="26"/>
          <w:szCs w:val="26"/>
        </w:rPr>
        <w:t>》、《关于加强农村饮水安全工程水质检测能力建设的指导意见》</w:t>
      </w:r>
      <w:r>
        <w:rPr>
          <w:rFonts w:hint="eastAsia" w:ascii="宋体" w:hAnsi="宋体" w:eastAsia="宋体" w:cs="宋体"/>
          <w:bCs/>
          <w:kern w:val="0"/>
          <w:sz w:val="26"/>
          <w:szCs w:val="26"/>
        </w:rPr>
        <w:t>(发</w:t>
      </w:r>
      <w:r>
        <w:rPr>
          <w:rFonts w:hint="eastAsia" w:ascii="Times New Roman" w:hAnsi="Times New Roman" w:eastAsia="宋体" w:cs="Times New Roman"/>
          <w:bCs/>
          <w:kern w:val="0"/>
          <w:sz w:val="26"/>
          <w:szCs w:val="26"/>
        </w:rPr>
        <w:t>改</w:t>
      </w:r>
      <w:r>
        <w:rPr>
          <w:rFonts w:hint="default" w:ascii="Arial" w:hAnsi="Arial" w:eastAsia="宋体" w:cs="Arial"/>
          <w:bCs/>
          <w:kern w:val="0"/>
          <w:sz w:val="26"/>
          <w:szCs w:val="26"/>
        </w:rPr>
        <w:t>农经〔2013</w:t>
      </w:r>
      <w:r>
        <w:rPr>
          <w:rFonts w:hint="eastAsia" w:ascii="宋体" w:hAnsi="宋体" w:eastAsia="宋体" w:cs="宋体"/>
          <w:bCs/>
          <w:kern w:val="0"/>
          <w:sz w:val="26"/>
          <w:szCs w:val="26"/>
        </w:rPr>
        <w:t>〕</w:t>
      </w:r>
      <w:r>
        <w:rPr>
          <w:rFonts w:hint="default" w:ascii="Arial" w:hAnsi="Arial" w:eastAsia="宋体" w:cs="Arial"/>
          <w:bCs/>
          <w:kern w:val="0"/>
          <w:sz w:val="26"/>
          <w:szCs w:val="26"/>
        </w:rPr>
        <w:t>2259号</w:t>
      </w:r>
      <w:r>
        <w:rPr>
          <w:rFonts w:hint="eastAsia" w:ascii="Arial" w:hAnsi="Arial" w:eastAsia="宋体" w:cs="Arial"/>
          <w:bCs/>
          <w:kern w:val="0"/>
          <w:sz w:val="26"/>
          <w:szCs w:val="26"/>
          <w:lang w:eastAsia="zh-CN"/>
        </w:rPr>
        <w:t>）</w:t>
      </w:r>
      <w:r>
        <w:rPr>
          <w:rFonts w:hint="default" w:ascii="Arial" w:hAnsi="Arial" w:eastAsia="宋体" w:cs="Arial"/>
          <w:bCs/>
          <w:kern w:val="0"/>
          <w:sz w:val="26"/>
          <w:szCs w:val="26"/>
        </w:rPr>
        <w:t>、《关于加强农村饮用水水源保护工作的指导意见》</w:t>
      </w:r>
      <w:r>
        <w:rPr>
          <w:rFonts w:hint="eastAsia" w:ascii="Arial" w:hAnsi="Arial" w:eastAsia="宋体" w:cs="Arial"/>
          <w:bCs/>
          <w:kern w:val="0"/>
          <w:sz w:val="26"/>
          <w:szCs w:val="26"/>
          <w:lang w:eastAsia="zh-CN"/>
        </w:rPr>
        <w:t>（</w:t>
      </w:r>
      <w:r>
        <w:rPr>
          <w:rFonts w:hint="default" w:ascii="Arial" w:hAnsi="Arial" w:eastAsia="宋体" w:cs="Arial"/>
          <w:bCs/>
          <w:kern w:val="0"/>
          <w:sz w:val="26"/>
          <w:szCs w:val="26"/>
        </w:rPr>
        <w:t>环办</w:t>
      </w:r>
      <w:r>
        <w:rPr>
          <w:rFonts w:hint="eastAsia" w:ascii="宋体" w:hAnsi="宋体" w:eastAsia="宋体" w:cs="宋体"/>
          <w:bCs/>
          <w:kern w:val="0"/>
          <w:sz w:val="26"/>
          <w:szCs w:val="26"/>
        </w:rPr>
        <w:t>〔</w:t>
      </w:r>
      <w:r>
        <w:rPr>
          <w:rFonts w:hint="default" w:ascii="Arial" w:hAnsi="Arial" w:eastAsia="宋体" w:cs="Arial"/>
          <w:bCs/>
          <w:kern w:val="0"/>
          <w:sz w:val="26"/>
          <w:szCs w:val="26"/>
        </w:rPr>
        <w:t>2015</w:t>
      </w:r>
      <w:r>
        <w:rPr>
          <w:rFonts w:hint="eastAsia" w:ascii="宋体" w:hAnsi="宋体" w:eastAsia="宋体" w:cs="宋体"/>
          <w:bCs/>
          <w:kern w:val="0"/>
          <w:sz w:val="26"/>
          <w:szCs w:val="26"/>
        </w:rPr>
        <w:t>〕</w:t>
      </w:r>
      <w:r>
        <w:rPr>
          <w:rFonts w:hint="default" w:ascii="Arial" w:hAnsi="Arial" w:eastAsia="宋体" w:cs="Arial"/>
          <w:bCs/>
          <w:kern w:val="0"/>
          <w:sz w:val="26"/>
          <w:szCs w:val="26"/>
        </w:rPr>
        <w:t>53号</w:t>
      </w:r>
      <w:r>
        <w:rPr>
          <w:rFonts w:hint="eastAsia" w:ascii="Arial" w:hAnsi="Arial" w:eastAsia="宋体" w:cs="Arial"/>
          <w:bCs/>
          <w:kern w:val="0"/>
          <w:sz w:val="26"/>
          <w:szCs w:val="26"/>
          <w:lang w:eastAsia="zh-CN"/>
        </w:rPr>
        <w:t>），</w:t>
      </w:r>
      <w:r>
        <w:rPr>
          <w:rFonts w:hint="default" w:ascii="Arial" w:hAnsi="Arial" w:eastAsia="宋体" w:cs="Arial"/>
          <w:bCs/>
          <w:kern w:val="0"/>
          <w:sz w:val="26"/>
          <w:szCs w:val="26"/>
        </w:rPr>
        <w:t>对农村饮用水水质保护的要求见表7.</w:t>
      </w:r>
      <w:r>
        <w:rPr>
          <w:rFonts w:hint="eastAsia" w:ascii="Arial" w:hAnsi="Arial" w:eastAsia="宋体" w:cs="Arial"/>
          <w:bCs/>
          <w:kern w:val="0"/>
          <w:sz w:val="26"/>
          <w:szCs w:val="26"/>
          <w:lang w:val="en-US" w:eastAsia="zh-CN"/>
        </w:rPr>
        <w:t>4</w:t>
      </w:r>
      <w:r>
        <w:rPr>
          <w:rFonts w:hint="default" w:ascii="Arial" w:hAnsi="Arial" w:eastAsia="宋体" w:cs="Arial"/>
          <w:bCs/>
          <w:kern w:val="0"/>
          <w:sz w:val="26"/>
          <w:szCs w:val="26"/>
        </w:rPr>
        <w:t>-2。</w:t>
      </w:r>
    </w:p>
    <w:p w14:paraId="402BF793">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1"/>
        <w:rPr>
          <w:rFonts w:hint="eastAsia" w:ascii="Arial" w:hAnsi="Arial" w:eastAsia="宋体" w:cs="Arial"/>
          <w:b/>
          <w:bCs/>
          <w:sz w:val="26"/>
          <w:szCs w:val="26"/>
          <w:lang w:val="en-US" w:eastAsia="zh-CN"/>
        </w:rPr>
      </w:pPr>
      <w:r>
        <w:rPr>
          <w:rFonts w:hint="eastAsia" w:ascii="Arial" w:hAnsi="Arial" w:eastAsia="宋体" w:cs="Arial"/>
          <w:b/>
          <w:bCs/>
          <w:sz w:val="26"/>
          <w:szCs w:val="26"/>
          <w:lang w:eastAsia="zh-CN"/>
        </w:rPr>
        <w:t>表</w:t>
      </w:r>
      <w:r>
        <w:rPr>
          <w:rFonts w:hint="eastAsia" w:ascii="Arial" w:hAnsi="Arial" w:eastAsia="宋体" w:cs="Arial"/>
          <w:b/>
          <w:bCs/>
          <w:sz w:val="26"/>
          <w:szCs w:val="26"/>
          <w:lang w:val="en-US" w:eastAsia="zh-CN"/>
        </w:rPr>
        <w:t>7.4-2 农村饮用水水质保护的要求</w:t>
      </w:r>
    </w:p>
    <w:tbl>
      <w:tblPr>
        <w:tblStyle w:val="1893"/>
        <w:tblW w:w="92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8"/>
        <w:gridCol w:w="1289"/>
        <w:gridCol w:w="7137"/>
      </w:tblGrid>
      <w:tr w14:paraId="683DF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8" w:type="dxa"/>
            <w:vAlign w:val="center"/>
          </w:tcPr>
          <w:p w14:paraId="75D7C35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eastAsia" w:ascii="Arial" w:hAnsi="Arial" w:eastAsia="宋体" w:cs="Arial"/>
                <w:sz w:val="22"/>
                <w:szCs w:val="22"/>
                <w:lang w:eastAsia="zh-CN"/>
              </w:rPr>
            </w:pPr>
            <w:r>
              <w:rPr>
                <w:rFonts w:hint="eastAsia" w:ascii="Arial" w:hAnsi="Arial" w:eastAsia="宋体" w:cs="Arial"/>
                <w:sz w:val="22"/>
                <w:szCs w:val="22"/>
                <w:lang w:eastAsia="zh-CN"/>
              </w:rPr>
              <w:t>序号</w:t>
            </w:r>
          </w:p>
        </w:tc>
        <w:tc>
          <w:tcPr>
            <w:tcW w:w="1289" w:type="dxa"/>
            <w:vAlign w:val="center"/>
          </w:tcPr>
          <w:p w14:paraId="07CE629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rPr>
            </w:pPr>
            <w:r>
              <w:rPr>
                <w:rFonts w:hint="default" w:ascii="Arial" w:hAnsi="Arial" w:eastAsia="宋体" w:cs="Arial"/>
                <w:sz w:val="22"/>
                <w:szCs w:val="22"/>
              </w:rPr>
              <w:t>文件</w:t>
            </w:r>
          </w:p>
        </w:tc>
        <w:tc>
          <w:tcPr>
            <w:tcW w:w="7137" w:type="dxa"/>
            <w:vAlign w:val="center"/>
          </w:tcPr>
          <w:p w14:paraId="16345AFD">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rPr>
            </w:pPr>
            <w:r>
              <w:rPr>
                <w:rFonts w:hint="default" w:ascii="Arial" w:hAnsi="Arial" w:eastAsia="宋体" w:cs="Arial"/>
                <w:sz w:val="22"/>
                <w:szCs w:val="22"/>
              </w:rPr>
              <w:t>规定或要求</w:t>
            </w:r>
          </w:p>
        </w:tc>
      </w:tr>
      <w:tr w14:paraId="2D432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8" w:type="dxa"/>
            <w:vAlign w:val="center"/>
          </w:tcPr>
          <w:p w14:paraId="1B4BC084">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rPr>
            </w:pPr>
            <w:r>
              <w:rPr>
                <w:rFonts w:hint="default" w:ascii="Arial" w:hAnsi="Arial" w:eastAsia="宋体" w:cs="Arial"/>
                <w:sz w:val="22"/>
                <w:szCs w:val="22"/>
              </w:rPr>
              <w:t>1</w:t>
            </w:r>
          </w:p>
        </w:tc>
        <w:tc>
          <w:tcPr>
            <w:tcW w:w="1289" w:type="dxa"/>
            <w:vAlign w:val="center"/>
          </w:tcPr>
          <w:p w14:paraId="378E57BE">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rPr>
            </w:pPr>
            <w:r>
              <w:rPr>
                <w:rFonts w:hint="default" w:ascii="Arial" w:hAnsi="Arial" w:eastAsia="宋体" w:cs="Arial"/>
                <w:sz w:val="22"/>
                <w:szCs w:val="22"/>
              </w:rPr>
              <w:t>全国农村饮</w:t>
            </w:r>
          </w:p>
          <w:p w14:paraId="4E11F8C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rPr>
            </w:pPr>
            <w:r>
              <w:rPr>
                <w:rFonts w:hint="default" w:ascii="Arial" w:hAnsi="Arial" w:eastAsia="宋体" w:cs="Arial"/>
                <w:sz w:val="22"/>
                <w:szCs w:val="22"/>
              </w:rPr>
              <w:t>水安全工程</w:t>
            </w:r>
          </w:p>
          <w:p w14:paraId="18602062">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rPr>
            </w:pPr>
            <w:r>
              <w:rPr>
                <w:rFonts w:hint="eastAsia" w:ascii="宋体" w:hAnsi="宋体" w:eastAsia="宋体" w:cs="宋体"/>
                <w:sz w:val="22"/>
                <w:szCs w:val="22"/>
              </w:rPr>
              <w:t>“十二五”</w:t>
            </w:r>
            <w:r>
              <w:rPr>
                <w:rFonts w:hint="default" w:ascii="Arial" w:hAnsi="Arial" w:eastAsia="宋体" w:cs="Arial"/>
                <w:sz w:val="22"/>
                <w:szCs w:val="22"/>
              </w:rPr>
              <w:t>规划</w:t>
            </w:r>
          </w:p>
        </w:tc>
        <w:tc>
          <w:tcPr>
            <w:tcW w:w="7137" w:type="dxa"/>
            <w:vAlign w:val="center"/>
          </w:tcPr>
          <w:p w14:paraId="3B1EE339">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both"/>
              <w:textAlignment w:val="auto"/>
              <w:rPr>
                <w:rFonts w:hint="default" w:ascii="Arial" w:hAnsi="Arial" w:eastAsia="宋体" w:cs="Arial"/>
                <w:sz w:val="22"/>
                <w:szCs w:val="22"/>
              </w:rPr>
            </w:pPr>
            <w:r>
              <w:rPr>
                <w:rFonts w:hint="default" w:ascii="Arial" w:hAnsi="Arial" w:eastAsia="宋体" w:cs="Arial"/>
                <w:sz w:val="22"/>
                <w:szCs w:val="22"/>
              </w:rPr>
              <w:t>1、加强水源</w:t>
            </w:r>
            <w:r>
              <w:rPr>
                <w:rFonts w:hint="eastAsia" w:ascii="Arial" w:hAnsi="Arial" w:eastAsia="宋体" w:cs="Arial"/>
                <w:sz w:val="22"/>
                <w:szCs w:val="22"/>
                <w:lang w:eastAsia="zh-CN"/>
              </w:rPr>
              <w:t>保护</w:t>
            </w:r>
            <w:r>
              <w:rPr>
                <w:rFonts w:hint="default" w:ascii="Arial" w:hAnsi="Arial" w:eastAsia="宋体" w:cs="Arial"/>
                <w:sz w:val="22"/>
                <w:szCs w:val="22"/>
              </w:rPr>
              <w:t>。水源保护区（保护范围）划分、警示标志建设、环境综合整治等工作，应与供水工程设计及建设同步开展。主要措施包括：1）划定水源保护区或保护范围。规模以上集中供水工程，根据不同水源类型，按照国家有关规定，综合当地的地理位置、水文、气象、地质、水动力特征、水污染类型、污染源分布、水源地规模以及水量需求等因素，合理划定水源保护区，并利用永久性的明显标志标示保护区界线，设置保护标志。</w:t>
            </w:r>
          </w:p>
          <w:p w14:paraId="051FC737">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both"/>
              <w:textAlignment w:val="auto"/>
              <w:rPr>
                <w:rFonts w:hint="eastAsia" w:ascii="Arial" w:hAnsi="Arial" w:eastAsia="宋体" w:cs="Arial"/>
                <w:sz w:val="22"/>
                <w:szCs w:val="22"/>
                <w:lang w:val="en-US" w:eastAsia="zh-CN"/>
              </w:rPr>
            </w:pPr>
            <w:r>
              <w:rPr>
                <w:rFonts w:hint="eastAsia" w:ascii="Arial" w:hAnsi="Arial" w:eastAsia="宋体" w:cs="Arial"/>
                <w:sz w:val="22"/>
                <w:szCs w:val="22"/>
                <w:lang w:val="en-US" w:eastAsia="zh-CN"/>
              </w:rPr>
              <w:t>2、加强水源防护。以地表水为水源时，要有防洪、防冰凌等措施。</w:t>
            </w:r>
          </w:p>
          <w:p w14:paraId="64F33EB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both"/>
              <w:textAlignment w:val="auto"/>
              <w:rPr>
                <w:rFonts w:hint="default" w:ascii="Arial" w:hAnsi="Arial" w:eastAsia="宋体" w:cs="Arial"/>
                <w:sz w:val="22"/>
                <w:szCs w:val="22"/>
              </w:rPr>
            </w:pPr>
            <w:r>
              <w:rPr>
                <w:rFonts w:hint="eastAsia" w:ascii="Arial" w:hAnsi="Arial" w:eastAsia="宋体" w:cs="Arial"/>
                <w:sz w:val="22"/>
                <w:szCs w:val="22"/>
                <w:lang w:val="en-US" w:eastAsia="zh-CN"/>
              </w:rPr>
              <w:t>3</w:t>
            </w:r>
            <w:r>
              <w:rPr>
                <w:rFonts w:hint="default" w:ascii="Arial" w:hAnsi="Arial" w:eastAsia="宋体" w:cs="Arial"/>
                <w:sz w:val="22"/>
                <w:szCs w:val="22"/>
              </w:rPr>
              <w:t>、加强宣传教育。采取多种形式，传播相关知识，提高公众保护水源意识， 逐步完善公众参与和监督机制，积极引导和鼓励公众参与水源保护工作。</w:t>
            </w:r>
          </w:p>
          <w:p w14:paraId="11C2883B">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both"/>
              <w:textAlignment w:val="auto"/>
              <w:rPr>
                <w:rFonts w:hint="eastAsia" w:ascii="Arial" w:hAnsi="Arial" w:eastAsia="宋体" w:cs="Arial"/>
                <w:sz w:val="22"/>
                <w:szCs w:val="22"/>
                <w:lang w:val="en-US" w:eastAsia="zh-CN"/>
              </w:rPr>
            </w:pPr>
            <w:r>
              <w:rPr>
                <w:rFonts w:hint="eastAsia" w:ascii="Arial" w:hAnsi="Arial" w:eastAsia="宋体" w:cs="Arial"/>
                <w:sz w:val="22"/>
                <w:szCs w:val="22"/>
                <w:lang w:val="en-US" w:eastAsia="zh-CN"/>
              </w:rPr>
              <w:t>4、加强水源保护区环境监督执法，强化企业排污监管，清理排污口、集约化养殖、垃圾、厕所等点源污染；通过发展有机农业，合理施用农药、化肥，种植水源保护林，建设生态缓冲带等措施涵养水源、减少水土流失和控制面源污染；加快农村环境综合整治，将农村饮用水源保护作为其工作重点。</w:t>
            </w:r>
          </w:p>
        </w:tc>
      </w:tr>
      <w:tr w14:paraId="5B632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8" w:type="dxa"/>
            <w:vAlign w:val="center"/>
          </w:tcPr>
          <w:p w14:paraId="30F16483">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rPr>
            </w:pPr>
            <w:r>
              <w:rPr>
                <w:rFonts w:hint="default" w:ascii="Arial" w:hAnsi="Arial" w:eastAsia="宋体" w:cs="Arial"/>
                <w:sz w:val="22"/>
                <w:szCs w:val="22"/>
              </w:rPr>
              <w:t>2</w:t>
            </w:r>
          </w:p>
        </w:tc>
        <w:tc>
          <w:tcPr>
            <w:tcW w:w="1289" w:type="dxa"/>
            <w:vAlign w:val="center"/>
          </w:tcPr>
          <w:p w14:paraId="463C27D8">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rPr>
            </w:pPr>
            <w:r>
              <w:rPr>
                <w:rFonts w:hint="default" w:ascii="Arial" w:hAnsi="Arial" w:eastAsia="宋体" w:cs="Arial"/>
                <w:sz w:val="22"/>
                <w:szCs w:val="22"/>
              </w:rPr>
              <w:t>关于加强农 村饮水安全 工程水质检 测能力建设 的指导意见</w:t>
            </w:r>
          </w:p>
        </w:tc>
        <w:tc>
          <w:tcPr>
            <w:tcW w:w="7137" w:type="dxa"/>
            <w:vAlign w:val="center"/>
          </w:tcPr>
          <w:p w14:paraId="025A10C7">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both"/>
              <w:textAlignment w:val="auto"/>
              <w:rPr>
                <w:rFonts w:hint="default" w:ascii="Arial" w:hAnsi="Arial" w:eastAsia="宋体" w:cs="Arial"/>
                <w:sz w:val="22"/>
                <w:szCs w:val="22"/>
              </w:rPr>
            </w:pPr>
            <w:r>
              <w:rPr>
                <w:rFonts w:hint="default" w:ascii="Arial" w:hAnsi="Arial" w:eastAsia="宋体" w:cs="Arial"/>
                <w:sz w:val="22"/>
                <w:szCs w:val="22"/>
              </w:rPr>
              <w:t>1、按照《村镇供水工程技术规范》要求，在规模较大的农村供水工程设置水质化验室，配备相应的检验人员和仪器设备，具备日常指标检测能力；规模较小的供水工程可配备自动检测设备或简易检验设备，也可委托具有生活饮用水化验资质的单位进行检测。</w:t>
            </w:r>
          </w:p>
          <w:p w14:paraId="07FFD4E1">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both"/>
              <w:textAlignment w:val="auto"/>
              <w:rPr>
                <w:rFonts w:hint="default" w:ascii="Arial" w:hAnsi="Arial" w:eastAsia="宋体" w:cs="Arial"/>
                <w:sz w:val="22"/>
                <w:szCs w:val="22"/>
              </w:rPr>
            </w:pPr>
            <w:r>
              <w:rPr>
                <w:rFonts w:hint="default" w:ascii="Arial" w:hAnsi="Arial" w:eastAsia="宋体" w:cs="Arial"/>
                <w:sz w:val="22"/>
                <w:szCs w:val="22"/>
              </w:rPr>
              <w:t>2、通过规模较大水厂水质化验室建设以及提升现有相关机构水质检测技术装备水平和检测能力，原则上每个县具备《生活饮用水卫生标准》</w:t>
            </w:r>
            <w:r>
              <w:rPr>
                <w:rFonts w:hint="eastAsia" w:ascii="Arial" w:hAnsi="Arial" w:eastAsia="宋体" w:cs="Arial"/>
                <w:sz w:val="22"/>
                <w:szCs w:val="22"/>
                <w:lang w:eastAsia="zh-CN"/>
              </w:rPr>
              <w:t>（</w:t>
            </w:r>
            <w:r>
              <w:rPr>
                <w:rFonts w:hint="default" w:ascii="Arial" w:hAnsi="Arial" w:eastAsia="宋体" w:cs="Arial"/>
                <w:sz w:val="22"/>
                <w:szCs w:val="22"/>
              </w:rPr>
              <w:t>GB 5749-2006</w:t>
            </w:r>
            <w:r>
              <w:rPr>
                <w:rFonts w:hint="eastAsia" w:ascii="Arial" w:hAnsi="Arial" w:eastAsia="宋体" w:cs="Arial"/>
                <w:sz w:val="22"/>
                <w:szCs w:val="22"/>
                <w:lang w:eastAsia="zh-CN"/>
              </w:rPr>
              <w:t>）</w:t>
            </w:r>
            <w:r>
              <w:rPr>
                <w:rFonts w:hint="default" w:ascii="Arial" w:hAnsi="Arial" w:eastAsia="宋体" w:cs="Arial"/>
                <w:sz w:val="22"/>
                <w:szCs w:val="22"/>
              </w:rPr>
              <w:t>中要求的满足日常需求的检测能力，满足本区域内农村饮水安全工程日常运行及水质周、月度和季度检测需求。水源水质、处理工艺等有特殊检测要求的水厂和地区，可根据实际需要和条件相应提高水质检测能力。</w:t>
            </w:r>
          </w:p>
        </w:tc>
      </w:tr>
      <w:tr w14:paraId="6A404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88" w:type="dxa"/>
            <w:vAlign w:val="center"/>
          </w:tcPr>
          <w:p w14:paraId="16C731CF">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rPr>
            </w:pPr>
            <w:r>
              <w:rPr>
                <w:rFonts w:hint="default" w:ascii="Arial" w:hAnsi="Arial" w:eastAsia="宋体" w:cs="Arial"/>
                <w:sz w:val="22"/>
                <w:szCs w:val="22"/>
              </w:rPr>
              <w:t>3</w:t>
            </w:r>
          </w:p>
        </w:tc>
        <w:tc>
          <w:tcPr>
            <w:tcW w:w="1289" w:type="dxa"/>
            <w:vAlign w:val="center"/>
          </w:tcPr>
          <w:p w14:paraId="4717C976">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center"/>
              <w:textAlignment w:val="auto"/>
              <w:rPr>
                <w:rFonts w:hint="default" w:ascii="Arial" w:hAnsi="Arial" w:eastAsia="宋体" w:cs="Arial"/>
                <w:sz w:val="22"/>
                <w:szCs w:val="22"/>
              </w:rPr>
            </w:pPr>
            <w:r>
              <w:rPr>
                <w:rFonts w:hint="default" w:ascii="Arial" w:hAnsi="Arial" w:eastAsia="宋体" w:cs="Arial"/>
                <w:sz w:val="22"/>
                <w:szCs w:val="22"/>
              </w:rPr>
              <w:t>关于加强农 村饮用水水 源保护工作 的指导意见</w:t>
            </w:r>
          </w:p>
        </w:tc>
        <w:tc>
          <w:tcPr>
            <w:tcW w:w="7137" w:type="dxa"/>
            <w:vAlign w:val="center"/>
          </w:tcPr>
          <w:p w14:paraId="044FDCF5">
            <w:pPr>
              <w:pStyle w:val="2102"/>
              <w:keepNext w:val="0"/>
              <w:keepLines w:val="0"/>
              <w:pageBreakBefore w:val="0"/>
              <w:widowControl w:val="0"/>
              <w:kinsoku/>
              <w:wordWrap/>
              <w:overflowPunct/>
              <w:topLinePunct w:val="0"/>
              <w:autoSpaceDE/>
              <w:autoSpaceDN/>
              <w:bidi w:val="0"/>
              <w:adjustRightInd/>
              <w:snapToGrid/>
              <w:spacing w:line="300" w:lineRule="exact"/>
              <w:ind w:left="0" w:right="0" w:firstLine="0"/>
              <w:jc w:val="both"/>
              <w:textAlignment w:val="auto"/>
              <w:rPr>
                <w:rFonts w:hint="default" w:ascii="Arial" w:hAnsi="Arial" w:eastAsia="宋体" w:cs="Arial"/>
                <w:sz w:val="22"/>
                <w:szCs w:val="22"/>
              </w:rPr>
            </w:pPr>
            <w:r>
              <w:rPr>
                <w:rFonts w:hint="default" w:ascii="Arial" w:hAnsi="Arial" w:eastAsia="宋体" w:cs="Arial"/>
                <w:sz w:val="22"/>
                <w:szCs w:val="22"/>
              </w:rPr>
              <w:t>结合农村环境综合整治工作，开展水源规范化建设，加强水源周边生活污水、垃圾及畜离养殖废弃物的处理处置，综合防治农药化肥等面源污染。针对因人类活动影响超标的水源，研究制定水质达标方案，因地制宜地开展水源污染防治工作。</w:t>
            </w:r>
          </w:p>
        </w:tc>
      </w:tr>
    </w:tbl>
    <w:p w14:paraId="661264E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outlineLvl w:val="1"/>
        <w:rPr>
          <w:rFonts w:hint="eastAsia" w:ascii="Arial" w:hAnsi="Arial" w:eastAsia="宋体" w:cs="Arial"/>
          <w:b/>
          <w:bCs/>
          <w:sz w:val="26"/>
          <w:szCs w:val="26"/>
          <w:lang w:val="en-US" w:eastAsia="zh-CN"/>
        </w:rPr>
      </w:pPr>
    </w:p>
    <w:p w14:paraId="0F62D608">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Arial" w:cs="Arial"/>
          <w:b/>
          <w:bCs/>
          <w:sz w:val="26"/>
          <w:szCs w:val="26"/>
          <w:lang w:val="en-US" w:eastAsia="zh-CN"/>
        </w:rPr>
      </w:pPr>
      <w:r>
        <w:rPr>
          <w:rFonts w:hint="eastAsia" w:ascii="Arial" w:hAnsi="Arial" w:cs="Arial"/>
          <w:b/>
          <w:bCs/>
          <w:sz w:val="26"/>
          <w:szCs w:val="26"/>
          <w:lang w:val="en-US" w:eastAsia="zh-CN"/>
        </w:rPr>
        <w:t>7.5退水区污染防治措施</w:t>
      </w:r>
    </w:p>
    <w:p w14:paraId="3592A18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Arial" w:cs="Arial"/>
          <w:bCs/>
          <w:sz w:val="26"/>
          <w:szCs w:val="26"/>
          <w:lang w:eastAsia="zh-CN"/>
        </w:rPr>
      </w:pPr>
      <w:r>
        <w:rPr>
          <w:rFonts w:hint="eastAsia" w:ascii="Arial" w:hAnsi="Arial" w:eastAsia="宋体" w:cs="Arial"/>
          <w:sz w:val="26"/>
          <w:szCs w:val="26"/>
          <w:lang w:eastAsia="zh-CN"/>
        </w:rPr>
        <w:t>本项目</w:t>
      </w:r>
      <w:r>
        <w:rPr>
          <w:rFonts w:hint="eastAsia" w:ascii="Arial" w:cs="Arial"/>
          <w:bCs/>
          <w:sz w:val="26"/>
          <w:szCs w:val="26"/>
          <w:lang w:eastAsia="zh-CN"/>
        </w:rPr>
        <w:t>灌区主要集中在双龙镇双龙社区、回龙场村，人畜供水主要集中在双龙社区、双龙场村、田家山村。</w:t>
      </w:r>
    </w:p>
    <w:p w14:paraId="24BAB22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Arial" w:hAnsi="宋体" w:cs="Arial"/>
          <w:bCs/>
          <w:sz w:val="26"/>
          <w:szCs w:val="26"/>
          <w:lang w:eastAsia="zh-CN"/>
        </w:rPr>
      </w:pPr>
      <w:r>
        <w:rPr>
          <w:rFonts w:hint="eastAsia" w:ascii="Arial" w:cs="Arial"/>
          <w:bCs/>
          <w:sz w:val="26"/>
          <w:szCs w:val="26"/>
          <w:lang w:eastAsia="zh-CN"/>
        </w:rPr>
        <w:t>灌溉用水</w:t>
      </w:r>
      <w:r>
        <w:rPr>
          <w:rFonts w:ascii="宋体" w:hAnsi="宋体" w:eastAsia="宋体" w:cs="宋体"/>
          <w:spacing w:val="-9"/>
          <w:sz w:val="26"/>
          <w:szCs w:val="26"/>
        </w:rPr>
        <w:t>通过各级渠道进入灌区，通过植物吸收、</w:t>
      </w:r>
      <w:r>
        <w:rPr>
          <w:rFonts w:hint="eastAsia" w:ascii="宋体" w:hAnsi="宋体" w:eastAsia="宋体" w:cs="宋体"/>
          <w:spacing w:val="-9"/>
          <w:sz w:val="26"/>
          <w:szCs w:val="26"/>
          <w:lang w:eastAsia="zh-CN"/>
        </w:rPr>
        <w:t>自然</w:t>
      </w:r>
      <w:r>
        <w:rPr>
          <w:rFonts w:ascii="宋体" w:hAnsi="宋体" w:eastAsia="宋体" w:cs="宋体"/>
          <w:spacing w:val="-9"/>
          <w:sz w:val="26"/>
          <w:szCs w:val="26"/>
        </w:rPr>
        <w:t>蒸发</w:t>
      </w:r>
      <w:r>
        <w:rPr>
          <w:rFonts w:hint="eastAsia" w:ascii="宋体" w:hAnsi="宋体" w:eastAsia="宋体" w:cs="宋体"/>
          <w:spacing w:val="-9"/>
          <w:sz w:val="26"/>
          <w:szCs w:val="26"/>
          <w:lang w:eastAsia="zh-CN"/>
        </w:rPr>
        <w:t>后</w:t>
      </w:r>
      <w:r>
        <w:rPr>
          <w:rFonts w:ascii="宋体" w:hAnsi="宋体" w:eastAsia="宋体" w:cs="宋体"/>
          <w:spacing w:val="-9"/>
          <w:sz w:val="26"/>
          <w:szCs w:val="26"/>
        </w:rPr>
        <w:t>，</w:t>
      </w:r>
      <w:r>
        <w:rPr>
          <w:rFonts w:hint="eastAsia" w:ascii="宋体" w:hAnsi="宋体" w:eastAsia="宋体" w:cs="宋体"/>
          <w:spacing w:val="-9"/>
          <w:sz w:val="26"/>
          <w:szCs w:val="26"/>
          <w:lang w:eastAsia="zh-CN"/>
        </w:rPr>
        <w:t>退水主要进入</w:t>
      </w:r>
      <w:r>
        <w:rPr>
          <w:rFonts w:hint="eastAsia" w:ascii="Arial" w:hAnsi="宋体" w:cs="Arial"/>
          <w:bCs/>
          <w:color w:val="auto"/>
          <w:sz w:val="26"/>
          <w:szCs w:val="26"/>
        </w:rPr>
        <w:t>坝后减水河段</w:t>
      </w:r>
      <w:r>
        <w:rPr>
          <w:rFonts w:hint="eastAsia" w:ascii="Arial" w:hAnsi="宋体" w:cs="Arial"/>
          <w:bCs/>
          <w:color w:val="auto"/>
          <w:sz w:val="26"/>
          <w:szCs w:val="26"/>
          <w:lang w:eastAsia="zh-CN"/>
        </w:rPr>
        <w:t>及高洞桥河河段</w:t>
      </w:r>
      <w:r>
        <w:rPr>
          <w:rFonts w:hint="eastAsia" w:ascii="Arial" w:hAnsi="宋体" w:cs="Arial"/>
          <w:bCs/>
          <w:color w:val="auto"/>
          <w:sz w:val="26"/>
          <w:szCs w:val="26"/>
        </w:rPr>
        <w:t>内</w:t>
      </w:r>
      <w:r>
        <w:rPr>
          <w:rFonts w:hint="eastAsia" w:ascii="Arial" w:hAnsi="宋体" w:cs="Arial"/>
          <w:bCs/>
          <w:color w:val="auto"/>
          <w:sz w:val="26"/>
          <w:szCs w:val="26"/>
          <w:lang w:eastAsia="zh-CN"/>
        </w:rPr>
        <w:t>。</w:t>
      </w:r>
      <w:r>
        <w:rPr>
          <w:rFonts w:hint="eastAsia" w:ascii="Arial" w:hAnsi="宋体" w:cs="Arial"/>
          <w:bCs/>
          <w:sz w:val="26"/>
          <w:szCs w:val="26"/>
          <w:lang w:eastAsia="zh-CN"/>
        </w:rPr>
        <w:t>向双龙社区所供生活用水产生的污废水，经双龙镇污水处理厂集中深度处理达标后，进入双龙河；向回龙场村、田家山村所供生活用水产生的污废水，主要由各农村居民家自建旱厕收集处理后，循序用作农肥，未直接进入河道。</w:t>
      </w:r>
    </w:p>
    <w:p w14:paraId="6B23F7E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Arial" w:hAnsi="宋体" w:cs="Arial"/>
          <w:bCs/>
          <w:sz w:val="26"/>
          <w:szCs w:val="26"/>
          <w:lang w:eastAsia="zh-CN"/>
        </w:rPr>
      </w:pPr>
      <w:r>
        <w:rPr>
          <w:rFonts w:hint="eastAsia" w:ascii="Arial" w:hAnsi="宋体" w:cs="Arial"/>
          <w:bCs/>
          <w:sz w:val="26"/>
          <w:szCs w:val="26"/>
          <w:lang w:eastAsia="zh-CN"/>
        </w:rPr>
        <w:t>由此可见，本项目受水区新增的排污在采取上述治理措施后，对项目所在流域影响较小。</w:t>
      </w:r>
    </w:p>
    <w:p w14:paraId="319824DE">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outlineLvl w:val="1"/>
        <w:rPr>
          <w:rFonts w:hint="eastAsia" w:ascii="Arial" w:hAnsi="Arial" w:cs="Arial"/>
          <w:b/>
          <w:bCs/>
          <w:sz w:val="26"/>
          <w:szCs w:val="26"/>
          <w:lang w:val="en-US" w:eastAsia="zh-CN"/>
        </w:rPr>
      </w:pPr>
      <w:r>
        <w:rPr>
          <w:rFonts w:hint="eastAsia" w:ascii="Arial" w:hAnsi="Arial" w:cs="Arial"/>
          <w:b/>
          <w:bCs/>
          <w:sz w:val="26"/>
          <w:szCs w:val="26"/>
          <w:lang w:val="en-US" w:eastAsia="zh-CN"/>
        </w:rPr>
        <w:t>7.6环保措施汇总及环保投资估算</w:t>
      </w:r>
    </w:p>
    <w:p w14:paraId="0C326C8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Arial" w:hAnsi="宋体" w:eastAsia="宋体" w:cs="Arial"/>
          <w:bCs/>
          <w:sz w:val="26"/>
          <w:szCs w:val="26"/>
          <w:lang w:val="en-US" w:eastAsia="zh-CN"/>
        </w:rPr>
      </w:pPr>
      <w:r>
        <w:rPr>
          <w:rFonts w:hint="eastAsia" w:ascii="Arial" w:hAnsi="宋体" w:eastAsia="宋体" w:cs="Arial"/>
          <w:bCs/>
          <w:sz w:val="26"/>
          <w:szCs w:val="26"/>
          <w:lang w:val="en-US" w:eastAsia="zh-CN"/>
        </w:rPr>
        <w:t>拟建项目总投资14499.6万元，其中环保投资约为</w:t>
      </w:r>
      <w:r>
        <w:rPr>
          <w:rFonts w:hint="eastAsia" w:ascii="Arial" w:hAnsi="宋体" w:cs="Arial"/>
          <w:bCs/>
          <w:sz w:val="26"/>
          <w:szCs w:val="26"/>
          <w:lang w:val="en-US" w:eastAsia="zh-CN"/>
        </w:rPr>
        <w:t>208</w:t>
      </w:r>
      <w:r>
        <w:rPr>
          <w:rFonts w:hint="eastAsia" w:ascii="Arial" w:hAnsi="宋体" w:eastAsia="宋体" w:cs="Arial"/>
          <w:bCs/>
          <w:sz w:val="26"/>
          <w:szCs w:val="26"/>
          <w:lang w:val="en-US" w:eastAsia="zh-CN"/>
        </w:rPr>
        <w:t>万元，环保投资占工程总投资</w:t>
      </w:r>
      <w:r>
        <w:rPr>
          <w:rFonts w:hint="eastAsia" w:ascii="Arial" w:hAnsi="宋体" w:cs="Arial"/>
          <w:bCs/>
          <w:sz w:val="26"/>
          <w:szCs w:val="26"/>
          <w:lang w:val="en-US" w:eastAsia="zh-CN"/>
        </w:rPr>
        <w:t>1.43</w:t>
      </w:r>
      <w:r>
        <w:rPr>
          <w:rFonts w:hint="eastAsia" w:ascii="Arial" w:hAnsi="宋体" w:eastAsia="宋体" w:cs="Arial"/>
          <w:bCs/>
          <w:sz w:val="26"/>
          <w:szCs w:val="26"/>
          <w:lang w:val="en-US" w:eastAsia="zh-CN"/>
        </w:rPr>
        <w:t>%。本次工程环保投资见表7.6-1。</w:t>
      </w:r>
    </w:p>
    <w:p w14:paraId="29DB0C9F">
      <w:pPr>
        <w:pStyle w:val="1085"/>
        <w:keepNext w:val="0"/>
        <w:keepLines w:val="0"/>
        <w:pageBreakBefore w:val="0"/>
        <w:widowControl w:val="0"/>
        <w:kinsoku/>
        <w:wordWrap/>
        <w:overflowPunct/>
        <w:topLinePunct w:val="0"/>
        <w:autoSpaceDE/>
        <w:autoSpaceDN/>
        <w:bidi w:val="0"/>
        <w:adjustRightInd/>
        <w:snapToGrid w:val="0"/>
        <w:spacing w:line="460" w:lineRule="exact"/>
        <w:textAlignment w:val="auto"/>
        <w:rPr>
          <w:rFonts w:hint="default" w:ascii="Arial" w:hAnsi="Arial" w:cs="Arial"/>
          <w:sz w:val="26"/>
          <w:szCs w:val="26"/>
        </w:rPr>
      </w:pPr>
      <w:r>
        <w:rPr>
          <w:rFonts w:hint="default" w:ascii="Arial" w:hAnsi="Arial" w:cs="Arial"/>
          <w:sz w:val="26"/>
          <w:szCs w:val="26"/>
        </w:rPr>
        <w:t>表</w:t>
      </w:r>
      <w:r>
        <w:rPr>
          <w:rFonts w:hint="eastAsia" w:ascii="Arial" w:hAnsi="Arial" w:cs="Arial"/>
          <w:sz w:val="26"/>
          <w:szCs w:val="26"/>
          <w:lang w:val="en-US" w:eastAsia="zh-CN"/>
        </w:rPr>
        <w:t>7.6</w:t>
      </w:r>
      <w:r>
        <w:rPr>
          <w:rFonts w:hint="default" w:ascii="Arial" w:hAnsi="Arial" w:cs="Arial"/>
          <w:sz w:val="26"/>
          <w:szCs w:val="26"/>
          <w:lang w:val="en-US" w:eastAsia="zh-CN"/>
        </w:rPr>
        <w:t>-</w:t>
      </w:r>
      <w:r>
        <w:rPr>
          <w:rFonts w:hint="default" w:ascii="Arial" w:hAnsi="Arial" w:cs="Arial"/>
          <w:sz w:val="26"/>
          <w:szCs w:val="26"/>
        </w:rPr>
        <w:t xml:space="preserve">1  项目污染治理措施及投资汇总一览表 </w:t>
      </w:r>
    </w:p>
    <w:tbl>
      <w:tblPr>
        <w:tblStyle w:val="77"/>
        <w:tblW w:w="935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0"/>
        <w:gridCol w:w="681"/>
        <w:gridCol w:w="1230"/>
        <w:gridCol w:w="5745"/>
        <w:gridCol w:w="1009"/>
      </w:tblGrid>
      <w:tr w14:paraId="0101A2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noWrap w:val="0"/>
            <w:vAlign w:val="center"/>
          </w:tcPr>
          <w:p w14:paraId="5C8B931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环境要素</w:t>
            </w:r>
          </w:p>
        </w:tc>
        <w:tc>
          <w:tcPr>
            <w:tcW w:w="681" w:type="dxa"/>
            <w:noWrap w:val="0"/>
            <w:vAlign w:val="center"/>
          </w:tcPr>
          <w:p w14:paraId="69B984B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时期</w:t>
            </w:r>
          </w:p>
        </w:tc>
        <w:tc>
          <w:tcPr>
            <w:tcW w:w="1230" w:type="dxa"/>
            <w:noWrap w:val="0"/>
            <w:vAlign w:val="center"/>
          </w:tcPr>
          <w:p w14:paraId="3EC7C8FE">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bookmarkStart w:id="126" w:name="_Toc12123"/>
            <w:bookmarkStart w:id="127" w:name="_Toc23431"/>
            <w:bookmarkStart w:id="128" w:name="_Toc11516"/>
            <w:bookmarkStart w:id="129" w:name="_Toc17219"/>
            <w:r>
              <w:rPr>
                <w:rFonts w:hint="default" w:ascii="Arial" w:hAnsi="Arial" w:cs="Arial"/>
                <w:sz w:val="22"/>
                <w:szCs w:val="22"/>
              </w:rPr>
              <w:t>治理项目</w:t>
            </w:r>
            <w:bookmarkEnd w:id="126"/>
            <w:bookmarkEnd w:id="127"/>
            <w:bookmarkEnd w:id="128"/>
            <w:bookmarkEnd w:id="129"/>
          </w:p>
        </w:tc>
        <w:tc>
          <w:tcPr>
            <w:tcW w:w="5745" w:type="dxa"/>
            <w:noWrap w:val="0"/>
            <w:vAlign w:val="center"/>
          </w:tcPr>
          <w:p w14:paraId="35EADED3">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bookmarkStart w:id="130" w:name="_Toc3266"/>
            <w:bookmarkStart w:id="131" w:name="_Toc29135"/>
            <w:bookmarkStart w:id="132" w:name="_Toc15460"/>
            <w:bookmarkStart w:id="133" w:name="_Toc31641"/>
            <w:r>
              <w:rPr>
                <w:rFonts w:hint="default" w:ascii="Arial" w:hAnsi="Arial" w:cs="Arial"/>
                <w:sz w:val="22"/>
                <w:szCs w:val="22"/>
              </w:rPr>
              <w:t>保护/治理措施</w:t>
            </w:r>
            <w:bookmarkEnd w:id="130"/>
            <w:bookmarkEnd w:id="131"/>
            <w:bookmarkEnd w:id="132"/>
            <w:bookmarkEnd w:id="133"/>
          </w:p>
        </w:tc>
        <w:tc>
          <w:tcPr>
            <w:tcW w:w="1009" w:type="dxa"/>
            <w:noWrap w:val="0"/>
            <w:vAlign w:val="center"/>
          </w:tcPr>
          <w:p w14:paraId="5278BB50">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highlight w:val="none"/>
              </w:rPr>
            </w:pPr>
            <w:r>
              <w:rPr>
                <w:rFonts w:hint="default" w:ascii="Arial" w:hAnsi="Arial" w:cs="Arial"/>
                <w:sz w:val="22"/>
                <w:szCs w:val="22"/>
                <w:highlight w:val="none"/>
              </w:rPr>
              <w:t>费用</w:t>
            </w:r>
          </w:p>
          <w:p w14:paraId="082EE60E">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highlight w:val="yellow"/>
              </w:rPr>
            </w:pPr>
            <w:r>
              <w:rPr>
                <w:rFonts w:hint="default" w:ascii="Arial" w:hAnsi="Arial" w:cs="Arial"/>
                <w:sz w:val="22"/>
                <w:szCs w:val="22"/>
                <w:highlight w:val="none"/>
              </w:rPr>
              <w:t>（万元）</w:t>
            </w:r>
          </w:p>
        </w:tc>
      </w:tr>
      <w:tr w14:paraId="7353DF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restart"/>
            <w:noWrap w:val="0"/>
            <w:vAlign w:val="center"/>
          </w:tcPr>
          <w:p w14:paraId="6A74654B">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生态环境</w:t>
            </w:r>
          </w:p>
        </w:tc>
        <w:tc>
          <w:tcPr>
            <w:tcW w:w="681" w:type="dxa"/>
            <w:vMerge w:val="restart"/>
            <w:noWrap w:val="0"/>
            <w:vAlign w:val="center"/>
          </w:tcPr>
          <w:p w14:paraId="762203DF">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施工期</w:t>
            </w:r>
          </w:p>
        </w:tc>
        <w:tc>
          <w:tcPr>
            <w:tcW w:w="1230" w:type="dxa"/>
            <w:noWrap w:val="0"/>
            <w:vAlign w:val="center"/>
          </w:tcPr>
          <w:p w14:paraId="3DC0A5D9">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施工占地、土石方开挖、弃渣堆存</w:t>
            </w:r>
          </w:p>
        </w:tc>
        <w:tc>
          <w:tcPr>
            <w:tcW w:w="5745" w:type="dxa"/>
            <w:noWrap w:val="0"/>
            <w:vAlign w:val="center"/>
          </w:tcPr>
          <w:p w14:paraId="5256446C">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① 按照施工组织设计的要求，施工单位严格按照规定的工程征占地范围进行施工，减少表土及植被的破坏，严禁超范围占压植被。</w:t>
            </w:r>
          </w:p>
          <w:p w14:paraId="68CF3B1E">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② 施工过程中注意保护好施工区的表层土壤，</w:t>
            </w:r>
            <w:r>
              <w:rPr>
                <w:rFonts w:hint="eastAsia" w:ascii="Arial" w:hAnsi="Arial" w:cs="Arial"/>
                <w:sz w:val="22"/>
                <w:szCs w:val="22"/>
                <w:lang w:eastAsia="zh-CN"/>
              </w:rPr>
              <w:t>集中收集后，分区暂存于弃渣场内，</w:t>
            </w:r>
            <w:r>
              <w:rPr>
                <w:rFonts w:hint="default" w:ascii="Arial" w:hAnsi="Arial" w:cs="Arial"/>
                <w:sz w:val="22"/>
                <w:szCs w:val="22"/>
              </w:rPr>
              <w:t>后期</w:t>
            </w:r>
            <w:r>
              <w:rPr>
                <w:rFonts w:hint="eastAsia" w:ascii="Arial" w:hAnsi="Arial" w:cs="Arial"/>
                <w:sz w:val="22"/>
                <w:szCs w:val="22"/>
                <w:lang w:eastAsia="zh-CN"/>
              </w:rPr>
              <w:t>全部用作生态覆土</w:t>
            </w:r>
            <w:r>
              <w:rPr>
                <w:rFonts w:hint="default" w:ascii="Arial" w:hAnsi="Arial" w:cs="Arial"/>
                <w:sz w:val="22"/>
                <w:szCs w:val="22"/>
              </w:rPr>
              <w:t>。</w:t>
            </w:r>
          </w:p>
          <w:p w14:paraId="19D28907">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③ 施工区周边实施植物绿化措施，并做好抚育管理。施工扰动区域内的植被恢复以当地适生树种和草本为主，乔灌草结合，使工程区尽快融入当地景观。</w:t>
            </w:r>
          </w:p>
          <w:p w14:paraId="77DEB546">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④ 施工结束后，施工便道、弃渣场、施工区进行生态覆绿，种植区域内常见的</w:t>
            </w:r>
            <w:r>
              <w:rPr>
                <w:rFonts w:hint="eastAsia" w:ascii="Arial" w:hAnsi="Arial" w:cs="Arial"/>
                <w:sz w:val="22"/>
                <w:szCs w:val="22"/>
                <w:lang w:eastAsia="zh-CN"/>
              </w:rPr>
              <w:t>马尾松、桉树、麻栎、化香</w:t>
            </w:r>
            <w:r>
              <w:rPr>
                <w:rFonts w:hint="default" w:ascii="Arial" w:hAnsi="Arial" w:cs="Arial"/>
                <w:sz w:val="22"/>
                <w:szCs w:val="22"/>
              </w:rPr>
              <w:t>等，不得遗留裸露地表。</w:t>
            </w:r>
          </w:p>
          <w:p w14:paraId="29C74FFD">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⑤ 在工程完成后须对输水管线沿线补充破坏的植被进行人工恢复，如在管线外侧种植乔木及灌木。临时占地应尽量恢复为农田；不能恢复为农田的，在通过平整后，按照</w:t>
            </w:r>
            <w:r>
              <w:rPr>
                <w:rFonts w:hint="eastAsia" w:ascii="宋体" w:hAnsi="宋体" w:eastAsia="宋体" w:cs="宋体"/>
                <w:sz w:val="22"/>
                <w:szCs w:val="22"/>
              </w:rPr>
              <w:t>“宜林则林、宜草则草”</w:t>
            </w:r>
            <w:r>
              <w:rPr>
                <w:rFonts w:hint="default" w:ascii="Arial" w:hAnsi="Arial" w:cs="Arial"/>
                <w:sz w:val="22"/>
                <w:szCs w:val="22"/>
              </w:rPr>
              <w:t>的原则，种植适宜的林木和草类，最大限度地提高生态环境质量。</w:t>
            </w:r>
          </w:p>
          <w:p w14:paraId="593E31FC">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⑥ 在建设工程中，加强宣传教育和管理，认真全面地贯彻执行《中华人民共和国野生动物保护法》等法律、法规，严禁非法猎捕野生动物。通过发放宣传册、张贴宣传画报等，增强人们的环境保护意识，严禁猎杀捕食野生动物，使野生动物生境能在不受额外影响的情况下得以尽快恢复。</w:t>
            </w:r>
          </w:p>
          <w:p w14:paraId="1D1096B2">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⑦ 加强施工人员的卫生管理。及时清理施工弃渣及废料。避免引起动物瘟疫。</w:t>
            </w:r>
          </w:p>
          <w:p w14:paraId="5D01701E">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eastAsia="宋体" w:cs="Arial"/>
                <w:sz w:val="22"/>
                <w:szCs w:val="22"/>
              </w:rPr>
            </w:pPr>
            <w:r>
              <w:rPr>
                <w:rFonts w:hint="default" w:ascii="Arial" w:hAnsi="Arial" w:cs="Arial"/>
                <w:sz w:val="22"/>
                <w:szCs w:val="22"/>
              </w:rPr>
              <w:t>⑧ 加强对野生动物栖息地的监控和管理工作；在引水补水过程中，要注意定期对饮用水水质进行检测，以防因引水</w:t>
            </w:r>
            <w:r>
              <w:rPr>
                <w:rFonts w:hint="default" w:ascii="Arial" w:hAnsi="Arial" w:eastAsia="宋体" w:cs="Arial"/>
                <w:sz w:val="22"/>
                <w:szCs w:val="22"/>
              </w:rPr>
              <w:t>水质问题对保护区动物造成影响。</w:t>
            </w:r>
          </w:p>
          <w:p w14:paraId="66F52F71">
            <w:pPr>
              <w:keepNext w:val="0"/>
              <w:keepLines w:val="0"/>
              <w:pageBreakBefore w:val="0"/>
              <w:widowControl w:val="0"/>
              <w:kinsoku/>
              <w:wordWrap/>
              <w:overflowPunct/>
              <w:topLinePunct w:val="0"/>
              <w:bidi w:val="0"/>
              <w:snapToGrid/>
              <w:spacing w:line="300" w:lineRule="exact"/>
              <w:jc w:val="both"/>
              <w:textAlignment w:val="auto"/>
              <w:rPr>
                <w:rFonts w:hint="eastAsia" w:ascii="Arial" w:hAnsi="Arial" w:eastAsia="宋体" w:cs="Arial"/>
                <w:sz w:val="22"/>
                <w:szCs w:val="22"/>
                <w:lang w:eastAsia="zh-CN"/>
              </w:rPr>
            </w:pPr>
            <w:r>
              <w:rPr>
                <w:rFonts w:hint="default" w:ascii="Arial" w:hAnsi="Arial" w:eastAsia="宋体" w:cs="Arial"/>
                <w:sz w:val="22"/>
                <w:szCs w:val="22"/>
              </w:rPr>
              <w:t xml:space="preserve">⑨ </w:t>
            </w:r>
            <w:r>
              <w:rPr>
                <w:rFonts w:hint="eastAsia" w:ascii="Arial" w:hAnsi="Arial" w:eastAsia="宋体" w:cs="Arial"/>
                <w:sz w:val="22"/>
                <w:szCs w:val="22"/>
                <w:lang w:eastAsia="zh-CN"/>
              </w:rPr>
              <w:t>合理安排施工作业时间，尽量避免夜间进行高噪声、高振动的施工作业。</w:t>
            </w:r>
          </w:p>
        </w:tc>
        <w:tc>
          <w:tcPr>
            <w:tcW w:w="1009" w:type="dxa"/>
            <w:noWrap w:val="0"/>
            <w:vAlign w:val="center"/>
          </w:tcPr>
          <w:p w14:paraId="1A660FC9">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lang w:val="en-US"/>
              </w:rPr>
            </w:pPr>
            <w:r>
              <w:rPr>
                <w:rFonts w:hint="eastAsia" w:ascii="Arial" w:hAnsi="Arial" w:cs="Arial"/>
                <w:sz w:val="22"/>
                <w:szCs w:val="22"/>
                <w:lang w:val="en-US" w:eastAsia="zh-CN"/>
              </w:rPr>
              <w:t>30</w:t>
            </w:r>
          </w:p>
        </w:tc>
      </w:tr>
      <w:tr w14:paraId="138A1B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1A66AF9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1C3CF417">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17CF373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color w:val="auto"/>
                <w:sz w:val="22"/>
                <w:szCs w:val="22"/>
              </w:rPr>
            </w:pPr>
            <w:r>
              <w:rPr>
                <w:rFonts w:hint="default" w:ascii="Arial" w:hAnsi="Arial" w:cs="Arial"/>
                <w:color w:val="auto"/>
                <w:sz w:val="22"/>
                <w:szCs w:val="22"/>
              </w:rPr>
              <w:t>涉</w:t>
            </w:r>
            <w:r>
              <w:rPr>
                <w:rFonts w:hint="eastAsia" w:ascii="Arial" w:hAnsi="Arial" w:cs="Arial"/>
                <w:color w:val="auto"/>
                <w:sz w:val="22"/>
                <w:szCs w:val="22"/>
                <w:lang w:eastAsia="zh-CN"/>
              </w:rPr>
              <w:t>水</w:t>
            </w:r>
            <w:r>
              <w:rPr>
                <w:rFonts w:hint="default" w:ascii="Arial" w:hAnsi="Arial" w:cs="Arial"/>
                <w:color w:val="auto"/>
                <w:sz w:val="22"/>
                <w:szCs w:val="22"/>
              </w:rPr>
              <w:t>施工</w:t>
            </w:r>
          </w:p>
        </w:tc>
        <w:tc>
          <w:tcPr>
            <w:tcW w:w="5745" w:type="dxa"/>
            <w:noWrap w:val="0"/>
            <w:vAlign w:val="center"/>
          </w:tcPr>
          <w:p w14:paraId="1B631273">
            <w:pPr>
              <w:keepNext w:val="0"/>
              <w:keepLines w:val="0"/>
              <w:pageBreakBefore w:val="0"/>
              <w:widowControl w:val="0"/>
              <w:kinsoku/>
              <w:wordWrap/>
              <w:overflowPunct/>
              <w:topLinePunct w:val="0"/>
              <w:bidi w:val="0"/>
              <w:snapToGrid/>
              <w:spacing w:line="300" w:lineRule="exact"/>
              <w:jc w:val="left"/>
              <w:textAlignment w:val="auto"/>
              <w:rPr>
                <w:rFonts w:hint="default" w:ascii="Arial" w:hAnsi="Arial" w:cs="Arial"/>
                <w:color w:val="auto"/>
                <w:sz w:val="22"/>
                <w:szCs w:val="22"/>
              </w:rPr>
            </w:pPr>
            <w:r>
              <w:rPr>
                <w:rFonts w:hint="default" w:ascii="Arial" w:hAnsi="Arial" w:cs="Arial"/>
                <w:color w:val="auto"/>
                <w:sz w:val="22"/>
                <w:szCs w:val="22"/>
              </w:rPr>
              <w:t>① 优先选择枯水期分段施工，避免大面积涉水开挖。</w:t>
            </w:r>
          </w:p>
          <w:p w14:paraId="1E852E80">
            <w:pPr>
              <w:keepNext w:val="0"/>
              <w:keepLines w:val="0"/>
              <w:pageBreakBefore w:val="0"/>
              <w:widowControl w:val="0"/>
              <w:kinsoku/>
              <w:wordWrap/>
              <w:overflowPunct/>
              <w:topLinePunct w:val="0"/>
              <w:bidi w:val="0"/>
              <w:snapToGrid/>
              <w:spacing w:line="300" w:lineRule="exact"/>
              <w:jc w:val="left"/>
              <w:textAlignment w:val="auto"/>
              <w:rPr>
                <w:rFonts w:hint="default" w:ascii="Arial" w:hAnsi="Arial" w:cs="Arial"/>
                <w:color w:val="auto"/>
                <w:sz w:val="22"/>
                <w:szCs w:val="22"/>
              </w:rPr>
            </w:pPr>
            <w:r>
              <w:rPr>
                <w:rFonts w:hint="default" w:ascii="Arial" w:hAnsi="Arial" w:cs="Arial"/>
                <w:color w:val="auto"/>
                <w:sz w:val="22"/>
                <w:szCs w:val="22"/>
              </w:rPr>
              <w:t>② 施工前做好拦河堰、导流、围堰、集水坑等措施，做好各类污废水的收集处理工作，减少排河量。</w:t>
            </w:r>
          </w:p>
          <w:p w14:paraId="44A11725">
            <w:pPr>
              <w:keepNext w:val="0"/>
              <w:keepLines w:val="0"/>
              <w:pageBreakBefore w:val="0"/>
              <w:widowControl w:val="0"/>
              <w:kinsoku/>
              <w:wordWrap/>
              <w:overflowPunct/>
              <w:topLinePunct w:val="0"/>
              <w:bidi w:val="0"/>
              <w:snapToGrid/>
              <w:spacing w:line="300" w:lineRule="exact"/>
              <w:jc w:val="left"/>
              <w:textAlignment w:val="auto"/>
              <w:rPr>
                <w:rFonts w:hint="default" w:ascii="Arial" w:hAnsi="Arial" w:cs="Arial"/>
                <w:color w:val="auto"/>
                <w:sz w:val="22"/>
                <w:szCs w:val="22"/>
              </w:rPr>
            </w:pPr>
            <w:r>
              <w:rPr>
                <w:rFonts w:hint="default" w:ascii="Arial" w:hAnsi="Arial" w:cs="Arial"/>
                <w:color w:val="auto"/>
                <w:sz w:val="22"/>
                <w:szCs w:val="22"/>
              </w:rPr>
              <w:t>③ 做好施工废弃土石方的收集处理工作，不得向</w:t>
            </w:r>
            <w:r>
              <w:rPr>
                <w:rFonts w:hint="eastAsia" w:ascii="Arial" w:hAnsi="Arial" w:cs="Arial"/>
                <w:color w:val="auto"/>
                <w:sz w:val="22"/>
                <w:szCs w:val="22"/>
                <w:lang w:eastAsia="zh-CN"/>
              </w:rPr>
              <w:t>海螺沟</w:t>
            </w:r>
            <w:r>
              <w:rPr>
                <w:rFonts w:hint="default" w:ascii="Arial" w:hAnsi="Arial" w:cs="Arial"/>
                <w:color w:val="auto"/>
                <w:sz w:val="22"/>
                <w:szCs w:val="22"/>
              </w:rPr>
              <w:t>流域中倾倒弃渣。</w:t>
            </w:r>
          </w:p>
          <w:p w14:paraId="276068E6">
            <w:pPr>
              <w:keepNext w:val="0"/>
              <w:keepLines w:val="0"/>
              <w:pageBreakBefore w:val="0"/>
              <w:widowControl w:val="0"/>
              <w:kinsoku/>
              <w:wordWrap/>
              <w:overflowPunct/>
              <w:topLinePunct w:val="0"/>
              <w:bidi w:val="0"/>
              <w:snapToGrid/>
              <w:spacing w:line="300" w:lineRule="exact"/>
              <w:jc w:val="left"/>
              <w:textAlignment w:val="auto"/>
              <w:rPr>
                <w:rFonts w:hint="default" w:ascii="Arial" w:hAnsi="Arial" w:cs="Arial"/>
                <w:color w:val="auto"/>
                <w:sz w:val="22"/>
                <w:szCs w:val="22"/>
              </w:rPr>
            </w:pPr>
            <w:r>
              <w:rPr>
                <w:rFonts w:hint="default" w:ascii="Arial" w:hAnsi="Arial" w:cs="Arial"/>
                <w:color w:val="auto"/>
                <w:sz w:val="22"/>
                <w:szCs w:val="22"/>
              </w:rPr>
              <w:t>④ 加强施工管理，严禁施工人员随意捕捞鱼类，避开鱼类的繁殖时期施工</w:t>
            </w:r>
            <w:r>
              <w:rPr>
                <w:rFonts w:hint="eastAsia" w:ascii="Arial" w:hAnsi="Arial" w:cs="Arial"/>
                <w:color w:val="auto"/>
                <w:sz w:val="22"/>
                <w:szCs w:val="22"/>
                <w:lang w:eastAsia="zh-CN"/>
              </w:rPr>
              <w:t>；严禁</w:t>
            </w:r>
            <w:r>
              <w:rPr>
                <w:rFonts w:hint="eastAsia" w:ascii="宋体" w:hAnsi="宋体" w:eastAsia="宋体" w:cs="宋体"/>
                <w:sz w:val="22"/>
                <w:szCs w:val="22"/>
                <w:lang w:val="en-US" w:eastAsia="zh-CN"/>
              </w:rPr>
              <w:t>在水域、滩涂内清洗施工机械、车辆以及冲洗建材</w:t>
            </w:r>
            <w:r>
              <w:rPr>
                <w:rFonts w:hint="default" w:ascii="Arial" w:hAnsi="Arial" w:cs="Arial"/>
                <w:color w:val="auto"/>
                <w:sz w:val="22"/>
                <w:szCs w:val="22"/>
              </w:rPr>
              <w:t>。</w:t>
            </w:r>
          </w:p>
          <w:p w14:paraId="72D1B249">
            <w:pPr>
              <w:keepNext w:val="0"/>
              <w:keepLines w:val="0"/>
              <w:pageBreakBefore w:val="0"/>
              <w:widowControl w:val="0"/>
              <w:kinsoku/>
              <w:wordWrap/>
              <w:overflowPunct/>
              <w:topLinePunct w:val="0"/>
              <w:bidi w:val="0"/>
              <w:snapToGrid/>
              <w:spacing w:line="300" w:lineRule="exact"/>
              <w:jc w:val="left"/>
              <w:textAlignment w:val="auto"/>
              <w:rPr>
                <w:rFonts w:hint="eastAsia" w:ascii="Arial" w:hAnsi="Arial" w:eastAsia="宋体" w:cs="Arial"/>
                <w:color w:val="auto"/>
                <w:sz w:val="22"/>
                <w:szCs w:val="22"/>
                <w:lang w:eastAsia="zh-CN"/>
              </w:rPr>
            </w:pPr>
            <w:r>
              <w:rPr>
                <w:rFonts w:hint="default" w:ascii="Arial" w:hAnsi="Arial" w:cs="Arial"/>
                <w:color w:val="auto"/>
                <w:sz w:val="22"/>
                <w:szCs w:val="22"/>
              </w:rPr>
              <w:t>⑤输水工程管道有</w:t>
            </w:r>
            <w:r>
              <w:rPr>
                <w:rFonts w:hint="eastAsia" w:ascii="Arial" w:hAnsi="Arial" w:cs="Arial"/>
                <w:color w:val="auto"/>
                <w:sz w:val="22"/>
                <w:szCs w:val="22"/>
                <w:lang w:val="en-US" w:eastAsia="zh-CN"/>
              </w:rPr>
              <w:t>5</w:t>
            </w:r>
            <w:r>
              <w:rPr>
                <w:rFonts w:hint="default" w:ascii="Arial" w:hAnsi="Arial" w:cs="Arial"/>
                <w:color w:val="auto"/>
                <w:sz w:val="22"/>
                <w:szCs w:val="22"/>
              </w:rPr>
              <w:t>处跨河，</w:t>
            </w:r>
            <w:r>
              <w:rPr>
                <w:rFonts w:hint="eastAsia" w:ascii="Arial" w:hAnsi="Arial" w:cs="Arial"/>
                <w:color w:val="auto"/>
                <w:sz w:val="22"/>
                <w:szCs w:val="22"/>
                <w:lang w:eastAsia="zh-CN"/>
              </w:rPr>
              <w:t>本评价建议</w:t>
            </w:r>
            <w:r>
              <w:rPr>
                <w:rFonts w:hint="default" w:ascii="Arial" w:hAnsi="Arial" w:cs="Arial"/>
                <w:color w:val="auto"/>
                <w:sz w:val="22"/>
                <w:szCs w:val="22"/>
              </w:rPr>
              <w:t>应优先选用顶管</w:t>
            </w:r>
            <w:r>
              <w:rPr>
                <w:rFonts w:hint="eastAsia" w:ascii="Arial" w:hAnsi="Arial" w:cs="Arial"/>
                <w:color w:val="auto"/>
                <w:sz w:val="22"/>
                <w:szCs w:val="22"/>
                <w:lang w:eastAsia="zh-CN"/>
              </w:rPr>
              <w:t>、定向钻</w:t>
            </w:r>
            <w:r>
              <w:rPr>
                <w:rFonts w:hint="default" w:ascii="Arial" w:hAnsi="Arial" w:cs="Arial"/>
                <w:color w:val="auto"/>
                <w:sz w:val="22"/>
                <w:szCs w:val="22"/>
              </w:rPr>
              <w:t>等不涉水的施工工艺，不具备相应施工条件时，选择枯水期作业，同时需做好施工导流、围堰等工作，并尽可能将处理后的基坑废水回用于施工抑尘洒水，多余部分需沉淀处理</w:t>
            </w:r>
            <w:r>
              <w:rPr>
                <w:rFonts w:hint="eastAsia" w:ascii="Arial" w:hAnsi="Arial" w:cs="Arial"/>
                <w:color w:val="auto"/>
                <w:sz w:val="22"/>
                <w:szCs w:val="22"/>
                <w:lang w:eastAsia="zh-CN"/>
              </w:rPr>
              <w:t>后排入下游河道。</w:t>
            </w:r>
          </w:p>
          <w:p w14:paraId="21463312">
            <w:pPr>
              <w:keepNext w:val="0"/>
              <w:keepLines w:val="0"/>
              <w:pageBreakBefore w:val="0"/>
              <w:widowControl w:val="0"/>
              <w:kinsoku/>
              <w:wordWrap/>
              <w:overflowPunct/>
              <w:topLinePunct w:val="0"/>
              <w:bidi w:val="0"/>
              <w:snapToGrid/>
              <w:spacing w:line="300" w:lineRule="exact"/>
              <w:jc w:val="left"/>
              <w:textAlignment w:val="auto"/>
              <w:rPr>
                <w:rFonts w:hint="default" w:ascii="Arial" w:hAnsi="Arial" w:cs="Arial"/>
                <w:color w:val="auto"/>
                <w:sz w:val="22"/>
                <w:szCs w:val="22"/>
              </w:rPr>
            </w:pPr>
            <w:r>
              <w:rPr>
                <w:rFonts w:hint="eastAsia" w:ascii="宋体" w:hAnsi="宋体" w:eastAsia="宋体" w:cs="宋体"/>
                <w:color w:val="auto"/>
                <w:sz w:val="22"/>
                <w:szCs w:val="22"/>
              </w:rPr>
              <w:t>⑥</w:t>
            </w:r>
            <w:r>
              <w:rPr>
                <w:rFonts w:hint="default" w:ascii="Arial" w:hAnsi="Arial" w:cs="Arial"/>
                <w:color w:val="auto"/>
                <w:sz w:val="22"/>
                <w:szCs w:val="22"/>
              </w:rPr>
              <w:t>同时输水管线施工段应设置围挡，严格控制施工活动，做好废弃土石方的收集处理工作，严禁向</w:t>
            </w:r>
            <w:r>
              <w:rPr>
                <w:rFonts w:hint="eastAsia" w:ascii="Arial" w:hAnsi="Arial" w:cs="Arial"/>
                <w:color w:val="auto"/>
                <w:sz w:val="22"/>
                <w:szCs w:val="22"/>
                <w:lang w:eastAsia="zh-CN"/>
              </w:rPr>
              <w:t>河道内</w:t>
            </w:r>
            <w:r>
              <w:rPr>
                <w:rFonts w:hint="default" w:ascii="Arial" w:hAnsi="Arial" w:cs="Arial"/>
                <w:color w:val="auto"/>
                <w:sz w:val="22"/>
                <w:szCs w:val="22"/>
              </w:rPr>
              <w:t>倾倒废渣，减轻涉水作业对流域水质、水生生态环境的影响。</w:t>
            </w:r>
          </w:p>
        </w:tc>
        <w:tc>
          <w:tcPr>
            <w:tcW w:w="1009" w:type="dxa"/>
            <w:noWrap w:val="0"/>
            <w:vAlign w:val="center"/>
          </w:tcPr>
          <w:p w14:paraId="4E90C29B">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15</w:t>
            </w:r>
          </w:p>
        </w:tc>
      </w:tr>
      <w:tr w14:paraId="5A2DEB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329F0D79">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710A9E6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049F6A1D">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水土保持：土石方开挖、弃渣</w:t>
            </w:r>
          </w:p>
        </w:tc>
        <w:tc>
          <w:tcPr>
            <w:tcW w:w="5745" w:type="dxa"/>
            <w:noWrap w:val="0"/>
            <w:vAlign w:val="center"/>
          </w:tcPr>
          <w:p w14:paraId="676D1338">
            <w:pPr>
              <w:keepNext w:val="0"/>
              <w:keepLines w:val="0"/>
              <w:pageBreakBefore w:val="0"/>
              <w:widowControl w:val="0"/>
              <w:kinsoku/>
              <w:wordWrap/>
              <w:overflowPunct/>
              <w:topLinePunct w:val="0"/>
              <w:bidi w:val="0"/>
              <w:snapToGrid/>
              <w:spacing w:line="300" w:lineRule="exact"/>
              <w:jc w:val="left"/>
              <w:textAlignment w:val="auto"/>
              <w:rPr>
                <w:rFonts w:hint="default" w:ascii="Arial" w:hAnsi="Arial" w:cs="Arial"/>
                <w:sz w:val="22"/>
                <w:szCs w:val="22"/>
              </w:rPr>
            </w:pPr>
            <w:r>
              <w:rPr>
                <w:rFonts w:hint="default" w:ascii="Arial" w:hAnsi="Arial" w:cs="Arial"/>
                <w:sz w:val="22"/>
                <w:szCs w:val="22"/>
              </w:rPr>
              <w:t>按照项目水土保持方案报告书中要求落实各项水保措施，采取表土剥离及回填、修建截排水沟、挡土墙、沉砂池、导流渠、边坡防护等工程措施，土地翻耕、植树、喷洒草籽等植物措施，临时截排水沟、沉砂池、遮盖、拦挡、围挡等措施。</w:t>
            </w:r>
          </w:p>
        </w:tc>
        <w:tc>
          <w:tcPr>
            <w:tcW w:w="1009" w:type="dxa"/>
            <w:noWrap w:val="0"/>
            <w:vAlign w:val="center"/>
          </w:tcPr>
          <w:p w14:paraId="478EFE03">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纳入水保投资</w:t>
            </w:r>
          </w:p>
        </w:tc>
      </w:tr>
      <w:tr w14:paraId="022DAF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restart"/>
            <w:noWrap w:val="0"/>
            <w:vAlign w:val="center"/>
          </w:tcPr>
          <w:p w14:paraId="18F7477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废水</w:t>
            </w:r>
          </w:p>
        </w:tc>
        <w:tc>
          <w:tcPr>
            <w:tcW w:w="681" w:type="dxa"/>
            <w:vMerge w:val="restart"/>
            <w:noWrap w:val="0"/>
            <w:vAlign w:val="center"/>
          </w:tcPr>
          <w:p w14:paraId="1E441BE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施工期</w:t>
            </w:r>
          </w:p>
        </w:tc>
        <w:tc>
          <w:tcPr>
            <w:tcW w:w="1230" w:type="dxa"/>
            <w:noWrap w:val="0"/>
            <w:vAlign w:val="center"/>
          </w:tcPr>
          <w:p w14:paraId="6FFEF7AC">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default" w:ascii="Arial" w:hAnsi="Arial" w:cs="Arial"/>
                <w:sz w:val="22"/>
                <w:szCs w:val="22"/>
              </w:rPr>
              <w:t>混凝土</w:t>
            </w:r>
            <w:r>
              <w:rPr>
                <w:rFonts w:hint="eastAsia" w:ascii="Arial" w:hAnsi="Arial" w:cs="Arial"/>
                <w:sz w:val="22"/>
                <w:szCs w:val="22"/>
                <w:lang w:eastAsia="zh-CN"/>
              </w:rPr>
              <w:t>拌合系统废水</w:t>
            </w:r>
          </w:p>
        </w:tc>
        <w:tc>
          <w:tcPr>
            <w:tcW w:w="5745" w:type="dxa"/>
            <w:noWrap w:val="0"/>
            <w:vAlign w:val="center"/>
          </w:tcPr>
          <w:p w14:paraId="22633ECE">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eastAsia" w:ascii="Arial" w:hAnsi="Arial" w:cs="Arial"/>
                <w:b w:val="0"/>
                <w:bCs/>
                <w:sz w:val="22"/>
                <w:szCs w:val="22"/>
                <w:lang w:val="en-US" w:eastAsia="zh-CN"/>
              </w:rPr>
              <w:t>在枢纽工程施工场地内混凝土搅拌系统区域四周设置截排水沟，末端设置一座容积合计为30m</w:t>
            </w:r>
            <w:r>
              <w:rPr>
                <w:rFonts w:hint="eastAsia" w:ascii="Arial" w:hAnsi="Arial" w:cs="Arial"/>
                <w:b w:val="0"/>
                <w:bCs/>
                <w:sz w:val="22"/>
                <w:szCs w:val="22"/>
                <w:vertAlign w:val="superscript"/>
                <w:lang w:val="en-US" w:eastAsia="zh-CN"/>
              </w:rPr>
              <w:t>3</w:t>
            </w:r>
            <w:r>
              <w:rPr>
                <w:rFonts w:hint="eastAsia" w:ascii="Arial" w:hAnsi="Arial" w:cs="Arial"/>
                <w:b w:val="0"/>
                <w:bCs/>
                <w:sz w:val="22"/>
                <w:szCs w:val="22"/>
                <w:lang w:val="en-US" w:eastAsia="zh-CN"/>
              </w:rPr>
              <w:t>的三级沉淀池，经pH调节+隔油沉淀池处理后，上清液可回用作混凝土拌合、养护等生产用水，或抑尘洒水，不外排。</w:t>
            </w:r>
          </w:p>
        </w:tc>
        <w:tc>
          <w:tcPr>
            <w:tcW w:w="1009" w:type="dxa"/>
            <w:vMerge w:val="restart"/>
            <w:noWrap w:val="0"/>
            <w:vAlign w:val="center"/>
          </w:tcPr>
          <w:p w14:paraId="031F463E">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25</w:t>
            </w:r>
          </w:p>
        </w:tc>
      </w:tr>
      <w:tr w14:paraId="2C6974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7E39EBE6">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6323F0E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3804003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基坑废水</w:t>
            </w:r>
          </w:p>
        </w:tc>
        <w:tc>
          <w:tcPr>
            <w:tcW w:w="5745" w:type="dxa"/>
            <w:noWrap w:val="0"/>
            <w:vAlign w:val="center"/>
          </w:tcPr>
          <w:p w14:paraId="4D77A0C0">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lang w:val="en-US" w:eastAsia="zh-CN"/>
              </w:rPr>
              <w:t>在基坑内设立截水沟、集水坑，将基坑废水收集并静置1~2h后，上清液可用作施工用水，多余部分泵入下游河道。</w:t>
            </w:r>
          </w:p>
        </w:tc>
        <w:tc>
          <w:tcPr>
            <w:tcW w:w="1009" w:type="dxa"/>
            <w:vMerge w:val="continue"/>
            <w:noWrap w:val="0"/>
            <w:vAlign w:val="center"/>
          </w:tcPr>
          <w:p w14:paraId="1F59B51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64ECDD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6C0FBF6E">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306404B0">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28ABAA8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施工机械、运输车辆冲洗含油废水</w:t>
            </w:r>
          </w:p>
        </w:tc>
        <w:tc>
          <w:tcPr>
            <w:tcW w:w="5745" w:type="dxa"/>
            <w:noWrap w:val="0"/>
            <w:vAlign w:val="center"/>
          </w:tcPr>
          <w:p w14:paraId="0AD3C721">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eastAsia" w:ascii="Arial" w:hAnsi="Arial" w:eastAsia="宋体" w:cs="Arial"/>
                <w:b w:val="0"/>
                <w:bCs/>
                <w:sz w:val="22"/>
                <w:szCs w:val="22"/>
                <w:lang w:val="en-US" w:eastAsia="zh-CN"/>
              </w:rPr>
              <w:t>在枢纽工程、输水工程各设置一座容积分别为5m</w:t>
            </w:r>
            <w:r>
              <w:rPr>
                <w:rFonts w:hint="eastAsia" w:ascii="Arial" w:hAnsi="Arial" w:eastAsia="宋体" w:cs="Arial"/>
                <w:b w:val="0"/>
                <w:bCs/>
                <w:sz w:val="22"/>
                <w:szCs w:val="22"/>
                <w:vertAlign w:val="superscript"/>
                <w:lang w:val="en-US" w:eastAsia="zh-CN"/>
              </w:rPr>
              <w:t>3</w:t>
            </w:r>
            <w:r>
              <w:rPr>
                <w:rFonts w:hint="eastAsia" w:ascii="Arial" w:hAnsi="Arial" w:eastAsia="宋体" w:cs="Arial"/>
                <w:b w:val="0"/>
                <w:bCs/>
                <w:sz w:val="22"/>
                <w:szCs w:val="22"/>
                <w:lang w:val="en-US" w:eastAsia="zh-CN"/>
              </w:rPr>
              <w:t>、3m</w:t>
            </w:r>
            <w:r>
              <w:rPr>
                <w:rFonts w:hint="eastAsia" w:ascii="Arial" w:hAnsi="Arial" w:eastAsia="宋体" w:cs="Arial"/>
                <w:b w:val="0"/>
                <w:bCs/>
                <w:sz w:val="22"/>
                <w:szCs w:val="22"/>
                <w:vertAlign w:val="superscript"/>
                <w:lang w:val="en-US" w:eastAsia="zh-CN"/>
              </w:rPr>
              <w:t>3</w:t>
            </w:r>
            <w:r>
              <w:rPr>
                <w:rFonts w:hint="eastAsia" w:ascii="Arial" w:hAnsi="Arial" w:eastAsia="宋体" w:cs="Arial"/>
                <w:b w:val="0"/>
                <w:bCs/>
                <w:sz w:val="22"/>
                <w:szCs w:val="22"/>
                <w:lang w:val="en-US" w:eastAsia="zh-CN"/>
              </w:rPr>
              <w:t>的隔油沉淀池，将清洗产生的含油废水收集处理后</w:t>
            </w:r>
            <w:r>
              <w:rPr>
                <w:rFonts w:hint="eastAsia" w:ascii="Arial" w:cs="Arial"/>
                <w:b w:val="0"/>
                <w:bCs/>
                <w:sz w:val="22"/>
                <w:szCs w:val="22"/>
                <w:lang w:eastAsia="zh-CN"/>
              </w:rPr>
              <w:t>全部回用，不外排地表水体</w:t>
            </w:r>
            <w:r>
              <w:rPr>
                <w:rFonts w:hint="eastAsia" w:ascii="Arial" w:hAnsi="Arial" w:eastAsia="宋体" w:cs="Arial"/>
                <w:b w:val="0"/>
                <w:bCs/>
                <w:sz w:val="22"/>
                <w:szCs w:val="22"/>
                <w:lang w:val="en-US" w:eastAsia="zh-CN"/>
              </w:rPr>
              <w:t>。</w:t>
            </w:r>
          </w:p>
        </w:tc>
        <w:tc>
          <w:tcPr>
            <w:tcW w:w="1009" w:type="dxa"/>
            <w:vMerge w:val="continue"/>
            <w:noWrap w:val="0"/>
            <w:vAlign w:val="center"/>
          </w:tcPr>
          <w:p w14:paraId="766D617B">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43FE88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193FF1E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4E728F9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5D588A6A">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初期雨水</w:t>
            </w:r>
          </w:p>
        </w:tc>
        <w:tc>
          <w:tcPr>
            <w:tcW w:w="5745" w:type="dxa"/>
            <w:noWrap w:val="0"/>
            <w:vAlign w:val="center"/>
          </w:tcPr>
          <w:p w14:paraId="10119C62">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b w:val="0"/>
                <w:bCs/>
                <w:sz w:val="22"/>
                <w:szCs w:val="22"/>
                <w:lang w:val="en-US" w:eastAsia="zh-CN"/>
              </w:rPr>
            </w:pPr>
            <w:r>
              <w:rPr>
                <w:rFonts w:hint="eastAsia" w:ascii="Arial" w:hAnsi="Arial" w:eastAsia="宋体" w:cs="Arial"/>
                <w:b w:val="0"/>
                <w:bCs/>
                <w:sz w:val="22"/>
                <w:szCs w:val="22"/>
                <w:lang w:val="en-US" w:eastAsia="zh-CN"/>
              </w:rPr>
              <w:t>根据施工进度，</w:t>
            </w:r>
            <w:r>
              <w:rPr>
                <w:rFonts w:hint="eastAsia" w:ascii="Arial" w:hAnsi="Arial" w:cs="Arial"/>
                <w:b w:val="0"/>
                <w:bCs/>
                <w:sz w:val="22"/>
                <w:szCs w:val="22"/>
                <w:lang w:val="en-US" w:eastAsia="zh-CN"/>
              </w:rPr>
              <w:t>建设截排水沟、沉砂池等收集、处理设施，将初期雨水收集</w:t>
            </w:r>
            <w:r>
              <w:rPr>
                <w:rFonts w:hint="eastAsia" w:ascii="Arial" w:hAnsi="Arial" w:eastAsia="宋体" w:cs="Arial"/>
                <w:b w:val="0"/>
                <w:bCs/>
                <w:sz w:val="22"/>
                <w:szCs w:val="22"/>
                <w:lang w:val="en-US" w:eastAsia="zh-CN"/>
              </w:rPr>
              <w:t>沉淀</w:t>
            </w:r>
            <w:r>
              <w:rPr>
                <w:rFonts w:hint="eastAsia" w:ascii="Arial" w:hAnsi="Arial" w:cs="Arial"/>
                <w:b w:val="0"/>
                <w:bCs/>
                <w:sz w:val="22"/>
                <w:szCs w:val="22"/>
                <w:lang w:val="en-US" w:eastAsia="zh-CN"/>
              </w:rPr>
              <w:t>处理</w:t>
            </w:r>
            <w:r>
              <w:rPr>
                <w:rFonts w:hint="eastAsia" w:ascii="Arial" w:hAnsi="Arial" w:eastAsia="宋体" w:cs="Arial"/>
                <w:b w:val="0"/>
                <w:bCs/>
                <w:sz w:val="22"/>
                <w:szCs w:val="22"/>
                <w:lang w:val="en-US" w:eastAsia="zh-CN"/>
              </w:rPr>
              <w:t>后</w:t>
            </w:r>
            <w:r>
              <w:rPr>
                <w:rFonts w:hint="eastAsia" w:ascii="Arial" w:hAnsi="Arial" w:cs="Arial"/>
                <w:b w:val="0"/>
                <w:bCs/>
                <w:sz w:val="22"/>
                <w:szCs w:val="22"/>
                <w:lang w:val="en-US" w:eastAsia="zh-CN"/>
              </w:rPr>
              <w:t>，</w:t>
            </w:r>
            <w:r>
              <w:rPr>
                <w:rFonts w:hint="eastAsia" w:ascii="Arial" w:hAnsi="Arial" w:eastAsia="宋体" w:cs="Arial"/>
                <w:b w:val="0"/>
                <w:bCs/>
                <w:sz w:val="22"/>
                <w:szCs w:val="22"/>
                <w:lang w:val="en-US" w:eastAsia="zh-CN"/>
              </w:rPr>
              <w:t>回用作施工用水或排入环境。</w:t>
            </w:r>
          </w:p>
        </w:tc>
        <w:tc>
          <w:tcPr>
            <w:tcW w:w="1009" w:type="dxa"/>
            <w:vMerge w:val="continue"/>
            <w:noWrap w:val="0"/>
            <w:vAlign w:val="center"/>
          </w:tcPr>
          <w:p w14:paraId="5F41844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49D466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7F97EB9F">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7D8CC54C">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6C877F7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color w:val="auto"/>
                <w:sz w:val="22"/>
                <w:szCs w:val="22"/>
              </w:rPr>
            </w:pPr>
            <w:r>
              <w:rPr>
                <w:rFonts w:hint="default" w:ascii="Arial" w:hAnsi="Arial" w:cs="Arial"/>
                <w:color w:val="auto"/>
                <w:sz w:val="22"/>
                <w:szCs w:val="22"/>
              </w:rPr>
              <w:t>管道试压排水</w:t>
            </w:r>
          </w:p>
        </w:tc>
        <w:tc>
          <w:tcPr>
            <w:tcW w:w="5745" w:type="dxa"/>
            <w:noWrap w:val="0"/>
            <w:vAlign w:val="center"/>
          </w:tcPr>
          <w:p w14:paraId="79B404F9">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color w:val="auto"/>
                <w:sz w:val="22"/>
                <w:szCs w:val="22"/>
                <w:lang w:eastAsia="zh-CN"/>
              </w:rPr>
            </w:pPr>
            <w:r>
              <w:rPr>
                <w:rFonts w:hint="default" w:ascii="Arial" w:hAnsi="Arial" w:cs="Arial"/>
                <w:color w:val="auto"/>
                <w:sz w:val="22"/>
                <w:szCs w:val="22"/>
              </w:rPr>
              <w:t>为水库蓄水，</w:t>
            </w:r>
            <w:r>
              <w:rPr>
                <w:rFonts w:hint="eastAsia" w:ascii="Arial" w:hAnsi="Arial" w:cs="Arial"/>
                <w:color w:val="auto"/>
                <w:sz w:val="22"/>
                <w:szCs w:val="22"/>
                <w:lang w:eastAsia="zh-CN"/>
              </w:rPr>
              <w:t>水质较好</w:t>
            </w:r>
            <w:r>
              <w:rPr>
                <w:rFonts w:hint="default" w:ascii="Arial" w:hAnsi="Arial" w:cs="Arial"/>
                <w:color w:val="auto"/>
                <w:sz w:val="22"/>
                <w:szCs w:val="22"/>
              </w:rPr>
              <w:t>，直接用于沿线农林灌溉</w:t>
            </w:r>
            <w:r>
              <w:rPr>
                <w:rFonts w:hint="eastAsia" w:ascii="Arial" w:hAnsi="Arial" w:cs="Arial"/>
                <w:color w:val="auto"/>
                <w:sz w:val="22"/>
                <w:szCs w:val="22"/>
                <w:lang w:eastAsia="zh-CN"/>
              </w:rPr>
              <w:t>。</w:t>
            </w:r>
          </w:p>
        </w:tc>
        <w:tc>
          <w:tcPr>
            <w:tcW w:w="1009" w:type="dxa"/>
            <w:vMerge w:val="continue"/>
            <w:noWrap w:val="0"/>
            <w:vAlign w:val="center"/>
          </w:tcPr>
          <w:p w14:paraId="2DF8FE15">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0DAC51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7642F0F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5E2FC4B5">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5779798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生活污水</w:t>
            </w:r>
          </w:p>
        </w:tc>
        <w:tc>
          <w:tcPr>
            <w:tcW w:w="5745" w:type="dxa"/>
            <w:noWrap w:val="0"/>
            <w:vAlign w:val="center"/>
          </w:tcPr>
          <w:p w14:paraId="1C0DBA4F">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color w:val="C00000"/>
                <w:sz w:val="22"/>
                <w:szCs w:val="22"/>
              </w:rPr>
            </w:pPr>
            <w:r>
              <w:rPr>
                <w:rFonts w:hint="eastAsia" w:ascii="Arial" w:hAnsi="Arial" w:cs="Arial"/>
                <w:color w:val="auto"/>
                <w:sz w:val="22"/>
                <w:szCs w:val="22"/>
                <w:lang w:eastAsia="zh-CN"/>
              </w:rPr>
              <w:t>经租赁居民房屋内已有</w:t>
            </w:r>
            <w:r>
              <w:rPr>
                <w:rFonts w:hint="default" w:ascii="Arial" w:hAnsi="Arial" w:cs="Arial"/>
                <w:color w:val="auto"/>
                <w:sz w:val="22"/>
                <w:szCs w:val="22"/>
              </w:rPr>
              <w:t>旱厕收集厌氧消化处置后，交附近居民作农肥</w:t>
            </w:r>
            <w:r>
              <w:rPr>
                <w:rFonts w:hint="eastAsia" w:ascii="Arial" w:hAnsi="Arial" w:cs="Arial"/>
                <w:color w:val="auto"/>
                <w:sz w:val="22"/>
                <w:szCs w:val="22"/>
                <w:lang w:eastAsia="zh-CN"/>
              </w:rPr>
              <w:t>，不外排</w:t>
            </w:r>
            <w:r>
              <w:rPr>
                <w:rFonts w:hint="default" w:ascii="Arial" w:hAnsi="Arial" w:cs="Arial"/>
                <w:color w:val="auto"/>
                <w:sz w:val="22"/>
                <w:szCs w:val="22"/>
              </w:rPr>
              <w:t>。</w:t>
            </w:r>
          </w:p>
        </w:tc>
        <w:tc>
          <w:tcPr>
            <w:tcW w:w="1009" w:type="dxa"/>
            <w:vMerge w:val="continue"/>
            <w:noWrap w:val="0"/>
            <w:vAlign w:val="center"/>
          </w:tcPr>
          <w:p w14:paraId="733FB84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111B34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restart"/>
            <w:noWrap w:val="0"/>
            <w:vAlign w:val="center"/>
          </w:tcPr>
          <w:p w14:paraId="2841ED3B">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废气</w:t>
            </w:r>
          </w:p>
        </w:tc>
        <w:tc>
          <w:tcPr>
            <w:tcW w:w="681" w:type="dxa"/>
            <w:vMerge w:val="restart"/>
            <w:noWrap w:val="0"/>
            <w:vAlign w:val="center"/>
          </w:tcPr>
          <w:p w14:paraId="4AE23B43">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施工期</w:t>
            </w:r>
          </w:p>
        </w:tc>
        <w:tc>
          <w:tcPr>
            <w:tcW w:w="1230" w:type="dxa"/>
            <w:noWrap w:val="0"/>
            <w:vAlign w:val="center"/>
          </w:tcPr>
          <w:p w14:paraId="2AF4ABFC">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土石方开挖、粉质物料装卸、弃渣转运</w:t>
            </w:r>
          </w:p>
        </w:tc>
        <w:tc>
          <w:tcPr>
            <w:tcW w:w="5745" w:type="dxa"/>
            <w:noWrap w:val="0"/>
            <w:vAlign w:val="center"/>
          </w:tcPr>
          <w:p w14:paraId="3026743C">
            <w:pPr>
              <w:keepNext w:val="0"/>
              <w:keepLines w:val="0"/>
              <w:pageBreakBefore w:val="0"/>
              <w:widowControl w:val="0"/>
              <w:kinsoku/>
              <w:wordWrap/>
              <w:overflowPunct/>
              <w:topLinePunct w:val="0"/>
              <w:bidi w:val="0"/>
              <w:snapToGrid/>
              <w:spacing w:line="300" w:lineRule="exact"/>
              <w:textAlignment w:val="auto"/>
              <w:rPr>
                <w:rFonts w:hint="default" w:ascii="Arial" w:hAnsi="Arial" w:cs="Arial"/>
                <w:sz w:val="22"/>
                <w:szCs w:val="22"/>
              </w:rPr>
            </w:pPr>
            <w:r>
              <w:rPr>
                <w:rFonts w:hint="default" w:ascii="Arial" w:hAnsi="Arial" w:cs="Arial"/>
                <w:sz w:val="22"/>
                <w:szCs w:val="22"/>
              </w:rPr>
              <w:t>① 施工场区洒水抑尘，</w:t>
            </w:r>
            <w:r>
              <w:rPr>
                <w:rFonts w:hint="eastAsia" w:ascii="Arial" w:hAnsi="Arial" w:cs="Arial"/>
                <w:sz w:val="22"/>
                <w:szCs w:val="22"/>
                <w:lang w:eastAsia="zh-CN"/>
              </w:rPr>
              <w:t>配备洒水车、雾炮机等抑尘设备，</w:t>
            </w:r>
            <w:r>
              <w:rPr>
                <w:rFonts w:hint="default" w:ascii="Arial" w:hAnsi="Arial" w:cs="Arial"/>
                <w:sz w:val="22"/>
                <w:szCs w:val="22"/>
              </w:rPr>
              <w:t>大风天气增加洒水频次。</w:t>
            </w:r>
          </w:p>
          <w:p w14:paraId="25DBD399">
            <w:pPr>
              <w:keepNext w:val="0"/>
              <w:keepLines w:val="0"/>
              <w:pageBreakBefore w:val="0"/>
              <w:widowControl w:val="0"/>
              <w:kinsoku/>
              <w:wordWrap/>
              <w:overflowPunct/>
              <w:topLinePunct w:val="0"/>
              <w:bidi w:val="0"/>
              <w:snapToGrid/>
              <w:spacing w:line="300" w:lineRule="exact"/>
              <w:textAlignment w:val="auto"/>
              <w:rPr>
                <w:rFonts w:hint="default" w:ascii="Arial" w:hAnsi="Arial" w:cs="Arial"/>
                <w:sz w:val="22"/>
                <w:szCs w:val="22"/>
              </w:rPr>
            </w:pPr>
            <w:r>
              <w:rPr>
                <w:rFonts w:hint="default" w:ascii="Arial" w:hAnsi="Arial" w:cs="Arial"/>
                <w:sz w:val="22"/>
                <w:szCs w:val="22"/>
              </w:rPr>
              <w:t>② 弃渣、粉质物料运输过程中限速限载，采取篷布遮盖，按规定线路行驶；对运输要道、施工便道、进场道路进行硬化处置，并定期清扫、洒水抑尘；</w:t>
            </w:r>
            <w:r>
              <w:rPr>
                <w:rFonts w:hint="eastAsia" w:ascii="Arial" w:hAnsi="Arial" w:cs="Arial"/>
                <w:sz w:val="22"/>
                <w:szCs w:val="22"/>
                <w:lang w:eastAsia="zh-CN"/>
              </w:rPr>
              <w:t>施工场地内设置车辆冲洗装置，</w:t>
            </w:r>
            <w:r>
              <w:rPr>
                <w:rFonts w:hint="default" w:ascii="Arial" w:hAnsi="Arial" w:cs="Arial"/>
                <w:sz w:val="22"/>
                <w:szCs w:val="22"/>
              </w:rPr>
              <w:t>运输车辆清洗后上路，避免引起二次扬尘。</w:t>
            </w:r>
          </w:p>
          <w:p w14:paraId="4322D384">
            <w:pPr>
              <w:keepNext w:val="0"/>
              <w:keepLines w:val="0"/>
              <w:pageBreakBefore w:val="0"/>
              <w:widowControl w:val="0"/>
              <w:kinsoku/>
              <w:wordWrap/>
              <w:overflowPunct/>
              <w:topLinePunct w:val="0"/>
              <w:bidi w:val="0"/>
              <w:snapToGrid/>
              <w:spacing w:line="300" w:lineRule="exact"/>
              <w:textAlignment w:val="auto"/>
              <w:rPr>
                <w:rFonts w:hint="default" w:ascii="Arial" w:hAnsi="Arial" w:cs="Arial"/>
                <w:sz w:val="22"/>
                <w:szCs w:val="22"/>
              </w:rPr>
            </w:pPr>
            <w:r>
              <w:rPr>
                <w:rFonts w:hint="default" w:ascii="Arial" w:hAnsi="Arial" w:cs="Arial"/>
                <w:sz w:val="22"/>
                <w:szCs w:val="22"/>
              </w:rPr>
              <w:t>③ 土石方开挖产生的裸露地面采取绿网遮盖，避免风力扬尘。</w:t>
            </w:r>
          </w:p>
          <w:p w14:paraId="65EAD0FA">
            <w:pPr>
              <w:keepNext w:val="0"/>
              <w:keepLines w:val="0"/>
              <w:pageBreakBefore w:val="0"/>
              <w:widowControl w:val="0"/>
              <w:kinsoku/>
              <w:wordWrap/>
              <w:overflowPunct/>
              <w:topLinePunct w:val="0"/>
              <w:bidi w:val="0"/>
              <w:snapToGrid/>
              <w:spacing w:line="300" w:lineRule="exact"/>
              <w:textAlignment w:val="auto"/>
              <w:rPr>
                <w:rFonts w:hint="default" w:ascii="Arial" w:hAnsi="Arial" w:cs="Arial"/>
                <w:sz w:val="22"/>
                <w:szCs w:val="22"/>
              </w:rPr>
            </w:pPr>
            <w:r>
              <w:rPr>
                <w:rFonts w:hint="default" w:ascii="Arial" w:hAnsi="Arial" w:cs="Arial"/>
                <w:sz w:val="22"/>
                <w:szCs w:val="22"/>
              </w:rPr>
              <w:t>④ 对粉质原材料堆场进行加盖密封，在卸料平台周围设置高压水喷雾装置，卸料时，进行喷雾处理，保持砂堆表层湿润，防止卸料产生的风力扬尘；加强物料运输和装卸管理；文明装卸；减小卸料落差。</w:t>
            </w:r>
          </w:p>
          <w:p w14:paraId="7E0C7B83">
            <w:pPr>
              <w:keepNext w:val="0"/>
              <w:keepLines w:val="0"/>
              <w:pageBreakBefore w:val="0"/>
              <w:widowControl w:val="0"/>
              <w:kinsoku/>
              <w:wordWrap/>
              <w:overflowPunct/>
              <w:topLinePunct w:val="0"/>
              <w:bidi w:val="0"/>
              <w:snapToGrid/>
              <w:spacing w:line="300" w:lineRule="exact"/>
              <w:textAlignment w:val="auto"/>
              <w:rPr>
                <w:rFonts w:hint="default" w:ascii="Arial" w:hAnsi="Arial" w:cs="Arial"/>
                <w:color w:val="auto"/>
                <w:sz w:val="22"/>
                <w:szCs w:val="22"/>
              </w:rPr>
            </w:pPr>
            <w:r>
              <w:rPr>
                <w:rFonts w:hint="default" w:ascii="Arial" w:hAnsi="Arial" w:cs="Arial"/>
                <w:color w:val="auto"/>
                <w:sz w:val="22"/>
                <w:szCs w:val="22"/>
              </w:rPr>
              <w:t xml:space="preserve">⑤ </w:t>
            </w:r>
            <w:r>
              <w:rPr>
                <w:rFonts w:hint="eastAsia" w:ascii="Arial" w:hAnsi="Arial" w:cs="Arial"/>
                <w:color w:val="auto"/>
                <w:sz w:val="22"/>
                <w:szCs w:val="22"/>
                <w:lang w:eastAsia="zh-CN"/>
              </w:rPr>
              <w:t>混凝土拌合系统水泥、粉煤灰等采取筒仓储存，</w:t>
            </w:r>
            <w:r>
              <w:rPr>
                <w:rFonts w:hint="eastAsia" w:ascii="Arial" w:hAnsi="Arial" w:eastAsia="宋体" w:cs="Arial"/>
                <w:color w:val="000000"/>
                <w:sz w:val="22"/>
                <w:szCs w:val="22"/>
                <w:lang w:val="en-US" w:eastAsia="zh-CN"/>
              </w:rPr>
              <w:t>筒仓上部安装仓顶除尘器，搅拌罐密闭设置，并洒水抑尘</w:t>
            </w:r>
            <w:r>
              <w:rPr>
                <w:rFonts w:hint="default" w:ascii="Arial" w:hAnsi="Arial" w:cs="Arial"/>
                <w:color w:val="auto"/>
                <w:sz w:val="22"/>
                <w:szCs w:val="22"/>
              </w:rPr>
              <w:t>。</w:t>
            </w:r>
          </w:p>
          <w:p w14:paraId="160409BA">
            <w:pPr>
              <w:keepNext w:val="0"/>
              <w:keepLines w:val="0"/>
              <w:pageBreakBefore w:val="0"/>
              <w:widowControl w:val="0"/>
              <w:kinsoku/>
              <w:wordWrap/>
              <w:overflowPunct/>
              <w:topLinePunct w:val="0"/>
              <w:bidi w:val="0"/>
              <w:snapToGrid/>
              <w:spacing w:line="300" w:lineRule="exact"/>
              <w:textAlignment w:val="auto"/>
              <w:rPr>
                <w:rFonts w:hint="default" w:ascii="Arial" w:hAnsi="Arial" w:cs="Arial"/>
                <w:color w:val="auto"/>
                <w:sz w:val="22"/>
                <w:szCs w:val="22"/>
              </w:rPr>
            </w:pPr>
            <w:r>
              <w:rPr>
                <w:rFonts w:hint="default" w:ascii="Arial" w:hAnsi="Arial" w:cs="Arial"/>
                <w:color w:val="auto"/>
                <w:sz w:val="22"/>
                <w:szCs w:val="22"/>
              </w:rPr>
              <w:t>⑥ 暂不利用土石方及时清运至本项目所设弃渣场进行填埋处置，弃渣场定期洒水抑尘。</w:t>
            </w:r>
          </w:p>
        </w:tc>
        <w:tc>
          <w:tcPr>
            <w:tcW w:w="1009" w:type="dxa"/>
            <w:vMerge w:val="restart"/>
            <w:noWrap w:val="0"/>
            <w:vAlign w:val="center"/>
          </w:tcPr>
          <w:p w14:paraId="6788D7A7">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50</w:t>
            </w:r>
          </w:p>
        </w:tc>
      </w:tr>
      <w:tr w14:paraId="5C1404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55A01AC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20E078A7">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629B147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施工机具燃油废气</w:t>
            </w:r>
          </w:p>
        </w:tc>
        <w:tc>
          <w:tcPr>
            <w:tcW w:w="5745" w:type="dxa"/>
            <w:noWrap w:val="0"/>
            <w:vAlign w:val="center"/>
          </w:tcPr>
          <w:p w14:paraId="47CC37A9">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选用高效低耗的施工设备，并加强保养及维护，</w:t>
            </w:r>
            <w:r>
              <w:rPr>
                <w:rFonts w:hint="eastAsia" w:ascii="Arial" w:hAnsi="Arial" w:eastAsia="宋体" w:cs="Arial"/>
                <w:sz w:val="22"/>
                <w:szCs w:val="22"/>
                <w:lang w:val="en-US" w:eastAsia="zh-CN"/>
              </w:rPr>
              <w:t>确保其处于良好的运行状态，以轻质柴油、汽油为燃料，减少燃油尾气的产生和排放量。</w:t>
            </w:r>
          </w:p>
        </w:tc>
        <w:tc>
          <w:tcPr>
            <w:tcW w:w="1009" w:type="dxa"/>
            <w:vMerge w:val="continue"/>
            <w:noWrap w:val="0"/>
            <w:vAlign w:val="center"/>
          </w:tcPr>
          <w:p w14:paraId="645F62BE">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06D0C6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2DB7526B">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3DBB9FA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16B49A9B">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食堂废气</w:t>
            </w:r>
          </w:p>
        </w:tc>
        <w:tc>
          <w:tcPr>
            <w:tcW w:w="5745" w:type="dxa"/>
            <w:noWrap w:val="0"/>
            <w:vAlign w:val="center"/>
          </w:tcPr>
          <w:p w14:paraId="1843D47C">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采用液化气、电等清洁能源作为生活燃料，燃烧后SO</w:t>
            </w:r>
            <w:r>
              <w:rPr>
                <w:rFonts w:hint="default" w:ascii="Arial" w:hAnsi="Arial" w:cs="Arial"/>
                <w:sz w:val="22"/>
                <w:szCs w:val="22"/>
                <w:vertAlign w:val="subscript"/>
              </w:rPr>
              <w:t>2</w:t>
            </w:r>
            <w:r>
              <w:rPr>
                <w:rFonts w:hint="default" w:ascii="Arial" w:hAnsi="Arial" w:cs="Arial"/>
                <w:sz w:val="22"/>
                <w:szCs w:val="22"/>
              </w:rPr>
              <w:t>、烟尘等污染物排放量小；烹饪油烟废气通过油烟净化器处理后</w:t>
            </w:r>
            <w:r>
              <w:rPr>
                <w:rFonts w:hint="eastAsia" w:ascii="Arial" w:hAnsi="Arial" w:cs="Arial"/>
                <w:sz w:val="22"/>
                <w:szCs w:val="22"/>
                <w:lang w:eastAsia="zh-CN"/>
              </w:rPr>
              <w:t>，引至超屋顶</w:t>
            </w:r>
            <w:r>
              <w:rPr>
                <w:rFonts w:hint="default" w:ascii="Arial" w:hAnsi="Arial" w:cs="Arial"/>
                <w:sz w:val="22"/>
                <w:szCs w:val="22"/>
              </w:rPr>
              <w:t>排放。</w:t>
            </w:r>
          </w:p>
        </w:tc>
        <w:tc>
          <w:tcPr>
            <w:tcW w:w="1009" w:type="dxa"/>
            <w:vMerge w:val="continue"/>
            <w:noWrap w:val="0"/>
            <w:vAlign w:val="center"/>
          </w:tcPr>
          <w:p w14:paraId="1D5D7290">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78A5B0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noWrap w:val="0"/>
            <w:vAlign w:val="center"/>
          </w:tcPr>
          <w:p w14:paraId="3ADABF10">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噪声</w:t>
            </w:r>
          </w:p>
        </w:tc>
        <w:tc>
          <w:tcPr>
            <w:tcW w:w="681" w:type="dxa"/>
            <w:noWrap w:val="0"/>
            <w:vAlign w:val="center"/>
          </w:tcPr>
          <w:p w14:paraId="634D4F7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施工期</w:t>
            </w:r>
          </w:p>
        </w:tc>
        <w:tc>
          <w:tcPr>
            <w:tcW w:w="1230" w:type="dxa"/>
            <w:noWrap w:val="0"/>
            <w:vAlign w:val="center"/>
          </w:tcPr>
          <w:p w14:paraId="08E6C8AF">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生产设备运行</w:t>
            </w:r>
          </w:p>
        </w:tc>
        <w:tc>
          <w:tcPr>
            <w:tcW w:w="5745" w:type="dxa"/>
            <w:noWrap w:val="0"/>
            <w:vAlign w:val="center"/>
          </w:tcPr>
          <w:p w14:paraId="5CE9D527">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根据《重庆市噪声污染防治办法》的相关要求，优先用低产噪设备，同时加强施工机械的维护保养；合理布置施工机械和施工强度，作好施工组织，将施工区内高产噪区域远离环境敏感点布置，并设置临时设备间、通过墙体隔声，以减缓噪声影响；物料运输尽量安排在白天运输，途径密集居住区时采取缓速、禁鸣等措施；合理安排施工作业时间，尽量避免夜间作业，偶遇混凝土浇筑必须连续作业的工序，需取得当地</w:t>
            </w:r>
            <w:r>
              <w:rPr>
                <w:rFonts w:hint="default" w:ascii="Arial" w:hAnsi="Arial" w:cs="Arial"/>
                <w:sz w:val="22"/>
                <w:szCs w:val="22"/>
                <w:lang w:val="en-US" w:eastAsia="zh-CN"/>
              </w:rPr>
              <w:t>城市管理或者住房城乡建设部门的</w:t>
            </w:r>
            <w:r>
              <w:rPr>
                <w:rFonts w:hint="default" w:ascii="Arial" w:hAnsi="Arial" w:cs="Arial"/>
                <w:sz w:val="22"/>
                <w:szCs w:val="22"/>
              </w:rPr>
              <w:t>批准，并告知附近居民，以取得谅解。</w:t>
            </w:r>
          </w:p>
        </w:tc>
        <w:tc>
          <w:tcPr>
            <w:tcW w:w="1009" w:type="dxa"/>
            <w:noWrap w:val="0"/>
            <w:vAlign w:val="center"/>
          </w:tcPr>
          <w:p w14:paraId="08F798A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10</w:t>
            </w:r>
          </w:p>
        </w:tc>
      </w:tr>
      <w:tr w14:paraId="74A514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restart"/>
            <w:noWrap w:val="0"/>
            <w:vAlign w:val="center"/>
          </w:tcPr>
          <w:p w14:paraId="05FCC559">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固体废弃物</w:t>
            </w:r>
          </w:p>
        </w:tc>
        <w:tc>
          <w:tcPr>
            <w:tcW w:w="681" w:type="dxa"/>
            <w:vMerge w:val="restart"/>
            <w:noWrap w:val="0"/>
            <w:vAlign w:val="center"/>
          </w:tcPr>
          <w:p w14:paraId="7B0F1A3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施工期</w:t>
            </w:r>
          </w:p>
        </w:tc>
        <w:tc>
          <w:tcPr>
            <w:tcW w:w="1230" w:type="dxa"/>
            <w:noWrap w:val="0"/>
            <w:vAlign w:val="center"/>
          </w:tcPr>
          <w:p w14:paraId="02709299">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表土</w:t>
            </w:r>
          </w:p>
        </w:tc>
        <w:tc>
          <w:tcPr>
            <w:tcW w:w="5745" w:type="dxa"/>
            <w:noWrap w:val="0"/>
            <w:vAlign w:val="center"/>
          </w:tcPr>
          <w:p w14:paraId="297486C5">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eastAsia" w:ascii="Arial" w:hAnsi="Arial" w:cs="Arial"/>
                <w:bCs/>
                <w:color w:val="auto"/>
                <w:sz w:val="22"/>
                <w:szCs w:val="22"/>
                <w:lang w:val="en-US" w:eastAsia="zh-CN"/>
              </w:rPr>
              <w:t>集中收集后，分区暂存于项目所设弃渣场内，后期全部用作绿化覆土，不外排。</w:t>
            </w:r>
          </w:p>
        </w:tc>
        <w:tc>
          <w:tcPr>
            <w:tcW w:w="1009" w:type="dxa"/>
            <w:vMerge w:val="restart"/>
            <w:noWrap w:val="0"/>
            <w:vAlign w:val="center"/>
          </w:tcPr>
          <w:p w14:paraId="53CA591D">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val="en-US" w:eastAsia="zh-CN"/>
              </w:rPr>
              <w:t>8</w:t>
            </w:r>
          </w:p>
        </w:tc>
      </w:tr>
      <w:tr w14:paraId="41D320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767C453C">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01298B55">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shd w:val="clear" w:color="auto" w:fill="auto"/>
            <w:noWrap w:val="0"/>
            <w:vAlign w:val="center"/>
          </w:tcPr>
          <w:p w14:paraId="60BC7029">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kern w:val="2"/>
                <w:sz w:val="22"/>
                <w:szCs w:val="22"/>
                <w:lang w:val="en-US" w:eastAsia="zh-CN" w:bidi="ar-SA"/>
              </w:rPr>
            </w:pPr>
            <w:r>
              <w:rPr>
                <w:rFonts w:hint="eastAsia" w:ascii="Arial" w:hAnsi="Arial" w:cs="Arial"/>
                <w:sz w:val="22"/>
                <w:szCs w:val="22"/>
                <w:lang w:eastAsia="zh-CN"/>
              </w:rPr>
              <w:t>弃渣</w:t>
            </w:r>
          </w:p>
        </w:tc>
        <w:tc>
          <w:tcPr>
            <w:tcW w:w="5745" w:type="dxa"/>
            <w:shd w:val="clear" w:color="auto" w:fill="auto"/>
            <w:noWrap w:val="0"/>
            <w:vAlign w:val="center"/>
          </w:tcPr>
          <w:p w14:paraId="11C7D3CF">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kern w:val="2"/>
                <w:sz w:val="22"/>
                <w:szCs w:val="22"/>
                <w:lang w:val="en-US" w:eastAsia="zh-CN" w:bidi="ar-SA"/>
              </w:rPr>
            </w:pPr>
            <w:r>
              <w:rPr>
                <w:rFonts w:hint="eastAsia" w:ascii="Arial" w:hAnsi="Arial" w:cs="Arial"/>
                <w:sz w:val="22"/>
                <w:szCs w:val="22"/>
                <w:lang w:eastAsia="zh-CN"/>
              </w:rPr>
              <w:t>及时清运至项目所设弃渣场内填埋处置</w:t>
            </w:r>
            <w:r>
              <w:rPr>
                <w:rFonts w:hint="default" w:ascii="Arial" w:hAnsi="Arial" w:cs="Arial"/>
                <w:bCs/>
                <w:sz w:val="22"/>
                <w:szCs w:val="22"/>
              </w:rPr>
              <w:t>。</w:t>
            </w:r>
          </w:p>
        </w:tc>
        <w:tc>
          <w:tcPr>
            <w:tcW w:w="1009" w:type="dxa"/>
            <w:vMerge w:val="continue"/>
            <w:noWrap w:val="0"/>
            <w:vAlign w:val="center"/>
          </w:tcPr>
          <w:p w14:paraId="205160FF">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6E6AC0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037C7F40">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32A19781">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31A45FC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废油</w:t>
            </w:r>
          </w:p>
        </w:tc>
        <w:tc>
          <w:tcPr>
            <w:tcW w:w="5745" w:type="dxa"/>
            <w:noWrap w:val="0"/>
            <w:vAlign w:val="center"/>
          </w:tcPr>
          <w:p w14:paraId="48608F2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eastAsia" w:ascii="Arial" w:hAnsi="Arial" w:cs="Arial"/>
                <w:color w:val="auto"/>
                <w:sz w:val="22"/>
                <w:szCs w:val="22"/>
                <w:lang w:eastAsia="zh-CN"/>
              </w:rPr>
              <w:t>属于危险废物，桶装收集后，</w:t>
            </w:r>
            <w:r>
              <w:rPr>
                <w:rFonts w:hint="eastAsia" w:ascii="Arial" w:hAnsi="Arial" w:cs="Arial"/>
                <w:color w:val="auto"/>
                <w:sz w:val="22"/>
                <w:szCs w:val="22"/>
              </w:rPr>
              <w:t>暂存于施工</w:t>
            </w:r>
            <w:r>
              <w:rPr>
                <w:rFonts w:hint="eastAsia" w:ascii="Arial" w:hAnsi="Arial" w:cs="Arial"/>
                <w:color w:val="auto"/>
                <w:sz w:val="22"/>
                <w:szCs w:val="22"/>
                <w:lang w:eastAsia="zh-CN"/>
              </w:rPr>
              <w:t>场地</w:t>
            </w:r>
            <w:r>
              <w:rPr>
                <w:rFonts w:hint="eastAsia" w:ascii="Arial" w:hAnsi="Arial" w:cs="Arial"/>
                <w:color w:val="auto"/>
                <w:sz w:val="22"/>
                <w:szCs w:val="22"/>
              </w:rPr>
              <w:t>内独立设置的危废</w:t>
            </w:r>
            <w:r>
              <w:rPr>
                <w:rFonts w:hint="eastAsia" w:ascii="Arial" w:hAnsi="Arial" w:cs="Arial"/>
                <w:color w:val="auto"/>
                <w:sz w:val="22"/>
                <w:szCs w:val="22"/>
                <w:lang w:eastAsia="zh-CN"/>
              </w:rPr>
              <w:t>贮存区内</w:t>
            </w:r>
            <w:r>
              <w:rPr>
                <w:rFonts w:hint="eastAsia" w:ascii="Arial" w:hAnsi="Arial" w:cs="Arial"/>
                <w:color w:val="auto"/>
                <w:sz w:val="22"/>
                <w:szCs w:val="22"/>
              </w:rPr>
              <w:t>，按规定进行“</w:t>
            </w:r>
            <w:r>
              <w:rPr>
                <w:rFonts w:hint="eastAsia" w:ascii="Arial" w:hAnsi="Arial" w:cs="Arial"/>
                <w:color w:val="auto"/>
                <w:sz w:val="22"/>
                <w:szCs w:val="22"/>
                <w:lang w:eastAsia="zh-CN"/>
              </w:rPr>
              <w:t>六</w:t>
            </w:r>
            <w:r>
              <w:rPr>
                <w:rFonts w:hint="eastAsia" w:ascii="Arial" w:hAnsi="Arial" w:cs="Arial"/>
                <w:color w:val="auto"/>
                <w:sz w:val="22"/>
                <w:szCs w:val="22"/>
              </w:rPr>
              <w:t>防”处置，最终交有有资质的单位回收处置。</w:t>
            </w:r>
          </w:p>
        </w:tc>
        <w:tc>
          <w:tcPr>
            <w:tcW w:w="1009" w:type="dxa"/>
            <w:vMerge w:val="continue"/>
            <w:noWrap w:val="0"/>
            <w:vAlign w:val="center"/>
          </w:tcPr>
          <w:p w14:paraId="175B7B63">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146FF6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11761CD0">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066C3DC9">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732C5533">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生活垃圾</w:t>
            </w:r>
          </w:p>
        </w:tc>
        <w:tc>
          <w:tcPr>
            <w:tcW w:w="5745" w:type="dxa"/>
            <w:noWrap w:val="0"/>
            <w:vAlign w:val="center"/>
          </w:tcPr>
          <w:p w14:paraId="19AA799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日产日清，经各施工区所设垃圾桶收集后，交</w:t>
            </w:r>
            <w:r>
              <w:rPr>
                <w:rFonts w:hint="eastAsia" w:ascii="Arial" w:hAnsi="Arial" w:cs="Arial"/>
                <w:sz w:val="22"/>
                <w:szCs w:val="22"/>
                <w:lang w:eastAsia="zh-CN"/>
              </w:rPr>
              <w:t>当地</w:t>
            </w:r>
            <w:r>
              <w:rPr>
                <w:rFonts w:hint="default" w:ascii="Arial" w:hAnsi="Arial" w:cs="Arial"/>
                <w:sz w:val="22"/>
                <w:szCs w:val="22"/>
              </w:rPr>
              <w:t>环卫部门统一清运处置</w:t>
            </w:r>
          </w:p>
        </w:tc>
        <w:tc>
          <w:tcPr>
            <w:tcW w:w="1009" w:type="dxa"/>
            <w:vMerge w:val="continue"/>
            <w:noWrap w:val="0"/>
            <w:vAlign w:val="center"/>
          </w:tcPr>
          <w:p w14:paraId="7EE63E6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585E65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1722E691">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48335A5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2CB1262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餐厨垃圾</w:t>
            </w:r>
          </w:p>
        </w:tc>
        <w:tc>
          <w:tcPr>
            <w:tcW w:w="5745" w:type="dxa"/>
            <w:noWrap w:val="0"/>
            <w:vAlign w:val="center"/>
          </w:tcPr>
          <w:p w14:paraId="266F9FC5">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桶装收集后，交有资质单位清运处置</w:t>
            </w:r>
          </w:p>
        </w:tc>
        <w:tc>
          <w:tcPr>
            <w:tcW w:w="1009" w:type="dxa"/>
            <w:vMerge w:val="continue"/>
            <w:noWrap w:val="0"/>
            <w:vAlign w:val="center"/>
          </w:tcPr>
          <w:p w14:paraId="37A3D6CD">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409C25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2DF76E5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52116D37">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5D5E99BC">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清库废物</w:t>
            </w:r>
          </w:p>
        </w:tc>
        <w:tc>
          <w:tcPr>
            <w:tcW w:w="5745" w:type="dxa"/>
            <w:noWrap w:val="0"/>
            <w:vAlign w:val="center"/>
          </w:tcPr>
          <w:p w14:paraId="55AE67ED">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分类收集，</w:t>
            </w:r>
            <w:r>
              <w:rPr>
                <w:rFonts w:hint="eastAsia" w:ascii="Arial" w:hAnsi="宋体" w:cs="Arial"/>
                <w:color w:val="auto"/>
                <w:sz w:val="22"/>
                <w:szCs w:val="22"/>
              </w:rPr>
              <w:t>生活垃圾等运至当地垃圾填埋场处置，林木外卖综合利用</w:t>
            </w:r>
            <w:r>
              <w:rPr>
                <w:rFonts w:hint="default" w:ascii="Arial" w:hAnsi="Arial" w:cs="Arial"/>
                <w:sz w:val="22"/>
                <w:szCs w:val="22"/>
              </w:rPr>
              <w:t>。</w:t>
            </w:r>
          </w:p>
        </w:tc>
        <w:tc>
          <w:tcPr>
            <w:tcW w:w="1009" w:type="dxa"/>
            <w:vMerge w:val="continue"/>
            <w:noWrap w:val="0"/>
            <w:vAlign w:val="center"/>
          </w:tcPr>
          <w:p w14:paraId="73CE6D1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r>
      <w:tr w14:paraId="4A01F7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noWrap w:val="0"/>
            <w:vAlign w:val="center"/>
          </w:tcPr>
          <w:p w14:paraId="458822EF">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环境风险</w:t>
            </w:r>
          </w:p>
        </w:tc>
        <w:tc>
          <w:tcPr>
            <w:tcW w:w="681" w:type="dxa"/>
            <w:noWrap w:val="0"/>
            <w:vAlign w:val="center"/>
          </w:tcPr>
          <w:p w14:paraId="754033F0">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施工期</w:t>
            </w:r>
          </w:p>
        </w:tc>
        <w:tc>
          <w:tcPr>
            <w:tcW w:w="1230" w:type="dxa"/>
            <w:noWrap w:val="0"/>
            <w:vAlign w:val="center"/>
          </w:tcPr>
          <w:p w14:paraId="65C15306">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油品</w:t>
            </w:r>
          </w:p>
        </w:tc>
        <w:tc>
          <w:tcPr>
            <w:tcW w:w="5745" w:type="dxa"/>
            <w:noWrap w:val="0"/>
            <w:vAlign w:val="center"/>
          </w:tcPr>
          <w:p w14:paraId="62709AC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eastAsia" w:ascii="Arial" w:hAnsi="Arial" w:eastAsia="宋体" w:cs="Arial"/>
                <w:color w:val="auto"/>
                <w:sz w:val="22"/>
                <w:szCs w:val="22"/>
                <w:highlight w:val="none"/>
                <w:lang w:val="en-US" w:eastAsia="zh-CN"/>
              </w:rPr>
              <w:t>采取</w:t>
            </w:r>
            <w:r>
              <w:rPr>
                <w:rFonts w:hint="eastAsia" w:ascii="Arial" w:hAnsi="Arial" w:cs="Arial"/>
                <w:color w:val="auto"/>
                <w:sz w:val="22"/>
                <w:szCs w:val="22"/>
                <w:highlight w:val="none"/>
                <w:lang w:val="en-US" w:eastAsia="zh-CN"/>
              </w:rPr>
              <w:t>桶装密闭储存</w:t>
            </w:r>
            <w:r>
              <w:rPr>
                <w:rFonts w:hint="eastAsia" w:ascii="Arial" w:hAnsi="Arial" w:eastAsia="宋体" w:cs="Arial"/>
                <w:color w:val="auto"/>
                <w:sz w:val="22"/>
                <w:szCs w:val="22"/>
                <w:highlight w:val="none"/>
                <w:lang w:val="en-US" w:eastAsia="zh-CN"/>
              </w:rPr>
              <w:t>，</w:t>
            </w:r>
            <w:r>
              <w:rPr>
                <w:rFonts w:hint="eastAsia" w:ascii="Arial" w:hAnsi="Arial" w:cs="Arial"/>
                <w:color w:val="auto"/>
                <w:sz w:val="22"/>
                <w:szCs w:val="22"/>
                <w:highlight w:val="none"/>
                <w:lang w:val="en-US" w:eastAsia="zh-CN"/>
              </w:rPr>
              <w:t>暂存区四周设围堰，围堰和地面均进行重点防渗处置；</w:t>
            </w:r>
            <w:r>
              <w:rPr>
                <w:rFonts w:hint="eastAsia" w:ascii="Arial" w:hAnsi="Arial" w:eastAsia="宋体" w:cs="Arial"/>
                <w:color w:val="auto"/>
                <w:sz w:val="22"/>
                <w:szCs w:val="22"/>
                <w:highlight w:val="none"/>
                <w:lang w:val="en-US" w:eastAsia="zh-CN"/>
              </w:rPr>
              <w:t>配置灭火器、消防砂、铁铲</w:t>
            </w:r>
            <w:r>
              <w:rPr>
                <w:rFonts w:hint="eastAsia" w:ascii="Arial" w:hAnsi="Arial" w:cs="Arial"/>
                <w:color w:val="auto"/>
                <w:sz w:val="22"/>
                <w:szCs w:val="22"/>
                <w:highlight w:val="none"/>
                <w:lang w:val="en-US" w:eastAsia="zh-CN"/>
              </w:rPr>
              <w:t>、铁桶</w:t>
            </w:r>
            <w:r>
              <w:rPr>
                <w:rFonts w:hint="eastAsia" w:ascii="Arial" w:hAnsi="Arial" w:eastAsia="宋体" w:cs="Arial"/>
                <w:color w:val="auto"/>
                <w:sz w:val="22"/>
                <w:szCs w:val="22"/>
                <w:highlight w:val="none"/>
                <w:lang w:val="en-US" w:eastAsia="zh-CN"/>
              </w:rPr>
              <w:t>的应急物资</w:t>
            </w:r>
            <w:r>
              <w:rPr>
                <w:rFonts w:hint="eastAsia" w:ascii="Arial" w:hAnsi="Arial" w:cs="Arial"/>
                <w:color w:val="auto"/>
                <w:sz w:val="22"/>
                <w:szCs w:val="22"/>
                <w:highlight w:val="none"/>
                <w:lang w:val="en-US" w:eastAsia="zh-CN"/>
              </w:rPr>
              <w:t>，远离火源；</w:t>
            </w:r>
            <w:r>
              <w:rPr>
                <w:rFonts w:hint="eastAsia" w:ascii="Arial" w:hAnsi="Arial" w:cs="Arial"/>
                <w:color w:val="auto"/>
                <w:sz w:val="22"/>
                <w:szCs w:val="22"/>
                <w:highlight w:val="none"/>
              </w:rPr>
              <w:t>建立日常巡检制度，一旦发现</w:t>
            </w:r>
            <w:r>
              <w:rPr>
                <w:rFonts w:hint="eastAsia" w:ascii="Arial" w:hAnsi="Arial" w:cs="Arial"/>
                <w:color w:val="auto"/>
                <w:sz w:val="22"/>
                <w:szCs w:val="22"/>
                <w:highlight w:val="none"/>
                <w:lang w:eastAsia="zh-CN"/>
              </w:rPr>
              <w:t>储罐</w:t>
            </w:r>
            <w:r>
              <w:rPr>
                <w:rFonts w:hint="eastAsia" w:ascii="Arial" w:hAnsi="Arial" w:cs="Arial"/>
                <w:color w:val="auto"/>
                <w:sz w:val="22"/>
                <w:szCs w:val="22"/>
                <w:highlight w:val="none"/>
              </w:rPr>
              <w:t>破损，立即对</w:t>
            </w:r>
            <w:r>
              <w:rPr>
                <w:rFonts w:hint="eastAsia" w:ascii="Arial" w:hAnsi="Arial" w:cs="Arial"/>
                <w:color w:val="auto"/>
                <w:sz w:val="22"/>
                <w:szCs w:val="22"/>
                <w:highlight w:val="none"/>
                <w:lang w:eastAsia="zh-CN"/>
              </w:rPr>
              <w:t>桶</w:t>
            </w:r>
            <w:r>
              <w:rPr>
                <w:rFonts w:hint="eastAsia" w:ascii="Arial" w:hAnsi="Arial" w:cs="Arial"/>
                <w:color w:val="auto"/>
                <w:sz w:val="22"/>
                <w:szCs w:val="22"/>
                <w:highlight w:val="none"/>
              </w:rPr>
              <w:t>内</w:t>
            </w:r>
            <w:r>
              <w:rPr>
                <w:rFonts w:hint="eastAsia" w:ascii="Arial" w:hAnsi="Arial" w:cs="Arial"/>
                <w:color w:val="auto"/>
                <w:sz w:val="22"/>
                <w:szCs w:val="22"/>
                <w:highlight w:val="none"/>
                <w:lang w:eastAsia="zh-CN"/>
              </w:rPr>
              <w:t>油料</w:t>
            </w:r>
            <w:r>
              <w:rPr>
                <w:rFonts w:hint="eastAsia" w:ascii="Arial" w:hAnsi="Arial" w:cs="Arial"/>
                <w:color w:val="auto"/>
                <w:sz w:val="22"/>
                <w:szCs w:val="22"/>
                <w:highlight w:val="none"/>
              </w:rPr>
              <w:t>进行转移</w:t>
            </w:r>
            <w:r>
              <w:rPr>
                <w:rFonts w:hint="eastAsia" w:ascii="Arial" w:hAnsi="Arial" w:eastAsia="宋体" w:cs="Arial"/>
                <w:color w:val="auto"/>
                <w:kern w:val="2"/>
                <w:sz w:val="22"/>
                <w:szCs w:val="22"/>
                <w:lang w:val="en-US" w:eastAsia="zh-CN" w:bidi="ar-SA"/>
              </w:rPr>
              <w:t>。</w:t>
            </w:r>
          </w:p>
        </w:tc>
        <w:tc>
          <w:tcPr>
            <w:tcW w:w="1009" w:type="dxa"/>
            <w:noWrap w:val="0"/>
            <w:vAlign w:val="center"/>
          </w:tcPr>
          <w:p w14:paraId="4AA29FDF">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val="en-US" w:eastAsia="zh-CN"/>
              </w:rPr>
              <w:t>2</w:t>
            </w:r>
          </w:p>
        </w:tc>
      </w:tr>
      <w:tr w14:paraId="0FC40B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8346" w:type="dxa"/>
            <w:gridSpan w:val="4"/>
            <w:noWrap w:val="0"/>
            <w:vAlign w:val="center"/>
          </w:tcPr>
          <w:p w14:paraId="60820541">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合计</w:t>
            </w:r>
          </w:p>
        </w:tc>
        <w:tc>
          <w:tcPr>
            <w:tcW w:w="1009" w:type="dxa"/>
            <w:noWrap w:val="0"/>
            <w:vAlign w:val="center"/>
          </w:tcPr>
          <w:p w14:paraId="7A42239F">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eastAsia="宋体" w:cs="Arial"/>
                <w:color w:val="C00000"/>
                <w:sz w:val="22"/>
                <w:szCs w:val="22"/>
                <w:lang w:val="en-US" w:eastAsia="zh-CN"/>
              </w:rPr>
            </w:pPr>
            <w:r>
              <w:rPr>
                <w:rFonts w:hint="eastAsia" w:ascii="Arial" w:hAnsi="Arial" w:cs="Arial"/>
                <w:color w:val="auto"/>
                <w:sz w:val="22"/>
                <w:szCs w:val="22"/>
                <w:lang w:val="en-US" w:eastAsia="zh-CN"/>
              </w:rPr>
              <w:t>140</w:t>
            </w:r>
          </w:p>
        </w:tc>
      </w:tr>
      <w:tr w14:paraId="457C25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noWrap w:val="0"/>
            <w:vAlign w:val="center"/>
          </w:tcPr>
          <w:p w14:paraId="6A97573F">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废气</w:t>
            </w:r>
          </w:p>
        </w:tc>
        <w:tc>
          <w:tcPr>
            <w:tcW w:w="681" w:type="dxa"/>
            <w:vMerge w:val="restart"/>
            <w:noWrap w:val="0"/>
            <w:vAlign w:val="center"/>
          </w:tcPr>
          <w:p w14:paraId="0E04AD2F">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营运期</w:t>
            </w:r>
          </w:p>
        </w:tc>
        <w:tc>
          <w:tcPr>
            <w:tcW w:w="1230" w:type="dxa"/>
            <w:noWrap w:val="0"/>
            <w:vAlign w:val="center"/>
          </w:tcPr>
          <w:p w14:paraId="1D042A8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管理区食堂油烟</w:t>
            </w:r>
          </w:p>
        </w:tc>
        <w:tc>
          <w:tcPr>
            <w:tcW w:w="5745" w:type="dxa"/>
            <w:noWrap w:val="0"/>
            <w:vAlign w:val="center"/>
          </w:tcPr>
          <w:p w14:paraId="24CEAF35">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以液化石油气、电为能源，食堂油烟经油烟净化器处理达标后，引至超屋顶外排</w:t>
            </w:r>
          </w:p>
        </w:tc>
        <w:tc>
          <w:tcPr>
            <w:tcW w:w="1009" w:type="dxa"/>
            <w:noWrap w:val="0"/>
            <w:vAlign w:val="center"/>
          </w:tcPr>
          <w:p w14:paraId="0AD5B311">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2</w:t>
            </w:r>
          </w:p>
        </w:tc>
      </w:tr>
      <w:tr w14:paraId="0AF720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restart"/>
            <w:noWrap w:val="0"/>
            <w:vAlign w:val="center"/>
          </w:tcPr>
          <w:p w14:paraId="161AE243">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废水</w:t>
            </w:r>
          </w:p>
        </w:tc>
        <w:tc>
          <w:tcPr>
            <w:tcW w:w="681" w:type="dxa"/>
            <w:vMerge w:val="continue"/>
            <w:noWrap w:val="0"/>
            <w:vAlign w:val="center"/>
          </w:tcPr>
          <w:p w14:paraId="4AEE7CA5">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3E218693">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生活污水</w:t>
            </w:r>
          </w:p>
        </w:tc>
        <w:tc>
          <w:tcPr>
            <w:tcW w:w="5745" w:type="dxa"/>
            <w:noWrap w:val="0"/>
            <w:vAlign w:val="center"/>
          </w:tcPr>
          <w:p w14:paraId="058D8B2F">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经管理</w:t>
            </w:r>
            <w:r>
              <w:rPr>
                <w:rFonts w:hint="eastAsia" w:ascii="Arial" w:hAnsi="Arial" w:cs="Arial"/>
                <w:sz w:val="22"/>
                <w:szCs w:val="22"/>
                <w:lang w:eastAsia="zh-CN"/>
              </w:rPr>
              <w:t>用房内</w:t>
            </w:r>
            <w:r>
              <w:rPr>
                <w:rFonts w:hint="default" w:ascii="Arial" w:hAnsi="Arial" w:cs="Arial"/>
                <w:sz w:val="22"/>
                <w:szCs w:val="22"/>
              </w:rPr>
              <w:t>所设化粪池收集处理后，交当地居民农灌，不外排。</w:t>
            </w:r>
          </w:p>
        </w:tc>
        <w:tc>
          <w:tcPr>
            <w:tcW w:w="1009" w:type="dxa"/>
            <w:noWrap w:val="0"/>
            <w:vAlign w:val="center"/>
          </w:tcPr>
          <w:p w14:paraId="01D08514">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val="en-US" w:eastAsia="zh-CN"/>
              </w:rPr>
              <w:t>2</w:t>
            </w:r>
          </w:p>
        </w:tc>
      </w:tr>
      <w:tr w14:paraId="6084F8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5F74815C">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063CA8CC">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530ECA21">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灌区回</w:t>
            </w:r>
          </w:p>
          <w:p w14:paraId="2F400DF5">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归水</w:t>
            </w:r>
          </w:p>
        </w:tc>
        <w:tc>
          <w:tcPr>
            <w:tcW w:w="5745" w:type="dxa"/>
            <w:noWrap w:val="0"/>
            <w:vAlign w:val="center"/>
          </w:tcPr>
          <w:p w14:paraId="4ACDDEF5">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灌区应采取科学的灌溉措施，加强工程管理，减少管道漏水；</w:t>
            </w:r>
            <w:r>
              <w:rPr>
                <w:rFonts w:hint="eastAsia" w:ascii="Arial" w:hAnsi="Arial" w:cs="Arial"/>
                <w:sz w:val="22"/>
                <w:szCs w:val="22"/>
                <w:lang w:eastAsia="zh-CN"/>
              </w:rPr>
              <w:t>与当地主管部门一同</w:t>
            </w:r>
            <w:r>
              <w:rPr>
                <w:rFonts w:hint="default" w:ascii="Arial" w:hAnsi="Arial" w:cs="Arial"/>
                <w:sz w:val="22"/>
                <w:szCs w:val="22"/>
              </w:rPr>
              <w:t>推行计划用水、科学用水、合理进行水量调配；</w:t>
            </w:r>
            <w:r>
              <w:rPr>
                <w:rFonts w:hint="eastAsia" w:ascii="Arial" w:hAnsi="Arial" w:cs="Arial"/>
                <w:sz w:val="22"/>
                <w:szCs w:val="22"/>
                <w:lang w:eastAsia="zh-CN"/>
              </w:rPr>
              <w:t>协同当地农业主管部</w:t>
            </w:r>
            <w:r>
              <w:rPr>
                <w:rFonts w:hint="eastAsia" w:ascii="Arial" w:hAnsi="Arial" w:cs="Arial"/>
                <w:color w:val="auto"/>
                <w:sz w:val="22"/>
                <w:szCs w:val="22"/>
                <w:lang w:eastAsia="zh-CN"/>
              </w:rPr>
              <w:t>门，</w:t>
            </w:r>
            <w:r>
              <w:rPr>
                <w:rFonts w:hint="default" w:ascii="Arial" w:hAnsi="Arial" w:cs="Arial"/>
                <w:bCs/>
                <w:color w:val="auto"/>
                <w:sz w:val="22"/>
                <w:szCs w:val="22"/>
              </w:rPr>
              <w:t>根据《长江保护修复攻坚战行动计划》，落实化肥、农药施用量负增长行动，通过开展化肥、农药减量利用和替代利用，加大测土配方施肥推广力度，引导科学合理施肥施药，</w:t>
            </w:r>
            <w:r>
              <w:rPr>
                <w:rFonts w:hint="default" w:ascii="Arial" w:hAnsi="Arial" w:cs="Arial"/>
                <w:color w:val="auto"/>
                <w:sz w:val="22"/>
                <w:szCs w:val="22"/>
              </w:rPr>
              <w:t>降低N、P流失量。</w:t>
            </w:r>
          </w:p>
        </w:tc>
        <w:tc>
          <w:tcPr>
            <w:tcW w:w="1009" w:type="dxa"/>
            <w:noWrap w:val="0"/>
            <w:vAlign w:val="center"/>
          </w:tcPr>
          <w:p w14:paraId="27A48CD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w:t>
            </w:r>
          </w:p>
        </w:tc>
      </w:tr>
      <w:tr w14:paraId="197BEA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noWrap w:val="0"/>
            <w:vAlign w:val="center"/>
          </w:tcPr>
          <w:p w14:paraId="40C0A48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噪声</w:t>
            </w:r>
          </w:p>
        </w:tc>
        <w:tc>
          <w:tcPr>
            <w:tcW w:w="681" w:type="dxa"/>
            <w:vMerge w:val="continue"/>
            <w:noWrap w:val="0"/>
            <w:vAlign w:val="center"/>
          </w:tcPr>
          <w:p w14:paraId="1FF5D04D">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5BC8C806">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溢洪道、闸阀房、上坝道路</w:t>
            </w:r>
          </w:p>
        </w:tc>
        <w:tc>
          <w:tcPr>
            <w:tcW w:w="5745" w:type="dxa"/>
            <w:noWrap w:val="0"/>
            <w:vAlign w:val="center"/>
          </w:tcPr>
          <w:p w14:paraId="21E7567B">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为偶发、瞬时性噪声，加强设备管理；上坝道路车流量小，交通噪声影响小。</w:t>
            </w:r>
          </w:p>
        </w:tc>
        <w:tc>
          <w:tcPr>
            <w:tcW w:w="1009" w:type="dxa"/>
            <w:noWrap w:val="0"/>
            <w:vAlign w:val="center"/>
          </w:tcPr>
          <w:p w14:paraId="67EB6119">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val="en-US" w:eastAsia="zh-CN"/>
              </w:rPr>
              <w:t>/</w:t>
            </w:r>
          </w:p>
        </w:tc>
      </w:tr>
      <w:tr w14:paraId="55274F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restart"/>
            <w:noWrap w:val="0"/>
            <w:vAlign w:val="center"/>
          </w:tcPr>
          <w:p w14:paraId="6E1CA14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固体废物</w:t>
            </w:r>
          </w:p>
        </w:tc>
        <w:tc>
          <w:tcPr>
            <w:tcW w:w="681" w:type="dxa"/>
            <w:vMerge w:val="continue"/>
            <w:noWrap w:val="0"/>
            <w:vAlign w:val="center"/>
          </w:tcPr>
          <w:p w14:paraId="30DE27D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1F77526B">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生活垃圾</w:t>
            </w:r>
          </w:p>
        </w:tc>
        <w:tc>
          <w:tcPr>
            <w:tcW w:w="5745" w:type="dxa"/>
            <w:noWrap w:val="0"/>
            <w:vAlign w:val="center"/>
          </w:tcPr>
          <w:p w14:paraId="13D0319C">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集中收集交，交当地环卫部门统一清运处置</w:t>
            </w:r>
          </w:p>
        </w:tc>
        <w:tc>
          <w:tcPr>
            <w:tcW w:w="1009" w:type="dxa"/>
            <w:noWrap w:val="0"/>
            <w:vAlign w:val="center"/>
          </w:tcPr>
          <w:p w14:paraId="10E3890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1</w:t>
            </w:r>
          </w:p>
        </w:tc>
      </w:tr>
      <w:tr w14:paraId="585352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467A9B47">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0DABBF01">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183654A5">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餐厨垃圾</w:t>
            </w:r>
          </w:p>
        </w:tc>
        <w:tc>
          <w:tcPr>
            <w:tcW w:w="5745" w:type="dxa"/>
            <w:noWrap w:val="0"/>
            <w:vAlign w:val="center"/>
          </w:tcPr>
          <w:p w14:paraId="032E3CF7">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桶装收集后，交有资质的单位收运处置。</w:t>
            </w:r>
          </w:p>
        </w:tc>
        <w:tc>
          <w:tcPr>
            <w:tcW w:w="1009" w:type="dxa"/>
            <w:noWrap w:val="0"/>
            <w:vAlign w:val="center"/>
          </w:tcPr>
          <w:p w14:paraId="03553D6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1</w:t>
            </w:r>
          </w:p>
        </w:tc>
      </w:tr>
      <w:tr w14:paraId="35C437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vMerge w:val="continue"/>
            <w:noWrap w:val="0"/>
            <w:vAlign w:val="center"/>
          </w:tcPr>
          <w:p w14:paraId="1DEBC373">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681" w:type="dxa"/>
            <w:vMerge w:val="continue"/>
            <w:noWrap w:val="0"/>
            <w:vAlign w:val="center"/>
          </w:tcPr>
          <w:p w14:paraId="4B25E527">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7785BC6D">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漂浮物</w:t>
            </w:r>
          </w:p>
        </w:tc>
        <w:tc>
          <w:tcPr>
            <w:tcW w:w="5745" w:type="dxa"/>
            <w:noWrap w:val="0"/>
            <w:vAlign w:val="center"/>
          </w:tcPr>
          <w:p w14:paraId="760C9ED3">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eastAsia" w:ascii="Arial" w:hAnsi="Arial" w:cs="Arial"/>
                <w:sz w:val="22"/>
                <w:szCs w:val="22"/>
                <w:lang w:eastAsia="zh-CN"/>
              </w:rPr>
              <w:t>定期打捞，</w:t>
            </w:r>
            <w:r>
              <w:rPr>
                <w:rFonts w:hint="default" w:ascii="Arial" w:hAnsi="Arial" w:cs="Arial"/>
                <w:sz w:val="22"/>
                <w:szCs w:val="22"/>
              </w:rPr>
              <w:t>集中收集</w:t>
            </w:r>
            <w:r>
              <w:rPr>
                <w:rFonts w:hint="eastAsia" w:ascii="Arial" w:hAnsi="Arial" w:cs="Arial"/>
                <w:sz w:val="22"/>
                <w:szCs w:val="22"/>
                <w:lang w:eastAsia="zh-CN"/>
              </w:rPr>
              <w:t>后</w:t>
            </w:r>
            <w:r>
              <w:rPr>
                <w:rFonts w:hint="default" w:ascii="Arial" w:hAnsi="Arial" w:cs="Arial"/>
                <w:sz w:val="22"/>
                <w:szCs w:val="22"/>
              </w:rPr>
              <w:t>，</w:t>
            </w:r>
            <w:r>
              <w:rPr>
                <w:rFonts w:hint="eastAsia" w:ascii="Arial" w:hAnsi="Arial" w:cs="Arial"/>
                <w:sz w:val="22"/>
                <w:szCs w:val="22"/>
                <w:lang w:eastAsia="zh-CN"/>
              </w:rPr>
              <w:t>交</w:t>
            </w:r>
            <w:r>
              <w:rPr>
                <w:rFonts w:hint="default" w:ascii="Arial" w:hAnsi="Arial" w:cs="Arial"/>
                <w:sz w:val="22"/>
                <w:szCs w:val="22"/>
              </w:rPr>
              <w:t>当地环卫部门统一清运处置</w:t>
            </w:r>
          </w:p>
        </w:tc>
        <w:tc>
          <w:tcPr>
            <w:tcW w:w="1009" w:type="dxa"/>
            <w:noWrap w:val="0"/>
            <w:vAlign w:val="center"/>
          </w:tcPr>
          <w:p w14:paraId="279201C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2</w:t>
            </w:r>
          </w:p>
        </w:tc>
      </w:tr>
      <w:tr w14:paraId="7F4C5C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noWrap w:val="0"/>
            <w:vAlign w:val="center"/>
          </w:tcPr>
          <w:p w14:paraId="5C3ADD9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水生生态</w:t>
            </w:r>
          </w:p>
        </w:tc>
        <w:tc>
          <w:tcPr>
            <w:tcW w:w="681" w:type="dxa"/>
            <w:vMerge w:val="continue"/>
            <w:noWrap w:val="0"/>
            <w:vAlign w:val="center"/>
          </w:tcPr>
          <w:p w14:paraId="7F4A2A1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632547EF">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color w:val="auto"/>
                <w:sz w:val="22"/>
                <w:szCs w:val="22"/>
              </w:rPr>
            </w:pPr>
            <w:r>
              <w:rPr>
                <w:rFonts w:hint="default" w:ascii="Arial" w:hAnsi="Arial" w:cs="Arial"/>
                <w:color w:val="auto"/>
                <w:sz w:val="22"/>
                <w:szCs w:val="22"/>
              </w:rPr>
              <w:t>水库拦坝蓄水</w:t>
            </w:r>
          </w:p>
        </w:tc>
        <w:tc>
          <w:tcPr>
            <w:tcW w:w="5745" w:type="dxa"/>
            <w:noWrap w:val="0"/>
            <w:vAlign w:val="center"/>
          </w:tcPr>
          <w:p w14:paraId="47B23F3B">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color w:val="auto"/>
                <w:sz w:val="22"/>
                <w:szCs w:val="22"/>
              </w:rPr>
            </w:pPr>
            <w:r>
              <w:rPr>
                <w:rFonts w:hint="eastAsia" w:ascii="Arial" w:hAnsi="Arial" w:cs="Arial"/>
                <w:color w:val="auto"/>
                <w:sz w:val="22"/>
                <w:szCs w:val="22"/>
                <w:lang w:eastAsia="zh-CN"/>
              </w:rPr>
              <w:t>共设置</w:t>
            </w:r>
            <w:r>
              <w:rPr>
                <w:rFonts w:hint="eastAsia" w:ascii="Arial" w:hAnsi="Arial" w:cs="Arial"/>
                <w:color w:val="auto"/>
                <w:sz w:val="22"/>
                <w:szCs w:val="22"/>
                <w:lang w:val="en-US" w:eastAsia="zh-CN"/>
              </w:rPr>
              <w:t>5层管道取水，</w:t>
            </w:r>
            <w:r>
              <w:rPr>
                <w:rFonts w:hint="eastAsia" w:ascii="Arial" w:hAnsi="Arial" w:cs="Arial"/>
                <w:bCs/>
                <w:color w:val="auto"/>
                <w:sz w:val="22"/>
                <w:szCs w:val="22"/>
                <w:lang w:eastAsia="zh-CN"/>
              </w:rPr>
              <w:t>各层取水口从上到下高程依次为</w:t>
            </w:r>
            <w:r>
              <w:rPr>
                <w:rFonts w:hint="default" w:ascii="Arial" w:hAnsi="Arial" w:cs="Arial"/>
                <w:color w:val="auto"/>
                <w:sz w:val="22"/>
                <w:szCs w:val="22"/>
              </w:rPr>
              <w:t>418.00m、415.00m、412.00m</w:t>
            </w:r>
            <w:r>
              <w:rPr>
                <w:rFonts w:hint="eastAsia" w:ascii="Arial" w:hAnsi="Arial" w:cs="Arial"/>
                <w:color w:val="auto"/>
                <w:sz w:val="22"/>
                <w:szCs w:val="22"/>
              </w:rPr>
              <w:t>、</w:t>
            </w:r>
            <w:r>
              <w:rPr>
                <w:rFonts w:hint="default" w:ascii="Arial" w:hAnsi="Arial" w:cs="Arial"/>
                <w:color w:val="auto"/>
                <w:sz w:val="22"/>
                <w:szCs w:val="22"/>
              </w:rPr>
              <w:t>409.00m</w:t>
            </w:r>
            <w:r>
              <w:rPr>
                <w:rFonts w:hint="eastAsia" w:ascii="Arial" w:hAnsi="Arial" w:cs="Arial"/>
                <w:color w:val="auto"/>
                <w:sz w:val="22"/>
                <w:szCs w:val="22"/>
              </w:rPr>
              <w:t>、</w:t>
            </w:r>
            <w:r>
              <w:rPr>
                <w:rFonts w:hint="default" w:ascii="Arial" w:hAnsi="Arial" w:cs="Arial"/>
                <w:color w:val="auto"/>
                <w:sz w:val="22"/>
                <w:szCs w:val="22"/>
              </w:rPr>
              <w:t>405.50m</w:t>
            </w:r>
            <w:r>
              <w:rPr>
                <w:rFonts w:hint="eastAsia" w:ascii="Arial" w:hAnsi="Arial" w:cs="Arial"/>
                <w:color w:val="auto"/>
                <w:sz w:val="22"/>
                <w:szCs w:val="22"/>
                <w:lang w:eastAsia="zh-CN"/>
              </w:rPr>
              <w:t>，</w:t>
            </w:r>
            <w:r>
              <w:rPr>
                <w:rFonts w:hint="eastAsia" w:ascii="Arial" w:hAnsi="Arial" w:cs="Arial"/>
                <w:color w:val="auto"/>
                <w:sz w:val="22"/>
                <w:szCs w:val="22"/>
                <w:lang w:val="en-US" w:eastAsia="zh-CN"/>
              </w:rPr>
              <w:t>5</w:t>
            </w:r>
            <w:r>
              <w:rPr>
                <w:rFonts w:hint="default" w:ascii="Arial" w:hAnsi="Arial" w:cs="Arial"/>
                <w:color w:val="auto"/>
                <w:sz w:val="22"/>
                <w:szCs w:val="22"/>
              </w:rPr>
              <w:t>层取水管从坝体下游坝坡穿出后汇合成一根引水管，引水管沿大坝下游坝坡左侧坝脚布置，</w:t>
            </w:r>
            <w:r>
              <w:rPr>
                <w:rFonts w:hint="eastAsia" w:ascii="Arial" w:hAnsi="Arial" w:cs="Arial"/>
                <w:color w:val="auto"/>
                <w:sz w:val="22"/>
                <w:szCs w:val="22"/>
                <w:lang w:eastAsia="zh-CN"/>
              </w:rPr>
              <w:t>引入闸阀房内，</w:t>
            </w:r>
            <w:r>
              <w:rPr>
                <w:rFonts w:hint="eastAsia" w:ascii="Arial" w:cs="Arial"/>
                <w:color w:val="auto"/>
                <w:sz w:val="22"/>
                <w:szCs w:val="22"/>
                <w:lang w:eastAsia="zh-CN"/>
              </w:rPr>
              <w:t>充分混合后，根据用水性质分类，室内分设3根管道，其中一根</w:t>
            </w:r>
            <w:r>
              <w:rPr>
                <w:rFonts w:hint="eastAsia" w:ascii="Arial" w:cs="Arial"/>
                <w:color w:val="auto"/>
                <w:sz w:val="22"/>
                <w:szCs w:val="22"/>
                <w:lang w:val="en-US" w:eastAsia="zh-CN"/>
              </w:rPr>
              <w:t>DN100为生态放水管，下泄生态流量为0.005</w:t>
            </w:r>
            <w:r>
              <w:rPr>
                <w:rFonts w:hint="default" w:ascii="Arial" w:hAnsi="Arial" w:cs="Arial"/>
                <w:bCs/>
                <w:color w:val="auto"/>
                <w:sz w:val="22"/>
                <w:szCs w:val="22"/>
              </w:rPr>
              <w:t>m</w:t>
            </w:r>
            <w:r>
              <w:rPr>
                <w:rFonts w:hint="default" w:ascii="Arial" w:hAnsi="Arial" w:cs="Arial"/>
                <w:bCs/>
                <w:color w:val="auto"/>
                <w:sz w:val="22"/>
                <w:szCs w:val="22"/>
                <w:vertAlign w:val="superscript"/>
              </w:rPr>
              <w:t>3</w:t>
            </w:r>
            <w:r>
              <w:rPr>
                <w:rFonts w:hint="default" w:ascii="Arial" w:hAnsi="Arial" w:cs="Arial"/>
                <w:bCs/>
                <w:color w:val="auto"/>
                <w:sz w:val="22"/>
                <w:szCs w:val="22"/>
              </w:rPr>
              <w:t>/s</w:t>
            </w:r>
            <w:r>
              <w:rPr>
                <w:rFonts w:hint="eastAsia" w:ascii="Arial" w:hAnsi="Arial" w:cs="Arial"/>
                <w:bCs/>
                <w:color w:val="auto"/>
                <w:sz w:val="22"/>
                <w:szCs w:val="22"/>
                <w:lang w:eastAsia="zh-CN"/>
              </w:rPr>
              <w:t>，</w:t>
            </w:r>
            <w:r>
              <w:rPr>
                <w:rFonts w:hint="default" w:ascii="Arial" w:hAnsi="Arial" w:cs="Arial"/>
                <w:color w:val="auto"/>
                <w:sz w:val="22"/>
                <w:szCs w:val="22"/>
              </w:rPr>
              <w:t>多年平均下放生态水量</w:t>
            </w:r>
            <w:r>
              <w:rPr>
                <w:rFonts w:hint="eastAsia" w:ascii="Arial" w:hAnsi="Arial" w:cs="Arial"/>
                <w:color w:val="auto"/>
                <w:sz w:val="22"/>
                <w:szCs w:val="22"/>
                <w:lang w:val="en-US" w:eastAsia="zh-CN"/>
              </w:rPr>
              <w:t>15.75</w:t>
            </w:r>
            <w:r>
              <w:rPr>
                <w:rFonts w:hint="default" w:ascii="Arial" w:hAnsi="Arial" w:cs="Arial"/>
                <w:color w:val="auto"/>
                <w:sz w:val="22"/>
                <w:szCs w:val="22"/>
              </w:rPr>
              <w:t>万m³。</w:t>
            </w:r>
            <w:r>
              <w:rPr>
                <w:rFonts w:hint="eastAsia" w:ascii="Arial" w:hAnsi="Arial" w:cs="Arial"/>
                <w:color w:val="auto"/>
                <w:sz w:val="22"/>
                <w:szCs w:val="22"/>
                <w:lang w:val="en-US" w:eastAsia="zh-CN"/>
              </w:rPr>
              <w:t>生态放水管控制阀处于常年开启状态，并设置在线监控设施，确保生态流量下泄。</w:t>
            </w:r>
          </w:p>
        </w:tc>
        <w:tc>
          <w:tcPr>
            <w:tcW w:w="1009" w:type="dxa"/>
            <w:noWrap w:val="0"/>
            <w:vAlign w:val="center"/>
          </w:tcPr>
          <w:p w14:paraId="5B700A49">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计入主体工程</w:t>
            </w:r>
          </w:p>
        </w:tc>
      </w:tr>
      <w:tr w14:paraId="4DE0DA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noWrap w:val="0"/>
            <w:vAlign w:val="center"/>
          </w:tcPr>
          <w:p w14:paraId="2FE5D2E2">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环境风险</w:t>
            </w:r>
          </w:p>
        </w:tc>
        <w:tc>
          <w:tcPr>
            <w:tcW w:w="681" w:type="dxa"/>
            <w:vMerge w:val="continue"/>
            <w:noWrap w:val="0"/>
            <w:vAlign w:val="center"/>
          </w:tcPr>
          <w:p w14:paraId="684764C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277A8F40">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水质污染</w:t>
            </w:r>
          </w:p>
        </w:tc>
        <w:tc>
          <w:tcPr>
            <w:tcW w:w="5745" w:type="dxa"/>
            <w:noWrap w:val="0"/>
            <w:vAlign w:val="center"/>
          </w:tcPr>
          <w:p w14:paraId="4FD9869F">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cs="Arial"/>
                <w:color w:val="auto"/>
                <w:sz w:val="22"/>
                <w:szCs w:val="22"/>
                <w:lang w:eastAsia="zh-CN"/>
              </w:rPr>
            </w:pPr>
            <w:r>
              <w:rPr>
                <w:rFonts w:hint="eastAsia" w:ascii="Arial" w:hAnsi="Arial" w:cs="Arial"/>
                <w:color w:val="auto"/>
                <w:sz w:val="22"/>
                <w:szCs w:val="22"/>
                <w:lang w:eastAsia="zh-CN"/>
              </w:rPr>
              <w:t>建立限速、保护水源等警示标识，同时按照</w:t>
            </w:r>
            <w:r>
              <w:rPr>
                <w:rFonts w:hint="default" w:ascii="Arial" w:hAnsi="Arial" w:cs="Arial"/>
                <w:color w:val="auto"/>
                <w:sz w:val="22"/>
                <w:szCs w:val="22"/>
              </w:rPr>
              <w:t>《集中式地表饮用水水源地环境应急管理工作指南（试行）》</w:t>
            </w:r>
            <w:r>
              <w:rPr>
                <w:rFonts w:hint="eastAsia" w:ascii="Arial" w:hAnsi="Arial" w:cs="Arial"/>
                <w:color w:val="auto"/>
                <w:sz w:val="22"/>
                <w:szCs w:val="22"/>
                <w:lang w:eastAsia="zh-CN"/>
              </w:rPr>
              <w:t>（</w:t>
            </w:r>
            <w:r>
              <w:rPr>
                <w:rFonts w:hint="default" w:ascii="Arial" w:hAnsi="Arial" w:cs="Arial"/>
                <w:color w:val="auto"/>
                <w:sz w:val="22"/>
                <w:szCs w:val="22"/>
              </w:rPr>
              <w:t>环办</w:t>
            </w:r>
            <w:r>
              <w:rPr>
                <w:rFonts w:hint="eastAsia" w:ascii="Arial" w:hAnsi="Arial" w:cs="Arial"/>
                <w:color w:val="auto"/>
                <w:sz w:val="22"/>
                <w:szCs w:val="22"/>
              </w:rPr>
              <w:t>〔</w:t>
            </w:r>
            <w:r>
              <w:rPr>
                <w:rFonts w:hint="default" w:ascii="Arial" w:hAnsi="Arial" w:cs="Arial"/>
                <w:color w:val="auto"/>
                <w:sz w:val="22"/>
                <w:szCs w:val="22"/>
              </w:rPr>
              <w:t>2011</w:t>
            </w:r>
            <w:r>
              <w:rPr>
                <w:rFonts w:hint="eastAsia" w:ascii="Arial" w:hAnsi="Arial" w:cs="Arial"/>
                <w:color w:val="auto"/>
                <w:sz w:val="22"/>
                <w:szCs w:val="22"/>
              </w:rPr>
              <w:t>〕</w:t>
            </w:r>
            <w:r>
              <w:rPr>
                <w:rFonts w:hint="default" w:ascii="Arial" w:hAnsi="Arial" w:cs="Arial"/>
                <w:color w:val="auto"/>
                <w:sz w:val="22"/>
                <w:szCs w:val="22"/>
              </w:rPr>
              <w:t>93号</w:t>
            </w:r>
            <w:r>
              <w:rPr>
                <w:rFonts w:hint="eastAsia" w:ascii="Arial" w:hAnsi="Arial" w:cs="Arial"/>
                <w:color w:val="auto"/>
                <w:sz w:val="22"/>
                <w:szCs w:val="22"/>
                <w:lang w:eastAsia="zh-CN"/>
              </w:rPr>
              <w:t>），设置</w:t>
            </w:r>
            <w:r>
              <w:rPr>
                <w:rFonts w:hint="default" w:ascii="Arial" w:hAnsi="Arial" w:cs="Arial"/>
                <w:color w:val="auto"/>
                <w:sz w:val="22"/>
                <w:szCs w:val="22"/>
              </w:rPr>
              <w:t>水源水质保护应急预案</w:t>
            </w:r>
            <w:r>
              <w:rPr>
                <w:rFonts w:hint="eastAsia" w:ascii="Arial" w:hAnsi="Arial" w:cs="Arial"/>
                <w:color w:val="auto"/>
                <w:sz w:val="22"/>
                <w:szCs w:val="22"/>
                <w:lang w:eastAsia="zh-CN"/>
              </w:rPr>
              <w:t>。</w:t>
            </w:r>
          </w:p>
        </w:tc>
        <w:tc>
          <w:tcPr>
            <w:tcW w:w="1009" w:type="dxa"/>
            <w:noWrap w:val="0"/>
            <w:vAlign w:val="center"/>
          </w:tcPr>
          <w:p w14:paraId="0DFDF22A">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计入主体工程</w:t>
            </w:r>
          </w:p>
        </w:tc>
      </w:tr>
      <w:tr w14:paraId="238409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0" w:type="dxa"/>
            <w:noWrap w:val="0"/>
            <w:vAlign w:val="center"/>
          </w:tcPr>
          <w:p w14:paraId="512ACD7A">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其他</w:t>
            </w:r>
          </w:p>
        </w:tc>
        <w:tc>
          <w:tcPr>
            <w:tcW w:w="681" w:type="dxa"/>
            <w:vMerge w:val="continue"/>
            <w:noWrap w:val="0"/>
            <w:vAlign w:val="center"/>
          </w:tcPr>
          <w:p w14:paraId="3199A98B">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p>
        </w:tc>
        <w:tc>
          <w:tcPr>
            <w:tcW w:w="1230" w:type="dxa"/>
            <w:noWrap w:val="0"/>
            <w:vAlign w:val="center"/>
          </w:tcPr>
          <w:p w14:paraId="6133A052">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color w:val="auto"/>
                <w:sz w:val="22"/>
                <w:szCs w:val="22"/>
              </w:rPr>
            </w:pPr>
            <w:r>
              <w:rPr>
                <w:rFonts w:hint="default" w:ascii="Arial" w:hAnsi="Arial" w:cs="Arial"/>
                <w:sz w:val="22"/>
                <w:szCs w:val="22"/>
              </w:rPr>
              <w:t>水源地水质保护</w:t>
            </w:r>
          </w:p>
        </w:tc>
        <w:tc>
          <w:tcPr>
            <w:tcW w:w="5745" w:type="dxa"/>
            <w:noWrap w:val="0"/>
            <w:vAlign w:val="center"/>
          </w:tcPr>
          <w:p w14:paraId="30410A27">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color w:val="auto"/>
                <w:sz w:val="22"/>
                <w:szCs w:val="22"/>
                <w:lang w:eastAsia="zh-CN"/>
              </w:rPr>
            </w:pPr>
            <w:r>
              <w:rPr>
                <w:rFonts w:hint="eastAsia" w:ascii="Arial" w:hAnsi="Arial" w:cs="Arial"/>
                <w:color w:val="auto"/>
                <w:sz w:val="22"/>
                <w:szCs w:val="22"/>
                <w:lang w:eastAsia="zh-CN"/>
              </w:rPr>
              <w:t>按照</w:t>
            </w:r>
            <w:r>
              <w:rPr>
                <w:rFonts w:hint="eastAsia" w:ascii="Arial" w:hAnsi="Arial" w:cs="Arial"/>
                <w:sz w:val="22"/>
                <w:szCs w:val="22"/>
              </w:rPr>
              <w:t>《饮用水水源保护区划分技术规范》（</w:t>
            </w:r>
            <w:r>
              <w:rPr>
                <w:rFonts w:ascii="Arial" w:hAnsi="Arial" w:cs="Arial"/>
                <w:sz w:val="22"/>
                <w:szCs w:val="22"/>
              </w:rPr>
              <w:t>HJ338-2018</w:t>
            </w:r>
            <w:r>
              <w:rPr>
                <w:rFonts w:hint="eastAsia" w:ascii="Arial" w:hAnsi="Arial" w:cs="Arial"/>
                <w:sz w:val="22"/>
                <w:szCs w:val="22"/>
              </w:rPr>
              <w:t>）</w:t>
            </w:r>
            <w:r>
              <w:rPr>
                <w:rFonts w:hint="eastAsia" w:ascii="Arial" w:hAnsi="Arial" w:cs="Arial"/>
                <w:sz w:val="22"/>
                <w:szCs w:val="22"/>
                <w:lang w:eastAsia="zh-CN"/>
              </w:rPr>
              <w:t>划定饮用水水源保护区，落实库底清理措施，并按照《中华人民共和国水污染防治法》、《饮用水水源保护区污染防治管理规定》（环境保护令第16号）、《关于进一步加强饮用水水源安全保障工作的通知》（环办〔2009〕30号）、《重庆市水资源管理条例》（重庆市人民代表大会常务委员会公告</w:t>
            </w:r>
            <w:r>
              <w:rPr>
                <w:rFonts w:hint="default" w:ascii="Arial" w:hAnsi="Arial" w:eastAsia="宋体" w:cs="Arial"/>
                <w:sz w:val="22"/>
                <w:szCs w:val="22"/>
                <w:lang w:eastAsia="zh-CN"/>
              </w:rPr>
              <w:t>〔</w:t>
            </w:r>
            <w:r>
              <w:rPr>
                <w:rFonts w:hint="default" w:ascii="Arial" w:hAnsi="Arial" w:eastAsia="宋体" w:cs="Arial"/>
                <w:sz w:val="22"/>
                <w:szCs w:val="22"/>
                <w:lang w:val="en-US" w:eastAsia="zh-CN"/>
              </w:rPr>
              <w:t>2015</w:t>
            </w:r>
            <w:r>
              <w:rPr>
                <w:rFonts w:hint="default" w:ascii="Arial" w:hAnsi="Arial" w:eastAsia="宋体" w:cs="Arial"/>
                <w:sz w:val="22"/>
                <w:szCs w:val="22"/>
                <w:lang w:eastAsia="zh-CN"/>
              </w:rPr>
              <w:t>〕第</w:t>
            </w:r>
            <w:r>
              <w:rPr>
                <w:rFonts w:hint="default" w:ascii="Arial" w:hAnsi="Arial" w:eastAsia="宋体" w:cs="Arial"/>
                <w:sz w:val="22"/>
                <w:szCs w:val="22"/>
                <w:lang w:val="en-US" w:eastAsia="zh-CN"/>
              </w:rPr>
              <w:t>14号</w:t>
            </w:r>
            <w:r>
              <w:rPr>
                <w:rFonts w:hint="eastAsia" w:ascii="宋体" w:hAnsi="宋体" w:eastAsia="宋体" w:cs="宋体"/>
                <w:sz w:val="22"/>
                <w:szCs w:val="22"/>
                <w:lang w:val="en-US" w:eastAsia="zh-CN"/>
              </w:rPr>
              <w:t>）</w:t>
            </w:r>
            <w:r>
              <w:rPr>
                <w:rFonts w:hint="eastAsia" w:ascii="Arial" w:hAnsi="Arial" w:cs="Arial"/>
                <w:sz w:val="22"/>
                <w:szCs w:val="22"/>
                <w:lang w:eastAsia="zh-CN"/>
              </w:rPr>
              <w:t>、《重庆市人民政府关于加强集中式饮用水源保护工作的通知》（渝府发〔2012〕79号）、</w:t>
            </w:r>
            <w:r>
              <w:rPr>
                <w:rFonts w:hint="default" w:ascii="Arial" w:hAnsi="Arial" w:cs="Arial"/>
                <w:sz w:val="22"/>
                <w:szCs w:val="22"/>
              </w:rPr>
              <w:t>《集中式饮用水水源环境保护指南（试行）》（环办〔2012〕50 号）</w:t>
            </w:r>
            <w:r>
              <w:rPr>
                <w:rFonts w:hint="eastAsia" w:ascii="Arial" w:hAnsi="Arial" w:cs="Arial"/>
                <w:sz w:val="22"/>
                <w:szCs w:val="22"/>
                <w:lang w:eastAsia="zh-CN"/>
              </w:rPr>
              <w:t>等文件要求，落实水源地水质保护措施，</w:t>
            </w:r>
          </w:p>
        </w:tc>
        <w:tc>
          <w:tcPr>
            <w:tcW w:w="1009" w:type="dxa"/>
            <w:noWrap w:val="0"/>
            <w:vAlign w:val="center"/>
          </w:tcPr>
          <w:p w14:paraId="7466A030">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计入主体工程</w:t>
            </w:r>
          </w:p>
        </w:tc>
      </w:tr>
      <w:tr w14:paraId="1A98E8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71" w:type="dxa"/>
            <w:gridSpan w:val="2"/>
            <w:noWrap w:val="0"/>
            <w:vAlign w:val="center"/>
          </w:tcPr>
          <w:p w14:paraId="45CB1C35">
            <w:pPr>
              <w:keepNext w:val="0"/>
              <w:keepLines w:val="0"/>
              <w:pageBreakBefore w:val="0"/>
              <w:widowControl w:val="0"/>
              <w:kinsoku/>
              <w:wordWrap/>
              <w:overflowPunct/>
              <w:topLinePunct w:val="0"/>
              <w:bidi w:val="0"/>
              <w:snapToGrid/>
              <w:spacing w:line="300" w:lineRule="exact"/>
              <w:jc w:val="center"/>
              <w:textAlignment w:val="auto"/>
              <w:rPr>
                <w:rFonts w:hint="eastAsia" w:ascii="Arial" w:hAnsi="Arial" w:eastAsia="宋体" w:cs="Arial"/>
                <w:sz w:val="22"/>
                <w:szCs w:val="22"/>
                <w:lang w:eastAsia="zh-CN"/>
              </w:rPr>
            </w:pPr>
            <w:r>
              <w:rPr>
                <w:rFonts w:hint="eastAsia" w:ascii="Arial" w:hAnsi="Arial" w:cs="Arial"/>
                <w:sz w:val="22"/>
                <w:szCs w:val="22"/>
                <w:lang w:eastAsia="zh-CN"/>
              </w:rPr>
              <w:t>环境管理</w:t>
            </w:r>
          </w:p>
        </w:tc>
        <w:tc>
          <w:tcPr>
            <w:tcW w:w="1230" w:type="dxa"/>
            <w:shd w:val="clear" w:color="auto" w:fill="auto"/>
            <w:noWrap w:val="0"/>
            <w:vAlign w:val="center"/>
          </w:tcPr>
          <w:p w14:paraId="254FD864">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eastAsia="宋体" w:cs="Arial"/>
                <w:kern w:val="2"/>
                <w:sz w:val="22"/>
                <w:szCs w:val="22"/>
                <w:lang w:val="en-US" w:eastAsia="zh-CN" w:bidi="ar-SA"/>
              </w:rPr>
            </w:pPr>
            <w:r>
              <w:rPr>
                <w:rFonts w:hint="default" w:ascii="Arial" w:hAnsi="Arial" w:cs="Arial"/>
                <w:sz w:val="22"/>
                <w:szCs w:val="22"/>
              </w:rPr>
              <w:t>环境管理、监理、监测及竣工验收</w:t>
            </w:r>
          </w:p>
        </w:tc>
        <w:tc>
          <w:tcPr>
            <w:tcW w:w="5745" w:type="dxa"/>
            <w:shd w:val="clear" w:color="auto" w:fill="auto"/>
            <w:noWrap w:val="0"/>
            <w:vAlign w:val="center"/>
          </w:tcPr>
          <w:p w14:paraId="7B5D597F">
            <w:pPr>
              <w:pStyle w:val="101"/>
              <w:keepNext w:val="0"/>
              <w:keepLines w:val="0"/>
              <w:pageBreakBefore w:val="0"/>
              <w:widowControl w:val="0"/>
              <w:kinsoku/>
              <w:wordWrap/>
              <w:overflowPunct/>
              <w:topLinePunct w:val="0"/>
              <w:bidi w:val="0"/>
              <w:snapToGrid/>
              <w:spacing w:line="300" w:lineRule="exact"/>
              <w:jc w:val="center"/>
              <w:textAlignment w:val="auto"/>
              <w:rPr>
                <w:rFonts w:hint="default" w:ascii="Arial" w:hAnsi="Arial" w:eastAsia="宋体" w:cs="Arial"/>
                <w:color w:val="000000"/>
                <w:sz w:val="22"/>
                <w:szCs w:val="22"/>
                <w:lang w:val="en-US" w:eastAsia="zh-CN" w:bidi="ar-SA"/>
              </w:rPr>
            </w:pPr>
            <w:r>
              <w:rPr>
                <w:rFonts w:hint="default" w:ascii="Arial" w:hAnsi="Arial" w:eastAsia="宋体" w:cs="Arial"/>
                <w:color w:val="auto"/>
                <w:kern w:val="2"/>
                <w:sz w:val="22"/>
                <w:szCs w:val="22"/>
              </w:rPr>
              <w:t xml:space="preserve">落实环境监理制度，对施工期环境监理报告进行检查，按要求进行环境监测。工程建成后进行环保验收，编制竣工验收调查报告。 </w:t>
            </w:r>
          </w:p>
        </w:tc>
        <w:tc>
          <w:tcPr>
            <w:tcW w:w="1009" w:type="dxa"/>
            <w:noWrap w:val="0"/>
            <w:vAlign w:val="center"/>
          </w:tcPr>
          <w:p w14:paraId="4693B15D">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60</w:t>
            </w:r>
          </w:p>
        </w:tc>
      </w:tr>
      <w:tr w14:paraId="0E2A31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8346" w:type="dxa"/>
            <w:gridSpan w:val="4"/>
            <w:noWrap w:val="0"/>
            <w:vAlign w:val="center"/>
          </w:tcPr>
          <w:p w14:paraId="4DD81B0B">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合计</w:t>
            </w:r>
          </w:p>
        </w:tc>
        <w:tc>
          <w:tcPr>
            <w:tcW w:w="1009" w:type="dxa"/>
            <w:noWrap w:val="0"/>
            <w:vAlign w:val="center"/>
          </w:tcPr>
          <w:p w14:paraId="1A963788">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68</w:t>
            </w:r>
          </w:p>
        </w:tc>
      </w:tr>
      <w:tr w14:paraId="6AEFD8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8346" w:type="dxa"/>
            <w:gridSpan w:val="4"/>
            <w:noWrap w:val="0"/>
            <w:vAlign w:val="center"/>
          </w:tcPr>
          <w:p w14:paraId="7E94BFC6">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cs="Arial"/>
                <w:sz w:val="22"/>
                <w:szCs w:val="22"/>
              </w:rPr>
            </w:pPr>
            <w:r>
              <w:rPr>
                <w:rFonts w:hint="default" w:ascii="Arial" w:hAnsi="Arial" w:cs="Arial"/>
                <w:sz w:val="22"/>
                <w:szCs w:val="22"/>
              </w:rPr>
              <w:t>总计</w:t>
            </w:r>
          </w:p>
        </w:tc>
        <w:tc>
          <w:tcPr>
            <w:tcW w:w="1009" w:type="dxa"/>
            <w:noWrap w:val="0"/>
            <w:vAlign w:val="center"/>
          </w:tcPr>
          <w:p w14:paraId="2D6D1841">
            <w:pPr>
              <w:keepNext w:val="0"/>
              <w:keepLines w:val="0"/>
              <w:pageBreakBefore w:val="0"/>
              <w:widowControl w:val="0"/>
              <w:kinsoku/>
              <w:wordWrap/>
              <w:overflowPunct/>
              <w:topLinePunct w:val="0"/>
              <w:bidi w:val="0"/>
              <w:snapToGrid/>
              <w:spacing w:line="300" w:lineRule="exact"/>
              <w:jc w:val="center"/>
              <w:textAlignment w:val="auto"/>
              <w:rPr>
                <w:rFonts w:hint="default" w:ascii="Arial" w:hAnsi="Arial" w:eastAsia="宋体" w:cs="Arial"/>
                <w:sz w:val="22"/>
                <w:szCs w:val="22"/>
                <w:lang w:val="en-US" w:eastAsia="zh-CN"/>
              </w:rPr>
            </w:pPr>
            <w:r>
              <w:rPr>
                <w:rFonts w:hint="eastAsia" w:ascii="Arial" w:hAnsi="Arial" w:cs="Arial"/>
                <w:sz w:val="22"/>
                <w:szCs w:val="22"/>
                <w:lang w:val="en-US" w:eastAsia="zh-CN"/>
              </w:rPr>
              <w:t>208</w:t>
            </w:r>
          </w:p>
        </w:tc>
      </w:tr>
    </w:tbl>
    <w:p w14:paraId="14EC3381">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eastAsia" w:ascii="Arial" w:hAnsi="宋体" w:cs="Arial"/>
          <w:bCs/>
          <w:sz w:val="26"/>
          <w:szCs w:val="26"/>
          <w:lang w:eastAsia="zh-CN"/>
        </w:rPr>
      </w:pPr>
    </w:p>
    <w:p w14:paraId="6A64C93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outlineLvl w:val="1"/>
        <w:rPr>
          <w:rFonts w:hint="default" w:ascii="Arial" w:hAnsi="Arial" w:cs="Arial"/>
          <w:sz w:val="26"/>
          <w:szCs w:val="26"/>
        </w:rPr>
      </w:pPr>
      <w:r>
        <w:rPr>
          <w:rFonts w:hint="default" w:ascii="Arial" w:hAnsi="Arial" w:eastAsia="宋体" w:cs="Arial"/>
          <w:sz w:val="26"/>
          <w:szCs w:val="26"/>
          <w:lang w:eastAsia="zh-CN"/>
        </w:rPr>
        <w:br w:type="page"/>
      </w:r>
    </w:p>
    <w:bookmarkEnd w:id="125"/>
    <w:p w14:paraId="539E973E">
      <w:pPr>
        <w:keepNext w:val="0"/>
        <w:keepLines w:val="0"/>
        <w:pageBreakBefore w:val="0"/>
        <w:widowControl w:val="0"/>
        <w:kinsoku/>
        <w:wordWrap/>
        <w:overflowPunct/>
        <w:topLinePunct w:val="0"/>
        <w:autoSpaceDE/>
        <w:autoSpaceDN/>
        <w:bidi w:val="0"/>
        <w:adjustRightInd/>
        <w:snapToGrid/>
        <w:spacing w:before="287" w:beforeLines="100" w:after="287" w:afterLines="100" w:line="460" w:lineRule="exact"/>
        <w:jc w:val="center"/>
        <w:textAlignment w:val="auto"/>
        <w:outlineLvl w:val="0"/>
        <w:rPr>
          <w:bCs/>
          <w:sz w:val="24"/>
          <w:szCs w:val="24"/>
        </w:rPr>
      </w:pPr>
      <w:bookmarkStart w:id="134" w:name="_Toc200"/>
      <w:r>
        <w:rPr>
          <w:rFonts w:hint="eastAsia" w:ascii="Arial" w:hAnsi="Arial" w:cs="Arial"/>
          <w:b/>
          <w:bCs/>
          <w:sz w:val="26"/>
          <w:szCs w:val="26"/>
          <w:lang w:val="en-US" w:eastAsia="zh-CN"/>
        </w:rPr>
        <w:t>8</w:t>
      </w:r>
      <w:r>
        <w:rPr>
          <w:rFonts w:hint="default" w:ascii="Arial" w:hAnsi="Arial" w:cs="Arial"/>
          <w:b/>
          <w:bCs/>
          <w:sz w:val="26"/>
          <w:szCs w:val="26"/>
          <w:highlight w:val="none"/>
        </w:rPr>
        <w:t xml:space="preserve"> 环境影响经济损益分析</w:t>
      </w:r>
      <w:bookmarkEnd w:id="134"/>
    </w:p>
    <w:p w14:paraId="22F69E1D">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环境经济损益分析是建设项目环境影响评价的一个重要组成部分，是综合评价、判断建设项目的环保投资是否能够补偿或多大程度上补偿由于污染造成环境损失的重要依据。环境经济损益分析的主要任务是衡量建设项目环保投资及所能收到的环境保护效果，通过环保设施技术可行性和经济合理性的论证分析及评价，更合理地选择环保设施，从而促进建设项目更好地实现环境效益、经济效益与社会效益的统一。</w:t>
      </w:r>
    </w:p>
    <w:p w14:paraId="7A3DA37B">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eastAsia="宋体" w:cs="Arial"/>
          <w:sz w:val="26"/>
          <w:szCs w:val="26"/>
          <w:highlight w:val="none"/>
          <w:lang w:val="en-US" w:eastAsia="zh-CN"/>
        </w:rPr>
      </w:pPr>
      <w:bookmarkStart w:id="135" w:name="_Toc19408"/>
      <w:r>
        <w:rPr>
          <w:rFonts w:hint="eastAsia" w:ascii="Arial" w:hAnsi="Arial" w:cs="Arial"/>
          <w:sz w:val="26"/>
          <w:szCs w:val="26"/>
          <w:highlight w:val="none"/>
          <w:lang w:val="en-US" w:eastAsia="zh-CN"/>
        </w:rPr>
        <w:t>8</w:t>
      </w:r>
      <w:r>
        <w:rPr>
          <w:rFonts w:hint="eastAsia" w:ascii="Arial" w:hAnsi="Arial" w:eastAsia="宋体" w:cs="Arial"/>
          <w:sz w:val="26"/>
          <w:szCs w:val="26"/>
          <w:highlight w:val="none"/>
          <w:lang w:val="en-US" w:eastAsia="zh-CN"/>
        </w:rPr>
        <w:t>.1</w:t>
      </w:r>
      <w:bookmarkEnd w:id="135"/>
      <w:r>
        <w:rPr>
          <w:rFonts w:hint="eastAsia" w:ascii="Arial" w:hAnsi="Arial" w:cs="Arial"/>
          <w:sz w:val="26"/>
          <w:szCs w:val="26"/>
          <w:highlight w:val="none"/>
          <w:lang w:val="en-US" w:eastAsia="zh-CN"/>
        </w:rPr>
        <w:t>环保投资估算</w:t>
      </w:r>
    </w:p>
    <w:p w14:paraId="2BB5F44B">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环保投资是与污染预防、治理和生态保护措施有关的所有工程费用的总和，但是以改善环境的设施费用为主，该费用的计算公式如下</w:t>
      </w:r>
      <w:r>
        <w:rPr>
          <w:rFonts w:hint="eastAsia" w:ascii="Arial" w:hAnsi="Arial" w:cs="Arial"/>
          <w:sz w:val="26"/>
          <w:szCs w:val="26"/>
          <w:lang w:val="en-US" w:eastAsia="zh-CN"/>
        </w:rPr>
        <w:t>：</w:t>
      </w:r>
    </w:p>
    <w:p w14:paraId="380A8283">
      <w:pPr>
        <w:pStyle w:val="187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Arial" w:hAnsi="Arial" w:eastAsia="宋体" w:cs="Arial"/>
          <w:sz w:val="26"/>
          <w:szCs w:val="26"/>
          <w:lang w:val="en-US" w:eastAsia="zh-CN"/>
        </w:rPr>
      </w:pPr>
      <w:r>
        <w:drawing>
          <wp:inline distT="0" distB="0" distL="114300" distR="114300">
            <wp:extent cx="1657350" cy="5048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1"/>
                    <a:stretch>
                      <a:fillRect/>
                    </a:stretch>
                  </pic:blipFill>
                  <pic:spPr>
                    <a:xfrm>
                      <a:off x="0" y="0"/>
                      <a:ext cx="1657350" cy="504825"/>
                    </a:xfrm>
                    <a:prstGeom prst="rect">
                      <a:avLst/>
                    </a:prstGeom>
                    <a:noFill/>
                    <a:ln>
                      <a:noFill/>
                    </a:ln>
                  </pic:spPr>
                </pic:pic>
              </a:graphicData>
            </a:graphic>
          </wp:inline>
        </w:drawing>
      </w:r>
    </w:p>
    <w:p w14:paraId="1D44B284">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式中：X</w:t>
      </w:r>
      <w:r>
        <w:rPr>
          <w:rFonts w:hint="eastAsia" w:ascii="Arial" w:hAnsi="Arial" w:eastAsia="宋体" w:cs="Arial"/>
          <w:sz w:val="26"/>
          <w:szCs w:val="26"/>
          <w:vertAlign w:val="subscript"/>
          <w:lang w:val="en-US" w:eastAsia="zh-CN"/>
        </w:rPr>
        <w:t>ij</w:t>
      </w:r>
      <w:r>
        <w:rPr>
          <w:rFonts w:hint="eastAsia" w:ascii="Arial" w:hAnsi="Arial" w:cs="Arial"/>
          <w:sz w:val="26"/>
          <w:szCs w:val="26"/>
          <w:lang w:val="en-US" w:eastAsia="zh-CN"/>
        </w:rPr>
        <w:t>：</w:t>
      </w:r>
      <w:r>
        <w:rPr>
          <w:rFonts w:hint="eastAsia" w:ascii="Arial" w:hAnsi="Arial" w:eastAsia="宋体" w:cs="Arial"/>
          <w:sz w:val="26"/>
          <w:szCs w:val="26"/>
          <w:lang w:val="en-US" w:eastAsia="zh-CN"/>
        </w:rPr>
        <w:t>包括“三同时</w:t>
      </w:r>
      <w:r>
        <w:rPr>
          <w:rFonts w:hint="eastAsia" w:ascii="Arial" w:hAnsi="Arial" w:cs="Arial"/>
          <w:sz w:val="26"/>
          <w:szCs w:val="26"/>
          <w:lang w:val="en-US" w:eastAsia="zh-CN"/>
        </w:rPr>
        <w:t>”</w:t>
      </w:r>
      <w:r>
        <w:rPr>
          <w:rFonts w:hint="eastAsia" w:ascii="Arial" w:hAnsi="Arial" w:eastAsia="宋体" w:cs="Arial"/>
          <w:sz w:val="26"/>
          <w:szCs w:val="26"/>
          <w:lang w:val="en-US" w:eastAsia="zh-CN"/>
        </w:rPr>
        <w:t>在内的用于污染防治，“三废</w:t>
      </w:r>
      <w:r>
        <w:rPr>
          <w:rFonts w:hint="eastAsia" w:ascii="Arial" w:hAnsi="Arial" w:cs="Arial"/>
          <w:sz w:val="26"/>
          <w:szCs w:val="26"/>
          <w:lang w:val="en-US" w:eastAsia="zh-CN"/>
        </w:rPr>
        <w:t>”</w:t>
      </w:r>
      <w:r>
        <w:rPr>
          <w:rFonts w:hint="eastAsia" w:ascii="Arial" w:hAnsi="Arial" w:eastAsia="宋体" w:cs="Arial"/>
          <w:sz w:val="26"/>
          <w:szCs w:val="26"/>
          <w:lang w:val="en-US" w:eastAsia="zh-CN"/>
        </w:rPr>
        <w:t>综合利用等项目费用。</w:t>
      </w:r>
    </w:p>
    <w:p w14:paraId="25C2B6E9">
      <w:pPr>
        <w:pStyle w:val="1873"/>
        <w:keepNext w:val="0"/>
        <w:keepLines w:val="0"/>
        <w:pageBreakBefore w:val="0"/>
        <w:widowControl w:val="0"/>
        <w:kinsoku/>
        <w:wordWrap/>
        <w:overflowPunct/>
        <w:topLinePunct w:val="0"/>
        <w:autoSpaceDE/>
        <w:autoSpaceDN/>
        <w:bidi w:val="0"/>
        <w:adjustRightInd w:val="0"/>
        <w:snapToGrid w:val="0"/>
        <w:spacing w:line="460" w:lineRule="exact"/>
        <w:ind w:firstLine="1300" w:firstLineChars="500"/>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A</w:t>
      </w:r>
      <w:r>
        <w:rPr>
          <w:rFonts w:hint="eastAsia" w:ascii="Arial" w:hAnsi="Arial" w:eastAsia="宋体" w:cs="Arial"/>
          <w:sz w:val="26"/>
          <w:szCs w:val="26"/>
          <w:vertAlign w:val="subscript"/>
          <w:lang w:val="en-US" w:eastAsia="zh-CN"/>
        </w:rPr>
        <w:t>k</w:t>
      </w:r>
      <w:r>
        <w:rPr>
          <w:rFonts w:hint="eastAsia" w:ascii="Arial" w:hAnsi="Arial" w:cs="Arial"/>
          <w:sz w:val="26"/>
          <w:szCs w:val="26"/>
          <w:lang w:val="en-US" w:eastAsia="zh-CN"/>
        </w:rPr>
        <w:t>：</w:t>
      </w:r>
      <w:r>
        <w:rPr>
          <w:rFonts w:hint="eastAsia" w:ascii="Arial" w:hAnsi="Arial" w:eastAsia="宋体" w:cs="Arial"/>
          <w:sz w:val="26"/>
          <w:szCs w:val="26"/>
          <w:lang w:val="en-US" w:eastAsia="zh-CN"/>
        </w:rPr>
        <w:t>环保建设中的软件费用</w:t>
      </w:r>
      <w:r>
        <w:rPr>
          <w:rFonts w:hint="eastAsia" w:ascii="Arial" w:hAnsi="Arial" w:cs="Arial"/>
          <w:sz w:val="26"/>
          <w:szCs w:val="26"/>
          <w:lang w:val="en-US" w:eastAsia="zh-CN"/>
        </w:rPr>
        <w:t>（</w:t>
      </w:r>
      <w:r>
        <w:rPr>
          <w:rFonts w:hint="eastAsia" w:ascii="Arial" w:hAnsi="Arial" w:eastAsia="宋体" w:cs="Arial"/>
          <w:sz w:val="26"/>
          <w:szCs w:val="26"/>
          <w:lang w:val="en-US" w:eastAsia="zh-CN"/>
        </w:rPr>
        <w:t>包括设计、管理、环境影响评价费用等</w:t>
      </w:r>
      <w:r>
        <w:rPr>
          <w:rFonts w:hint="eastAsia" w:ascii="Arial" w:hAnsi="Arial" w:cs="Arial"/>
          <w:sz w:val="26"/>
          <w:szCs w:val="26"/>
          <w:lang w:val="en-US" w:eastAsia="zh-CN"/>
        </w:rPr>
        <w:t>）</w:t>
      </w:r>
      <w:r>
        <w:rPr>
          <w:rFonts w:hint="eastAsia" w:ascii="Arial" w:hAnsi="Arial" w:eastAsia="宋体" w:cs="Arial"/>
          <w:sz w:val="26"/>
          <w:szCs w:val="26"/>
          <w:lang w:val="en-US" w:eastAsia="zh-CN"/>
        </w:rPr>
        <w:t>。</w:t>
      </w:r>
    </w:p>
    <w:p w14:paraId="37BD9D4B">
      <w:pPr>
        <w:pStyle w:val="1873"/>
        <w:keepNext w:val="0"/>
        <w:keepLines w:val="0"/>
        <w:pageBreakBefore w:val="0"/>
        <w:widowControl w:val="0"/>
        <w:kinsoku/>
        <w:wordWrap/>
        <w:overflowPunct/>
        <w:topLinePunct w:val="0"/>
        <w:autoSpaceDE/>
        <w:autoSpaceDN/>
        <w:bidi w:val="0"/>
        <w:adjustRightInd w:val="0"/>
        <w:snapToGrid w:val="0"/>
        <w:spacing w:line="460" w:lineRule="exact"/>
        <w:ind w:firstLine="1300" w:firstLineChars="500"/>
        <w:textAlignment w:val="auto"/>
        <w:rPr>
          <w:rFonts w:hint="eastAsia" w:ascii="Arial" w:hAnsi="Arial" w:eastAsia="宋体" w:cs="Arial"/>
          <w:sz w:val="26"/>
          <w:szCs w:val="26"/>
          <w:lang w:val="en-US" w:eastAsia="zh-CN"/>
        </w:rPr>
      </w:pPr>
      <w:r>
        <w:rPr>
          <w:rFonts w:hint="eastAsia" w:ascii="Arial" w:hAnsi="Arial" w:cs="Arial"/>
          <w:sz w:val="26"/>
          <w:szCs w:val="26"/>
          <w:lang w:val="en-US" w:eastAsia="zh-CN"/>
        </w:rPr>
        <w:t>i：</w:t>
      </w:r>
      <w:r>
        <w:rPr>
          <w:rFonts w:hint="eastAsia" w:ascii="Arial" w:hAnsi="Arial" w:eastAsia="宋体" w:cs="Arial"/>
          <w:sz w:val="26"/>
          <w:szCs w:val="26"/>
          <w:lang w:val="en-US" w:eastAsia="zh-CN"/>
        </w:rPr>
        <w:t>“三同时</w:t>
      </w:r>
      <w:r>
        <w:rPr>
          <w:rFonts w:hint="eastAsia" w:ascii="Arial" w:hAnsi="Arial" w:cs="Arial"/>
          <w:sz w:val="26"/>
          <w:szCs w:val="26"/>
          <w:lang w:val="en-US" w:eastAsia="zh-CN"/>
        </w:rPr>
        <w:t>”</w:t>
      </w:r>
      <w:r>
        <w:rPr>
          <w:rFonts w:hint="eastAsia" w:ascii="Arial" w:hAnsi="Arial" w:eastAsia="宋体" w:cs="Arial"/>
          <w:sz w:val="26"/>
          <w:szCs w:val="26"/>
          <w:lang w:val="en-US" w:eastAsia="zh-CN"/>
        </w:rPr>
        <w:t>项目个数</w:t>
      </w:r>
      <w:r>
        <w:rPr>
          <w:rFonts w:hint="eastAsia" w:ascii="Arial" w:hAnsi="Arial" w:cs="Arial"/>
          <w:sz w:val="26"/>
          <w:szCs w:val="26"/>
          <w:lang w:val="en-US" w:eastAsia="zh-CN"/>
        </w:rPr>
        <w:t>（</w:t>
      </w:r>
      <w:r>
        <w:rPr>
          <w:rFonts w:hint="eastAsia" w:ascii="Arial" w:hAnsi="Arial" w:eastAsia="宋体" w:cs="Arial"/>
          <w:sz w:val="26"/>
          <w:szCs w:val="26"/>
          <w:lang w:val="en-US" w:eastAsia="zh-CN"/>
        </w:rPr>
        <w:t>i=1</w:t>
      </w:r>
      <w:r>
        <w:rPr>
          <w:rFonts w:hint="eastAsia" w:ascii="Arial" w:hAnsi="Arial" w:cs="Arial"/>
          <w:sz w:val="26"/>
          <w:szCs w:val="26"/>
          <w:lang w:val="en-US" w:eastAsia="zh-CN"/>
        </w:rPr>
        <w:t>，</w:t>
      </w:r>
      <w:r>
        <w:rPr>
          <w:rFonts w:hint="eastAsia" w:ascii="Arial" w:hAnsi="Arial" w:eastAsia="宋体" w:cs="Arial"/>
          <w:sz w:val="26"/>
          <w:szCs w:val="26"/>
          <w:lang w:val="en-US" w:eastAsia="zh-CN"/>
        </w:rPr>
        <w:t>2</w:t>
      </w:r>
      <w:r>
        <w:rPr>
          <w:rFonts w:hint="eastAsia" w:ascii="Arial" w:hAnsi="Arial" w:cs="Arial"/>
          <w:sz w:val="26"/>
          <w:szCs w:val="26"/>
          <w:lang w:val="en-US" w:eastAsia="zh-CN"/>
        </w:rPr>
        <w:t>，</w:t>
      </w:r>
      <w:r>
        <w:rPr>
          <w:rFonts w:hint="eastAsia" w:ascii="Arial" w:hAnsi="Arial" w:eastAsia="宋体" w:cs="Arial"/>
          <w:sz w:val="26"/>
          <w:szCs w:val="26"/>
          <w:lang w:val="en-US" w:eastAsia="zh-CN"/>
        </w:rPr>
        <w:t>3</w:t>
      </w:r>
      <w:r>
        <w:rPr>
          <w:rFonts w:hint="eastAsia" w:ascii="Arial" w:hAnsi="Arial" w:cs="Arial"/>
          <w:sz w:val="26"/>
          <w:szCs w:val="26"/>
          <w:lang w:val="en-US" w:eastAsia="zh-CN"/>
        </w:rPr>
        <w:t>....）</w:t>
      </w:r>
      <w:r>
        <w:rPr>
          <w:rFonts w:hint="eastAsia" w:ascii="Arial" w:hAnsi="Arial" w:eastAsia="宋体" w:cs="Arial"/>
          <w:sz w:val="26"/>
          <w:szCs w:val="26"/>
          <w:lang w:val="en-US" w:eastAsia="zh-CN"/>
        </w:rPr>
        <w:t xml:space="preserve"> </w:t>
      </w:r>
    </w:p>
    <w:p w14:paraId="3B9A859F">
      <w:pPr>
        <w:pStyle w:val="1873"/>
        <w:keepNext w:val="0"/>
        <w:keepLines w:val="0"/>
        <w:pageBreakBefore w:val="0"/>
        <w:widowControl w:val="0"/>
        <w:kinsoku/>
        <w:wordWrap/>
        <w:overflowPunct/>
        <w:topLinePunct w:val="0"/>
        <w:autoSpaceDE/>
        <w:autoSpaceDN/>
        <w:bidi w:val="0"/>
        <w:adjustRightInd w:val="0"/>
        <w:snapToGrid w:val="0"/>
        <w:spacing w:line="460" w:lineRule="exact"/>
        <w:ind w:firstLine="1300" w:firstLineChars="500"/>
        <w:textAlignment w:val="auto"/>
        <w:rPr>
          <w:rFonts w:hint="eastAsia" w:ascii="Arial" w:hAnsi="Arial" w:eastAsia="宋体" w:cs="Arial"/>
          <w:sz w:val="26"/>
          <w:szCs w:val="26"/>
          <w:lang w:val="en-US" w:eastAsia="zh-CN"/>
        </w:rPr>
      </w:pPr>
      <w:r>
        <w:rPr>
          <w:rFonts w:hint="eastAsia" w:ascii="Arial" w:hAnsi="Arial" w:cs="Arial"/>
          <w:sz w:val="26"/>
          <w:szCs w:val="26"/>
          <w:lang w:val="en-US" w:eastAsia="zh-CN"/>
        </w:rPr>
        <w:t>j：</w:t>
      </w:r>
      <w:r>
        <w:rPr>
          <w:rFonts w:hint="eastAsia" w:ascii="Arial" w:hAnsi="Arial" w:eastAsia="宋体" w:cs="Arial"/>
          <w:sz w:val="26"/>
          <w:szCs w:val="26"/>
          <w:lang w:val="en-US" w:eastAsia="zh-CN"/>
        </w:rPr>
        <w:t>“三同时”以外项目</w:t>
      </w:r>
      <w:r>
        <w:rPr>
          <w:rFonts w:hint="eastAsia" w:ascii="Arial" w:hAnsi="Arial" w:cs="Arial"/>
          <w:sz w:val="26"/>
          <w:szCs w:val="26"/>
          <w:lang w:val="en-US" w:eastAsia="zh-CN"/>
        </w:rPr>
        <w:t>（</w:t>
      </w:r>
      <w:r>
        <w:rPr>
          <w:rFonts w:hint="eastAsia" w:ascii="Arial" w:hAnsi="Arial" w:eastAsia="宋体" w:cs="Arial"/>
          <w:sz w:val="26"/>
          <w:szCs w:val="26"/>
          <w:lang w:val="en-US" w:eastAsia="zh-CN"/>
        </w:rPr>
        <w:t>j=1</w:t>
      </w:r>
      <w:r>
        <w:rPr>
          <w:rFonts w:hint="eastAsia" w:ascii="Arial" w:hAnsi="Arial" w:cs="Arial"/>
          <w:sz w:val="26"/>
          <w:szCs w:val="26"/>
          <w:lang w:val="en-US" w:eastAsia="zh-CN"/>
        </w:rPr>
        <w:t>，</w:t>
      </w:r>
      <w:r>
        <w:rPr>
          <w:rFonts w:hint="eastAsia" w:ascii="Arial" w:hAnsi="Arial" w:eastAsia="宋体" w:cs="Arial"/>
          <w:sz w:val="26"/>
          <w:szCs w:val="26"/>
          <w:lang w:val="en-US" w:eastAsia="zh-CN"/>
        </w:rPr>
        <w:t>2</w:t>
      </w:r>
      <w:r>
        <w:rPr>
          <w:rFonts w:hint="eastAsia" w:ascii="Arial" w:hAnsi="Arial" w:cs="Arial"/>
          <w:sz w:val="26"/>
          <w:szCs w:val="26"/>
          <w:lang w:val="en-US" w:eastAsia="zh-CN"/>
        </w:rPr>
        <w:t>，</w:t>
      </w:r>
      <w:r>
        <w:rPr>
          <w:rFonts w:hint="eastAsia" w:ascii="Arial" w:hAnsi="Arial" w:eastAsia="宋体" w:cs="Arial"/>
          <w:sz w:val="26"/>
          <w:szCs w:val="26"/>
          <w:lang w:val="en-US" w:eastAsia="zh-CN"/>
        </w:rPr>
        <w:t>3</w:t>
      </w:r>
      <w:r>
        <w:rPr>
          <w:rFonts w:hint="eastAsia" w:ascii="Arial" w:hAnsi="Arial" w:cs="Arial"/>
          <w:sz w:val="26"/>
          <w:szCs w:val="26"/>
          <w:lang w:val="en-US" w:eastAsia="zh-CN"/>
        </w:rPr>
        <w:t>....）</w:t>
      </w:r>
    </w:p>
    <w:p w14:paraId="01EA8696">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本项目重点考虑了生态保护，采取必要的工程措施来保证环保目标的实现。环境 保护投资概算</w:t>
      </w:r>
      <w:r>
        <w:rPr>
          <w:rFonts w:hint="eastAsia" w:ascii="Arial" w:hAnsi="Arial" w:cs="Arial"/>
          <w:sz w:val="26"/>
          <w:szCs w:val="26"/>
          <w:lang w:val="en-US" w:eastAsia="zh-CN"/>
        </w:rPr>
        <w:t>208</w:t>
      </w:r>
      <w:r>
        <w:rPr>
          <w:rFonts w:hint="eastAsia" w:ascii="Arial" w:hAnsi="Arial" w:eastAsia="宋体" w:cs="Arial"/>
          <w:sz w:val="26"/>
          <w:szCs w:val="26"/>
          <w:lang w:val="en-US" w:eastAsia="zh-CN"/>
        </w:rPr>
        <w:t>万元，约占总投资</w:t>
      </w:r>
      <w:r>
        <w:rPr>
          <w:rFonts w:hint="eastAsia" w:ascii="Arial" w:hAnsi="Arial" w:cs="Arial"/>
          <w:sz w:val="26"/>
          <w:szCs w:val="26"/>
          <w:lang w:val="en-US" w:eastAsia="zh-CN"/>
        </w:rPr>
        <w:t>14499.6</w:t>
      </w:r>
      <w:r>
        <w:rPr>
          <w:rFonts w:hint="eastAsia" w:ascii="Arial" w:hAnsi="Arial" w:eastAsia="宋体" w:cs="Arial"/>
          <w:sz w:val="26"/>
          <w:szCs w:val="26"/>
          <w:lang w:val="en-US" w:eastAsia="zh-CN"/>
        </w:rPr>
        <w:t>万元的</w:t>
      </w:r>
      <w:r>
        <w:rPr>
          <w:rFonts w:hint="eastAsia" w:ascii="Arial" w:hAnsi="Arial" w:cs="Arial"/>
          <w:sz w:val="26"/>
          <w:szCs w:val="26"/>
          <w:lang w:val="en-US" w:eastAsia="zh-CN"/>
        </w:rPr>
        <w:t>1.43</w:t>
      </w:r>
      <w:r>
        <w:rPr>
          <w:rFonts w:hint="eastAsia" w:ascii="Arial" w:hAnsi="Arial" w:eastAsia="宋体" w:cs="Arial"/>
          <w:sz w:val="26"/>
          <w:szCs w:val="26"/>
          <w:lang w:val="en-US" w:eastAsia="zh-CN"/>
        </w:rPr>
        <w:t>%。</w:t>
      </w:r>
    </w:p>
    <w:p w14:paraId="7E888C27">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highlight w:val="none"/>
          <w:lang w:val="en-US" w:eastAsia="zh-CN"/>
        </w:rPr>
      </w:pPr>
      <w:bookmarkStart w:id="136" w:name="_Toc16160"/>
      <w:r>
        <w:rPr>
          <w:rFonts w:hint="eastAsia" w:ascii="Arial" w:hAnsi="Arial" w:cs="Arial"/>
          <w:sz w:val="26"/>
          <w:szCs w:val="26"/>
          <w:highlight w:val="none"/>
          <w:lang w:val="en-US" w:eastAsia="zh-CN"/>
        </w:rPr>
        <w:t>8</w:t>
      </w:r>
      <w:r>
        <w:rPr>
          <w:rFonts w:hint="eastAsia" w:ascii="Arial" w:hAnsi="Arial" w:eastAsia="宋体" w:cs="Arial"/>
          <w:sz w:val="26"/>
          <w:szCs w:val="26"/>
          <w:highlight w:val="none"/>
          <w:lang w:val="en-US" w:eastAsia="zh-CN"/>
        </w:rPr>
        <w:t>.2</w:t>
      </w:r>
      <w:r>
        <w:rPr>
          <w:rFonts w:hint="eastAsia" w:ascii="Arial" w:hAnsi="Arial" w:cs="Arial"/>
          <w:sz w:val="26"/>
          <w:szCs w:val="26"/>
          <w:highlight w:val="none"/>
          <w:lang w:val="en-US" w:eastAsia="zh-CN"/>
        </w:rPr>
        <w:t>工程</w:t>
      </w:r>
      <w:r>
        <w:rPr>
          <w:rFonts w:hint="eastAsia" w:ascii="Arial" w:hAnsi="Arial" w:eastAsia="宋体" w:cs="Arial"/>
          <w:sz w:val="26"/>
          <w:szCs w:val="26"/>
          <w:highlight w:val="none"/>
          <w:lang w:val="en-US" w:eastAsia="zh-CN"/>
        </w:rPr>
        <w:t>效益分析</w:t>
      </w:r>
      <w:bookmarkEnd w:id="136"/>
    </w:p>
    <w:p w14:paraId="2108B0E4">
      <w:pPr>
        <w:keepNext w:val="0"/>
        <w:keepLines w:val="0"/>
        <w:pageBreakBefore w:val="0"/>
        <w:kinsoku/>
        <w:wordWrap/>
        <w:overflowPunct/>
        <w:topLinePunct w:val="0"/>
        <w:autoSpaceDE/>
        <w:autoSpaceDN/>
        <w:bidi w:val="0"/>
        <w:spacing w:line="460" w:lineRule="exact"/>
        <w:ind w:firstLine="522" w:firstLineChars="200"/>
        <w:textAlignment w:val="auto"/>
        <w:rPr>
          <w:rFonts w:hint="eastAsia" w:ascii="Arial" w:cs="Arial"/>
          <w:b/>
          <w:sz w:val="26"/>
          <w:szCs w:val="26"/>
        </w:rPr>
      </w:pPr>
      <w:r>
        <w:rPr>
          <w:rFonts w:hint="eastAsia" w:ascii="Arial" w:cs="Arial"/>
          <w:b/>
          <w:sz w:val="26"/>
          <w:szCs w:val="26"/>
        </w:rPr>
        <w:t>8.2.1灌溉效益</w:t>
      </w:r>
    </w:p>
    <w:p w14:paraId="3DA514C1">
      <w:pPr>
        <w:keepNext w:val="0"/>
        <w:keepLines w:val="0"/>
        <w:pageBreakBefore w:val="0"/>
        <w:kinsoku/>
        <w:wordWrap/>
        <w:overflowPunct/>
        <w:topLinePunct w:val="0"/>
        <w:autoSpaceDE/>
        <w:autoSpaceDN/>
        <w:bidi w:val="0"/>
        <w:spacing w:line="460" w:lineRule="exact"/>
        <w:ind w:firstLine="520" w:firstLineChars="200"/>
        <w:textAlignment w:val="auto"/>
        <w:rPr>
          <w:rFonts w:hint="eastAsia" w:ascii="Arial" w:cs="Arial"/>
          <w:sz w:val="26"/>
          <w:szCs w:val="26"/>
        </w:rPr>
      </w:pPr>
      <w:r>
        <w:rPr>
          <w:rFonts w:hint="eastAsia" w:ascii="Arial" w:cs="Arial"/>
          <w:sz w:val="26"/>
          <w:szCs w:val="26"/>
        </w:rPr>
        <w:t>灌区设计灌溉面积</w:t>
      </w:r>
      <w:r>
        <w:rPr>
          <w:rFonts w:hint="eastAsia" w:ascii="Arial" w:cs="Arial"/>
          <w:sz w:val="26"/>
          <w:szCs w:val="26"/>
          <w:lang w:val="en-US" w:eastAsia="zh-CN"/>
        </w:rPr>
        <w:t>20</w:t>
      </w:r>
      <w:r>
        <w:rPr>
          <w:rFonts w:hint="eastAsia" w:ascii="Arial" w:cs="Arial"/>
          <w:sz w:val="26"/>
          <w:szCs w:val="26"/>
        </w:rPr>
        <w:t>00亩，集中在</w:t>
      </w:r>
      <w:r>
        <w:rPr>
          <w:rFonts w:hint="eastAsia" w:ascii="Arial" w:cs="Arial"/>
          <w:sz w:val="26"/>
          <w:szCs w:val="26"/>
          <w:lang w:eastAsia="zh-CN"/>
        </w:rPr>
        <w:t>双龙社区、回龙场村</w:t>
      </w:r>
      <w:r>
        <w:rPr>
          <w:rFonts w:hint="eastAsia" w:ascii="Arial" w:cs="Arial"/>
          <w:sz w:val="26"/>
          <w:szCs w:val="26"/>
        </w:rPr>
        <w:t>，</w:t>
      </w:r>
      <w:r>
        <w:rPr>
          <w:rFonts w:hint="eastAsia" w:ascii="Arial" w:cs="Arial"/>
          <w:sz w:val="26"/>
          <w:szCs w:val="26"/>
          <w:lang w:eastAsia="zh-CN"/>
        </w:rPr>
        <w:t>灌溉供水量为</w:t>
      </w:r>
      <w:r>
        <w:rPr>
          <w:rFonts w:hint="eastAsia" w:ascii="Arial" w:cs="Arial"/>
          <w:sz w:val="26"/>
          <w:szCs w:val="26"/>
          <w:lang w:val="en-US" w:eastAsia="zh-CN"/>
        </w:rPr>
        <w:t>57.5万m</w:t>
      </w:r>
      <w:r>
        <w:rPr>
          <w:rFonts w:hint="eastAsia" w:ascii="Arial" w:cs="Arial"/>
          <w:sz w:val="26"/>
          <w:szCs w:val="26"/>
          <w:vertAlign w:val="superscript"/>
          <w:lang w:val="en-US" w:eastAsia="zh-CN"/>
        </w:rPr>
        <w:t>3</w:t>
      </w:r>
      <w:r>
        <w:rPr>
          <w:rFonts w:hint="eastAsia" w:ascii="Arial" w:cs="Arial"/>
          <w:sz w:val="26"/>
          <w:szCs w:val="26"/>
          <w:lang w:val="en-US" w:eastAsia="zh-CN"/>
        </w:rPr>
        <w:t>/a，</w:t>
      </w:r>
      <w:r>
        <w:rPr>
          <w:rFonts w:hint="eastAsia" w:ascii="Arial" w:cs="Arial"/>
          <w:sz w:val="26"/>
          <w:szCs w:val="26"/>
        </w:rPr>
        <w:t>主要农作物有</w:t>
      </w:r>
      <w:r>
        <w:rPr>
          <w:rFonts w:hint="eastAsia" w:ascii="Arial" w:cs="Arial"/>
          <w:sz w:val="26"/>
          <w:szCs w:val="26"/>
          <w:lang w:eastAsia="zh-CN"/>
        </w:rPr>
        <w:t>水稻、玉米、红薯、季节性蔬菜、经果林</w:t>
      </w:r>
      <w:r>
        <w:rPr>
          <w:rFonts w:hint="eastAsia" w:ascii="Arial" w:cs="Arial"/>
          <w:sz w:val="26"/>
          <w:szCs w:val="26"/>
        </w:rPr>
        <w:t>。工程实施后，灌溉水得到保证，使灌区农业生产条件得到改善，农作物产量出现明显增长</w:t>
      </w:r>
      <w:r>
        <w:rPr>
          <w:rFonts w:hint="eastAsia" w:ascii="Arial" w:cs="Arial"/>
          <w:sz w:val="26"/>
          <w:szCs w:val="26"/>
          <w:lang w:eastAsia="zh-CN"/>
        </w:rPr>
        <w:t>。灌区亩产粮食按</w:t>
      </w:r>
      <w:r>
        <w:rPr>
          <w:rFonts w:hint="eastAsia" w:ascii="Arial" w:cs="Arial"/>
          <w:sz w:val="26"/>
          <w:szCs w:val="26"/>
          <w:lang w:val="en-US" w:eastAsia="zh-CN"/>
        </w:rPr>
        <w:t>500kg计，每斤粮食按1.2元计，这新增</w:t>
      </w:r>
      <w:r>
        <w:rPr>
          <w:rFonts w:hint="eastAsia" w:ascii="Arial" w:cs="Arial"/>
          <w:sz w:val="26"/>
          <w:szCs w:val="26"/>
        </w:rPr>
        <w:t>农业灌溉效益</w:t>
      </w:r>
      <w:r>
        <w:rPr>
          <w:rFonts w:hint="eastAsia" w:ascii="Arial" w:cs="Arial"/>
          <w:sz w:val="26"/>
          <w:szCs w:val="26"/>
          <w:lang w:eastAsia="zh-CN"/>
        </w:rPr>
        <w:t>为</w:t>
      </w:r>
      <w:r>
        <w:rPr>
          <w:rFonts w:hint="eastAsia" w:ascii="Arial" w:cs="Arial"/>
          <w:sz w:val="26"/>
          <w:szCs w:val="26"/>
          <w:lang w:val="en-US" w:eastAsia="zh-CN"/>
        </w:rPr>
        <w:t>240万元</w:t>
      </w:r>
      <w:r>
        <w:rPr>
          <w:rFonts w:hint="eastAsia" w:ascii="Arial" w:cs="Arial"/>
          <w:sz w:val="26"/>
          <w:szCs w:val="26"/>
        </w:rPr>
        <w:t>。</w:t>
      </w:r>
    </w:p>
    <w:p w14:paraId="461327C7">
      <w:pPr>
        <w:keepNext w:val="0"/>
        <w:keepLines w:val="0"/>
        <w:pageBreakBefore w:val="0"/>
        <w:kinsoku/>
        <w:wordWrap/>
        <w:overflowPunct/>
        <w:topLinePunct w:val="0"/>
        <w:autoSpaceDE/>
        <w:autoSpaceDN/>
        <w:bidi w:val="0"/>
        <w:spacing w:line="460" w:lineRule="exact"/>
        <w:ind w:firstLine="522" w:firstLineChars="200"/>
        <w:textAlignment w:val="auto"/>
        <w:rPr>
          <w:rFonts w:hint="eastAsia" w:ascii="Arial" w:cs="Arial"/>
          <w:b/>
          <w:sz w:val="26"/>
          <w:szCs w:val="26"/>
        </w:rPr>
      </w:pPr>
      <w:r>
        <w:rPr>
          <w:rFonts w:hint="eastAsia" w:ascii="Arial" w:cs="Arial"/>
          <w:b/>
          <w:sz w:val="26"/>
          <w:szCs w:val="26"/>
        </w:rPr>
        <w:t>8.2.2供水效益</w:t>
      </w:r>
    </w:p>
    <w:p w14:paraId="2BF813B6">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eastAsia="宋体" w:cs="Arial"/>
          <w:sz w:val="26"/>
          <w:szCs w:val="26"/>
          <w:lang w:val="en-US" w:eastAsia="zh-CN"/>
        </w:rPr>
      </w:pPr>
      <w:r>
        <w:rPr>
          <w:rFonts w:hint="eastAsia" w:ascii="Arial" w:cs="Arial"/>
          <w:sz w:val="26"/>
          <w:szCs w:val="26"/>
          <w:lang w:eastAsia="zh-CN"/>
        </w:rPr>
        <w:t>设计</w:t>
      </w:r>
      <w:r>
        <w:rPr>
          <w:rFonts w:hint="eastAsia" w:ascii="Arial" w:cs="Arial"/>
          <w:bCs/>
          <w:sz w:val="26"/>
          <w:lang w:eastAsia="zh-CN"/>
        </w:rPr>
        <w:t>供水对象为农村居民7000人、大牲畜330头、小牲畜1280只</w:t>
      </w:r>
      <w:r>
        <w:rPr>
          <w:rFonts w:hint="eastAsia" w:ascii="Arial" w:cs="Arial"/>
          <w:sz w:val="26"/>
          <w:szCs w:val="26"/>
          <w:lang w:eastAsia="zh-CN"/>
        </w:rPr>
        <w:t>，集中在双龙社区、回龙场村、田家山村，供水量为</w:t>
      </w:r>
      <w:r>
        <w:rPr>
          <w:rFonts w:hint="eastAsia" w:ascii="Arial" w:cs="Arial"/>
          <w:sz w:val="26"/>
          <w:szCs w:val="26"/>
          <w:lang w:val="en-US" w:eastAsia="zh-CN"/>
        </w:rPr>
        <w:t>18.78万m</w:t>
      </w:r>
      <w:r>
        <w:rPr>
          <w:rFonts w:hint="eastAsia" w:ascii="Arial" w:cs="Arial"/>
          <w:sz w:val="26"/>
          <w:szCs w:val="26"/>
          <w:vertAlign w:val="superscript"/>
          <w:lang w:val="en-US" w:eastAsia="zh-CN"/>
        </w:rPr>
        <w:t>3</w:t>
      </w:r>
      <w:r>
        <w:rPr>
          <w:rFonts w:hint="eastAsia" w:ascii="Arial" w:cs="Arial"/>
          <w:sz w:val="26"/>
          <w:szCs w:val="26"/>
          <w:lang w:val="en-US" w:eastAsia="zh-CN"/>
        </w:rPr>
        <w:t>/a。可为供区范围内居民提供基础的生活保障，解决区域缺水问题。</w:t>
      </w:r>
      <w:r>
        <w:rPr>
          <w:rFonts w:hint="eastAsia" w:ascii="Arial" w:cs="Arial"/>
          <w:sz w:val="26"/>
          <w:szCs w:val="26"/>
        </w:rPr>
        <w:t>参照类似已建工程，供水影子水价采用</w:t>
      </w:r>
      <w:r>
        <w:rPr>
          <w:rFonts w:hint="eastAsia" w:ascii="Arial" w:cs="Arial"/>
          <w:sz w:val="26"/>
          <w:szCs w:val="26"/>
          <w:lang w:val="en-US" w:eastAsia="zh-CN"/>
        </w:rPr>
        <w:t>2</w:t>
      </w:r>
      <w:r>
        <w:rPr>
          <w:rFonts w:hint="eastAsia" w:ascii="Arial" w:cs="Arial"/>
          <w:sz w:val="26"/>
          <w:szCs w:val="26"/>
        </w:rPr>
        <w:t>.5元</w:t>
      </w:r>
      <w:r>
        <w:rPr>
          <w:rFonts w:hint="eastAsia" w:ascii="Arial" w:cs="Arial"/>
          <w:sz w:val="26"/>
          <w:szCs w:val="26"/>
          <w:lang w:val="en-US" w:eastAsia="zh-CN"/>
        </w:rPr>
        <w:t>/</w:t>
      </w:r>
      <w:r>
        <w:rPr>
          <w:rFonts w:ascii="Arial" w:cs="Arial"/>
          <w:sz w:val="26"/>
          <w:szCs w:val="26"/>
        </w:rPr>
        <w:t>m</w:t>
      </w:r>
      <w:r>
        <w:rPr>
          <w:rFonts w:hint="eastAsia" w:ascii="Arial" w:cs="Arial"/>
          <w:sz w:val="26"/>
          <w:szCs w:val="26"/>
          <w:vertAlign w:val="superscript"/>
        </w:rPr>
        <w:t>3</w:t>
      </w:r>
      <w:r>
        <w:rPr>
          <w:rFonts w:hint="eastAsia" w:ascii="Arial" w:cs="Arial"/>
          <w:sz w:val="26"/>
          <w:szCs w:val="26"/>
        </w:rPr>
        <w:t>，则新增人饮供水效益为</w:t>
      </w:r>
      <w:r>
        <w:rPr>
          <w:rFonts w:hint="eastAsia" w:ascii="Arial" w:cs="Arial"/>
          <w:sz w:val="26"/>
          <w:szCs w:val="26"/>
          <w:lang w:val="en-US" w:eastAsia="zh-CN"/>
        </w:rPr>
        <w:t>46.95</w:t>
      </w:r>
      <w:r>
        <w:rPr>
          <w:rFonts w:hint="eastAsia" w:ascii="Arial" w:cs="Arial"/>
          <w:sz w:val="26"/>
          <w:szCs w:val="26"/>
        </w:rPr>
        <w:t>万元</w:t>
      </w:r>
      <w:r>
        <w:rPr>
          <w:rFonts w:hint="eastAsia" w:ascii="Arial" w:cs="Arial"/>
          <w:sz w:val="26"/>
          <w:szCs w:val="26"/>
          <w:lang w:eastAsia="zh-CN"/>
        </w:rPr>
        <w:t>。</w:t>
      </w:r>
    </w:p>
    <w:p w14:paraId="59673E65">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highlight w:val="none"/>
          <w:lang w:val="en-US" w:eastAsia="zh-CN"/>
        </w:rPr>
      </w:pPr>
      <w:r>
        <w:rPr>
          <w:rFonts w:hint="eastAsia" w:ascii="Arial" w:hAnsi="Arial" w:cs="Arial"/>
          <w:sz w:val="26"/>
          <w:szCs w:val="26"/>
          <w:highlight w:val="none"/>
          <w:lang w:val="en-US" w:eastAsia="zh-CN"/>
        </w:rPr>
        <w:t>8</w:t>
      </w:r>
      <w:r>
        <w:rPr>
          <w:rFonts w:hint="eastAsia" w:ascii="Arial" w:hAnsi="Arial" w:eastAsia="宋体" w:cs="Arial"/>
          <w:sz w:val="26"/>
          <w:szCs w:val="26"/>
          <w:highlight w:val="none"/>
          <w:lang w:val="en-US" w:eastAsia="zh-CN"/>
        </w:rPr>
        <w:t>.</w:t>
      </w:r>
      <w:r>
        <w:rPr>
          <w:rFonts w:hint="eastAsia" w:ascii="Arial" w:hAnsi="Arial" w:cs="Arial"/>
          <w:sz w:val="26"/>
          <w:szCs w:val="26"/>
          <w:highlight w:val="none"/>
          <w:lang w:val="en-US" w:eastAsia="zh-CN"/>
        </w:rPr>
        <w:t>3社会</w:t>
      </w:r>
      <w:r>
        <w:rPr>
          <w:rFonts w:hint="eastAsia" w:ascii="Arial" w:hAnsi="Arial" w:eastAsia="宋体" w:cs="Arial"/>
          <w:sz w:val="26"/>
          <w:szCs w:val="26"/>
          <w:highlight w:val="none"/>
          <w:lang w:val="en-US" w:eastAsia="zh-CN"/>
        </w:rPr>
        <w:t>效益分析</w:t>
      </w:r>
    </w:p>
    <w:p w14:paraId="19981188">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cs="Arial"/>
          <w:sz w:val="26"/>
          <w:szCs w:val="26"/>
        </w:rPr>
      </w:pPr>
      <w:r>
        <w:rPr>
          <w:rFonts w:hint="eastAsia" w:ascii="Arial" w:cs="Arial"/>
          <w:sz w:val="26"/>
          <w:szCs w:val="26"/>
        </w:rPr>
        <w:t>该项目的各项国民经济指标都满足国家规范对灌溉、供水水利建设项目的要求，经济指标可行，具有一定的抗风险能力，且工程实施后将有力地缓解该地区的</w:t>
      </w:r>
      <w:r>
        <w:rPr>
          <w:rFonts w:hint="eastAsia" w:ascii="Arial" w:cs="Arial"/>
          <w:sz w:val="26"/>
          <w:szCs w:val="26"/>
          <w:lang w:eastAsia="zh-CN"/>
        </w:rPr>
        <w:t>缺水问题</w:t>
      </w:r>
      <w:r>
        <w:rPr>
          <w:rFonts w:hint="eastAsia" w:ascii="Arial" w:cs="Arial"/>
          <w:sz w:val="26"/>
          <w:szCs w:val="26"/>
        </w:rPr>
        <w:t>，</w:t>
      </w:r>
      <w:r>
        <w:rPr>
          <w:rFonts w:hint="eastAsia" w:ascii="Arial" w:cs="Arial"/>
          <w:sz w:val="26"/>
          <w:szCs w:val="26"/>
          <w:lang w:eastAsia="zh-CN"/>
        </w:rPr>
        <w:t>保障农业发展，</w:t>
      </w:r>
      <w:r>
        <w:rPr>
          <w:rFonts w:hint="eastAsia" w:ascii="Arial" w:cs="Arial"/>
          <w:sz w:val="26"/>
          <w:szCs w:val="26"/>
        </w:rPr>
        <w:t>带动区域经济发展，提高人民生活水平，具有一定的经济效益和社会效益，因此该工程在经济上是合理可行的。</w:t>
      </w:r>
    </w:p>
    <w:p w14:paraId="40D18F28">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highlight w:val="none"/>
          <w:lang w:val="en-US" w:eastAsia="zh-CN"/>
        </w:rPr>
      </w:pPr>
      <w:r>
        <w:rPr>
          <w:rFonts w:hint="eastAsia" w:ascii="Arial" w:hAnsi="Arial" w:cs="Arial"/>
          <w:sz w:val="26"/>
          <w:szCs w:val="26"/>
          <w:highlight w:val="none"/>
          <w:lang w:val="en-US" w:eastAsia="zh-CN"/>
        </w:rPr>
        <w:t>8</w:t>
      </w:r>
      <w:r>
        <w:rPr>
          <w:rFonts w:hint="eastAsia" w:ascii="Arial" w:hAnsi="Arial" w:eastAsia="宋体" w:cs="Arial"/>
          <w:sz w:val="26"/>
          <w:szCs w:val="26"/>
          <w:highlight w:val="none"/>
          <w:lang w:val="en-US" w:eastAsia="zh-CN"/>
        </w:rPr>
        <w:t>.</w:t>
      </w:r>
      <w:r>
        <w:rPr>
          <w:rFonts w:hint="eastAsia" w:ascii="Arial" w:hAnsi="Arial" w:cs="Arial"/>
          <w:sz w:val="26"/>
          <w:szCs w:val="26"/>
          <w:highlight w:val="none"/>
          <w:lang w:val="en-US" w:eastAsia="zh-CN"/>
        </w:rPr>
        <w:t>4环境损失</w:t>
      </w:r>
      <w:r>
        <w:rPr>
          <w:rFonts w:hint="eastAsia" w:ascii="Arial" w:hAnsi="Arial" w:eastAsia="宋体" w:cs="Arial"/>
          <w:sz w:val="26"/>
          <w:szCs w:val="26"/>
          <w:highlight w:val="none"/>
          <w:lang w:val="en-US" w:eastAsia="zh-CN"/>
        </w:rPr>
        <w:t>分析</w:t>
      </w:r>
    </w:p>
    <w:p w14:paraId="1B627D2F">
      <w:pPr>
        <w:keepNext w:val="0"/>
        <w:keepLines w:val="0"/>
        <w:pageBreakBefore w:val="0"/>
        <w:kinsoku/>
        <w:wordWrap/>
        <w:overflowPunct/>
        <w:topLinePunct w:val="0"/>
        <w:autoSpaceDE/>
        <w:autoSpaceDN/>
        <w:bidi w:val="0"/>
        <w:spacing w:line="460" w:lineRule="exact"/>
        <w:ind w:firstLine="520" w:firstLineChars="200"/>
        <w:textAlignment w:val="auto"/>
        <w:rPr>
          <w:rFonts w:hint="eastAsia" w:ascii="Arial" w:cs="Arial"/>
          <w:sz w:val="26"/>
          <w:szCs w:val="26"/>
        </w:rPr>
      </w:pPr>
      <w:r>
        <w:rPr>
          <w:rFonts w:hint="eastAsia" w:ascii="Arial" w:cs="Arial"/>
          <w:sz w:val="26"/>
          <w:szCs w:val="26"/>
        </w:rPr>
        <w:t>根据环境经济学理论，如果建设项目引起环境质量下降，则恢复环境质量或生产性资产所花费的费用可作为环境效益损失的最低估价。本工程以减免工程对环境的不利影响或恢复、补偿环境效益所采取的保护和补偿措施费用作为反映工程影响损失大小的尺度，计算其损失值。</w:t>
      </w:r>
      <w:r>
        <w:rPr>
          <w:rFonts w:ascii="Arial" w:cs="Arial"/>
          <w:sz w:val="26"/>
          <w:szCs w:val="26"/>
        </w:rPr>
        <w:t xml:space="preserve"> </w:t>
      </w:r>
    </w:p>
    <w:p w14:paraId="74FDA07F">
      <w:pPr>
        <w:keepNext w:val="0"/>
        <w:keepLines w:val="0"/>
        <w:pageBreakBefore w:val="0"/>
        <w:kinsoku/>
        <w:wordWrap/>
        <w:overflowPunct/>
        <w:topLinePunct w:val="0"/>
        <w:autoSpaceDE/>
        <w:autoSpaceDN/>
        <w:bidi w:val="0"/>
        <w:spacing w:line="460" w:lineRule="exact"/>
        <w:ind w:firstLine="520" w:firstLineChars="200"/>
        <w:textAlignment w:val="auto"/>
        <w:rPr>
          <w:rFonts w:hint="eastAsia" w:ascii="Arial" w:cs="Arial"/>
          <w:sz w:val="26"/>
          <w:szCs w:val="26"/>
        </w:rPr>
      </w:pPr>
      <w:r>
        <w:rPr>
          <w:rFonts w:hint="eastAsia" w:ascii="Arial" w:cs="Arial"/>
          <w:sz w:val="26"/>
          <w:szCs w:val="26"/>
        </w:rPr>
        <w:t>根据</w:t>
      </w:r>
      <w:r>
        <w:rPr>
          <w:rFonts w:hint="eastAsia" w:ascii="Arial" w:cs="Arial"/>
          <w:sz w:val="26"/>
          <w:szCs w:val="26"/>
          <w:lang w:eastAsia="zh-CN"/>
        </w:rPr>
        <w:t>海螺沟</w:t>
      </w:r>
      <w:r>
        <w:rPr>
          <w:rFonts w:hint="eastAsia" w:ascii="Arial" w:cs="Arial"/>
          <w:sz w:val="26"/>
          <w:szCs w:val="26"/>
        </w:rPr>
        <w:t>水库工程及工程区域环境特点，为减免、恢复或补偿不利环境影响所采取的环境保护措施主要包括以下内容：施工生产废水及生活污水处理、大气污染控制措施、固体废弃物处理、噪声及粉尘控制；建设期环境监测、环境管理及环境监理；生态建设与水土保持；鱼类资源保护以及人群健康保护等，在进行技术经济分析或多方</w:t>
      </w:r>
      <w:r>
        <w:rPr>
          <w:rFonts w:hint="eastAsia" w:ascii="Arial" w:cs="Arial"/>
          <w:color w:val="auto"/>
          <w:sz w:val="26"/>
          <w:szCs w:val="26"/>
        </w:rPr>
        <w:t>案比选基础上，提出了各项措施推荐方案及相应费用概算。工程环境保护措施总费用</w:t>
      </w:r>
      <w:r>
        <w:rPr>
          <w:rFonts w:hint="eastAsia" w:ascii="Arial" w:cs="Arial"/>
          <w:color w:val="auto"/>
          <w:sz w:val="26"/>
          <w:szCs w:val="26"/>
          <w:lang w:val="en-US" w:eastAsia="zh-CN"/>
        </w:rPr>
        <w:t>208</w:t>
      </w:r>
      <w:r>
        <w:rPr>
          <w:rFonts w:hint="eastAsia" w:ascii="Arial" w:cs="Arial"/>
          <w:color w:val="auto"/>
          <w:sz w:val="26"/>
          <w:szCs w:val="26"/>
        </w:rPr>
        <w:t>万</w:t>
      </w:r>
      <w:r>
        <w:rPr>
          <w:rFonts w:hint="eastAsia" w:ascii="Arial" w:cs="Arial"/>
          <w:sz w:val="26"/>
          <w:szCs w:val="26"/>
        </w:rPr>
        <w:t>元，作为本工程可货币化的环境损失。</w:t>
      </w:r>
    </w:p>
    <w:p w14:paraId="3A553C2B">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default" w:ascii="Arial" w:hAnsi="Arial" w:eastAsia="宋体" w:cs="Arial"/>
          <w:sz w:val="26"/>
          <w:szCs w:val="26"/>
          <w:highlight w:val="none"/>
          <w:lang w:val="en-US" w:eastAsia="zh-CN"/>
        </w:rPr>
      </w:pPr>
      <w:r>
        <w:rPr>
          <w:rFonts w:hint="eastAsia" w:ascii="Arial" w:hAnsi="Arial" w:cs="Arial"/>
          <w:sz w:val="26"/>
          <w:szCs w:val="26"/>
          <w:highlight w:val="none"/>
          <w:lang w:val="en-US" w:eastAsia="zh-CN"/>
        </w:rPr>
        <w:t>8</w:t>
      </w:r>
      <w:r>
        <w:rPr>
          <w:rFonts w:hint="eastAsia" w:ascii="Arial" w:hAnsi="Arial" w:eastAsia="宋体" w:cs="Arial"/>
          <w:sz w:val="26"/>
          <w:szCs w:val="26"/>
          <w:highlight w:val="none"/>
          <w:lang w:val="en-US" w:eastAsia="zh-CN"/>
        </w:rPr>
        <w:t>.</w:t>
      </w:r>
      <w:r>
        <w:rPr>
          <w:rFonts w:hint="eastAsia" w:ascii="Arial" w:hAnsi="Arial" w:cs="Arial"/>
          <w:sz w:val="26"/>
          <w:szCs w:val="26"/>
          <w:highlight w:val="none"/>
          <w:lang w:val="en-US" w:eastAsia="zh-CN"/>
        </w:rPr>
        <w:t xml:space="preserve">5小结 </w:t>
      </w:r>
    </w:p>
    <w:p w14:paraId="291CCE93">
      <w:pPr>
        <w:keepNext w:val="0"/>
        <w:keepLines w:val="0"/>
        <w:pageBreakBefore w:val="0"/>
        <w:kinsoku/>
        <w:wordWrap/>
        <w:overflowPunct/>
        <w:topLinePunct w:val="0"/>
        <w:autoSpaceDE/>
        <w:autoSpaceDN/>
        <w:bidi w:val="0"/>
        <w:spacing w:line="460" w:lineRule="exact"/>
        <w:ind w:firstLine="520" w:firstLineChars="200"/>
        <w:textAlignment w:val="auto"/>
        <w:rPr>
          <w:rFonts w:hint="default" w:ascii="Arial" w:eastAsia="宋体" w:cs="Arial"/>
          <w:sz w:val="26"/>
          <w:szCs w:val="26"/>
          <w:lang w:val="en-US" w:eastAsia="zh-CN"/>
        </w:rPr>
      </w:pPr>
      <w:r>
        <w:rPr>
          <w:rFonts w:hint="eastAsia" w:ascii="Arial" w:cs="Arial"/>
          <w:sz w:val="26"/>
          <w:szCs w:val="26"/>
          <w:lang w:eastAsia="zh-CN"/>
        </w:rPr>
        <w:t>根据以上分析，</w:t>
      </w:r>
      <w:r>
        <w:rPr>
          <w:rFonts w:hint="eastAsia" w:ascii="Arial" w:cs="Arial"/>
          <w:sz w:val="26"/>
          <w:szCs w:val="26"/>
        </w:rPr>
        <w:t>为减免不利环境影响所采取的环保措施总费</w:t>
      </w:r>
      <w:r>
        <w:rPr>
          <w:rFonts w:hint="eastAsia" w:ascii="Arial" w:cs="Arial"/>
          <w:color w:val="auto"/>
          <w:sz w:val="26"/>
          <w:szCs w:val="26"/>
        </w:rPr>
        <w:t>用为</w:t>
      </w:r>
      <w:r>
        <w:rPr>
          <w:rFonts w:hint="eastAsia" w:ascii="Arial" w:cs="Arial"/>
          <w:color w:val="auto"/>
          <w:sz w:val="26"/>
          <w:szCs w:val="26"/>
          <w:lang w:val="en-US" w:eastAsia="zh-CN"/>
        </w:rPr>
        <w:t>208万</w:t>
      </w:r>
      <w:r>
        <w:rPr>
          <w:rFonts w:hint="eastAsia" w:ascii="Arial" w:cs="Arial"/>
          <w:color w:val="auto"/>
          <w:sz w:val="26"/>
          <w:szCs w:val="26"/>
        </w:rPr>
        <w:t>元，在各项</w:t>
      </w:r>
      <w:r>
        <w:rPr>
          <w:rFonts w:hint="eastAsia" w:ascii="Arial" w:cs="Arial"/>
          <w:sz w:val="26"/>
          <w:szCs w:val="26"/>
        </w:rPr>
        <w:t>环保措施得到落实的情况下，</w:t>
      </w:r>
      <w:r>
        <w:rPr>
          <w:rFonts w:hint="eastAsia" w:ascii="Arial" w:cs="Arial"/>
          <w:sz w:val="26"/>
          <w:szCs w:val="26"/>
          <w:lang w:eastAsia="zh-CN"/>
        </w:rPr>
        <w:t>对外环境的影响小。且海螺沟水库工程</w:t>
      </w:r>
      <w:r>
        <w:rPr>
          <w:rFonts w:hint="eastAsia" w:ascii="Arial" w:cs="Arial"/>
          <w:sz w:val="26"/>
          <w:szCs w:val="26"/>
        </w:rPr>
        <w:t>具有较好的经济、社会效益，</w:t>
      </w:r>
      <w:r>
        <w:rPr>
          <w:rFonts w:hint="eastAsia" w:ascii="Arial" w:cs="Arial"/>
          <w:sz w:val="26"/>
          <w:szCs w:val="26"/>
          <w:lang w:eastAsia="zh-CN"/>
        </w:rPr>
        <w:t>建成后创造的直接货币价值为</w:t>
      </w:r>
      <w:r>
        <w:rPr>
          <w:rFonts w:hint="eastAsia" w:ascii="Arial" w:cs="Arial"/>
          <w:sz w:val="26"/>
          <w:szCs w:val="26"/>
          <w:lang w:val="en-US" w:eastAsia="zh-CN"/>
        </w:rPr>
        <w:t>286.95万元，</w:t>
      </w:r>
      <w:r>
        <w:rPr>
          <w:rFonts w:hint="eastAsia" w:ascii="Arial" w:cs="Arial"/>
          <w:sz w:val="26"/>
          <w:szCs w:val="26"/>
        </w:rPr>
        <w:t>可较大程度地减免因工程产生的环境损失。</w:t>
      </w:r>
      <w:r>
        <w:rPr>
          <w:rFonts w:hint="eastAsia" w:ascii="Arial" w:cs="Arial"/>
          <w:sz w:val="26"/>
          <w:szCs w:val="26"/>
          <w:lang w:eastAsia="zh-CN"/>
        </w:rPr>
        <w:t>项目建成后，可以解决区域缺水问题，为当地居民生活、生产提供水资源方面的保障，是必不可少的民生项目。</w:t>
      </w:r>
    </w:p>
    <w:p w14:paraId="6A04EE1E">
      <w:pPr>
        <w:spacing w:line="480" w:lineRule="exact"/>
        <w:ind w:firstLine="520" w:firstLineChars="200"/>
        <w:rPr>
          <w:rFonts w:hint="eastAsia" w:ascii="Arial" w:cs="Arial"/>
          <w:sz w:val="26"/>
          <w:szCs w:val="26"/>
        </w:rPr>
      </w:pPr>
    </w:p>
    <w:p w14:paraId="49590099">
      <w:pPr>
        <w:pStyle w:val="3"/>
        <w:keepNext w:val="0"/>
        <w:keepLines w:val="0"/>
        <w:pageBreakBefore w:val="0"/>
        <w:widowControl w:val="0"/>
        <w:kinsoku/>
        <w:wordWrap/>
        <w:overflowPunct/>
        <w:topLinePunct w:val="0"/>
        <w:autoSpaceDE/>
        <w:autoSpaceDN/>
        <w:bidi w:val="0"/>
        <w:adjustRightInd/>
        <w:snapToGrid w:val="0"/>
        <w:spacing w:before="287" w:beforeLines="100" w:after="287" w:afterLines="100" w:line="460" w:lineRule="exact"/>
        <w:jc w:val="center"/>
        <w:textAlignment w:val="auto"/>
        <w:rPr>
          <w:sz w:val="24"/>
          <w:szCs w:val="24"/>
        </w:rPr>
      </w:pPr>
      <w:r>
        <w:br w:type="page"/>
      </w:r>
      <w:bookmarkStart w:id="137" w:name="_Toc6698"/>
      <w:r>
        <w:rPr>
          <w:rFonts w:hint="eastAsia" w:ascii="Arial" w:hAnsi="Arial" w:cs="Arial"/>
          <w:b/>
          <w:bCs/>
          <w:kern w:val="2"/>
          <w:sz w:val="26"/>
          <w:szCs w:val="26"/>
          <w:lang w:val="en-US" w:eastAsia="zh-CN" w:bidi="ar-SA"/>
        </w:rPr>
        <w:t>9</w:t>
      </w:r>
      <w:r>
        <w:rPr>
          <w:rFonts w:hint="eastAsia" w:ascii="Arial" w:hAnsi="Arial" w:eastAsia="宋体" w:cs="Arial"/>
          <w:b/>
          <w:bCs/>
          <w:kern w:val="2"/>
          <w:sz w:val="26"/>
          <w:szCs w:val="26"/>
          <w:lang w:val="en-US" w:eastAsia="zh-CN" w:bidi="ar-SA"/>
        </w:rPr>
        <w:t>环境管理与监测</w:t>
      </w:r>
      <w:bookmarkEnd w:id="137"/>
    </w:p>
    <w:p w14:paraId="213CD1CE">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highlight w:val="none"/>
          <w:lang w:val="en-US" w:eastAsia="zh-CN"/>
        </w:rPr>
      </w:pPr>
      <w:bookmarkStart w:id="138" w:name="_Toc420942288"/>
      <w:bookmarkStart w:id="139" w:name="_Toc33237924"/>
      <w:bookmarkStart w:id="140" w:name="_Toc33237555"/>
      <w:bookmarkStart w:id="141" w:name="_Toc535931083"/>
      <w:bookmarkStart w:id="142" w:name="_Toc214158758"/>
      <w:bookmarkStart w:id="143" w:name="_Toc308013946"/>
      <w:bookmarkStart w:id="144" w:name="_Toc199932418"/>
      <w:bookmarkStart w:id="145" w:name="_Toc33926444"/>
      <w:bookmarkStart w:id="146" w:name="_Toc225136115"/>
      <w:bookmarkStart w:id="147" w:name="_Toc273430834"/>
      <w:bookmarkStart w:id="148" w:name="_Toc109731105"/>
      <w:bookmarkStart w:id="149" w:name="_Toc5001"/>
      <w:r>
        <w:rPr>
          <w:rFonts w:hint="eastAsia" w:ascii="Arial" w:hAnsi="Arial" w:cs="Arial"/>
          <w:sz w:val="26"/>
          <w:szCs w:val="26"/>
          <w:highlight w:val="none"/>
          <w:lang w:val="en-US" w:eastAsia="zh-CN"/>
        </w:rPr>
        <w:t>9</w:t>
      </w:r>
      <w:r>
        <w:rPr>
          <w:rFonts w:hint="eastAsia" w:ascii="Arial" w:hAnsi="Arial" w:eastAsia="宋体" w:cs="Arial"/>
          <w:sz w:val="26"/>
          <w:szCs w:val="26"/>
          <w:highlight w:val="none"/>
          <w:lang w:val="en-US" w:eastAsia="zh-CN"/>
        </w:rPr>
        <w:t>.1环境</w:t>
      </w:r>
      <w:bookmarkEnd w:id="138"/>
      <w:bookmarkEnd w:id="139"/>
      <w:bookmarkEnd w:id="140"/>
      <w:bookmarkEnd w:id="141"/>
      <w:bookmarkEnd w:id="142"/>
      <w:bookmarkEnd w:id="143"/>
      <w:bookmarkEnd w:id="144"/>
      <w:bookmarkEnd w:id="145"/>
      <w:bookmarkEnd w:id="146"/>
      <w:bookmarkEnd w:id="147"/>
      <w:bookmarkEnd w:id="148"/>
      <w:r>
        <w:rPr>
          <w:rFonts w:hint="eastAsia" w:ascii="Arial" w:hAnsi="Arial" w:eastAsia="宋体" w:cs="Arial"/>
          <w:sz w:val="26"/>
          <w:szCs w:val="26"/>
          <w:highlight w:val="none"/>
          <w:lang w:val="en-US" w:eastAsia="zh-CN"/>
        </w:rPr>
        <w:t>管理</w:t>
      </w:r>
      <w:bookmarkEnd w:id="149"/>
    </w:p>
    <w:p w14:paraId="4B26A511">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bookmarkStart w:id="150" w:name="_Toc19366"/>
      <w:r>
        <w:rPr>
          <w:rFonts w:hint="eastAsia" w:ascii="Arial" w:hAnsi="Arial" w:eastAsia="宋体" w:cs="Arial"/>
          <w:sz w:val="26"/>
          <w:szCs w:val="26"/>
          <w:lang w:val="en-US" w:eastAsia="zh-CN"/>
        </w:rPr>
        <w:t>环境管理就是在工程建设和运营过程中，通过合理、有效、先进的管理措施、手段或规章，监督指导工程的环境保护工作，保障各环保设施的正常运转，并实施生态恢复，充分发挥工程建设的社会效益和生态效益，达到预防、减缓或补偿工程建设带来不利影响的最终目标。</w:t>
      </w:r>
    </w:p>
    <w:p w14:paraId="3BA0B296">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环境管理应在项目法人的领导下建立环境管理机构，负责拟建项目的环境保护管理工作，协调解决施工过程的环境问题。</w:t>
      </w:r>
    </w:p>
    <w:p w14:paraId="5526740E">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outlineLvl w:val="2"/>
        <w:rPr>
          <w:rFonts w:hint="eastAsia" w:ascii="Arial" w:hAnsi="Arial" w:eastAsia="宋体" w:cs="Arial"/>
          <w:b/>
          <w:bCs/>
          <w:kern w:val="2"/>
          <w:sz w:val="26"/>
          <w:szCs w:val="26"/>
          <w:highlight w:val="none"/>
          <w:lang w:val="en-US" w:eastAsia="zh-CN" w:bidi="ar-SA"/>
        </w:rPr>
      </w:pPr>
      <w:r>
        <w:rPr>
          <w:rFonts w:hint="eastAsia" w:ascii="Arial" w:hAnsi="Arial" w:eastAsia="宋体" w:cs="Arial"/>
          <w:b/>
          <w:bCs/>
          <w:kern w:val="2"/>
          <w:sz w:val="26"/>
          <w:szCs w:val="26"/>
          <w:highlight w:val="none"/>
          <w:lang w:val="en-US" w:eastAsia="zh-CN" w:bidi="ar-SA"/>
        </w:rPr>
        <w:fldChar w:fldCharType="begin"/>
      </w:r>
      <w:r>
        <w:rPr>
          <w:rFonts w:hint="eastAsia" w:ascii="Arial" w:hAnsi="Arial" w:eastAsia="宋体" w:cs="Arial"/>
          <w:b/>
          <w:bCs/>
          <w:kern w:val="2"/>
          <w:sz w:val="26"/>
          <w:szCs w:val="26"/>
          <w:highlight w:val="none"/>
          <w:lang w:val="en-US" w:eastAsia="zh-CN" w:bidi="ar-SA"/>
        </w:rPr>
        <w:instrText xml:space="preserve"> HYPERLINK "file:///C:\\Users\\Administrator\\AppData\\2018\\1、项目\\4、梁平水泥窑\\环评报批版\\文本\\梁平水泥窑（报批版）—8份，A4双面.doc" \l "_Toc446494582#_Toc446494582" </w:instrText>
      </w:r>
      <w:r>
        <w:rPr>
          <w:rFonts w:hint="eastAsia" w:ascii="Arial" w:hAnsi="Arial" w:eastAsia="宋体" w:cs="Arial"/>
          <w:b/>
          <w:bCs/>
          <w:kern w:val="2"/>
          <w:sz w:val="26"/>
          <w:szCs w:val="26"/>
          <w:highlight w:val="none"/>
          <w:lang w:val="en-US" w:eastAsia="zh-CN" w:bidi="ar-SA"/>
        </w:rPr>
        <w:fldChar w:fldCharType="separate"/>
      </w:r>
      <w:bookmarkStart w:id="151" w:name="_Toc82767281"/>
      <w:bookmarkStart w:id="152" w:name="_Toc119592478"/>
      <w:bookmarkStart w:id="153" w:name="_Toc36041160"/>
      <w:bookmarkStart w:id="154" w:name="_Toc84687758"/>
      <w:bookmarkStart w:id="155" w:name="_Toc80865341"/>
      <w:bookmarkStart w:id="156" w:name="_Toc37663427"/>
      <w:bookmarkStart w:id="157" w:name="_Toc34987959"/>
      <w:r>
        <w:rPr>
          <w:rFonts w:hint="eastAsia" w:ascii="Arial" w:hAnsi="Arial" w:cs="Arial"/>
          <w:b/>
          <w:bCs/>
          <w:kern w:val="2"/>
          <w:sz w:val="26"/>
          <w:szCs w:val="26"/>
          <w:highlight w:val="none"/>
          <w:lang w:val="en-US" w:eastAsia="zh-CN" w:bidi="ar-SA"/>
        </w:rPr>
        <w:t>9</w:t>
      </w:r>
      <w:r>
        <w:rPr>
          <w:rFonts w:hint="eastAsia" w:ascii="Arial" w:hAnsi="Arial" w:eastAsia="宋体" w:cs="Arial"/>
          <w:b/>
          <w:bCs/>
          <w:kern w:val="2"/>
          <w:sz w:val="26"/>
          <w:szCs w:val="26"/>
          <w:highlight w:val="none"/>
          <w:lang w:val="en-US" w:eastAsia="zh-CN" w:bidi="ar-SA"/>
        </w:rPr>
        <w:t>.1.1施工期环境管理</w:t>
      </w:r>
      <w:bookmarkEnd w:id="151"/>
      <w:bookmarkEnd w:id="152"/>
      <w:bookmarkEnd w:id="153"/>
      <w:bookmarkEnd w:id="154"/>
      <w:bookmarkEnd w:id="155"/>
      <w:bookmarkEnd w:id="156"/>
      <w:bookmarkEnd w:id="157"/>
      <w:r>
        <w:rPr>
          <w:rFonts w:hint="eastAsia" w:ascii="Arial" w:hAnsi="Arial" w:eastAsia="宋体" w:cs="Arial"/>
          <w:b/>
          <w:bCs/>
          <w:kern w:val="2"/>
          <w:sz w:val="26"/>
          <w:szCs w:val="26"/>
          <w:highlight w:val="none"/>
          <w:lang w:val="en-US" w:eastAsia="zh-CN" w:bidi="ar-SA"/>
        </w:rPr>
        <w:fldChar w:fldCharType="end"/>
      </w:r>
      <w:bookmarkEnd w:id="150"/>
    </w:p>
    <w:p w14:paraId="0A1A94EA">
      <w:pPr>
        <w:pStyle w:val="187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Arial" w:hAnsi="Arial" w:eastAsia="宋体" w:cs="Arial"/>
          <w:sz w:val="26"/>
          <w:szCs w:val="26"/>
          <w:lang w:val="en-US" w:eastAsia="zh-CN"/>
        </w:rPr>
      </w:pPr>
      <w:r>
        <w:rPr>
          <w:rFonts w:hint="eastAsia" w:ascii="Arial" w:hAnsi="Arial" w:eastAsia="宋体" w:cs="Arial"/>
          <w:sz w:val="26"/>
          <w:szCs w:val="26"/>
          <w:lang w:val="en-US" w:eastAsia="zh-CN"/>
        </w:rPr>
        <w:t>环境管理的具体实施单位是</w:t>
      </w:r>
      <w:r>
        <w:rPr>
          <w:rFonts w:hint="eastAsia" w:ascii="Arial" w:hAnsi="Arial" w:cs="Arial"/>
          <w:sz w:val="26"/>
          <w:szCs w:val="26"/>
          <w:lang w:val="en-US" w:eastAsia="zh-CN"/>
        </w:rPr>
        <w:t>丰都县水利工程服务中心</w:t>
      </w:r>
      <w:r>
        <w:rPr>
          <w:rFonts w:hint="eastAsia" w:ascii="Arial" w:hAnsi="Arial" w:eastAsia="宋体" w:cs="Arial"/>
          <w:sz w:val="26"/>
          <w:szCs w:val="26"/>
          <w:lang w:val="en-US" w:eastAsia="zh-CN"/>
        </w:rPr>
        <w:t>。建议由建设单位管理部门安排1~2 名环境管理人员，在项目法人的领导下建立环境管理机构，负责拟建项目的环境保护管理工作，协调解决施工过程的环境问题。</w:t>
      </w:r>
      <w:r>
        <w:rPr>
          <w:rFonts w:hint="eastAsia" w:ascii="Arial" w:hAnsi="Arial" w:cs="Arial"/>
          <w:sz w:val="26"/>
          <w:szCs w:val="26"/>
          <w:lang w:val="en-US" w:eastAsia="zh-CN"/>
        </w:rPr>
        <w:t>环境管理工作内容如下：</w:t>
      </w:r>
    </w:p>
    <w:p w14:paraId="7C983E02">
      <w:pPr>
        <w:spacing w:line="460" w:lineRule="exact"/>
        <w:ind w:firstLine="520" w:firstLineChars="200"/>
        <w:rPr>
          <w:rFonts w:hint="eastAsia" w:ascii="Arial" w:hAnsi="Arial" w:cs="Arial"/>
          <w:color w:val="000000"/>
          <w:sz w:val="26"/>
        </w:rPr>
      </w:pPr>
      <w:r>
        <w:rPr>
          <w:rFonts w:hint="eastAsia" w:ascii="Arial" w:hAnsi="Arial" w:cs="Arial"/>
          <w:color w:val="000000"/>
          <w:sz w:val="26"/>
        </w:rPr>
        <w:t>① 贯彻执行国家、地方和行业环保部门的环境保护法规和标准；</w:t>
      </w:r>
    </w:p>
    <w:p w14:paraId="5C3BCCD8">
      <w:pPr>
        <w:spacing w:line="460" w:lineRule="exact"/>
        <w:ind w:firstLine="520" w:firstLineChars="200"/>
        <w:rPr>
          <w:rFonts w:hint="eastAsia" w:ascii="Arial" w:hAnsi="Arial" w:cs="Arial"/>
          <w:color w:val="000000"/>
          <w:sz w:val="26"/>
        </w:rPr>
      </w:pPr>
      <w:r>
        <w:rPr>
          <w:rFonts w:hint="eastAsia" w:ascii="Arial" w:hAnsi="Arial" w:cs="Arial"/>
          <w:color w:val="000000"/>
          <w:sz w:val="26"/>
        </w:rPr>
        <w:t>② 建立健全各种环境保护规章制度、环境风险事故应急预案，并检查督促实施，建议在工程施工合同中包括落实环境保护、水土保持、生态保护及恢复、突发环境事故应急措施等有关条款；</w:t>
      </w:r>
    </w:p>
    <w:p w14:paraId="27634F24">
      <w:pPr>
        <w:spacing w:line="460" w:lineRule="exact"/>
        <w:ind w:firstLine="520" w:firstLineChars="200"/>
        <w:rPr>
          <w:rFonts w:hint="eastAsia" w:ascii="Arial" w:hAnsi="Arial" w:cs="Arial"/>
          <w:color w:val="000000"/>
          <w:sz w:val="26"/>
        </w:rPr>
      </w:pPr>
      <w:r>
        <w:rPr>
          <w:rFonts w:hint="eastAsia" w:ascii="Arial" w:hAnsi="Arial" w:cs="Arial"/>
          <w:color w:val="000000"/>
          <w:sz w:val="26"/>
        </w:rPr>
        <w:t>③ 根据</w:t>
      </w:r>
      <w:r>
        <w:rPr>
          <w:rFonts w:ascii="宋体" w:hAnsi="宋体" w:cs="Arial"/>
          <w:color w:val="000000"/>
          <w:sz w:val="26"/>
        </w:rPr>
        <w:t>“</w:t>
      </w:r>
      <w:r>
        <w:rPr>
          <w:rFonts w:hint="eastAsia" w:ascii="Arial" w:hAnsi="Arial" w:cs="Arial"/>
          <w:color w:val="000000"/>
          <w:sz w:val="26"/>
        </w:rPr>
        <w:t>三同时</w:t>
      </w:r>
      <w:r>
        <w:rPr>
          <w:rFonts w:ascii="宋体" w:hAnsi="宋体" w:cs="Arial"/>
          <w:color w:val="000000"/>
          <w:sz w:val="26"/>
        </w:rPr>
        <w:t>”</w:t>
      </w:r>
      <w:r>
        <w:rPr>
          <w:rFonts w:hint="eastAsia" w:ascii="Arial" w:hAnsi="Arial" w:cs="Arial"/>
          <w:color w:val="000000"/>
          <w:sz w:val="26"/>
        </w:rPr>
        <w:t>制度，不断落实环评报告中的各项环境保护措施，组织环境监测工作，建立环境管理档案，对环保设施进行检查和维护；</w:t>
      </w:r>
    </w:p>
    <w:p w14:paraId="0E32D13B">
      <w:pPr>
        <w:spacing w:line="460" w:lineRule="exact"/>
        <w:ind w:firstLine="520" w:firstLineChars="200"/>
        <w:rPr>
          <w:rFonts w:hint="eastAsia" w:ascii="Arial" w:hAnsi="Arial" w:cs="Arial"/>
          <w:color w:val="000000"/>
          <w:sz w:val="26"/>
        </w:rPr>
      </w:pPr>
      <w:r>
        <w:rPr>
          <w:rFonts w:hint="eastAsia" w:ascii="Arial" w:hAnsi="Arial" w:cs="Arial"/>
          <w:color w:val="000000"/>
          <w:sz w:val="26"/>
        </w:rPr>
        <w:t>④ 协助当地环保部门开展环境保护工作，处理与工程有关的环境问题；</w:t>
      </w:r>
    </w:p>
    <w:p w14:paraId="5803BD96">
      <w:pPr>
        <w:spacing w:line="460" w:lineRule="exact"/>
        <w:ind w:firstLine="520" w:firstLineChars="200"/>
        <w:rPr>
          <w:rFonts w:hint="eastAsia" w:ascii="Arial" w:hAnsi="Arial" w:cs="Arial"/>
          <w:color w:val="000000"/>
          <w:sz w:val="26"/>
        </w:rPr>
      </w:pPr>
      <w:r>
        <w:rPr>
          <w:rFonts w:hint="eastAsia" w:ascii="Arial" w:hAnsi="Arial" w:cs="Arial"/>
          <w:color w:val="000000"/>
          <w:sz w:val="26"/>
        </w:rPr>
        <w:t>⑤ 掌握工程区环境状况，对污染物排放和生态破坏情况进行</w:t>
      </w:r>
      <w:r>
        <w:rPr>
          <w:rFonts w:hint="eastAsia" w:ascii="Arial" w:hAnsi="Arial" w:cs="Arial"/>
          <w:color w:val="000000"/>
          <w:sz w:val="26"/>
          <w:lang w:eastAsia="zh-CN"/>
        </w:rPr>
        <w:t>记录、汇总</w:t>
      </w:r>
      <w:r>
        <w:rPr>
          <w:rFonts w:hint="eastAsia" w:ascii="Arial" w:hAnsi="Arial" w:cs="Arial"/>
          <w:color w:val="000000"/>
          <w:sz w:val="26"/>
        </w:rPr>
        <w:t>；</w:t>
      </w:r>
    </w:p>
    <w:p w14:paraId="0AD91BD4">
      <w:pPr>
        <w:spacing w:line="460" w:lineRule="exact"/>
        <w:ind w:firstLine="520" w:firstLineChars="200"/>
        <w:rPr>
          <w:rFonts w:hint="eastAsia" w:ascii="Arial" w:hAnsi="Arial" w:cs="Arial"/>
          <w:color w:val="000000"/>
          <w:sz w:val="26"/>
        </w:rPr>
      </w:pPr>
      <w:r>
        <w:rPr>
          <w:rFonts w:hint="eastAsia" w:ascii="Arial" w:hAnsi="Arial" w:cs="Arial"/>
          <w:color w:val="000000"/>
          <w:sz w:val="26"/>
        </w:rPr>
        <w:t>⑥ 积累、保存、管理与拟建项目环境保护有关的资料、文件；</w:t>
      </w:r>
    </w:p>
    <w:p w14:paraId="3B84CC5E">
      <w:pPr>
        <w:spacing w:line="460" w:lineRule="exact"/>
        <w:ind w:firstLine="520" w:firstLineChars="200"/>
        <w:rPr>
          <w:rFonts w:hint="eastAsia" w:ascii="Arial" w:hAnsi="Arial" w:cs="Arial"/>
          <w:color w:val="000000"/>
          <w:sz w:val="26"/>
        </w:rPr>
      </w:pPr>
      <w:r>
        <w:rPr>
          <w:rFonts w:hint="eastAsia" w:ascii="Arial" w:hAnsi="Arial" w:cs="Arial"/>
          <w:color w:val="000000"/>
          <w:sz w:val="26"/>
        </w:rPr>
        <w:t>⑦ 做好环保宣传和教育工作，提高施工人员环保意识；</w:t>
      </w:r>
    </w:p>
    <w:p w14:paraId="48F18C4E">
      <w:pPr>
        <w:spacing w:line="460" w:lineRule="exact"/>
        <w:ind w:firstLine="520" w:firstLineChars="200"/>
        <w:rPr>
          <w:rFonts w:hint="eastAsia" w:ascii="Arial" w:hAnsi="Arial" w:cs="Arial"/>
          <w:color w:val="000000"/>
          <w:sz w:val="26"/>
        </w:rPr>
      </w:pPr>
      <w:r>
        <w:rPr>
          <w:rFonts w:hint="eastAsia" w:ascii="Arial" w:hAnsi="Arial" w:cs="Arial"/>
          <w:color w:val="000000"/>
          <w:sz w:val="26"/>
        </w:rPr>
        <w:t>⑧ 定期积极向领导汇报项目环境保护相关情况。</w:t>
      </w:r>
    </w:p>
    <w:p w14:paraId="4AA74C27">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outlineLvl w:val="2"/>
        <w:rPr>
          <w:rFonts w:hint="eastAsia" w:ascii="Arial" w:hAnsi="Arial" w:eastAsia="宋体" w:cs="Arial"/>
          <w:b/>
          <w:bCs/>
          <w:kern w:val="2"/>
          <w:sz w:val="26"/>
          <w:szCs w:val="26"/>
          <w:highlight w:val="none"/>
          <w:lang w:val="en-US" w:eastAsia="zh-CN" w:bidi="ar-SA"/>
        </w:rPr>
      </w:pPr>
      <w:bookmarkStart w:id="158" w:name="_Toc11156"/>
      <w:r>
        <w:rPr>
          <w:rFonts w:hint="eastAsia" w:ascii="Arial" w:hAnsi="Arial" w:eastAsia="宋体" w:cs="Arial"/>
          <w:b/>
          <w:bCs/>
          <w:kern w:val="2"/>
          <w:sz w:val="26"/>
          <w:szCs w:val="26"/>
          <w:highlight w:val="none"/>
          <w:lang w:val="en-US" w:eastAsia="zh-CN" w:bidi="ar-SA"/>
        </w:rPr>
        <w:fldChar w:fldCharType="begin"/>
      </w:r>
      <w:r>
        <w:rPr>
          <w:rFonts w:hint="eastAsia" w:ascii="Arial" w:hAnsi="Arial" w:eastAsia="宋体" w:cs="Arial"/>
          <w:b/>
          <w:bCs/>
          <w:kern w:val="2"/>
          <w:sz w:val="26"/>
          <w:szCs w:val="26"/>
          <w:highlight w:val="none"/>
          <w:lang w:val="en-US" w:eastAsia="zh-CN" w:bidi="ar-SA"/>
        </w:rPr>
        <w:instrText xml:space="preserve"> HYPERLINK "file:///C:\\Users\\Administrator\\AppData\\2018\\1、项目\\4、梁平水泥窑\\环评报批版\\文本\\梁平水泥窑（报批版）—8份，A4双面.doc" \l "_Toc446494582#_Toc446494582" </w:instrText>
      </w:r>
      <w:r>
        <w:rPr>
          <w:rFonts w:hint="eastAsia" w:ascii="Arial" w:hAnsi="Arial" w:eastAsia="宋体" w:cs="Arial"/>
          <w:b/>
          <w:bCs/>
          <w:kern w:val="2"/>
          <w:sz w:val="26"/>
          <w:szCs w:val="26"/>
          <w:highlight w:val="none"/>
          <w:lang w:val="en-US" w:eastAsia="zh-CN" w:bidi="ar-SA"/>
        </w:rPr>
        <w:fldChar w:fldCharType="separate"/>
      </w:r>
      <w:r>
        <w:rPr>
          <w:rFonts w:hint="eastAsia" w:ascii="Arial" w:hAnsi="Arial" w:cs="Arial"/>
          <w:b/>
          <w:bCs/>
          <w:kern w:val="2"/>
          <w:sz w:val="26"/>
          <w:szCs w:val="26"/>
          <w:highlight w:val="none"/>
          <w:lang w:val="en-US" w:eastAsia="zh-CN" w:bidi="ar-SA"/>
        </w:rPr>
        <w:t>9</w:t>
      </w:r>
      <w:r>
        <w:rPr>
          <w:rFonts w:hint="eastAsia" w:ascii="Arial" w:hAnsi="Arial" w:eastAsia="宋体" w:cs="Arial"/>
          <w:b/>
          <w:bCs/>
          <w:kern w:val="2"/>
          <w:sz w:val="26"/>
          <w:szCs w:val="26"/>
          <w:highlight w:val="none"/>
          <w:lang w:val="en-US" w:eastAsia="zh-CN" w:bidi="ar-SA"/>
        </w:rPr>
        <w:t>.1.2运营期环境管理</w:t>
      </w:r>
      <w:r>
        <w:rPr>
          <w:rFonts w:hint="eastAsia" w:ascii="Arial" w:hAnsi="Arial" w:eastAsia="宋体" w:cs="Arial"/>
          <w:b/>
          <w:bCs/>
          <w:kern w:val="2"/>
          <w:sz w:val="26"/>
          <w:szCs w:val="26"/>
          <w:highlight w:val="none"/>
          <w:lang w:val="en-US" w:eastAsia="zh-CN" w:bidi="ar-SA"/>
        </w:rPr>
        <w:fldChar w:fldCharType="end"/>
      </w:r>
      <w:bookmarkEnd w:id="158"/>
    </w:p>
    <w:p w14:paraId="4A1A048F">
      <w:pPr>
        <w:spacing w:line="460" w:lineRule="exact"/>
        <w:ind w:firstLine="520" w:firstLineChars="200"/>
        <w:rPr>
          <w:rFonts w:hint="eastAsia" w:ascii="Arial" w:hAnsi="Arial" w:cs="Arial"/>
          <w:sz w:val="26"/>
          <w:szCs w:val="26"/>
        </w:rPr>
      </w:pPr>
      <w:r>
        <w:rPr>
          <w:rFonts w:hint="eastAsia" w:ascii="Arial" w:hAnsi="Arial" w:eastAsia="宋体" w:cs="Arial"/>
          <w:color w:val="000000"/>
          <w:sz w:val="26"/>
          <w:lang w:val="en-US" w:eastAsia="zh-CN"/>
        </w:rPr>
        <w:t>本工程属于</w:t>
      </w:r>
      <w:r>
        <w:rPr>
          <w:rFonts w:hint="eastAsia" w:ascii="Arial" w:hAnsi="Arial" w:cs="Arial"/>
          <w:color w:val="000000"/>
          <w:sz w:val="26"/>
          <w:lang w:val="en-US" w:eastAsia="zh-CN"/>
        </w:rPr>
        <w:t>水利</w:t>
      </w:r>
      <w:r>
        <w:rPr>
          <w:rFonts w:hint="eastAsia" w:ascii="Arial" w:hAnsi="Arial" w:eastAsia="宋体" w:cs="Arial"/>
          <w:color w:val="000000"/>
          <w:sz w:val="26"/>
          <w:lang w:val="en-US" w:eastAsia="zh-CN"/>
        </w:rPr>
        <w:t>设施建设项目，运行期环境管理任务的重点在坝区和渠系区域，</w:t>
      </w:r>
      <w:r>
        <w:rPr>
          <w:rFonts w:hint="eastAsia" w:ascii="Arial" w:hAnsi="Arial" w:cs="Arial"/>
          <w:sz w:val="26"/>
          <w:szCs w:val="26"/>
        </w:rPr>
        <w:t>建议由项目业主在以上区域设置兼职环境管理人员</w:t>
      </w:r>
      <w:r>
        <w:rPr>
          <w:rFonts w:ascii="Arial" w:hAnsi="Arial" w:cs="Arial"/>
          <w:sz w:val="26"/>
          <w:szCs w:val="26"/>
        </w:rPr>
        <w:t>1</w:t>
      </w:r>
      <w:r>
        <w:rPr>
          <w:rFonts w:hint="eastAsia" w:ascii="Arial" w:hAnsi="Arial" w:cs="Arial"/>
          <w:sz w:val="26"/>
          <w:szCs w:val="26"/>
        </w:rPr>
        <w:t>人，负责环境管理工作，</w:t>
      </w:r>
      <w:r>
        <w:rPr>
          <w:rFonts w:hint="eastAsia"/>
          <w:sz w:val="26"/>
          <w:szCs w:val="26"/>
        </w:rPr>
        <w:t>重点是做好水库的调度工作，及时掌握库区污染源特征、污染物种类和数量，</w:t>
      </w:r>
      <w:r>
        <w:rPr>
          <w:rFonts w:hint="eastAsia" w:ascii="Arial" w:hAnsi="Arial" w:cs="Arial"/>
          <w:sz w:val="26"/>
          <w:szCs w:val="26"/>
        </w:rPr>
        <w:t>以及做好坝址处下泄生态基流管理。</w:t>
      </w:r>
      <w:r>
        <w:rPr>
          <w:rFonts w:hint="eastAsia"/>
          <w:sz w:val="26"/>
          <w:szCs w:val="26"/>
        </w:rPr>
        <w:t>根据实际情况，制定相关的污染防治方案，防治库区水质污染，</w:t>
      </w:r>
      <w:r>
        <w:rPr>
          <w:rFonts w:hint="eastAsia" w:ascii="Arial" w:hAnsi="Arial" w:cs="Arial"/>
          <w:sz w:val="26"/>
          <w:szCs w:val="26"/>
        </w:rPr>
        <w:t>此外还应做好生态恢复工作。</w:t>
      </w:r>
    </w:p>
    <w:p w14:paraId="768D7B01">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①设置生态放水管，采用DN100mm钢管，</w:t>
      </w:r>
      <w:r>
        <w:rPr>
          <w:rFonts w:hint="eastAsia" w:ascii="Arial" w:hAnsi="Arial" w:eastAsia="宋体" w:cs="Arial"/>
          <w:color w:val="000000"/>
          <w:sz w:val="26"/>
          <w:lang w:val="zh-CN" w:eastAsia="zh-CN"/>
        </w:rPr>
        <w:t>下泄生态流量为混合后的库区蓄水，</w:t>
      </w:r>
      <w:r>
        <w:rPr>
          <w:rFonts w:hint="eastAsia" w:ascii="Arial" w:hAnsi="Arial" w:eastAsia="宋体" w:cs="Arial"/>
          <w:color w:val="000000"/>
          <w:sz w:val="26"/>
          <w:lang w:val="en-US" w:eastAsia="zh-CN"/>
        </w:rPr>
        <w:t>不得直接下泄最底层水，下泄生态流量</w:t>
      </w:r>
      <w:r>
        <w:rPr>
          <w:rFonts w:hint="eastAsia" w:ascii="Arial" w:hAnsi="Arial" w:cs="Arial"/>
          <w:color w:val="000000"/>
          <w:sz w:val="26"/>
          <w:lang w:val="en-US" w:eastAsia="zh-CN"/>
        </w:rPr>
        <w:t>为0.005</w:t>
      </w:r>
      <w:r>
        <w:rPr>
          <w:rFonts w:hint="eastAsia" w:ascii="Arial" w:hAnsi="Arial" w:eastAsia="宋体" w:cs="Arial"/>
          <w:color w:val="000000"/>
          <w:sz w:val="26"/>
          <w:lang w:val="en-US" w:eastAsia="zh-CN"/>
        </w:rPr>
        <w:t>m</w:t>
      </w:r>
      <w:r>
        <w:rPr>
          <w:rFonts w:hint="eastAsia" w:ascii="Arial" w:hAnsi="Arial" w:eastAsia="宋体" w:cs="Arial"/>
          <w:color w:val="000000"/>
          <w:sz w:val="26"/>
          <w:vertAlign w:val="superscript"/>
          <w:lang w:val="en-US" w:eastAsia="zh-CN"/>
        </w:rPr>
        <w:t>3</w:t>
      </w:r>
      <w:r>
        <w:rPr>
          <w:rFonts w:hint="eastAsia" w:ascii="Arial" w:hAnsi="Arial" w:eastAsia="宋体" w:cs="Arial"/>
          <w:color w:val="000000"/>
          <w:sz w:val="26"/>
          <w:lang w:val="en-US" w:eastAsia="zh-CN"/>
        </w:rPr>
        <w:t>/s</w:t>
      </w:r>
      <w:r>
        <w:rPr>
          <w:rFonts w:hint="eastAsia" w:ascii="Arial" w:hAnsi="Arial" w:cs="Arial"/>
          <w:color w:val="000000"/>
          <w:sz w:val="26"/>
          <w:lang w:val="en-US" w:eastAsia="zh-CN"/>
        </w:rPr>
        <w:t>；设置生态流量在线监控装置，与主管部门联网运行。</w:t>
      </w:r>
      <w:r>
        <w:rPr>
          <w:rFonts w:hint="eastAsia" w:ascii="Arial" w:hAnsi="Arial" w:eastAsia="宋体" w:cs="Arial"/>
          <w:color w:val="000000"/>
          <w:sz w:val="26"/>
          <w:lang w:val="zh-CN" w:eastAsia="zh-CN"/>
        </w:rPr>
        <w:t>在水库初期蓄水阶段，当水位未达到高程</w:t>
      </w:r>
      <w:r>
        <w:rPr>
          <w:rFonts w:hint="eastAsia" w:ascii="Arial" w:hAnsi="Arial" w:cs="Arial"/>
          <w:color w:val="000000"/>
          <w:sz w:val="26"/>
          <w:lang w:val="en-US" w:eastAsia="zh-CN"/>
        </w:rPr>
        <w:t>407.5</w:t>
      </w:r>
      <w:r>
        <w:rPr>
          <w:rFonts w:hint="eastAsia" w:ascii="Arial" w:hAnsi="Arial" w:eastAsia="宋体" w:cs="Arial"/>
          <w:color w:val="000000"/>
          <w:sz w:val="26"/>
          <w:lang w:val="zh-CN" w:eastAsia="zh-CN"/>
        </w:rPr>
        <w:t>m</w:t>
      </w:r>
      <w:r>
        <w:rPr>
          <w:rFonts w:hint="eastAsia" w:ascii="Arial" w:hAnsi="Arial" w:eastAsia="宋体" w:cs="Arial"/>
          <w:color w:val="000000"/>
          <w:sz w:val="26"/>
          <w:lang w:val="en-US" w:eastAsia="zh-CN"/>
        </w:rPr>
        <w:t>时，用水泵等抽水装置将水抽送至生态放水管，向坝后下泄生态流量。</w:t>
      </w:r>
    </w:p>
    <w:p w14:paraId="2CF031F9">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②执行国家、地方和行业环保部门的环境保护要求，制定工程的环境保护规划和环境保护规章制度。</w:t>
      </w:r>
    </w:p>
    <w:p w14:paraId="00C4D08F">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③严格实施环境监测计划，及时掌握水质情况，并采取切实可行的保护措施。</w:t>
      </w:r>
    </w:p>
    <w:p w14:paraId="63AAE6D9">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④开展保护生态、保护水资源、保护森林资源的环境保护宣传，提高人们的环境意识。</w:t>
      </w:r>
    </w:p>
    <w:p w14:paraId="407E9FCF">
      <w:pPr>
        <w:spacing w:line="460" w:lineRule="exact"/>
        <w:ind w:firstLine="520" w:firstLineChars="200"/>
        <w:rPr>
          <w:rFonts w:hint="default" w:ascii="Arial" w:hAnsi="Arial" w:eastAsia="宋体" w:cs="Arial"/>
          <w:color w:val="000000"/>
          <w:sz w:val="26"/>
          <w:lang w:val="en-US" w:eastAsia="zh-CN"/>
        </w:rPr>
      </w:pPr>
      <w:r>
        <w:rPr>
          <w:rFonts w:hint="eastAsia" w:ascii="宋体" w:hAnsi="宋体" w:eastAsia="宋体" w:cs="宋体"/>
          <w:color w:val="000000"/>
          <w:sz w:val="26"/>
          <w:lang w:val="en-US" w:eastAsia="zh-CN"/>
        </w:rPr>
        <w:t>⑤</w:t>
      </w:r>
      <w:r>
        <w:rPr>
          <w:rFonts w:hint="eastAsia" w:ascii="Arial" w:hAnsi="Arial" w:eastAsia="宋体" w:cs="Arial"/>
          <w:color w:val="000000"/>
          <w:sz w:val="26"/>
          <w:lang w:val="en-US" w:eastAsia="zh-CN"/>
        </w:rPr>
        <w:t>协助当地环保部门开展环境保护工作，排查和控制大坝集雨范围内污染源，保障库区水源水质安全，处理与工程有关的环境问题。</w:t>
      </w:r>
    </w:p>
    <w:p w14:paraId="18248A97">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highlight w:val="none"/>
          <w:lang w:val="en-US" w:eastAsia="zh-CN"/>
        </w:rPr>
      </w:pPr>
      <w:bookmarkStart w:id="159" w:name="_Toc21542"/>
      <w:r>
        <w:rPr>
          <w:rFonts w:hint="eastAsia" w:ascii="Arial" w:hAnsi="Arial" w:cs="Arial"/>
          <w:sz w:val="26"/>
          <w:szCs w:val="26"/>
          <w:highlight w:val="none"/>
          <w:lang w:val="en-US" w:eastAsia="zh-CN"/>
        </w:rPr>
        <w:t>9</w:t>
      </w:r>
      <w:r>
        <w:rPr>
          <w:rFonts w:hint="eastAsia" w:ascii="Arial" w:hAnsi="Arial" w:eastAsia="宋体" w:cs="Arial"/>
          <w:sz w:val="26"/>
          <w:szCs w:val="26"/>
          <w:highlight w:val="none"/>
          <w:lang w:val="en-US" w:eastAsia="zh-CN"/>
        </w:rPr>
        <w:t>.2环境监理</w:t>
      </w:r>
      <w:bookmarkEnd w:id="159"/>
    </w:p>
    <w:p w14:paraId="7EC1AFCB">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为强化对工程建设的环境监督管理，业主需委托相关单位承担本环境监理工作，配备环境监理人员数名，主要通过现场监督执法工作，使承包商注意避免和及时处理环境施工中出现的污染问题。环境监理机构由项目业主单位在具有相应资质的单位中招标确定，具体工作职责为：</w:t>
      </w:r>
    </w:p>
    <w:p w14:paraId="0076E2F6">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① 受业主委托，监督、检查工程环保措施实施进度、质量、资金及效果。</w:t>
      </w:r>
    </w:p>
    <w:p w14:paraId="48B37A1D">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② 有权就施工单位提出的施工组织设计、施工技术方案和施工进度计划提出环保方面的改进意见，以确保环保措施的实施。</w:t>
      </w:r>
    </w:p>
    <w:p w14:paraId="78B241B2">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③ 审查施工单位提出的可能造成污染的材料和设备清单及各项环保指标。</w:t>
      </w:r>
    </w:p>
    <w:p w14:paraId="14A977EF">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④ 监理过程中发现环境问题，以书面形式通知责任单位，要求限期处理。</w:t>
      </w:r>
    </w:p>
    <w:p w14:paraId="2D9302D0">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⑤ 配合环境监测部门对施工期环境质量进行监测。</w:t>
      </w:r>
    </w:p>
    <w:p w14:paraId="32E6B3AB">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⑥ 对施工过程及竣工后的施工迹地，依据环境保护要求进行监督、检查和验收。</w:t>
      </w:r>
    </w:p>
    <w:p w14:paraId="4F696D09">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⑦ 工程质量认可需包括环境质量认可，工程的验收凡有关环保的内容需环境监理工程师参加，并签字认可。</w:t>
      </w:r>
    </w:p>
    <w:p w14:paraId="52F263E4">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⑧ 环境监理部应以监理月报、年报的形式及时向业主汇报环境监理工作的情况，反映工作中存在的问题，以做好工程区施工期的环境保护工作。</w:t>
      </w:r>
    </w:p>
    <w:p w14:paraId="603FE022">
      <w:pPr>
        <w:spacing w:line="460" w:lineRule="exact"/>
        <w:ind w:firstLine="520" w:firstLineChars="200"/>
        <w:rPr>
          <w:rFonts w:hint="eastAsia" w:ascii="Arial" w:hAnsi="Arial" w:eastAsia="宋体" w:cs="Arial"/>
          <w:color w:val="000000"/>
          <w:sz w:val="26"/>
          <w:lang w:val="en-US" w:eastAsia="zh-CN"/>
        </w:rPr>
      </w:pPr>
      <w:r>
        <w:rPr>
          <w:rFonts w:hint="eastAsia" w:ascii="Arial" w:hAnsi="Arial" w:eastAsia="宋体" w:cs="Arial"/>
          <w:color w:val="000000"/>
          <w:sz w:val="26"/>
          <w:lang w:val="en-US" w:eastAsia="zh-CN"/>
        </w:rPr>
        <w:t>评价提出施工期的环境监理计划如下：</w:t>
      </w:r>
    </w:p>
    <w:p w14:paraId="7F01E819">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Arial" w:hAnsi="Arial" w:cs="Arial"/>
          <w:b/>
          <w:bCs/>
          <w:color w:val="000000"/>
          <w:sz w:val="26"/>
          <w:lang w:val="en-US" w:eastAsia="zh-CN"/>
        </w:rPr>
      </w:pPr>
      <w:r>
        <w:rPr>
          <w:rFonts w:hint="eastAsia" w:ascii="Arial" w:hAnsi="Arial" w:cs="Arial"/>
          <w:b/>
          <w:bCs/>
          <w:color w:val="000000"/>
          <w:sz w:val="26"/>
          <w:lang w:val="en-US" w:eastAsia="zh-CN"/>
        </w:rPr>
        <w:t>表9.2-1 施工期环境监理计划</w:t>
      </w:r>
    </w:p>
    <w:tbl>
      <w:tblPr>
        <w:tblStyle w:val="77"/>
        <w:tblW w:w="937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2"/>
        <w:gridCol w:w="6795"/>
        <w:gridCol w:w="667"/>
        <w:gridCol w:w="670"/>
      </w:tblGrid>
      <w:tr w14:paraId="430650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242" w:type="dxa"/>
            <w:noWrap w:val="0"/>
            <w:vAlign w:val="center"/>
          </w:tcPr>
          <w:p w14:paraId="7B2E265E">
            <w:pPr>
              <w:pStyle w:val="946"/>
              <w:spacing w:line="300" w:lineRule="exact"/>
              <w:rPr>
                <w:rFonts w:ascii="Arial" w:hAnsi="Arial" w:cs="Arial"/>
                <w:sz w:val="22"/>
                <w:szCs w:val="22"/>
              </w:rPr>
            </w:pPr>
            <w:r>
              <w:rPr>
                <w:rFonts w:ascii="Arial" w:cs="Arial"/>
                <w:sz w:val="22"/>
                <w:szCs w:val="22"/>
              </w:rPr>
              <w:t>监理对象</w:t>
            </w:r>
          </w:p>
        </w:tc>
        <w:tc>
          <w:tcPr>
            <w:tcW w:w="6795" w:type="dxa"/>
            <w:noWrap w:val="0"/>
            <w:vAlign w:val="center"/>
          </w:tcPr>
          <w:p w14:paraId="374B0A8F">
            <w:pPr>
              <w:pStyle w:val="946"/>
              <w:spacing w:line="300" w:lineRule="exact"/>
              <w:rPr>
                <w:rFonts w:ascii="Arial" w:hAnsi="Arial" w:cs="Arial"/>
                <w:sz w:val="22"/>
                <w:szCs w:val="22"/>
              </w:rPr>
            </w:pPr>
            <w:r>
              <w:rPr>
                <w:rFonts w:ascii="Arial" w:cs="Arial"/>
                <w:sz w:val="22"/>
                <w:szCs w:val="22"/>
              </w:rPr>
              <w:t>监理内容</w:t>
            </w:r>
          </w:p>
        </w:tc>
        <w:tc>
          <w:tcPr>
            <w:tcW w:w="667" w:type="dxa"/>
            <w:noWrap w:val="0"/>
            <w:vAlign w:val="center"/>
          </w:tcPr>
          <w:p w14:paraId="5DD6B4D2">
            <w:pPr>
              <w:pStyle w:val="946"/>
              <w:spacing w:line="300" w:lineRule="exact"/>
              <w:rPr>
                <w:rFonts w:ascii="Arial" w:hAnsi="Arial" w:cs="Arial"/>
                <w:sz w:val="22"/>
                <w:szCs w:val="22"/>
              </w:rPr>
            </w:pPr>
            <w:r>
              <w:rPr>
                <w:rFonts w:ascii="Arial" w:cs="Arial"/>
                <w:sz w:val="22"/>
                <w:szCs w:val="22"/>
              </w:rPr>
              <w:t>实施</w:t>
            </w:r>
          </w:p>
          <w:p w14:paraId="686E4F49">
            <w:pPr>
              <w:pStyle w:val="946"/>
              <w:spacing w:line="300" w:lineRule="exact"/>
              <w:rPr>
                <w:rFonts w:ascii="Arial" w:hAnsi="Arial" w:cs="Arial"/>
                <w:sz w:val="22"/>
                <w:szCs w:val="22"/>
              </w:rPr>
            </w:pPr>
            <w:r>
              <w:rPr>
                <w:rFonts w:ascii="Arial" w:cs="Arial"/>
                <w:sz w:val="22"/>
                <w:szCs w:val="22"/>
              </w:rPr>
              <w:t>单位</w:t>
            </w:r>
          </w:p>
        </w:tc>
        <w:tc>
          <w:tcPr>
            <w:tcW w:w="670" w:type="dxa"/>
            <w:noWrap w:val="0"/>
            <w:vAlign w:val="center"/>
          </w:tcPr>
          <w:p w14:paraId="1316FFE6">
            <w:pPr>
              <w:pStyle w:val="946"/>
              <w:spacing w:line="300" w:lineRule="exact"/>
              <w:rPr>
                <w:rFonts w:ascii="Arial" w:hAnsi="Arial" w:cs="Arial"/>
                <w:sz w:val="22"/>
                <w:szCs w:val="22"/>
              </w:rPr>
            </w:pPr>
            <w:r>
              <w:rPr>
                <w:rFonts w:ascii="Arial" w:cs="Arial"/>
                <w:sz w:val="22"/>
                <w:szCs w:val="22"/>
              </w:rPr>
              <w:t>责任单位</w:t>
            </w:r>
          </w:p>
        </w:tc>
      </w:tr>
      <w:tr w14:paraId="4BCFEE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noWrap w:val="0"/>
            <w:vAlign w:val="center"/>
          </w:tcPr>
          <w:p w14:paraId="40EC5502">
            <w:pPr>
              <w:pStyle w:val="946"/>
              <w:spacing w:line="300" w:lineRule="exact"/>
              <w:rPr>
                <w:rFonts w:ascii="Arial" w:hAnsi="Arial" w:cs="Arial"/>
                <w:sz w:val="22"/>
                <w:szCs w:val="22"/>
              </w:rPr>
            </w:pPr>
            <w:r>
              <w:rPr>
                <w:rFonts w:ascii="Arial" w:cs="Arial"/>
                <w:sz w:val="22"/>
                <w:szCs w:val="22"/>
              </w:rPr>
              <w:t>水土保持</w:t>
            </w:r>
          </w:p>
        </w:tc>
        <w:tc>
          <w:tcPr>
            <w:tcW w:w="6795" w:type="dxa"/>
            <w:noWrap w:val="0"/>
            <w:vAlign w:val="center"/>
          </w:tcPr>
          <w:p w14:paraId="45E5DE8E">
            <w:pPr>
              <w:pStyle w:val="946"/>
              <w:spacing w:line="300" w:lineRule="exact"/>
              <w:jc w:val="both"/>
              <w:rPr>
                <w:rFonts w:ascii="Arial" w:hAnsi="Arial" w:cs="Arial"/>
                <w:sz w:val="22"/>
                <w:szCs w:val="22"/>
              </w:rPr>
            </w:pPr>
            <w:r>
              <w:rPr>
                <w:rFonts w:hint="eastAsia" w:ascii="Arial" w:hAnsi="Arial" w:cs="Arial"/>
                <w:sz w:val="22"/>
                <w:szCs w:val="22"/>
                <w:lang w:eastAsia="zh-CN"/>
              </w:rPr>
              <w:t>按照项目水土保持报告及相关批复，落实个防治分区的水土保持工作，包括</w:t>
            </w:r>
            <w:r>
              <w:rPr>
                <w:rFonts w:hint="eastAsia" w:ascii="Arial" w:cs="Arial"/>
                <w:sz w:val="22"/>
                <w:szCs w:val="22"/>
              </w:rPr>
              <w:t>采取表土剥离及回填、修建截排水沟、挡土墙、沉砂池、导流渠、边坡防护等工程措施，土地翻耕、植树、喷洒草籽等植物措施，临时截排水沟、沉砂池、遮盖、拦挡、围挡等措施</w:t>
            </w:r>
            <w:r>
              <w:rPr>
                <w:rFonts w:ascii="Arial" w:cs="Arial"/>
                <w:sz w:val="22"/>
                <w:szCs w:val="22"/>
              </w:rPr>
              <w:t>。</w:t>
            </w:r>
          </w:p>
        </w:tc>
        <w:tc>
          <w:tcPr>
            <w:tcW w:w="667" w:type="dxa"/>
            <w:vMerge w:val="restart"/>
            <w:noWrap w:val="0"/>
            <w:vAlign w:val="center"/>
          </w:tcPr>
          <w:p w14:paraId="11BB9043">
            <w:pPr>
              <w:pStyle w:val="946"/>
              <w:spacing w:line="300" w:lineRule="exact"/>
              <w:rPr>
                <w:rFonts w:ascii="Arial" w:hAnsi="Arial" w:cs="Arial"/>
                <w:sz w:val="22"/>
                <w:szCs w:val="22"/>
              </w:rPr>
            </w:pPr>
            <w:r>
              <w:rPr>
                <w:rFonts w:ascii="Arial" w:cs="Arial"/>
                <w:sz w:val="22"/>
                <w:szCs w:val="22"/>
              </w:rPr>
              <w:t>环境监理单位</w:t>
            </w:r>
          </w:p>
        </w:tc>
        <w:tc>
          <w:tcPr>
            <w:tcW w:w="670" w:type="dxa"/>
            <w:vMerge w:val="restart"/>
            <w:noWrap w:val="0"/>
            <w:vAlign w:val="center"/>
          </w:tcPr>
          <w:p w14:paraId="2FB715B8">
            <w:pPr>
              <w:pStyle w:val="946"/>
              <w:spacing w:line="300" w:lineRule="exact"/>
              <w:rPr>
                <w:rFonts w:ascii="Arial" w:hAnsi="Arial" w:cs="Arial"/>
                <w:sz w:val="22"/>
                <w:szCs w:val="22"/>
              </w:rPr>
            </w:pPr>
            <w:r>
              <w:rPr>
                <w:rFonts w:ascii="Arial" w:cs="Arial"/>
                <w:sz w:val="22"/>
                <w:szCs w:val="22"/>
              </w:rPr>
              <w:t>建设</w:t>
            </w:r>
            <w:r>
              <w:rPr>
                <w:rFonts w:ascii="Arial" w:hAnsi="Arial" w:cs="Arial"/>
                <w:sz w:val="22"/>
                <w:szCs w:val="22"/>
              </w:rPr>
              <w:t xml:space="preserve"> </w:t>
            </w:r>
            <w:r>
              <w:rPr>
                <w:rFonts w:ascii="Arial" w:cs="Arial"/>
                <w:sz w:val="22"/>
                <w:szCs w:val="22"/>
              </w:rPr>
              <w:t>单位</w:t>
            </w:r>
          </w:p>
        </w:tc>
      </w:tr>
      <w:tr w14:paraId="1FA503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noWrap w:val="0"/>
            <w:vAlign w:val="center"/>
          </w:tcPr>
          <w:p w14:paraId="06A62590">
            <w:pPr>
              <w:pStyle w:val="946"/>
              <w:spacing w:line="300" w:lineRule="exact"/>
              <w:rPr>
                <w:rFonts w:ascii="Arial" w:hAnsi="Arial" w:cs="Arial"/>
                <w:sz w:val="22"/>
                <w:szCs w:val="22"/>
              </w:rPr>
            </w:pPr>
            <w:r>
              <w:rPr>
                <w:rFonts w:ascii="Arial" w:cs="Arial"/>
                <w:sz w:val="22"/>
                <w:szCs w:val="22"/>
              </w:rPr>
              <w:t>生态环境</w:t>
            </w:r>
          </w:p>
        </w:tc>
        <w:tc>
          <w:tcPr>
            <w:tcW w:w="6795" w:type="dxa"/>
            <w:noWrap w:val="0"/>
            <w:vAlign w:val="center"/>
          </w:tcPr>
          <w:p w14:paraId="0B267DE5">
            <w:pPr>
              <w:spacing w:line="300" w:lineRule="exact"/>
              <w:jc w:val="left"/>
              <w:rPr>
                <w:rFonts w:ascii="Arial" w:hAnsi="Arial" w:cs="Arial"/>
                <w:color w:val="auto"/>
                <w:sz w:val="22"/>
                <w:szCs w:val="22"/>
              </w:rPr>
            </w:pPr>
            <w:r>
              <w:rPr>
                <w:rFonts w:hint="eastAsia" w:ascii="宋体" w:hAnsi="宋体" w:cs="宋体"/>
                <w:color w:val="auto"/>
                <w:sz w:val="22"/>
                <w:szCs w:val="22"/>
              </w:rPr>
              <w:t>①</w:t>
            </w:r>
            <w:r>
              <w:rPr>
                <w:rFonts w:ascii="Arial" w:hAnsi="Arial" w:cs="Arial"/>
                <w:color w:val="auto"/>
                <w:sz w:val="22"/>
                <w:szCs w:val="22"/>
              </w:rPr>
              <w:t xml:space="preserve"> </w:t>
            </w:r>
            <w:r>
              <w:rPr>
                <w:rFonts w:ascii="Arial" w:hAnsi="Calibri" w:cs="Arial"/>
                <w:color w:val="auto"/>
                <w:sz w:val="22"/>
                <w:szCs w:val="22"/>
              </w:rPr>
              <w:t>按照施工组织设计的要求，施工单位严格按照规定的工程征占地范围进行施工，</w:t>
            </w:r>
            <w:r>
              <w:rPr>
                <w:rFonts w:hint="eastAsia" w:ascii="Arial" w:hAnsi="Calibri" w:cs="Arial"/>
                <w:color w:val="auto"/>
                <w:sz w:val="22"/>
                <w:szCs w:val="22"/>
              </w:rPr>
              <w:t>严格控制施工占地红线，尽量将临时设施布置在项目永久占地范围内，</w:t>
            </w:r>
            <w:r>
              <w:rPr>
                <w:rFonts w:ascii="Arial" w:hAnsi="Calibri" w:cs="Arial"/>
                <w:color w:val="auto"/>
                <w:sz w:val="22"/>
                <w:szCs w:val="22"/>
              </w:rPr>
              <w:t>减少表土及植被的破坏，严禁超范围占压植被。</w:t>
            </w:r>
          </w:p>
          <w:p w14:paraId="2397A51F">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② 施工过程中注意保护好施工区的表层土壤，</w:t>
            </w:r>
            <w:r>
              <w:rPr>
                <w:rFonts w:hint="eastAsia" w:ascii="Arial" w:hAnsi="Arial" w:cs="Arial"/>
                <w:sz w:val="22"/>
                <w:szCs w:val="22"/>
                <w:lang w:eastAsia="zh-CN"/>
              </w:rPr>
              <w:t>集中收集后，分区暂存于弃渣场内，</w:t>
            </w:r>
            <w:r>
              <w:rPr>
                <w:rFonts w:hint="default" w:ascii="Arial" w:hAnsi="Arial" w:cs="Arial"/>
                <w:sz w:val="22"/>
                <w:szCs w:val="22"/>
              </w:rPr>
              <w:t>后期</w:t>
            </w:r>
            <w:r>
              <w:rPr>
                <w:rFonts w:hint="eastAsia" w:ascii="Arial" w:hAnsi="Arial" w:cs="Arial"/>
                <w:sz w:val="22"/>
                <w:szCs w:val="22"/>
                <w:lang w:eastAsia="zh-CN"/>
              </w:rPr>
              <w:t>全部用作生态覆土</w:t>
            </w:r>
            <w:r>
              <w:rPr>
                <w:rFonts w:hint="default" w:ascii="Arial" w:hAnsi="Arial" w:cs="Arial"/>
                <w:sz w:val="22"/>
                <w:szCs w:val="22"/>
              </w:rPr>
              <w:t>。</w:t>
            </w:r>
          </w:p>
          <w:p w14:paraId="0EB35161">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③ 施工区周边实施植物绿化措施，并做好抚育管理。施工扰动区域内的植被恢复以当地适生树种和草本为主，乔灌草结合，使工程区尽快融入当地景观。</w:t>
            </w:r>
          </w:p>
          <w:p w14:paraId="19DB1F63">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④ 施工结束后，施工便道、弃渣场、施工区进行生态覆绿，种植区域内常见的</w:t>
            </w:r>
            <w:r>
              <w:rPr>
                <w:rFonts w:hint="eastAsia" w:ascii="Arial" w:hAnsi="Arial" w:cs="Arial"/>
                <w:sz w:val="22"/>
                <w:szCs w:val="22"/>
                <w:lang w:eastAsia="zh-CN"/>
              </w:rPr>
              <w:t>马尾松、桉树、麻栎、化香</w:t>
            </w:r>
            <w:r>
              <w:rPr>
                <w:rFonts w:hint="default" w:ascii="Arial" w:hAnsi="Arial" w:cs="Arial"/>
                <w:sz w:val="22"/>
                <w:szCs w:val="22"/>
              </w:rPr>
              <w:t>等，不得遗留裸露地表。</w:t>
            </w:r>
          </w:p>
          <w:p w14:paraId="648DF688">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⑤ 在工程完成后须对输水管线沿线补充破坏的植被进行人工恢复，如在管线外侧种植乔木及灌木。临时占地应尽量恢复为农田；不能恢复为农田的，在通过平整后，按照</w:t>
            </w:r>
            <w:r>
              <w:rPr>
                <w:rFonts w:hint="eastAsia" w:ascii="宋体" w:hAnsi="宋体" w:eastAsia="宋体" w:cs="宋体"/>
                <w:sz w:val="22"/>
                <w:szCs w:val="22"/>
              </w:rPr>
              <w:t>“宜林则林、宜草则草”</w:t>
            </w:r>
            <w:r>
              <w:rPr>
                <w:rFonts w:hint="default" w:ascii="Arial" w:hAnsi="Arial" w:cs="Arial"/>
                <w:sz w:val="22"/>
                <w:szCs w:val="22"/>
              </w:rPr>
              <w:t>的原则，种植适宜的林木和草类，最大限度地提高生态环境质量。</w:t>
            </w:r>
          </w:p>
          <w:p w14:paraId="010EC183">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⑥ 在建设工程中，加强宣传教育和管理，认真全面地贯彻执行《中华人民共和国野生动物保护法》等法律、法规，严禁非法猎捕野生动物。通过发放宣传册、张贴宣传画报等，增强人们的环境保护意识，严禁猎杀捕食野生动物，使野生动物生境能在不受额外影响的情况下得以尽快恢复。</w:t>
            </w:r>
          </w:p>
          <w:p w14:paraId="338DD73B">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cs="Arial"/>
                <w:sz w:val="22"/>
                <w:szCs w:val="22"/>
              </w:rPr>
            </w:pPr>
            <w:r>
              <w:rPr>
                <w:rFonts w:hint="default" w:ascii="Arial" w:hAnsi="Arial" w:cs="Arial"/>
                <w:sz w:val="22"/>
                <w:szCs w:val="22"/>
              </w:rPr>
              <w:t>⑦ 加强施工人员的卫生管理。及时清理施工弃渣及废料。避免引起动物瘟疫。</w:t>
            </w:r>
          </w:p>
          <w:p w14:paraId="2FBC8950">
            <w:pPr>
              <w:keepNext w:val="0"/>
              <w:keepLines w:val="0"/>
              <w:pageBreakBefore w:val="0"/>
              <w:widowControl w:val="0"/>
              <w:kinsoku/>
              <w:wordWrap/>
              <w:overflowPunct/>
              <w:topLinePunct w:val="0"/>
              <w:bidi w:val="0"/>
              <w:snapToGrid/>
              <w:spacing w:line="300" w:lineRule="exact"/>
              <w:jc w:val="both"/>
              <w:textAlignment w:val="auto"/>
              <w:rPr>
                <w:rFonts w:hint="default" w:ascii="Arial" w:hAnsi="Arial" w:eastAsia="宋体" w:cs="Arial"/>
                <w:sz w:val="22"/>
                <w:szCs w:val="22"/>
              </w:rPr>
            </w:pPr>
            <w:r>
              <w:rPr>
                <w:rFonts w:hint="default" w:ascii="Arial" w:hAnsi="Arial" w:cs="Arial"/>
                <w:sz w:val="22"/>
                <w:szCs w:val="22"/>
              </w:rPr>
              <w:t>⑧ 加强对野生动物栖息地的监控和管理工作；在引水补水过程中，要注意定期对饮用水水质进行检测，以防因引水</w:t>
            </w:r>
            <w:r>
              <w:rPr>
                <w:rFonts w:hint="default" w:ascii="Arial" w:hAnsi="Arial" w:eastAsia="宋体" w:cs="Arial"/>
                <w:sz w:val="22"/>
                <w:szCs w:val="22"/>
              </w:rPr>
              <w:t>水质问题对保护区动物造成影响。</w:t>
            </w:r>
          </w:p>
          <w:p w14:paraId="43B6B366">
            <w:pPr>
              <w:spacing w:line="300" w:lineRule="exact"/>
              <w:jc w:val="left"/>
              <w:rPr>
                <w:rFonts w:hint="eastAsia" w:ascii="宋体" w:hAnsi="宋体" w:cs="宋体"/>
                <w:sz w:val="22"/>
                <w:szCs w:val="22"/>
              </w:rPr>
            </w:pPr>
            <w:r>
              <w:rPr>
                <w:rFonts w:hint="default" w:ascii="Arial" w:hAnsi="Arial" w:eastAsia="宋体" w:cs="Arial"/>
                <w:sz w:val="22"/>
                <w:szCs w:val="22"/>
              </w:rPr>
              <w:t xml:space="preserve">⑨ </w:t>
            </w:r>
            <w:r>
              <w:rPr>
                <w:rFonts w:hint="eastAsia" w:ascii="Arial" w:hAnsi="Arial" w:eastAsia="宋体" w:cs="Arial"/>
                <w:sz w:val="22"/>
                <w:szCs w:val="22"/>
                <w:lang w:eastAsia="zh-CN"/>
              </w:rPr>
              <w:t>合理安排施工作业时间，尽量避免夜间进行高噪声、高振动的施工作业。</w:t>
            </w:r>
          </w:p>
          <w:p w14:paraId="08E83522">
            <w:pPr>
              <w:spacing w:line="300" w:lineRule="exact"/>
              <w:rPr>
                <w:rFonts w:hint="eastAsia" w:ascii="宋体" w:hAnsi="宋体" w:cs="宋体"/>
                <w:color w:val="auto"/>
                <w:sz w:val="22"/>
                <w:szCs w:val="22"/>
              </w:rPr>
            </w:pPr>
            <w:r>
              <w:rPr>
                <w:rFonts w:ascii="Arial" w:hAnsi="MS Mincho" w:eastAsia="MS Mincho" w:cs="Arial"/>
                <w:color w:val="auto"/>
                <w:sz w:val="22"/>
                <w:szCs w:val="22"/>
              </w:rPr>
              <w:t>⑪</w:t>
            </w:r>
            <w:r>
              <w:rPr>
                <w:rFonts w:hint="eastAsia" w:ascii="Arial" w:hAnsi="MS Mincho" w:cs="Arial"/>
                <w:color w:val="auto"/>
                <w:sz w:val="22"/>
                <w:szCs w:val="22"/>
              </w:rPr>
              <w:t xml:space="preserve"> </w:t>
            </w:r>
            <w:r>
              <w:rPr>
                <w:rFonts w:hint="default" w:ascii="Arial" w:hAnsi="Arial" w:cs="Arial"/>
                <w:color w:val="auto"/>
                <w:sz w:val="22"/>
                <w:szCs w:val="22"/>
              </w:rPr>
              <w:t>优先选择枯水期分段施工，避免大面积涉水开挖。施工前做好拦河堰、导流、围堰、集水坑等措施，做好各类污废水的收集处理工作，减少排河量。</w:t>
            </w:r>
          </w:p>
          <w:p w14:paraId="4C61BB76">
            <w:pPr>
              <w:spacing w:line="300" w:lineRule="exact"/>
              <w:rPr>
                <w:rFonts w:hint="eastAsia" w:ascii="宋体" w:hAnsi="宋体" w:cs="宋体"/>
                <w:color w:val="auto"/>
                <w:sz w:val="22"/>
                <w:szCs w:val="22"/>
              </w:rPr>
            </w:pPr>
            <w:r>
              <w:rPr>
                <w:rFonts w:hint="eastAsia" w:ascii="宋体" w:hAnsi="宋体" w:cs="宋体"/>
                <w:color w:val="auto"/>
                <w:sz w:val="22"/>
                <w:szCs w:val="22"/>
              </w:rPr>
              <w:t>⑪</w:t>
            </w:r>
            <w:r>
              <w:rPr>
                <w:rFonts w:hint="default" w:ascii="Arial" w:hAnsi="Arial" w:cs="Arial"/>
                <w:color w:val="auto"/>
                <w:sz w:val="22"/>
                <w:szCs w:val="22"/>
              </w:rPr>
              <w:t>加强施工管理，严禁施工人员随意捕捞鱼类，避开鱼类的繁殖时期施工</w:t>
            </w:r>
            <w:r>
              <w:rPr>
                <w:rFonts w:hint="eastAsia" w:ascii="Arial" w:hAnsi="Arial" w:cs="Arial"/>
                <w:color w:val="auto"/>
                <w:sz w:val="22"/>
                <w:szCs w:val="22"/>
                <w:lang w:eastAsia="zh-CN"/>
              </w:rPr>
              <w:t>；严禁</w:t>
            </w:r>
            <w:r>
              <w:rPr>
                <w:rFonts w:hint="eastAsia" w:ascii="宋体" w:hAnsi="宋体" w:eastAsia="宋体" w:cs="宋体"/>
                <w:sz w:val="22"/>
                <w:szCs w:val="22"/>
                <w:lang w:val="en-US" w:eastAsia="zh-CN"/>
              </w:rPr>
              <w:t>在水域、滩涂内清洗施工机械、车辆以及冲洗建材</w:t>
            </w:r>
            <w:r>
              <w:rPr>
                <w:rFonts w:hint="default" w:ascii="Arial" w:hAnsi="Arial" w:cs="Arial"/>
                <w:color w:val="auto"/>
                <w:sz w:val="22"/>
                <w:szCs w:val="22"/>
              </w:rPr>
              <w:t>。</w:t>
            </w:r>
          </w:p>
          <w:p w14:paraId="02673849">
            <w:pPr>
              <w:spacing w:line="300" w:lineRule="exact"/>
              <w:rPr>
                <w:rFonts w:hint="eastAsia" w:ascii="宋体" w:hAnsi="宋体" w:cs="宋体"/>
                <w:color w:val="auto"/>
                <w:sz w:val="22"/>
                <w:szCs w:val="22"/>
                <w:lang w:eastAsia="zh-CN"/>
              </w:rPr>
            </w:pPr>
            <w:r>
              <w:rPr>
                <w:rFonts w:hint="eastAsia" w:ascii="宋体" w:hAnsi="宋体" w:cs="宋体"/>
                <w:color w:val="auto"/>
                <w:sz w:val="22"/>
                <w:szCs w:val="22"/>
                <w:lang w:eastAsia="zh-CN"/>
              </w:rPr>
              <w:t>⑫</w:t>
            </w:r>
            <w:r>
              <w:rPr>
                <w:rFonts w:hint="default" w:ascii="Arial" w:hAnsi="Arial" w:cs="Arial"/>
                <w:color w:val="auto"/>
                <w:sz w:val="22"/>
                <w:szCs w:val="22"/>
              </w:rPr>
              <w:t>输水工程管道有</w:t>
            </w:r>
            <w:r>
              <w:rPr>
                <w:rFonts w:hint="eastAsia" w:ascii="Arial" w:hAnsi="Arial" w:cs="Arial"/>
                <w:color w:val="auto"/>
                <w:sz w:val="22"/>
                <w:szCs w:val="22"/>
                <w:lang w:val="en-US" w:eastAsia="zh-CN"/>
              </w:rPr>
              <w:t>5</w:t>
            </w:r>
            <w:r>
              <w:rPr>
                <w:rFonts w:hint="default" w:ascii="Arial" w:hAnsi="Arial" w:cs="Arial"/>
                <w:color w:val="auto"/>
                <w:sz w:val="22"/>
                <w:szCs w:val="22"/>
              </w:rPr>
              <w:t>处跨河，</w:t>
            </w:r>
            <w:r>
              <w:rPr>
                <w:rFonts w:hint="eastAsia" w:ascii="Arial" w:hAnsi="Arial" w:cs="Arial"/>
                <w:color w:val="auto"/>
                <w:sz w:val="22"/>
                <w:szCs w:val="22"/>
                <w:lang w:eastAsia="zh-CN"/>
              </w:rPr>
              <w:t>本评价建议</w:t>
            </w:r>
            <w:r>
              <w:rPr>
                <w:rFonts w:hint="default" w:ascii="Arial" w:hAnsi="Arial" w:cs="Arial"/>
                <w:color w:val="auto"/>
                <w:sz w:val="22"/>
                <w:szCs w:val="22"/>
              </w:rPr>
              <w:t>应优先选用顶管</w:t>
            </w:r>
            <w:r>
              <w:rPr>
                <w:rFonts w:hint="eastAsia" w:ascii="Arial" w:hAnsi="Arial" w:cs="Arial"/>
                <w:color w:val="auto"/>
                <w:sz w:val="22"/>
                <w:szCs w:val="22"/>
                <w:lang w:eastAsia="zh-CN"/>
              </w:rPr>
              <w:t>、定向钻</w:t>
            </w:r>
            <w:r>
              <w:rPr>
                <w:rFonts w:hint="default" w:ascii="Arial" w:hAnsi="Arial" w:cs="Arial"/>
                <w:color w:val="auto"/>
                <w:sz w:val="22"/>
                <w:szCs w:val="22"/>
              </w:rPr>
              <w:t>等不涉水的施工工艺，不具备相应施工条件时，选择枯水期作业，同时需做好施工导流、围堰等工作，并尽可能将处理后的基坑废水回用于施工抑尘洒水，多余部分需沉淀处理</w:t>
            </w:r>
            <w:r>
              <w:rPr>
                <w:rFonts w:hint="eastAsia" w:ascii="Arial" w:hAnsi="Arial" w:cs="Arial"/>
                <w:color w:val="auto"/>
                <w:sz w:val="22"/>
                <w:szCs w:val="22"/>
                <w:lang w:eastAsia="zh-CN"/>
              </w:rPr>
              <w:t>后排入下游河道。</w:t>
            </w:r>
            <w:r>
              <w:rPr>
                <w:rFonts w:hint="default" w:ascii="Arial" w:hAnsi="Arial" w:cs="Arial"/>
                <w:color w:val="auto"/>
                <w:sz w:val="22"/>
                <w:szCs w:val="22"/>
              </w:rPr>
              <w:t>同时输水管线施工段应设置围挡，严格控制施工活动，做好废弃土石方的收集处理工作，严禁向</w:t>
            </w:r>
            <w:r>
              <w:rPr>
                <w:rFonts w:hint="eastAsia" w:ascii="Arial" w:hAnsi="Arial" w:cs="Arial"/>
                <w:color w:val="auto"/>
                <w:sz w:val="22"/>
                <w:szCs w:val="22"/>
                <w:lang w:eastAsia="zh-CN"/>
              </w:rPr>
              <w:t>河道内</w:t>
            </w:r>
            <w:r>
              <w:rPr>
                <w:rFonts w:hint="default" w:ascii="Arial" w:hAnsi="Arial" w:cs="Arial"/>
                <w:color w:val="auto"/>
                <w:sz w:val="22"/>
                <w:szCs w:val="22"/>
              </w:rPr>
              <w:t>倾倒废渣，减轻涉水作业对流域水质、水生生态环境的影响。</w:t>
            </w:r>
          </w:p>
          <w:p w14:paraId="108E16DA">
            <w:pPr>
              <w:pStyle w:val="946"/>
              <w:spacing w:line="300" w:lineRule="exact"/>
              <w:jc w:val="both"/>
              <w:rPr>
                <w:rFonts w:hint="eastAsia" w:ascii="Arial" w:hAnsi="Arial" w:cs="Arial"/>
                <w:sz w:val="22"/>
                <w:szCs w:val="22"/>
                <w:lang w:eastAsia="zh-CN"/>
              </w:rPr>
            </w:pPr>
            <w:r>
              <w:rPr>
                <w:rFonts w:hint="eastAsia" w:ascii="宋体" w:hAnsi="宋体" w:cs="宋体"/>
                <w:color w:val="auto"/>
                <w:sz w:val="22"/>
                <w:szCs w:val="22"/>
                <w:lang w:eastAsia="zh-CN"/>
              </w:rPr>
              <w:t>⑬</w:t>
            </w:r>
            <w:r>
              <w:rPr>
                <w:rFonts w:hint="eastAsia" w:ascii="Arial" w:cs="Arial"/>
                <w:sz w:val="22"/>
                <w:szCs w:val="22"/>
              </w:rPr>
              <w:t>施工结束后，拆除施工临时设施，清理施工区固体废弃物，对施工临时占地进行生态恢复</w:t>
            </w:r>
            <w:r>
              <w:rPr>
                <w:rFonts w:ascii="Arial" w:cs="Arial"/>
                <w:sz w:val="22"/>
                <w:szCs w:val="22"/>
              </w:rPr>
              <w:t>。</w:t>
            </w:r>
          </w:p>
        </w:tc>
        <w:tc>
          <w:tcPr>
            <w:tcW w:w="667" w:type="dxa"/>
            <w:vMerge w:val="continue"/>
            <w:noWrap w:val="0"/>
            <w:vAlign w:val="center"/>
          </w:tcPr>
          <w:p w14:paraId="53F9A4BF">
            <w:pPr>
              <w:widowControl/>
              <w:spacing w:line="300" w:lineRule="exact"/>
              <w:jc w:val="center"/>
              <w:rPr>
                <w:rFonts w:ascii="Arial" w:hAnsi="Arial" w:cs="Arial"/>
                <w:sz w:val="22"/>
                <w:szCs w:val="22"/>
              </w:rPr>
            </w:pPr>
          </w:p>
        </w:tc>
        <w:tc>
          <w:tcPr>
            <w:tcW w:w="670" w:type="dxa"/>
            <w:vMerge w:val="continue"/>
            <w:noWrap w:val="0"/>
            <w:vAlign w:val="center"/>
          </w:tcPr>
          <w:p w14:paraId="67AF4249">
            <w:pPr>
              <w:widowControl/>
              <w:spacing w:line="300" w:lineRule="exact"/>
              <w:jc w:val="center"/>
              <w:rPr>
                <w:rFonts w:ascii="Arial" w:hAnsi="Arial" w:cs="Arial"/>
                <w:sz w:val="22"/>
                <w:szCs w:val="22"/>
              </w:rPr>
            </w:pPr>
          </w:p>
        </w:tc>
      </w:tr>
      <w:tr w14:paraId="0C1633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noWrap w:val="0"/>
            <w:vAlign w:val="center"/>
          </w:tcPr>
          <w:p w14:paraId="707E60EF">
            <w:pPr>
              <w:pStyle w:val="946"/>
              <w:spacing w:line="300" w:lineRule="exact"/>
              <w:rPr>
                <w:rFonts w:ascii="Arial" w:hAnsi="Arial" w:cs="Arial"/>
                <w:sz w:val="22"/>
                <w:szCs w:val="22"/>
              </w:rPr>
            </w:pPr>
            <w:r>
              <w:rPr>
                <w:rFonts w:ascii="Arial" w:cs="Arial"/>
                <w:sz w:val="22"/>
                <w:szCs w:val="22"/>
              </w:rPr>
              <w:t>生产废水</w:t>
            </w:r>
          </w:p>
        </w:tc>
        <w:tc>
          <w:tcPr>
            <w:tcW w:w="6795" w:type="dxa"/>
            <w:noWrap w:val="0"/>
            <w:vAlign w:val="center"/>
          </w:tcPr>
          <w:p w14:paraId="6629D99D">
            <w:pPr>
              <w:pStyle w:val="946"/>
              <w:spacing w:line="300" w:lineRule="exact"/>
              <w:rPr>
                <w:rFonts w:ascii="Arial" w:hAnsi="Arial" w:cs="Arial"/>
                <w:sz w:val="22"/>
                <w:szCs w:val="22"/>
              </w:rPr>
            </w:pPr>
            <w:r>
              <w:rPr>
                <w:rFonts w:ascii="Arial" w:cs="Arial"/>
                <w:sz w:val="22"/>
                <w:szCs w:val="22"/>
              </w:rPr>
              <w:t>施工场地设置沉淀</w:t>
            </w:r>
            <w:r>
              <w:rPr>
                <w:rFonts w:hint="eastAsia" w:ascii="Arial" w:cs="Arial"/>
                <w:sz w:val="22"/>
                <w:szCs w:val="22"/>
                <w:lang w:eastAsia="zh-CN"/>
              </w:rPr>
              <w:t>池、</w:t>
            </w:r>
            <w:r>
              <w:rPr>
                <w:rFonts w:ascii="Arial" w:cs="Arial"/>
                <w:sz w:val="22"/>
                <w:szCs w:val="22"/>
              </w:rPr>
              <w:t>隔油池、</w:t>
            </w:r>
            <w:r>
              <w:rPr>
                <w:rFonts w:hint="eastAsia" w:ascii="Arial" w:cs="Arial"/>
                <w:sz w:val="22"/>
                <w:szCs w:val="22"/>
                <w:lang w:eastAsia="zh-CN"/>
              </w:rPr>
              <w:t>截排水沟等环保设施</w:t>
            </w:r>
            <w:r>
              <w:rPr>
                <w:rFonts w:ascii="Arial" w:cs="Arial"/>
                <w:sz w:val="22"/>
                <w:szCs w:val="22"/>
              </w:rPr>
              <w:t>，生产废水实现</w:t>
            </w:r>
            <w:r>
              <w:rPr>
                <w:rFonts w:hint="eastAsia" w:ascii="Arial" w:cs="Arial"/>
                <w:sz w:val="22"/>
                <w:szCs w:val="22"/>
                <w:lang w:eastAsia="zh-CN"/>
              </w:rPr>
              <w:t>全部</w:t>
            </w:r>
            <w:r>
              <w:rPr>
                <w:rFonts w:ascii="Arial" w:cs="Arial"/>
                <w:sz w:val="22"/>
                <w:szCs w:val="22"/>
              </w:rPr>
              <w:t>收集，重复利用。</w:t>
            </w:r>
          </w:p>
        </w:tc>
        <w:tc>
          <w:tcPr>
            <w:tcW w:w="667" w:type="dxa"/>
            <w:vMerge w:val="continue"/>
            <w:noWrap w:val="0"/>
            <w:vAlign w:val="center"/>
          </w:tcPr>
          <w:p w14:paraId="2DD085BD">
            <w:pPr>
              <w:widowControl/>
              <w:spacing w:line="300" w:lineRule="exact"/>
              <w:jc w:val="center"/>
              <w:rPr>
                <w:rFonts w:ascii="Arial" w:hAnsi="Arial" w:cs="Arial"/>
                <w:sz w:val="22"/>
                <w:szCs w:val="22"/>
              </w:rPr>
            </w:pPr>
          </w:p>
        </w:tc>
        <w:tc>
          <w:tcPr>
            <w:tcW w:w="670" w:type="dxa"/>
            <w:vMerge w:val="continue"/>
            <w:noWrap w:val="0"/>
            <w:vAlign w:val="center"/>
          </w:tcPr>
          <w:p w14:paraId="1AC286EB">
            <w:pPr>
              <w:widowControl/>
              <w:spacing w:line="300" w:lineRule="exact"/>
              <w:jc w:val="center"/>
              <w:rPr>
                <w:rFonts w:ascii="Arial" w:hAnsi="Arial" w:cs="Arial"/>
                <w:sz w:val="22"/>
                <w:szCs w:val="22"/>
              </w:rPr>
            </w:pPr>
          </w:p>
        </w:tc>
      </w:tr>
      <w:tr w14:paraId="0A7FFF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242" w:type="dxa"/>
            <w:noWrap w:val="0"/>
            <w:vAlign w:val="center"/>
          </w:tcPr>
          <w:p w14:paraId="39FD6899">
            <w:pPr>
              <w:pStyle w:val="946"/>
              <w:spacing w:line="300" w:lineRule="exact"/>
              <w:rPr>
                <w:rFonts w:hint="eastAsia" w:ascii="Arial" w:eastAsia="宋体" w:cs="Arial"/>
                <w:sz w:val="22"/>
                <w:szCs w:val="22"/>
                <w:lang w:eastAsia="zh-CN"/>
              </w:rPr>
            </w:pPr>
            <w:r>
              <w:rPr>
                <w:rFonts w:hint="eastAsia" w:ascii="Arial" w:cs="Arial"/>
                <w:sz w:val="22"/>
                <w:szCs w:val="22"/>
                <w:lang w:eastAsia="zh-CN"/>
              </w:rPr>
              <w:t>基坑排水</w:t>
            </w:r>
          </w:p>
        </w:tc>
        <w:tc>
          <w:tcPr>
            <w:tcW w:w="6795" w:type="dxa"/>
            <w:noWrap w:val="0"/>
            <w:vAlign w:val="center"/>
          </w:tcPr>
          <w:p w14:paraId="09AC54CB">
            <w:pPr>
              <w:pStyle w:val="946"/>
              <w:spacing w:line="300" w:lineRule="exact"/>
              <w:rPr>
                <w:rFonts w:ascii="Arial" w:cs="Arial"/>
                <w:sz w:val="22"/>
                <w:szCs w:val="22"/>
              </w:rPr>
            </w:pPr>
            <w:r>
              <w:rPr>
                <w:rFonts w:hint="default" w:ascii="Arial" w:hAnsi="Arial" w:cs="Arial"/>
                <w:sz w:val="22"/>
                <w:szCs w:val="22"/>
                <w:lang w:val="en-US" w:eastAsia="zh-CN"/>
              </w:rPr>
              <w:t>在基坑内设立截水沟、集水坑，将基坑废水收集并静置1~2h后，上清液可用作施工用水，多余部分泵入下游河道。</w:t>
            </w:r>
          </w:p>
        </w:tc>
        <w:tc>
          <w:tcPr>
            <w:tcW w:w="667" w:type="dxa"/>
            <w:vMerge w:val="continue"/>
            <w:noWrap w:val="0"/>
            <w:vAlign w:val="center"/>
          </w:tcPr>
          <w:p w14:paraId="4C2C230E">
            <w:pPr>
              <w:widowControl/>
              <w:spacing w:line="300" w:lineRule="exact"/>
              <w:jc w:val="center"/>
              <w:rPr>
                <w:rFonts w:ascii="Arial" w:hAnsi="Arial" w:cs="Arial"/>
                <w:sz w:val="22"/>
                <w:szCs w:val="22"/>
              </w:rPr>
            </w:pPr>
          </w:p>
        </w:tc>
        <w:tc>
          <w:tcPr>
            <w:tcW w:w="670" w:type="dxa"/>
            <w:vMerge w:val="continue"/>
            <w:noWrap w:val="0"/>
            <w:vAlign w:val="center"/>
          </w:tcPr>
          <w:p w14:paraId="7E45AD63">
            <w:pPr>
              <w:widowControl/>
              <w:spacing w:line="300" w:lineRule="exact"/>
              <w:jc w:val="center"/>
              <w:rPr>
                <w:rFonts w:ascii="Arial" w:hAnsi="Arial" w:cs="Arial"/>
                <w:sz w:val="22"/>
                <w:szCs w:val="22"/>
              </w:rPr>
            </w:pPr>
          </w:p>
        </w:tc>
      </w:tr>
      <w:tr w14:paraId="39CF11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noWrap w:val="0"/>
            <w:vAlign w:val="center"/>
          </w:tcPr>
          <w:p w14:paraId="3B1C3595">
            <w:pPr>
              <w:pStyle w:val="946"/>
              <w:spacing w:line="300" w:lineRule="exact"/>
              <w:rPr>
                <w:rFonts w:ascii="Arial" w:hAnsi="Arial" w:cs="Arial"/>
                <w:sz w:val="22"/>
                <w:szCs w:val="22"/>
              </w:rPr>
            </w:pPr>
            <w:r>
              <w:rPr>
                <w:rFonts w:ascii="Arial" w:cs="Arial"/>
                <w:sz w:val="22"/>
                <w:szCs w:val="22"/>
              </w:rPr>
              <w:t>生活污水</w:t>
            </w:r>
          </w:p>
        </w:tc>
        <w:tc>
          <w:tcPr>
            <w:tcW w:w="6795" w:type="dxa"/>
            <w:noWrap w:val="0"/>
            <w:vAlign w:val="center"/>
          </w:tcPr>
          <w:p w14:paraId="37F71830">
            <w:pPr>
              <w:pStyle w:val="946"/>
              <w:spacing w:line="300" w:lineRule="exact"/>
              <w:rPr>
                <w:rFonts w:hint="eastAsia" w:ascii="Arial" w:hAnsi="Arial" w:cs="Arial"/>
                <w:sz w:val="22"/>
                <w:szCs w:val="22"/>
                <w:lang w:eastAsia="zh-CN"/>
              </w:rPr>
            </w:pPr>
            <w:r>
              <w:rPr>
                <w:rFonts w:hint="eastAsia" w:ascii="Arial" w:hAnsi="Arial" w:cs="Arial"/>
                <w:color w:val="auto"/>
                <w:sz w:val="22"/>
                <w:szCs w:val="22"/>
                <w:lang w:eastAsia="zh-CN"/>
              </w:rPr>
              <w:t>经租赁居民房屋内已有</w:t>
            </w:r>
            <w:r>
              <w:rPr>
                <w:rFonts w:hint="default" w:ascii="Arial" w:hAnsi="Arial" w:cs="Arial"/>
                <w:color w:val="auto"/>
                <w:sz w:val="22"/>
                <w:szCs w:val="22"/>
              </w:rPr>
              <w:t>旱厕收集厌氧消化处置后，交附近居民作农肥</w:t>
            </w:r>
            <w:r>
              <w:rPr>
                <w:rFonts w:hint="eastAsia" w:ascii="Arial" w:hAnsi="Arial" w:cs="Arial"/>
                <w:color w:val="auto"/>
                <w:sz w:val="22"/>
                <w:szCs w:val="22"/>
                <w:lang w:eastAsia="zh-CN"/>
              </w:rPr>
              <w:t>，不外排</w:t>
            </w:r>
            <w:r>
              <w:rPr>
                <w:rFonts w:hint="default" w:ascii="Arial" w:hAnsi="Arial" w:cs="Arial"/>
                <w:color w:val="auto"/>
                <w:sz w:val="22"/>
                <w:szCs w:val="22"/>
              </w:rPr>
              <w:t>。</w:t>
            </w:r>
          </w:p>
        </w:tc>
        <w:tc>
          <w:tcPr>
            <w:tcW w:w="667" w:type="dxa"/>
            <w:vMerge w:val="continue"/>
            <w:noWrap w:val="0"/>
            <w:vAlign w:val="center"/>
          </w:tcPr>
          <w:p w14:paraId="5A343262">
            <w:pPr>
              <w:widowControl/>
              <w:spacing w:line="300" w:lineRule="exact"/>
              <w:jc w:val="center"/>
              <w:rPr>
                <w:rFonts w:ascii="Arial" w:hAnsi="Arial" w:cs="Arial"/>
                <w:sz w:val="22"/>
                <w:szCs w:val="22"/>
              </w:rPr>
            </w:pPr>
          </w:p>
        </w:tc>
        <w:tc>
          <w:tcPr>
            <w:tcW w:w="670" w:type="dxa"/>
            <w:vMerge w:val="continue"/>
            <w:noWrap w:val="0"/>
            <w:vAlign w:val="center"/>
          </w:tcPr>
          <w:p w14:paraId="7431B428">
            <w:pPr>
              <w:widowControl/>
              <w:spacing w:line="300" w:lineRule="exact"/>
              <w:jc w:val="center"/>
              <w:rPr>
                <w:rFonts w:ascii="Arial" w:hAnsi="Arial" w:cs="Arial"/>
                <w:sz w:val="22"/>
                <w:szCs w:val="22"/>
              </w:rPr>
            </w:pPr>
          </w:p>
        </w:tc>
      </w:tr>
      <w:tr w14:paraId="424E4C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242" w:type="dxa"/>
            <w:noWrap w:val="0"/>
            <w:vAlign w:val="center"/>
          </w:tcPr>
          <w:p w14:paraId="329AEB5F">
            <w:pPr>
              <w:pStyle w:val="946"/>
              <w:spacing w:line="300" w:lineRule="exact"/>
              <w:rPr>
                <w:rFonts w:ascii="Arial" w:hAnsi="Arial" w:cs="Arial"/>
                <w:sz w:val="22"/>
                <w:szCs w:val="22"/>
              </w:rPr>
            </w:pPr>
            <w:r>
              <w:rPr>
                <w:rFonts w:ascii="Arial" w:cs="Arial"/>
                <w:sz w:val="22"/>
                <w:szCs w:val="22"/>
              </w:rPr>
              <w:t>初期雨水</w:t>
            </w:r>
          </w:p>
        </w:tc>
        <w:tc>
          <w:tcPr>
            <w:tcW w:w="6795" w:type="dxa"/>
            <w:noWrap w:val="0"/>
            <w:vAlign w:val="center"/>
          </w:tcPr>
          <w:p w14:paraId="0B180EAD">
            <w:pPr>
              <w:pStyle w:val="946"/>
              <w:spacing w:line="300" w:lineRule="exact"/>
              <w:rPr>
                <w:rFonts w:ascii="Arial" w:hAnsi="Arial" w:cs="Arial"/>
                <w:sz w:val="22"/>
                <w:szCs w:val="22"/>
              </w:rPr>
            </w:pPr>
            <w:r>
              <w:rPr>
                <w:rFonts w:hint="eastAsia" w:ascii="Arial" w:hAnsi="Arial" w:eastAsia="宋体" w:cs="Arial"/>
                <w:b w:val="0"/>
                <w:bCs/>
                <w:sz w:val="22"/>
                <w:szCs w:val="22"/>
                <w:lang w:val="en-US" w:eastAsia="zh-CN"/>
              </w:rPr>
              <w:t>根据施工进度，</w:t>
            </w:r>
            <w:r>
              <w:rPr>
                <w:rFonts w:hint="eastAsia" w:ascii="Arial" w:hAnsi="Arial" w:cs="Arial"/>
                <w:b w:val="0"/>
                <w:bCs/>
                <w:sz w:val="22"/>
                <w:szCs w:val="22"/>
                <w:lang w:val="en-US" w:eastAsia="zh-CN"/>
              </w:rPr>
              <w:t>建设截排水沟、沉砂池等收集、处理设施，将初期雨水收集</w:t>
            </w:r>
            <w:r>
              <w:rPr>
                <w:rFonts w:hint="eastAsia" w:ascii="Arial" w:hAnsi="Arial" w:eastAsia="宋体" w:cs="Arial"/>
                <w:b w:val="0"/>
                <w:bCs/>
                <w:sz w:val="22"/>
                <w:szCs w:val="22"/>
                <w:lang w:val="en-US" w:eastAsia="zh-CN"/>
              </w:rPr>
              <w:t>沉淀</w:t>
            </w:r>
            <w:r>
              <w:rPr>
                <w:rFonts w:hint="eastAsia" w:ascii="Arial" w:hAnsi="Arial" w:cs="Arial"/>
                <w:b w:val="0"/>
                <w:bCs/>
                <w:sz w:val="22"/>
                <w:szCs w:val="22"/>
                <w:lang w:val="en-US" w:eastAsia="zh-CN"/>
              </w:rPr>
              <w:t>处理</w:t>
            </w:r>
            <w:r>
              <w:rPr>
                <w:rFonts w:hint="eastAsia" w:ascii="Arial" w:hAnsi="Arial" w:eastAsia="宋体" w:cs="Arial"/>
                <w:b w:val="0"/>
                <w:bCs/>
                <w:sz w:val="22"/>
                <w:szCs w:val="22"/>
                <w:lang w:val="en-US" w:eastAsia="zh-CN"/>
              </w:rPr>
              <w:t>后</w:t>
            </w:r>
            <w:r>
              <w:rPr>
                <w:rFonts w:hint="eastAsia" w:ascii="Arial" w:hAnsi="Arial" w:cs="Arial"/>
                <w:b w:val="0"/>
                <w:bCs/>
                <w:sz w:val="22"/>
                <w:szCs w:val="22"/>
                <w:lang w:val="en-US" w:eastAsia="zh-CN"/>
              </w:rPr>
              <w:t>，</w:t>
            </w:r>
            <w:r>
              <w:rPr>
                <w:rFonts w:hint="eastAsia" w:ascii="Arial" w:hAnsi="Arial" w:eastAsia="宋体" w:cs="Arial"/>
                <w:b w:val="0"/>
                <w:bCs/>
                <w:sz w:val="22"/>
                <w:szCs w:val="22"/>
                <w:lang w:val="en-US" w:eastAsia="zh-CN"/>
              </w:rPr>
              <w:t>回用作施工用水或排入环境。</w:t>
            </w:r>
          </w:p>
        </w:tc>
        <w:tc>
          <w:tcPr>
            <w:tcW w:w="667" w:type="dxa"/>
            <w:vMerge w:val="continue"/>
            <w:noWrap w:val="0"/>
            <w:vAlign w:val="center"/>
          </w:tcPr>
          <w:p w14:paraId="0866A801">
            <w:pPr>
              <w:widowControl/>
              <w:spacing w:line="300" w:lineRule="exact"/>
              <w:jc w:val="center"/>
              <w:rPr>
                <w:rFonts w:ascii="Arial" w:hAnsi="Arial" w:cs="Arial"/>
                <w:sz w:val="22"/>
                <w:szCs w:val="22"/>
              </w:rPr>
            </w:pPr>
          </w:p>
        </w:tc>
        <w:tc>
          <w:tcPr>
            <w:tcW w:w="670" w:type="dxa"/>
            <w:vMerge w:val="continue"/>
            <w:noWrap w:val="0"/>
            <w:vAlign w:val="center"/>
          </w:tcPr>
          <w:p w14:paraId="276BDE61">
            <w:pPr>
              <w:widowControl/>
              <w:spacing w:line="300" w:lineRule="exact"/>
              <w:jc w:val="center"/>
              <w:rPr>
                <w:rFonts w:ascii="Arial" w:hAnsi="Arial" w:cs="Arial"/>
                <w:sz w:val="22"/>
                <w:szCs w:val="22"/>
              </w:rPr>
            </w:pPr>
          </w:p>
        </w:tc>
      </w:tr>
      <w:tr w14:paraId="0B3928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noWrap w:val="0"/>
            <w:vAlign w:val="center"/>
          </w:tcPr>
          <w:p w14:paraId="6F31EA35">
            <w:pPr>
              <w:pStyle w:val="946"/>
              <w:spacing w:line="300" w:lineRule="exact"/>
              <w:rPr>
                <w:rFonts w:ascii="Arial" w:cs="Arial"/>
                <w:sz w:val="22"/>
                <w:szCs w:val="22"/>
              </w:rPr>
            </w:pPr>
            <w:r>
              <w:rPr>
                <w:rFonts w:ascii="Arial" w:cs="Arial"/>
                <w:sz w:val="22"/>
                <w:szCs w:val="22"/>
              </w:rPr>
              <w:t>噪声</w:t>
            </w:r>
          </w:p>
        </w:tc>
        <w:tc>
          <w:tcPr>
            <w:tcW w:w="6795" w:type="dxa"/>
            <w:noWrap w:val="0"/>
            <w:vAlign w:val="center"/>
          </w:tcPr>
          <w:p w14:paraId="3623E3D4">
            <w:pPr>
              <w:pStyle w:val="946"/>
              <w:spacing w:line="300" w:lineRule="exact"/>
              <w:rPr>
                <w:rFonts w:ascii="Arial" w:cs="Arial"/>
                <w:sz w:val="22"/>
                <w:szCs w:val="22"/>
              </w:rPr>
            </w:pPr>
            <w:r>
              <w:rPr>
                <w:rFonts w:hint="default" w:ascii="Arial" w:hAnsi="Arial" w:cs="Arial"/>
                <w:sz w:val="22"/>
                <w:szCs w:val="22"/>
              </w:rPr>
              <w:t>根据《重庆市噪声污染防治办法》的相关要求，优先用低产噪设备，同时加强施工机械的维护保养；合理布置施工机械和施工强度，作好施工组织，将施工区内高产噪区域远离环境敏感点布置，并设置临时设备间、通过墙体隔声，以减缓噪声影响；物料运输尽量安排在白天运输，途径密集居住区时采取缓速、禁鸣等措施；合理安排施工作业时间，尽量避免夜间作业，偶遇混凝土浇筑必须连续作业的工序，需取得当地</w:t>
            </w:r>
            <w:r>
              <w:rPr>
                <w:rFonts w:hint="default" w:ascii="Arial" w:hAnsi="Arial" w:cs="Arial"/>
                <w:sz w:val="22"/>
                <w:szCs w:val="22"/>
                <w:lang w:val="en-US" w:eastAsia="zh-CN"/>
              </w:rPr>
              <w:t>城市管理或者住房城乡建设部门的</w:t>
            </w:r>
            <w:r>
              <w:rPr>
                <w:rFonts w:hint="default" w:ascii="Arial" w:hAnsi="Arial" w:cs="Arial"/>
                <w:sz w:val="22"/>
                <w:szCs w:val="22"/>
              </w:rPr>
              <w:t>批准，并告知附近居民，以取得谅解。</w:t>
            </w:r>
          </w:p>
        </w:tc>
        <w:tc>
          <w:tcPr>
            <w:tcW w:w="667" w:type="dxa"/>
            <w:vMerge w:val="continue"/>
            <w:noWrap w:val="0"/>
            <w:vAlign w:val="center"/>
          </w:tcPr>
          <w:p w14:paraId="1FD51643">
            <w:pPr>
              <w:widowControl/>
              <w:spacing w:line="300" w:lineRule="exact"/>
              <w:jc w:val="center"/>
              <w:rPr>
                <w:rFonts w:ascii="Arial" w:hAnsi="Arial" w:cs="Arial"/>
                <w:sz w:val="22"/>
                <w:szCs w:val="22"/>
              </w:rPr>
            </w:pPr>
          </w:p>
        </w:tc>
        <w:tc>
          <w:tcPr>
            <w:tcW w:w="670" w:type="dxa"/>
            <w:vMerge w:val="continue"/>
            <w:noWrap w:val="0"/>
            <w:vAlign w:val="center"/>
          </w:tcPr>
          <w:p w14:paraId="77D9BBD4">
            <w:pPr>
              <w:widowControl/>
              <w:spacing w:line="300" w:lineRule="exact"/>
              <w:jc w:val="center"/>
              <w:rPr>
                <w:rFonts w:ascii="Arial" w:hAnsi="Arial" w:cs="Arial"/>
                <w:sz w:val="22"/>
                <w:szCs w:val="22"/>
              </w:rPr>
            </w:pPr>
          </w:p>
        </w:tc>
      </w:tr>
      <w:tr w14:paraId="51F25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42" w:type="dxa"/>
            <w:noWrap w:val="0"/>
            <w:vAlign w:val="center"/>
          </w:tcPr>
          <w:p w14:paraId="70913B99">
            <w:pPr>
              <w:pStyle w:val="946"/>
              <w:spacing w:line="300" w:lineRule="exact"/>
              <w:jc w:val="both"/>
              <w:rPr>
                <w:rFonts w:ascii="Arial" w:hAnsi="Arial" w:cs="Arial"/>
                <w:sz w:val="22"/>
                <w:szCs w:val="22"/>
              </w:rPr>
            </w:pPr>
            <w:r>
              <w:rPr>
                <w:rFonts w:ascii="Arial" w:cs="Arial"/>
                <w:sz w:val="22"/>
                <w:szCs w:val="22"/>
              </w:rPr>
              <w:t>固体废物</w:t>
            </w:r>
          </w:p>
        </w:tc>
        <w:tc>
          <w:tcPr>
            <w:tcW w:w="6795" w:type="dxa"/>
            <w:noWrap w:val="0"/>
            <w:vAlign w:val="center"/>
          </w:tcPr>
          <w:p w14:paraId="28892E56">
            <w:pPr>
              <w:pStyle w:val="946"/>
              <w:spacing w:line="300" w:lineRule="exact"/>
              <w:jc w:val="both"/>
              <w:rPr>
                <w:rFonts w:hint="eastAsia" w:ascii="Arial" w:eastAsia="宋体" w:cs="Arial"/>
                <w:bCs/>
                <w:sz w:val="22"/>
                <w:szCs w:val="22"/>
                <w:lang w:eastAsia="zh-CN"/>
              </w:rPr>
            </w:pPr>
            <w:r>
              <w:rPr>
                <w:rFonts w:hint="eastAsia" w:ascii="Arial" w:cs="Arial"/>
                <w:sz w:val="22"/>
                <w:szCs w:val="22"/>
              </w:rPr>
              <w:t>①</w:t>
            </w:r>
            <w:r>
              <w:rPr>
                <w:rFonts w:hint="eastAsia" w:ascii="Arial" w:cs="Arial"/>
                <w:sz w:val="22"/>
                <w:szCs w:val="22"/>
                <w:lang w:eastAsia="zh-CN"/>
              </w:rPr>
              <w:t>剥离表土集中收集后，清运至项目所设弃渣场内分区堆存，后期全部用于生态覆土</w:t>
            </w:r>
            <w:r>
              <w:rPr>
                <w:rFonts w:hint="eastAsia" w:ascii="Arial" w:cs="Arial"/>
                <w:bCs/>
                <w:sz w:val="22"/>
                <w:szCs w:val="22"/>
              </w:rPr>
              <w:t>。</w:t>
            </w:r>
            <w:r>
              <w:rPr>
                <w:rFonts w:hint="eastAsia" w:ascii="Arial" w:cs="Arial"/>
                <w:bCs/>
                <w:sz w:val="22"/>
                <w:szCs w:val="22"/>
                <w:lang w:eastAsia="zh-CN"/>
              </w:rPr>
              <w:t>弃渣</w:t>
            </w:r>
            <w:r>
              <w:rPr>
                <w:rFonts w:hint="eastAsia" w:ascii="Arial" w:hAnsi="Arial" w:cs="Arial"/>
                <w:sz w:val="22"/>
                <w:szCs w:val="22"/>
                <w:lang w:eastAsia="zh-CN"/>
              </w:rPr>
              <w:t>及时清运至项目所设弃渣场内填埋处置</w:t>
            </w:r>
            <w:r>
              <w:rPr>
                <w:rFonts w:hint="default" w:ascii="Arial" w:hAnsi="Arial" w:cs="Arial"/>
                <w:bCs/>
                <w:sz w:val="22"/>
                <w:szCs w:val="22"/>
              </w:rPr>
              <w:t>。</w:t>
            </w:r>
          </w:p>
          <w:p w14:paraId="7D418C4F">
            <w:pPr>
              <w:pStyle w:val="946"/>
              <w:spacing w:line="300" w:lineRule="exact"/>
              <w:jc w:val="both"/>
              <w:rPr>
                <w:rFonts w:hint="eastAsia" w:ascii="Arial" w:cs="Arial"/>
                <w:sz w:val="22"/>
                <w:szCs w:val="22"/>
                <w:lang w:eastAsia="zh-CN"/>
              </w:rPr>
            </w:pPr>
            <w:r>
              <w:rPr>
                <w:rFonts w:hint="eastAsia" w:ascii="Arial" w:hAnsi="Arial" w:cs="Arial"/>
                <w:sz w:val="22"/>
                <w:szCs w:val="22"/>
                <w:lang w:eastAsia="zh-CN" w:bidi="he-IL"/>
              </w:rPr>
              <w:t>②废油</w:t>
            </w:r>
            <w:r>
              <w:rPr>
                <w:rFonts w:hint="eastAsia" w:ascii="Arial" w:cs="Arial"/>
                <w:sz w:val="22"/>
                <w:szCs w:val="22"/>
              </w:rPr>
              <w:t>主要来源于</w:t>
            </w:r>
            <w:r>
              <w:rPr>
                <w:rFonts w:hint="eastAsia" w:ascii="Arial" w:cs="Arial"/>
                <w:sz w:val="22"/>
                <w:szCs w:val="22"/>
                <w:lang w:eastAsia="zh-CN"/>
              </w:rPr>
              <w:t>机械</w:t>
            </w:r>
            <w:r>
              <w:rPr>
                <w:rFonts w:hint="eastAsia" w:ascii="Arial" w:cs="Arial"/>
                <w:sz w:val="22"/>
                <w:szCs w:val="22"/>
              </w:rPr>
              <w:t>设备维护和保养，</w:t>
            </w:r>
            <w:r>
              <w:rPr>
                <w:rFonts w:hint="eastAsia" w:ascii="Arial" w:hAnsi="Arial" w:cs="Arial"/>
                <w:color w:val="auto"/>
                <w:sz w:val="22"/>
                <w:szCs w:val="22"/>
                <w:lang w:eastAsia="zh-CN"/>
              </w:rPr>
              <w:t>桶装收集后，</w:t>
            </w:r>
            <w:r>
              <w:rPr>
                <w:rFonts w:hint="eastAsia" w:ascii="Arial" w:hAnsi="Arial" w:cs="Arial"/>
                <w:color w:val="auto"/>
                <w:sz w:val="22"/>
                <w:szCs w:val="22"/>
              </w:rPr>
              <w:t>暂存于施工</w:t>
            </w:r>
            <w:r>
              <w:rPr>
                <w:rFonts w:hint="eastAsia" w:ascii="Arial" w:hAnsi="Arial" w:cs="Arial"/>
                <w:color w:val="auto"/>
                <w:sz w:val="22"/>
                <w:szCs w:val="22"/>
                <w:lang w:eastAsia="zh-CN"/>
              </w:rPr>
              <w:t>场地</w:t>
            </w:r>
            <w:r>
              <w:rPr>
                <w:rFonts w:hint="eastAsia" w:ascii="Arial" w:hAnsi="Arial" w:cs="Arial"/>
                <w:color w:val="auto"/>
                <w:sz w:val="22"/>
                <w:szCs w:val="22"/>
              </w:rPr>
              <w:t>内独立设置的危废</w:t>
            </w:r>
            <w:r>
              <w:rPr>
                <w:rFonts w:hint="eastAsia" w:ascii="Arial" w:hAnsi="Arial" w:cs="Arial"/>
                <w:color w:val="auto"/>
                <w:sz w:val="22"/>
                <w:szCs w:val="22"/>
                <w:lang w:eastAsia="zh-CN"/>
              </w:rPr>
              <w:t>贮存区内</w:t>
            </w:r>
            <w:r>
              <w:rPr>
                <w:rFonts w:hint="eastAsia" w:ascii="Arial" w:hAnsi="Arial" w:cs="Arial"/>
                <w:color w:val="auto"/>
                <w:sz w:val="22"/>
                <w:szCs w:val="22"/>
              </w:rPr>
              <w:t>，按规定进行“</w:t>
            </w:r>
            <w:r>
              <w:rPr>
                <w:rFonts w:hint="eastAsia" w:ascii="Arial" w:hAnsi="Arial" w:cs="Arial"/>
                <w:color w:val="auto"/>
                <w:sz w:val="22"/>
                <w:szCs w:val="22"/>
                <w:lang w:eastAsia="zh-CN"/>
              </w:rPr>
              <w:t>六</w:t>
            </w:r>
            <w:r>
              <w:rPr>
                <w:rFonts w:hint="eastAsia" w:ascii="Arial" w:hAnsi="Arial" w:cs="Arial"/>
                <w:color w:val="auto"/>
                <w:sz w:val="22"/>
                <w:szCs w:val="22"/>
              </w:rPr>
              <w:t>防”处置，最终交有有资质的单位回收处置。</w:t>
            </w:r>
          </w:p>
          <w:p w14:paraId="6E103134">
            <w:pPr>
              <w:pStyle w:val="946"/>
              <w:spacing w:line="300" w:lineRule="exact"/>
              <w:jc w:val="both"/>
              <w:rPr>
                <w:rFonts w:hint="eastAsia" w:ascii="Arial" w:hAnsi="Arial" w:cs="Arial"/>
                <w:sz w:val="22"/>
                <w:szCs w:val="22"/>
                <w:lang w:eastAsia="zh-CN" w:bidi="he-IL"/>
              </w:rPr>
            </w:pPr>
            <w:r>
              <w:rPr>
                <w:rFonts w:hint="eastAsia" w:ascii="Arial" w:hAnsi="Arial" w:cs="Arial"/>
                <w:sz w:val="22"/>
                <w:szCs w:val="22"/>
                <w:lang w:eastAsia="zh-CN" w:bidi="he-IL"/>
              </w:rPr>
              <w:t>③生活垃圾</w:t>
            </w:r>
            <w:r>
              <w:rPr>
                <w:rFonts w:hint="eastAsia" w:ascii="Arial" w:cs="Arial"/>
                <w:sz w:val="22"/>
                <w:szCs w:val="22"/>
              </w:rPr>
              <w:t>日产日清，经各施工区所设垃圾桶收集后，交</w:t>
            </w:r>
            <w:r>
              <w:rPr>
                <w:rFonts w:hint="eastAsia" w:ascii="Arial" w:cs="Arial"/>
                <w:sz w:val="22"/>
                <w:szCs w:val="22"/>
                <w:lang w:eastAsia="zh-CN"/>
              </w:rPr>
              <w:t>当地</w:t>
            </w:r>
            <w:r>
              <w:rPr>
                <w:rFonts w:hint="eastAsia" w:ascii="Arial" w:cs="Arial"/>
                <w:sz w:val="22"/>
                <w:szCs w:val="22"/>
              </w:rPr>
              <w:t>环卫部门统一清运处置</w:t>
            </w:r>
          </w:p>
          <w:p w14:paraId="22EB3618">
            <w:pPr>
              <w:pStyle w:val="946"/>
              <w:spacing w:line="300" w:lineRule="exact"/>
              <w:jc w:val="both"/>
              <w:rPr>
                <w:rFonts w:hint="eastAsia" w:ascii="Arial" w:cs="Arial"/>
                <w:sz w:val="22"/>
                <w:szCs w:val="22"/>
                <w:lang w:eastAsia="zh-CN"/>
              </w:rPr>
            </w:pPr>
            <w:r>
              <w:rPr>
                <w:rFonts w:hint="eastAsia" w:ascii="Arial" w:hAnsi="Arial" w:cs="Arial"/>
                <w:sz w:val="22"/>
                <w:szCs w:val="22"/>
                <w:lang w:eastAsia="zh-CN" w:bidi="he-IL"/>
              </w:rPr>
              <w:t>④餐厨垃圾</w:t>
            </w:r>
            <w:r>
              <w:rPr>
                <w:rFonts w:hint="eastAsia" w:ascii="Arial" w:cs="Arial"/>
                <w:sz w:val="22"/>
                <w:szCs w:val="22"/>
              </w:rPr>
              <w:t>桶装收集后，交有资质单位清运处置</w:t>
            </w:r>
          </w:p>
          <w:p w14:paraId="18774064">
            <w:pPr>
              <w:pStyle w:val="946"/>
              <w:spacing w:line="300" w:lineRule="exact"/>
              <w:jc w:val="both"/>
              <w:rPr>
                <w:rFonts w:ascii="Arial" w:hAnsi="Arial" w:cs="Arial"/>
                <w:sz w:val="22"/>
                <w:szCs w:val="22"/>
                <w:lang w:eastAsia="zh-CN" w:bidi="he-IL"/>
              </w:rPr>
            </w:pPr>
            <w:r>
              <w:rPr>
                <w:rFonts w:hint="eastAsia" w:ascii="Arial" w:hAnsi="Arial" w:cs="Arial"/>
                <w:sz w:val="22"/>
                <w:szCs w:val="22"/>
                <w:lang w:eastAsia="zh-CN" w:bidi="he-IL"/>
              </w:rPr>
              <w:t>⑤清库废物</w:t>
            </w:r>
            <w:r>
              <w:rPr>
                <w:rFonts w:hint="eastAsia" w:ascii="Arial" w:cs="Arial"/>
                <w:sz w:val="22"/>
                <w:szCs w:val="22"/>
              </w:rPr>
              <w:t>分类收集，外售作木材使用或</w:t>
            </w:r>
            <w:r>
              <w:rPr>
                <w:rFonts w:hint="eastAsia" w:ascii="Arial" w:cs="Arial"/>
                <w:sz w:val="22"/>
                <w:szCs w:val="22"/>
                <w:lang w:eastAsia="zh-CN"/>
              </w:rPr>
              <w:t>交当地市政环卫部门统一清运处置</w:t>
            </w:r>
            <w:r>
              <w:rPr>
                <w:rFonts w:hint="eastAsia" w:ascii="Arial" w:cs="Arial"/>
                <w:sz w:val="22"/>
                <w:szCs w:val="22"/>
              </w:rPr>
              <w:t>。</w:t>
            </w:r>
          </w:p>
        </w:tc>
        <w:tc>
          <w:tcPr>
            <w:tcW w:w="667" w:type="dxa"/>
            <w:vMerge w:val="continue"/>
            <w:noWrap w:val="0"/>
            <w:vAlign w:val="center"/>
          </w:tcPr>
          <w:p w14:paraId="23A3BD52">
            <w:pPr>
              <w:widowControl/>
              <w:spacing w:line="300" w:lineRule="exact"/>
              <w:jc w:val="center"/>
              <w:rPr>
                <w:rFonts w:ascii="Arial" w:hAnsi="Arial" w:cs="Arial"/>
                <w:sz w:val="22"/>
                <w:szCs w:val="22"/>
              </w:rPr>
            </w:pPr>
          </w:p>
        </w:tc>
        <w:tc>
          <w:tcPr>
            <w:tcW w:w="670" w:type="dxa"/>
            <w:vMerge w:val="continue"/>
            <w:noWrap w:val="0"/>
            <w:vAlign w:val="center"/>
          </w:tcPr>
          <w:p w14:paraId="5EC63B2A">
            <w:pPr>
              <w:widowControl/>
              <w:spacing w:line="300" w:lineRule="exact"/>
              <w:jc w:val="center"/>
              <w:rPr>
                <w:rFonts w:ascii="Arial" w:hAnsi="Arial" w:cs="Arial"/>
                <w:sz w:val="22"/>
                <w:szCs w:val="22"/>
              </w:rPr>
            </w:pPr>
          </w:p>
        </w:tc>
      </w:tr>
    </w:tbl>
    <w:p w14:paraId="560E1574">
      <w:pPr>
        <w:keepNext w:val="0"/>
        <w:keepLines w:val="0"/>
        <w:pageBreakBefore w:val="0"/>
        <w:widowControl w:val="0"/>
        <w:kinsoku/>
        <w:wordWrap/>
        <w:overflowPunct/>
        <w:topLinePunct w:val="0"/>
        <w:autoSpaceDE/>
        <w:autoSpaceDN/>
        <w:bidi w:val="0"/>
        <w:adjustRightInd/>
        <w:snapToGrid/>
        <w:spacing w:line="240" w:lineRule="exact"/>
        <w:ind w:firstLine="520" w:firstLineChars="200"/>
        <w:textAlignment w:val="auto"/>
        <w:rPr>
          <w:rFonts w:hint="default" w:ascii="Arial" w:hAnsi="Arial" w:cs="Arial"/>
          <w:color w:val="000000"/>
          <w:sz w:val="26"/>
          <w:lang w:val="en-US" w:eastAsia="zh-CN"/>
        </w:rPr>
      </w:pPr>
    </w:p>
    <w:p w14:paraId="76E31F52">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highlight w:val="none"/>
          <w:lang w:val="en-US" w:eastAsia="zh-CN"/>
        </w:rPr>
      </w:pPr>
      <w:bookmarkStart w:id="160" w:name="_Toc27648"/>
      <w:r>
        <w:rPr>
          <w:rFonts w:hint="eastAsia" w:ascii="Arial" w:hAnsi="Arial" w:cs="Arial"/>
          <w:sz w:val="26"/>
          <w:szCs w:val="26"/>
          <w:highlight w:val="none"/>
          <w:lang w:val="en-US" w:eastAsia="zh-CN"/>
        </w:rPr>
        <w:t>9</w:t>
      </w:r>
      <w:r>
        <w:rPr>
          <w:rFonts w:hint="eastAsia" w:ascii="Arial" w:hAnsi="Arial" w:eastAsia="宋体" w:cs="Arial"/>
          <w:sz w:val="26"/>
          <w:szCs w:val="26"/>
          <w:highlight w:val="none"/>
          <w:lang w:val="en-US" w:eastAsia="zh-CN"/>
        </w:rPr>
        <w:t>.3环境监测</w:t>
      </w:r>
      <w:bookmarkEnd w:id="160"/>
    </w:p>
    <w:p w14:paraId="67B96627">
      <w:pPr>
        <w:keepNext w:val="0"/>
        <w:keepLines w:val="0"/>
        <w:pageBreakBefore w:val="0"/>
        <w:kinsoku/>
        <w:wordWrap/>
        <w:overflowPunct/>
        <w:topLinePunct w:val="0"/>
        <w:autoSpaceDE/>
        <w:autoSpaceDN/>
        <w:bidi w:val="0"/>
        <w:spacing w:line="460" w:lineRule="exact"/>
        <w:ind w:firstLine="520" w:firstLineChars="200"/>
        <w:textAlignment w:val="auto"/>
        <w:rPr>
          <w:rFonts w:hint="eastAsia" w:ascii="Arial" w:hAnsi="Arial" w:cs="Arial"/>
          <w:color w:val="000000"/>
          <w:sz w:val="26"/>
          <w:szCs w:val="26"/>
        </w:rPr>
      </w:pPr>
      <w:r>
        <w:rPr>
          <w:rFonts w:hint="eastAsia" w:ascii="Arial" w:hAnsi="Arial" w:cs="Arial"/>
          <w:color w:val="000000"/>
          <w:sz w:val="26"/>
          <w:szCs w:val="26"/>
        </w:rPr>
        <w:t>为给工程施工期和营运期环境污染控制、环境质量管理提供可靠的数据资料，以及为研究工程区环境变化规律和发展趋势，制定工程区域以及流域生态环境保护规划提供科学的依据，评价拟对工程施工期、营运期提出环境监测计划。</w:t>
      </w:r>
    </w:p>
    <w:p w14:paraId="785BE680">
      <w:pPr>
        <w:keepNext w:val="0"/>
        <w:keepLines w:val="0"/>
        <w:pageBreakBefore w:val="0"/>
        <w:kinsoku/>
        <w:wordWrap/>
        <w:overflowPunct/>
        <w:topLinePunct w:val="0"/>
        <w:autoSpaceDE/>
        <w:autoSpaceDN/>
        <w:bidi w:val="0"/>
        <w:spacing w:line="460" w:lineRule="exact"/>
        <w:ind w:firstLine="522" w:firstLineChars="200"/>
        <w:textAlignment w:val="auto"/>
        <w:rPr>
          <w:rFonts w:hint="default" w:ascii="Arial" w:hAnsi="Arial" w:eastAsia="宋体" w:cs="Arial"/>
          <w:b/>
          <w:bCs/>
          <w:color w:val="000000"/>
          <w:sz w:val="26"/>
          <w:lang w:val="en-US" w:eastAsia="zh-CN"/>
        </w:rPr>
      </w:pPr>
      <w:r>
        <w:rPr>
          <w:rFonts w:hint="eastAsia" w:ascii="Arial" w:hAnsi="Arial" w:cs="Arial"/>
          <w:b/>
          <w:bCs/>
          <w:color w:val="000000"/>
          <w:sz w:val="26"/>
          <w:lang w:val="en-US" w:eastAsia="zh-CN"/>
        </w:rPr>
        <w:t>9.</w:t>
      </w:r>
      <w:r>
        <w:rPr>
          <w:rFonts w:hint="eastAsia" w:ascii="Arial" w:hAnsi="Arial" w:eastAsia="宋体" w:cs="Arial"/>
          <w:b/>
          <w:bCs/>
          <w:color w:val="000000"/>
          <w:sz w:val="26"/>
          <w:lang w:val="en-US" w:eastAsia="zh-CN"/>
        </w:rPr>
        <w:t>3.1施工期环境监测计划</w:t>
      </w:r>
    </w:p>
    <w:p w14:paraId="66A83947">
      <w:pPr>
        <w:keepNext w:val="0"/>
        <w:keepLines w:val="0"/>
        <w:pageBreakBefore w:val="0"/>
        <w:kinsoku/>
        <w:wordWrap/>
        <w:overflowPunct/>
        <w:topLinePunct w:val="0"/>
        <w:autoSpaceDE/>
        <w:autoSpaceDN/>
        <w:bidi w:val="0"/>
        <w:spacing w:line="460" w:lineRule="exact"/>
        <w:ind w:firstLine="520" w:firstLineChars="200"/>
        <w:textAlignment w:val="auto"/>
        <w:rPr>
          <w:rFonts w:hint="eastAsia" w:ascii="Arial" w:hAnsi="Arial" w:eastAsia="宋体" w:cs="Arial"/>
          <w:color w:val="000000"/>
          <w:sz w:val="26"/>
          <w:lang w:val="en-US" w:eastAsia="zh-CN"/>
        </w:rPr>
      </w:pPr>
      <w:r>
        <w:rPr>
          <w:rFonts w:hint="eastAsia" w:ascii="Arial" w:hAnsi="Arial" w:cs="Arial"/>
          <w:color w:val="000000"/>
          <w:sz w:val="26"/>
          <w:szCs w:val="26"/>
        </w:rPr>
        <w:t>本项目施工期环境监测计划详见表</w:t>
      </w:r>
      <w:r>
        <w:rPr>
          <w:rFonts w:hint="eastAsia" w:ascii="Arial" w:hAnsi="Arial" w:cs="Arial"/>
          <w:color w:val="000000"/>
          <w:sz w:val="26"/>
          <w:szCs w:val="26"/>
          <w:lang w:val="en-US" w:eastAsia="zh-CN"/>
        </w:rPr>
        <w:t>9.3</w:t>
      </w:r>
      <w:r>
        <w:rPr>
          <w:rFonts w:hint="eastAsia" w:ascii="Arial" w:hAnsi="Arial" w:cs="Arial"/>
          <w:color w:val="000000"/>
          <w:sz w:val="26"/>
          <w:szCs w:val="26"/>
        </w:rPr>
        <w:t>-1所示。</w:t>
      </w:r>
    </w:p>
    <w:p w14:paraId="117AB2DC">
      <w:pPr>
        <w:spacing w:line="460" w:lineRule="exact"/>
        <w:jc w:val="center"/>
        <w:rPr>
          <w:rFonts w:hint="eastAsia" w:ascii="Arial" w:hAnsi="Arial" w:cs="Arial"/>
          <w:b/>
          <w:color w:val="auto"/>
          <w:sz w:val="26"/>
          <w:szCs w:val="26"/>
        </w:rPr>
      </w:pPr>
      <w:r>
        <w:rPr>
          <w:rFonts w:hint="eastAsia" w:ascii="Arial" w:hAnsi="Arial" w:cs="Arial"/>
          <w:b/>
          <w:color w:val="auto"/>
          <w:sz w:val="26"/>
          <w:szCs w:val="26"/>
        </w:rPr>
        <w:t>表</w:t>
      </w:r>
      <w:r>
        <w:rPr>
          <w:rFonts w:hint="eastAsia" w:ascii="Arial" w:hAnsi="Arial" w:cs="Arial"/>
          <w:b/>
          <w:color w:val="auto"/>
          <w:sz w:val="26"/>
          <w:szCs w:val="26"/>
          <w:lang w:val="en-US" w:eastAsia="zh-CN"/>
        </w:rPr>
        <w:t>9.3</w:t>
      </w:r>
      <w:r>
        <w:rPr>
          <w:rFonts w:hint="eastAsia" w:ascii="Arial" w:hAnsi="Arial" w:cs="Arial"/>
          <w:b/>
          <w:color w:val="auto"/>
          <w:sz w:val="26"/>
          <w:szCs w:val="26"/>
        </w:rPr>
        <w:t>-1 施工期环境监测计划</w:t>
      </w:r>
    </w:p>
    <w:tbl>
      <w:tblPr>
        <w:tblStyle w:val="77"/>
        <w:tblW w:w="908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9"/>
        <w:gridCol w:w="1432"/>
        <w:gridCol w:w="2011"/>
        <w:gridCol w:w="2107"/>
        <w:gridCol w:w="1237"/>
        <w:gridCol w:w="1137"/>
      </w:tblGrid>
      <w:tr w14:paraId="744083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5" w:hRule="atLeast"/>
          <w:jc w:val="center"/>
        </w:trPr>
        <w:tc>
          <w:tcPr>
            <w:tcW w:w="1159" w:type="dxa"/>
            <w:noWrap w:val="0"/>
            <w:vAlign w:val="center"/>
          </w:tcPr>
          <w:p w14:paraId="4AAB5CEA">
            <w:pPr>
              <w:pStyle w:val="946"/>
              <w:spacing w:line="300" w:lineRule="exact"/>
              <w:rPr>
                <w:rFonts w:ascii="Arial" w:hAnsi="Arial" w:cs="Arial"/>
                <w:color w:val="auto"/>
                <w:sz w:val="22"/>
                <w:szCs w:val="22"/>
              </w:rPr>
            </w:pPr>
            <w:r>
              <w:rPr>
                <w:rFonts w:ascii="Arial" w:cs="Arial"/>
                <w:color w:val="auto"/>
                <w:sz w:val="22"/>
                <w:szCs w:val="22"/>
              </w:rPr>
              <w:t>监测类别</w:t>
            </w:r>
          </w:p>
        </w:tc>
        <w:tc>
          <w:tcPr>
            <w:tcW w:w="1432" w:type="dxa"/>
            <w:noWrap w:val="0"/>
            <w:vAlign w:val="center"/>
          </w:tcPr>
          <w:p w14:paraId="601B428B">
            <w:pPr>
              <w:pStyle w:val="946"/>
              <w:spacing w:line="300" w:lineRule="exact"/>
              <w:rPr>
                <w:rFonts w:ascii="Arial" w:hAnsi="Arial" w:cs="Arial"/>
                <w:color w:val="auto"/>
                <w:sz w:val="22"/>
                <w:szCs w:val="22"/>
              </w:rPr>
            </w:pPr>
            <w:r>
              <w:rPr>
                <w:rFonts w:ascii="Arial" w:cs="Arial"/>
                <w:color w:val="auto"/>
                <w:sz w:val="22"/>
                <w:szCs w:val="22"/>
              </w:rPr>
              <w:t>监测因子</w:t>
            </w:r>
          </w:p>
        </w:tc>
        <w:tc>
          <w:tcPr>
            <w:tcW w:w="2011" w:type="dxa"/>
            <w:noWrap w:val="0"/>
            <w:vAlign w:val="center"/>
          </w:tcPr>
          <w:p w14:paraId="258FC458">
            <w:pPr>
              <w:pStyle w:val="946"/>
              <w:spacing w:line="300" w:lineRule="exact"/>
              <w:rPr>
                <w:rFonts w:ascii="Arial" w:hAnsi="Arial" w:cs="Arial"/>
                <w:color w:val="auto"/>
                <w:sz w:val="22"/>
                <w:szCs w:val="22"/>
              </w:rPr>
            </w:pPr>
            <w:r>
              <w:rPr>
                <w:rFonts w:ascii="Arial" w:cs="Arial"/>
                <w:color w:val="auto"/>
                <w:sz w:val="22"/>
                <w:szCs w:val="22"/>
              </w:rPr>
              <w:t>监测点</w:t>
            </w:r>
          </w:p>
        </w:tc>
        <w:tc>
          <w:tcPr>
            <w:tcW w:w="2107" w:type="dxa"/>
            <w:noWrap w:val="0"/>
            <w:vAlign w:val="center"/>
          </w:tcPr>
          <w:p w14:paraId="35BAC0D6">
            <w:pPr>
              <w:pStyle w:val="946"/>
              <w:spacing w:line="300" w:lineRule="exact"/>
              <w:rPr>
                <w:rFonts w:ascii="Arial" w:hAnsi="Arial" w:cs="Arial"/>
                <w:color w:val="auto"/>
                <w:sz w:val="22"/>
                <w:szCs w:val="22"/>
              </w:rPr>
            </w:pPr>
            <w:r>
              <w:rPr>
                <w:rFonts w:ascii="Arial" w:cs="Arial"/>
                <w:color w:val="auto"/>
                <w:sz w:val="22"/>
                <w:szCs w:val="22"/>
              </w:rPr>
              <w:t>监测频次</w:t>
            </w:r>
          </w:p>
        </w:tc>
        <w:tc>
          <w:tcPr>
            <w:tcW w:w="1237" w:type="dxa"/>
            <w:noWrap w:val="0"/>
            <w:vAlign w:val="center"/>
          </w:tcPr>
          <w:p w14:paraId="612D14F0">
            <w:pPr>
              <w:pStyle w:val="946"/>
              <w:spacing w:line="300" w:lineRule="exact"/>
              <w:rPr>
                <w:rFonts w:ascii="Arial" w:hAnsi="Arial" w:cs="Arial"/>
                <w:color w:val="auto"/>
                <w:sz w:val="22"/>
                <w:szCs w:val="22"/>
              </w:rPr>
            </w:pPr>
            <w:r>
              <w:rPr>
                <w:rFonts w:ascii="Arial" w:cs="Arial"/>
                <w:color w:val="auto"/>
                <w:sz w:val="22"/>
                <w:szCs w:val="22"/>
              </w:rPr>
              <w:t>监测单位</w:t>
            </w:r>
          </w:p>
        </w:tc>
        <w:tc>
          <w:tcPr>
            <w:tcW w:w="1137" w:type="dxa"/>
            <w:noWrap w:val="0"/>
            <w:vAlign w:val="center"/>
          </w:tcPr>
          <w:p w14:paraId="5286233C">
            <w:pPr>
              <w:pStyle w:val="946"/>
              <w:spacing w:line="300" w:lineRule="exact"/>
              <w:rPr>
                <w:rFonts w:ascii="Arial" w:hAnsi="Arial" w:cs="Arial"/>
                <w:color w:val="auto"/>
                <w:sz w:val="22"/>
                <w:szCs w:val="22"/>
              </w:rPr>
            </w:pPr>
            <w:r>
              <w:rPr>
                <w:rFonts w:ascii="Arial" w:cs="Arial"/>
                <w:color w:val="auto"/>
                <w:sz w:val="22"/>
                <w:szCs w:val="22"/>
              </w:rPr>
              <w:t>责任单位</w:t>
            </w:r>
          </w:p>
        </w:tc>
      </w:tr>
      <w:tr w14:paraId="74F60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5" w:hRule="atLeast"/>
          <w:jc w:val="center"/>
        </w:trPr>
        <w:tc>
          <w:tcPr>
            <w:tcW w:w="9083" w:type="dxa"/>
            <w:gridSpan w:val="6"/>
            <w:noWrap w:val="0"/>
            <w:vAlign w:val="center"/>
          </w:tcPr>
          <w:p w14:paraId="6352B64B">
            <w:pPr>
              <w:pStyle w:val="946"/>
              <w:spacing w:line="300" w:lineRule="exact"/>
              <w:rPr>
                <w:rFonts w:hint="eastAsia" w:ascii="Arial" w:cs="Arial"/>
                <w:color w:val="auto"/>
                <w:sz w:val="22"/>
                <w:szCs w:val="22"/>
                <w:lang w:eastAsia="zh-CN"/>
              </w:rPr>
            </w:pPr>
            <w:r>
              <w:rPr>
                <w:rFonts w:hint="eastAsia" w:ascii="Arial" w:cs="Arial"/>
                <w:color w:val="auto"/>
                <w:sz w:val="22"/>
                <w:szCs w:val="22"/>
                <w:lang w:eastAsia="zh-CN"/>
              </w:rPr>
              <w:t>排污监测</w:t>
            </w:r>
          </w:p>
        </w:tc>
      </w:tr>
      <w:tr w14:paraId="1AEB25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159" w:type="dxa"/>
            <w:noWrap w:val="0"/>
            <w:vAlign w:val="center"/>
          </w:tcPr>
          <w:p w14:paraId="13F2A9CB">
            <w:pPr>
              <w:pStyle w:val="946"/>
              <w:spacing w:line="300" w:lineRule="exact"/>
              <w:rPr>
                <w:rFonts w:hint="eastAsia" w:ascii="Arial" w:hAnsi="Arial" w:cs="Arial"/>
                <w:color w:val="auto"/>
                <w:sz w:val="22"/>
                <w:szCs w:val="22"/>
                <w:lang w:eastAsia="zh-CN"/>
              </w:rPr>
            </w:pPr>
            <w:r>
              <w:rPr>
                <w:rFonts w:hint="eastAsia" w:ascii="Arial" w:cs="Arial"/>
                <w:color w:val="auto"/>
                <w:sz w:val="22"/>
                <w:szCs w:val="22"/>
                <w:lang w:eastAsia="zh-CN"/>
              </w:rPr>
              <w:t>废气</w:t>
            </w:r>
          </w:p>
        </w:tc>
        <w:tc>
          <w:tcPr>
            <w:tcW w:w="1432" w:type="dxa"/>
            <w:noWrap w:val="0"/>
            <w:vAlign w:val="center"/>
          </w:tcPr>
          <w:p w14:paraId="20A37372">
            <w:pPr>
              <w:pStyle w:val="946"/>
              <w:spacing w:line="300" w:lineRule="exact"/>
              <w:rPr>
                <w:rFonts w:hint="eastAsia" w:ascii="Arial" w:hAnsi="Arial" w:cs="Arial"/>
                <w:color w:val="auto"/>
                <w:sz w:val="22"/>
                <w:szCs w:val="22"/>
                <w:lang w:eastAsia="zh-CN"/>
              </w:rPr>
            </w:pPr>
            <w:r>
              <w:rPr>
                <w:rFonts w:hint="eastAsia" w:ascii="Arial" w:hAnsi="Arial" w:cs="Arial"/>
                <w:color w:val="auto"/>
                <w:sz w:val="22"/>
                <w:szCs w:val="22"/>
                <w:lang w:eastAsia="zh-CN"/>
              </w:rPr>
              <w:t>粉尘</w:t>
            </w:r>
          </w:p>
        </w:tc>
        <w:tc>
          <w:tcPr>
            <w:tcW w:w="2011" w:type="dxa"/>
            <w:noWrap w:val="0"/>
            <w:vAlign w:val="center"/>
          </w:tcPr>
          <w:p w14:paraId="7413FBB8">
            <w:pPr>
              <w:pStyle w:val="946"/>
              <w:spacing w:line="300" w:lineRule="exact"/>
              <w:rPr>
                <w:rFonts w:ascii="Arial" w:hAnsi="Arial" w:cs="Arial"/>
                <w:color w:val="auto"/>
                <w:sz w:val="22"/>
                <w:szCs w:val="22"/>
              </w:rPr>
            </w:pPr>
            <w:r>
              <w:rPr>
                <w:rFonts w:hint="eastAsia" w:ascii="Arial" w:cs="Arial"/>
                <w:color w:val="auto"/>
                <w:sz w:val="22"/>
                <w:szCs w:val="22"/>
                <w:lang w:eastAsia="zh-CN"/>
              </w:rPr>
              <w:t>枢纽工程施工场地</w:t>
            </w:r>
            <w:r>
              <w:rPr>
                <w:rFonts w:ascii="Arial" w:cs="Arial"/>
                <w:color w:val="auto"/>
                <w:sz w:val="22"/>
                <w:szCs w:val="22"/>
              </w:rPr>
              <w:t>下风向</w:t>
            </w:r>
            <w:r>
              <w:rPr>
                <w:rFonts w:hint="eastAsia" w:ascii="Arial" w:cs="Arial"/>
                <w:color w:val="auto"/>
                <w:sz w:val="22"/>
                <w:szCs w:val="22"/>
                <w:lang w:eastAsia="zh-CN"/>
              </w:rPr>
              <w:t>10m处设1个监测点。</w:t>
            </w:r>
          </w:p>
        </w:tc>
        <w:tc>
          <w:tcPr>
            <w:tcW w:w="2107" w:type="dxa"/>
            <w:noWrap w:val="0"/>
            <w:vAlign w:val="center"/>
          </w:tcPr>
          <w:p w14:paraId="54EB9B99">
            <w:pPr>
              <w:pStyle w:val="946"/>
              <w:spacing w:line="300" w:lineRule="exact"/>
              <w:rPr>
                <w:rFonts w:hint="eastAsia" w:ascii="Arial" w:hAnsi="Arial" w:cs="Arial"/>
                <w:color w:val="auto"/>
                <w:sz w:val="22"/>
                <w:szCs w:val="22"/>
                <w:lang w:eastAsia="zh-CN"/>
              </w:rPr>
            </w:pPr>
            <w:r>
              <w:rPr>
                <w:rFonts w:hint="eastAsia" w:ascii="Arial" w:cs="Arial"/>
                <w:color w:val="auto"/>
                <w:sz w:val="22"/>
                <w:szCs w:val="22"/>
                <w:lang w:eastAsia="zh-CN"/>
              </w:rPr>
              <w:t>土石方开挖、混凝土拌合期间进行监测，每年监测</w:t>
            </w:r>
            <w:r>
              <w:rPr>
                <w:rFonts w:hint="eastAsia" w:ascii="Arial" w:cs="Arial"/>
                <w:color w:val="auto"/>
                <w:sz w:val="22"/>
                <w:szCs w:val="22"/>
                <w:lang w:val="en-US" w:eastAsia="zh-CN"/>
              </w:rPr>
              <w:t>2次，</w:t>
            </w:r>
            <w:r>
              <w:rPr>
                <w:rFonts w:hint="eastAsia" w:ascii="Arial" w:cs="Arial"/>
                <w:color w:val="auto"/>
                <w:sz w:val="22"/>
                <w:szCs w:val="22"/>
                <w:lang w:eastAsia="zh-CN"/>
              </w:rPr>
              <w:t>每次</w:t>
            </w:r>
            <w:r>
              <w:rPr>
                <w:rFonts w:hint="eastAsia" w:ascii="Arial" w:cs="Arial"/>
                <w:color w:val="auto"/>
                <w:sz w:val="22"/>
                <w:szCs w:val="22"/>
              </w:rPr>
              <w:t>连续监测</w:t>
            </w:r>
            <w:r>
              <w:rPr>
                <w:rFonts w:ascii="Arial" w:cs="Arial"/>
                <w:color w:val="auto"/>
                <w:sz w:val="22"/>
                <w:szCs w:val="22"/>
              </w:rPr>
              <w:t>2</w:t>
            </w:r>
            <w:r>
              <w:rPr>
                <w:rFonts w:hint="eastAsia" w:ascii="Arial" w:cs="Arial"/>
                <w:color w:val="auto"/>
                <w:sz w:val="22"/>
                <w:szCs w:val="22"/>
              </w:rPr>
              <w:t>天，每天监测</w:t>
            </w:r>
            <w:r>
              <w:rPr>
                <w:rFonts w:ascii="Arial" w:cs="Arial"/>
                <w:color w:val="auto"/>
                <w:sz w:val="22"/>
                <w:szCs w:val="22"/>
              </w:rPr>
              <w:t>3</w:t>
            </w:r>
            <w:r>
              <w:rPr>
                <w:rFonts w:hint="eastAsia" w:ascii="Arial" w:cs="Arial"/>
                <w:color w:val="auto"/>
                <w:sz w:val="22"/>
                <w:szCs w:val="22"/>
              </w:rPr>
              <w:t>次</w:t>
            </w:r>
            <w:r>
              <w:rPr>
                <w:rFonts w:hint="eastAsia" w:ascii="Arial" w:cs="Arial"/>
                <w:color w:val="auto"/>
                <w:sz w:val="22"/>
                <w:szCs w:val="22"/>
                <w:lang w:eastAsia="zh-CN"/>
              </w:rPr>
              <w:t>。</w:t>
            </w:r>
          </w:p>
        </w:tc>
        <w:tc>
          <w:tcPr>
            <w:tcW w:w="1237" w:type="dxa"/>
            <w:vMerge w:val="restart"/>
            <w:noWrap w:val="0"/>
            <w:vAlign w:val="center"/>
          </w:tcPr>
          <w:p w14:paraId="09651672">
            <w:pPr>
              <w:pStyle w:val="946"/>
              <w:spacing w:line="300" w:lineRule="exact"/>
              <w:rPr>
                <w:rFonts w:ascii="Arial" w:hAnsi="Arial" w:cs="Arial"/>
                <w:color w:val="auto"/>
                <w:sz w:val="22"/>
                <w:szCs w:val="22"/>
              </w:rPr>
            </w:pPr>
            <w:r>
              <w:rPr>
                <w:rFonts w:ascii="Arial" w:cs="Arial"/>
                <w:color w:val="auto"/>
                <w:sz w:val="22"/>
                <w:szCs w:val="22"/>
              </w:rPr>
              <w:t>有监测资质的单位</w:t>
            </w:r>
          </w:p>
        </w:tc>
        <w:tc>
          <w:tcPr>
            <w:tcW w:w="1137" w:type="dxa"/>
            <w:vMerge w:val="restart"/>
            <w:noWrap w:val="0"/>
            <w:vAlign w:val="center"/>
          </w:tcPr>
          <w:p w14:paraId="246AC3A0">
            <w:pPr>
              <w:pStyle w:val="946"/>
              <w:spacing w:line="300" w:lineRule="exact"/>
              <w:rPr>
                <w:rFonts w:ascii="Arial" w:hAnsi="Arial" w:cs="Arial"/>
                <w:color w:val="auto"/>
                <w:sz w:val="22"/>
                <w:szCs w:val="22"/>
              </w:rPr>
            </w:pPr>
            <w:r>
              <w:rPr>
                <w:rFonts w:ascii="Arial" w:cs="Arial"/>
                <w:color w:val="auto"/>
                <w:sz w:val="22"/>
                <w:szCs w:val="22"/>
              </w:rPr>
              <w:t>建设单位</w:t>
            </w:r>
          </w:p>
        </w:tc>
      </w:tr>
      <w:tr w14:paraId="08B1E6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159" w:type="dxa"/>
            <w:noWrap w:val="0"/>
            <w:vAlign w:val="center"/>
          </w:tcPr>
          <w:p w14:paraId="2672B40F">
            <w:pPr>
              <w:pStyle w:val="946"/>
              <w:spacing w:line="300" w:lineRule="exact"/>
              <w:rPr>
                <w:rFonts w:hint="eastAsia" w:ascii="Arial" w:hAnsi="Arial" w:cs="Arial"/>
                <w:color w:val="auto"/>
                <w:sz w:val="22"/>
                <w:szCs w:val="22"/>
                <w:lang w:eastAsia="zh-CN"/>
              </w:rPr>
            </w:pPr>
            <w:r>
              <w:rPr>
                <w:rFonts w:hint="eastAsia" w:ascii="Arial" w:cs="Arial"/>
                <w:color w:val="auto"/>
                <w:sz w:val="22"/>
                <w:szCs w:val="22"/>
                <w:lang w:eastAsia="zh-CN"/>
              </w:rPr>
              <w:t>噪声</w:t>
            </w:r>
          </w:p>
        </w:tc>
        <w:tc>
          <w:tcPr>
            <w:tcW w:w="1432" w:type="dxa"/>
            <w:noWrap w:val="0"/>
            <w:vAlign w:val="center"/>
          </w:tcPr>
          <w:p w14:paraId="3329335C">
            <w:pPr>
              <w:pStyle w:val="946"/>
              <w:spacing w:line="300" w:lineRule="exact"/>
              <w:rPr>
                <w:rFonts w:ascii="Arial" w:hAnsi="Arial" w:cs="Arial"/>
                <w:color w:val="auto"/>
                <w:sz w:val="22"/>
                <w:szCs w:val="22"/>
              </w:rPr>
            </w:pPr>
            <w:r>
              <w:rPr>
                <w:rFonts w:ascii="Arial" w:hAnsi="Arial" w:cs="Arial"/>
                <w:color w:val="auto"/>
                <w:sz w:val="22"/>
                <w:szCs w:val="22"/>
                <w:shd w:val="clear" w:color="auto" w:fill="FFFFFF"/>
              </w:rPr>
              <w:t>L</w:t>
            </w:r>
            <w:r>
              <w:rPr>
                <w:rFonts w:ascii="Arial" w:hAnsi="Arial" w:cs="Arial"/>
                <w:color w:val="auto"/>
                <w:sz w:val="22"/>
                <w:szCs w:val="22"/>
                <w:shd w:val="clear" w:color="auto" w:fill="FFFFFF"/>
                <w:vertAlign w:val="subscript"/>
              </w:rPr>
              <w:t>Aeq</w:t>
            </w:r>
          </w:p>
        </w:tc>
        <w:tc>
          <w:tcPr>
            <w:tcW w:w="2011" w:type="dxa"/>
            <w:noWrap w:val="0"/>
            <w:vAlign w:val="center"/>
          </w:tcPr>
          <w:p w14:paraId="0608D4CA">
            <w:pPr>
              <w:pStyle w:val="946"/>
              <w:spacing w:line="300" w:lineRule="exact"/>
              <w:rPr>
                <w:rFonts w:hint="default" w:ascii="Arial" w:hAnsi="Arial" w:eastAsia="宋体" w:cs="Arial"/>
                <w:color w:val="auto"/>
                <w:sz w:val="22"/>
                <w:szCs w:val="22"/>
                <w:lang w:val="en-US" w:eastAsia="zh-CN"/>
              </w:rPr>
            </w:pPr>
            <w:r>
              <w:rPr>
                <w:rFonts w:hint="eastAsia" w:ascii="Arial" w:hAnsi="Arial" w:cs="Arial"/>
                <w:color w:val="auto"/>
                <w:sz w:val="22"/>
                <w:szCs w:val="22"/>
                <w:lang w:val="en-US" w:eastAsia="zh-CN"/>
              </w:rPr>
              <w:t>枢纽工程、输水工程施工区场界和临近的居民点处各设1个监测点。</w:t>
            </w:r>
          </w:p>
        </w:tc>
        <w:tc>
          <w:tcPr>
            <w:tcW w:w="2107" w:type="dxa"/>
            <w:noWrap w:val="0"/>
            <w:vAlign w:val="center"/>
          </w:tcPr>
          <w:p w14:paraId="0847EB5D">
            <w:pPr>
              <w:pStyle w:val="946"/>
              <w:spacing w:line="300" w:lineRule="exact"/>
              <w:rPr>
                <w:rFonts w:ascii="Arial" w:hAnsi="Arial" w:cs="Arial"/>
                <w:color w:val="auto"/>
                <w:sz w:val="22"/>
                <w:szCs w:val="22"/>
              </w:rPr>
            </w:pPr>
            <w:r>
              <w:rPr>
                <w:rFonts w:hint="eastAsia" w:ascii="Arial" w:cs="Arial"/>
                <w:color w:val="auto"/>
                <w:sz w:val="22"/>
                <w:szCs w:val="22"/>
                <w:lang w:eastAsia="zh-CN"/>
              </w:rPr>
              <w:t>每年监测</w:t>
            </w:r>
            <w:r>
              <w:rPr>
                <w:rFonts w:hint="eastAsia" w:ascii="Arial" w:cs="Arial"/>
                <w:color w:val="auto"/>
                <w:sz w:val="22"/>
                <w:szCs w:val="22"/>
                <w:lang w:val="en-US" w:eastAsia="zh-CN"/>
              </w:rPr>
              <w:t>2次</w:t>
            </w:r>
            <w:r>
              <w:rPr>
                <w:rFonts w:hint="eastAsia" w:ascii="Arial" w:cs="Arial"/>
                <w:color w:val="auto"/>
                <w:sz w:val="22"/>
                <w:szCs w:val="22"/>
                <w:lang w:eastAsia="zh-CN"/>
              </w:rPr>
              <w:t>，每次</w:t>
            </w:r>
            <w:r>
              <w:rPr>
                <w:rFonts w:hint="eastAsia" w:ascii="Arial" w:cs="Arial"/>
                <w:color w:val="auto"/>
                <w:sz w:val="22"/>
                <w:szCs w:val="22"/>
              </w:rPr>
              <w:t>连续监测</w:t>
            </w:r>
            <w:r>
              <w:rPr>
                <w:rFonts w:ascii="Arial" w:cs="Arial"/>
                <w:color w:val="auto"/>
                <w:sz w:val="22"/>
                <w:szCs w:val="22"/>
              </w:rPr>
              <w:t>2</w:t>
            </w:r>
            <w:r>
              <w:rPr>
                <w:rFonts w:hint="eastAsia" w:ascii="Arial" w:cs="Arial"/>
                <w:color w:val="auto"/>
                <w:sz w:val="22"/>
                <w:szCs w:val="22"/>
              </w:rPr>
              <w:t>天，昼</w:t>
            </w:r>
            <w:r>
              <w:rPr>
                <w:rFonts w:hint="eastAsia" w:ascii="Arial" w:cs="Arial"/>
                <w:color w:val="auto"/>
                <w:sz w:val="22"/>
                <w:szCs w:val="22"/>
                <w:lang w:eastAsia="zh-CN"/>
              </w:rPr>
              <w:t>、</w:t>
            </w:r>
            <w:r>
              <w:rPr>
                <w:rFonts w:hint="eastAsia" w:ascii="Arial" w:cs="Arial"/>
                <w:color w:val="auto"/>
                <w:sz w:val="22"/>
                <w:szCs w:val="22"/>
              </w:rPr>
              <w:t>夜各</w:t>
            </w:r>
            <w:r>
              <w:rPr>
                <w:rFonts w:hint="eastAsia" w:ascii="Arial" w:cs="Arial"/>
                <w:color w:val="auto"/>
                <w:sz w:val="22"/>
                <w:szCs w:val="22"/>
                <w:lang w:eastAsia="zh-CN"/>
              </w:rPr>
              <w:t>取样</w:t>
            </w:r>
            <w:r>
              <w:rPr>
                <w:rFonts w:hint="eastAsia" w:ascii="Arial" w:cs="Arial"/>
                <w:color w:val="auto"/>
                <w:sz w:val="22"/>
                <w:szCs w:val="22"/>
              </w:rPr>
              <w:t>一次。</w:t>
            </w:r>
          </w:p>
        </w:tc>
        <w:tc>
          <w:tcPr>
            <w:tcW w:w="1237" w:type="dxa"/>
            <w:vMerge w:val="continue"/>
            <w:noWrap w:val="0"/>
            <w:vAlign w:val="center"/>
          </w:tcPr>
          <w:p w14:paraId="7D05AE8C">
            <w:pPr>
              <w:widowControl/>
              <w:spacing w:line="300" w:lineRule="exact"/>
              <w:jc w:val="center"/>
              <w:rPr>
                <w:rFonts w:ascii="Arial" w:hAnsi="Arial" w:cs="Arial"/>
                <w:color w:val="auto"/>
                <w:sz w:val="22"/>
                <w:szCs w:val="22"/>
              </w:rPr>
            </w:pPr>
          </w:p>
        </w:tc>
        <w:tc>
          <w:tcPr>
            <w:tcW w:w="1137" w:type="dxa"/>
            <w:vMerge w:val="continue"/>
            <w:noWrap w:val="0"/>
            <w:vAlign w:val="center"/>
          </w:tcPr>
          <w:p w14:paraId="12FA79AE">
            <w:pPr>
              <w:widowControl/>
              <w:spacing w:line="300" w:lineRule="exact"/>
              <w:jc w:val="center"/>
              <w:rPr>
                <w:rFonts w:ascii="Arial" w:hAnsi="Arial" w:cs="Arial"/>
                <w:color w:val="auto"/>
                <w:sz w:val="22"/>
                <w:szCs w:val="22"/>
              </w:rPr>
            </w:pPr>
          </w:p>
        </w:tc>
      </w:tr>
      <w:tr w14:paraId="6FE022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9083" w:type="dxa"/>
            <w:gridSpan w:val="6"/>
            <w:noWrap w:val="0"/>
            <w:vAlign w:val="center"/>
          </w:tcPr>
          <w:p w14:paraId="35C14073">
            <w:pPr>
              <w:widowControl/>
              <w:spacing w:line="300" w:lineRule="exact"/>
              <w:jc w:val="center"/>
              <w:rPr>
                <w:rFonts w:hint="eastAsia" w:ascii="Arial" w:hAnsi="Arial" w:cs="Arial"/>
                <w:color w:val="auto"/>
                <w:sz w:val="22"/>
                <w:szCs w:val="22"/>
              </w:rPr>
            </w:pPr>
            <w:r>
              <w:rPr>
                <w:rFonts w:hint="eastAsia" w:ascii="Arial" w:hAnsi="Arial" w:cs="Arial"/>
                <w:color w:val="auto"/>
                <w:sz w:val="22"/>
                <w:szCs w:val="22"/>
              </w:rPr>
              <w:t>环境质量监测</w:t>
            </w:r>
          </w:p>
        </w:tc>
      </w:tr>
      <w:tr w14:paraId="5EF65F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159" w:type="dxa"/>
            <w:noWrap w:val="0"/>
            <w:vAlign w:val="center"/>
          </w:tcPr>
          <w:p w14:paraId="3DF7E2DA">
            <w:pPr>
              <w:pStyle w:val="946"/>
              <w:spacing w:line="300" w:lineRule="exact"/>
              <w:rPr>
                <w:rFonts w:ascii="Arial" w:cs="Arial"/>
                <w:color w:val="auto"/>
                <w:sz w:val="22"/>
                <w:szCs w:val="22"/>
              </w:rPr>
            </w:pPr>
            <w:r>
              <w:rPr>
                <w:rFonts w:ascii="Arial" w:cs="Arial"/>
                <w:color w:val="auto"/>
                <w:sz w:val="22"/>
                <w:szCs w:val="22"/>
              </w:rPr>
              <w:t>地表水</w:t>
            </w:r>
          </w:p>
          <w:p w14:paraId="57022E2A">
            <w:pPr>
              <w:pStyle w:val="946"/>
              <w:spacing w:line="300" w:lineRule="exact"/>
              <w:rPr>
                <w:rFonts w:ascii="Arial" w:hAnsi="Arial" w:cs="Arial"/>
                <w:color w:val="auto"/>
                <w:sz w:val="22"/>
                <w:szCs w:val="22"/>
              </w:rPr>
            </w:pPr>
            <w:r>
              <w:rPr>
                <w:rFonts w:ascii="Arial" w:cs="Arial"/>
                <w:color w:val="auto"/>
                <w:sz w:val="22"/>
                <w:szCs w:val="22"/>
              </w:rPr>
              <w:t>环境</w:t>
            </w:r>
          </w:p>
        </w:tc>
        <w:tc>
          <w:tcPr>
            <w:tcW w:w="1432" w:type="dxa"/>
            <w:noWrap w:val="0"/>
            <w:vAlign w:val="center"/>
          </w:tcPr>
          <w:p w14:paraId="4AC9D399">
            <w:pPr>
              <w:pStyle w:val="946"/>
              <w:spacing w:line="300" w:lineRule="exact"/>
              <w:rPr>
                <w:rFonts w:hint="default" w:ascii="Arial" w:hAnsi="Arial" w:eastAsia="宋体" w:cs="Arial"/>
                <w:color w:val="auto"/>
                <w:sz w:val="22"/>
                <w:szCs w:val="22"/>
                <w:lang w:val="en-US" w:eastAsia="zh-CN"/>
              </w:rPr>
            </w:pPr>
            <w:r>
              <w:rPr>
                <w:rFonts w:hint="eastAsia" w:ascii="Arial" w:hAnsi="Arial" w:cs="Arial"/>
                <w:color w:val="auto"/>
                <w:sz w:val="22"/>
                <w:szCs w:val="22"/>
                <w:lang w:val="en-US" w:eastAsia="zh-CN"/>
              </w:rPr>
              <w:t>pH、石油类、SS、COD、NH</w:t>
            </w:r>
            <w:r>
              <w:rPr>
                <w:rFonts w:hint="eastAsia" w:ascii="Arial" w:hAnsi="Arial" w:cs="Arial"/>
                <w:color w:val="auto"/>
                <w:sz w:val="22"/>
                <w:szCs w:val="22"/>
                <w:vertAlign w:val="subscript"/>
                <w:lang w:val="en-US" w:eastAsia="zh-CN"/>
              </w:rPr>
              <w:t>3</w:t>
            </w:r>
            <w:r>
              <w:rPr>
                <w:rFonts w:hint="eastAsia" w:ascii="Arial" w:hAnsi="Arial" w:cs="Arial"/>
                <w:color w:val="auto"/>
                <w:sz w:val="22"/>
                <w:szCs w:val="22"/>
                <w:lang w:val="en-US" w:eastAsia="zh-CN"/>
              </w:rPr>
              <w:t>-N等。</w:t>
            </w:r>
          </w:p>
        </w:tc>
        <w:tc>
          <w:tcPr>
            <w:tcW w:w="2011" w:type="dxa"/>
            <w:noWrap w:val="0"/>
            <w:vAlign w:val="center"/>
          </w:tcPr>
          <w:p w14:paraId="1416A937">
            <w:pPr>
              <w:pStyle w:val="946"/>
              <w:spacing w:line="300" w:lineRule="exact"/>
              <w:rPr>
                <w:rFonts w:hint="default" w:ascii="Arial" w:hAnsi="Arial" w:cs="Arial"/>
                <w:color w:val="auto"/>
                <w:sz w:val="22"/>
                <w:szCs w:val="22"/>
                <w:lang w:val="en-US" w:eastAsia="zh-CN"/>
              </w:rPr>
            </w:pPr>
            <w:r>
              <w:rPr>
                <w:rFonts w:hint="eastAsia" w:ascii="Arial" w:cs="Arial"/>
                <w:color w:val="auto"/>
                <w:sz w:val="22"/>
                <w:szCs w:val="22"/>
                <w:lang w:eastAsia="zh-CN"/>
              </w:rPr>
              <w:t>枢纽工程施工区上游</w:t>
            </w:r>
            <w:r>
              <w:rPr>
                <w:rFonts w:hint="eastAsia" w:ascii="Arial" w:cs="Arial"/>
                <w:color w:val="auto"/>
                <w:sz w:val="22"/>
                <w:szCs w:val="22"/>
                <w:lang w:val="en-US" w:eastAsia="zh-CN"/>
              </w:rPr>
              <w:t>500m、下游1000m各设1个取样断面。</w:t>
            </w:r>
          </w:p>
        </w:tc>
        <w:tc>
          <w:tcPr>
            <w:tcW w:w="2107" w:type="dxa"/>
            <w:noWrap w:val="0"/>
            <w:vAlign w:val="center"/>
          </w:tcPr>
          <w:p w14:paraId="4AE7DDAD">
            <w:pPr>
              <w:pStyle w:val="946"/>
              <w:spacing w:line="300" w:lineRule="exact"/>
              <w:rPr>
                <w:rFonts w:hint="eastAsia" w:ascii="Arial" w:hAnsi="Arial" w:cs="Arial"/>
                <w:color w:val="auto"/>
                <w:sz w:val="22"/>
                <w:szCs w:val="22"/>
                <w:lang w:eastAsia="zh-CN"/>
              </w:rPr>
            </w:pPr>
            <w:r>
              <w:rPr>
                <w:rFonts w:hint="eastAsia" w:ascii="Arial" w:cs="Arial"/>
                <w:color w:val="auto"/>
                <w:sz w:val="22"/>
                <w:szCs w:val="22"/>
                <w:lang w:eastAsia="zh-CN"/>
              </w:rPr>
              <w:t>每年丰水期、枯水期各监测</w:t>
            </w:r>
            <w:r>
              <w:rPr>
                <w:rFonts w:hint="eastAsia" w:ascii="Arial" w:cs="Arial"/>
                <w:color w:val="auto"/>
                <w:sz w:val="22"/>
                <w:szCs w:val="22"/>
                <w:lang w:val="en-US" w:eastAsia="zh-CN"/>
              </w:rPr>
              <w:t>1次</w:t>
            </w:r>
            <w:r>
              <w:rPr>
                <w:rFonts w:hint="eastAsia" w:ascii="Arial" w:cs="Arial"/>
                <w:color w:val="auto"/>
                <w:sz w:val="22"/>
                <w:szCs w:val="22"/>
                <w:lang w:eastAsia="zh-CN"/>
              </w:rPr>
              <w:t>，每次连续监测3天，每天监测1次。</w:t>
            </w:r>
          </w:p>
        </w:tc>
        <w:tc>
          <w:tcPr>
            <w:tcW w:w="1237" w:type="dxa"/>
            <w:noWrap w:val="0"/>
            <w:vAlign w:val="center"/>
          </w:tcPr>
          <w:p w14:paraId="65FAA599">
            <w:pPr>
              <w:pStyle w:val="946"/>
              <w:spacing w:line="300" w:lineRule="exact"/>
              <w:rPr>
                <w:rFonts w:ascii="Arial" w:hAnsi="Arial" w:cs="Arial"/>
                <w:color w:val="auto"/>
                <w:sz w:val="22"/>
                <w:szCs w:val="22"/>
              </w:rPr>
            </w:pPr>
            <w:r>
              <w:rPr>
                <w:rFonts w:ascii="Arial" w:cs="Arial"/>
                <w:color w:val="auto"/>
                <w:sz w:val="22"/>
                <w:szCs w:val="22"/>
              </w:rPr>
              <w:t>有监测资质的单位</w:t>
            </w:r>
          </w:p>
        </w:tc>
        <w:tc>
          <w:tcPr>
            <w:tcW w:w="1137" w:type="dxa"/>
            <w:noWrap w:val="0"/>
            <w:vAlign w:val="center"/>
          </w:tcPr>
          <w:p w14:paraId="78CA2986">
            <w:pPr>
              <w:pStyle w:val="946"/>
              <w:spacing w:line="300" w:lineRule="exact"/>
              <w:rPr>
                <w:rFonts w:ascii="Arial" w:hAnsi="Arial" w:cs="Arial"/>
                <w:color w:val="auto"/>
                <w:sz w:val="22"/>
                <w:szCs w:val="22"/>
              </w:rPr>
            </w:pPr>
            <w:r>
              <w:rPr>
                <w:rFonts w:ascii="Arial" w:cs="Arial"/>
                <w:color w:val="auto"/>
                <w:sz w:val="22"/>
                <w:szCs w:val="22"/>
              </w:rPr>
              <w:t>建设单位</w:t>
            </w:r>
          </w:p>
        </w:tc>
      </w:tr>
      <w:tr w14:paraId="097121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159" w:type="dxa"/>
            <w:noWrap w:val="0"/>
            <w:vAlign w:val="center"/>
          </w:tcPr>
          <w:p w14:paraId="1AEE0C5D">
            <w:pPr>
              <w:pStyle w:val="946"/>
              <w:spacing w:line="300" w:lineRule="exact"/>
              <w:rPr>
                <w:rFonts w:hint="eastAsia" w:ascii="Arial" w:eastAsia="宋体" w:cs="Arial"/>
                <w:color w:val="auto"/>
                <w:sz w:val="22"/>
                <w:szCs w:val="22"/>
                <w:lang w:eastAsia="zh-CN"/>
              </w:rPr>
            </w:pPr>
            <w:r>
              <w:rPr>
                <w:rFonts w:hint="eastAsia" w:ascii="Arial" w:cs="Arial"/>
                <w:color w:val="auto"/>
                <w:sz w:val="22"/>
                <w:szCs w:val="22"/>
                <w:lang w:eastAsia="zh-CN"/>
              </w:rPr>
              <w:t>环境空气</w:t>
            </w:r>
          </w:p>
        </w:tc>
        <w:tc>
          <w:tcPr>
            <w:tcW w:w="1432" w:type="dxa"/>
            <w:noWrap w:val="0"/>
            <w:vAlign w:val="center"/>
          </w:tcPr>
          <w:p w14:paraId="56444627">
            <w:pPr>
              <w:pStyle w:val="946"/>
              <w:spacing w:line="300" w:lineRule="exact"/>
              <w:rPr>
                <w:rFonts w:hint="default" w:ascii="Arial" w:hAnsi="Arial" w:cs="Arial"/>
                <w:color w:val="auto"/>
                <w:sz w:val="22"/>
                <w:szCs w:val="22"/>
                <w:lang w:val="en-US" w:eastAsia="zh-CN"/>
              </w:rPr>
            </w:pPr>
            <w:r>
              <w:rPr>
                <w:rFonts w:hint="eastAsia" w:ascii="Arial" w:hAnsi="Arial" w:cs="Arial"/>
                <w:color w:val="auto"/>
                <w:sz w:val="22"/>
                <w:szCs w:val="22"/>
                <w:lang w:val="en-US" w:eastAsia="zh-CN"/>
              </w:rPr>
              <w:t>TSP</w:t>
            </w:r>
          </w:p>
        </w:tc>
        <w:tc>
          <w:tcPr>
            <w:tcW w:w="2011" w:type="dxa"/>
            <w:noWrap w:val="0"/>
            <w:vAlign w:val="center"/>
          </w:tcPr>
          <w:p w14:paraId="787CC792">
            <w:pPr>
              <w:pStyle w:val="946"/>
              <w:spacing w:line="300" w:lineRule="exact"/>
              <w:rPr>
                <w:rFonts w:hint="default" w:ascii="Arial" w:cs="Arial"/>
                <w:color w:val="auto"/>
                <w:sz w:val="22"/>
                <w:szCs w:val="22"/>
                <w:lang w:val="en-US" w:eastAsia="zh-CN"/>
              </w:rPr>
            </w:pPr>
            <w:r>
              <w:rPr>
                <w:rFonts w:hint="eastAsia" w:ascii="Arial" w:cs="Arial"/>
                <w:color w:val="auto"/>
                <w:sz w:val="22"/>
                <w:szCs w:val="22"/>
                <w:lang w:eastAsia="zh-CN"/>
              </w:rPr>
              <w:t>枢纽工程施工区下风向</w:t>
            </w:r>
            <w:r>
              <w:rPr>
                <w:rFonts w:hint="eastAsia" w:ascii="Arial" w:cs="Arial"/>
                <w:color w:val="auto"/>
                <w:sz w:val="22"/>
                <w:szCs w:val="22"/>
                <w:lang w:val="en-US" w:eastAsia="zh-CN"/>
              </w:rPr>
              <w:t>10m处设1个监测点。</w:t>
            </w:r>
          </w:p>
        </w:tc>
        <w:tc>
          <w:tcPr>
            <w:tcW w:w="2107" w:type="dxa"/>
            <w:noWrap w:val="0"/>
            <w:vAlign w:val="center"/>
          </w:tcPr>
          <w:p w14:paraId="6DAC6F95">
            <w:pPr>
              <w:pStyle w:val="946"/>
              <w:spacing w:line="300" w:lineRule="exact"/>
              <w:rPr>
                <w:rFonts w:hint="default" w:ascii="Arial" w:cs="Arial"/>
                <w:color w:val="auto"/>
                <w:sz w:val="22"/>
                <w:szCs w:val="22"/>
                <w:lang w:val="en-US" w:eastAsia="zh-CN"/>
              </w:rPr>
            </w:pPr>
            <w:r>
              <w:rPr>
                <w:rFonts w:hint="eastAsia" w:ascii="Arial" w:cs="Arial"/>
                <w:color w:val="auto"/>
                <w:sz w:val="22"/>
                <w:szCs w:val="22"/>
                <w:lang w:eastAsia="zh-CN"/>
              </w:rPr>
              <w:t>每年监测</w:t>
            </w:r>
            <w:r>
              <w:rPr>
                <w:rFonts w:hint="eastAsia" w:ascii="Arial" w:cs="Arial"/>
                <w:color w:val="auto"/>
                <w:sz w:val="22"/>
                <w:szCs w:val="22"/>
                <w:lang w:val="en-US" w:eastAsia="zh-CN"/>
              </w:rPr>
              <w:t>2次</w:t>
            </w:r>
            <w:r>
              <w:rPr>
                <w:rFonts w:hint="eastAsia" w:ascii="Arial" w:cs="Arial"/>
                <w:color w:val="auto"/>
                <w:sz w:val="22"/>
                <w:szCs w:val="22"/>
                <w:lang w:eastAsia="zh-CN"/>
              </w:rPr>
              <w:t>，每次连续监测</w:t>
            </w:r>
            <w:r>
              <w:rPr>
                <w:rFonts w:hint="eastAsia" w:ascii="Arial" w:cs="Arial"/>
                <w:color w:val="auto"/>
                <w:sz w:val="22"/>
                <w:szCs w:val="22"/>
                <w:lang w:val="en-US" w:eastAsia="zh-CN"/>
              </w:rPr>
              <w:t>7天。</w:t>
            </w:r>
          </w:p>
        </w:tc>
        <w:tc>
          <w:tcPr>
            <w:tcW w:w="1237" w:type="dxa"/>
            <w:noWrap w:val="0"/>
            <w:vAlign w:val="center"/>
          </w:tcPr>
          <w:p w14:paraId="78B00931">
            <w:pPr>
              <w:pStyle w:val="946"/>
              <w:spacing w:line="300" w:lineRule="exact"/>
              <w:rPr>
                <w:rFonts w:ascii="Arial" w:cs="Arial"/>
                <w:color w:val="auto"/>
                <w:sz w:val="22"/>
                <w:szCs w:val="22"/>
              </w:rPr>
            </w:pPr>
            <w:r>
              <w:rPr>
                <w:rFonts w:ascii="Arial" w:cs="Arial"/>
                <w:color w:val="auto"/>
                <w:sz w:val="22"/>
                <w:szCs w:val="22"/>
              </w:rPr>
              <w:t>有监测资质的单位</w:t>
            </w:r>
          </w:p>
        </w:tc>
        <w:tc>
          <w:tcPr>
            <w:tcW w:w="1137" w:type="dxa"/>
            <w:noWrap w:val="0"/>
            <w:vAlign w:val="center"/>
          </w:tcPr>
          <w:p w14:paraId="5967C4B9">
            <w:pPr>
              <w:pStyle w:val="946"/>
              <w:spacing w:line="300" w:lineRule="exact"/>
              <w:rPr>
                <w:rFonts w:ascii="Arial" w:cs="Arial"/>
                <w:color w:val="auto"/>
                <w:sz w:val="22"/>
                <w:szCs w:val="22"/>
              </w:rPr>
            </w:pPr>
            <w:r>
              <w:rPr>
                <w:rFonts w:ascii="Arial" w:cs="Arial"/>
                <w:color w:val="auto"/>
                <w:sz w:val="22"/>
                <w:szCs w:val="22"/>
              </w:rPr>
              <w:t>建设单位</w:t>
            </w:r>
          </w:p>
        </w:tc>
      </w:tr>
      <w:tr w14:paraId="1AD723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59" w:type="dxa"/>
            <w:vMerge w:val="restart"/>
            <w:noWrap w:val="0"/>
            <w:vAlign w:val="center"/>
          </w:tcPr>
          <w:p w14:paraId="59BEA1C2">
            <w:pPr>
              <w:pStyle w:val="946"/>
              <w:spacing w:line="300" w:lineRule="exact"/>
              <w:rPr>
                <w:rFonts w:hint="eastAsia" w:ascii="Arial" w:eastAsia="宋体" w:cs="Arial"/>
                <w:color w:val="auto"/>
                <w:sz w:val="22"/>
                <w:szCs w:val="22"/>
                <w:lang w:eastAsia="zh-CN"/>
              </w:rPr>
            </w:pPr>
            <w:r>
              <w:rPr>
                <w:rFonts w:hint="eastAsia" w:ascii="Arial" w:cs="Arial"/>
                <w:color w:val="auto"/>
                <w:sz w:val="22"/>
                <w:szCs w:val="22"/>
                <w:lang w:eastAsia="zh-CN"/>
              </w:rPr>
              <w:t>生态环境</w:t>
            </w:r>
          </w:p>
        </w:tc>
        <w:tc>
          <w:tcPr>
            <w:tcW w:w="1432" w:type="dxa"/>
            <w:noWrap w:val="0"/>
            <w:vAlign w:val="center"/>
          </w:tcPr>
          <w:p w14:paraId="3F5A637C">
            <w:pPr>
              <w:pStyle w:val="946"/>
              <w:spacing w:line="300" w:lineRule="exact"/>
              <w:rPr>
                <w:rFonts w:hint="eastAsia" w:ascii="Arial" w:hAnsi="Arial" w:eastAsia="宋体" w:cs="Arial"/>
                <w:color w:val="auto"/>
                <w:sz w:val="22"/>
                <w:szCs w:val="22"/>
                <w:lang w:eastAsia="zh-CN"/>
              </w:rPr>
            </w:pPr>
            <w:r>
              <w:rPr>
                <w:rFonts w:hint="eastAsia" w:ascii="Arial" w:hAnsi="Arial" w:cs="Arial"/>
                <w:color w:val="auto"/>
                <w:sz w:val="22"/>
                <w:szCs w:val="22"/>
                <w:lang w:eastAsia="zh-CN"/>
              </w:rPr>
              <w:t>动植物区系组成、分布及其特点，种群数量、生物多样性的变化，植被恢复情况等。</w:t>
            </w:r>
          </w:p>
        </w:tc>
        <w:tc>
          <w:tcPr>
            <w:tcW w:w="2011" w:type="dxa"/>
            <w:noWrap w:val="0"/>
            <w:vAlign w:val="center"/>
          </w:tcPr>
          <w:p w14:paraId="3B121187">
            <w:pPr>
              <w:pStyle w:val="946"/>
              <w:spacing w:line="300" w:lineRule="exact"/>
              <w:rPr>
                <w:rFonts w:hint="eastAsia" w:ascii="Arial" w:cs="Arial"/>
                <w:color w:val="auto"/>
                <w:sz w:val="22"/>
                <w:szCs w:val="22"/>
                <w:lang w:eastAsia="zh-CN"/>
              </w:rPr>
            </w:pPr>
            <w:r>
              <w:rPr>
                <w:rFonts w:hint="eastAsia" w:ascii="Arial" w:hAnsi="Arial" w:cs="Arial"/>
                <w:color w:val="auto"/>
                <w:sz w:val="22"/>
                <w:szCs w:val="22"/>
                <w:lang w:eastAsia="zh-CN"/>
              </w:rPr>
              <w:t>枢纽工程、输水工程施工区及周边区域。</w:t>
            </w:r>
          </w:p>
        </w:tc>
        <w:tc>
          <w:tcPr>
            <w:tcW w:w="2107" w:type="dxa"/>
            <w:noWrap w:val="0"/>
            <w:vAlign w:val="center"/>
          </w:tcPr>
          <w:p w14:paraId="3C4521A2">
            <w:pPr>
              <w:pStyle w:val="946"/>
              <w:spacing w:line="300" w:lineRule="exact"/>
              <w:rPr>
                <w:rFonts w:hint="default" w:ascii="Arial" w:cs="Arial"/>
                <w:color w:val="auto"/>
                <w:sz w:val="22"/>
                <w:szCs w:val="22"/>
                <w:lang w:val="en-US" w:eastAsia="zh-CN"/>
              </w:rPr>
            </w:pPr>
            <w:r>
              <w:rPr>
                <w:rFonts w:hint="eastAsia" w:ascii="Arial" w:cs="Arial"/>
                <w:color w:val="auto"/>
                <w:sz w:val="22"/>
                <w:szCs w:val="22"/>
                <w:lang w:val="en-US" w:eastAsia="zh-CN"/>
              </w:rPr>
              <w:t>在蓄水前调查1次</w:t>
            </w:r>
          </w:p>
        </w:tc>
        <w:tc>
          <w:tcPr>
            <w:tcW w:w="1237" w:type="dxa"/>
            <w:noWrap w:val="0"/>
            <w:vAlign w:val="center"/>
          </w:tcPr>
          <w:p w14:paraId="18131934">
            <w:pPr>
              <w:widowControl/>
              <w:spacing w:line="300" w:lineRule="exact"/>
              <w:jc w:val="center"/>
              <w:rPr>
                <w:rFonts w:hint="eastAsia" w:ascii="Arial" w:hAnsi="Arial" w:eastAsia="宋体" w:cs="Arial"/>
                <w:color w:val="auto"/>
                <w:sz w:val="22"/>
                <w:szCs w:val="22"/>
                <w:lang w:val="en-US" w:eastAsia="zh-CN"/>
              </w:rPr>
            </w:pPr>
            <w:r>
              <w:rPr>
                <w:rFonts w:hint="eastAsia" w:ascii="Arial" w:hAnsi="Arial" w:cs="Arial"/>
                <w:color w:val="auto"/>
                <w:sz w:val="22"/>
                <w:szCs w:val="22"/>
                <w:lang w:val="en-US" w:eastAsia="zh-CN"/>
              </w:rPr>
              <w:t>/</w:t>
            </w:r>
          </w:p>
        </w:tc>
        <w:tc>
          <w:tcPr>
            <w:tcW w:w="1137" w:type="dxa"/>
            <w:noWrap w:val="0"/>
            <w:vAlign w:val="center"/>
          </w:tcPr>
          <w:p w14:paraId="55C8BAE5">
            <w:pPr>
              <w:widowControl/>
              <w:spacing w:line="300" w:lineRule="exact"/>
              <w:jc w:val="center"/>
              <w:rPr>
                <w:rFonts w:hint="eastAsia" w:ascii="Arial" w:hAnsi="Arial" w:eastAsia="宋体" w:cs="Arial"/>
                <w:color w:val="auto"/>
                <w:sz w:val="22"/>
                <w:szCs w:val="22"/>
                <w:lang w:eastAsia="zh-CN"/>
              </w:rPr>
            </w:pPr>
            <w:r>
              <w:rPr>
                <w:rFonts w:hint="eastAsia" w:ascii="Arial" w:hAnsi="Arial" w:cs="Arial"/>
                <w:color w:val="auto"/>
                <w:sz w:val="22"/>
                <w:szCs w:val="22"/>
                <w:lang w:eastAsia="zh-CN"/>
              </w:rPr>
              <w:t>建设单位</w:t>
            </w:r>
          </w:p>
        </w:tc>
      </w:tr>
      <w:tr w14:paraId="50FB24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59" w:type="dxa"/>
            <w:vMerge w:val="continue"/>
            <w:noWrap w:val="0"/>
            <w:vAlign w:val="center"/>
          </w:tcPr>
          <w:p w14:paraId="68D9D434">
            <w:pPr>
              <w:pStyle w:val="946"/>
              <w:spacing w:line="300" w:lineRule="exact"/>
              <w:rPr>
                <w:rFonts w:hint="eastAsia" w:ascii="Arial" w:cs="Arial"/>
                <w:color w:val="auto"/>
                <w:sz w:val="22"/>
                <w:szCs w:val="22"/>
                <w:lang w:eastAsia="zh-CN"/>
              </w:rPr>
            </w:pPr>
          </w:p>
        </w:tc>
        <w:tc>
          <w:tcPr>
            <w:tcW w:w="1432" w:type="dxa"/>
            <w:noWrap w:val="0"/>
            <w:vAlign w:val="center"/>
          </w:tcPr>
          <w:p w14:paraId="2A3C20C6">
            <w:pPr>
              <w:pStyle w:val="946"/>
              <w:spacing w:line="300" w:lineRule="exact"/>
              <w:rPr>
                <w:rFonts w:hint="eastAsia" w:ascii="Arial" w:hAnsi="Arial" w:cs="Arial"/>
                <w:color w:val="auto"/>
                <w:sz w:val="22"/>
                <w:szCs w:val="22"/>
                <w:lang w:eastAsia="zh-CN"/>
              </w:rPr>
            </w:pPr>
            <w:r>
              <w:rPr>
                <w:rFonts w:hint="eastAsia" w:ascii="Arial" w:hAnsi="Arial" w:cs="Arial"/>
                <w:color w:val="auto"/>
                <w:sz w:val="22"/>
                <w:szCs w:val="22"/>
                <w:lang w:eastAsia="zh-CN"/>
              </w:rPr>
              <w:t>水生生物种类、数量、分布、生境等。</w:t>
            </w:r>
          </w:p>
        </w:tc>
        <w:tc>
          <w:tcPr>
            <w:tcW w:w="2011" w:type="dxa"/>
            <w:noWrap w:val="0"/>
            <w:vAlign w:val="center"/>
          </w:tcPr>
          <w:p w14:paraId="5E5A539B">
            <w:pPr>
              <w:pStyle w:val="946"/>
              <w:spacing w:line="300" w:lineRule="exact"/>
              <w:rPr>
                <w:rFonts w:hint="eastAsia" w:ascii="Arial" w:hAnsi="Arial" w:cs="Arial"/>
                <w:color w:val="auto"/>
                <w:sz w:val="22"/>
                <w:szCs w:val="22"/>
                <w:lang w:eastAsia="zh-CN"/>
              </w:rPr>
            </w:pPr>
            <w:r>
              <w:rPr>
                <w:rFonts w:hint="eastAsia" w:ascii="Arial" w:cs="Arial"/>
                <w:color w:val="auto"/>
                <w:sz w:val="22"/>
                <w:szCs w:val="22"/>
                <w:lang w:eastAsia="zh-CN"/>
              </w:rPr>
              <w:t>枢纽工程施工区上游</w:t>
            </w:r>
            <w:r>
              <w:rPr>
                <w:rFonts w:hint="eastAsia" w:ascii="Arial" w:cs="Arial"/>
                <w:color w:val="auto"/>
                <w:sz w:val="22"/>
                <w:szCs w:val="22"/>
                <w:lang w:val="en-US" w:eastAsia="zh-CN"/>
              </w:rPr>
              <w:t>500m、下游1000m各设1个断面。</w:t>
            </w:r>
          </w:p>
        </w:tc>
        <w:tc>
          <w:tcPr>
            <w:tcW w:w="2107" w:type="dxa"/>
            <w:noWrap w:val="0"/>
            <w:vAlign w:val="center"/>
          </w:tcPr>
          <w:p w14:paraId="1C07FD8B">
            <w:pPr>
              <w:pStyle w:val="946"/>
              <w:spacing w:line="300" w:lineRule="exact"/>
              <w:rPr>
                <w:rFonts w:hint="default" w:ascii="Arial" w:cs="Arial"/>
                <w:color w:val="auto"/>
                <w:sz w:val="22"/>
                <w:szCs w:val="22"/>
                <w:lang w:val="en-US" w:eastAsia="zh-CN"/>
              </w:rPr>
            </w:pPr>
            <w:r>
              <w:rPr>
                <w:rFonts w:hint="eastAsia" w:ascii="Arial" w:cs="Arial"/>
                <w:color w:val="auto"/>
                <w:sz w:val="22"/>
                <w:szCs w:val="22"/>
                <w:lang w:val="en-US" w:eastAsia="zh-CN"/>
              </w:rPr>
              <w:t>每年分别在鱼类繁殖期（5月）、育肥期（9月）各监测1次。</w:t>
            </w:r>
          </w:p>
        </w:tc>
        <w:tc>
          <w:tcPr>
            <w:tcW w:w="1237" w:type="dxa"/>
            <w:shd w:val="clear" w:color="auto" w:fill="auto"/>
            <w:noWrap w:val="0"/>
            <w:vAlign w:val="center"/>
          </w:tcPr>
          <w:p w14:paraId="3A1BAB45">
            <w:pPr>
              <w:widowControl/>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lang w:val="en-US" w:eastAsia="zh-CN"/>
              </w:rPr>
              <w:t>/</w:t>
            </w:r>
          </w:p>
        </w:tc>
        <w:tc>
          <w:tcPr>
            <w:tcW w:w="1137" w:type="dxa"/>
            <w:shd w:val="clear" w:color="auto" w:fill="auto"/>
            <w:noWrap w:val="0"/>
            <w:vAlign w:val="center"/>
          </w:tcPr>
          <w:p w14:paraId="724E40AE">
            <w:pPr>
              <w:widowControl/>
              <w:spacing w:line="300" w:lineRule="exact"/>
              <w:jc w:val="center"/>
              <w:rPr>
                <w:rFonts w:hint="eastAsia" w:ascii="Arial" w:hAnsi="Arial" w:eastAsia="宋体" w:cs="Arial"/>
                <w:color w:val="auto"/>
                <w:kern w:val="2"/>
                <w:sz w:val="22"/>
                <w:szCs w:val="22"/>
                <w:lang w:val="en-US" w:eastAsia="zh-CN" w:bidi="ar-SA"/>
              </w:rPr>
            </w:pPr>
            <w:r>
              <w:rPr>
                <w:rFonts w:hint="eastAsia" w:ascii="Arial" w:hAnsi="Arial" w:cs="Arial"/>
                <w:color w:val="auto"/>
                <w:sz w:val="22"/>
                <w:szCs w:val="22"/>
                <w:lang w:eastAsia="zh-CN"/>
              </w:rPr>
              <w:t>建设单位</w:t>
            </w:r>
          </w:p>
        </w:tc>
      </w:tr>
    </w:tbl>
    <w:p w14:paraId="150766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
          <w:sz w:val="24"/>
          <w:szCs w:val="24"/>
        </w:rPr>
      </w:pPr>
    </w:p>
    <w:p w14:paraId="3F5AF30C">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eastAsia="宋体" w:cs="Arial"/>
          <w:b/>
          <w:bCs/>
          <w:color w:val="000000"/>
          <w:sz w:val="26"/>
          <w:szCs w:val="26"/>
          <w:lang w:val="en-US" w:eastAsia="zh-CN"/>
        </w:rPr>
      </w:pPr>
      <w:r>
        <w:rPr>
          <w:rFonts w:hint="eastAsia" w:ascii="Arial" w:hAnsi="Arial" w:cs="Arial"/>
          <w:b/>
          <w:bCs/>
          <w:color w:val="000000"/>
          <w:sz w:val="26"/>
          <w:szCs w:val="26"/>
          <w:lang w:val="en-US" w:eastAsia="zh-CN"/>
        </w:rPr>
        <w:t>9</w:t>
      </w:r>
      <w:r>
        <w:rPr>
          <w:rFonts w:hint="eastAsia" w:ascii="Arial" w:hAnsi="Arial" w:eastAsia="宋体" w:cs="Arial"/>
          <w:b/>
          <w:bCs/>
          <w:color w:val="000000"/>
          <w:sz w:val="26"/>
          <w:szCs w:val="26"/>
          <w:lang w:val="en-US" w:eastAsia="zh-CN"/>
        </w:rPr>
        <w:t>.3.2运营期环境监测计划</w:t>
      </w:r>
    </w:p>
    <w:p w14:paraId="2F3BAED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color w:val="000000"/>
          <w:sz w:val="26"/>
          <w:szCs w:val="26"/>
          <w:lang w:val="en-US" w:eastAsia="zh-CN"/>
        </w:rPr>
      </w:pPr>
      <w:r>
        <w:rPr>
          <w:rFonts w:hint="eastAsia" w:ascii="Arial" w:hAnsi="Arial" w:cs="Arial"/>
          <w:color w:val="000000"/>
          <w:sz w:val="26"/>
          <w:szCs w:val="26"/>
        </w:rPr>
        <w:t>本项目</w:t>
      </w:r>
      <w:r>
        <w:rPr>
          <w:rFonts w:hint="eastAsia" w:ascii="Arial" w:hAnsi="Arial" w:cs="Arial"/>
          <w:color w:val="000000"/>
          <w:sz w:val="26"/>
          <w:szCs w:val="26"/>
          <w:lang w:eastAsia="zh-CN"/>
        </w:rPr>
        <w:t>运营期</w:t>
      </w:r>
      <w:r>
        <w:rPr>
          <w:rFonts w:hint="eastAsia" w:ascii="Arial" w:hAnsi="Arial" w:cs="Arial"/>
          <w:color w:val="000000"/>
          <w:sz w:val="26"/>
          <w:szCs w:val="26"/>
        </w:rPr>
        <w:t>环境监测计划详见表</w:t>
      </w:r>
      <w:r>
        <w:rPr>
          <w:rFonts w:hint="eastAsia" w:ascii="Arial" w:hAnsi="Arial" w:cs="Arial"/>
          <w:color w:val="000000"/>
          <w:sz w:val="26"/>
          <w:szCs w:val="26"/>
          <w:lang w:val="en-US" w:eastAsia="zh-CN"/>
        </w:rPr>
        <w:t>9.3</w:t>
      </w:r>
      <w:r>
        <w:rPr>
          <w:rFonts w:hint="eastAsia" w:ascii="Arial" w:hAnsi="Arial" w:cs="Arial"/>
          <w:color w:val="000000"/>
          <w:sz w:val="26"/>
          <w:szCs w:val="26"/>
        </w:rPr>
        <w:t>-</w:t>
      </w:r>
      <w:r>
        <w:rPr>
          <w:rFonts w:hint="eastAsia" w:ascii="Arial" w:hAnsi="Arial" w:cs="Arial"/>
          <w:color w:val="000000"/>
          <w:sz w:val="26"/>
          <w:szCs w:val="26"/>
          <w:lang w:val="en-US" w:eastAsia="zh-CN"/>
        </w:rPr>
        <w:t>2</w:t>
      </w:r>
      <w:r>
        <w:rPr>
          <w:rFonts w:hint="eastAsia" w:ascii="Arial" w:hAnsi="Arial" w:cs="Arial"/>
          <w:color w:val="000000"/>
          <w:sz w:val="26"/>
          <w:szCs w:val="26"/>
        </w:rPr>
        <w:t>所示。</w:t>
      </w:r>
    </w:p>
    <w:p w14:paraId="0A47E86B">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
          <w:sz w:val="26"/>
          <w:szCs w:val="26"/>
        </w:rPr>
      </w:pPr>
      <w:r>
        <w:rPr>
          <w:rFonts w:hint="eastAsia" w:ascii="Arial" w:hAnsi="Arial" w:cs="Arial"/>
          <w:b/>
          <w:color w:val="000000"/>
          <w:sz w:val="26"/>
          <w:szCs w:val="26"/>
        </w:rPr>
        <w:t>表</w:t>
      </w:r>
      <w:r>
        <w:rPr>
          <w:rFonts w:hint="eastAsia" w:ascii="Arial" w:hAnsi="Arial" w:cs="Arial"/>
          <w:b/>
          <w:color w:val="000000"/>
          <w:sz w:val="26"/>
          <w:szCs w:val="26"/>
          <w:lang w:val="en-US" w:eastAsia="zh-CN"/>
        </w:rPr>
        <w:t>9.3</w:t>
      </w:r>
      <w:r>
        <w:rPr>
          <w:rFonts w:hint="eastAsia" w:ascii="Arial" w:hAnsi="Arial" w:cs="Arial"/>
          <w:b/>
          <w:color w:val="000000"/>
          <w:sz w:val="26"/>
          <w:szCs w:val="26"/>
        </w:rPr>
        <w:t>-</w:t>
      </w:r>
      <w:r>
        <w:rPr>
          <w:rFonts w:hint="eastAsia" w:ascii="Arial" w:hAnsi="Arial" w:cs="Arial"/>
          <w:b/>
          <w:color w:val="000000"/>
          <w:sz w:val="26"/>
          <w:szCs w:val="26"/>
          <w:lang w:val="en-US" w:eastAsia="zh-CN"/>
        </w:rPr>
        <w:t>2</w:t>
      </w:r>
      <w:r>
        <w:rPr>
          <w:rFonts w:hint="eastAsia" w:ascii="Arial" w:hAnsi="Arial" w:cs="Arial"/>
          <w:b/>
          <w:color w:val="000000"/>
          <w:sz w:val="26"/>
          <w:szCs w:val="26"/>
        </w:rPr>
        <w:t xml:space="preserve"> </w:t>
      </w:r>
      <w:r>
        <w:rPr>
          <w:rFonts w:hint="eastAsia" w:ascii="Arial" w:hAnsi="Arial" w:cs="Arial"/>
          <w:b/>
          <w:color w:val="000000"/>
          <w:sz w:val="26"/>
          <w:szCs w:val="26"/>
          <w:lang w:eastAsia="zh-CN"/>
        </w:rPr>
        <w:t>运营期</w:t>
      </w:r>
      <w:r>
        <w:rPr>
          <w:rFonts w:hint="eastAsia" w:ascii="Arial" w:hAnsi="Arial" w:cs="Arial"/>
          <w:b/>
          <w:color w:val="000000"/>
          <w:sz w:val="26"/>
          <w:szCs w:val="26"/>
        </w:rPr>
        <w:t>环境监测计划</w:t>
      </w:r>
    </w:p>
    <w:tbl>
      <w:tblPr>
        <w:tblStyle w:val="77"/>
        <w:tblW w:w="96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83"/>
        <w:gridCol w:w="2584"/>
        <w:gridCol w:w="1949"/>
        <w:gridCol w:w="1552"/>
        <w:gridCol w:w="1158"/>
        <w:gridCol w:w="1106"/>
      </w:tblGrid>
      <w:tr w14:paraId="4111AD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5" w:hRule="atLeast"/>
          <w:jc w:val="center"/>
        </w:trPr>
        <w:tc>
          <w:tcPr>
            <w:tcW w:w="1283" w:type="dxa"/>
            <w:noWrap w:val="0"/>
            <w:vAlign w:val="center"/>
          </w:tcPr>
          <w:p w14:paraId="759E0DC4">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hAnsi="Arial" w:cs="Arial"/>
                <w:color w:val="000000"/>
                <w:sz w:val="22"/>
                <w:szCs w:val="22"/>
              </w:rPr>
            </w:pPr>
            <w:r>
              <w:rPr>
                <w:rFonts w:ascii="Arial" w:cs="Arial"/>
                <w:color w:val="000000"/>
                <w:sz w:val="22"/>
                <w:szCs w:val="22"/>
              </w:rPr>
              <w:t>监测类别</w:t>
            </w:r>
          </w:p>
        </w:tc>
        <w:tc>
          <w:tcPr>
            <w:tcW w:w="2584" w:type="dxa"/>
            <w:noWrap w:val="0"/>
            <w:vAlign w:val="center"/>
          </w:tcPr>
          <w:p w14:paraId="23B59EC9">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hAnsi="Arial" w:cs="Arial"/>
                <w:color w:val="000000"/>
                <w:sz w:val="22"/>
                <w:szCs w:val="22"/>
              </w:rPr>
            </w:pPr>
            <w:r>
              <w:rPr>
                <w:rFonts w:ascii="Arial" w:cs="Arial"/>
                <w:color w:val="000000"/>
                <w:sz w:val="22"/>
                <w:szCs w:val="22"/>
              </w:rPr>
              <w:t>监测因子</w:t>
            </w:r>
          </w:p>
        </w:tc>
        <w:tc>
          <w:tcPr>
            <w:tcW w:w="1949" w:type="dxa"/>
            <w:noWrap w:val="0"/>
            <w:vAlign w:val="center"/>
          </w:tcPr>
          <w:p w14:paraId="3F0843EA">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hAnsi="Arial" w:cs="Arial"/>
                <w:color w:val="000000"/>
                <w:sz w:val="22"/>
                <w:szCs w:val="22"/>
              </w:rPr>
            </w:pPr>
            <w:r>
              <w:rPr>
                <w:rFonts w:ascii="Arial" w:cs="Arial"/>
                <w:color w:val="000000"/>
                <w:sz w:val="22"/>
                <w:szCs w:val="22"/>
              </w:rPr>
              <w:t>监测点</w:t>
            </w:r>
          </w:p>
        </w:tc>
        <w:tc>
          <w:tcPr>
            <w:tcW w:w="1552" w:type="dxa"/>
            <w:noWrap w:val="0"/>
            <w:vAlign w:val="center"/>
          </w:tcPr>
          <w:p w14:paraId="1E6418B7">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hAnsi="Arial" w:cs="Arial"/>
                <w:color w:val="000000"/>
                <w:sz w:val="22"/>
                <w:szCs w:val="22"/>
              </w:rPr>
            </w:pPr>
            <w:r>
              <w:rPr>
                <w:rFonts w:ascii="Arial" w:cs="Arial"/>
                <w:color w:val="000000"/>
                <w:sz w:val="22"/>
                <w:szCs w:val="22"/>
              </w:rPr>
              <w:t>监测频次</w:t>
            </w:r>
          </w:p>
        </w:tc>
        <w:tc>
          <w:tcPr>
            <w:tcW w:w="1158" w:type="dxa"/>
            <w:noWrap w:val="0"/>
            <w:vAlign w:val="center"/>
          </w:tcPr>
          <w:p w14:paraId="33A29D5C">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hAnsi="Arial" w:cs="Arial"/>
                <w:color w:val="000000"/>
                <w:sz w:val="22"/>
                <w:szCs w:val="22"/>
              </w:rPr>
            </w:pPr>
            <w:r>
              <w:rPr>
                <w:rFonts w:ascii="Arial" w:cs="Arial"/>
                <w:color w:val="000000"/>
                <w:sz w:val="22"/>
                <w:szCs w:val="22"/>
              </w:rPr>
              <w:t>监测单位</w:t>
            </w:r>
          </w:p>
        </w:tc>
        <w:tc>
          <w:tcPr>
            <w:tcW w:w="1106" w:type="dxa"/>
            <w:noWrap w:val="0"/>
            <w:vAlign w:val="center"/>
          </w:tcPr>
          <w:p w14:paraId="375D49A1">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hAnsi="Arial" w:cs="Arial"/>
                <w:color w:val="000000"/>
                <w:sz w:val="22"/>
                <w:szCs w:val="22"/>
              </w:rPr>
            </w:pPr>
            <w:r>
              <w:rPr>
                <w:rFonts w:ascii="Arial" w:cs="Arial"/>
                <w:color w:val="000000"/>
                <w:sz w:val="22"/>
                <w:szCs w:val="22"/>
              </w:rPr>
              <w:t>责任单位</w:t>
            </w:r>
          </w:p>
        </w:tc>
      </w:tr>
      <w:tr w14:paraId="26C7E7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283" w:type="dxa"/>
            <w:noWrap w:val="0"/>
            <w:vAlign w:val="center"/>
          </w:tcPr>
          <w:p w14:paraId="29E1AE09">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eastAsia="宋体" w:cs="Arial"/>
                <w:color w:val="000000"/>
                <w:kern w:val="2"/>
                <w:sz w:val="22"/>
                <w:szCs w:val="22"/>
                <w:lang w:val="en-US" w:eastAsia="zh-CN" w:bidi="ar-SA"/>
              </w:rPr>
            </w:pPr>
            <w:r>
              <w:rPr>
                <w:rFonts w:hint="eastAsia" w:ascii="Arial" w:cs="Arial"/>
                <w:color w:val="000000"/>
                <w:sz w:val="22"/>
                <w:szCs w:val="22"/>
                <w:lang w:eastAsia="zh-CN"/>
              </w:rPr>
              <w:t>噪声</w:t>
            </w:r>
          </w:p>
        </w:tc>
        <w:tc>
          <w:tcPr>
            <w:tcW w:w="2584" w:type="dxa"/>
            <w:noWrap w:val="0"/>
            <w:vAlign w:val="center"/>
          </w:tcPr>
          <w:p w14:paraId="02805F3E">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eastAsia="宋体" w:cs="Arial"/>
                <w:color w:val="000000"/>
                <w:kern w:val="2"/>
                <w:sz w:val="22"/>
                <w:szCs w:val="22"/>
                <w:lang w:val="en-US" w:eastAsia="zh-CN" w:bidi="ar-SA"/>
              </w:rPr>
            </w:pPr>
            <w:r>
              <w:rPr>
                <w:rFonts w:ascii="Arial" w:hAnsi="Arial" w:cs="Arial"/>
                <w:color w:val="000000"/>
                <w:sz w:val="22"/>
                <w:szCs w:val="22"/>
                <w:shd w:val="clear" w:color="auto" w:fill="FFFFFF"/>
              </w:rPr>
              <w:t>L</w:t>
            </w:r>
            <w:r>
              <w:rPr>
                <w:rFonts w:ascii="Arial" w:hAnsi="Arial" w:cs="Arial"/>
                <w:color w:val="000000"/>
                <w:sz w:val="22"/>
                <w:szCs w:val="22"/>
                <w:shd w:val="clear" w:color="auto" w:fill="FFFFFF"/>
                <w:vertAlign w:val="subscript"/>
              </w:rPr>
              <w:t>Aeq</w:t>
            </w:r>
          </w:p>
        </w:tc>
        <w:tc>
          <w:tcPr>
            <w:tcW w:w="1949" w:type="dxa"/>
            <w:noWrap w:val="0"/>
            <w:vAlign w:val="center"/>
          </w:tcPr>
          <w:p w14:paraId="4939A128">
            <w:pPr>
              <w:pStyle w:val="946"/>
              <w:keepNext w:val="0"/>
              <w:keepLines w:val="0"/>
              <w:pageBreakBefore w:val="0"/>
              <w:kinsoku/>
              <w:wordWrap/>
              <w:overflowPunct/>
              <w:topLinePunct w:val="0"/>
              <w:autoSpaceDE/>
              <w:autoSpaceDN/>
              <w:bidi w:val="0"/>
              <w:spacing w:line="300" w:lineRule="exact"/>
              <w:ind w:left="0" w:right="0" w:firstLine="0"/>
              <w:textAlignment w:val="auto"/>
              <w:rPr>
                <w:rFonts w:hint="default" w:ascii="Arial" w:hAnsi="Arial" w:eastAsia="宋体" w:cs="Arial"/>
                <w:color w:val="000000"/>
                <w:sz w:val="22"/>
                <w:szCs w:val="22"/>
                <w:lang w:val="en-US" w:eastAsia="zh-CN"/>
              </w:rPr>
            </w:pPr>
            <w:r>
              <w:rPr>
                <w:rFonts w:hint="eastAsia" w:ascii="Arial" w:hAnsi="Arial" w:cs="Arial"/>
                <w:color w:val="000000"/>
                <w:sz w:val="22"/>
                <w:szCs w:val="22"/>
                <w:lang w:val="en-US" w:eastAsia="zh-CN"/>
              </w:rPr>
              <w:t>枢纽工程北侧、南侧边界外1m处</w:t>
            </w:r>
          </w:p>
        </w:tc>
        <w:tc>
          <w:tcPr>
            <w:tcW w:w="1552" w:type="dxa"/>
            <w:noWrap w:val="0"/>
            <w:vAlign w:val="center"/>
          </w:tcPr>
          <w:p w14:paraId="13808956">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cs="Arial"/>
                <w:color w:val="000000"/>
                <w:sz w:val="22"/>
                <w:szCs w:val="22"/>
                <w:lang w:eastAsia="zh-CN"/>
              </w:rPr>
            </w:pPr>
            <w:r>
              <w:rPr>
                <w:rFonts w:hint="eastAsia" w:ascii="Arial" w:cs="Arial"/>
                <w:color w:val="000000"/>
                <w:sz w:val="22"/>
                <w:szCs w:val="22"/>
                <w:lang w:eastAsia="zh-CN"/>
              </w:rPr>
              <w:t>竣工验收时监测一次，每次连续监测2天，每天昼、夜各1次</w:t>
            </w:r>
          </w:p>
        </w:tc>
        <w:tc>
          <w:tcPr>
            <w:tcW w:w="1158" w:type="dxa"/>
            <w:vMerge w:val="restart"/>
            <w:noWrap w:val="0"/>
            <w:vAlign w:val="center"/>
          </w:tcPr>
          <w:p w14:paraId="430D76E3">
            <w:pPr>
              <w:keepNext w:val="0"/>
              <w:keepLines w:val="0"/>
              <w:pageBreakBefore w:val="0"/>
              <w:widowControl/>
              <w:kinsoku/>
              <w:wordWrap/>
              <w:overflowPunct/>
              <w:topLinePunct w:val="0"/>
              <w:autoSpaceDE/>
              <w:autoSpaceDN/>
              <w:bidi w:val="0"/>
              <w:spacing w:line="300" w:lineRule="exact"/>
              <w:ind w:left="0" w:right="0" w:firstLine="0"/>
              <w:jc w:val="center"/>
              <w:textAlignment w:val="auto"/>
              <w:rPr>
                <w:rFonts w:hint="eastAsia" w:ascii="Arial" w:hAnsi="Arial" w:eastAsia="宋体" w:cs="Arial"/>
                <w:color w:val="000000"/>
                <w:sz w:val="22"/>
                <w:szCs w:val="22"/>
                <w:lang w:val="en-US" w:eastAsia="zh-CN"/>
              </w:rPr>
            </w:pPr>
            <w:r>
              <w:rPr>
                <w:rFonts w:ascii="Arial" w:cs="Arial"/>
                <w:color w:val="000000"/>
                <w:sz w:val="22"/>
                <w:szCs w:val="22"/>
              </w:rPr>
              <w:t>有监测资质的单位</w:t>
            </w:r>
          </w:p>
        </w:tc>
        <w:tc>
          <w:tcPr>
            <w:tcW w:w="1106" w:type="dxa"/>
            <w:vMerge w:val="restart"/>
            <w:noWrap w:val="0"/>
            <w:vAlign w:val="center"/>
          </w:tcPr>
          <w:p w14:paraId="55E58A02">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hAnsi="Arial" w:cs="Arial"/>
                <w:color w:val="000000"/>
                <w:sz w:val="22"/>
                <w:szCs w:val="22"/>
              </w:rPr>
            </w:pPr>
            <w:r>
              <w:rPr>
                <w:rFonts w:ascii="Arial" w:cs="Arial"/>
                <w:color w:val="000000"/>
                <w:sz w:val="22"/>
                <w:szCs w:val="22"/>
              </w:rPr>
              <w:t>建设单位</w:t>
            </w:r>
          </w:p>
        </w:tc>
      </w:tr>
      <w:tr w14:paraId="43FB8D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283" w:type="dxa"/>
            <w:vMerge w:val="restart"/>
            <w:noWrap w:val="0"/>
            <w:vAlign w:val="center"/>
          </w:tcPr>
          <w:p w14:paraId="602498DE">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cs="Arial"/>
                <w:color w:val="000000"/>
                <w:sz w:val="22"/>
                <w:szCs w:val="22"/>
                <w:lang w:eastAsia="zh-CN"/>
              </w:rPr>
            </w:pPr>
            <w:r>
              <w:rPr>
                <w:rFonts w:hint="eastAsia" w:ascii="Arial" w:cs="Arial"/>
                <w:color w:val="000000"/>
                <w:sz w:val="22"/>
                <w:szCs w:val="22"/>
                <w:lang w:eastAsia="zh-CN"/>
              </w:rPr>
              <w:t>地表水</w:t>
            </w:r>
          </w:p>
          <w:p w14:paraId="13695692">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cs="Arial"/>
                <w:color w:val="000000"/>
                <w:sz w:val="22"/>
                <w:szCs w:val="22"/>
                <w:lang w:eastAsia="zh-CN"/>
              </w:rPr>
            </w:pPr>
            <w:r>
              <w:rPr>
                <w:rFonts w:hint="eastAsia" w:ascii="Arial" w:cs="Arial"/>
                <w:color w:val="000000"/>
                <w:sz w:val="22"/>
                <w:szCs w:val="22"/>
                <w:lang w:eastAsia="zh-CN"/>
              </w:rPr>
              <w:t>环境</w:t>
            </w:r>
          </w:p>
        </w:tc>
        <w:tc>
          <w:tcPr>
            <w:tcW w:w="2584" w:type="dxa"/>
            <w:shd w:val="clear" w:color="auto" w:fill="auto"/>
            <w:noWrap w:val="0"/>
            <w:vAlign w:val="center"/>
          </w:tcPr>
          <w:p w14:paraId="57F28C8F">
            <w:pPr>
              <w:pStyle w:val="946"/>
              <w:keepNext w:val="0"/>
              <w:keepLines w:val="0"/>
              <w:pageBreakBefore w:val="0"/>
              <w:kinsoku/>
              <w:wordWrap/>
              <w:overflowPunct/>
              <w:topLinePunct w:val="0"/>
              <w:autoSpaceDE/>
              <w:autoSpaceDN/>
              <w:bidi w:val="0"/>
              <w:spacing w:line="300" w:lineRule="exact"/>
              <w:ind w:left="0" w:right="0" w:firstLine="0"/>
              <w:jc w:val="left"/>
              <w:textAlignment w:val="auto"/>
              <w:rPr>
                <w:rFonts w:hint="eastAsia" w:ascii="Arial" w:cs="Arial"/>
                <w:sz w:val="22"/>
                <w:szCs w:val="22"/>
              </w:rPr>
            </w:pPr>
            <w:r>
              <w:rPr>
                <w:rFonts w:hint="eastAsia" w:ascii="Arial" w:cs="Arial"/>
                <w:sz w:val="22"/>
                <w:szCs w:val="22"/>
              </w:rPr>
              <w:t>常规监测：</w:t>
            </w:r>
          </w:p>
          <w:p w14:paraId="51F498F8">
            <w:pPr>
              <w:pStyle w:val="946"/>
              <w:keepNext w:val="0"/>
              <w:keepLines w:val="0"/>
              <w:pageBreakBefore w:val="0"/>
              <w:kinsoku/>
              <w:wordWrap/>
              <w:overflowPunct/>
              <w:topLinePunct w:val="0"/>
              <w:autoSpaceDE/>
              <w:autoSpaceDN/>
              <w:bidi w:val="0"/>
              <w:spacing w:line="300" w:lineRule="exact"/>
              <w:ind w:left="0" w:right="0" w:firstLine="0"/>
              <w:jc w:val="left"/>
              <w:textAlignment w:val="auto"/>
              <w:rPr>
                <w:rFonts w:hint="eastAsia" w:ascii="Arial" w:hAnsi="Times New Roman" w:eastAsia="宋体" w:cs="Arial"/>
                <w:kern w:val="2"/>
                <w:sz w:val="22"/>
                <w:szCs w:val="22"/>
                <w:lang w:val="en-US" w:eastAsia="zh-CN" w:bidi="ar-SA"/>
              </w:rPr>
            </w:pPr>
            <w:r>
              <w:rPr>
                <w:rFonts w:hint="eastAsia" w:ascii="Arial" w:cs="Arial"/>
                <w:sz w:val="22"/>
                <w:szCs w:val="22"/>
              </w:rPr>
              <w:t>《地表水环境质量标准》</w:t>
            </w:r>
            <w:r>
              <w:rPr>
                <w:rFonts w:ascii="宋体" w:hAnsi="宋体" w:cs="Arial"/>
                <w:sz w:val="22"/>
                <w:szCs w:val="22"/>
              </w:rPr>
              <w:t>(</w:t>
            </w:r>
            <w:r>
              <w:rPr>
                <w:rFonts w:ascii="Arial" w:cs="Arial"/>
                <w:sz w:val="22"/>
                <w:szCs w:val="22"/>
              </w:rPr>
              <w:t>GB3838-2002</w:t>
            </w:r>
            <w:r>
              <w:rPr>
                <w:rFonts w:ascii="宋体" w:hAnsi="宋体" w:cs="Arial"/>
                <w:sz w:val="22"/>
                <w:szCs w:val="22"/>
              </w:rPr>
              <w:t>)</w:t>
            </w:r>
            <w:r>
              <w:rPr>
                <w:rFonts w:hint="eastAsia" w:ascii="Arial" w:cs="Arial"/>
                <w:sz w:val="22"/>
                <w:szCs w:val="22"/>
              </w:rPr>
              <w:t>表</w:t>
            </w:r>
            <w:r>
              <w:rPr>
                <w:rFonts w:ascii="Arial" w:cs="Arial"/>
                <w:sz w:val="22"/>
                <w:szCs w:val="22"/>
              </w:rPr>
              <w:t>1</w:t>
            </w:r>
            <w:r>
              <w:rPr>
                <w:rFonts w:hint="eastAsia" w:ascii="Arial" w:cs="Arial"/>
                <w:sz w:val="22"/>
                <w:szCs w:val="22"/>
              </w:rPr>
              <w:t>的基本项目（</w:t>
            </w:r>
            <w:r>
              <w:rPr>
                <w:rFonts w:ascii="Arial" w:cs="Arial"/>
                <w:sz w:val="22"/>
                <w:szCs w:val="22"/>
              </w:rPr>
              <w:t>2</w:t>
            </w:r>
            <w:r>
              <w:rPr>
                <w:rFonts w:hint="eastAsia" w:ascii="Arial" w:cs="Arial"/>
                <w:sz w:val="22"/>
                <w:szCs w:val="22"/>
                <w:lang w:val="en-US" w:eastAsia="zh-CN"/>
              </w:rPr>
              <w:t>3</w:t>
            </w:r>
            <w:r>
              <w:rPr>
                <w:rFonts w:hint="eastAsia" w:ascii="Arial" w:cs="Arial"/>
                <w:sz w:val="22"/>
                <w:szCs w:val="22"/>
              </w:rPr>
              <w:t>项</w:t>
            </w:r>
            <w:r>
              <w:rPr>
                <w:rFonts w:hint="eastAsia" w:ascii="Arial" w:cs="Arial"/>
                <w:sz w:val="22"/>
                <w:szCs w:val="22"/>
                <w:lang w:eastAsia="zh-CN"/>
              </w:rPr>
              <w:t>，</w:t>
            </w:r>
            <w:r>
              <w:rPr>
                <w:rFonts w:hint="eastAsia" w:ascii="Arial" w:cs="Arial"/>
                <w:sz w:val="22"/>
                <w:szCs w:val="22"/>
                <w:lang w:val="en-US" w:eastAsia="zh-CN"/>
              </w:rPr>
              <w:t>COD除外</w:t>
            </w:r>
            <w:r>
              <w:rPr>
                <w:rFonts w:hint="eastAsia" w:ascii="Arial" w:cs="Arial"/>
                <w:sz w:val="22"/>
                <w:szCs w:val="22"/>
              </w:rPr>
              <w:t>）、表</w:t>
            </w:r>
            <w:r>
              <w:rPr>
                <w:rFonts w:ascii="Arial" w:cs="Arial"/>
                <w:sz w:val="22"/>
                <w:szCs w:val="22"/>
              </w:rPr>
              <w:t>2</w:t>
            </w:r>
            <w:r>
              <w:rPr>
                <w:rFonts w:hint="eastAsia" w:ascii="Arial" w:cs="Arial"/>
                <w:sz w:val="22"/>
                <w:szCs w:val="22"/>
              </w:rPr>
              <w:t>的补充项目（</w:t>
            </w:r>
            <w:r>
              <w:rPr>
                <w:rFonts w:ascii="Arial" w:cs="Arial"/>
                <w:sz w:val="22"/>
                <w:szCs w:val="22"/>
              </w:rPr>
              <w:t>5</w:t>
            </w:r>
            <w:r>
              <w:rPr>
                <w:rFonts w:hint="eastAsia" w:ascii="Arial" w:cs="Arial"/>
                <w:sz w:val="22"/>
                <w:szCs w:val="22"/>
              </w:rPr>
              <w:t>项目）和表</w:t>
            </w:r>
            <w:r>
              <w:rPr>
                <w:rFonts w:ascii="Arial" w:cs="Arial"/>
                <w:sz w:val="22"/>
                <w:szCs w:val="22"/>
              </w:rPr>
              <w:t>3</w:t>
            </w:r>
            <w:r>
              <w:rPr>
                <w:rFonts w:hint="eastAsia" w:ascii="Arial" w:cs="Arial"/>
                <w:sz w:val="22"/>
                <w:szCs w:val="22"/>
              </w:rPr>
              <w:t>的优选特定项目（前</w:t>
            </w:r>
            <w:r>
              <w:rPr>
                <w:rFonts w:ascii="Arial" w:cs="Arial"/>
                <w:sz w:val="22"/>
                <w:szCs w:val="22"/>
              </w:rPr>
              <w:t>35</w:t>
            </w:r>
            <w:r>
              <w:rPr>
                <w:rFonts w:hint="eastAsia" w:ascii="Arial" w:cs="Arial"/>
                <w:sz w:val="22"/>
                <w:szCs w:val="22"/>
              </w:rPr>
              <w:t>项），共</w:t>
            </w:r>
            <w:r>
              <w:rPr>
                <w:rFonts w:ascii="Arial" w:cs="Arial"/>
                <w:sz w:val="22"/>
                <w:szCs w:val="22"/>
              </w:rPr>
              <w:t>6</w:t>
            </w:r>
            <w:r>
              <w:rPr>
                <w:rFonts w:hint="eastAsia" w:ascii="Arial" w:cs="Arial"/>
                <w:sz w:val="22"/>
                <w:szCs w:val="22"/>
                <w:lang w:val="en-US" w:eastAsia="zh-CN"/>
              </w:rPr>
              <w:t>5</w:t>
            </w:r>
            <w:r>
              <w:rPr>
                <w:rFonts w:hint="eastAsia" w:ascii="Arial" w:cs="Arial"/>
                <w:sz w:val="22"/>
                <w:szCs w:val="22"/>
              </w:rPr>
              <w:t>项</w:t>
            </w:r>
            <w:r>
              <w:rPr>
                <w:rFonts w:hint="eastAsia" w:ascii="Arial" w:cs="Arial"/>
                <w:sz w:val="22"/>
                <w:szCs w:val="22"/>
                <w:lang w:eastAsia="zh-CN"/>
              </w:rPr>
              <w:t>。</w:t>
            </w:r>
          </w:p>
        </w:tc>
        <w:tc>
          <w:tcPr>
            <w:tcW w:w="1949" w:type="dxa"/>
            <w:vMerge w:val="restart"/>
            <w:noWrap w:val="0"/>
            <w:vAlign w:val="center"/>
          </w:tcPr>
          <w:p w14:paraId="36622F16">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cs="Arial"/>
                <w:color w:val="000000"/>
                <w:sz w:val="22"/>
                <w:szCs w:val="22"/>
                <w:lang w:val="en-US" w:eastAsia="zh-CN"/>
              </w:rPr>
            </w:pPr>
            <w:r>
              <w:rPr>
                <w:rFonts w:hint="eastAsia" w:ascii="Arial" w:hAnsi="Arial" w:cs="Arial"/>
                <w:color w:val="000000"/>
                <w:sz w:val="22"/>
                <w:szCs w:val="22"/>
                <w:lang w:val="en-US" w:eastAsia="zh-CN"/>
              </w:rPr>
              <w:t>取水口处</w:t>
            </w:r>
          </w:p>
        </w:tc>
        <w:tc>
          <w:tcPr>
            <w:tcW w:w="1552" w:type="dxa"/>
            <w:noWrap w:val="0"/>
            <w:vAlign w:val="center"/>
          </w:tcPr>
          <w:p w14:paraId="3977B971">
            <w:pPr>
              <w:pStyle w:val="946"/>
              <w:keepNext w:val="0"/>
              <w:keepLines w:val="0"/>
              <w:pageBreakBefore w:val="0"/>
              <w:kinsoku/>
              <w:wordWrap/>
              <w:overflowPunct/>
              <w:topLinePunct w:val="0"/>
              <w:autoSpaceDE/>
              <w:autoSpaceDN/>
              <w:bidi w:val="0"/>
              <w:spacing w:line="300" w:lineRule="exact"/>
              <w:ind w:left="0" w:right="0" w:firstLine="0"/>
              <w:textAlignment w:val="auto"/>
              <w:rPr>
                <w:rFonts w:hint="default" w:ascii="Arial" w:cs="Arial"/>
                <w:color w:val="000000"/>
                <w:sz w:val="22"/>
                <w:szCs w:val="22"/>
                <w:lang w:val="en-US" w:eastAsia="zh-CN"/>
              </w:rPr>
            </w:pPr>
            <w:r>
              <w:rPr>
                <w:rFonts w:hint="eastAsia" w:ascii="Arial" w:cs="Arial"/>
                <w:color w:val="000000"/>
                <w:sz w:val="22"/>
                <w:szCs w:val="22"/>
                <w:lang w:eastAsia="zh-CN"/>
              </w:rPr>
              <w:t>每季度监测</w:t>
            </w:r>
            <w:r>
              <w:rPr>
                <w:rFonts w:hint="eastAsia" w:ascii="Arial" w:cs="Arial"/>
                <w:color w:val="000000"/>
                <w:sz w:val="22"/>
                <w:szCs w:val="22"/>
                <w:lang w:val="en-US" w:eastAsia="zh-CN"/>
              </w:rPr>
              <w:t>1次，每次连续监测3天，每天采样1次。</w:t>
            </w:r>
          </w:p>
        </w:tc>
        <w:tc>
          <w:tcPr>
            <w:tcW w:w="1158" w:type="dxa"/>
            <w:vMerge w:val="continue"/>
            <w:noWrap w:val="0"/>
            <w:vAlign w:val="center"/>
          </w:tcPr>
          <w:p w14:paraId="4579BE36">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cs="Arial"/>
                <w:color w:val="000000"/>
                <w:sz w:val="22"/>
                <w:szCs w:val="22"/>
              </w:rPr>
            </w:pPr>
          </w:p>
        </w:tc>
        <w:tc>
          <w:tcPr>
            <w:tcW w:w="1106" w:type="dxa"/>
            <w:vMerge w:val="continue"/>
            <w:noWrap w:val="0"/>
            <w:vAlign w:val="center"/>
          </w:tcPr>
          <w:p w14:paraId="57227435">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cs="Arial"/>
                <w:color w:val="000000"/>
                <w:sz w:val="22"/>
                <w:szCs w:val="22"/>
              </w:rPr>
            </w:pPr>
          </w:p>
        </w:tc>
      </w:tr>
      <w:tr w14:paraId="1342DF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283" w:type="dxa"/>
            <w:vMerge w:val="continue"/>
            <w:noWrap w:val="0"/>
            <w:vAlign w:val="center"/>
          </w:tcPr>
          <w:p w14:paraId="0758E7DD">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cs="Arial"/>
                <w:color w:val="000000"/>
                <w:sz w:val="22"/>
                <w:szCs w:val="22"/>
                <w:lang w:eastAsia="zh-CN"/>
              </w:rPr>
            </w:pPr>
          </w:p>
        </w:tc>
        <w:tc>
          <w:tcPr>
            <w:tcW w:w="2584" w:type="dxa"/>
            <w:shd w:val="clear" w:color="auto" w:fill="auto"/>
            <w:noWrap w:val="0"/>
            <w:vAlign w:val="center"/>
          </w:tcPr>
          <w:p w14:paraId="7A77D393">
            <w:pPr>
              <w:pStyle w:val="946"/>
              <w:keepNext w:val="0"/>
              <w:keepLines w:val="0"/>
              <w:pageBreakBefore w:val="0"/>
              <w:kinsoku/>
              <w:wordWrap/>
              <w:overflowPunct/>
              <w:topLinePunct w:val="0"/>
              <w:autoSpaceDE/>
              <w:autoSpaceDN/>
              <w:bidi w:val="0"/>
              <w:spacing w:line="300" w:lineRule="exact"/>
              <w:ind w:left="0" w:right="0" w:firstLine="0"/>
              <w:jc w:val="left"/>
              <w:textAlignment w:val="auto"/>
              <w:rPr>
                <w:rFonts w:hint="eastAsia" w:ascii="Arial" w:hAnsi="Times New Roman" w:eastAsia="宋体" w:cs="Arial"/>
                <w:kern w:val="2"/>
                <w:sz w:val="22"/>
                <w:szCs w:val="22"/>
                <w:lang w:val="en-US" w:eastAsia="zh-CN" w:bidi="ar-SA"/>
              </w:rPr>
            </w:pPr>
            <w:r>
              <w:rPr>
                <w:rFonts w:hint="eastAsia" w:ascii="Arial" w:cs="Arial"/>
                <w:sz w:val="22"/>
                <w:szCs w:val="22"/>
              </w:rPr>
              <w:t>水质全分析</w:t>
            </w:r>
            <w:r>
              <w:rPr>
                <w:rFonts w:hint="eastAsia" w:ascii="Arial" w:cs="Arial"/>
                <w:sz w:val="22"/>
                <w:szCs w:val="22"/>
                <w:lang w:eastAsia="zh-CN"/>
              </w:rPr>
              <w:t>：</w:t>
            </w:r>
            <w:r>
              <w:rPr>
                <w:rFonts w:ascii="宋体" w:hAnsi="宋体" w:cs="Arial"/>
                <w:sz w:val="22"/>
                <w:szCs w:val="22"/>
              </w:rPr>
              <w:t>(</w:t>
            </w:r>
            <w:r>
              <w:rPr>
                <w:rFonts w:ascii="Arial" w:cs="Arial"/>
                <w:sz w:val="22"/>
                <w:szCs w:val="22"/>
              </w:rPr>
              <w:t>GB3838-2002</w:t>
            </w:r>
            <w:r>
              <w:rPr>
                <w:rFonts w:ascii="宋体" w:hAnsi="宋体" w:cs="Arial"/>
                <w:sz w:val="22"/>
                <w:szCs w:val="22"/>
              </w:rPr>
              <w:t>)</w:t>
            </w:r>
            <w:r>
              <w:rPr>
                <w:rFonts w:hint="eastAsia" w:ascii="Arial" w:cs="Arial"/>
                <w:sz w:val="22"/>
                <w:szCs w:val="22"/>
              </w:rPr>
              <w:t>《地表水环境质量标准》中的</w:t>
            </w:r>
            <w:r>
              <w:rPr>
                <w:rFonts w:ascii="Arial" w:cs="Arial"/>
                <w:sz w:val="22"/>
                <w:szCs w:val="22"/>
              </w:rPr>
              <w:t>109</w:t>
            </w:r>
            <w:r>
              <w:rPr>
                <w:rFonts w:hint="eastAsia" w:ascii="Arial" w:cs="Arial"/>
                <w:sz w:val="22"/>
                <w:szCs w:val="22"/>
              </w:rPr>
              <w:t>项</w:t>
            </w:r>
            <w:r>
              <w:rPr>
                <w:rFonts w:hint="eastAsia" w:ascii="Arial" w:cs="Arial"/>
                <w:sz w:val="22"/>
                <w:szCs w:val="22"/>
                <w:lang w:eastAsia="zh-CN"/>
              </w:rPr>
              <w:t>。</w:t>
            </w:r>
          </w:p>
        </w:tc>
        <w:tc>
          <w:tcPr>
            <w:tcW w:w="1949" w:type="dxa"/>
            <w:vMerge w:val="continue"/>
            <w:noWrap w:val="0"/>
            <w:vAlign w:val="center"/>
          </w:tcPr>
          <w:p w14:paraId="7BDBC6CA">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cs="Arial"/>
                <w:color w:val="000000"/>
                <w:sz w:val="22"/>
                <w:szCs w:val="22"/>
                <w:lang w:val="en-US" w:eastAsia="zh-CN"/>
              </w:rPr>
            </w:pPr>
          </w:p>
        </w:tc>
        <w:tc>
          <w:tcPr>
            <w:tcW w:w="1552" w:type="dxa"/>
            <w:noWrap w:val="0"/>
            <w:vAlign w:val="center"/>
          </w:tcPr>
          <w:p w14:paraId="69423D6F">
            <w:pPr>
              <w:pStyle w:val="946"/>
              <w:keepNext w:val="0"/>
              <w:keepLines w:val="0"/>
              <w:pageBreakBefore w:val="0"/>
              <w:kinsoku/>
              <w:wordWrap/>
              <w:overflowPunct/>
              <w:topLinePunct w:val="0"/>
              <w:autoSpaceDE/>
              <w:autoSpaceDN/>
              <w:bidi w:val="0"/>
              <w:spacing w:line="300" w:lineRule="exact"/>
              <w:ind w:left="0" w:right="0" w:firstLine="0"/>
              <w:textAlignment w:val="auto"/>
              <w:rPr>
                <w:rFonts w:hint="default" w:ascii="Arial" w:cs="Arial"/>
                <w:color w:val="000000"/>
                <w:sz w:val="22"/>
                <w:szCs w:val="22"/>
                <w:lang w:val="en-US" w:eastAsia="zh-CN"/>
              </w:rPr>
            </w:pPr>
            <w:r>
              <w:rPr>
                <w:rFonts w:hint="eastAsia" w:ascii="Arial" w:cs="Arial"/>
                <w:color w:val="000000"/>
                <w:sz w:val="22"/>
                <w:szCs w:val="22"/>
                <w:lang w:val="en-US" w:eastAsia="zh-CN"/>
              </w:rPr>
              <w:t>2年监测1次</w:t>
            </w:r>
          </w:p>
        </w:tc>
        <w:tc>
          <w:tcPr>
            <w:tcW w:w="1158" w:type="dxa"/>
            <w:vMerge w:val="continue"/>
            <w:noWrap w:val="0"/>
            <w:vAlign w:val="center"/>
          </w:tcPr>
          <w:p w14:paraId="4DFBA1B2">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cs="Arial"/>
                <w:color w:val="000000"/>
                <w:sz w:val="22"/>
                <w:szCs w:val="22"/>
              </w:rPr>
            </w:pPr>
          </w:p>
        </w:tc>
        <w:tc>
          <w:tcPr>
            <w:tcW w:w="1106" w:type="dxa"/>
            <w:vMerge w:val="continue"/>
            <w:noWrap w:val="0"/>
            <w:vAlign w:val="center"/>
          </w:tcPr>
          <w:p w14:paraId="469E983E">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cs="Arial"/>
                <w:color w:val="000000"/>
                <w:sz w:val="22"/>
                <w:szCs w:val="22"/>
              </w:rPr>
            </w:pPr>
          </w:p>
        </w:tc>
      </w:tr>
      <w:tr w14:paraId="637067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283" w:type="dxa"/>
            <w:vMerge w:val="continue"/>
            <w:noWrap w:val="0"/>
            <w:vAlign w:val="center"/>
          </w:tcPr>
          <w:p w14:paraId="510B9131">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cs="Arial"/>
                <w:color w:val="000000"/>
                <w:sz w:val="22"/>
                <w:szCs w:val="22"/>
                <w:lang w:eastAsia="zh-CN"/>
              </w:rPr>
            </w:pPr>
          </w:p>
        </w:tc>
        <w:tc>
          <w:tcPr>
            <w:tcW w:w="2584" w:type="dxa"/>
            <w:shd w:val="clear" w:color="auto" w:fill="auto"/>
            <w:noWrap w:val="0"/>
            <w:vAlign w:val="center"/>
          </w:tcPr>
          <w:p w14:paraId="5AE061CE">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hAnsi="Times New Roman" w:eastAsia="宋体" w:cs="Arial"/>
                <w:kern w:val="2"/>
                <w:sz w:val="22"/>
                <w:szCs w:val="22"/>
                <w:lang w:val="en-US" w:eastAsia="zh-CN" w:bidi="ar-SA"/>
              </w:rPr>
            </w:pPr>
            <w:r>
              <w:rPr>
                <w:rFonts w:hint="eastAsia" w:ascii="Arial" w:cs="Arial"/>
                <w:sz w:val="22"/>
                <w:szCs w:val="22"/>
              </w:rPr>
              <w:t>湖库水体富营养化指标：水温、溶解氧、总氮、总磷、高锰酸盐指数、叶绿素</w:t>
            </w:r>
            <w:r>
              <w:rPr>
                <w:rFonts w:ascii="Arial" w:cs="Arial"/>
                <w:sz w:val="22"/>
                <w:szCs w:val="22"/>
              </w:rPr>
              <w:t>a</w:t>
            </w:r>
            <w:r>
              <w:rPr>
                <w:rFonts w:hint="eastAsia" w:ascii="Arial" w:cs="Arial"/>
                <w:sz w:val="22"/>
                <w:szCs w:val="22"/>
              </w:rPr>
              <w:t>和透明度等</w:t>
            </w:r>
            <w:r>
              <w:rPr>
                <w:rFonts w:ascii="Arial" w:cs="Arial"/>
                <w:sz w:val="22"/>
                <w:szCs w:val="22"/>
              </w:rPr>
              <w:t>7</w:t>
            </w:r>
            <w:r>
              <w:rPr>
                <w:rFonts w:hint="eastAsia" w:ascii="Arial" w:cs="Arial"/>
                <w:sz w:val="22"/>
                <w:szCs w:val="22"/>
              </w:rPr>
              <w:t>项指标。</w:t>
            </w:r>
            <w:r>
              <w:rPr>
                <w:rFonts w:ascii="Arial" w:cs="Arial"/>
                <w:sz w:val="22"/>
                <w:szCs w:val="22"/>
              </w:rPr>
              <w:t xml:space="preserve"> </w:t>
            </w:r>
          </w:p>
        </w:tc>
        <w:tc>
          <w:tcPr>
            <w:tcW w:w="1949" w:type="dxa"/>
            <w:vMerge w:val="continue"/>
            <w:noWrap w:val="0"/>
            <w:vAlign w:val="center"/>
          </w:tcPr>
          <w:p w14:paraId="7D458A9E">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cs="Arial"/>
                <w:color w:val="000000"/>
                <w:sz w:val="22"/>
                <w:szCs w:val="22"/>
                <w:lang w:val="en-US" w:eastAsia="zh-CN"/>
              </w:rPr>
            </w:pPr>
          </w:p>
        </w:tc>
        <w:tc>
          <w:tcPr>
            <w:tcW w:w="1552" w:type="dxa"/>
            <w:vMerge w:val="restart"/>
            <w:noWrap w:val="0"/>
            <w:vAlign w:val="center"/>
          </w:tcPr>
          <w:p w14:paraId="71657786">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cs="Arial"/>
                <w:color w:val="000000"/>
                <w:sz w:val="22"/>
                <w:szCs w:val="22"/>
                <w:lang w:eastAsia="zh-CN"/>
              </w:rPr>
            </w:pPr>
            <w:r>
              <w:rPr>
                <w:rFonts w:hint="eastAsia" w:ascii="Arial" w:cs="Arial"/>
                <w:color w:val="000000"/>
                <w:sz w:val="22"/>
                <w:szCs w:val="22"/>
                <w:lang w:eastAsia="zh-CN"/>
              </w:rPr>
              <w:t>与水质监测时间同步</w:t>
            </w:r>
          </w:p>
        </w:tc>
        <w:tc>
          <w:tcPr>
            <w:tcW w:w="1158" w:type="dxa"/>
            <w:vMerge w:val="continue"/>
            <w:noWrap w:val="0"/>
            <w:vAlign w:val="center"/>
          </w:tcPr>
          <w:p w14:paraId="422799B2">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cs="Arial"/>
                <w:color w:val="000000"/>
                <w:sz w:val="22"/>
                <w:szCs w:val="22"/>
              </w:rPr>
            </w:pPr>
          </w:p>
        </w:tc>
        <w:tc>
          <w:tcPr>
            <w:tcW w:w="1106" w:type="dxa"/>
            <w:vMerge w:val="continue"/>
            <w:noWrap w:val="0"/>
            <w:vAlign w:val="center"/>
          </w:tcPr>
          <w:p w14:paraId="11232E12">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cs="Arial"/>
                <w:color w:val="000000"/>
                <w:sz w:val="22"/>
                <w:szCs w:val="22"/>
              </w:rPr>
            </w:pPr>
          </w:p>
        </w:tc>
      </w:tr>
      <w:tr w14:paraId="42F4B1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283" w:type="dxa"/>
            <w:vMerge w:val="continue"/>
            <w:noWrap w:val="0"/>
            <w:vAlign w:val="center"/>
          </w:tcPr>
          <w:p w14:paraId="1D7C9AA9">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cs="Arial"/>
                <w:color w:val="000000"/>
                <w:sz w:val="22"/>
                <w:szCs w:val="22"/>
                <w:lang w:eastAsia="zh-CN"/>
              </w:rPr>
            </w:pPr>
          </w:p>
        </w:tc>
        <w:tc>
          <w:tcPr>
            <w:tcW w:w="2584" w:type="dxa"/>
            <w:shd w:val="clear" w:color="auto" w:fill="auto"/>
            <w:noWrap w:val="0"/>
            <w:vAlign w:val="center"/>
          </w:tcPr>
          <w:p w14:paraId="121117B2">
            <w:pPr>
              <w:pStyle w:val="946"/>
              <w:keepNext w:val="0"/>
              <w:keepLines w:val="0"/>
              <w:pageBreakBefore w:val="0"/>
              <w:kinsoku/>
              <w:wordWrap/>
              <w:overflowPunct/>
              <w:topLinePunct w:val="0"/>
              <w:autoSpaceDE/>
              <w:autoSpaceDN/>
              <w:bidi w:val="0"/>
              <w:spacing w:line="300" w:lineRule="exact"/>
              <w:ind w:left="0" w:right="0" w:firstLine="0"/>
              <w:textAlignment w:val="auto"/>
              <w:rPr>
                <w:rFonts w:hint="default" w:ascii="Arial" w:eastAsia="宋体" w:cs="Arial"/>
                <w:sz w:val="22"/>
                <w:szCs w:val="22"/>
                <w:lang w:val="en-US" w:eastAsia="zh-CN"/>
              </w:rPr>
            </w:pPr>
            <w:r>
              <w:rPr>
                <w:rFonts w:hint="eastAsia" w:ascii="Arial" w:cs="Arial"/>
                <w:sz w:val="22"/>
                <w:szCs w:val="22"/>
                <w:lang w:eastAsia="zh-CN"/>
              </w:rPr>
              <w:t>坝前垂向水温：按照水库</w:t>
            </w:r>
            <w:r>
              <w:rPr>
                <w:rFonts w:hint="eastAsia" w:ascii="Arial" w:cs="Arial"/>
                <w:sz w:val="22"/>
                <w:szCs w:val="22"/>
                <w:lang w:val="en-US" w:eastAsia="zh-CN"/>
              </w:rPr>
              <w:t>5层取水口高程取样，分别为</w:t>
            </w:r>
            <w:r>
              <w:rPr>
                <w:rFonts w:hint="eastAsia" w:ascii="Arial" w:hAnsi="Arial" w:cs="Arial"/>
                <w:color w:val="auto"/>
                <w:kern w:val="0"/>
                <w:sz w:val="22"/>
                <w:szCs w:val="22"/>
                <w:highlight w:val="none"/>
                <w:lang w:val="en-US" w:eastAsia="zh-CN"/>
              </w:rPr>
              <w:t>418.0m、415.0m、412.0m、409.0m、405.5m处。</w:t>
            </w:r>
          </w:p>
        </w:tc>
        <w:tc>
          <w:tcPr>
            <w:tcW w:w="1949" w:type="dxa"/>
            <w:noWrap w:val="0"/>
            <w:vAlign w:val="center"/>
          </w:tcPr>
          <w:p w14:paraId="22D1B194">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cs="Arial"/>
                <w:color w:val="000000"/>
                <w:sz w:val="22"/>
                <w:szCs w:val="22"/>
                <w:lang w:val="en-US" w:eastAsia="zh-CN"/>
              </w:rPr>
            </w:pPr>
            <w:r>
              <w:rPr>
                <w:rFonts w:hint="eastAsia" w:ascii="Arial" w:hAnsi="Arial" w:cs="Arial"/>
                <w:color w:val="000000"/>
                <w:sz w:val="22"/>
                <w:szCs w:val="22"/>
                <w:lang w:val="en-US" w:eastAsia="zh-CN"/>
              </w:rPr>
              <w:t>坝址处</w:t>
            </w:r>
          </w:p>
        </w:tc>
        <w:tc>
          <w:tcPr>
            <w:tcW w:w="1552" w:type="dxa"/>
            <w:vMerge w:val="continue"/>
            <w:noWrap w:val="0"/>
            <w:vAlign w:val="center"/>
          </w:tcPr>
          <w:p w14:paraId="20FEC486">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cs="Arial"/>
                <w:color w:val="000000"/>
                <w:sz w:val="22"/>
                <w:szCs w:val="22"/>
                <w:lang w:eastAsia="zh-CN"/>
              </w:rPr>
            </w:pPr>
          </w:p>
        </w:tc>
        <w:tc>
          <w:tcPr>
            <w:tcW w:w="1158" w:type="dxa"/>
            <w:vMerge w:val="continue"/>
            <w:noWrap w:val="0"/>
            <w:vAlign w:val="center"/>
          </w:tcPr>
          <w:p w14:paraId="54AA53B7">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cs="Arial"/>
                <w:color w:val="000000"/>
                <w:sz w:val="22"/>
                <w:szCs w:val="22"/>
              </w:rPr>
            </w:pPr>
          </w:p>
        </w:tc>
        <w:tc>
          <w:tcPr>
            <w:tcW w:w="1106" w:type="dxa"/>
            <w:vMerge w:val="continue"/>
            <w:noWrap w:val="0"/>
            <w:vAlign w:val="center"/>
          </w:tcPr>
          <w:p w14:paraId="7020F204">
            <w:pPr>
              <w:pStyle w:val="946"/>
              <w:keepNext w:val="0"/>
              <w:keepLines w:val="0"/>
              <w:pageBreakBefore w:val="0"/>
              <w:kinsoku/>
              <w:wordWrap/>
              <w:overflowPunct/>
              <w:topLinePunct w:val="0"/>
              <w:autoSpaceDE/>
              <w:autoSpaceDN/>
              <w:bidi w:val="0"/>
              <w:spacing w:line="300" w:lineRule="exact"/>
              <w:ind w:left="0" w:right="0" w:firstLine="0"/>
              <w:textAlignment w:val="auto"/>
              <w:rPr>
                <w:rFonts w:ascii="Arial" w:cs="Arial"/>
                <w:color w:val="000000"/>
                <w:sz w:val="22"/>
                <w:szCs w:val="22"/>
              </w:rPr>
            </w:pPr>
          </w:p>
        </w:tc>
      </w:tr>
      <w:tr w14:paraId="1CE0EC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283" w:type="dxa"/>
            <w:vMerge w:val="restart"/>
            <w:noWrap w:val="0"/>
            <w:vAlign w:val="center"/>
          </w:tcPr>
          <w:p w14:paraId="7791E809">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cs="Arial"/>
                <w:color w:val="000000"/>
                <w:sz w:val="22"/>
                <w:szCs w:val="22"/>
                <w:lang w:eastAsia="zh-CN"/>
              </w:rPr>
            </w:pPr>
            <w:r>
              <w:rPr>
                <w:rFonts w:hint="eastAsia" w:ascii="Arial" w:hAnsi="Arial" w:cs="Arial"/>
                <w:color w:val="000000"/>
                <w:sz w:val="22"/>
                <w:szCs w:val="22"/>
                <w:lang w:eastAsia="zh-CN"/>
              </w:rPr>
              <w:t>生态环境</w:t>
            </w:r>
          </w:p>
        </w:tc>
        <w:tc>
          <w:tcPr>
            <w:tcW w:w="2584" w:type="dxa"/>
            <w:noWrap w:val="0"/>
            <w:vAlign w:val="center"/>
          </w:tcPr>
          <w:p w14:paraId="7DA34361">
            <w:pPr>
              <w:pStyle w:val="946"/>
              <w:keepNext w:val="0"/>
              <w:keepLines w:val="0"/>
              <w:pageBreakBefore w:val="0"/>
              <w:kinsoku/>
              <w:wordWrap/>
              <w:overflowPunct/>
              <w:topLinePunct w:val="0"/>
              <w:autoSpaceDE/>
              <w:autoSpaceDN/>
              <w:bidi w:val="0"/>
              <w:spacing w:line="300" w:lineRule="exact"/>
              <w:ind w:left="0" w:right="0" w:firstLine="0"/>
              <w:jc w:val="center"/>
              <w:textAlignment w:val="auto"/>
              <w:rPr>
                <w:rFonts w:hint="eastAsia" w:ascii="Arial" w:cs="Arial"/>
                <w:sz w:val="22"/>
                <w:szCs w:val="22"/>
                <w:lang w:eastAsia="zh-CN"/>
              </w:rPr>
            </w:pPr>
            <w:r>
              <w:rPr>
                <w:rFonts w:hint="eastAsia" w:ascii="Arial" w:cs="Arial"/>
                <w:sz w:val="22"/>
                <w:szCs w:val="22"/>
              </w:rPr>
              <w:t>库区两侧山峦群落垂直结构，观测记录项目建成前后区域动植物种类、数量变化情况，外来物种入侵情况等</w:t>
            </w:r>
            <w:r>
              <w:rPr>
                <w:rFonts w:hint="eastAsia" w:ascii="Arial" w:cs="Arial"/>
                <w:sz w:val="22"/>
                <w:szCs w:val="22"/>
                <w:lang w:eastAsia="zh-CN"/>
              </w:rPr>
              <w:t>。</w:t>
            </w:r>
          </w:p>
        </w:tc>
        <w:tc>
          <w:tcPr>
            <w:tcW w:w="1949" w:type="dxa"/>
            <w:noWrap w:val="0"/>
            <w:vAlign w:val="center"/>
          </w:tcPr>
          <w:p w14:paraId="05F75E86">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eastAsia="宋体" w:cs="Arial"/>
                <w:color w:val="000000"/>
                <w:kern w:val="2"/>
                <w:sz w:val="22"/>
                <w:szCs w:val="22"/>
                <w:lang w:val="en-US" w:eastAsia="zh-CN" w:bidi="ar-SA"/>
              </w:rPr>
            </w:pPr>
            <w:r>
              <w:rPr>
                <w:rFonts w:hint="eastAsia" w:ascii="Arial" w:hAnsi="Arial" w:eastAsia="宋体" w:cs="Arial"/>
                <w:color w:val="000000"/>
                <w:kern w:val="2"/>
                <w:sz w:val="22"/>
                <w:szCs w:val="22"/>
                <w:lang w:val="en-US" w:eastAsia="zh-CN" w:bidi="ar-SA"/>
              </w:rPr>
              <w:t>以坝区、水库淹没区、输水管道为中心线向两侧延伸1km的区域</w:t>
            </w:r>
          </w:p>
        </w:tc>
        <w:tc>
          <w:tcPr>
            <w:tcW w:w="1552" w:type="dxa"/>
            <w:vMerge w:val="restart"/>
            <w:noWrap w:val="0"/>
            <w:vAlign w:val="center"/>
          </w:tcPr>
          <w:p w14:paraId="3CE1264E">
            <w:pPr>
              <w:pStyle w:val="946"/>
              <w:keepNext w:val="0"/>
              <w:keepLines w:val="0"/>
              <w:pageBreakBefore w:val="0"/>
              <w:kinsoku/>
              <w:wordWrap/>
              <w:overflowPunct/>
              <w:topLinePunct w:val="0"/>
              <w:autoSpaceDE/>
              <w:autoSpaceDN/>
              <w:bidi w:val="0"/>
              <w:spacing w:line="300" w:lineRule="exact"/>
              <w:ind w:left="0" w:right="0" w:firstLine="0"/>
              <w:jc w:val="center"/>
              <w:textAlignment w:val="auto"/>
              <w:rPr>
                <w:rFonts w:hint="eastAsia" w:ascii="Arial" w:eastAsia="宋体" w:cs="Arial"/>
                <w:sz w:val="22"/>
                <w:szCs w:val="22"/>
                <w:lang w:val="en-US" w:eastAsia="zh-CN"/>
              </w:rPr>
            </w:pPr>
            <w:r>
              <w:rPr>
                <w:rFonts w:hint="eastAsia" w:ascii="Arial" w:cs="Arial"/>
                <w:sz w:val="22"/>
                <w:szCs w:val="22"/>
              </w:rPr>
              <w:t>施工结束后调查1次，水库蓄水后第3</w:t>
            </w:r>
            <w:r>
              <w:rPr>
                <w:rFonts w:hint="eastAsia" w:ascii="Arial" w:cs="Arial"/>
                <w:sz w:val="22"/>
                <w:szCs w:val="22"/>
                <w:lang w:eastAsia="zh-CN"/>
              </w:rPr>
              <w:t>年</w:t>
            </w:r>
            <w:r>
              <w:rPr>
                <w:rFonts w:hint="eastAsia" w:ascii="Arial" w:cs="Arial"/>
                <w:sz w:val="22"/>
                <w:szCs w:val="22"/>
              </w:rPr>
              <w:t>跟踪调查1次，每年7-8月份调查</w:t>
            </w:r>
            <w:r>
              <w:rPr>
                <w:rFonts w:hint="eastAsia" w:ascii="Arial" w:cs="Arial"/>
                <w:sz w:val="22"/>
                <w:szCs w:val="22"/>
                <w:lang w:eastAsia="zh-CN"/>
              </w:rPr>
              <w:t>。</w:t>
            </w:r>
          </w:p>
        </w:tc>
        <w:tc>
          <w:tcPr>
            <w:tcW w:w="1158" w:type="dxa"/>
            <w:vMerge w:val="continue"/>
            <w:noWrap w:val="0"/>
            <w:vAlign w:val="center"/>
          </w:tcPr>
          <w:p w14:paraId="463F72B1">
            <w:pPr>
              <w:keepNext w:val="0"/>
              <w:keepLines w:val="0"/>
              <w:pageBreakBefore w:val="0"/>
              <w:widowControl/>
              <w:kinsoku/>
              <w:wordWrap/>
              <w:overflowPunct/>
              <w:topLinePunct w:val="0"/>
              <w:autoSpaceDE/>
              <w:autoSpaceDN/>
              <w:bidi w:val="0"/>
              <w:spacing w:line="300" w:lineRule="exact"/>
              <w:ind w:left="0" w:right="0" w:firstLine="0"/>
              <w:jc w:val="center"/>
              <w:textAlignment w:val="auto"/>
              <w:rPr>
                <w:rFonts w:hint="eastAsia" w:ascii="Arial" w:hAnsi="Arial" w:eastAsia="宋体" w:cs="Arial"/>
                <w:color w:val="000000"/>
                <w:sz w:val="22"/>
                <w:szCs w:val="22"/>
                <w:lang w:val="en-US" w:eastAsia="zh-CN"/>
              </w:rPr>
            </w:pPr>
          </w:p>
        </w:tc>
        <w:tc>
          <w:tcPr>
            <w:tcW w:w="1106" w:type="dxa"/>
            <w:vMerge w:val="continue"/>
            <w:noWrap w:val="0"/>
            <w:vAlign w:val="center"/>
          </w:tcPr>
          <w:p w14:paraId="0237A282">
            <w:pPr>
              <w:keepNext w:val="0"/>
              <w:keepLines w:val="0"/>
              <w:pageBreakBefore w:val="0"/>
              <w:widowControl/>
              <w:kinsoku/>
              <w:wordWrap/>
              <w:overflowPunct/>
              <w:topLinePunct w:val="0"/>
              <w:autoSpaceDE/>
              <w:autoSpaceDN/>
              <w:bidi w:val="0"/>
              <w:spacing w:line="300" w:lineRule="exact"/>
              <w:ind w:left="0" w:right="0" w:firstLine="0"/>
              <w:jc w:val="center"/>
              <w:textAlignment w:val="auto"/>
              <w:rPr>
                <w:rFonts w:ascii="Arial" w:hAnsi="Arial" w:cs="Arial"/>
                <w:color w:val="000000"/>
                <w:sz w:val="22"/>
                <w:szCs w:val="22"/>
              </w:rPr>
            </w:pPr>
          </w:p>
        </w:tc>
      </w:tr>
      <w:tr w14:paraId="076EA2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1283" w:type="dxa"/>
            <w:vMerge w:val="continue"/>
            <w:noWrap w:val="0"/>
            <w:vAlign w:val="center"/>
          </w:tcPr>
          <w:p w14:paraId="4D29EB59">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cs="Arial"/>
                <w:color w:val="000000"/>
                <w:sz w:val="22"/>
                <w:szCs w:val="22"/>
                <w:lang w:eastAsia="zh-CN"/>
              </w:rPr>
            </w:pPr>
          </w:p>
        </w:tc>
        <w:tc>
          <w:tcPr>
            <w:tcW w:w="2584" w:type="dxa"/>
            <w:noWrap w:val="0"/>
            <w:vAlign w:val="center"/>
          </w:tcPr>
          <w:p w14:paraId="47578369">
            <w:pPr>
              <w:pStyle w:val="946"/>
              <w:keepNext w:val="0"/>
              <w:keepLines w:val="0"/>
              <w:pageBreakBefore w:val="0"/>
              <w:kinsoku/>
              <w:wordWrap/>
              <w:overflowPunct/>
              <w:topLinePunct w:val="0"/>
              <w:autoSpaceDE/>
              <w:autoSpaceDN/>
              <w:bidi w:val="0"/>
              <w:spacing w:line="300" w:lineRule="exact"/>
              <w:ind w:left="0" w:right="0" w:firstLine="0"/>
              <w:jc w:val="center"/>
              <w:textAlignment w:val="auto"/>
              <w:rPr>
                <w:rFonts w:hint="eastAsia" w:ascii="Arial" w:eastAsia="宋体" w:cs="Arial"/>
                <w:sz w:val="22"/>
                <w:szCs w:val="22"/>
                <w:lang w:eastAsia="zh-CN"/>
              </w:rPr>
            </w:pPr>
            <w:r>
              <w:rPr>
                <w:rFonts w:hint="eastAsia" w:ascii="Arial" w:cs="Arial"/>
                <w:sz w:val="22"/>
                <w:szCs w:val="22"/>
              </w:rPr>
              <w:t>施工迹地内植被恢复情况、动物的回迁情况</w:t>
            </w:r>
            <w:r>
              <w:rPr>
                <w:rFonts w:hint="eastAsia" w:ascii="Arial" w:cs="Arial"/>
                <w:sz w:val="22"/>
                <w:szCs w:val="22"/>
                <w:lang w:eastAsia="zh-CN"/>
              </w:rPr>
              <w:t>。</w:t>
            </w:r>
          </w:p>
        </w:tc>
        <w:tc>
          <w:tcPr>
            <w:tcW w:w="1949" w:type="dxa"/>
            <w:noWrap w:val="0"/>
            <w:vAlign w:val="center"/>
          </w:tcPr>
          <w:p w14:paraId="67C463B5">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eastAsia="宋体" w:cs="Arial"/>
                <w:color w:val="000000"/>
                <w:kern w:val="2"/>
                <w:sz w:val="22"/>
                <w:szCs w:val="22"/>
                <w:lang w:val="en-US" w:eastAsia="zh-CN" w:bidi="ar-SA"/>
              </w:rPr>
            </w:pPr>
            <w:r>
              <w:rPr>
                <w:rFonts w:hint="eastAsia" w:ascii="Arial" w:hAnsi="Arial" w:eastAsia="宋体" w:cs="Arial"/>
                <w:color w:val="000000"/>
                <w:kern w:val="2"/>
                <w:sz w:val="22"/>
                <w:szCs w:val="22"/>
                <w:lang w:val="en-US" w:eastAsia="zh-CN" w:bidi="ar-SA"/>
              </w:rPr>
              <w:t>枢纽及输水工程施工占地范围内</w:t>
            </w:r>
          </w:p>
        </w:tc>
        <w:tc>
          <w:tcPr>
            <w:tcW w:w="1552" w:type="dxa"/>
            <w:vMerge w:val="continue"/>
            <w:noWrap w:val="0"/>
            <w:vAlign w:val="center"/>
          </w:tcPr>
          <w:p w14:paraId="7096FB7E">
            <w:pPr>
              <w:pStyle w:val="946"/>
              <w:keepNext w:val="0"/>
              <w:keepLines w:val="0"/>
              <w:pageBreakBefore w:val="0"/>
              <w:kinsoku/>
              <w:wordWrap/>
              <w:overflowPunct/>
              <w:topLinePunct w:val="0"/>
              <w:autoSpaceDE/>
              <w:autoSpaceDN/>
              <w:bidi w:val="0"/>
              <w:spacing w:line="300" w:lineRule="exact"/>
              <w:ind w:left="0" w:right="0" w:firstLine="0"/>
              <w:jc w:val="center"/>
              <w:textAlignment w:val="auto"/>
              <w:rPr>
                <w:rFonts w:hint="eastAsia" w:ascii="Arial" w:cs="Arial"/>
                <w:sz w:val="22"/>
                <w:szCs w:val="22"/>
                <w:lang w:val="en-US" w:eastAsia="zh-CN"/>
              </w:rPr>
            </w:pPr>
          </w:p>
        </w:tc>
        <w:tc>
          <w:tcPr>
            <w:tcW w:w="1158" w:type="dxa"/>
            <w:vMerge w:val="continue"/>
            <w:noWrap w:val="0"/>
            <w:vAlign w:val="center"/>
          </w:tcPr>
          <w:p w14:paraId="365E6731">
            <w:pPr>
              <w:keepNext w:val="0"/>
              <w:keepLines w:val="0"/>
              <w:pageBreakBefore w:val="0"/>
              <w:widowControl/>
              <w:kinsoku/>
              <w:wordWrap/>
              <w:overflowPunct/>
              <w:topLinePunct w:val="0"/>
              <w:autoSpaceDE/>
              <w:autoSpaceDN/>
              <w:bidi w:val="0"/>
              <w:spacing w:line="300" w:lineRule="exact"/>
              <w:ind w:left="0" w:right="0" w:firstLine="0"/>
              <w:jc w:val="center"/>
              <w:textAlignment w:val="auto"/>
              <w:rPr>
                <w:rFonts w:hint="eastAsia" w:ascii="Arial" w:hAnsi="Arial" w:cs="Arial"/>
                <w:color w:val="000000"/>
                <w:sz w:val="22"/>
                <w:szCs w:val="22"/>
                <w:lang w:val="en-US" w:eastAsia="zh-CN"/>
              </w:rPr>
            </w:pPr>
          </w:p>
        </w:tc>
        <w:tc>
          <w:tcPr>
            <w:tcW w:w="1106" w:type="dxa"/>
            <w:vMerge w:val="continue"/>
            <w:noWrap w:val="0"/>
            <w:vAlign w:val="center"/>
          </w:tcPr>
          <w:p w14:paraId="756609FA">
            <w:pPr>
              <w:keepNext w:val="0"/>
              <w:keepLines w:val="0"/>
              <w:pageBreakBefore w:val="0"/>
              <w:widowControl/>
              <w:kinsoku/>
              <w:wordWrap/>
              <w:overflowPunct/>
              <w:topLinePunct w:val="0"/>
              <w:autoSpaceDE/>
              <w:autoSpaceDN/>
              <w:bidi w:val="0"/>
              <w:spacing w:line="300" w:lineRule="exact"/>
              <w:ind w:left="0" w:right="0" w:firstLine="0"/>
              <w:jc w:val="center"/>
              <w:textAlignment w:val="auto"/>
              <w:rPr>
                <w:rFonts w:ascii="Arial" w:hAnsi="Arial" w:cs="Arial"/>
                <w:color w:val="000000"/>
                <w:sz w:val="22"/>
                <w:szCs w:val="22"/>
              </w:rPr>
            </w:pPr>
          </w:p>
        </w:tc>
      </w:tr>
      <w:tr w14:paraId="79EDD9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1283" w:type="dxa"/>
            <w:vMerge w:val="continue"/>
            <w:noWrap w:val="0"/>
            <w:vAlign w:val="center"/>
          </w:tcPr>
          <w:p w14:paraId="5ED75577">
            <w:pPr>
              <w:pStyle w:val="946"/>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cs="Arial"/>
                <w:color w:val="000000"/>
                <w:sz w:val="22"/>
                <w:szCs w:val="22"/>
                <w:lang w:eastAsia="zh-CN"/>
              </w:rPr>
            </w:pPr>
          </w:p>
        </w:tc>
        <w:tc>
          <w:tcPr>
            <w:tcW w:w="2584" w:type="dxa"/>
            <w:noWrap w:val="0"/>
            <w:vAlign w:val="center"/>
          </w:tcPr>
          <w:p w14:paraId="14BD4382">
            <w:pPr>
              <w:pStyle w:val="2102"/>
              <w:keepNext w:val="0"/>
              <w:keepLines w:val="0"/>
              <w:pageBreakBefore w:val="0"/>
              <w:kinsoku/>
              <w:wordWrap/>
              <w:overflowPunct/>
              <w:topLinePunct w:val="0"/>
              <w:autoSpaceDE/>
              <w:autoSpaceDN/>
              <w:bidi w:val="0"/>
              <w:spacing w:line="300" w:lineRule="exact"/>
              <w:ind w:left="0" w:right="0" w:firstLine="0"/>
              <w:textAlignment w:val="auto"/>
              <w:rPr>
                <w:rFonts w:hint="eastAsia" w:ascii="Arial" w:hAnsi="Arial" w:eastAsia="宋体" w:cs="Arial"/>
                <w:color w:val="000000"/>
                <w:sz w:val="22"/>
                <w:szCs w:val="22"/>
                <w:lang w:eastAsia="zh-CN"/>
              </w:rPr>
            </w:pPr>
            <w:r>
              <w:rPr>
                <w:sz w:val="22"/>
                <w:szCs w:val="22"/>
              </w:rPr>
              <w:t>库区内、拦水坝下游减水河段、库尾上游河段水生生物的种类、数量及分布情况</w:t>
            </w:r>
            <w:r>
              <w:rPr>
                <w:rFonts w:hint="eastAsia"/>
                <w:sz w:val="22"/>
                <w:szCs w:val="22"/>
                <w:lang w:eastAsia="zh-CN"/>
              </w:rPr>
              <w:t>。</w:t>
            </w:r>
          </w:p>
        </w:tc>
        <w:tc>
          <w:tcPr>
            <w:tcW w:w="1949" w:type="dxa"/>
            <w:noWrap w:val="0"/>
            <w:vAlign w:val="center"/>
          </w:tcPr>
          <w:p w14:paraId="483933F9">
            <w:pPr>
              <w:pStyle w:val="2102"/>
              <w:keepNext w:val="0"/>
              <w:keepLines w:val="0"/>
              <w:pageBreakBefore w:val="0"/>
              <w:kinsoku/>
              <w:wordWrap/>
              <w:overflowPunct/>
              <w:topLinePunct w:val="0"/>
              <w:autoSpaceDE/>
              <w:autoSpaceDN/>
              <w:bidi w:val="0"/>
              <w:spacing w:line="300" w:lineRule="exact"/>
              <w:ind w:left="0" w:leftChars="0" w:right="0" w:rightChars="0" w:firstLine="0" w:firstLineChars="0"/>
              <w:jc w:val="center"/>
              <w:textAlignment w:val="auto"/>
              <w:rPr>
                <w:rFonts w:hint="eastAsia" w:ascii="Arial" w:hAnsi="Arial" w:eastAsia="宋体" w:cs="Arial"/>
                <w:color w:val="000000"/>
                <w:kern w:val="2"/>
                <w:sz w:val="22"/>
                <w:szCs w:val="22"/>
                <w:lang w:val="en-US" w:eastAsia="zh-CN" w:bidi="ar-SA"/>
              </w:rPr>
            </w:pPr>
            <w:r>
              <w:rPr>
                <w:rFonts w:hint="eastAsia" w:ascii="Arial" w:hAnsi="Arial" w:eastAsia="宋体" w:cs="Arial"/>
                <w:color w:val="000000"/>
                <w:kern w:val="2"/>
                <w:sz w:val="22"/>
                <w:szCs w:val="22"/>
                <w:lang w:val="en-US" w:eastAsia="zh-CN" w:bidi="ar-SA"/>
              </w:rPr>
              <w:t>库尾上游500m~拦水坝下游汇入高洞桥河处。</w:t>
            </w:r>
          </w:p>
        </w:tc>
        <w:tc>
          <w:tcPr>
            <w:tcW w:w="1552" w:type="dxa"/>
            <w:noWrap w:val="0"/>
            <w:vAlign w:val="center"/>
          </w:tcPr>
          <w:p w14:paraId="38FEA2A4">
            <w:pPr>
              <w:pStyle w:val="946"/>
              <w:keepNext w:val="0"/>
              <w:keepLines w:val="0"/>
              <w:pageBreakBefore w:val="0"/>
              <w:kinsoku/>
              <w:wordWrap/>
              <w:overflowPunct/>
              <w:topLinePunct w:val="0"/>
              <w:autoSpaceDE/>
              <w:autoSpaceDN/>
              <w:bidi w:val="0"/>
              <w:spacing w:line="300" w:lineRule="exact"/>
              <w:ind w:left="0" w:right="0" w:firstLine="0"/>
              <w:jc w:val="center"/>
              <w:textAlignment w:val="auto"/>
              <w:rPr>
                <w:rFonts w:hint="eastAsia" w:ascii="Arial" w:cs="Arial"/>
                <w:sz w:val="22"/>
                <w:szCs w:val="22"/>
              </w:rPr>
            </w:pPr>
            <w:r>
              <w:rPr>
                <w:rFonts w:hint="eastAsia" w:ascii="Arial" w:cs="Arial"/>
                <w:sz w:val="22"/>
                <w:szCs w:val="22"/>
              </w:rPr>
              <w:t>施工结束后调查1次，水库运行后每年调查1次，连续</w:t>
            </w:r>
          </w:p>
          <w:p w14:paraId="0F02B8CB">
            <w:pPr>
              <w:pStyle w:val="946"/>
              <w:keepNext w:val="0"/>
              <w:keepLines w:val="0"/>
              <w:pageBreakBefore w:val="0"/>
              <w:kinsoku/>
              <w:wordWrap/>
              <w:overflowPunct/>
              <w:topLinePunct w:val="0"/>
              <w:autoSpaceDE/>
              <w:autoSpaceDN/>
              <w:bidi w:val="0"/>
              <w:spacing w:line="300" w:lineRule="exact"/>
              <w:ind w:left="0" w:right="0" w:firstLine="0"/>
              <w:jc w:val="center"/>
              <w:textAlignment w:val="auto"/>
              <w:rPr>
                <w:rFonts w:hint="eastAsia" w:ascii="Arial" w:eastAsia="宋体" w:cs="Arial"/>
                <w:sz w:val="22"/>
                <w:szCs w:val="22"/>
                <w:lang w:val="en-US" w:eastAsia="zh-CN"/>
              </w:rPr>
            </w:pPr>
            <w:r>
              <w:rPr>
                <w:rFonts w:hint="eastAsia" w:ascii="Arial" w:cs="Arial"/>
                <w:sz w:val="22"/>
                <w:szCs w:val="22"/>
              </w:rPr>
              <w:t>调查3年，每年7~8月份调查</w:t>
            </w:r>
            <w:r>
              <w:rPr>
                <w:rFonts w:hint="eastAsia" w:ascii="Arial" w:cs="Arial"/>
                <w:sz w:val="22"/>
                <w:szCs w:val="22"/>
                <w:lang w:eastAsia="zh-CN"/>
              </w:rPr>
              <w:t>。</w:t>
            </w:r>
          </w:p>
        </w:tc>
        <w:tc>
          <w:tcPr>
            <w:tcW w:w="1158" w:type="dxa"/>
            <w:vMerge w:val="continue"/>
            <w:noWrap w:val="0"/>
            <w:vAlign w:val="center"/>
          </w:tcPr>
          <w:p w14:paraId="08EBCA59">
            <w:pPr>
              <w:keepNext w:val="0"/>
              <w:keepLines w:val="0"/>
              <w:pageBreakBefore w:val="0"/>
              <w:widowControl/>
              <w:kinsoku/>
              <w:wordWrap/>
              <w:overflowPunct/>
              <w:topLinePunct w:val="0"/>
              <w:autoSpaceDE/>
              <w:autoSpaceDN/>
              <w:bidi w:val="0"/>
              <w:spacing w:line="300" w:lineRule="exact"/>
              <w:ind w:left="0" w:right="0" w:firstLine="0"/>
              <w:jc w:val="center"/>
              <w:textAlignment w:val="auto"/>
              <w:rPr>
                <w:rFonts w:hint="eastAsia" w:ascii="Arial" w:hAnsi="Arial" w:cs="Arial"/>
                <w:color w:val="000000"/>
                <w:sz w:val="22"/>
                <w:szCs w:val="22"/>
                <w:lang w:val="en-US" w:eastAsia="zh-CN"/>
              </w:rPr>
            </w:pPr>
          </w:p>
        </w:tc>
        <w:tc>
          <w:tcPr>
            <w:tcW w:w="1106" w:type="dxa"/>
            <w:vMerge w:val="continue"/>
            <w:noWrap w:val="0"/>
            <w:vAlign w:val="center"/>
          </w:tcPr>
          <w:p w14:paraId="4A634D36">
            <w:pPr>
              <w:keepNext w:val="0"/>
              <w:keepLines w:val="0"/>
              <w:pageBreakBefore w:val="0"/>
              <w:widowControl/>
              <w:kinsoku/>
              <w:wordWrap/>
              <w:overflowPunct/>
              <w:topLinePunct w:val="0"/>
              <w:autoSpaceDE/>
              <w:autoSpaceDN/>
              <w:bidi w:val="0"/>
              <w:spacing w:line="300" w:lineRule="exact"/>
              <w:ind w:left="0" w:right="0" w:firstLine="0"/>
              <w:jc w:val="center"/>
              <w:textAlignment w:val="auto"/>
              <w:rPr>
                <w:rFonts w:ascii="Arial" w:hAnsi="Arial" w:cs="Arial"/>
                <w:color w:val="000000"/>
                <w:sz w:val="22"/>
                <w:szCs w:val="22"/>
              </w:rPr>
            </w:pPr>
          </w:p>
        </w:tc>
      </w:tr>
    </w:tbl>
    <w:p w14:paraId="2159F1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
          <w:sz w:val="24"/>
          <w:szCs w:val="24"/>
        </w:rPr>
      </w:pPr>
    </w:p>
    <w:p w14:paraId="6EEA7740">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eastAsia="宋体" w:cs="Arial"/>
          <w:b/>
          <w:bCs/>
          <w:color w:val="000000"/>
          <w:sz w:val="26"/>
          <w:szCs w:val="26"/>
          <w:lang w:val="en-US" w:eastAsia="zh-CN"/>
        </w:rPr>
      </w:pPr>
      <w:r>
        <w:rPr>
          <w:rFonts w:hint="eastAsia" w:ascii="Arial" w:hAnsi="Arial" w:cs="Arial"/>
          <w:b/>
          <w:bCs/>
          <w:color w:val="000000"/>
          <w:sz w:val="26"/>
          <w:szCs w:val="26"/>
          <w:lang w:val="en-US" w:eastAsia="zh-CN"/>
        </w:rPr>
        <w:t>9</w:t>
      </w:r>
      <w:r>
        <w:rPr>
          <w:rFonts w:hint="eastAsia" w:ascii="Arial" w:hAnsi="Arial" w:eastAsia="宋体" w:cs="Arial"/>
          <w:b/>
          <w:bCs/>
          <w:color w:val="000000"/>
          <w:sz w:val="26"/>
          <w:szCs w:val="26"/>
          <w:lang w:val="en-US" w:eastAsia="zh-CN"/>
        </w:rPr>
        <w:t>.3.</w:t>
      </w:r>
      <w:r>
        <w:rPr>
          <w:rFonts w:hint="eastAsia" w:ascii="Arial" w:hAnsi="Arial" w:cs="Arial"/>
          <w:b/>
          <w:bCs/>
          <w:color w:val="000000"/>
          <w:sz w:val="26"/>
          <w:szCs w:val="26"/>
          <w:lang w:val="en-US" w:eastAsia="zh-CN"/>
        </w:rPr>
        <w:t>3下泄生态流量监控</w:t>
      </w:r>
    </w:p>
    <w:p w14:paraId="35045CF6">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b/>
          <w:bCs/>
          <w:color w:val="000000"/>
          <w:kern w:val="2"/>
          <w:sz w:val="26"/>
          <w:szCs w:val="26"/>
          <w:lang w:val="en-US" w:eastAsia="zh-CN" w:bidi="ar-SA"/>
        </w:rPr>
      </w:pPr>
      <w:r>
        <w:rPr>
          <w:rFonts w:hint="eastAsia" w:ascii="Arial" w:hAnsi="Arial" w:cs="Arial"/>
          <w:b/>
          <w:bCs/>
          <w:color w:val="000000"/>
          <w:kern w:val="2"/>
          <w:sz w:val="26"/>
          <w:szCs w:val="26"/>
          <w:lang w:val="en-US" w:eastAsia="zh-CN" w:bidi="ar-SA"/>
        </w:rPr>
        <w:t>（1）</w:t>
      </w:r>
      <w:r>
        <w:rPr>
          <w:rFonts w:hint="eastAsia" w:ascii="Arial" w:hAnsi="Arial" w:eastAsia="宋体" w:cs="Arial"/>
          <w:b/>
          <w:bCs/>
          <w:color w:val="000000"/>
          <w:kern w:val="2"/>
          <w:sz w:val="26"/>
          <w:szCs w:val="26"/>
          <w:lang w:val="en-US" w:eastAsia="zh-CN" w:bidi="ar-SA"/>
        </w:rPr>
        <w:t>监控目的</w:t>
      </w:r>
    </w:p>
    <w:p w14:paraId="2A5ADB9A">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color w:val="000000"/>
          <w:kern w:val="2"/>
          <w:sz w:val="26"/>
          <w:szCs w:val="26"/>
          <w:lang w:val="en-US" w:eastAsia="zh-CN" w:bidi="ar-SA"/>
        </w:rPr>
      </w:pPr>
      <w:r>
        <w:rPr>
          <w:rFonts w:hint="eastAsia" w:ascii="Arial" w:hAnsi="Arial" w:eastAsia="宋体" w:cs="Arial"/>
          <w:color w:val="000000"/>
          <w:kern w:val="2"/>
          <w:sz w:val="26"/>
          <w:szCs w:val="26"/>
          <w:lang w:val="en-US" w:eastAsia="zh-CN" w:bidi="ar-SA"/>
        </w:rPr>
        <w:t>为确保生态流量下泄措施的有效运行，需对工程在不同阶段的下泄流量进行实时监控，同时可为生态流量对下游水环境、水生生态及河道景观的影响与效果研究提供基础资料。</w:t>
      </w:r>
    </w:p>
    <w:p w14:paraId="15466B72">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cs="Arial"/>
          <w:b/>
          <w:bCs/>
          <w:color w:val="000000"/>
          <w:kern w:val="2"/>
          <w:sz w:val="26"/>
          <w:szCs w:val="26"/>
          <w:lang w:val="en-US" w:eastAsia="zh-CN" w:bidi="ar-SA"/>
        </w:rPr>
      </w:pPr>
      <w:r>
        <w:rPr>
          <w:rFonts w:hint="eastAsia" w:ascii="Arial" w:hAnsi="Arial" w:cs="Arial"/>
          <w:b/>
          <w:bCs/>
          <w:color w:val="000000"/>
          <w:kern w:val="2"/>
          <w:sz w:val="26"/>
          <w:szCs w:val="26"/>
          <w:lang w:val="en-US" w:eastAsia="zh-CN" w:bidi="ar-SA"/>
        </w:rPr>
        <w:t>（2）监控断面布设</w:t>
      </w:r>
    </w:p>
    <w:p w14:paraId="371AAD80">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default" w:ascii="Arial" w:hAnsi="Arial" w:eastAsia="宋体" w:cs="Arial"/>
          <w:color w:val="000000"/>
          <w:kern w:val="2"/>
          <w:sz w:val="26"/>
          <w:szCs w:val="26"/>
          <w:lang w:val="en-US" w:eastAsia="zh-CN" w:bidi="ar-SA"/>
        </w:rPr>
      </w:pPr>
      <w:r>
        <w:rPr>
          <w:rFonts w:hint="eastAsia" w:ascii="Arial" w:hAnsi="Arial" w:eastAsia="宋体" w:cs="Arial"/>
          <w:color w:val="000000"/>
          <w:kern w:val="2"/>
          <w:sz w:val="26"/>
          <w:szCs w:val="26"/>
          <w:lang w:val="en-US" w:eastAsia="zh-CN" w:bidi="ar-SA"/>
        </w:rPr>
        <w:t>本项目运营期将设置流速仪、水位监测设施、水温监测设施、气温监测系统、降雨量监测系统、水质监测设备等</w:t>
      </w:r>
      <w:r>
        <w:rPr>
          <w:rFonts w:hint="eastAsia" w:ascii="Arial" w:hAnsi="Arial" w:cs="Arial"/>
          <w:color w:val="000000"/>
          <w:kern w:val="2"/>
          <w:sz w:val="26"/>
          <w:szCs w:val="26"/>
          <w:lang w:val="en-US" w:eastAsia="zh-CN" w:bidi="ar-SA"/>
        </w:rPr>
        <w:t>，同时根据项目下泄生态流量的方案，拟在生态放水管出水口处设置1个在线实时监控系统。</w:t>
      </w:r>
    </w:p>
    <w:p w14:paraId="43E99B86">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cs="Arial"/>
          <w:b/>
          <w:bCs/>
          <w:color w:val="000000"/>
          <w:kern w:val="2"/>
          <w:sz w:val="26"/>
          <w:szCs w:val="26"/>
          <w:lang w:val="en-US" w:eastAsia="zh-CN" w:bidi="ar-SA"/>
        </w:rPr>
      </w:pPr>
      <w:r>
        <w:rPr>
          <w:rFonts w:hint="eastAsia" w:ascii="Arial" w:hAnsi="Arial" w:cs="Arial"/>
          <w:b/>
          <w:bCs/>
          <w:color w:val="000000"/>
          <w:kern w:val="2"/>
          <w:sz w:val="26"/>
          <w:szCs w:val="26"/>
          <w:lang w:val="en-US" w:eastAsia="zh-CN" w:bidi="ar-SA"/>
        </w:rPr>
        <w:t>（3）监控时间</w:t>
      </w:r>
    </w:p>
    <w:p w14:paraId="41455F21">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color w:val="000000"/>
          <w:kern w:val="2"/>
          <w:sz w:val="26"/>
          <w:szCs w:val="26"/>
          <w:lang w:val="en-US" w:eastAsia="zh-CN" w:bidi="ar-SA"/>
        </w:rPr>
      </w:pPr>
      <w:r>
        <w:rPr>
          <w:rFonts w:hint="eastAsia" w:ascii="Arial" w:hAnsi="Arial" w:eastAsia="宋体" w:cs="Arial"/>
          <w:color w:val="000000"/>
          <w:kern w:val="2"/>
          <w:sz w:val="26"/>
          <w:szCs w:val="26"/>
          <w:lang w:val="en-US" w:eastAsia="zh-CN" w:bidi="ar-SA"/>
        </w:rPr>
        <w:t>为满足初期蓄水阶段生态流量监控要求，生态流量监测系统需在蓄水前安装完成。</w:t>
      </w:r>
    </w:p>
    <w:p w14:paraId="4A63B2CB">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highlight w:val="none"/>
          <w:lang w:val="en-US" w:eastAsia="zh-CN"/>
        </w:rPr>
      </w:pPr>
      <w:bookmarkStart w:id="161" w:name="_Toc4376"/>
      <w:bookmarkStart w:id="162" w:name="_Toc512244276"/>
      <w:r>
        <w:rPr>
          <w:rFonts w:hint="eastAsia" w:ascii="Arial" w:hAnsi="Arial" w:cs="Arial"/>
          <w:sz w:val="26"/>
          <w:szCs w:val="26"/>
          <w:highlight w:val="none"/>
          <w:lang w:val="en-US" w:eastAsia="zh-CN"/>
        </w:rPr>
        <w:t>9</w:t>
      </w:r>
      <w:r>
        <w:rPr>
          <w:rFonts w:hint="eastAsia" w:ascii="Arial" w:hAnsi="Arial" w:eastAsia="宋体" w:cs="Arial"/>
          <w:sz w:val="26"/>
          <w:szCs w:val="26"/>
          <w:highlight w:val="none"/>
          <w:lang w:val="en-US" w:eastAsia="zh-CN"/>
        </w:rPr>
        <w:t>.4 竣工环境保护验收</w:t>
      </w:r>
      <w:bookmarkEnd w:id="161"/>
      <w:bookmarkEnd w:id="162"/>
    </w:p>
    <w:p w14:paraId="375ABE68">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color w:val="000000"/>
          <w:kern w:val="2"/>
          <w:sz w:val="26"/>
          <w:szCs w:val="26"/>
          <w:lang w:val="en-US" w:eastAsia="zh-CN" w:bidi="ar-SA"/>
        </w:rPr>
      </w:pPr>
      <w:r>
        <w:rPr>
          <w:rFonts w:hint="eastAsia" w:ascii="Arial" w:hAnsi="Arial" w:eastAsia="宋体" w:cs="Arial"/>
          <w:color w:val="000000"/>
          <w:kern w:val="2"/>
          <w:sz w:val="26"/>
          <w:szCs w:val="26"/>
          <w:lang w:val="en-US" w:eastAsia="zh-CN" w:bidi="ar-SA"/>
        </w:rPr>
        <w:t>工程所有环保设施均应与主体工程同时设计、同时施工、同时投产，并进行项目竣工环境保护验收管理办法。根据《建设项目环境保护管理条例》和《关于规范建设单位自主开展建设项目竣工环境保护验收的通知》，由</w:t>
      </w:r>
      <w:r>
        <w:rPr>
          <w:rFonts w:hint="eastAsia" w:ascii="Arial" w:hAnsi="Arial" w:cs="Arial"/>
          <w:color w:val="000000"/>
          <w:kern w:val="2"/>
          <w:sz w:val="26"/>
          <w:szCs w:val="26"/>
          <w:lang w:val="en-US" w:eastAsia="zh-CN" w:bidi="ar-SA"/>
        </w:rPr>
        <w:t>丰都县水利工程服务中心</w:t>
      </w:r>
      <w:r>
        <w:rPr>
          <w:rFonts w:hint="eastAsia" w:ascii="Arial" w:hAnsi="Arial" w:eastAsia="宋体" w:cs="Arial"/>
          <w:color w:val="000000"/>
          <w:kern w:val="2"/>
          <w:sz w:val="26"/>
          <w:szCs w:val="26"/>
          <w:lang w:val="en-US" w:eastAsia="zh-CN" w:bidi="ar-SA"/>
        </w:rPr>
        <w:t>负责本项目的竣工环保验收工作，验收合格后，项目方能投入正式运营。拟建项目竣工环境保护验收要求分别见表</w:t>
      </w:r>
      <w:r>
        <w:rPr>
          <w:rFonts w:hint="eastAsia" w:ascii="Arial" w:hAnsi="Arial" w:cs="Arial"/>
          <w:color w:val="000000"/>
          <w:kern w:val="2"/>
          <w:sz w:val="26"/>
          <w:szCs w:val="26"/>
          <w:lang w:val="en-US" w:eastAsia="zh-CN" w:bidi="ar-SA"/>
        </w:rPr>
        <w:t>9</w:t>
      </w:r>
      <w:r>
        <w:rPr>
          <w:rFonts w:hint="eastAsia" w:ascii="Arial" w:hAnsi="Arial" w:eastAsia="宋体" w:cs="Arial"/>
          <w:color w:val="000000"/>
          <w:kern w:val="2"/>
          <w:sz w:val="26"/>
          <w:szCs w:val="26"/>
          <w:lang w:val="en-US" w:eastAsia="zh-CN" w:bidi="ar-SA"/>
        </w:rPr>
        <w:t>.4-1所示。</w:t>
      </w:r>
    </w:p>
    <w:p w14:paraId="3CF782C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eastAsia="宋体" w:cs="Arial"/>
          <w:b/>
          <w:color w:val="000000"/>
          <w:sz w:val="26"/>
          <w:szCs w:val="26"/>
        </w:rPr>
      </w:pPr>
      <w:r>
        <w:rPr>
          <w:rFonts w:hint="eastAsia" w:ascii="Arial" w:hAnsi="Arial" w:cs="Arial"/>
          <w:b/>
          <w:color w:val="000000"/>
          <w:sz w:val="26"/>
          <w:szCs w:val="26"/>
          <w:lang w:val="en-US" w:eastAsia="zh-CN"/>
        </w:rPr>
        <w:t>9</w:t>
      </w:r>
      <w:r>
        <w:rPr>
          <w:rFonts w:hint="eastAsia" w:ascii="Arial" w:hAnsi="Arial" w:eastAsia="宋体" w:cs="Arial"/>
          <w:b/>
          <w:color w:val="000000"/>
          <w:sz w:val="26"/>
          <w:szCs w:val="26"/>
        </w:rPr>
        <w:t>.4</w:t>
      </w:r>
      <w:r>
        <w:rPr>
          <w:rFonts w:hint="eastAsia" w:ascii="Arial" w:hAnsi="Arial" w:eastAsia="宋体" w:cs="Arial"/>
          <w:b/>
          <w:color w:val="000000"/>
          <w:sz w:val="26"/>
          <w:szCs w:val="26"/>
          <w:lang w:val="en-US" w:eastAsia="zh-CN"/>
        </w:rPr>
        <w:t>-</w:t>
      </w:r>
      <w:r>
        <w:rPr>
          <w:rFonts w:hint="eastAsia" w:ascii="Arial" w:hAnsi="Arial" w:eastAsia="宋体" w:cs="Arial"/>
          <w:b/>
          <w:color w:val="000000"/>
          <w:sz w:val="26"/>
          <w:szCs w:val="26"/>
        </w:rPr>
        <w:t>1  项目竣工环境保护验收要求及内容</w:t>
      </w:r>
    </w:p>
    <w:tbl>
      <w:tblPr>
        <w:tblStyle w:val="77"/>
        <w:tblW w:w="95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77"/>
        <w:gridCol w:w="1331"/>
        <w:gridCol w:w="1559"/>
        <w:gridCol w:w="2893"/>
        <w:gridCol w:w="2635"/>
      </w:tblGrid>
      <w:tr w14:paraId="491455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noWrap w:val="0"/>
            <w:vAlign w:val="center"/>
          </w:tcPr>
          <w:p w14:paraId="79B69375">
            <w:pPr>
              <w:spacing w:line="300" w:lineRule="exact"/>
              <w:jc w:val="center"/>
              <w:rPr>
                <w:rFonts w:hint="eastAsia" w:ascii="Arial" w:hAnsi="Arial" w:cs="Arial"/>
                <w:sz w:val="22"/>
                <w:szCs w:val="22"/>
              </w:rPr>
            </w:pPr>
            <w:r>
              <w:rPr>
                <w:rFonts w:hint="eastAsia" w:ascii="Arial" w:hAnsi="Arial" w:cs="Arial"/>
                <w:sz w:val="22"/>
                <w:szCs w:val="22"/>
              </w:rPr>
              <w:t>验收项目</w:t>
            </w:r>
          </w:p>
        </w:tc>
        <w:tc>
          <w:tcPr>
            <w:tcW w:w="1331" w:type="dxa"/>
            <w:noWrap w:val="0"/>
            <w:vAlign w:val="center"/>
          </w:tcPr>
          <w:p w14:paraId="459236AE">
            <w:pPr>
              <w:spacing w:line="300" w:lineRule="exact"/>
              <w:jc w:val="center"/>
              <w:rPr>
                <w:rFonts w:hint="eastAsia" w:ascii="Arial" w:hAnsi="Arial" w:cs="Arial"/>
                <w:sz w:val="22"/>
                <w:szCs w:val="22"/>
              </w:rPr>
            </w:pPr>
            <w:r>
              <w:rPr>
                <w:rFonts w:hint="eastAsia" w:ascii="Arial" w:hAnsi="Arial" w:cs="Arial"/>
                <w:sz w:val="22"/>
                <w:szCs w:val="22"/>
              </w:rPr>
              <w:t>验收点</w:t>
            </w:r>
          </w:p>
        </w:tc>
        <w:tc>
          <w:tcPr>
            <w:tcW w:w="1559" w:type="dxa"/>
            <w:noWrap w:val="0"/>
            <w:vAlign w:val="center"/>
          </w:tcPr>
          <w:p w14:paraId="64384C63">
            <w:pPr>
              <w:spacing w:line="300" w:lineRule="exact"/>
              <w:jc w:val="center"/>
              <w:rPr>
                <w:rFonts w:hint="eastAsia" w:ascii="Arial" w:hAnsi="Arial" w:cs="Arial"/>
                <w:sz w:val="22"/>
                <w:szCs w:val="22"/>
              </w:rPr>
            </w:pPr>
            <w:r>
              <w:rPr>
                <w:rFonts w:hint="eastAsia" w:ascii="Arial" w:hAnsi="Arial" w:cs="Arial"/>
                <w:sz w:val="22"/>
                <w:szCs w:val="22"/>
              </w:rPr>
              <w:t>治理措施</w:t>
            </w:r>
          </w:p>
        </w:tc>
        <w:tc>
          <w:tcPr>
            <w:tcW w:w="2893" w:type="dxa"/>
            <w:noWrap w:val="0"/>
            <w:vAlign w:val="center"/>
          </w:tcPr>
          <w:p w14:paraId="46B521A4">
            <w:pPr>
              <w:spacing w:line="300" w:lineRule="exact"/>
              <w:jc w:val="center"/>
              <w:rPr>
                <w:rFonts w:hint="eastAsia" w:ascii="Arial" w:hAnsi="Arial" w:cs="Arial"/>
                <w:sz w:val="22"/>
                <w:szCs w:val="22"/>
              </w:rPr>
            </w:pPr>
            <w:r>
              <w:rPr>
                <w:rFonts w:hint="eastAsia" w:ascii="Arial" w:hAnsi="Arial" w:cs="Arial"/>
                <w:sz w:val="22"/>
                <w:szCs w:val="22"/>
              </w:rPr>
              <w:t>验收内容及指标</w:t>
            </w:r>
          </w:p>
        </w:tc>
        <w:tc>
          <w:tcPr>
            <w:tcW w:w="2635" w:type="dxa"/>
            <w:noWrap w:val="0"/>
            <w:vAlign w:val="center"/>
          </w:tcPr>
          <w:p w14:paraId="279FF071">
            <w:pPr>
              <w:spacing w:line="300" w:lineRule="exact"/>
              <w:jc w:val="center"/>
              <w:rPr>
                <w:rFonts w:hint="eastAsia" w:ascii="Arial" w:hAnsi="Arial" w:cs="Arial"/>
                <w:sz w:val="22"/>
                <w:szCs w:val="22"/>
              </w:rPr>
            </w:pPr>
            <w:r>
              <w:rPr>
                <w:rFonts w:hint="eastAsia" w:ascii="Arial" w:hAnsi="Arial" w:cs="Arial"/>
                <w:sz w:val="22"/>
                <w:szCs w:val="22"/>
              </w:rPr>
              <w:t>验收标准及要求</w:t>
            </w:r>
          </w:p>
        </w:tc>
      </w:tr>
      <w:tr w14:paraId="0F5F2E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restart"/>
            <w:noWrap w:val="0"/>
            <w:vAlign w:val="center"/>
          </w:tcPr>
          <w:p w14:paraId="4311F397">
            <w:pPr>
              <w:spacing w:line="300" w:lineRule="exact"/>
              <w:jc w:val="center"/>
              <w:rPr>
                <w:rFonts w:hint="eastAsia" w:ascii="Arial" w:hAnsi="Arial" w:cs="Arial"/>
                <w:sz w:val="22"/>
                <w:szCs w:val="22"/>
              </w:rPr>
            </w:pPr>
            <w:r>
              <w:rPr>
                <w:rFonts w:hint="eastAsia" w:ascii="Arial" w:hAnsi="Arial" w:cs="Arial"/>
                <w:sz w:val="22"/>
                <w:szCs w:val="22"/>
              </w:rPr>
              <w:t>污废水</w:t>
            </w:r>
          </w:p>
        </w:tc>
        <w:tc>
          <w:tcPr>
            <w:tcW w:w="1331" w:type="dxa"/>
            <w:noWrap w:val="0"/>
            <w:vAlign w:val="center"/>
          </w:tcPr>
          <w:p w14:paraId="35F8D514">
            <w:pPr>
              <w:spacing w:line="300" w:lineRule="exact"/>
              <w:jc w:val="center"/>
              <w:rPr>
                <w:rFonts w:hint="eastAsia" w:ascii="Arial" w:hAnsi="Arial" w:cs="Arial"/>
                <w:sz w:val="22"/>
                <w:szCs w:val="22"/>
              </w:rPr>
            </w:pPr>
            <w:r>
              <w:rPr>
                <w:rFonts w:hint="eastAsia" w:ascii="Arial" w:hAnsi="Arial" w:cs="Arial"/>
                <w:sz w:val="22"/>
                <w:szCs w:val="22"/>
              </w:rPr>
              <w:t>水库管理</w:t>
            </w:r>
          </w:p>
          <w:p w14:paraId="0B3E50C9">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用房</w:t>
            </w:r>
          </w:p>
        </w:tc>
        <w:tc>
          <w:tcPr>
            <w:tcW w:w="1559" w:type="dxa"/>
            <w:noWrap w:val="0"/>
            <w:vAlign w:val="center"/>
          </w:tcPr>
          <w:p w14:paraId="527C5DF7">
            <w:pPr>
              <w:spacing w:line="300" w:lineRule="exact"/>
              <w:jc w:val="center"/>
              <w:rPr>
                <w:rFonts w:hint="eastAsia" w:ascii="Arial" w:hAnsi="Arial" w:cs="Arial"/>
                <w:sz w:val="22"/>
                <w:szCs w:val="22"/>
              </w:rPr>
            </w:pPr>
            <w:r>
              <w:rPr>
                <w:rFonts w:hint="eastAsia" w:ascii="Arial" w:hAnsi="Arial" w:cs="Arial"/>
                <w:sz w:val="22"/>
                <w:szCs w:val="22"/>
              </w:rPr>
              <w:t>化粪池</w:t>
            </w:r>
          </w:p>
        </w:tc>
        <w:tc>
          <w:tcPr>
            <w:tcW w:w="2893" w:type="dxa"/>
            <w:noWrap w:val="0"/>
            <w:vAlign w:val="center"/>
          </w:tcPr>
          <w:p w14:paraId="3BB025A9">
            <w:pPr>
              <w:spacing w:line="300" w:lineRule="exact"/>
              <w:jc w:val="center"/>
              <w:rPr>
                <w:rFonts w:hint="eastAsia" w:ascii="Arial" w:hAnsi="Arial" w:cs="Arial"/>
                <w:sz w:val="22"/>
                <w:szCs w:val="22"/>
              </w:rPr>
            </w:pPr>
            <w:r>
              <w:rPr>
                <w:rFonts w:hint="eastAsia" w:ascii="Arial" w:hAnsi="Arial" w:cs="Arial"/>
                <w:sz w:val="22"/>
                <w:szCs w:val="22"/>
              </w:rPr>
              <w:t>生活污水处理方式及去向</w:t>
            </w:r>
          </w:p>
        </w:tc>
        <w:tc>
          <w:tcPr>
            <w:tcW w:w="2635" w:type="dxa"/>
            <w:noWrap w:val="0"/>
            <w:vAlign w:val="center"/>
          </w:tcPr>
          <w:p w14:paraId="24B43610">
            <w:pPr>
              <w:spacing w:line="300" w:lineRule="exact"/>
              <w:jc w:val="center"/>
              <w:rPr>
                <w:rFonts w:hint="eastAsia" w:ascii="Arial" w:hAnsi="Arial" w:cs="Arial"/>
                <w:sz w:val="22"/>
                <w:szCs w:val="22"/>
              </w:rPr>
            </w:pPr>
            <w:r>
              <w:rPr>
                <w:rFonts w:hint="eastAsia" w:ascii="Arial" w:hAnsi="Arial" w:cs="Arial"/>
                <w:sz w:val="22"/>
                <w:szCs w:val="22"/>
              </w:rPr>
              <w:t>生活污水经化粪池收集处理后，</w:t>
            </w:r>
            <w:r>
              <w:rPr>
                <w:rFonts w:hint="eastAsia" w:ascii="Arial" w:hAnsi="Arial" w:cs="Arial"/>
                <w:sz w:val="22"/>
                <w:szCs w:val="22"/>
                <w:lang w:eastAsia="zh-CN"/>
              </w:rPr>
              <w:t>交附近居民作农肥</w:t>
            </w:r>
            <w:r>
              <w:rPr>
                <w:rFonts w:hint="eastAsia" w:ascii="Arial" w:hAnsi="Arial" w:cs="Arial"/>
                <w:sz w:val="22"/>
                <w:szCs w:val="22"/>
              </w:rPr>
              <w:t>，不外排。</w:t>
            </w:r>
          </w:p>
        </w:tc>
      </w:tr>
      <w:tr w14:paraId="3BFF29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continue"/>
            <w:noWrap w:val="0"/>
            <w:vAlign w:val="center"/>
          </w:tcPr>
          <w:p w14:paraId="41670F89">
            <w:pPr>
              <w:spacing w:line="300" w:lineRule="exact"/>
              <w:jc w:val="center"/>
              <w:rPr>
                <w:rFonts w:hint="eastAsia" w:ascii="Arial" w:hAnsi="Arial" w:cs="Arial"/>
                <w:sz w:val="22"/>
                <w:szCs w:val="22"/>
              </w:rPr>
            </w:pPr>
          </w:p>
        </w:tc>
        <w:tc>
          <w:tcPr>
            <w:tcW w:w="1331" w:type="dxa"/>
            <w:noWrap w:val="0"/>
            <w:vAlign w:val="center"/>
          </w:tcPr>
          <w:p w14:paraId="40439090">
            <w:pPr>
              <w:spacing w:line="300" w:lineRule="exact"/>
              <w:jc w:val="center"/>
              <w:rPr>
                <w:rFonts w:hint="eastAsia" w:ascii="Arial" w:hAnsi="Arial" w:cs="Arial"/>
                <w:sz w:val="22"/>
                <w:szCs w:val="22"/>
              </w:rPr>
            </w:pPr>
            <w:r>
              <w:rPr>
                <w:rFonts w:hint="eastAsia" w:ascii="Arial" w:hAnsi="Arial" w:cs="Arial"/>
                <w:sz w:val="22"/>
                <w:szCs w:val="22"/>
              </w:rPr>
              <w:t>灌区回归水</w:t>
            </w:r>
          </w:p>
        </w:tc>
        <w:tc>
          <w:tcPr>
            <w:tcW w:w="7087" w:type="dxa"/>
            <w:gridSpan w:val="3"/>
            <w:noWrap w:val="0"/>
            <w:vAlign w:val="center"/>
          </w:tcPr>
          <w:p w14:paraId="62A7D36C">
            <w:pPr>
              <w:spacing w:line="300" w:lineRule="exact"/>
              <w:jc w:val="center"/>
              <w:rPr>
                <w:rFonts w:hint="eastAsia" w:ascii="Arial" w:hAnsi="Arial" w:cs="Arial"/>
                <w:sz w:val="22"/>
                <w:szCs w:val="22"/>
              </w:rPr>
            </w:pPr>
            <w:r>
              <w:rPr>
                <w:rFonts w:hint="default" w:ascii="Arial" w:hAnsi="Arial" w:cs="Arial"/>
                <w:sz w:val="22"/>
                <w:szCs w:val="22"/>
              </w:rPr>
              <w:t>灌区应采取科学的灌溉措施，加强工程管理，减少管道漏水；</w:t>
            </w:r>
            <w:r>
              <w:rPr>
                <w:rFonts w:hint="eastAsia" w:ascii="Arial" w:hAnsi="Arial" w:cs="Arial"/>
                <w:sz w:val="22"/>
                <w:szCs w:val="22"/>
                <w:lang w:eastAsia="zh-CN"/>
              </w:rPr>
              <w:t>与当地主管部门一同</w:t>
            </w:r>
            <w:r>
              <w:rPr>
                <w:rFonts w:hint="default" w:ascii="Arial" w:hAnsi="Arial" w:cs="Arial"/>
                <w:sz w:val="22"/>
                <w:szCs w:val="22"/>
              </w:rPr>
              <w:t>推行计划用水、科学用水、合理进行水量调配；</w:t>
            </w:r>
            <w:r>
              <w:rPr>
                <w:rFonts w:hint="eastAsia" w:ascii="Arial" w:hAnsi="Arial" w:cs="Arial"/>
                <w:sz w:val="22"/>
                <w:szCs w:val="22"/>
                <w:lang w:eastAsia="zh-CN"/>
              </w:rPr>
              <w:t>协同当地农业主管部</w:t>
            </w:r>
            <w:r>
              <w:rPr>
                <w:rFonts w:hint="eastAsia" w:ascii="Arial" w:hAnsi="Arial" w:cs="Arial"/>
                <w:color w:val="auto"/>
                <w:sz w:val="22"/>
                <w:szCs w:val="22"/>
                <w:lang w:eastAsia="zh-CN"/>
              </w:rPr>
              <w:t>门，</w:t>
            </w:r>
            <w:r>
              <w:rPr>
                <w:rFonts w:hint="default" w:ascii="Arial" w:hAnsi="Arial" w:cs="Arial"/>
                <w:bCs/>
                <w:color w:val="auto"/>
                <w:sz w:val="22"/>
                <w:szCs w:val="22"/>
              </w:rPr>
              <w:t>根据《长江保护修复攻坚战行动计划》，落实化肥、农药施用量负增长行动，通过开展化肥、农药减量利用和替代利用，加大测土配方施肥推广力度，引导科学合理施肥施药，</w:t>
            </w:r>
            <w:r>
              <w:rPr>
                <w:rFonts w:hint="default" w:ascii="Arial" w:hAnsi="Arial" w:cs="Arial"/>
                <w:color w:val="auto"/>
                <w:sz w:val="22"/>
                <w:szCs w:val="22"/>
              </w:rPr>
              <w:t>降低N、P流失量。</w:t>
            </w:r>
          </w:p>
        </w:tc>
      </w:tr>
      <w:tr w14:paraId="21C3EE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noWrap w:val="0"/>
            <w:vAlign w:val="center"/>
          </w:tcPr>
          <w:p w14:paraId="4A013202">
            <w:pPr>
              <w:spacing w:line="300" w:lineRule="exact"/>
              <w:jc w:val="center"/>
              <w:rPr>
                <w:rFonts w:hint="eastAsia" w:ascii="Arial" w:hAnsi="Arial" w:cs="Arial"/>
                <w:sz w:val="22"/>
                <w:szCs w:val="22"/>
              </w:rPr>
            </w:pPr>
            <w:r>
              <w:rPr>
                <w:rFonts w:hint="eastAsia" w:ascii="Arial" w:hAnsi="Arial" w:cs="Arial"/>
                <w:sz w:val="22"/>
                <w:szCs w:val="22"/>
              </w:rPr>
              <w:t>废气</w:t>
            </w:r>
          </w:p>
        </w:tc>
        <w:tc>
          <w:tcPr>
            <w:tcW w:w="1331" w:type="dxa"/>
            <w:noWrap w:val="0"/>
            <w:vAlign w:val="center"/>
          </w:tcPr>
          <w:p w14:paraId="74C0793B">
            <w:pPr>
              <w:spacing w:line="300" w:lineRule="exact"/>
              <w:jc w:val="center"/>
              <w:rPr>
                <w:rFonts w:hint="eastAsia" w:ascii="Arial" w:hAnsi="Arial" w:cs="Arial"/>
                <w:sz w:val="22"/>
                <w:szCs w:val="22"/>
              </w:rPr>
            </w:pPr>
            <w:r>
              <w:rPr>
                <w:rFonts w:hint="eastAsia" w:ascii="Arial" w:hAnsi="Arial" w:cs="Arial"/>
                <w:sz w:val="22"/>
                <w:szCs w:val="22"/>
              </w:rPr>
              <w:t>水库管理</w:t>
            </w:r>
          </w:p>
          <w:p w14:paraId="0EAC9B8E">
            <w:pPr>
              <w:spacing w:line="300" w:lineRule="exact"/>
              <w:jc w:val="center"/>
              <w:rPr>
                <w:rFonts w:hint="eastAsia" w:ascii="Arial" w:hAnsi="Arial" w:cs="Arial"/>
                <w:sz w:val="22"/>
                <w:szCs w:val="22"/>
              </w:rPr>
            </w:pPr>
            <w:r>
              <w:rPr>
                <w:rFonts w:hint="eastAsia" w:ascii="Arial" w:hAnsi="Arial" w:cs="Arial"/>
                <w:sz w:val="22"/>
                <w:szCs w:val="22"/>
                <w:lang w:eastAsia="zh-CN"/>
              </w:rPr>
              <w:t>用房</w:t>
            </w:r>
          </w:p>
        </w:tc>
        <w:tc>
          <w:tcPr>
            <w:tcW w:w="1559" w:type="dxa"/>
            <w:noWrap w:val="0"/>
            <w:vAlign w:val="center"/>
          </w:tcPr>
          <w:p w14:paraId="5DCD0D18">
            <w:pPr>
              <w:spacing w:line="300" w:lineRule="exact"/>
              <w:jc w:val="center"/>
              <w:rPr>
                <w:rFonts w:hint="eastAsia" w:ascii="Arial" w:hAnsi="Arial" w:cs="Arial"/>
                <w:sz w:val="22"/>
                <w:szCs w:val="22"/>
              </w:rPr>
            </w:pPr>
            <w:r>
              <w:rPr>
                <w:rFonts w:hint="eastAsia" w:ascii="Arial" w:hAnsi="Arial" w:cs="Arial"/>
                <w:sz w:val="22"/>
                <w:szCs w:val="22"/>
              </w:rPr>
              <w:t>油烟净化器</w:t>
            </w:r>
          </w:p>
        </w:tc>
        <w:tc>
          <w:tcPr>
            <w:tcW w:w="2893" w:type="dxa"/>
            <w:noWrap w:val="0"/>
            <w:vAlign w:val="center"/>
          </w:tcPr>
          <w:p w14:paraId="42CD8A03">
            <w:pPr>
              <w:spacing w:line="300" w:lineRule="exact"/>
              <w:jc w:val="center"/>
              <w:rPr>
                <w:rFonts w:hint="eastAsia" w:ascii="Arial" w:hAnsi="Arial" w:cs="Arial"/>
                <w:sz w:val="22"/>
                <w:szCs w:val="22"/>
              </w:rPr>
            </w:pPr>
            <w:r>
              <w:rPr>
                <w:rFonts w:hint="eastAsia" w:ascii="Arial" w:hAnsi="Arial" w:cs="Arial"/>
                <w:sz w:val="22"/>
                <w:szCs w:val="22"/>
              </w:rPr>
              <w:t>职工食堂燃料结构，烹饪油烟处理方式及去向</w:t>
            </w:r>
          </w:p>
        </w:tc>
        <w:tc>
          <w:tcPr>
            <w:tcW w:w="2635" w:type="dxa"/>
            <w:noWrap w:val="0"/>
            <w:vAlign w:val="center"/>
          </w:tcPr>
          <w:p w14:paraId="2EC86135">
            <w:pPr>
              <w:spacing w:line="300" w:lineRule="exact"/>
              <w:jc w:val="center"/>
              <w:rPr>
                <w:rFonts w:hint="eastAsia" w:ascii="Arial" w:hAnsi="Arial" w:cs="Arial"/>
                <w:sz w:val="22"/>
                <w:szCs w:val="22"/>
              </w:rPr>
            </w:pPr>
            <w:r>
              <w:rPr>
                <w:rFonts w:hint="eastAsia" w:ascii="Arial" w:hAnsi="Arial" w:cs="Arial"/>
                <w:sz w:val="22"/>
                <w:szCs w:val="22"/>
              </w:rPr>
              <w:t>以液化石油气、电等清洁能源为燃料，食堂油烟经油烟净化器处理达标后，由专用烟道引至超屋顶外排。</w:t>
            </w:r>
          </w:p>
        </w:tc>
      </w:tr>
      <w:tr w14:paraId="4D9168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noWrap w:val="0"/>
            <w:vAlign w:val="center"/>
          </w:tcPr>
          <w:p w14:paraId="1885C503">
            <w:pPr>
              <w:spacing w:line="300" w:lineRule="exact"/>
              <w:jc w:val="center"/>
              <w:rPr>
                <w:rFonts w:hint="eastAsia" w:ascii="Arial" w:hAnsi="Arial" w:cs="Arial"/>
                <w:sz w:val="22"/>
                <w:szCs w:val="22"/>
              </w:rPr>
            </w:pPr>
            <w:r>
              <w:rPr>
                <w:rFonts w:hint="eastAsia" w:ascii="Arial" w:hAnsi="Arial" w:cs="Arial"/>
                <w:sz w:val="22"/>
                <w:szCs w:val="22"/>
              </w:rPr>
              <w:t>噪声</w:t>
            </w:r>
          </w:p>
        </w:tc>
        <w:tc>
          <w:tcPr>
            <w:tcW w:w="1331" w:type="dxa"/>
            <w:noWrap w:val="0"/>
            <w:vAlign w:val="center"/>
          </w:tcPr>
          <w:p w14:paraId="2D28F990">
            <w:pPr>
              <w:spacing w:line="300" w:lineRule="exact"/>
              <w:jc w:val="center"/>
              <w:rPr>
                <w:rFonts w:hint="eastAsia" w:ascii="Arial" w:hAnsi="Arial" w:cs="Arial"/>
                <w:sz w:val="22"/>
                <w:szCs w:val="22"/>
              </w:rPr>
            </w:pPr>
            <w:r>
              <w:rPr>
                <w:rFonts w:hint="eastAsia" w:ascii="Arial" w:hAnsi="Arial" w:cs="Arial"/>
                <w:sz w:val="22"/>
                <w:szCs w:val="22"/>
              </w:rPr>
              <w:t>枢纽工程</w:t>
            </w:r>
          </w:p>
          <w:p w14:paraId="11D44027">
            <w:pPr>
              <w:spacing w:line="300" w:lineRule="exact"/>
              <w:jc w:val="center"/>
              <w:rPr>
                <w:rFonts w:hint="eastAsia" w:ascii="Arial" w:hAnsi="Arial" w:cs="Arial"/>
                <w:sz w:val="22"/>
                <w:szCs w:val="22"/>
              </w:rPr>
            </w:pPr>
            <w:r>
              <w:rPr>
                <w:rFonts w:hint="eastAsia" w:ascii="Arial" w:hAnsi="Arial" w:cs="Arial"/>
                <w:sz w:val="22"/>
                <w:szCs w:val="22"/>
              </w:rPr>
              <w:t>场界</w:t>
            </w:r>
          </w:p>
        </w:tc>
        <w:tc>
          <w:tcPr>
            <w:tcW w:w="1559" w:type="dxa"/>
            <w:noWrap w:val="0"/>
            <w:vAlign w:val="center"/>
          </w:tcPr>
          <w:p w14:paraId="78BE79BA">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闸阀房密闭设置，上坝道路车流量小。</w:t>
            </w:r>
          </w:p>
        </w:tc>
        <w:tc>
          <w:tcPr>
            <w:tcW w:w="2893" w:type="dxa"/>
            <w:noWrap w:val="0"/>
            <w:vAlign w:val="center"/>
          </w:tcPr>
          <w:p w14:paraId="40E1A364">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枢纽工程降噪措施落实情况。</w:t>
            </w:r>
          </w:p>
        </w:tc>
        <w:tc>
          <w:tcPr>
            <w:tcW w:w="2635" w:type="dxa"/>
            <w:noWrap w:val="0"/>
            <w:vAlign w:val="center"/>
          </w:tcPr>
          <w:p w14:paraId="6002198B">
            <w:pPr>
              <w:spacing w:line="300" w:lineRule="exact"/>
              <w:jc w:val="center"/>
              <w:rPr>
                <w:rFonts w:hint="eastAsia" w:ascii="Arial" w:hAnsi="Arial" w:cs="Arial"/>
                <w:sz w:val="22"/>
                <w:szCs w:val="22"/>
              </w:rPr>
            </w:pPr>
            <w:r>
              <w:rPr>
                <w:rFonts w:hint="eastAsia" w:ascii="Arial" w:hAnsi="Arial" w:cs="Arial"/>
                <w:sz w:val="22"/>
                <w:szCs w:val="22"/>
              </w:rPr>
              <w:t>场界噪声满足</w:t>
            </w:r>
            <w:r>
              <w:rPr>
                <w:rFonts w:hint="eastAsia" w:ascii="Arial" w:cs="Arial"/>
                <w:sz w:val="22"/>
              </w:rPr>
              <w:t>《工业企业厂界环境噪声排放标准》</w:t>
            </w:r>
            <w:r>
              <w:rPr>
                <w:rFonts w:hint="eastAsia" w:ascii="Arial" w:hAnsi="Arial" w:cs="Arial"/>
                <w:sz w:val="22"/>
              </w:rPr>
              <w:t>（</w:t>
            </w:r>
            <w:r>
              <w:rPr>
                <w:rFonts w:ascii="Arial" w:hAnsi="Arial" w:cs="Arial"/>
                <w:sz w:val="22"/>
              </w:rPr>
              <w:t>GB12348-2008</w:t>
            </w:r>
            <w:r>
              <w:rPr>
                <w:rFonts w:hint="eastAsia" w:ascii="Arial" w:hAnsi="Arial" w:cs="Arial"/>
                <w:sz w:val="22"/>
              </w:rPr>
              <w:t>）</w:t>
            </w:r>
            <w:r>
              <w:rPr>
                <w:rFonts w:hint="eastAsia" w:ascii="Arial" w:cs="Arial"/>
                <w:sz w:val="22"/>
              </w:rPr>
              <w:t>中</w:t>
            </w:r>
            <w:r>
              <w:rPr>
                <w:rFonts w:hint="eastAsia" w:ascii="Arial" w:cs="Arial"/>
                <w:sz w:val="22"/>
                <w:lang w:val="en-US" w:eastAsia="zh-CN"/>
              </w:rPr>
              <w:t>1</w:t>
            </w:r>
            <w:r>
              <w:rPr>
                <w:rFonts w:hint="eastAsia" w:ascii="Arial" w:cs="Arial"/>
                <w:sz w:val="22"/>
              </w:rPr>
              <w:t>类区标准限值要求，昼间≤</w:t>
            </w:r>
            <w:r>
              <w:rPr>
                <w:rFonts w:hint="eastAsia" w:ascii="Arial" w:cs="Arial"/>
                <w:sz w:val="22"/>
                <w:lang w:val="en-US" w:eastAsia="zh-CN"/>
              </w:rPr>
              <w:t>55</w:t>
            </w:r>
            <w:r>
              <w:rPr>
                <w:rFonts w:hint="eastAsia" w:ascii="Arial" w:cs="Arial"/>
                <w:sz w:val="22"/>
              </w:rPr>
              <w:t>dB（A）、夜间≤</w:t>
            </w:r>
            <w:r>
              <w:rPr>
                <w:rFonts w:hint="eastAsia" w:ascii="Arial" w:cs="Arial"/>
                <w:sz w:val="22"/>
                <w:lang w:val="en-US" w:eastAsia="zh-CN"/>
              </w:rPr>
              <w:t>45</w:t>
            </w:r>
            <w:r>
              <w:rPr>
                <w:rFonts w:hint="eastAsia" w:ascii="Arial" w:cs="Arial"/>
                <w:sz w:val="22"/>
              </w:rPr>
              <w:t>dB（A）</w:t>
            </w:r>
          </w:p>
        </w:tc>
      </w:tr>
      <w:tr w14:paraId="4F1948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restart"/>
            <w:noWrap w:val="0"/>
            <w:vAlign w:val="center"/>
          </w:tcPr>
          <w:p w14:paraId="02D1D7C3">
            <w:pPr>
              <w:spacing w:line="300" w:lineRule="exact"/>
              <w:jc w:val="center"/>
              <w:rPr>
                <w:rFonts w:hint="eastAsia" w:ascii="Arial" w:hAnsi="Arial" w:cs="Arial"/>
                <w:sz w:val="22"/>
                <w:szCs w:val="22"/>
              </w:rPr>
            </w:pPr>
            <w:r>
              <w:rPr>
                <w:rFonts w:hint="eastAsia" w:ascii="Arial" w:hAnsi="Arial" w:cs="Arial"/>
                <w:sz w:val="22"/>
                <w:szCs w:val="22"/>
              </w:rPr>
              <w:t>固体废</w:t>
            </w:r>
          </w:p>
          <w:p w14:paraId="00315D92">
            <w:pPr>
              <w:spacing w:line="300" w:lineRule="exact"/>
              <w:jc w:val="center"/>
              <w:rPr>
                <w:rFonts w:hint="eastAsia" w:ascii="Arial" w:hAnsi="Arial" w:cs="Arial"/>
                <w:sz w:val="22"/>
                <w:szCs w:val="22"/>
              </w:rPr>
            </w:pPr>
            <w:r>
              <w:rPr>
                <w:rFonts w:hint="eastAsia" w:ascii="Arial" w:hAnsi="Arial" w:cs="Arial"/>
                <w:sz w:val="22"/>
                <w:szCs w:val="22"/>
              </w:rPr>
              <w:t>弃物</w:t>
            </w:r>
          </w:p>
        </w:tc>
        <w:tc>
          <w:tcPr>
            <w:tcW w:w="1331" w:type="dxa"/>
            <w:vMerge w:val="restart"/>
            <w:noWrap w:val="0"/>
            <w:vAlign w:val="center"/>
          </w:tcPr>
          <w:p w14:paraId="3FBF207E">
            <w:pPr>
              <w:spacing w:line="300" w:lineRule="exact"/>
              <w:jc w:val="center"/>
              <w:rPr>
                <w:rFonts w:hint="eastAsia" w:ascii="Arial" w:hAnsi="Arial" w:cs="Arial"/>
                <w:sz w:val="22"/>
                <w:szCs w:val="22"/>
              </w:rPr>
            </w:pPr>
            <w:r>
              <w:rPr>
                <w:rFonts w:hint="eastAsia" w:ascii="Arial" w:hAnsi="Arial" w:cs="Arial"/>
                <w:sz w:val="22"/>
                <w:szCs w:val="22"/>
              </w:rPr>
              <w:t>水库管理</w:t>
            </w:r>
          </w:p>
          <w:p w14:paraId="2305B01C">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用房</w:t>
            </w:r>
          </w:p>
        </w:tc>
        <w:tc>
          <w:tcPr>
            <w:tcW w:w="1559" w:type="dxa"/>
            <w:noWrap w:val="0"/>
            <w:vAlign w:val="center"/>
          </w:tcPr>
          <w:p w14:paraId="1E0254F0">
            <w:pPr>
              <w:spacing w:line="300" w:lineRule="exact"/>
              <w:jc w:val="center"/>
              <w:rPr>
                <w:rFonts w:hint="eastAsia" w:ascii="Arial" w:hAnsi="Arial" w:cs="Arial"/>
                <w:sz w:val="22"/>
                <w:szCs w:val="22"/>
              </w:rPr>
            </w:pPr>
            <w:r>
              <w:rPr>
                <w:rFonts w:hint="eastAsia" w:ascii="Arial" w:hAnsi="Arial" w:cs="Arial"/>
                <w:sz w:val="22"/>
                <w:szCs w:val="22"/>
              </w:rPr>
              <w:t>垃圾桶</w:t>
            </w:r>
          </w:p>
        </w:tc>
        <w:tc>
          <w:tcPr>
            <w:tcW w:w="2893" w:type="dxa"/>
            <w:noWrap w:val="0"/>
            <w:vAlign w:val="center"/>
          </w:tcPr>
          <w:p w14:paraId="515CBCB3">
            <w:pPr>
              <w:spacing w:line="300" w:lineRule="exact"/>
              <w:jc w:val="center"/>
              <w:rPr>
                <w:rFonts w:hint="eastAsia" w:ascii="Arial" w:hAnsi="Arial" w:cs="Arial"/>
                <w:sz w:val="22"/>
                <w:szCs w:val="22"/>
              </w:rPr>
            </w:pPr>
            <w:r>
              <w:rPr>
                <w:rFonts w:hint="eastAsia" w:ascii="Arial" w:hAnsi="Arial" w:cs="Arial"/>
                <w:sz w:val="22"/>
                <w:szCs w:val="22"/>
              </w:rPr>
              <w:t>职工生活垃圾处理方式及去向</w:t>
            </w:r>
          </w:p>
        </w:tc>
        <w:tc>
          <w:tcPr>
            <w:tcW w:w="2635" w:type="dxa"/>
            <w:noWrap w:val="0"/>
            <w:vAlign w:val="center"/>
          </w:tcPr>
          <w:p w14:paraId="16A19814">
            <w:pPr>
              <w:spacing w:line="300" w:lineRule="exact"/>
              <w:jc w:val="center"/>
              <w:rPr>
                <w:rFonts w:hint="eastAsia" w:ascii="Arial" w:hAnsi="Arial" w:cs="Arial"/>
                <w:sz w:val="22"/>
                <w:szCs w:val="22"/>
              </w:rPr>
            </w:pPr>
            <w:r>
              <w:rPr>
                <w:rFonts w:hint="eastAsia" w:ascii="Arial" w:hAnsi="Arial" w:cs="Arial"/>
                <w:sz w:val="22"/>
                <w:szCs w:val="22"/>
              </w:rPr>
              <w:t>经垃圾桶集中收集后，交当地环卫部门统一清运处置</w:t>
            </w:r>
          </w:p>
        </w:tc>
      </w:tr>
      <w:tr w14:paraId="7C1305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continue"/>
            <w:noWrap w:val="0"/>
            <w:vAlign w:val="center"/>
          </w:tcPr>
          <w:p w14:paraId="41707B62">
            <w:pPr>
              <w:spacing w:line="300" w:lineRule="exact"/>
              <w:jc w:val="center"/>
              <w:rPr>
                <w:rFonts w:hint="eastAsia" w:ascii="Arial" w:hAnsi="Arial" w:cs="Arial"/>
                <w:sz w:val="22"/>
                <w:szCs w:val="22"/>
              </w:rPr>
            </w:pPr>
          </w:p>
        </w:tc>
        <w:tc>
          <w:tcPr>
            <w:tcW w:w="1331" w:type="dxa"/>
            <w:vMerge w:val="continue"/>
            <w:noWrap w:val="0"/>
            <w:vAlign w:val="center"/>
          </w:tcPr>
          <w:p w14:paraId="6C6BABF4">
            <w:pPr>
              <w:spacing w:line="300" w:lineRule="exact"/>
              <w:jc w:val="center"/>
              <w:rPr>
                <w:rFonts w:hint="eastAsia" w:ascii="Arial" w:hAnsi="Arial" w:cs="Arial"/>
                <w:sz w:val="22"/>
                <w:szCs w:val="22"/>
              </w:rPr>
            </w:pPr>
          </w:p>
        </w:tc>
        <w:tc>
          <w:tcPr>
            <w:tcW w:w="1559" w:type="dxa"/>
            <w:noWrap w:val="0"/>
            <w:vAlign w:val="center"/>
          </w:tcPr>
          <w:p w14:paraId="7EFE18B3">
            <w:pPr>
              <w:spacing w:line="300" w:lineRule="exact"/>
              <w:jc w:val="center"/>
              <w:rPr>
                <w:rFonts w:hint="eastAsia" w:ascii="Arial" w:hAnsi="Arial" w:cs="Arial"/>
                <w:sz w:val="22"/>
                <w:szCs w:val="22"/>
              </w:rPr>
            </w:pPr>
            <w:r>
              <w:rPr>
                <w:rFonts w:hint="eastAsia" w:ascii="Arial" w:hAnsi="Arial" w:cs="Arial"/>
                <w:sz w:val="22"/>
                <w:szCs w:val="22"/>
              </w:rPr>
              <w:t>/</w:t>
            </w:r>
          </w:p>
        </w:tc>
        <w:tc>
          <w:tcPr>
            <w:tcW w:w="2893" w:type="dxa"/>
            <w:noWrap w:val="0"/>
            <w:vAlign w:val="center"/>
          </w:tcPr>
          <w:p w14:paraId="235145CE">
            <w:pPr>
              <w:spacing w:line="300" w:lineRule="exact"/>
              <w:jc w:val="center"/>
              <w:rPr>
                <w:rFonts w:hint="eastAsia" w:ascii="Arial" w:hAnsi="Arial" w:cs="Arial"/>
                <w:sz w:val="22"/>
                <w:szCs w:val="22"/>
              </w:rPr>
            </w:pPr>
            <w:r>
              <w:rPr>
                <w:rFonts w:hint="eastAsia" w:ascii="Arial" w:hAnsi="Arial" w:cs="Arial"/>
                <w:sz w:val="22"/>
                <w:szCs w:val="22"/>
              </w:rPr>
              <w:t>餐厨垃圾处理方式及去向</w:t>
            </w:r>
          </w:p>
        </w:tc>
        <w:tc>
          <w:tcPr>
            <w:tcW w:w="2635" w:type="dxa"/>
            <w:noWrap w:val="0"/>
            <w:vAlign w:val="center"/>
          </w:tcPr>
          <w:p w14:paraId="6600114C">
            <w:pPr>
              <w:spacing w:line="300" w:lineRule="exact"/>
              <w:jc w:val="center"/>
              <w:rPr>
                <w:rFonts w:hint="eastAsia" w:ascii="Arial" w:hAnsi="Arial" w:cs="Arial"/>
                <w:sz w:val="22"/>
                <w:szCs w:val="22"/>
              </w:rPr>
            </w:pPr>
            <w:r>
              <w:rPr>
                <w:rFonts w:hint="eastAsia" w:ascii="Arial" w:hAnsi="Arial" w:cs="Arial"/>
                <w:sz w:val="22"/>
                <w:szCs w:val="22"/>
              </w:rPr>
              <w:t>桶装收集后，交有资质单位收运处置</w:t>
            </w:r>
          </w:p>
        </w:tc>
      </w:tr>
      <w:tr w14:paraId="3FA16C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continue"/>
            <w:noWrap w:val="0"/>
            <w:vAlign w:val="center"/>
          </w:tcPr>
          <w:p w14:paraId="70715A93">
            <w:pPr>
              <w:spacing w:line="300" w:lineRule="exact"/>
              <w:jc w:val="center"/>
              <w:rPr>
                <w:rFonts w:hint="eastAsia" w:ascii="Arial" w:hAnsi="Arial" w:cs="Arial"/>
                <w:sz w:val="22"/>
                <w:szCs w:val="22"/>
              </w:rPr>
            </w:pPr>
          </w:p>
        </w:tc>
        <w:tc>
          <w:tcPr>
            <w:tcW w:w="1331" w:type="dxa"/>
            <w:noWrap w:val="0"/>
            <w:vAlign w:val="center"/>
          </w:tcPr>
          <w:p w14:paraId="39D4B1A8">
            <w:pPr>
              <w:spacing w:line="300" w:lineRule="exact"/>
              <w:jc w:val="center"/>
              <w:rPr>
                <w:rFonts w:hint="eastAsia" w:ascii="Arial" w:hAnsi="Arial" w:cs="Arial"/>
                <w:sz w:val="22"/>
                <w:szCs w:val="22"/>
              </w:rPr>
            </w:pPr>
            <w:r>
              <w:rPr>
                <w:rFonts w:hint="eastAsia" w:ascii="Arial" w:hAnsi="Arial" w:cs="Arial"/>
                <w:sz w:val="22"/>
                <w:szCs w:val="22"/>
              </w:rPr>
              <w:t>库区</w:t>
            </w:r>
          </w:p>
        </w:tc>
        <w:tc>
          <w:tcPr>
            <w:tcW w:w="1559" w:type="dxa"/>
            <w:noWrap w:val="0"/>
            <w:vAlign w:val="center"/>
          </w:tcPr>
          <w:p w14:paraId="1C4B2BC4">
            <w:pPr>
              <w:spacing w:line="300" w:lineRule="exact"/>
              <w:jc w:val="center"/>
              <w:rPr>
                <w:rFonts w:hint="eastAsia" w:ascii="Arial" w:hAnsi="Arial" w:cs="Arial"/>
                <w:sz w:val="22"/>
                <w:szCs w:val="22"/>
              </w:rPr>
            </w:pPr>
            <w:r>
              <w:rPr>
                <w:rFonts w:hint="eastAsia" w:ascii="Arial" w:hAnsi="Arial" w:cs="Arial"/>
                <w:sz w:val="22"/>
                <w:szCs w:val="22"/>
              </w:rPr>
              <w:t>清捞漂浮垃圾</w:t>
            </w:r>
          </w:p>
        </w:tc>
        <w:tc>
          <w:tcPr>
            <w:tcW w:w="2893" w:type="dxa"/>
            <w:noWrap w:val="0"/>
            <w:vAlign w:val="center"/>
          </w:tcPr>
          <w:p w14:paraId="55518BE9">
            <w:pPr>
              <w:spacing w:line="300" w:lineRule="exact"/>
              <w:jc w:val="center"/>
              <w:rPr>
                <w:rFonts w:hint="eastAsia" w:ascii="Arial" w:hAnsi="Arial" w:cs="Arial"/>
                <w:sz w:val="22"/>
                <w:szCs w:val="22"/>
              </w:rPr>
            </w:pPr>
            <w:r>
              <w:rPr>
                <w:rFonts w:hint="eastAsia" w:ascii="Arial" w:hAnsi="Arial" w:cs="Arial"/>
                <w:sz w:val="22"/>
                <w:szCs w:val="22"/>
              </w:rPr>
              <w:t>库区水面清洁度及清捞废物处理方式及去向</w:t>
            </w:r>
          </w:p>
        </w:tc>
        <w:tc>
          <w:tcPr>
            <w:tcW w:w="2635" w:type="dxa"/>
            <w:noWrap w:val="0"/>
            <w:vAlign w:val="center"/>
          </w:tcPr>
          <w:p w14:paraId="4B8D7C3F">
            <w:pPr>
              <w:spacing w:line="300" w:lineRule="exact"/>
              <w:jc w:val="center"/>
              <w:rPr>
                <w:rFonts w:hint="eastAsia" w:ascii="Arial" w:hAnsi="Arial" w:cs="Arial"/>
                <w:sz w:val="22"/>
                <w:szCs w:val="22"/>
              </w:rPr>
            </w:pPr>
            <w:r>
              <w:rPr>
                <w:rFonts w:hint="eastAsia" w:ascii="Arial" w:hAnsi="Arial" w:cs="Arial"/>
                <w:sz w:val="22"/>
                <w:szCs w:val="22"/>
                <w:lang w:eastAsia="zh-CN"/>
              </w:rPr>
              <w:t>定期打捞，</w:t>
            </w:r>
            <w:r>
              <w:rPr>
                <w:rFonts w:hint="eastAsia" w:ascii="Arial" w:hAnsi="Arial" w:cs="Arial"/>
                <w:sz w:val="22"/>
                <w:szCs w:val="22"/>
              </w:rPr>
              <w:t>集中收集后，交当地环卫部门统一清运处置。</w:t>
            </w:r>
          </w:p>
        </w:tc>
      </w:tr>
      <w:tr w14:paraId="55D297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restart"/>
            <w:noWrap w:val="0"/>
            <w:vAlign w:val="center"/>
          </w:tcPr>
          <w:p w14:paraId="2838B96D">
            <w:pPr>
              <w:spacing w:line="300" w:lineRule="exact"/>
              <w:jc w:val="center"/>
              <w:rPr>
                <w:rFonts w:hint="eastAsia" w:ascii="Arial" w:hAnsi="Arial" w:cs="Arial"/>
                <w:sz w:val="22"/>
                <w:szCs w:val="22"/>
              </w:rPr>
            </w:pPr>
            <w:r>
              <w:rPr>
                <w:rFonts w:hint="eastAsia" w:ascii="Arial" w:hAnsi="Arial" w:cs="Arial"/>
                <w:sz w:val="22"/>
                <w:szCs w:val="22"/>
              </w:rPr>
              <w:t>地表水</w:t>
            </w:r>
          </w:p>
          <w:p w14:paraId="49274134">
            <w:pPr>
              <w:spacing w:line="300" w:lineRule="exact"/>
              <w:jc w:val="center"/>
              <w:rPr>
                <w:rFonts w:hint="eastAsia" w:ascii="Arial" w:hAnsi="Arial" w:cs="Arial"/>
                <w:sz w:val="22"/>
                <w:szCs w:val="22"/>
              </w:rPr>
            </w:pPr>
            <w:r>
              <w:rPr>
                <w:rFonts w:hint="eastAsia" w:ascii="Arial" w:hAnsi="Arial" w:cs="Arial"/>
                <w:sz w:val="22"/>
                <w:szCs w:val="22"/>
              </w:rPr>
              <w:t>环境</w:t>
            </w:r>
          </w:p>
        </w:tc>
        <w:tc>
          <w:tcPr>
            <w:tcW w:w="1331" w:type="dxa"/>
            <w:noWrap w:val="0"/>
            <w:vAlign w:val="center"/>
          </w:tcPr>
          <w:p w14:paraId="55FB0903">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库区</w:t>
            </w:r>
          </w:p>
        </w:tc>
        <w:tc>
          <w:tcPr>
            <w:tcW w:w="1559" w:type="dxa"/>
            <w:noWrap w:val="0"/>
            <w:vAlign w:val="center"/>
          </w:tcPr>
          <w:p w14:paraId="4F1DE283">
            <w:pPr>
              <w:spacing w:line="300" w:lineRule="exact"/>
              <w:jc w:val="center"/>
              <w:rPr>
                <w:rFonts w:hint="eastAsia" w:ascii="Arial" w:hAnsi="Arial" w:eastAsia="宋体" w:cs="Arial"/>
                <w:sz w:val="22"/>
                <w:szCs w:val="22"/>
                <w:lang w:eastAsia="zh-CN"/>
              </w:rPr>
            </w:pPr>
            <w:r>
              <w:rPr>
                <w:rFonts w:hint="eastAsia" w:ascii="Arial" w:hAnsi="Arial" w:cs="Arial"/>
                <w:sz w:val="22"/>
                <w:szCs w:val="22"/>
              </w:rPr>
              <w:t>划定</w:t>
            </w:r>
            <w:r>
              <w:rPr>
                <w:rFonts w:hint="eastAsia" w:ascii="Arial" w:hAnsi="Arial" w:cs="Arial"/>
                <w:sz w:val="22"/>
                <w:szCs w:val="22"/>
                <w:lang w:eastAsia="zh-CN"/>
              </w:rPr>
              <w:t>饮用水水源保护区</w:t>
            </w:r>
          </w:p>
        </w:tc>
        <w:tc>
          <w:tcPr>
            <w:tcW w:w="2893" w:type="dxa"/>
            <w:noWrap w:val="0"/>
            <w:vAlign w:val="center"/>
          </w:tcPr>
          <w:p w14:paraId="5F15CEAE">
            <w:pPr>
              <w:spacing w:line="300" w:lineRule="exact"/>
              <w:jc w:val="center"/>
              <w:rPr>
                <w:rFonts w:hint="eastAsia" w:ascii="Arial" w:hAnsi="Arial" w:cs="Arial"/>
                <w:sz w:val="22"/>
                <w:szCs w:val="22"/>
              </w:rPr>
            </w:pPr>
            <w:r>
              <w:rPr>
                <w:rFonts w:hint="eastAsia" w:ascii="Arial" w:cs="Arial"/>
                <w:sz w:val="22"/>
                <w:szCs w:val="22"/>
              </w:rPr>
              <w:t>《地表水环境质量标准》</w:t>
            </w:r>
            <w:r>
              <w:rPr>
                <w:rFonts w:ascii="宋体" w:hAnsi="宋体" w:cs="Arial"/>
                <w:sz w:val="22"/>
                <w:szCs w:val="22"/>
              </w:rPr>
              <w:t>(</w:t>
            </w:r>
            <w:r>
              <w:rPr>
                <w:rFonts w:ascii="Arial" w:cs="Arial"/>
                <w:sz w:val="22"/>
                <w:szCs w:val="22"/>
              </w:rPr>
              <w:t>GB3838-2002</w:t>
            </w:r>
            <w:r>
              <w:rPr>
                <w:rFonts w:ascii="宋体" w:hAnsi="宋体" w:cs="Arial"/>
                <w:sz w:val="22"/>
                <w:szCs w:val="22"/>
              </w:rPr>
              <w:t>)</w:t>
            </w:r>
            <w:r>
              <w:rPr>
                <w:rFonts w:hint="eastAsia" w:ascii="Arial" w:cs="Arial"/>
                <w:sz w:val="22"/>
                <w:szCs w:val="22"/>
              </w:rPr>
              <w:t>表</w:t>
            </w:r>
            <w:r>
              <w:rPr>
                <w:rFonts w:ascii="Arial" w:cs="Arial"/>
                <w:sz w:val="22"/>
                <w:szCs w:val="22"/>
              </w:rPr>
              <w:t>1</w:t>
            </w:r>
            <w:r>
              <w:rPr>
                <w:rFonts w:hint="eastAsia" w:ascii="Arial" w:cs="Arial"/>
                <w:sz w:val="22"/>
                <w:szCs w:val="22"/>
              </w:rPr>
              <w:t>的基本项目（</w:t>
            </w:r>
            <w:r>
              <w:rPr>
                <w:rFonts w:ascii="Arial" w:cs="Arial"/>
                <w:sz w:val="22"/>
                <w:szCs w:val="22"/>
              </w:rPr>
              <w:t>2</w:t>
            </w:r>
            <w:r>
              <w:rPr>
                <w:rFonts w:hint="eastAsia" w:ascii="Arial" w:cs="Arial"/>
                <w:sz w:val="22"/>
                <w:szCs w:val="22"/>
                <w:lang w:val="en-US" w:eastAsia="zh-CN"/>
              </w:rPr>
              <w:t>3</w:t>
            </w:r>
            <w:r>
              <w:rPr>
                <w:rFonts w:hint="eastAsia" w:ascii="Arial" w:cs="Arial"/>
                <w:sz w:val="22"/>
                <w:szCs w:val="22"/>
              </w:rPr>
              <w:t>项</w:t>
            </w:r>
            <w:r>
              <w:rPr>
                <w:rFonts w:hint="eastAsia" w:ascii="Arial" w:cs="Arial"/>
                <w:sz w:val="22"/>
                <w:szCs w:val="22"/>
                <w:lang w:eastAsia="zh-CN"/>
              </w:rPr>
              <w:t>，</w:t>
            </w:r>
            <w:r>
              <w:rPr>
                <w:rFonts w:hint="eastAsia" w:ascii="Arial" w:cs="Arial"/>
                <w:sz w:val="22"/>
                <w:szCs w:val="22"/>
                <w:lang w:val="en-US" w:eastAsia="zh-CN"/>
              </w:rPr>
              <w:t>COD除外</w:t>
            </w:r>
            <w:r>
              <w:rPr>
                <w:rFonts w:hint="eastAsia" w:ascii="Arial" w:cs="Arial"/>
                <w:sz w:val="22"/>
                <w:szCs w:val="22"/>
              </w:rPr>
              <w:t>）、表</w:t>
            </w:r>
            <w:r>
              <w:rPr>
                <w:rFonts w:ascii="Arial" w:cs="Arial"/>
                <w:sz w:val="22"/>
                <w:szCs w:val="22"/>
              </w:rPr>
              <w:t>2</w:t>
            </w:r>
            <w:r>
              <w:rPr>
                <w:rFonts w:hint="eastAsia" w:ascii="Arial" w:cs="Arial"/>
                <w:sz w:val="22"/>
                <w:szCs w:val="22"/>
              </w:rPr>
              <w:t>的补充项目（</w:t>
            </w:r>
            <w:r>
              <w:rPr>
                <w:rFonts w:ascii="Arial" w:cs="Arial"/>
                <w:sz w:val="22"/>
                <w:szCs w:val="22"/>
              </w:rPr>
              <w:t>5</w:t>
            </w:r>
            <w:r>
              <w:rPr>
                <w:rFonts w:hint="eastAsia" w:ascii="Arial" w:cs="Arial"/>
                <w:sz w:val="22"/>
                <w:szCs w:val="22"/>
              </w:rPr>
              <w:t>项目）和表</w:t>
            </w:r>
            <w:r>
              <w:rPr>
                <w:rFonts w:ascii="Arial" w:cs="Arial"/>
                <w:sz w:val="22"/>
                <w:szCs w:val="22"/>
              </w:rPr>
              <w:t>3</w:t>
            </w:r>
            <w:r>
              <w:rPr>
                <w:rFonts w:hint="eastAsia" w:ascii="Arial" w:cs="Arial"/>
                <w:sz w:val="22"/>
                <w:szCs w:val="22"/>
              </w:rPr>
              <w:t>的优选特定项目（前</w:t>
            </w:r>
            <w:r>
              <w:rPr>
                <w:rFonts w:ascii="Arial" w:cs="Arial"/>
                <w:sz w:val="22"/>
                <w:szCs w:val="22"/>
              </w:rPr>
              <w:t>35</w:t>
            </w:r>
            <w:r>
              <w:rPr>
                <w:rFonts w:hint="eastAsia" w:ascii="Arial" w:cs="Arial"/>
                <w:sz w:val="22"/>
                <w:szCs w:val="22"/>
              </w:rPr>
              <w:t>项），共</w:t>
            </w:r>
            <w:r>
              <w:rPr>
                <w:rFonts w:ascii="Arial" w:cs="Arial"/>
                <w:sz w:val="22"/>
                <w:szCs w:val="22"/>
              </w:rPr>
              <w:t>6</w:t>
            </w:r>
            <w:r>
              <w:rPr>
                <w:rFonts w:hint="eastAsia" w:ascii="Arial" w:cs="Arial"/>
                <w:sz w:val="22"/>
                <w:szCs w:val="22"/>
                <w:lang w:val="en-US" w:eastAsia="zh-CN"/>
              </w:rPr>
              <w:t>5</w:t>
            </w:r>
            <w:r>
              <w:rPr>
                <w:rFonts w:hint="eastAsia" w:ascii="Arial" w:cs="Arial"/>
                <w:sz w:val="22"/>
                <w:szCs w:val="22"/>
              </w:rPr>
              <w:t>项</w:t>
            </w:r>
            <w:r>
              <w:rPr>
                <w:rFonts w:hint="eastAsia" w:ascii="Arial" w:cs="Arial"/>
                <w:sz w:val="22"/>
                <w:szCs w:val="22"/>
                <w:lang w:eastAsia="zh-CN"/>
              </w:rPr>
              <w:t>因子</w:t>
            </w:r>
            <w:r>
              <w:rPr>
                <w:rFonts w:hint="eastAsia" w:ascii="Arial" w:cs="Arial"/>
                <w:sz w:val="22"/>
                <w:szCs w:val="22"/>
              </w:rPr>
              <w:t>浓度的达标情况</w:t>
            </w:r>
          </w:p>
        </w:tc>
        <w:tc>
          <w:tcPr>
            <w:tcW w:w="2635" w:type="dxa"/>
            <w:noWrap w:val="0"/>
            <w:vAlign w:val="center"/>
          </w:tcPr>
          <w:p w14:paraId="0196F6F0">
            <w:pPr>
              <w:spacing w:line="300" w:lineRule="exact"/>
              <w:jc w:val="center"/>
              <w:rPr>
                <w:rFonts w:hint="eastAsia" w:ascii="Arial" w:hAnsi="Arial" w:cs="Arial"/>
                <w:sz w:val="22"/>
                <w:szCs w:val="22"/>
              </w:rPr>
            </w:pPr>
            <w:r>
              <w:rPr>
                <w:rFonts w:hint="eastAsia" w:ascii="Arial" w:hAnsi="Arial" w:cs="Arial"/>
                <w:sz w:val="22"/>
                <w:szCs w:val="22"/>
              </w:rPr>
              <w:t>满足《地表水环境质标准》（</w:t>
            </w:r>
            <w:r>
              <w:rPr>
                <w:rFonts w:ascii="Arial" w:hAnsi="Arial" w:cs="Arial"/>
                <w:sz w:val="22"/>
                <w:szCs w:val="22"/>
              </w:rPr>
              <w:t>GB3838-2002</w:t>
            </w:r>
            <w:r>
              <w:rPr>
                <w:rFonts w:hint="eastAsia" w:ascii="Arial" w:hAnsi="Arial" w:cs="Arial"/>
                <w:sz w:val="22"/>
                <w:szCs w:val="22"/>
              </w:rPr>
              <w:t>）中</w:t>
            </w:r>
            <w:r>
              <w:rPr>
                <w:rFonts w:hint="eastAsia" w:ascii="宋体" w:hAnsi="宋体" w:eastAsia="宋体" w:cs="宋体"/>
                <w:sz w:val="22"/>
                <w:szCs w:val="22"/>
              </w:rPr>
              <w:t>Ⅲ</w:t>
            </w:r>
            <w:r>
              <w:rPr>
                <w:rFonts w:hint="eastAsia" w:ascii="Arial" w:hAnsi="Arial" w:cs="Arial"/>
                <w:sz w:val="22"/>
                <w:szCs w:val="22"/>
              </w:rPr>
              <w:t>类标准。</w:t>
            </w:r>
          </w:p>
        </w:tc>
      </w:tr>
      <w:tr w14:paraId="1961E1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continue"/>
            <w:noWrap w:val="0"/>
            <w:vAlign w:val="center"/>
          </w:tcPr>
          <w:p w14:paraId="53AA6AEF">
            <w:pPr>
              <w:spacing w:line="300" w:lineRule="exact"/>
              <w:jc w:val="center"/>
              <w:rPr>
                <w:rFonts w:hint="eastAsia" w:ascii="Arial" w:hAnsi="Arial" w:cs="Arial"/>
                <w:sz w:val="22"/>
                <w:szCs w:val="22"/>
              </w:rPr>
            </w:pPr>
          </w:p>
        </w:tc>
        <w:tc>
          <w:tcPr>
            <w:tcW w:w="1331" w:type="dxa"/>
            <w:noWrap w:val="0"/>
            <w:vAlign w:val="center"/>
          </w:tcPr>
          <w:p w14:paraId="6ADA4AE3">
            <w:pPr>
              <w:spacing w:line="300" w:lineRule="exact"/>
              <w:jc w:val="center"/>
              <w:rPr>
                <w:rFonts w:hint="eastAsia" w:ascii="Arial" w:hAnsi="Arial" w:cs="Arial"/>
                <w:sz w:val="22"/>
                <w:szCs w:val="22"/>
              </w:rPr>
            </w:pPr>
            <w:r>
              <w:rPr>
                <w:rFonts w:hint="eastAsia" w:ascii="Arial" w:hAnsi="Arial" w:cs="Arial"/>
                <w:sz w:val="22"/>
                <w:szCs w:val="22"/>
              </w:rPr>
              <w:t>库区</w:t>
            </w:r>
          </w:p>
        </w:tc>
        <w:tc>
          <w:tcPr>
            <w:tcW w:w="1559" w:type="dxa"/>
            <w:vMerge w:val="restart"/>
            <w:noWrap w:val="0"/>
            <w:vAlign w:val="center"/>
          </w:tcPr>
          <w:p w14:paraId="4796298C">
            <w:pPr>
              <w:spacing w:line="300" w:lineRule="exact"/>
              <w:jc w:val="center"/>
              <w:rPr>
                <w:rFonts w:hint="eastAsia" w:ascii="Arial" w:hAnsi="Arial" w:cs="Arial"/>
                <w:sz w:val="22"/>
                <w:szCs w:val="22"/>
              </w:rPr>
            </w:pPr>
            <w:r>
              <w:rPr>
                <w:rFonts w:hint="eastAsia" w:ascii="Arial" w:hAnsi="Arial" w:cs="Arial"/>
                <w:sz w:val="22"/>
                <w:szCs w:val="22"/>
              </w:rPr>
              <w:t>进行水质保护</w:t>
            </w:r>
          </w:p>
        </w:tc>
        <w:tc>
          <w:tcPr>
            <w:tcW w:w="2893" w:type="dxa"/>
            <w:noWrap w:val="0"/>
            <w:vAlign w:val="center"/>
          </w:tcPr>
          <w:p w14:paraId="7A283820">
            <w:pPr>
              <w:spacing w:line="300" w:lineRule="exact"/>
              <w:jc w:val="center"/>
              <w:rPr>
                <w:rFonts w:ascii="宋体" w:hAnsi="宋体" w:cs="Arial"/>
                <w:sz w:val="22"/>
                <w:szCs w:val="22"/>
              </w:rPr>
            </w:pPr>
            <w:r>
              <w:rPr>
                <w:rFonts w:hint="eastAsia" w:ascii="Arial" w:hAnsi="Arial" w:cs="Arial"/>
                <w:color w:val="auto"/>
                <w:sz w:val="22"/>
                <w:szCs w:val="22"/>
                <w:lang w:eastAsia="zh-CN"/>
              </w:rPr>
              <w:t>按照</w:t>
            </w:r>
            <w:r>
              <w:rPr>
                <w:rFonts w:hint="eastAsia" w:ascii="Arial" w:hAnsi="Arial" w:cs="Arial"/>
                <w:sz w:val="22"/>
                <w:szCs w:val="22"/>
              </w:rPr>
              <w:t>《饮用水水源保护区划分技术规范》（</w:t>
            </w:r>
            <w:r>
              <w:rPr>
                <w:rFonts w:ascii="Arial" w:hAnsi="Arial" w:cs="Arial"/>
                <w:sz w:val="22"/>
                <w:szCs w:val="22"/>
              </w:rPr>
              <w:t>HJ338-2018</w:t>
            </w:r>
            <w:r>
              <w:rPr>
                <w:rFonts w:hint="eastAsia" w:ascii="Arial" w:hAnsi="Arial" w:cs="Arial"/>
                <w:sz w:val="22"/>
                <w:szCs w:val="22"/>
              </w:rPr>
              <w:t>）</w:t>
            </w:r>
            <w:r>
              <w:rPr>
                <w:rFonts w:hint="eastAsia" w:ascii="Arial" w:hAnsi="Arial" w:cs="Arial"/>
                <w:sz w:val="22"/>
                <w:szCs w:val="22"/>
                <w:lang w:eastAsia="zh-CN"/>
              </w:rPr>
              <w:t>划定饮用水水源保护区，落实库底清理措施，并按照《中华人民共和国水污染防治法》、《饮用水水源保护区污染防治管理规定》（环境保护令第16号）、《关于进一步加强饮用水水源安全保障工作的通知》（环办〔2009〕30号）、《重庆市水资源管理条例》（重庆市人民代表大会常务委员会公告</w:t>
            </w:r>
            <w:r>
              <w:rPr>
                <w:rFonts w:hint="default" w:ascii="Arial" w:hAnsi="Arial" w:eastAsia="宋体" w:cs="Arial"/>
                <w:sz w:val="22"/>
                <w:szCs w:val="22"/>
                <w:lang w:eastAsia="zh-CN"/>
              </w:rPr>
              <w:t>〔</w:t>
            </w:r>
            <w:r>
              <w:rPr>
                <w:rFonts w:hint="default" w:ascii="Arial" w:hAnsi="Arial" w:eastAsia="宋体" w:cs="Arial"/>
                <w:sz w:val="22"/>
                <w:szCs w:val="22"/>
                <w:lang w:val="en-US" w:eastAsia="zh-CN"/>
              </w:rPr>
              <w:t>2015</w:t>
            </w:r>
            <w:r>
              <w:rPr>
                <w:rFonts w:hint="default" w:ascii="Arial" w:hAnsi="Arial" w:eastAsia="宋体" w:cs="Arial"/>
                <w:sz w:val="22"/>
                <w:szCs w:val="22"/>
                <w:lang w:eastAsia="zh-CN"/>
              </w:rPr>
              <w:t>〕第</w:t>
            </w:r>
            <w:r>
              <w:rPr>
                <w:rFonts w:hint="default" w:ascii="Arial" w:hAnsi="Arial" w:eastAsia="宋体" w:cs="Arial"/>
                <w:sz w:val="22"/>
                <w:szCs w:val="22"/>
                <w:lang w:val="en-US" w:eastAsia="zh-CN"/>
              </w:rPr>
              <w:t>14号</w:t>
            </w:r>
            <w:r>
              <w:rPr>
                <w:rFonts w:hint="eastAsia" w:ascii="宋体" w:hAnsi="宋体" w:eastAsia="宋体" w:cs="宋体"/>
                <w:sz w:val="22"/>
                <w:szCs w:val="22"/>
                <w:lang w:val="en-US" w:eastAsia="zh-CN"/>
              </w:rPr>
              <w:t>）</w:t>
            </w:r>
            <w:r>
              <w:rPr>
                <w:rFonts w:hint="eastAsia" w:ascii="Arial" w:hAnsi="Arial" w:cs="Arial"/>
                <w:sz w:val="22"/>
                <w:szCs w:val="22"/>
                <w:lang w:eastAsia="zh-CN"/>
              </w:rPr>
              <w:t>、《重庆市人民政府关于加强集中式饮用水源保护工作的通知》（渝府发〔2012〕79号）、</w:t>
            </w:r>
            <w:r>
              <w:rPr>
                <w:rFonts w:hint="default" w:ascii="Arial" w:hAnsi="Arial" w:cs="Arial"/>
                <w:sz w:val="22"/>
                <w:szCs w:val="22"/>
              </w:rPr>
              <w:t>《集中式饮用水水源环境保护指南（试行）》（环办〔2012〕50 号）</w:t>
            </w:r>
            <w:r>
              <w:rPr>
                <w:rFonts w:hint="eastAsia" w:ascii="Arial" w:hAnsi="Arial" w:cs="Arial"/>
                <w:sz w:val="22"/>
                <w:szCs w:val="22"/>
                <w:lang w:eastAsia="zh-CN"/>
              </w:rPr>
              <w:t>等文件要求，落实水源地水质保护措施。</w:t>
            </w:r>
          </w:p>
        </w:tc>
        <w:tc>
          <w:tcPr>
            <w:tcW w:w="2635" w:type="dxa"/>
            <w:noWrap w:val="0"/>
            <w:vAlign w:val="center"/>
          </w:tcPr>
          <w:p w14:paraId="2AB414CF">
            <w:pPr>
              <w:spacing w:line="300" w:lineRule="exact"/>
              <w:jc w:val="center"/>
              <w:rPr>
                <w:rFonts w:hint="eastAsia" w:ascii="Arial" w:hAnsi="Arial" w:eastAsia="宋体" w:cs="Arial"/>
                <w:sz w:val="22"/>
                <w:szCs w:val="22"/>
                <w:lang w:eastAsia="zh-CN"/>
              </w:rPr>
            </w:pPr>
            <w:r>
              <w:rPr>
                <w:rFonts w:hint="eastAsia" w:ascii="Arial" w:hAnsi="Arial" w:cs="Arial"/>
                <w:sz w:val="22"/>
                <w:szCs w:val="22"/>
              </w:rPr>
              <w:t>确保库区水质不受污染，满足饮用水</w:t>
            </w:r>
            <w:r>
              <w:rPr>
                <w:rFonts w:hint="eastAsia" w:ascii="Arial" w:hAnsi="Arial" w:cs="Arial"/>
                <w:sz w:val="22"/>
                <w:szCs w:val="22"/>
                <w:lang w:eastAsia="zh-CN"/>
              </w:rPr>
              <w:t>源地保护</w:t>
            </w:r>
            <w:r>
              <w:rPr>
                <w:rFonts w:hint="eastAsia" w:ascii="Arial" w:hAnsi="Arial" w:cs="Arial"/>
                <w:sz w:val="22"/>
                <w:szCs w:val="22"/>
              </w:rPr>
              <w:t>要求</w:t>
            </w:r>
            <w:r>
              <w:rPr>
                <w:rFonts w:hint="eastAsia" w:ascii="Arial" w:hAnsi="Arial" w:cs="Arial"/>
                <w:sz w:val="22"/>
                <w:szCs w:val="22"/>
                <w:lang w:eastAsia="zh-CN"/>
              </w:rPr>
              <w:t>，</w:t>
            </w:r>
            <w:r>
              <w:rPr>
                <w:rFonts w:hint="eastAsia" w:ascii="Arial" w:cs="Arial"/>
                <w:sz w:val="22"/>
                <w:szCs w:val="22"/>
              </w:rPr>
              <w:t>《地表水环境质量标准》</w:t>
            </w:r>
            <w:r>
              <w:rPr>
                <w:rFonts w:ascii="宋体" w:hAnsi="宋体" w:cs="Arial"/>
                <w:sz w:val="22"/>
                <w:szCs w:val="22"/>
              </w:rPr>
              <w:t>(</w:t>
            </w:r>
            <w:r>
              <w:rPr>
                <w:rFonts w:ascii="Arial" w:cs="Arial"/>
                <w:sz w:val="22"/>
                <w:szCs w:val="22"/>
              </w:rPr>
              <w:t>GB3838-2002</w:t>
            </w:r>
            <w:r>
              <w:rPr>
                <w:rFonts w:ascii="宋体" w:hAnsi="宋体" w:cs="Arial"/>
                <w:sz w:val="22"/>
                <w:szCs w:val="22"/>
              </w:rPr>
              <w:t>)</w:t>
            </w:r>
            <w:r>
              <w:rPr>
                <w:rFonts w:hint="eastAsia" w:ascii="Arial" w:cs="Arial"/>
                <w:sz w:val="22"/>
                <w:szCs w:val="22"/>
              </w:rPr>
              <w:t>中的</w:t>
            </w:r>
            <w:r>
              <w:rPr>
                <w:rFonts w:ascii="Arial" w:cs="Arial"/>
                <w:sz w:val="22"/>
                <w:szCs w:val="22"/>
              </w:rPr>
              <w:t>109</w:t>
            </w:r>
            <w:r>
              <w:rPr>
                <w:rFonts w:hint="eastAsia" w:ascii="Arial" w:cs="Arial"/>
                <w:sz w:val="22"/>
                <w:szCs w:val="22"/>
              </w:rPr>
              <w:t>项</w:t>
            </w:r>
            <w:r>
              <w:rPr>
                <w:rFonts w:hint="eastAsia" w:ascii="Arial" w:cs="Arial"/>
                <w:sz w:val="22"/>
                <w:szCs w:val="22"/>
                <w:lang w:eastAsia="zh-CN"/>
              </w:rPr>
              <w:t>因子浓度满足</w:t>
            </w:r>
            <w:r>
              <w:rPr>
                <w:rFonts w:hint="eastAsia" w:ascii="宋体" w:hAnsi="宋体" w:eastAsia="宋体" w:cs="宋体"/>
                <w:sz w:val="22"/>
                <w:szCs w:val="22"/>
              </w:rPr>
              <w:t>Ⅲ</w:t>
            </w:r>
            <w:r>
              <w:rPr>
                <w:rFonts w:hint="eastAsia" w:ascii="Arial" w:hAnsi="Arial" w:cs="Arial"/>
                <w:sz w:val="22"/>
                <w:szCs w:val="22"/>
              </w:rPr>
              <w:t>类标准</w:t>
            </w:r>
            <w:r>
              <w:rPr>
                <w:rFonts w:hint="eastAsia" w:ascii="Arial" w:hAnsi="Arial" w:cs="Arial"/>
                <w:sz w:val="22"/>
                <w:szCs w:val="22"/>
                <w:lang w:eastAsia="zh-CN"/>
              </w:rPr>
              <w:t>。</w:t>
            </w:r>
          </w:p>
        </w:tc>
      </w:tr>
      <w:tr w14:paraId="446317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continue"/>
            <w:noWrap w:val="0"/>
            <w:vAlign w:val="center"/>
          </w:tcPr>
          <w:p w14:paraId="3A39F810">
            <w:pPr>
              <w:spacing w:line="300" w:lineRule="exact"/>
              <w:jc w:val="center"/>
              <w:rPr>
                <w:rFonts w:hint="eastAsia" w:ascii="Arial" w:hAnsi="Arial" w:cs="Arial"/>
                <w:sz w:val="22"/>
                <w:szCs w:val="22"/>
              </w:rPr>
            </w:pPr>
          </w:p>
        </w:tc>
        <w:tc>
          <w:tcPr>
            <w:tcW w:w="1331" w:type="dxa"/>
            <w:noWrap w:val="0"/>
            <w:vAlign w:val="center"/>
          </w:tcPr>
          <w:p w14:paraId="32AB93F4">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库区</w:t>
            </w:r>
          </w:p>
        </w:tc>
        <w:tc>
          <w:tcPr>
            <w:tcW w:w="1559" w:type="dxa"/>
            <w:vMerge w:val="continue"/>
            <w:noWrap w:val="0"/>
            <w:vAlign w:val="center"/>
          </w:tcPr>
          <w:p w14:paraId="75449972">
            <w:pPr>
              <w:spacing w:line="300" w:lineRule="exact"/>
              <w:jc w:val="center"/>
              <w:rPr>
                <w:rFonts w:hint="eastAsia" w:ascii="Arial" w:hAnsi="Arial" w:cs="Arial"/>
                <w:sz w:val="22"/>
                <w:szCs w:val="22"/>
              </w:rPr>
            </w:pPr>
          </w:p>
        </w:tc>
        <w:tc>
          <w:tcPr>
            <w:tcW w:w="2893" w:type="dxa"/>
            <w:noWrap w:val="0"/>
            <w:vAlign w:val="center"/>
          </w:tcPr>
          <w:p w14:paraId="3AFE6A71">
            <w:pPr>
              <w:spacing w:line="300" w:lineRule="exact"/>
              <w:jc w:val="center"/>
              <w:rPr>
                <w:rFonts w:hint="eastAsia" w:ascii="Arial" w:hAnsi="Arial" w:cs="Arial"/>
                <w:color w:val="auto"/>
                <w:sz w:val="22"/>
                <w:szCs w:val="22"/>
                <w:lang w:eastAsia="zh-CN"/>
              </w:rPr>
            </w:pPr>
            <w:r>
              <w:rPr>
                <w:rFonts w:hint="eastAsia" w:ascii="Arial" w:hAnsi="Arial" w:cs="Arial"/>
                <w:color w:val="auto"/>
                <w:sz w:val="22"/>
                <w:szCs w:val="22"/>
                <w:lang w:eastAsia="zh-CN"/>
              </w:rPr>
              <w:t>蓄水前按要求进行清库作业，运营期定期清漂，</w:t>
            </w:r>
            <w:r>
              <w:rPr>
                <w:rFonts w:hint="eastAsia" w:ascii="Arial" w:hAnsi="Arial" w:cs="Arial"/>
                <w:sz w:val="22"/>
                <w:szCs w:val="22"/>
                <w:lang w:eastAsia="zh-CN"/>
              </w:rPr>
              <w:t>协同当地农业主管部</w:t>
            </w:r>
            <w:r>
              <w:rPr>
                <w:rFonts w:hint="eastAsia" w:ascii="Arial" w:hAnsi="Arial" w:cs="Arial"/>
                <w:color w:val="auto"/>
                <w:sz w:val="22"/>
                <w:szCs w:val="22"/>
                <w:lang w:eastAsia="zh-CN"/>
              </w:rPr>
              <w:t>门控制集雨范围内农业面源污染</w:t>
            </w:r>
            <w:r>
              <w:rPr>
                <w:rFonts w:hint="default" w:ascii="Arial" w:hAnsi="Arial" w:cs="Arial"/>
                <w:color w:val="auto"/>
                <w:sz w:val="22"/>
                <w:szCs w:val="22"/>
              </w:rPr>
              <w:t>。</w:t>
            </w:r>
          </w:p>
        </w:tc>
        <w:tc>
          <w:tcPr>
            <w:tcW w:w="2635" w:type="dxa"/>
            <w:noWrap w:val="0"/>
            <w:vAlign w:val="center"/>
          </w:tcPr>
          <w:p w14:paraId="3FE92B9E">
            <w:pPr>
              <w:spacing w:line="300" w:lineRule="exact"/>
              <w:jc w:val="center"/>
              <w:rPr>
                <w:rFonts w:hint="eastAsia" w:ascii="Arial" w:hAnsi="Arial" w:cs="Arial"/>
                <w:sz w:val="22"/>
                <w:szCs w:val="22"/>
              </w:rPr>
            </w:pPr>
            <w:r>
              <w:rPr>
                <w:rFonts w:hint="eastAsia" w:ascii="Arial" w:cs="Arial"/>
                <w:sz w:val="22"/>
                <w:szCs w:val="22"/>
              </w:rPr>
              <w:t>水温、溶解氧、总氮、总磷、高锰酸盐指数、叶绿素</w:t>
            </w:r>
            <w:r>
              <w:rPr>
                <w:rFonts w:ascii="Arial" w:cs="Arial"/>
                <w:sz w:val="22"/>
                <w:szCs w:val="22"/>
              </w:rPr>
              <w:t>a</w:t>
            </w:r>
            <w:r>
              <w:rPr>
                <w:rFonts w:hint="eastAsia" w:ascii="Arial" w:cs="Arial"/>
                <w:sz w:val="22"/>
                <w:szCs w:val="22"/>
              </w:rPr>
              <w:t>和透明度等</w:t>
            </w:r>
            <w:r>
              <w:rPr>
                <w:rFonts w:ascii="Arial" w:cs="Arial"/>
                <w:sz w:val="22"/>
                <w:szCs w:val="22"/>
              </w:rPr>
              <w:t>7</w:t>
            </w:r>
            <w:r>
              <w:rPr>
                <w:rFonts w:hint="eastAsia" w:ascii="Arial" w:cs="Arial"/>
                <w:sz w:val="22"/>
                <w:szCs w:val="22"/>
              </w:rPr>
              <w:t>项指标</w:t>
            </w:r>
            <w:r>
              <w:rPr>
                <w:rFonts w:hint="eastAsia" w:ascii="Arial" w:hAnsi="Arial" w:cs="Arial"/>
                <w:sz w:val="22"/>
                <w:szCs w:val="22"/>
              </w:rPr>
              <w:t>满足《地表水环境质标准》（</w:t>
            </w:r>
            <w:r>
              <w:rPr>
                <w:rFonts w:ascii="Arial" w:hAnsi="Arial" w:cs="Arial"/>
                <w:sz w:val="22"/>
                <w:szCs w:val="22"/>
              </w:rPr>
              <w:t>GB3838-2002</w:t>
            </w:r>
            <w:r>
              <w:rPr>
                <w:rFonts w:hint="eastAsia" w:ascii="Arial" w:hAnsi="Arial" w:cs="Arial"/>
                <w:sz w:val="22"/>
                <w:szCs w:val="22"/>
              </w:rPr>
              <w:t>）中</w:t>
            </w:r>
            <w:r>
              <w:rPr>
                <w:rFonts w:hint="eastAsia" w:ascii="宋体" w:hAnsi="宋体" w:eastAsia="宋体" w:cs="宋体"/>
                <w:sz w:val="22"/>
                <w:szCs w:val="22"/>
              </w:rPr>
              <w:t>Ⅲ</w:t>
            </w:r>
            <w:r>
              <w:rPr>
                <w:rFonts w:hint="eastAsia" w:ascii="Arial" w:hAnsi="Arial" w:cs="Arial"/>
                <w:sz w:val="22"/>
                <w:szCs w:val="22"/>
              </w:rPr>
              <w:t>类标准。</w:t>
            </w:r>
          </w:p>
        </w:tc>
      </w:tr>
      <w:tr w14:paraId="6FE47D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noWrap w:val="0"/>
            <w:vAlign w:val="center"/>
          </w:tcPr>
          <w:p w14:paraId="23E5920D">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环境风险防范</w:t>
            </w:r>
          </w:p>
        </w:tc>
        <w:tc>
          <w:tcPr>
            <w:tcW w:w="1331" w:type="dxa"/>
            <w:noWrap w:val="0"/>
            <w:vAlign w:val="center"/>
          </w:tcPr>
          <w:p w14:paraId="69D4C3DF">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整体工程</w:t>
            </w:r>
          </w:p>
        </w:tc>
        <w:tc>
          <w:tcPr>
            <w:tcW w:w="7087" w:type="dxa"/>
            <w:gridSpan w:val="3"/>
            <w:noWrap w:val="0"/>
            <w:vAlign w:val="center"/>
          </w:tcPr>
          <w:p w14:paraId="1F8CECCA">
            <w:pPr>
              <w:spacing w:line="300" w:lineRule="exact"/>
              <w:jc w:val="center"/>
              <w:rPr>
                <w:rFonts w:hint="eastAsia" w:ascii="Arial" w:hAnsi="Arial" w:cs="Arial"/>
                <w:sz w:val="22"/>
                <w:szCs w:val="22"/>
              </w:rPr>
            </w:pPr>
            <w:r>
              <w:rPr>
                <w:rFonts w:hint="eastAsia" w:ascii="Arial" w:hAnsi="Arial" w:cs="Arial"/>
                <w:color w:val="auto"/>
                <w:sz w:val="22"/>
                <w:szCs w:val="22"/>
                <w:lang w:eastAsia="zh-CN"/>
              </w:rPr>
              <w:t>建立限速、保护水源等警示标识，同时按照</w:t>
            </w:r>
            <w:r>
              <w:rPr>
                <w:rFonts w:hint="default" w:ascii="Arial" w:hAnsi="Arial" w:cs="Arial"/>
                <w:color w:val="auto"/>
                <w:sz w:val="22"/>
                <w:szCs w:val="22"/>
              </w:rPr>
              <w:t>《集中式地表饮用水水源地环境应急管理工作指南（试行）》</w:t>
            </w:r>
            <w:r>
              <w:rPr>
                <w:rFonts w:hint="eastAsia" w:ascii="Arial" w:hAnsi="Arial" w:cs="Arial"/>
                <w:color w:val="auto"/>
                <w:sz w:val="22"/>
                <w:szCs w:val="22"/>
                <w:lang w:eastAsia="zh-CN"/>
              </w:rPr>
              <w:t>（</w:t>
            </w:r>
            <w:r>
              <w:rPr>
                <w:rFonts w:hint="default" w:ascii="Arial" w:hAnsi="Arial" w:cs="Arial"/>
                <w:color w:val="auto"/>
                <w:sz w:val="22"/>
                <w:szCs w:val="22"/>
              </w:rPr>
              <w:t>环办</w:t>
            </w:r>
            <w:r>
              <w:rPr>
                <w:rFonts w:hint="eastAsia" w:ascii="Arial" w:hAnsi="Arial" w:cs="Arial"/>
                <w:color w:val="auto"/>
                <w:sz w:val="22"/>
                <w:szCs w:val="22"/>
              </w:rPr>
              <w:t>〔</w:t>
            </w:r>
            <w:r>
              <w:rPr>
                <w:rFonts w:hint="default" w:ascii="Arial" w:hAnsi="Arial" w:cs="Arial"/>
                <w:color w:val="auto"/>
                <w:sz w:val="22"/>
                <w:szCs w:val="22"/>
              </w:rPr>
              <w:t>2011</w:t>
            </w:r>
            <w:r>
              <w:rPr>
                <w:rFonts w:hint="eastAsia" w:ascii="Arial" w:hAnsi="Arial" w:cs="Arial"/>
                <w:color w:val="auto"/>
                <w:sz w:val="22"/>
                <w:szCs w:val="22"/>
              </w:rPr>
              <w:t>〕</w:t>
            </w:r>
            <w:r>
              <w:rPr>
                <w:rFonts w:hint="default" w:ascii="Arial" w:hAnsi="Arial" w:cs="Arial"/>
                <w:color w:val="auto"/>
                <w:sz w:val="22"/>
                <w:szCs w:val="22"/>
              </w:rPr>
              <w:t>93号</w:t>
            </w:r>
            <w:r>
              <w:rPr>
                <w:rFonts w:hint="eastAsia" w:ascii="Arial" w:hAnsi="Arial" w:cs="Arial"/>
                <w:color w:val="auto"/>
                <w:sz w:val="22"/>
                <w:szCs w:val="22"/>
                <w:lang w:eastAsia="zh-CN"/>
              </w:rPr>
              <w:t>），设置</w:t>
            </w:r>
            <w:r>
              <w:rPr>
                <w:rFonts w:hint="default" w:ascii="Arial" w:hAnsi="Arial" w:cs="Arial"/>
                <w:color w:val="auto"/>
                <w:sz w:val="22"/>
                <w:szCs w:val="22"/>
              </w:rPr>
              <w:t>水源水质保护应急预案</w:t>
            </w:r>
            <w:r>
              <w:rPr>
                <w:rFonts w:hint="eastAsia" w:ascii="Arial" w:hAnsi="Arial" w:cs="Arial"/>
                <w:color w:val="auto"/>
                <w:sz w:val="22"/>
                <w:szCs w:val="22"/>
                <w:lang w:eastAsia="zh-CN"/>
              </w:rPr>
              <w:t>。</w:t>
            </w:r>
          </w:p>
        </w:tc>
      </w:tr>
      <w:tr w14:paraId="15EAD2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restart"/>
            <w:noWrap w:val="0"/>
            <w:vAlign w:val="center"/>
          </w:tcPr>
          <w:p w14:paraId="146E6E88">
            <w:pPr>
              <w:spacing w:line="300" w:lineRule="exact"/>
              <w:jc w:val="center"/>
              <w:rPr>
                <w:rFonts w:hint="eastAsia" w:ascii="Arial" w:hAnsi="Arial" w:cs="Arial"/>
                <w:sz w:val="22"/>
                <w:szCs w:val="22"/>
              </w:rPr>
            </w:pPr>
            <w:r>
              <w:rPr>
                <w:rFonts w:hint="eastAsia" w:ascii="Arial" w:hAnsi="Arial" w:cs="Arial"/>
                <w:sz w:val="22"/>
                <w:szCs w:val="22"/>
              </w:rPr>
              <w:t>生态环境</w:t>
            </w:r>
          </w:p>
        </w:tc>
        <w:tc>
          <w:tcPr>
            <w:tcW w:w="1331" w:type="dxa"/>
            <w:noWrap w:val="0"/>
            <w:vAlign w:val="center"/>
          </w:tcPr>
          <w:p w14:paraId="0C2A9A78">
            <w:pPr>
              <w:spacing w:line="300" w:lineRule="exact"/>
              <w:jc w:val="center"/>
              <w:rPr>
                <w:rFonts w:hint="eastAsia" w:ascii="Arial" w:hAnsi="Arial" w:cs="Arial"/>
                <w:sz w:val="22"/>
                <w:szCs w:val="22"/>
              </w:rPr>
            </w:pPr>
            <w:r>
              <w:rPr>
                <w:rFonts w:hint="eastAsia" w:ascii="Arial" w:hAnsi="Arial" w:cs="Arial"/>
                <w:sz w:val="22"/>
                <w:szCs w:val="22"/>
              </w:rPr>
              <w:t>水库管理区</w:t>
            </w:r>
          </w:p>
        </w:tc>
        <w:tc>
          <w:tcPr>
            <w:tcW w:w="1559" w:type="dxa"/>
            <w:noWrap w:val="0"/>
            <w:vAlign w:val="center"/>
          </w:tcPr>
          <w:p w14:paraId="5EF87E57">
            <w:pPr>
              <w:spacing w:line="300" w:lineRule="exact"/>
              <w:jc w:val="center"/>
              <w:rPr>
                <w:rFonts w:hint="eastAsia" w:ascii="Arial" w:hAnsi="Arial" w:cs="Arial"/>
                <w:sz w:val="22"/>
                <w:szCs w:val="22"/>
              </w:rPr>
            </w:pPr>
            <w:r>
              <w:rPr>
                <w:rFonts w:hint="eastAsia" w:ascii="Arial" w:hAnsi="Arial" w:cs="Arial"/>
                <w:sz w:val="22"/>
                <w:szCs w:val="22"/>
              </w:rPr>
              <w:t>植被绿化</w:t>
            </w:r>
          </w:p>
        </w:tc>
        <w:tc>
          <w:tcPr>
            <w:tcW w:w="5528" w:type="dxa"/>
            <w:gridSpan w:val="2"/>
            <w:noWrap w:val="0"/>
            <w:vAlign w:val="center"/>
          </w:tcPr>
          <w:p w14:paraId="3D1084CE">
            <w:pPr>
              <w:spacing w:line="300" w:lineRule="exact"/>
              <w:jc w:val="center"/>
              <w:rPr>
                <w:rFonts w:hint="eastAsia" w:ascii="Arial" w:hAnsi="Arial" w:cs="Arial"/>
                <w:sz w:val="22"/>
                <w:szCs w:val="22"/>
              </w:rPr>
            </w:pPr>
            <w:r>
              <w:rPr>
                <w:rFonts w:hint="eastAsia" w:ascii="Arial" w:hAnsi="Arial" w:cs="Arial"/>
                <w:sz w:val="22"/>
                <w:szCs w:val="22"/>
              </w:rPr>
              <w:t>对管理区四周进行绿化布置，减缓因工程占地剥离地表植被对区域生态环境造成的破坏</w:t>
            </w:r>
          </w:p>
        </w:tc>
      </w:tr>
      <w:tr w14:paraId="053681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continue"/>
            <w:noWrap w:val="0"/>
            <w:vAlign w:val="center"/>
          </w:tcPr>
          <w:p w14:paraId="0EF73FCE">
            <w:pPr>
              <w:spacing w:line="300" w:lineRule="exact"/>
              <w:jc w:val="center"/>
              <w:rPr>
                <w:rFonts w:hint="eastAsia" w:ascii="Arial" w:hAnsi="Arial" w:cs="Arial"/>
                <w:sz w:val="22"/>
                <w:szCs w:val="22"/>
              </w:rPr>
            </w:pPr>
          </w:p>
        </w:tc>
        <w:tc>
          <w:tcPr>
            <w:tcW w:w="1331" w:type="dxa"/>
            <w:noWrap w:val="0"/>
            <w:vAlign w:val="center"/>
          </w:tcPr>
          <w:p w14:paraId="681D02D7">
            <w:pPr>
              <w:spacing w:line="300" w:lineRule="exact"/>
              <w:jc w:val="center"/>
              <w:rPr>
                <w:rFonts w:hint="eastAsia" w:ascii="Arial" w:hAnsi="Arial" w:cs="Arial"/>
                <w:sz w:val="22"/>
                <w:szCs w:val="22"/>
              </w:rPr>
            </w:pPr>
            <w:r>
              <w:rPr>
                <w:rFonts w:hint="eastAsia" w:ascii="Arial" w:hAnsi="Arial" w:cs="Arial"/>
                <w:sz w:val="22"/>
                <w:szCs w:val="22"/>
              </w:rPr>
              <w:t>库区及消</w:t>
            </w:r>
          </w:p>
          <w:p w14:paraId="22A31D90">
            <w:pPr>
              <w:spacing w:line="300" w:lineRule="exact"/>
              <w:jc w:val="center"/>
              <w:rPr>
                <w:rFonts w:hint="eastAsia" w:ascii="Arial" w:hAnsi="Arial" w:cs="Arial"/>
                <w:sz w:val="22"/>
                <w:szCs w:val="22"/>
              </w:rPr>
            </w:pPr>
            <w:r>
              <w:rPr>
                <w:rFonts w:hint="eastAsia" w:ascii="Arial" w:hAnsi="Arial" w:cs="Arial"/>
                <w:sz w:val="22"/>
                <w:szCs w:val="22"/>
              </w:rPr>
              <w:t>落带</w:t>
            </w:r>
          </w:p>
        </w:tc>
        <w:tc>
          <w:tcPr>
            <w:tcW w:w="1559" w:type="dxa"/>
            <w:noWrap w:val="0"/>
            <w:vAlign w:val="center"/>
          </w:tcPr>
          <w:p w14:paraId="7A1A19FF">
            <w:pPr>
              <w:spacing w:line="300" w:lineRule="exact"/>
              <w:jc w:val="center"/>
              <w:rPr>
                <w:rFonts w:hint="eastAsia" w:ascii="Arial" w:hAnsi="Arial" w:cs="Arial"/>
                <w:sz w:val="22"/>
                <w:szCs w:val="22"/>
              </w:rPr>
            </w:pPr>
            <w:r>
              <w:rPr>
                <w:rFonts w:hint="eastAsia" w:ascii="Arial" w:hAnsi="Arial" w:cs="Arial"/>
                <w:sz w:val="22"/>
                <w:szCs w:val="22"/>
              </w:rPr>
              <w:t>清库</w:t>
            </w:r>
          </w:p>
        </w:tc>
        <w:tc>
          <w:tcPr>
            <w:tcW w:w="5528" w:type="dxa"/>
            <w:gridSpan w:val="2"/>
            <w:noWrap w:val="0"/>
            <w:vAlign w:val="center"/>
          </w:tcPr>
          <w:p w14:paraId="6FA182C0">
            <w:pPr>
              <w:spacing w:line="300" w:lineRule="exact"/>
              <w:jc w:val="center"/>
              <w:rPr>
                <w:rFonts w:hint="eastAsia" w:ascii="Arial" w:hAnsi="Arial" w:cs="Arial"/>
                <w:sz w:val="22"/>
                <w:szCs w:val="22"/>
              </w:rPr>
            </w:pPr>
            <w:r>
              <w:rPr>
                <w:rFonts w:hint="eastAsia" w:ascii="Arial" w:hAnsi="Arial" w:cs="Arial"/>
                <w:sz w:val="22"/>
                <w:szCs w:val="22"/>
              </w:rPr>
              <w:t>蓄水前对库区进行彻底清理，清库废物分类处置；营运期无肥水养鱼、网箱养鱼等。</w:t>
            </w:r>
          </w:p>
        </w:tc>
      </w:tr>
      <w:tr w14:paraId="52723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continue"/>
            <w:noWrap w:val="0"/>
            <w:vAlign w:val="center"/>
          </w:tcPr>
          <w:p w14:paraId="75AF7044">
            <w:pPr>
              <w:spacing w:line="300" w:lineRule="exact"/>
              <w:jc w:val="center"/>
              <w:rPr>
                <w:rFonts w:hint="eastAsia" w:ascii="Arial" w:hAnsi="Arial" w:cs="Arial"/>
                <w:sz w:val="22"/>
                <w:szCs w:val="22"/>
              </w:rPr>
            </w:pPr>
          </w:p>
        </w:tc>
        <w:tc>
          <w:tcPr>
            <w:tcW w:w="1331" w:type="dxa"/>
            <w:noWrap w:val="0"/>
            <w:vAlign w:val="center"/>
          </w:tcPr>
          <w:p w14:paraId="70CAC5CB">
            <w:pPr>
              <w:spacing w:line="300" w:lineRule="exact"/>
              <w:jc w:val="center"/>
              <w:rPr>
                <w:rFonts w:hint="eastAsia" w:ascii="Arial" w:hAnsi="Arial" w:cs="Arial"/>
                <w:sz w:val="22"/>
                <w:szCs w:val="22"/>
              </w:rPr>
            </w:pPr>
            <w:r>
              <w:rPr>
                <w:rFonts w:hint="eastAsia" w:ascii="Arial" w:hAnsi="Arial" w:cs="Arial"/>
                <w:sz w:val="22"/>
                <w:szCs w:val="22"/>
              </w:rPr>
              <w:t>施工占地</w:t>
            </w:r>
          </w:p>
          <w:p w14:paraId="26AFDA2A">
            <w:pPr>
              <w:spacing w:line="300" w:lineRule="exact"/>
              <w:jc w:val="center"/>
              <w:rPr>
                <w:rFonts w:hint="eastAsia" w:ascii="Arial" w:hAnsi="Arial" w:cs="Arial"/>
                <w:sz w:val="22"/>
                <w:szCs w:val="22"/>
              </w:rPr>
            </w:pPr>
            <w:r>
              <w:rPr>
                <w:rFonts w:hint="eastAsia" w:ascii="Arial" w:hAnsi="Arial" w:cs="Arial"/>
                <w:sz w:val="22"/>
                <w:szCs w:val="22"/>
              </w:rPr>
              <w:t>区域</w:t>
            </w:r>
          </w:p>
        </w:tc>
        <w:tc>
          <w:tcPr>
            <w:tcW w:w="1559" w:type="dxa"/>
            <w:noWrap w:val="0"/>
            <w:vAlign w:val="center"/>
          </w:tcPr>
          <w:p w14:paraId="1F6A1DE2">
            <w:pPr>
              <w:spacing w:line="300" w:lineRule="exact"/>
              <w:jc w:val="center"/>
              <w:rPr>
                <w:rFonts w:hint="eastAsia" w:ascii="Arial" w:hAnsi="Arial" w:cs="Arial"/>
                <w:sz w:val="22"/>
                <w:szCs w:val="22"/>
              </w:rPr>
            </w:pPr>
            <w:r>
              <w:rPr>
                <w:rFonts w:hint="eastAsia" w:ascii="Arial" w:hAnsi="Arial" w:cs="Arial"/>
                <w:sz w:val="22"/>
                <w:szCs w:val="22"/>
              </w:rPr>
              <w:t>迹地生态恢复</w:t>
            </w:r>
          </w:p>
        </w:tc>
        <w:tc>
          <w:tcPr>
            <w:tcW w:w="5528" w:type="dxa"/>
            <w:gridSpan w:val="2"/>
            <w:noWrap w:val="0"/>
            <w:vAlign w:val="center"/>
          </w:tcPr>
          <w:p w14:paraId="23B7E59A">
            <w:pPr>
              <w:spacing w:line="300" w:lineRule="exact"/>
              <w:jc w:val="center"/>
              <w:rPr>
                <w:rFonts w:ascii="Arial" w:hAnsi="Arial" w:cs="Arial"/>
                <w:sz w:val="22"/>
                <w:szCs w:val="22"/>
              </w:rPr>
            </w:pPr>
            <w:r>
              <w:rPr>
                <w:rFonts w:ascii="Arial" w:hAnsi="Arial" w:cs="Arial"/>
                <w:sz w:val="22"/>
                <w:szCs w:val="22"/>
              </w:rPr>
              <w:t>施工结束后，及时拆除临时设施，</w:t>
            </w:r>
            <w:r>
              <w:rPr>
                <w:rFonts w:hint="eastAsia" w:ascii="Arial" w:hAnsi="Arial" w:cs="Arial"/>
                <w:color w:val="auto"/>
                <w:sz w:val="22"/>
                <w:szCs w:val="22"/>
              </w:rPr>
              <w:t>回填表土，</w:t>
            </w:r>
            <w:r>
              <w:rPr>
                <w:rFonts w:hint="eastAsia" w:ascii="Arial" w:hAnsi="Arial" w:cs="Arial"/>
                <w:color w:val="auto"/>
                <w:sz w:val="22"/>
                <w:szCs w:val="22"/>
                <w:lang w:eastAsia="zh-CN"/>
              </w:rPr>
              <w:t>尽量恢复土地原有使用性质，不能恢复为耕地的，</w:t>
            </w:r>
            <w:r>
              <w:rPr>
                <w:rFonts w:ascii="Arial" w:hAnsi="Arial" w:cs="Arial"/>
                <w:color w:val="auto"/>
                <w:sz w:val="22"/>
                <w:szCs w:val="22"/>
              </w:rPr>
              <w:t>采用区域内常见的</w:t>
            </w:r>
            <w:r>
              <w:rPr>
                <w:rFonts w:hint="eastAsia" w:ascii="Arial" w:hAnsi="Arial" w:cs="Arial"/>
                <w:color w:val="auto"/>
                <w:sz w:val="22"/>
                <w:szCs w:val="22"/>
                <w:lang w:eastAsia="zh-CN"/>
              </w:rPr>
              <w:t>马尾松、麻栎、枫杨、化香等乔木结合糯米团、黑麦草、</w:t>
            </w:r>
            <w:r>
              <w:rPr>
                <w:rFonts w:hint="eastAsia" w:ascii="Arial" w:hAnsi="Arial" w:cs="Arial"/>
                <w:b w:val="0"/>
                <w:color w:val="auto"/>
                <w:kern w:val="2"/>
                <w:sz w:val="22"/>
                <w:szCs w:val="22"/>
                <w:lang w:val="en-US" w:eastAsia="zh-CN" w:bidi="ar-SA"/>
              </w:rPr>
              <w:t>狗牙根等草本植物相结合的方式，</w:t>
            </w:r>
            <w:r>
              <w:rPr>
                <w:rFonts w:ascii="Arial" w:hAnsi="Arial" w:cs="Arial"/>
                <w:sz w:val="22"/>
                <w:szCs w:val="22"/>
              </w:rPr>
              <w:t>对项目建设的弃渣场、</w:t>
            </w:r>
            <w:r>
              <w:rPr>
                <w:rFonts w:hint="eastAsia" w:ascii="Arial" w:hAnsi="Arial" w:cs="Arial"/>
                <w:sz w:val="22"/>
                <w:szCs w:val="22"/>
                <w:lang w:eastAsia="zh-CN"/>
              </w:rPr>
              <w:t>施工便道</w:t>
            </w:r>
            <w:r>
              <w:rPr>
                <w:rFonts w:ascii="Arial" w:hAnsi="Arial" w:cs="Arial"/>
                <w:sz w:val="22"/>
                <w:szCs w:val="22"/>
              </w:rPr>
              <w:t>、施工场地等临时用地进行生态</w:t>
            </w:r>
            <w:r>
              <w:rPr>
                <w:rFonts w:hint="eastAsia" w:ascii="Arial" w:hAnsi="Arial" w:cs="Arial"/>
                <w:sz w:val="22"/>
                <w:szCs w:val="22"/>
                <w:lang w:eastAsia="zh-CN"/>
              </w:rPr>
              <w:t>覆土，不得遗留裸露地表</w:t>
            </w:r>
            <w:r>
              <w:rPr>
                <w:rFonts w:ascii="Arial" w:hAnsi="Arial" w:cs="Arial"/>
                <w:sz w:val="22"/>
                <w:szCs w:val="22"/>
              </w:rPr>
              <w:t>。</w:t>
            </w:r>
            <w:r>
              <w:rPr>
                <w:rFonts w:hint="eastAsia" w:ascii="Arial" w:hAnsi="Arial" w:cs="Arial"/>
                <w:sz w:val="22"/>
                <w:szCs w:val="22"/>
                <w:lang w:eastAsia="zh-CN"/>
              </w:rPr>
              <w:t>输水管线</w:t>
            </w:r>
            <w:r>
              <w:rPr>
                <w:rFonts w:hint="eastAsia" w:ascii="Arial" w:cs="Arial"/>
                <w:sz w:val="22"/>
                <w:szCs w:val="22"/>
                <w:lang w:val="en-US" w:eastAsia="zh-CN"/>
              </w:rPr>
              <w:t>临时占地尽量根据原有土地利用性质进行恢复，但管道顶部两侧5m内不能种植深根性乔灌木</w:t>
            </w:r>
            <w:r>
              <w:rPr>
                <w:rFonts w:ascii="Arial" w:cs="Arial"/>
                <w:sz w:val="22"/>
                <w:szCs w:val="22"/>
              </w:rPr>
              <w:t>。</w:t>
            </w:r>
          </w:p>
        </w:tc>
      </w:tr>
      <w:tr w14:paraId="1B8FBB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continue"/>
            <w:noWrap w:val="0"/>
            <w:vAlign w:val="center"/>
          </w:tcPr>
          <w:p w14:paraId="7F5B5411">
            <w:pPr>
              <w:spacing w:line="300" w:lineRule="exact"/>
              <w:jc w:val="center"/>
              <w:rPr>
                <w:rFonts w:hint="eastAsia" w:ascii="Arial" w:hAnsi="Arial" w:cs="Arial"/>
                <w:sz w:val="22"/>
                <w:szCs w:val="22"/>
              </w:rPr>
            </w:pPr>
          </w:p>
        </w:tc>
        <w:tc>
          <w:tcPr>
            <w:tcW w:w="1331" w:type="dxa"/>
            <w:noWrap w:val="0"/>
            <w:vAlign w:val="center"/>
          </w:tcPr>
          <w:p w14:paraId="41D6A753">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低温水</w:t>
            </w:r>
          </w:p>
        </w:tc>
        <w:tc>
          <w:tcPr>
            <w:tcW w:w="1559" w:type="dxa"/>
            <w:noWrap w:val="0"/>
            <w:vAlign w:val="center"/>
          </w:tcPr>
          <w:p w14:paraId="7DD17270">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分层取水</w:t>
            </w:r>
          </w:p>
        </w:tc>
        <w:tc>
          <w:tcPr>
            <w:tcW w:w="5528" w:type="dxa"/>
            <w:gridSpan w:val="2"/>
            <w:noWrap w:val="0"/>
            <w:vAlign w:val="center"/>
          </w:tcPr>
          <w:p w14:paraId="0B6B4117">
            <w:pPr>
              <w:spacing w:line="300" w:lineRule="exact"/>
              <w:jc w:val="center"/>
              <w:rPr>
                <w:rFonts w:ascii="Arial" w:hAnsi="Arial" w:cs="Arial"/>
                <w:sz w:val="22"/>
                <w:szCs w:val="22"/>
              </w:rPr>
            </w:pPr>
            <w:r>
              <w:rPr>
                <w:rFonts w:hint="eastAsia" w:ascii="Arial" w:hAnsi="Arial" w:cs="Arial"/>
                <w:color w:val="auto"/>
                <w:sz w:val="22"/>
                <w:szCs w:val="22"/>
                <w:lang w:eastAsia="zh-CN"/>
              </w:rPr>
              <w:t>共设置</w:t>
            </w:r>
            <w:r>
              <w:rPr>
                <w:rFonts w:hint="eastAsia" w:ascii="Arial" w:hAnsi="Arial" w:cs="Arial"/>
                <w:color w:val="auto"/>
                <w:sz w:val="22"/>
                <w:szCs w:val="22"/>
                <w:lang w:val="en-US" w:eastAsia="zh-CN"/>
              </w:rPr>
              <w:t>5层管道取水，</w:t>
            </w:r>
            <w:r>
              <w:rPr>
                <w:rFonts w:hint="eastAsia" w:ascii="Arial" w:hAnsi="Arial" w:cs="Arial"/>
                <w:bCs/>
                <w:color w:val="auto"/>
                <w:sz w:val="22"/>
                <w:szCs w:val="22"/>
                <w:lang w:eastAsia="zh-CN"/>
              </w:rPr>
              <w:t>各层取水口从上到下高程依次为</w:t>
            </w:r>
            <w:r>
              <w:rPr>
                <w:rFonts w:hint="default" w:ascii="Arial" w:hAnsi="Arial" w:cs="Arial"/>
                <w:color w:val="auto"/>
                <w:sz w:val="22"/>
                <w:szCs w:val="22"/>
              </w:rPr>
              <w:t>418.0m、415.0m、412.0m</w:t>
            </w:r>
            <w:r>
              <w:rPr>
                <w:rFonts w:hint="eastAsia" w:ascii="Arial" w:hAnsi="Arial" w:cs="Arial"/>
                <w:color w:val="auto"/>
                <w:sz w:val="22"/>
                <w:szCs w:val="22"/>
              </w:rPr>
              <w:t>、</w:t>
            </w:r>
            <w:r>
              <w:rPr>
                <w:rFonts w:hint="default" w:ascii="Arial" w:hAnsi="Arial" w:cs="Arial"/>
                <w:color w:val="auto"/>
                <w:sz w:val="22"/>
                <w:szCs w:val="22"/>
              </w:rPr>
              <w:t>409.0m</w:t>
            </w:r>
            <w:r>
              <w:rPr>
                <w:rFonts w:hint="eastAsia" w:ascii="Arial" w:hAnsi="Arial" w:cs="Arial"/>
                <w:color w:val="auto"/>
                <w:sz w:val="22"/>
                <w:szCs w:val="22"/>
              </w:rPr>
              <w:t>、</w:t>
            </w:r>
            <w:r>
              <w:rPr>
                <w:rFonts w:hint="default" w:ascii="Arial" w:hAnsi="Arial" w:cs="Arial"/>
                <w:color w:val="auto"/>
                <w:sz w:val="22"/>
                <w:szCs w:val="22"/>
              </w:rPr>
              <w:t>405.5m</w:t>
            </w:r>
            <w:r>
              <w:rPr>
                <w:rFonts w:hint="eastAsia" w:ascii="Arial" w:hAnsi="Arial" w:cs="Arial"/>
                <w:color w:val="auto"/>
                <w:sz w:val="22"/>
                <w:szCs w:val="22"/>
                <w:lang w:eastAsia="zh-CN"/>
              </w:rPr>
              <w:t>，</w:t>
            </w:r>
            <w:r>
              <w:rPr>
                <w:rFonts w:hint="eastAsia" w:ascii="Arial" w:hAnsi="Arial" w:cs="Arial"/>
                <w:color w:val="auto"/>
                <w:sz w:val="22"/>
                <w:szCs w:val="22"/>
                <w:lang w:val="en-US" w:eastAsia="zh-CN"/>
              </w:rPr>
              <w:t>5</w:t>
            </w:r>
            <w:r>
              <w:rPr>
                <w:rFonts w:hint="default" w:ascii="Arial" w:hAnsi="Arial" w:cs="Arial"/>
                <w:color w:val="auto"/>
                <w:sz w:val="22"/>
                <w:szCs w:val="22"/>
              </w:rPr>
              <w:t>层取水管从坝体下游坝坡穿出后汇合成一根引水管，引水管沿大坝下游坝坡左侧坝脚布置，</w:t>
            </w:r>
            <w:r>
              <w:rPr>
                <w:rFonts w:hint="eastAsia" w:ascii="Arial" w:hAnsi="Arial" w:cs="Arial"/>
                <w:color w:val="auto"/>
                <w:sz w:val="22"/>
                <w:szCs w:val="22"/>
                <w:lang w:eastAsia="zh-CN"/>
              </w:rPr>
              <w:t>引入闸阀房内，</w:t>
            </w:r>
            <w:r>
              <w:rPr>
                <w:rFonts w:hint="eastAsia" w:ascii="Arial" w:cs="Arial"/>
                <w:color w:val="auto"/>
                <w:sz w:val="22"/>
                <w:szCs w:val="22"/>
                <w:lang w:eastAsia="zh-CN"/>
              </w:rPr>
              <w:t>充分混合后，根据用水性质分类，室内分设3根管道，分别为农灌、供水、生态放水管。</w:t>
            </w:r>
          </w:p>
        </w:tc>
      </w:tr>
      <w:tr w14:paraId="66BC3A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continue"/>
            <w:noWrap w:val="0"/>
            <w:vAlign w:val="center"/>
          </w:tcPr>
          <w:p w14:paraId="4AFFFEF0">
            <w:pPr>
              <w:spacing w:line="300" w:lineRule="exact"/>
              <w:jc w:val="center"/>
              <w:rPr>
                <w:rFonts w:hint="eastAsia" w:ascii="Arial" w:hAnsi="Arial" w:cs="Arial"/>
                <w:sz w:val="22"/>
                <w:szCs w:val="22"/>
              </w:rPr>
            </w:pPr>
          </w:p>
        </w:tc>
        <w:tc>
          <w:tcPr>
            <w:tcW w:w="1331" w:type="dxa"/>
            <w:noWrap w:val="0"/>
            <w:vAlign w:val="center"/>
          </w:tcPr>
          <w:p w14:paraId="6EE637EC">
            <w:pPr>
              <w:spacing w:line="300" w:lineRule="exact"/>
              <w:jc w:val="center"/>
              <w:rPr>
                <w:rFonts w:hint="eastAsia" w:ascii="Arial" w:hAnsi="Arial" w:cs="Arial"/>
                <w:sz w:val="22"/>
                <w:szCs w:val="22"/>
              </w:rPr>
            </w:pPr>
            <w:r>
              <w:rPr>
                <w:rFonts w:hint="eastAsia" w:ascii="Arial" w:hAnsi="Arial" w:cs="Arial"/>
                <w:sz w:val="22"/>
                <w:szCs w:val="22"/>
              </w:rPr>
              <w:t>坝后减水</w:t>
            </w:r>
          </w:p>
          <w:p w14:paraId="08C741E8">
            <w:pPr>
              <w:spacing w:line="300" w:lineRule="exact"/>
              <w:jc w:val="center"/>
              <w:rPr>
                <w:rFonts w:hint="eastAsia" w:ascii="Arial" w:hAnsi="Arial" w:cs="Arial"/>
                <w:sz w:val="22"/>
                <w:szCs w:val="22"/>
              </w:rPr>
            </w:pPr>
            <w:r>
              <w:rPr>
                <w:rFonts w:hint="eastAsia" w:ascii="Arial" w:hAnsi="Arial" w:cs="Arial"/>
                <w:sz w:val="22"/>
                <w:szCs w:val="22"/>
              </w:rPr>
              <w:t>河段</w:t>
            </w:r>
          </w:p>
        </w:tc>
        <w:tc>
          <w:tcPr>
            <w:tcW w:w="1559" w:type="dxa"/>
            <w:noWrap w:val="0"/>
            <w:vAlign w:val="center"/>
          </w:tcPr>
          <w:p w14:paraId="4703E6B3">
            <w:pPr>
              <w:spacing w:line="300" w:lineRule="exact"/>
              <w:jc w:val="center"/>
              <w:rPr>
                <w:rFonts w:hint="eastAsia" w:ascii="Arial" w:hAnsi="Arial" w:cs="Arial"/>
                <w:sz w:val="22"/>
                <w:szCs w:val="22"/>
              </w:rPr>
            </w:pPr>
            <w:r>
              <w:rPr>
                <w:rFonts w:hint="eastAsia" w:ascii="Arial" w:hAnsi="Arial" w:cs="Arial"/>
                <w:sz w:val="22"/>
                <w:szCs w:val="22"/>
              </w:rPr>
              <w:t>下放生态流量</w:t>
            </w:r>
          </w:p>
        </w:tc>
        <w:tc>
          <w:tcPr>
            <w:tcW w:w="5528" w:type="dxa"/>
            <w:gridSpan w:val="2"/>
            <w:noWrap w:val="0"/>
            <w:vAlign w:val="center"/>
          </w:tcPr>
          <w:p w14:paraId="49C8D72C">
            <w:pPr>
              <w:spacing w:line="300" w:lineRule="exact"/>
              <w:jc w:val="center"/>
              <w:rPr>
                <w:rFonts w:ascii="Arial" w:hAnsi="Arial" w:cs="Arial"/>
                <w:sz w:val="22"/>
                <w:szCs w:val="22"/>
              </w:rPr>
            </w:pPr>
            <w:r>
              <w:rPr>
                <w:rFonts w:hint="eastAsia" w:ascii="Arial" w:hAnsi="Arial" w:cs="Arial"/>
                <w:sz w:val="22"/>
                <w:szCs w:val="22"/>
                <w:lang w:val="en-US" w:eastAsia="zh-CN"/>
              </w:rPr>
              <w:t>采用DN100mm钢管，</w:t>
            </w:r>
            <w:r>
              <w:rPr>
                <w:rFonts w:hint="eastAsia" w:ascii="Arial" w:hAnsi="Arial" w:cs="Arial"/>
                <w:sz w:val="22"/>
                <w:szCs w:val="22"/>
                <w:lang w:val="zh-CN" w:eastAsia="zh-CN"/>
              </w:rPr>
              <w:t>下泄生态流量为混合后的库区蓄水，</w:t>
            </w:r>
            <w:r>
              <w:rPr>
                <w:rFonts w:hint="eastAsia" w:ascii="Arial" w:hAnsi="Arial" w:cs="Arial"/>
                <w:sz w:val="22"/>
                <w:szCs w:val="22"/>
                <w:lang w:val="en-US" w:eastAsia="zh-CN"/>
              </w:rPr>
              <w:t>不得直接下泄最底层水，下泄生态流量为0.005m</w:t>
            </w:r>
            <w:r>
              <w:rPr>
                <w:rFonts w:hint="eastAsia" w:ascii="Arial" w:hAnsi="Arial" w:cs="Arial"/>
                <w:sz w:val="22"/>
                <w:szCs w:val="22"/>
                <w:vertAlign w:val="superscript"/>
                <w:lang w:val="en-US" w:eastAsia="zh-CN"/>
              </w:rPr>
              <w:t>3</w:t>
            </w:r>
            <w:r>
              <w:rPr>
                <w:rFonts w:hint="eastAsia" w:ascii="Arial" w:hAnsi="Arial" w:cs="Arial"/>
                <w:sz w:val="22"/>
                <w:szCs w:val="22"/>
                <w:lang w:val="en-US" w:eastAsia="zh-CN"/>
              </w:rPr>
              <w:t>/s；设置生态流量在线监控装置，与主管部门联网运行。</w:t>
            </w:r>
            <w:r>
              <w:rPr>
                <w:rFonts w:hint="eastAsia" w:ascii="Arial" w:hAnsi="Arial" w:cs="Arial"/>
                <w:sz w:val="22"/>
                <w:szCs w:val="22"/>
                <w:lang w:val="zh-CN" w:eastAsia="zh-CN"/>
              </w:rPr>
              <w:t>在水库初期蓄水阶段，当水位未达到高程</w:t>
            </w:r>
            <w:r>
              <w:rPr>
                <w:rFonts w:hint="eastAsia" w:ascii="Arial" w:hAnsi="Arial" w:cs="Arial"/>
                <w:sz w:val="22"/>
                <w:szCs w:val="22"/>
                <w:lang w:val="en-US" w:eastAsia="zh-CN"/>
              </w:rPr>
              <w:t>407.5</w:t>
            </w:r>
            <w:r>
              <w:rPr>
                <w:rFonts w:hint="eastAsia" w:ascii="Arial" w:hAnsi="Arial" w:cs="Arial"/>
                <w:sz w:val="22"/>
                <w:szCs w:val="22"/>
                <w:lang w:val="zh-CN" w:eastAsia="zh-CN"/>
              </w:rPr>
              <w:t>m</w:t>
            </w:r>
            <w:r>
              <w:rPr>
                <w:rFonts w:hint="eastAsia" w:ascii="Arial" w:hAnsi="Arial" w:cs="Arial"/>
                <w:sz w:val="22"/>
                <w:szCs w:val="22"/>
                <w:lang w:val="en-US" w:eastAsia="zh-CN"/>
              </w:rPr>
              <w:t>时，用水泵等抽水装置将水抽送至生态放水管，向坝后下泄生态流量。</w:t>
            </w:r>
          </w:p>
        </w:tc>
      </w:tr>
      <w:tr w14:paraId="0B023D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vMerge w:val="continue"/>
            <w:noWrap w:val="0"/>
            <w:vAlign w:val="center"/>
          </w:tcPr>
          <w:p w14:paraId="5CB2D3F4">
            <w:pPr>
              <w:spacing w:line="300" w:lineRule="exact"/>
              <w:jc w:val="center"/>
              <w:rPr>
                <w:rFonts w:hint="eastAsia" w:ascii="Arial" w:hAnsi="Arial" w:cs="Arial"/>
                <w:sz w:val="22"/>
                <w:szCs w:val="22"/>
              </w:rPr>
            </w:pPr>
          </w:p>
        </w:tc>
        <w:tc>
          <w:tcPr>
            <w:tcW w:w="1331" w:type="dxa"/>
            <w:noWrap w:val="0"/>
            <w:vAlign w:val="center"/>
          </w:tcPr>
          <w:p w14:paraId="026DA174">
            <w:pPr>
              <w:spacing w:line="300" w:lineRule="exact"/>
              <w:jc w:val="center"/>
              <w:rPr>
                <w:rFonts w:hint="eastAsia" w:ascii="Arial" w:hAnsi="Arial" w:cs="Arial"/>
                <w:sz w:val="22"/>
                <w:szCs w:val="22"/>
              </w:rPr>
            </w:pPr>
            <w:r>
              <w:rPr>
                <w:rFonts w:hint="eastAsia" w:ascii="Arial" w:hAnsi="Arial" w:cs="Arial"/>
                <w:sz w:val="22"/>
                <w:szCs w:val="22"/>
              </w:rPr>
              <w:t>库区周边</w:t>
            </w:r>
          </w:p>
        </w:tc>
        <w:tc>
          <w:tcPr>
            <w:tcW w:w="1559" w:type="dxa"/>
            <w:noWrap w:val="0"/>
            <w:vAlign w:val="center"/>
          </w:tcPr>
          <w:p w14:paraId="363CA144">
            <w:pPr>
              <w:spacing w:line="300" w:lineRule="exact"/>
              <w:jc w:val="center"/>
              <w:rPr>
                <w:rFonts w:hint="eastAsia" w:ascii="Arial" w:hAnsi="Arial" w:cs="Arial"/>
                <w:sz w:val="22"/>
                <w:szCs w:val="22"/>
              </w:rPr>
            </w:pPr>
            <w:r>
              <w:rPr>
                <w:rFonts w:hint="eastAsia" w:ascii="Arial" w:hAnsi="Arial" w:cs="Arial"/>
                <w:sz w:val="22"/>
                <w:szCs w:val="22"/>
              </w:rPr>
              <w:t>加强生态林地建设</w:t>
            </w:r>
          </w:p>
        </w:tc>
        <w:tc>
          <w:tcPr>
            <w:tcW w:w="5528" w:type="dxa"/>
            <w:gridSpan w:val="2"/>
            <w:noWrap w:val="0"/>
            <w:vAlign w:val="center"/>
          </w:tcPr>
          <w:p w14:paraId="6DEC1349">
            <w:pPr>
              <w:spacing w:line="300" w:lineRule="exact"/>
              <w:jc w:val="center"/>
              <w:rPr>
                <w:rFonts w:ascii="Arial" w:hAnsi="Arial" w:cs="Arial"/>
                <w:sz w:val="22"/>
                <w:szCs w:val="22"/>
              </w:rPr>
            </w:pPr>
            <w:r>
              <w:rPr>
                <w:rFonts w:hint="eastAsia" w:ascii="Arial" w:hAnsi="Arial" w:cs="Arial"/>
                <w:sz w:val="22"/>
                <w:szCs w:val="22"/>
              </w:rPr>
              <w:t>库区周边植树造林，禁止对水库周围植被乱砍乱伐。</w:t>
            </w:r>
          </w:p>
          <w:p w14:paraId="52353847">
            <w:pPr>
              <w:spacing w:line="300" w:lineRule="exact"/>
              <w:jc w:val="center"/>
              <w:rPr>
                <w:rFonts w:hint="eastAsia" w:ascii="Arial" w:hAnsi="Arial" w:cs="Arial"/>
                <w:sz w:val="22"/>
                <w:szCs w:val="22"/>
              </w:rPr>
            </w:pPr>
            <w:r>
              <w:rPr>
                <w:rFonts w:hint="eastAsia" w:ascii="Arial" w:hAnsi="Arial" w:cs="Arial"/>
                <w:sz w:val="22"/>
                <w:szCs w:val="22"/>
              </w:rPr>
              <w:t>在野生动物可能出没的地方设置动物通行标志，并在水库周边采取一定的保护措施如加设围栏等，还可对水库周边设置预告、人工监控、控制交通等措施来有效避免对评价区内野生动物的伤害。</w:t>
            </w:r>
          </w:p>
        </w:tc>
      </w:tr>
      <w:tr w14:paraId="624B17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77" w:type="dxa"/>
            <w:noWrap w:val="0"/>
            <w:vAlign w:val="center"/>
          </w:tcPr>
          <w:p w14:paraId="71345CC8">
            <w:pPr>
              <w:spacing w:line="300" w:lineRule="exact"/>
              <w:jc w:val="center"/>
              <w:rPr>
                <w:rFonts w:hint="eastAsia" w:ascii="Arial" w:hAnsi="Arial" w:eastAsia="宋体" w:cs="Arial"/>
                <w:sz w:val="22"/>
                <w:szCs w:val="22"/>
                <w:lang w:eastAsia="zh-CN"/>
              </w:rPr>
            </w:pPr>
            <w:r>
              <w:rPr>
                <w:rFonts w:hint="eastAsia" w:ascii="Arial" w:hAnsi="Arial" w:cs="Arial"/>
                <w:sz w:val="22"/>
                <w:szCs w:val="22"/>
                <w:lang w:eastAsia="zh-CN"/>
              </w:rPr>
              <w:t>环境管理及监测</w:t>
            </w:r>
          </w:p>
        </w:tc>
        <w:tc>
          <w:tcPr>
            <w:tcW w:w="1331" w:type="dxa"/>
            <w:noWrap w:val="0"/>
            <w:vAlign w:val="center"/>
          </w:tcPr>
          <w:p w14:paraId="0992649C">
            <w:pPr>
              <w:spacing w:line="300" w:lineRule="exact"/>
              <w:jc w:val="center"/>
              <w:rPr>
                <w:rFonts w:hint="eastAsia" w:ascii="Arial" w:hAnsi="Arial" w:cs="Arial"/>
                <w:sz w:val="22"/>
                <w:szCs w:val="22"/>
              </w:rPr>
            </w:pPr>
            <w:r>
              <w:rPr>
                <w:rFonts w:hint="eastAsia" w:ascii="Arial" w:hAnsi="Arial" w:cs="Arial"/>
                <w:sz w:val="22"/>
                <w:szCs w:val="22"/>
              </w:rPr>
              <w:t>整体工程</w:t>
            </w:r>
          </w:p>
        </w:tc>
        <w:tc>
          <w:tcPr>
            <w:tcW w:w="7087" w:type="dxa"/>
            <w:gridSpan w:val="3"/>
            <w:noWrap w:val="0"/>
            <w:vAlign w:val="center"/>
          </w:tcPr>
          <w:p w14:paraId="75F22DD7">
            <w:pPr>
              <w:spacing w:line="300" w:lineRule="exact"/>
              <w:jc w:val="center"/>
              <w:rPr>
                <w:rFonts w:hint="eastAsia" w:ascii="Arial" w:hAnsi="Arial" w:eastAsia="宋体" w:cs="Arial"/>
                <w:sz w:val="22"/>
                <w:szCs w:val="22"/>
                <w:lang w:eastAsia="zh-CN"/>
              </w:rPr>
            </w:pPr>
            <w:r>
              <w:rPr>
                <w:rFonts w:hint="eastAsia" w:ascii="Arial" w:hAnsi="Arial" w:cs="Arial"/>
                <w:sz w:val="22"/>
                <w:szCs w:val="22"/>
              </w:rPr>
              <w:t>落实环境影响报告书中的管理要求，配备专职或兼职的环境管理人员，按报告提出的监测方案实施了环境监测</w:t>
            </w:r>
            <w:r>
              <w:rPr>
                <w:rFonts w:hint="eastAsia" w:ascii="Arial" w:hAnsi="Arial" w:cs="Arial"/>
                <w:sz w:val="22"/>
                <w:szCs w:val="22"/>
                <w:lang w:eastAsia="zh-CN"/>
              </w:rPr>
              <w:t>。</w:t>
            </w:r>
          </w:p>
        </w:tc>
      </w:tr>
    </w:tbl>
    <w:p w14:paraId="49AFE165">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eastAsia="宋体" w:cs="Arial"/>
          <w:b/>
          <w:color w:val="000000"/>
          <w:sz w:val="26"/>
          <w:szCs w:val="26"/>
        </w:rPr>
      </w:pPr>
    </w:p>
    <w:p w14:paraId="20110F1B">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eastAsia="宋体" w:cs="Arial"/>
          <w:b/>
          <w:color w:val="000000"/>
          <w:sz w:val="26"/>
          <w:szCs w:val="26"/>
        </w:rPr>
      </w:pPr>
    </w:p>
    <w:p w14:paraId="1E09F060">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eastAsia="宋体" w:cs="Arial"/>
          <w:b/>
          <w:color w:val="000000"/>
          <w:sz w:val="26"/>
          <w:szCs w:val="26"/>
        </w:rPr>
      </w:pPr>
    </w:p>
    <w:p w14:paraId="2F45D69E">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Arial" w:hAnsi="Arial" w:eastAsia="宋体" w:cs="Arial"/>
          <w:b/>
          <w:color w:val="000000"/>
          <w:sz w:val="26"/>
          <w:szCs w:val="26"/>
          <w:lang w:eastAsia="zh-CN"/>
        </w:rPr>
      </w:pPr>
    </w:p>
    <w:p w14:paraId="7FC5D15D">
      <w:pPr>
        <w:pStyle w:val="1066"/>
        <w:rPr>
          <w:rFonts w:cs="Times New Roman"/>
        </w:rPr>
      </w:pPr>
    </w:p>
    <w:p w14:paraId="448E3736">
      <w:pPr>
        <w:ind w:firstLine="472" w:firstLineChars="196"/>
        <w:jc w:val="center"/>
        <w:rPr>
          <w:b/>
          <w:sz w:val="24"/>
          <w:szCs w:val="24"/>
        </w:rPr>
      </w:pPr>
    </w:p>
    <w:p w14:paraId="32E68C6D">
      <w:pPr>
        <w:widowControl/>
        <w:jc w:val="left"/>
        <w:rPr>
          <w:b/>
          <w:sz w:val="24"/>
          <w:szCs w:val="24"/>
        </w:rPr>
      </w:pPr>
      <w:r>
        <w:rPr>
          <w:b/>
          <w:sz w:val="24"/>
          <w:szCs w:val="24"/>
        </w:rPr>
        <w:br w:type="page"/>
      </w:r>
    </w:p>
    <w:p w14:paraId="1587E780">
      <w:pPr>
        <w:rPr>
          <w:b/>
          <w:sz w:val="24"/>
          <w:szCs w:val="24"/>
        </w:rPr>
        <w:sectPr>
          <w:pgSz w:w="12240" w:h="15840"/>
          <w:pgMar w:top="1440" w:right="1701" w:bottom="1440" w:left="1701" w:header="794" w:footer="794" w:gutter="0"/>
          <w:pgBorders>
            <w:top w:val="none" w:sz="0" w:space="0"/>
            <w:left w:val="none" w:sz="0" w:space="0"/>
            <w:bottom w:val="none" w:sz="0" w:space="0"/>
            <w:right w:val="none" w:sz="0" w:space="0"/>
          </w:pgBorders>
          <w:pgNumType w:fmt="decimal"/>
          <w:cols w:space="0" w:num="1"/>
          <w:rtlGutter w:val="0"/>
          <w:docGrid w:linePitch="286" w:charSpace="0"/>
        </w:sectPr>
      </w:pPr>
    </w:p>
    <w:p w14:paraId="1340BDFA">
      <w:pPr>
        <w:pStyle w:val="583"/>
        <w:keepNext w:val="0"/>
        <w:keepLines w:val="0"/>
        <w:pageBreakBefore w:val="0"/>
        <w:widowControl w:val="0"/>
        <w:kinsoku/>
        <w:wordWrap/>
        <w:overflowPunct/>
        <w:topLinePunct w:val="0"/>
        <w:autoSpaceDE/>
        <w:autoSpaceDN/>
        <w:bidi w:val="0"/>
        <w:adjustRightInd w:val="0"/>
        <w:snapToGrid w:val="0"/>
        <w:spacing w:before="0" w:beforeLines="100" w:after="0" w:afterLines="100" w:line="460" w:lineRule="exact"/>
        <w:ind w:firstLine="0" w:firstLineChars="0"/>
        <w:jc w:val="center"/>
        <w:textAlignment w:val="auto"/>
        <w:outlineLvl w:val="0"/>
        <w:rPr>
          <w:rFonts w:hint="default" w:ascii="Arial" w:hAnsi="Arial" w:eastAsia="宋体" w:cs="Arial"/>
          <w:b/>
          <w:sz w:val="26"/>
          <w:szCs w:val="26"/>
          <w:highlight w:val="none"/>
          <w:lang w:eastAsia="zh-CN"/>
        </w:rPr>
      </w:pPr>
      <w:bookmarkStart w:id="163" w:name="_Toc329341124"/>
      <w:bookmarkStart w:id="164" w:name="_Toc8802"/>
      <w:bookmarkStart w:id="165" w:name="_Toc391112265"/>
      <w:bookmarkStart w:id="166" w:name="_Toc429770274"/>
      <w:r>
        <w:rPr>
          <w:rFonts w:hint="eastAsia" w:ascii="Arial" w:hAnsi="Arial" w:cs="Arial"/>
          <w:b/>
          <w:sz w:val="26"/>
          <w:szCs w:val="26"/>
          <w:highlight w:val="none"/>
          <w:lang w:val="en-US" w:eastAsia="zh-CN"/>
        </w:rPr>
        <w:t>10</w:t>
      </w:r>
      <w:r>
        <w:rPr>
          <w:rFonts w:hint="default" w:ascii="Arial" w:hAnsi="Arial" w:cs="Arial"/>
          <w:b/>
          <w:sz w:val="26"/>
          <w:szCs w:val="26"/>
          <w:highlight w:val="none"/>
        </w:rPr>
        <w:t xml:space="preserve"> 结论与建议</w:t>
      </w:r>
      <w:bookmarkEnd w:id="163"/>
      <w:bookmarkEnd w:id="164"/>
      <w:bookmarkEnd w:id="165"/>
      <w:bookmarkEnd w:id="166"/>
    </w:p>
    <w:p w14:paraId="79EAED4A">
      <w:pPr>
        <w:pStyle w:val="1291"/>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both"/>
        <w:textAlignment w:val="auto"/>
        <w:rPr>
          <w:rFonts w:hint="eastAsia" w:ascii="Arial" w:hAnsi="Arial" w:eastAsia="宋体" w:cs="Arial"/>
          <w:sz w:val="26"/>
          <w:szCs w:val="26"/>
          <w:highlight w:val="none"/>
          <w:lang w:val="en-US" w:eastAsia="zh-CN"/>
        </w:rPr>
      </w:pPr>
      <w:bookmarkStart w:id="167" w:name="_Toc16190"/>
      <w:bookmarkStart w:id="168" w:name="_Toc429770275"/>
      <w:bookmarkStart w:id="169" w:name="_Toc329341125"/>
      <w:bookmarkStart w:id="170" w:name="_Toc309066919"/>
      <w:bookmarkStart w:id="171" w:name="_Toc391112266"/>
      <w:r>
        <w:rPr>
          <w:rFonts w:hint="eastAsia" w:ascii="Arial" w:hAnsi="Arial" w:eastAsia="宋体" w:cs="Arial"/>
          <w:sz w:val="26"/>
          <w:szCs w:val="26"/>
          <w:highlight w:val="none"/>
          <w:lang w:val="en-US" w:eastAsia="zh-CN"/>
        </w:rPr>
        <w:t>1</w:t>
      </w:r>
      <w:r>
        <w:rPr>
          <w:rFonts w:hint="eastAsia" w:ascii="Arial" w:hAnsi="Arial" w:cs="Arial"/>
          <w:sz w:val="26"/>
          <w:szCs w:val="26"/>
          <w:highlight w:val="none"/>
          <w:lang w:val="en-US" w:eastAsia="zh-CN"/>
        </w:rPr>
        <w:t>0</w:t>
      </w:r>
      <w:r>
        <w:rPr>
          <w:rFonts w:hint="eastAsia" w:ascii="Arial" w:hAnsi="Arial" w:eastAsia="宋体" w:cs="Arial"/>
          <w:sz w:val="26"/>
          <w:szCs w:val="26"/>
          <w:highlight w:val="none"/>
          <w:lang w:val="en-US" w:eastAsia="zh-CN"/>
        </w:rPr>
        <w:t>.1 结论</w:t>
      </w:r>
      <w:bookmarkEnd w:id="167"/>
      <w:bookmarkEnd w:id="168"/>
      <w:bookmarkEnd w:id="169"/>
      <w:bookmarkEnd w:id="170"/>
      <w:bookmarkEnd w:id="171"/>
    </w:p>
    <w:p w14:paraId="64140D61">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color w:val="000000"/>
          <w:sz w:val="26"/>
          <w:szCs w:val="26"/>
          <w:lang w:val="en-US" w:eastAsia="zh-CN"/>
        </w:rPr>
      </w:pPr>
      <w:bookmarkStart w:id="172" w:name="_Toc36041172"/>
      <w:bookmarkStart w:id="173" w:name="_Toc429770276"/>
      <w:bookmarkStart w:id="174" w:name="_Toc391112267"/>
      <w:bookmarkStart w:id="175" w:name="_Toc34987971"/>
      <w:bookmarkStart w:id="176" w:name="_Toc119592489"/>
      <w:bookmarkStart w:id="177" w:name="_Toc80865354"/>
      <w:bookmarkStart w:id="178" w:name="_Toc329341126"/>
      <w:bookmarkStart w:id="179" w:name="_Toc37663438"/>
      <w:bookmarkStart w:id="180" w:name="_Toc84687769"/>
      <w:bookmarkStart w:id="181" w:name="_Toc309066920"/>
      <w:bookmarkStart w:id="182" w:name="_Toc82767292"/>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0</w:t>
      </w:r>
      <w:r>
        <w:rPr>
          <w:rFonts w:hint="eastAsia" w:ascii="Arial" w:hAnsi="Arial" w:eastAsia="宋体" w:cs="Arial"/>
          <w:b/>
          <w:bCs/>
          <w:color w:val="000000"/>
          <w:sz w:val="26"/>
          <w:szCs w:val="26"/>
          <w:lang w:val="en-US" w:eastAsia="zh-CN"/>
        </w:rPr>
        <w:t xml:space="preserve">.1.1 </w:t>
      </w:r>
      <w:r>
        <w:rPr>
          <w:rFonts w:hint="eastAsia" w:ascii="Arial" w:hAnsi="Arial" w:cs="Arial"/>
          <w:b/>
          <w:bCs/>
          <w:color w:val="000000"/>
          <w:sz w:val="26"/>
          <w:szCs w:val="26"/>
          <w:lang w:val="en-US" w:eastAsia="zh-CN"/>
        </w:rPr>
        <w:t>工程</w:t>
      </w:r>
      <w:r>
        <w:rPr>
          <w:rFonts w:hint="eastAsia" w:ascii="Arial" w:hAnsi="Arial" w:eastAsia="宋体" w:cs="Arial"/>
          <w:b/>
          <w:bCs/>
          <w:color w:val="000000"/>
          <w:sz w:val="26"/>
          <w:szCs w:val="26"/>
          <w:lang w:val="en-US" w:eastAsia="zh-CN"/>
        </w:rPr>
        <w:t>概况</w:t>
      </w:r>
      <w:bookmarkEnd w:id="172"/>
      <w:bookmarkEnd w:id="173"/>
      <w:bookmarkEnd w:id="174"/>
      <w:bookmarkEnd w:id="175"/>
      <w:bookmarkEnd w:id="176"/>
      <w:bookmarkEnd w:id="177"/>
      <w:bookmarkEnd w:id="178"/>
      <w:bookmarkEnd w:id="179"/>
      <w:bookmarkEnd w:id="180"/>
      <w:bookmarkEnd w:id="181"/>
      <w:bookmarkEnd w:id="182"/>
    </w:p>
    <w:p w14:paraId="6259B363">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cs="Arial"/>
          <w:color w:val="auto"/>
          <w:kern w:val="0"/>
          <w:sz w:val="26"/>
          <w:szCs w:val="26"/>
          <w:highlight w:val="none"/>
          <w:lang w:val="en-US" w:eastAsia="zh-CN"/>
        </w:rPr>
      </w:pPr>
      <w:r>
        <w:rPr>
          <w:rFonts w:hint="eastAsia" w:ascii="Arial" w:hAnsi="Arial" w:cs="Arial"/>
          <w:b w:val="0"/>
          <w:color w:val="auto"/>
          <w:kern w:val="2"/>
          <w:sz w:val="26"/>
          <w:szCs w:val="26"/>
          <w:lang w:val="en-US" w:eastAsia="zh-CN" w:bidi="ar-SA"/>
        </w:rPr>
        <w:t>海螺沟水库选址位于丰都县双龙镇田家山村，</w:t>
      </w:r>
      <w:r>
        <w:rPr>
          <w:rFonts w:hint="eastAsia" w:ascii="Arial" w:hAnsi="Arial" w:cs="Arial"/>
          <w:color w:val="auto"/>
          <w:kern w:val="0"/>
          <w:sz w:val="26"/>
          <w:szCs w:val="26"/>
          <w:highlight w:val="none"/>
          <w:lang w:val="en-US" w:eastAsia="zh-CN"/>
        </w:rPr>
        <w:t>坝址</w:t>
      </w:r>
      <w:r>
        <w:rPr>
          <w:rFonts w:hint="eastAsia" w:ascii="Arial" w:hAnsi="Arial" w:eastAsia="宋体" w:cs="Arial"/>
          <w:color w:val="auto"/>
          <w:kern w:val="0"/>
          <w:sz w:val="26"/>
          <w:szCs w:val="26"/>
          <w:highlight w:val="none"/>
          <w:lang w:val="en-US" w:eastAsia="zh-CN"/>
        </w:rPr>
        <w:t>位于渠溪河左岸一级支流双龙河</w:t>
      </w:r>
      <w:r>
        <w:rPr>
          <w:rFonts w:hint="eastAsia" w:ascii="Arial" w:hAnsi="Arial" w:cs="Arial"/>
          <w:color w:val="auto"/>
          <w:kern w:val="0"/>
          <w:sz w:val="26"/>
          <w:szCs w:val="26"/>
          <w:highlight w:val="none"/>
          <w:lang w:val="en-US" w:eastAsia="zh-CN"/>
        </w:rPr>
        <w:t>右岸一级支流高洞桥河左岸一级</w:t>
      </w:r>
      <w:r>
        <w:rPr>
          <w:rFonts w:hint="eastAsia" w:ascii="Arial" w:hAnsi="Arial" w:eastAsia="宋体" w:cs="Arial"/>
          <w:color w:val="auto"/>
          <w:kern w:val="0"/>
          <w:sz w:val="26"/>
          <w:szCs w:val="26"/>
          <w:highlight w:val="none"/>
          <w:lang w:val="en-US" w:eastAsia="zh-CN"/>
        </w:rPr>
        <w:t>支流海螺沟上，</w:t>
      </w:r>
      <w:r>
        <w:rPr>
          <w:rFonts w:hint="eastAsia" w:ascii="Arial" w:hAnsi="Arial" w:cs="Arial"/>
          <w:color w:val="auto"/>
          <w:kern w:val="0"/>
          <w:sz w:val="26"/>
          <w:szCs w:val="26"/>
          <w:highlight w:val="none"/>
          <w:lang w:val="en-US" w:eastAsia="zh-CN"/>
        </w:rPr>
        <w:t>是</w:t>
      </w:r>
      <w:r>
        <w:rPr>
          <w:rFonts w:hint="eastAsia" w:ascii="Arial" w:hAnsi="Arial" w:eastAsia="宋体" w:cs="Arial"/>
          <w:color w:val="auto"/>
          <w:kern w:val="0"/>
          <w:sz w:val="26"/>
          <w:szCs w:val="26"/>
          <w:highlight w:val="none"/>
          <w:lang w:val="en-US" w:eastAsia="zh-CN"/>
        </w:rPr>
        <w:t>一座以供水和农业灌溉为主要开发功能的小（2）型水利工程</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多年平均总供水量76.28万m</w:t>
      </w:r>
      <w:r>
        <w:rPr>
          <w:rFonts w:hint="eastAsia" w:ascii="Arial" w:hAnsi="Arial" w:eastAsia="宋体"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w:t>
      </w:r>
      <w:r>
        <w:rPr>
          <w:rFonts w:hint="eastAsia" w:ascii="Arial" w:hAnsi="Arial" w:eastAsia="宋体" w:cs="Arial"/>
          <w:color w:val="auto"/>
          <w:kern w:val="0"/>
          <w:sz w:val="26"/>
          <w:szCs w:val="26"/>
          <w:highlight w:val="none"/>
          <w:lang w:val="en-US" w:eastAsia="zh-CN"/>
        </w:rPr>
        <w:t>水库坝址以上流域面积为2.04km</w:t>
      </w:r>
      <w:r>
        <w:rPr>
          <w:rFonts w:hint="eastAsia" w:ascii="Arial" w:hAnsi="Arial" w:eastAsia="宋体" w:cs="Arial"/>
          <w:color w:val="auto"/>
          <w:kern w:val="0"/>
          <w:sz w:val="26"/>
          <w:szCs w:val="26"/>
          <w:highlight w:val="none"/>
          <w:vertAlign w:val="superscript"/>
          <w:lang w:val="en-US" w:eastAsia="zh-CN"/>
        </w:rPr>
        <w:t>2</w:t>
      </w:r>
      <w:r>
        <w:rPr>
          <w:rFonts w:hint="eastAsia" w:ascii="Arial" w:hAnsi="Arial" w:eastAsia="宋体" w:cs="Arial"/>
          <w:color w:val="auto"/>
          <w:kern w:val="0"/>
          <w:sz w:val="26"/>
          <w:szCs w:val="26"/>
          <w:highlight w:val="none"/>
          <w:lang w:val="en-US" w:eastAsia="zh-CN"/>
        </w:rPr>
        <w:t>，坝址处多年平均径流量105万m</w:t>
      </w:r>
      <w:r>
        <w:rPr>
          <w:rFonts w:hint="eastAsia" w:ascii="Arial" w:hAnsi="Arial" w:eastAsia="宋体"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；正常蓄水位为420.0m，相应库容65.36万m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；死水位407.50m，死库容5.62万m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，调节库容59.74万m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；校核洪水位421.78m，总库容80.51万m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。配套输水管线总长8.9km，其中双龙干管长5.27km，5条支管长3.63km；采取PE管，地埋式敷设，取水流量为0.1124m</w:t>
      </w:r>
      <w:r>
        <w:rPr>
          <w:rFonts w:hint="eastAsia" w:ascii="Arial" w:hAnsi="Arial" w:cs="Arial"/>
          <w:color w:val="auto"/>
          <w:kern w:val="0"/>
          <w:sz w:val="26"/>
          <w:szCs w:val="26"/>
          <w:highlight w:val="none"/>
          <w:vertAlign w:val="superscript"/>
          <w:lang w:val="en-US" w:eastAsia="zh-CN"/>
        </w:rPr>
        <w:t>3</w:t>
      </w:r>
      <w:r>
        <w:rPr>
          <w:rFonts w:hint="eastAsia" w:ascii="Arial" w:hAnsi="Arial" w:cs="Arial"/>
          <w:color w:val="auto"/>
          <w:kern w:val="0"/>
          <w:sz w:val="26"/>
          <w:szCs w:val="26"/>
          <w:highlight w:val="none"/>
          <w:lang w:val="en-US" w:eastAsia="zh-CN"/>
        </w:rPr>
        <w:t>/s。配套建设上坝道路长1.76km、环库巡检步道长2.5km，及水库管理房、取水闸阀房等。</w:t>
      </w:r>
    </w:p>
    <w:p w14:paraId="196B3C5B">
      <w:pPr>
        <w:keepNext w:val="0"/>
        <w:keepLines w:val="0"/>
        <w:pageBreakBefore w:val="0"/>
        <w:kinsoku/>
        <w:wordWrap/>
        <w:overflowPunct/>
        <w:topLinePunct w:val="0"/>
        <w:autoSpaceDE/>
        <w:autoSpaceDN/>
        <w:bidi w:val="0"/>
        <w:spacing w:line="460" w:lineRule="exact"/>
        <w:ind w:firstLine="520" w:firstLineChars="200"/>
        <w:textAlignment w:val="auto"/>
        <w:rPr>
          <w:rFonts w:hint="eastAsia" w:ascii="Arial" w:hAnsi="Arial" w:cs="Arial"/>
          <w:color w:val="000000" w:themeColor="text1"/>
          <w:sz w:val="26"/>
          <w:szCs w:val="26"/>
          <w14:textFill>
            <w14:solidFill>
              <w14:schemeClr w14:val="tx1"/>
            </w14:solidFill>
          </w14:textFill>
        </w:rPr>
      </w:pPr>
      <w:r>
        <w:rPr>
          <w:rFonts w:hint="eastAsia" w:ascii="Arial" w:cs="Arial"/>
          <w:bCs/>
          <w:color w:val="000000" w:themeColor="text1"/>
          <w:sz w:val="26"/>
          <w:highlight w:val="none"/>
          <w14:textFill>
            <w14:solidFill>
              <w14:schemeClr w14:val="tx1"/>
            </w14:solidFill>
          </w14:textFill>
        </w:rPr>
        <w:t>拟建项目</w:t>
      </w:r>
      <w:r>
        <w:rPr>
          <w:rFonts w:hint="eastAsia" w:ascii="Arial" w:hAnsi="Arial" w:cs="Arial"/>
          <w:color w:val="000000" w:themeColor="text1"/>
          <w:sz w:val="26"/>
          <w:szCs w:val="26"/>
          <w:highlight w:val="none"/>
          <w14:textFill>
            <w14:solidFill>
              <w14:schemeClr w14:val="tx1"/>
            </w14:solidFill>
          </w14:textFill>
        </w:rPr>
        <w:t>总投资为</w:t>
      </w:r>
      <w:r>
        <w:rPr>
          <w:rFonts w:hint="eastAsia" w:ascii="Arial" w:hAnsi="Arial" w:cs="Arial"/>
          <w:color w:val="000000" w:themeColor="text1"/>
          <w:sz w:val="26"/>
          <w:szCs w:val="26"/>
          <w:highlight w:val="none"/>
          <w:lang w:val="en-US" w:eastAsia="zh-CN"/>
          <w14:textFill>
            <w14:solidFill>
              <w14:schemeClr w14:val="tx1"/>
            </w14:solidFill>
          </w14:textFill>
        </w:rPr>
        <w:t>14499.6</w:t>
      </w:r>
      <w:r>
        <w:rPr>
          <w:rFonts w:hint="eastAsia" w:ascii="Arial" w:hAnsi="Arial" w:cs="Arial"/>
          <w:color w:val="000000" w:themeColor="text1"/>
          <w:sz w:val="26"/>
          <w:szCs w:val="26"/>
          <w:highlight w:val="none"/>
          <w14:textFill>
            <w14:solidFill>
              <w14:schemeClr w14:val="tx1"/>
            </w14:solidFill>
          </w14:textFill>
        </w:rPr>
        <w:t>万元</w:t>
      </w:r>
      <w:r>
        <w:rPr>
          <w:rFonts w:hint="eastAsia" w:ascii="Arial" w:hAnsi="Arial" w:cs="Arial"/>
          <w:color w:val="000000" w:themeColor="text1"/>
          <w:sz w:val="26"/>
          <w:szCs w:val="26"/>
          <w14:textFill>
            <w14:solidFill>
              <w14:schemeClr w14:val="tx1"/>
            </w14:solidFill>
          </w14:textFill>
        </w:rPr>
        <w:t>，其中环保投资为</w:t>
      </w:r>
      <w:r>
        <w:rPr>
          <w:rFonts w:hint="eastAsia" w:ascii="Arial" w:hAnsi="Arial" w:cs="Arial"/>
          <w:color w:val="000000" w:themeColor="text1"/>
          <w:sz w:val="26"/>
          <w:szCs w:val="26"/>
          <w:lang w:val="en-US" w:eastAsia="zh-CN"/>
          <w14:textFill>
            <w14:solidFill>
              <w14:schemeClr w14:val="tx1"/>
            </w14:solidFill>
          </w14:textFill>
        </w:rPr>
        <w:t>208</w:t>
      </w:r>
      <w:r>
        <w:rPr>
          <w:rFonts w:hint="eastAsia" w:ascii="Arial" w:hAnsi="Arial" w:cs="Arial"/>
          <w:color w:val="000000" w:themeColor="text1"/>
          <w:sz w:val="26"/>
          <w:szCs w:val="26"/>
          <w14:textFill>
            <w14:solidFill>
              <w14:schemeClr w14:val="tx1"/>
            </w14:solidFill>
          </w14:textFill>
        </w:rPr>
        <w:t>万元，占总投资的</w:t>
      </w:r>
      <w:r>
        <w:rPr>
          <w:rFonts w:hint="eastAsia" w:ascii="Arial" w:hAnsi="Arial" w:cs="Arial"/>
          <w:color w:val="000000" w:themeColor="text1"/>
          <w:sz w:val="26"/>
          <w:szCs w:val="26"/>
          <w:lang w:val="en-US" w:eastAsia="zh-CN"/>
          <w14:textFill>
            <w14:solidFill>
              <w14:schemeClr w14:val="tx1"/>
            </w14:solidFill>
          </w14:textFill>
        </w:rPr>
        <w:t>1.43</w:t>
      </w:r>
      <w:r>
        <w:rPr>
          <w:rFonts w:hint="eastAsia" w:ascii="Arial" w:hAnsi="Arial" w:cs="Arial"/>
          <w:color w:val="000000" w:themeColor="text1"/>
          <w:sz w:val="26"/>
          <w:szCs w:val="26"/>
          <w14:textFill>
            <w14:solidFill>
              <w14:schemeClr w14:val="tx1"/>
            </w14:solidFill>
          </w14:textFill>
        </w:rPr>
        <w:t>%。施工期共计</w:t>
      </w:r>
      <w:r>
        <w:rPr>
          <w:rFonts w:hint="eastAsia" w:ascii="Arial" w:hAnsi="Arial" w:cs="Arial"/>
          <w:color w:val="000000" w:themeColor="text1"/>
          <w:sz w:val="26"/>
          <w:szCs w:val="26"/>
          <w:lang w:val="en-US" w:eastAsia="zh-CN"/>
          <w14:textFill>
            <w14:solidFill>
              <w14:schemeClr w14:val="tx1"/>
            </w14:solidFill>
          </w14:textFill>
        </w:rPr>
        <w:t>24</w:t>
      </w:r>
      <w:r>
        <w:rPr>
          <w:rFonts w:hint="eastAsia" w:ascii="Arial" w:hAnsi="Arial" w:cs="Arial"/>
          <w:color w:val="000000" w:themeColor="text1"/>
          <w:sz w:val="26"/>
          <w:szCs w:val="26"/>
          <w14:textFill>
            <w14:solidFill>
              <w14:schemeClr w14:val="tx1"/>
            </w14:solidFill>
          </w14:textFill>
        </w:rPr>
        <w:t>个月。</w:t>
      </w:r>
    </w:p>
    <w:p w14:paraId="01BD9CEE">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color w:val="000000"/>
          <w:sz w:val="26"/>
          <w:szCs w:val="26"/>
          <w:lang w:val="en-US" w:eastAsia="zh-CN"/>
        </w:rPr>
      </w:pPr>
      <w:bookmarkStart w:id="183" w:name="_Toc84687770"/>
      <w:bookmarkStart w:id="184" w:name="_Toc36041173"/>
      <w:bookmarkStart w:id="185" w:name="_Toc37663439"/>
      <w:bookmarkStart w:id="186" w:name="_Toc80865355"/>
      <w:bookmarkStart w:id="187" w:name="_Toc82767293"/>
      <w:bookmarkStart w:id="188" w:name="_Toc34987972"/>
      <w:bookmarkStart w:id="189" w:name="_Toc119592490"/>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0</w:t>
      </w:r>
      <w:r>
        <w:rPr>
          <w:rFonts w:hint="eastAsia" w:ascii="Arial" w:hAnsi="Arial" w:eastAsia="宋体" w:cs="Arial"/>
          <w:b/>
          <w:bCs/>
          <w:color w:val="000000"/>
          <w:sz w:val="26"/>
          <w:szCs w:val="26"/>
          <w:lang w:val="en-US" w:eastAsia="zh-CN"/>
        </w:rPr>
        <w:t>.1.2 项目与相关政策、规划的符合性</w:t>
      </w:r>
      <w:bookmarkEnd w:id="183"/>
      <w:bookmarkEnd w:id="184"/>
      <w:bookmarkEnd w:id="185"/>
      <w:bookmarkEnd w:id="186"/>
      <w:bookmarkEnd w:id="187"/>
      <w:bookmarkEnd w:id="188"/>
      <w:bookmarkEnd w:id="189"/>
    </w:p>
    <w:p w14:paraId="70254D30">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b/>
          <w:bCs/>
          <w:color w:val="000000"/>
          <w:kern w:val="2"/>
          <w:sz w:val="26"/>
          <w:szCs w:val="26"/>
          <w:lang w:val="en-US" w:eastAsia="zh-CN" w:bidi="ar-SA"/>
        </w:rPr>
      </w:pPr>
      <w:r>
        <w:rPr>
          <w:rFonts w:hint="eastAsia" w:ascii="Arial" w:hAnsi="Arial" w:eastAsia="宋体" w:cs="Arial"/>
          <w:b/>
          <w:bCs/>
          <w:color w:val="000000"/>
          <w:kern w:val="2"/>
          <w:sz w:val="26"/>
          <w:szCs w:val="26"/>
          <w:lang w:val="en-US" w:eastAsia="zh-CN" w:bidi="ar-SA"/>
        </w:rPr>
        <w:t>（1）产业政策</w:t>
      </w:r>
    </w:p>
    <w:p w14:paraId="46F10E05">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color w:val="000000"/>
          <w:kern w:val="2"/>
          <w:sz w:val="26"/>
          <w:szCs w:val="26"/>
          <w:lang w:val="en-US" w:eastAsia="zh-CN" w:bidi="ar-SA"/>
        </w:rPr>
      </w:pPr>
      <w:r>
        <w:rPr>
          <w:rFonts w:hint="eastAsia" w:ascii="Arial" w:hAnsi="Arial" w:cs="Arial"/>
          <w:b w:val="0"/>
          <w:color w:val="auto"/>
          <w:kern w:val="2"/>
          <w:sz w:val="26"/>
          <w:szCs w:val="26"/>
          <w:lang w:val="fr-FR" w:eastAsia="zh-CN" w:bidi="ar-SA"/>
        </w:rPr>
        <w:t>本项目属于《产业结构调整指导目录（20</w:t>
      </w:r>
      <w:r>
        <w:rPr>
          <w:rFonts w:hint="eastAsia" w:ascii="Arial" w:hAnsi="Arial" w:cs="Arial"/>
          <w:b w:val="0"/>
          <w:color w:val="auto"/>
          <w:kern w:val="2"/>
          <w:sz w:val="26"/>
          <w:szCs w:val="26"/>
          <w:lang w:val="en-US" w:eastAsia="zh-CN" w:bidi="ar-SA"/>
        </w:rPr>
        <w:t>24</w:t>
      </w:r>
      <w:r>
        <w:rPr>
          <w:rFonts w:hint="eastAsia" w:ascii="Arial" w:hAnsi="Arial" w:cs="Arial"/>
          <w:b w:val="0"/>
          <w:color w:val="auto"/>
          <w:kern w:val="2"/>
          <w:sz w:val="26"/>
          <w:szCs w:val="26"/>
          <w:lang w:val="fr-FR" w:eastAsia="zh-CN" w:bidi="ar-SA"/>
        </w:rPr>
        <w:t>年本）》“第一类鼓励类”中“二、水利”中“</w:t>
      </w:r>
      <w:r>
        <w:rPr>
          <w:rFonts w:hint="eastAsia" w:ascii="Arial" w:hAnsi="Arial" w:cs="Arial"/>
          <w:b w:val="0"/>
          <w:color w:val="auto"/>
          <w:kern w:val="2"/>
          <w:sz w:val="26"/>
          <w:szCs w:val="26"/>
          <w:lang w:val="en-US" w:eastAsia="zh-CN" w:bidi="ar-SA"/>
        </w:rPr>
        <w:t>2、节水供水工程”</w:t>
      </w:r>
      <w:r>
        <w:rPr>
          <w:rFonts w:hint="eastAsia" w:ascii="Arial" w:hAnsi="Arial" w:cs="Arial"/>
          <w:b w:val="0"/>
          <w:color w:val="auto"/>
          <w:kern w:val="2"/>
          <w:sz w:val="26"/>
          <w:szCs w:val="26"/>
          <w:lang w:val="fr-FR" w:eastAsia="zh-CN" w:bidi="ar-SA"/>
        </w:rPr>
        <w:t>，为鼓励类建设项目，符合国家产业政策要求。且本项目已取得丰都县发展和改革委员会下发的可研批复，赋予的项目代码为</w:t>
      </w:r>
      <w:r>
        <w:rPr>
          <w:rFonts w:hint="eastAsia" w:ascii="Arial" w:hAnsi="Arial" w:cs="Arial"/>
          <w:b w:val="0"/>
          <w:color w:val="auto"/>
          <w:kern w:val="2"/>
          <w:sz w:val="26"/>
          <w:szCs w:val="26"/>
          <w:lang w:val="en-US" w:eastAsia="zh-CN" w:bidi="ar-SA"/>
        </w:rPr>
        <w:t>2206-500230-04-01-422735。</w:t>
      </w:r>
    </w:p>
    <w:p w14:paraId="37D38D1E">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color w:val="000000"/>
          <w:kern w:val="2"/>
          <w:sz w:val="26"/>
          <w:szCs w:val="26"/>
          <w:lang w:val="en-US" w:eastAsia="zh-CN" w:bidi="ar-SA"/>
        </w:rPr>
      </w:pPr>
      <w:r>
        <w:rPr>
          <w:rFonts w:hint="eastAsia" w:ascii="Arial" w:hAnsi="Arial" w:cs="Arial"/>
          <w:color w:val="000000"/>
          <w:kern w:val="2"/>
          <w:sz w:val="26"/>
          <w:szCs w:val="26"/>
          <w:lang w:val="en-US" w:eastAsia="zh-CN" w:bidi="ar-SA"/>
        </w:rPr>
        <w:t>由此可见，本项目符合</w:t>
      </w:r>
      <w:r>
        <w:rPr>
          <w:rFonts w:hint="eastAsia" w:ascii="Arial" w:hAnsi="Arial" w:cs="Arial"/>
          <w:b w:val="0"/>
          <w:color w:val="auto"/>
          <w:kern w:val="2"/>
          <w:sz w:val="26"/>
          <w:szCs w:val="26"/>
          <w:lang w:val="en-US" w:eastAsia="zh-CN" w:bidi="ar-SA"/>
        </w:rPr>
        <w:t>国家和重庆市现行产业政策要求。</w:t>
      </w:r>
    </w:p>
    <w:p w14:paraId="2C29041B">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b/>
          <w:bCs/>
          <w:color w:val="000000"/>
          <w:kern w:val="2"/>
          <w:sz w:val="26"/>
          <w:szCs w:val="26"/>
          <w:lang w:val="en-US" w:eastAsia="zh-CN" w:bidi="ar-SA"/>
        </w:rPr>
      </w:pP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2</w:t>
      </w: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流域规划</w:t>
      </w:r>
    </w:p>
    <w:p w14:paraId="56A34029">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color w:val="000000"/>
          <w:kern w:val="2"/>
          <w:sz w:val="26"/>
          <w:szCs w:val="26"/>
          <w:lang w:val="en-US" w:eastAsia="zh-CN" w:bidi="ar-SA"/>
        </w:rPr>
      </w:pPr>
      <w:r>
        <w:rPr>
          <w:rFonts w:hint="eastAsia" w:ascii="Arial" w:hAnsi="Arial" w:cs="Arial"/>
          <w:color w:val="auto"/>
          <w:kern w:val="0"/>
          <w:sz w:val="26"/>
          <w:szCs w:val="26"/>
          <w:highlight w:val="none"/>
          <w:lang w:val="en-US" w:eastAsia="zh-CN"/>
        </w:rPr>
        <w:t>本项目属于《重庆市渠溪河流域综合规划环境影响报告书》中规划拟建水库，且规划中海螺沟水库工程任务、坝址、坝型、特征水位、库容等特性均与本次评价内容一致；本项目设施过程中将根据流域规划、规划环评及审查意见的相关内容，完善项目相关生态环境保护措施。由此可见，本项目与《重庆市渠溪河流域综合规划环境影响报告书》及其审查意见“</w:t>
      </w:r>
      <w:r>
        <w:rPr>
          <w:rFonts w:hint="default" w:ascii="Arial" w:hAnsi="Arial" w:cs="Arial"/>
          <w:color w:val="auto"/>
          <w:kern w:val="0"/>
          <w:sz w:val="26"/>
          <w:szCs w:val="26"/>
          <w:highlight w:val="none"/>
          <w:lang w:val="en-US" w:eastAsia="zh-CN"/>
        </w:rPr>
        <w:t>丰环函</w:t>
      </w:r>
      <w:r>
        <w:rPr>
          <w:rFonts w:hint="default" w:ascii="Arial" w:hAnsi="Arial" w:eastAsia="宋体" w:cs="Arial"/>
          <w:color w:val="auto"/>
          <w:kern w:val="0"/>
          <w:sz w:val="26"/>
          <w:szCs w:val="26"/>
          <w:highlight w:val="none"/>
          <w:lang w:val="en-US" w:eastAsia="zh-CN"/>
        </w:rPr>
        <w:t>〔2025〕2号</w:t>
      </w:r>
      <w:r>
        <w:rPr>
          <w:rFonts w:hint="eastAsia" w:ascii="Arial" w:hAnsi="Arial" w:cs="Arial"/>
          <w:color w:val="auto"/>
          <w:kern w:val="0"/>
          <w:sz w:val="26"/>
          <w:szCs w:val="26"/>
          <w:highlight w:val="none"/>
          <w:lang w:val="en-US" w:eastAsia="zh-CN"/>
        </w:rPr>
        <w:t>”相符。</w:t>
      </w:r>
    </w:p>
    <w:p w14:paraId="2787B166">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color w:val="000000"/>
          <w:kern w:val="2"/>
          <w:sz w:val="26"/>
          <w:szCs w:val="26"/>
          <w:lang w:val="en-US" w:eastAsia="zh-CN" w:bidi="ar-SA"/>
        </w:rPr>
      </w:pP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3</w:t>
      </w: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其他</w:t>
      </w:r>
    </w:p>
    <w:p w14:paraId="1E7CC6A1">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eastAsia="宋体" w:cs="Arial"/>
          <w:color w:val="000000"/>
          <w:kern w:val="2"/>
          <w:sz w:val="26"/>
          <w:szCs w:val="26"/>
          <w:lang w:val="en-US" w:eastAsia="zh-CN" w:bidi="ar-SA"/>
        </w:rPr>
      </w:pPr>
      <w:r>
        <w:rPr>
          <w:rFonts w:hint="eastAsia" w:ascii="Arial" w:hAnsi="Arial" w:cs="Arial"/>
          <w:color w:val="000000"/>
          <w:kern w:val="2"/>
          <w:sz w:val="26"/>
          <w:szCs w:val="26"/>
          <w:lang w:val="en-US" w:eastAsia="zh-CN" w:bidi="ar-SA"/>
        </w:rPr>
        <w:t>经叠图对比，</w:t>
      </w:r>
      <w:r>
        <w:rPr>
          <w:rFonts w:hint="eastAsia" w:ascii="Arial" w:hAnsi="Arial" w:cs="Arial"/>
          <w:color w:val="auto"/>
          <w:kern w:val="0"/>
          <w:sz w:val="26"/>
          <w:szCs w:val="26"/>
          <w:highlight w:val="none"/>
          <w:lang w:val="en-US" w:eastAsia="zh-CN"/>
        </w:rPr>
        <w:t>海螺沟水库占地范围内不涉及自然保护区、风景名胜区、森林公园、饮用水水源保护区、生态保护红线、湿地公园、水产种质资源保护区等特殊生态敏感区，与《长江经济带发展负面清单指南（试行）》、《关于印发四川省、重庆市长江经济</w:t>
      </w:r>
      <w:r>
        <w:rPr>
          <w:rFonts w:hint="default" w:ascii="Arial" w:hAnsi="Arial" w:cs="Arial"/>
          <w:color w:val="auto"/>
          <w:kern w:val="0"/>
          <w:sz w:val="26"/>
          <w:szCs w:val="26"/>
          <w:highlight w:val="none"/>
          <w:lang w:val="en-US" w:eastAsia="zh-CN"/>
        </w:rPr>
        <w:t>带发展负面清单实施细则（试行，2022年版）的通知》、《关于印发重庆市产业投资准入工作手册的通知》（渝发改投资</w:t>
      </w:r>
      <w:r>
        <w:rPr>
          <w:rFonts w:hint="default" w:ascii="Arial" w:hAnsi="Arial" w:eastAsia="宋体" w:cs="Arial"/>
          <w:color w:val="auto"/>
          <w:kern w:val="0"/>
          <w:sz w:val="26"/>
          <w:szCs w:val="26"/>
          <w:highlight w:val="none"/>
          <w:lang w:val="en-US" w:eastAsia="zh-CN"/>
        </w:rPr>
        <w:t>〔2022〕1436号）</w:t>
      </w:r>
      <w:r>
        <w:rPr>
          <w:rFonts w:hint="eastAsia" w:ascii="Arial" w:hAnsi="Arial" w:cs="Arial"/>
          <w:color w:val="auto"/>
          <w:kern w:val="0"/>
          <w:sz w:val="26"/>
          <w:szCs w:val="26"/>
          <w:highlight w:val="none"/>
          <w:lang w:val="en-US" w:eastAsia="zh-CN"/>
        </w:rPr>
        <w:t>《重庆市水安全保障“十四五”规划（2021-2025年）》、《丰都县“十四五”水安全保障规划》、丰都县“三线一单”</w:t>
      </w:r>
      <w:r>
        <w:rPr>
          <w:rFonts w:hint="default" w:ascii="Arial" w:hAnsi="Arial" w:cs="Arial"/>
          <w:color w:val="auto"/>
          <w:kern w:val="0"/>
          <w:sz w:val="26"/>
          <w:szCs w:val="26"/>
          <w:highlight w:val="none"/>
          <w:lang w:val="en-US" w:eastAsia="zh-CN"/>
        </w:rPr>
        <w:t>等文件相符</w:t>
      </w:r>
      <w:r>
        <w:rPr>
          <w:rFonts w:hint="eastAsia" w:ascii="Arial" w:hAnsi="Arial" w:cs="Arial"/>
          <w:color w:val="auto"/>
          <w:kern w:val="0"/>
          <w:sz w:val="26"/>
          <w:szCs w:val="26"/>
          <w:highlight w:val="none"/>
          <w:lang w:val="en-US" w:eastAsia="zh-CN"/>
        </w:rPr>
        <w:t>，且项目所办理的前期资料均已取</w:t>
      </w:r>
      <w:r>
        <w:rPr>
          <w:rFonts w:hint="eastAsia" w:ascii="Arial" w:hAnsi="Arial" w:eastAsia="宋体" w:cs="Arial"/>
          <w:color w:val="auto"/>
          <w:kern w:val="0"/>
          <w:sz w:val="26"/>
          <w:szCs w:val="26"/>
          <w:highlight w:val="none"/>
          <w:lang w:val="en-US" w:eastAsia="zh-CN"/>
        </w:rPr>
        <w:t>得相关主管部门的批复。</w:t>
      </w:r>
    </w:p>
    <w:p w14:paraId="7CD7EA55">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color w:val="000000"/>
          <w:sz w:val="26"/>
          <w:szCs w:val="26"/>
          <w:lang w:val="en-US" w:eastAsia="zh-CN"/>
        </w:rPr>
      </w:pPr>
      <w:bookmarkStart w:id="190" w:name="_Toc119592491"/>
      <w:bookmarkStart w:id="191" w:name="_Toc37663440"/>
      <w:bookmarkStart w:id="192" w:name="_Toc36041174"/>
      <w:bookmarkStart w:id="193" w:name="_Toc80865356"/>
      <w:bookmarkStart w:id="194" w:name="_Toc84687771"/>
      <w:bookmarkStart w:id="195" w:name="_Toc82767294"/>
      <w:bookmarkStart w:id="196" w:name="_Toc34987973"/>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0</w:t>
      </w:r>
      <w:r>
        <w:rPr>
          <w:rFonts w:hint="eastAsia" w:ascii="Arial" w:hAnsi="Arial" w:eastAsia="宋体" w:cs="Arial"/>
          <w:b/>
          <w:bCs/>
          <w:color w:val="000000"/>
          <w:sz w:val="26"/>
          <w:szCs w:val="26"/>
          <w:lang w:val="en-US" w:eastAsia="zh-CN"/>
        </w:rPr>
        <w:t>.1.3</w:t>
      </w:r>
      <w:bookmarkEnd w:id="190"/>
      <w:bookmarkEnd w:id="191"/>
      <w:bookmarkEnd w:id="192"/>
      <w:bookmarkEnd w:id="193"/>
      <w:bookmarkEnd w:id="194"/>
      <w:bookmarkEnd w:id="195"/>
      <w:bookmarkEnd w:id="196"/>
      <w:r>
        <w:rPr>
          <w:rFonts w:hint="eastAsia" w:ascii="Arial" w:hAnsi="Arial" w:cs="Arial"/>
          <w:b/>
          <w:bCs/>
          <w:color w:val="000000"/>
          <w:sz w:val="26"/>
          <w:szCs w:val="26"/>
          <w:lang w:val="en-US" w:eastAsia="zh-CN"/>
        </w:rPr>
        <w:t>环境概况</w:t>
      </w:r>
    </w:p>
    <w:p w14:paraId="6C0A8F83">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b/>
          <w:bCs/>
          <w:color w:val="000000"/>
          <w:kern w:val="2"/>
          <w:sz w:val="26"/>
          <w:szCs w:val="26"/>
          <w:lang w:val="en-US" w:eastAsia="zh-CN" w:bidi="ar-SA"/>
        </w:rPr>
      </w:pP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1</w:t>
      </w: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环境质量现状</w:t>
      </w:r>
    </w:p>
    <w:p w14:paraId="1BA02F91">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cs="Arial"/>
          <w:color w:val="000000"/>
          <w:kern w:val="2"/>
          <w:sz w:val="26"/>
          <w:szCs w:val="26"/>
          <w:lang w:val="en-US" w:eastAsia="zh-CN" w:bidi="ar-SA"/>
        </w:rPr>
      </w:pPr>
      <w:r>
        <w:rPr>
          <w:rFonts w:hint="eastAsia" w:ascii="Arial" w:hAnsi="Arial" w:eastAsia="宋体" w:cs="Arial"/>
          <w:color w:val="000000"/>
          <w:kern w:val="2"/>
          <w:sz w:val="26"/>
          <w:szCs w:val="26"/>
          <w:lang w:val="en-US" w:eastAsia="zh-CN" w:bidi="ar-SA"/>
        </w:rPr>
        <w:t>根据《</w:t>
      </w:r>
      <w:r>
        <w:rPr>
          <w:rFonts w:hint="default" w:ascii="Arial" w:hAnsi="Arial" w:eastAsia="宋体" w:cs="Arial"/>
          <w:color w:val="000000"/>
          <w:kern w:val="2"/>
          <w:sz w:val="26"/>
          <w:szCs w:val="26"/>
          <w:lang w:val="en-US" w:eastAsia="zh-CN" w:bidi="ar-SA"/>
        </w:rPr>
        <w:t>202</w:t>
      </w:r>
      <w:r>
        <w:rPr>
          <w:rFonts w:hint="eastAsia" w:ascii="Arial" w:hAnsi="Arial" w:cs="Arial"/>
          <w:color w:val="000000"/>
          <w:kern w:val="2"/>
          <w:sz w:val="26"/>
          <w:szCs w:val="26"/>
          <w:lang w:val="en-US" w:eastAsia="zh-CN" w:bidi="ar-SA"/>
        </w:rPr>
        <w:t>3</w:t>
      </w:r>
      <w:r>
        <w:rPr>
          <w:rFonts w:hint="eastAsia" w:ascii="Arial" w:hAnsi="Arial" w:eastAsia="宋体" w:cs="Arial"/>
          <w:color w:val="000000"/>
          <w:kern w:val="2"/>
          <w:sz w:val="26"/>
          <w:szCs w:val="26"/>
          <w:lang w:val="en-US" w:eastAsia="zh-CN" w:bidi="ar-SA"/>
        </w:rPr>
        <w:t>年重庆市生态环境状况公报》</w:t>
      </w:r>
      <w:r>
        <w:rPr>
          <w:rFonts w:hint="eastAsia" w:ascii="Arial" w:hAnsi="Arial" w:cs="Arial"/>
          <w:color w:val="000000"/>
          <w:kern w:val="2"/>
          <w:sz w:val="26"/>
          <w:szCs w:val="26"/>
          <w:lang w:val="en-US" w:eastAsia="zh-CN" w:bidi="ar-SA"/>
        </w:rPr>
        <w:t>，丰都县</w:t>
      </w:r>
      <w:r>
        <w:rPr>
          <w:rFonts w:hint="eastAsia" w:ascii="Arial" w:hAnsi="Arial" w:eastAsia="宋体" w:cs="Arial"/>
          <w:color w:val="000000"/>
          <w:kern w:val="2"/>
          <w:sz w:val="26"/>
          <w:szCs w:val="26"/>
          <w:lang w:val="en-US" w:eastAsia="zh-CN" w:bidi="ar-SA"/>
        </w:rPr>
        <w:t>属于环境空气质量达标区</w:t>
      </w:r>
      <w:r>
        <w:rPr>
          <w:rFonts w:hint="eastAsia" w:ascii="Arial" w:hAnsi="Arial" w:cs="Arial"/>
          <w:color w:val="000000"/>
          <w:kern w:val="2"/>
          <w:sz w:val="26"/>
          <w:szCs w:val="26"/>
          <w:lang w:val="en-US" w:eastAsia="zh-CN" w:bidi="ar-SA"/>
        </w:rPr>
        <w:t>。</w:t>
      </w:r>
    </w:p>
    <w:p w14:paraId="13C8BBEC">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cs="Arial"/>
          <w:b w:val="0"/>
          <w:bCs/>
          <w:sz w:val="26"/>
          <w:szCs w:val="26"/>
          <w:lang w:val="en-US" w:eastAsia="zh-CN"/>
        </w:rPr>
      </w:pPr>
      <w:r>
        <w:rPr>
          <w:rFonts w:hint="eastAsia" w:ascii="Arial" w:hAnsi="Arial" w:cs="Arial"/>
          <w:color w:val="000000"/>
          <w:kern w:val="2"/>
          <w:sz w:val="26"/>
          <w:szCs w:val="26"/>
          <w:lang w:val="en-US" w:eastAsia="zh-CN" w:bidi="ar-SA"/>
        </w:rPr>
        <w:t>根据实测及引用的地表水监测数据可知，项目所在流域各地表水监测断面各监测因子浓度均可满足</w:t>
      </w:r>
      <w:r>
        <w:rPr>
          <w:rFonts w:hint="eastAsia" w:ascii="Arial" w:hAnsi="Arial" w:eastAsia="宋体" w:cs="Arial"/>
          <w:color w:val="auto"/>
          <w:sz w:val="26"/>
          <w:szCs w:val="26"/>
          <w:lang w:val="en-US" w:eastAsia="zh-CN"/>
        </w:rPr>
        <w:t>《地表水环境质量标准》（GB3838-2002）中Ⅲ类标准，未出现超标现象</w:t>
      </w:r>
      <w:r>
        <w:rPr>
          <w:rFonts w:hint="eastAsia" w:ascii="Arial" w:hAnsi="Arial" w:cs="Arial"/>
          <w:color w:val="auto"/>
          <w:sz w:val="26"/>
          <w:szCs w:val="26"/>
          <w:lang w:val="en-US" w:eastAsia="zh-CN"/>
        </w:rPr>
        <w:t>，水质现状良好</w:t>
      </w:r>
      <w:r>
        <w:rPr>
          <w:rFonts w:hint="eastAsia" w:ascii="Arial" w:hAnsi="Arial" w:eastAsia="宋体" w:cs="Arial"/>
          <w:color w:val="auto"/>
          <w:sz w:val="26"/>
          <w:szCs w:val="26"/>
          <w:lang w:val="en-US" w:eastAsia="zh-CN"/>
        </w:rPr>
        <w:t>。</w:t>
      </w:r>
      <w:r>
        <w:rPr>
          <w:rFonts w:hint="eastAsia" w:ascii="Arial" w:hAnsi="Arial" w:cs="Arial"/>
          <w:color w:val="auto"/>
          <w:sz w:val="26"/>
          <w:szCs w:val="26"/>
          <w:lang w:val="en-US" w:eastAsia="zh-CN"/>
        </w:rPr>
        <w:t>根据对比分析，</w:t>
      </w:r>
      <w:r>
        <w:rPr>
          <w:rFonts w:hint="eastAsia" w:ascii="Arial" w:hAnsi="Arial" w:cs="Arial"/>
          <w:b w:val="0"/>
          <w:bCs/>
          <w:sz w:val="26"/>
          <w:szCs w:val="26"/>
          <w:lang w:val="en-US" w:eastAsia="zh-CN"/>
        </w:rPr>
        <w:t>渠溪河东风大桥例行监测断面2019~2023年各监测因子均满足《地表水环境质量标准》（GB3838-2002）中</w:t>
      </w:r>
      <w:r>
        <w:rPr>
          <w:rFonts w:hint="eastAsia" w:ascii="Arial" w:hAnsi="Arial" w:cs="Arial"/>
          <w:b w:val="0"/>
          <w:bCs/>
          <w:sz w:val="26"/>
          <w:szCs w:val="26"/>
          <w:lang w:val="en-US" w:eastAsia="zh-CN"/>
        </w:rPr>
        <w:fldChar w:fldCharType="begin"/>
      </w:r>
      <w:r>
        <w:rPr>
          <w:rFonts w:hint="eastAsia" w:ascii="Arial" w:hAnsi="Arial" w:cs="Arial"/>
          <w:b w:val="0"/>
          <w:bCs/>
          <w:sz w:val="26"/>
          <w:szCs w:val="26"/>
          <w:lang w:val="en-US" w:eastAsia="zh-CN"/>
        </w:rPr>
        <w:instrText xml:space="preserve"> = 3 \* ROMAN </w:instrText>
      </w:r>
      <w:r>
        <w:rPr>
          <w:rFonts w:hint="eastAsia" w:ascii="Arial" w:hAnsi="Arial" w:cs="Arial"/>
          <w:b w:val="0"/>
          <w:bCs/>
          <w:sz w:val="26"/>
          <w:szCs w:val="26"/>
          <w:lang w:val="en-US" w:eastAsia="zh-CN"/>
        </w:rPr>
        <w:fldChar w:fldCharType="separate"/>
      </w:r>
      <w:r>
        <w:rPr>
          <w:rFonts w:hint="eastAsia" w:ascii="Arial" w:hAnsi="Arial" w:cs="Arial"/>
          <w:b w:val="0"/>
          <w:bCs/>
          <w:sz w:val="26"/>
          <w:szCs w:val="26"/>
          <w:lang w:val="en-US" w:eastAsia="zh-CN"/>
        </w:rPr>
        <w:t>III</w:t>
      </w:r>
      <w:r>
        <w:rPr>
          <w:rFonts w:hint="eastAsia" w:ascii="Arial" w:hAnsi="Arial" w:cs="Arial"/>
          <w:b w:val="0"/>
          <w:bCs/>
          <w:sz w:val="26"/>
          <w:szCs w:val="26"/>
          <w:lang w:val="en-US" w:eastAsia="zh-CN"/>
        </w:rPr>
        <w:fldChar w:fldCharType="end"/>
      </w:r>
      <w:r>
        <w:rPr>
          <w:rFonts w:hint="eastAsia" w:ascii="Arial" w:hAnsi="Arial" w:cs="Arial"/>
          <w:b w:val="0"/>
          <w:bCs/>
          <w:sz w:val="26"/>
          <w:szCs w:val="26"/>
          <w:lang w:val="en-US" w:eastAsia="zh-CN"/>
        </w:rPr>
        <w:t>类水域标准限值要求，</w:t>
      </w:r>
      <w:r>
        <w:rPr>
          <w:rFonts w:hint="eastAsia" w:ascii="Arial" w:hAnsi="宋体" w:eastAsia="宋体" w:cs="Arial"/>
          <w:bCs/>
          <w:sz w:val="26"/>
          <w:szCs w:val="26"/>
          <w:lang w:eastAsia="zh-CN"/>
        </w:rPr>
        <w:t>化学需氧量年均浓度呈现一定上升趋势，氨氮浓度先升高后降低，溶解氧、高锰酸盐指数、五日生化需氧量、总磷浓度呈现下降趋势。</w:t>
      </w:r>
    </w:p>
    <w:p w14:paraId="6612C742">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default" w:ascii="Arial" w:hAnsi="Arial" w:cs="Arial"/>
          <w:color w:val="000000"/>
          <w:kern w:val="2"/>
          <w:sz w:val="26"/>
          <w:szCs w:val="26"/>
          <w:lang w:val="en-US" w:eastAsia="zh-CN" w:bidi="ar-SA"/>
        </w:rPr>
      </w:pPr>
      <w:r>
        <w:rPr>
          <w:rFonts w:hint="eastAsia" w:ascii="Arial" w:hAnsi="Arial" w:cs="Arial"/>
          <w:color w:val="000000"/>
          <w:kern w:val="2"/>
          <w:sz w:val="26"/>
          <w:szCs w:val="26"/>
          <w:lang w:val="en-US" w:eastAsia="zh-CN" w:bidi="ar-SA"/>
        </w:rPr>
        <w:t>根据实测结果，项目所在地设置的3个噪声现状监测点昼、夜监测值均可满足《声环境质量标准》（GB3096-2008）相应的功能区标准要求。</w:t>
      </w:r>
    </w:p>
    <w:p w14:paraId="4CC34D2C">
      <w:pPr>
        <w:pStyle w:val="583"/>
        <w:keepNext w:val="0"/>
        <w:keepLines w:val="0"/>
        <w:pageBreakBefore w:val="0"/>
        <w:kinsoku/>
        <w:wordWrap/>
        <w:overflowPunct/>
        <w:topLinePunct w:val="0"/>
        <w:autoSpaceDE/>
        <w:autoSpaceDN/>
        <w:bidi w:val="0"/>
        <w:adjustRightInd w:val="0"/>
        <w:snapToGrid w:val="0"/>
        <w:spacing w:line="460" w:lineRule="exact"/>
        <w:ind w:firstLine="560"/>
        <w:textAlignment w:val="auto"/>
        <w:rPr>
          <w:rFonts w:hint="eastAsia" w:ascii="Arial" w:hAnsi="Arial" w:cs="Arial"/>
          <w:color w:val="000000"/>
          <w:kern w:val="2"/>
          <w:sz w:val="26"/>
          <w:szCs w:val="26"/>
          <w:lang w:val="en-US" w:eastAsia="zh-CN" w:bidi="ar-SA"/>
        </w:rPr>
      </w:pPr>
      <w:r>
        <w:rPr>
          <w:rFonts w:hint="eastAsia" w:ascii="Arial" w:hAnsi="Arial" w:cs="Arial"/>
          <w:color w:val="000000"/>
          <w:kern w:val="2"/>
          <w:sz w:val="26"/>
          <w:szCs w:val="26"/>
          <w:lang w:val="en-US" w:eastAsia="zh-CN" w:bidi="ar-SA"/>
        </w:rPr>
        <w:t>根据实测及引用的地下水监测数据可知，各监测点</w:t>
      </w:r>
      <w:r>
        <w:rPr>
          <w:rFonts w:hint="eastAsia" w:ascii="Arial" w:cs="Arial"/>
          <w:spacing w:val="-4"/>
          <w:sz w:val="26"/>
          <w:szCs w:val="26"/>
          <w:lang w:val="en-US"/>
        </w:rPr>
        <w:t>各项监测因子均能够达到《地下水质量标准》（</w:t>
      </w:r>
      <w:r>
        <w:rPr>
          <w:rFonts w:ascii="Arial" w:cs="Arial"/>
          <w:spacing w:val="-4"/>
          <w:sz w:val="26"/>
          <w:szCs w:val="26"/>
          <w:lang w:val="en-US"/>
        </w:rPr>
        <w:t>GB/T14848-2017</w:t>
      </w:r>
      <w:r>
        <w:rPr>
          <w:rFonts w:hint="eastAsia" w:ascii="Arial" w:cs="Arial"/>
          <w:spacing w:val="-4"/>
          <w:sz w:val="26"/>
          <w:szCs w:val="26"/>
          <w:lang w:val="en-US"/>
        </w:rPr>
        <w:t>）中</w:t>
      </w:r>
      <w:r>
        <w:rPr>
          <w:rFonts w:ascii="Arial" w:cs="Arial"/>
          <w:spacing w:val="-4"/>
          <w:sz w:val="26"/>
          <w:szCs w:val="26"/>
          <w:lang w:val="en-US"/>
        </w:rPr>
        <w:fldChar w:fldCharType="begin"/>
      </w:r>
      <w:r>
        <w:rPr>
          <w:rFonts w:ascii="Arial" w:cs="Arial"/>
          <w:spacing w:val="-4"/>
          <w:sz w:val="26"/>
          <w:szCs w:val="26"/>
          <w:lang w:val="en-US"/>
        </w:rPr>
        <w:instrText xml:space="preserve"> = 3 \* ROMAN </w:instrText>
      </w:r>
      <w:r>
        <w:rPr>
          <w:rFonts w:ascii="Arial" w:cs="Arial"/>
          <w:spacing w:val="-4"/>
          <w:sz w:val="26"/>
          <w:szCs w:val="26"/>
          <w:lang w:val="en-US"/>
        </w:rPr>
        <w:fldChar w:fldCharType="separate"/>
      </w:r>
      <w:r>
        <w:rPr>
          <w:rFonts w:ascii="Arial" w:cs="Arial"/>
          <w:spacing w:val="-4"/>
          <w:sz w:val="26"/>
          <w:szCs w:val="26"/>
          <w:lang w:val="en-US"/>
        </w:rPr>
        <w:t>III</w:t>
      </w:r>
      <w:r>
        <w:rPr>
          <w:rFonts w:ascii="Arial" w:cs="Arial"/>
          <w:spacing w:val="-4"/>
          <w:sz w:val="26"/>
          <w:szCs w:val="26"/>
          <w:lang w:val="en-US"/>
        </w:rPr>
        <w:fldChar w:fldCharType="end"/>
      </w:r>
      <w:r>
        <w:rPr>
          <w:rFonts w:hint="eastAsia" w:ascii="Arial" w:cs="Arial"/>
          <w:spacing w:val="-4"/>
          <w:sz w:val="26"/>
          <w:szCs w:val="26"/>
          <w:lang w:val="en-US"/>
        </w:rPr>
        <w:t>类水质标准</w:t>
      </w:r>
      <w:r>
        <w:rPr>
          <w:rFonts w:hint="eastAsia" w:ascii="Arial" w:hAnsi="Arial" w:eastAsia="宋体" w:cs="Arial"/>
          <w:color w:val="auto"/>
          <w:sz w:val="26"/>
          <w:szCs w:val="26"/>
          <w:lang w:val="en-US" w:eastAsia="zh-CN"/>
        </w:rPr>
        <w:t>，未出现超标现象</w:t>
      </w:r>
      <w:r>
        <w:rPr>
          <w:rFonts w:hint="eastAsia" w:ascii="Arial" w:cs="Arial"/>
          <w:spacing w:val="-4"/>
          <w:sz w:val="26"/>
          <w:szCs w:val="26"/>
          <w:lang w:val="en-US"/>
        </w:rPr>
        <w:t>。</w:t>
      </w:r>
    </w:p>
    <w:p w14:paraId="1BCD9587">
      <w:pPr>
        <w:pStyle w:val="583"/>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cs="Arial"/>
          <w:color w:val="000000"/>
          <w:kern w:val="2"/>
          <w:sz w:val="26"/>
          <w:szCs w:val="26"/>
          <w:lang w:val="en-US" w:eastAsia="zh-CN" w:bidi="ar-SA"/>
        </w:rPr>
      </w:pPr>
      <w:r>
        <w:rPr>
          <w:rFonts w:hint="eastAsia" w:ascii="Arial" w:hAnsi="Arial" w:cs="Arial"/>
          <w:color w:val="000000"/>
          <w:kern w:val="2"/>
          <w:sz w:val="26"/>
          <w:szCs w:val="26"/>
          <w:lang w:val="en-US" w:eastAsia="zh-CN" w:bidi="ar-SA"/>
        </w:rPr>
        <w:t>根据引用的监测数据，海螺沟水库拟建大坝处底泥中各监测因子浓度均可满足《土壤环境质量农用地土壤污染风险管控标准（试行）》（GB15618-2018）表1中农用地土壤污染风险筛选值。</w:t>
      </w:r>
    </w:p>
    <w:p w14:paraId="68A65AD2">
      <w:pPr>
        <w:pStyle w:val="583"/>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default" w:ascii="Arial" w:hAnsi="Arial" w:cs="Arial"/>
          <w:color w:val="000000"/>
          <w:kern w:val="2"/>
          <w:sz w:val="26"/>
          <w:szCs w:val="26"/>
          <w:lang w:val="en-US" w:eastAsia="zh-CN" w:bidi="ar-SA"/>
        </w:rPr>
      </w:pPr>
      <w:r>
        <w:rPr>
          <w:rFonts w:hint="eastAsia" w:ascii="Arial" w:hAnsi="Arial" w:cs="Arial"/>
          <w:color w:val="000000"/>
          <w:kern w:val="2"/>
          <w:sz w:val="26"/>
          <w:szCs w:val="26"/>
          <w:highlight w:val="none"/>
          <w:lang w:val="en-US" w:eastAsia="zh-CN" w:bidi="ar-SA"/>
        </w:rPr>
        <w:t>根据现场勘查，项目评价范围内</w:t>
      </w:r>
      <w:r>
        <w:rPr>
          <w:rFonts w:hint="eastAsia" w:ascii="Arial" w:hAnsi="Arial" w:cs="Arial"/>
          <w:sz w:val="26"/>
          <w:szCs w:val="26"/>
          <w:highlight w:val="none"/>
          <w:lang w:eastAsia="zh-CN"/>
        </w:rPr>
        <w:t>以马尾松、柏树、栎类、桉树等为主，另</w:t>
      </w:r>
      <w:r>
        <w:rPr>
          <w:rFonts w:hint="eastAsia" w:ascii="Arial" w:hAnsi="Arial" w:cs="Arial"/>
          <w:sz w:val="26"/>
          <w:szCs w:val="26"/>
          <w:lang w:eastAsia="zh-CN"/>
        </w:rPr>
        <w:t>外有水稻、玉米等栽培植被，评价范围内无珍稀濒危保护类野生植物及名木古树分布。评价范围内</w:t>
      </w:r>
      <w:r>
        <w:rPr>
          <w:rFonts w:hint="default" w:ascii="Arial" w:hAnsi="Arial" w:eastAsia="宋体" w:cs="Arial"/>
          <w:color w:val="auto"/>
          <w:sz w:val="26"/>
          <w:szCs w:val="26"/>
          <w:highlight w:val="none"/>
          <w:lang w:val="en-US" w:eastAsia="zh-CN"/>
        </w:rPr>
        <w:t>有动物</w:t>
      </w:r>
      <w:r>
        <w:rPr>
          <w:rFonts w:hint="eastAsia" w:ascii="Arial" w:hAnsi="Arial" w:cs="Arial"/>
          <w:color w:val="auto"/>
          <w:sz w:val="26"/>
          <w:szCs w:val="26"/>
          <w:highlight w:val="none"/>
          <w:lang w:val="en-US" w:eastAsia="zh-CN"/>
        </w:rPr>
        <w:t>均为当地常见物种，其中重庆市市级保护动物4种，分别为</w:t>
      </w:r>
      <w:r>
        <w:rPr>
          <w:rFonts w:hint="eastAsia" w:ascii="Arial" w:hAnsi="Arial" w:eastAsia="宋体" w:cs="Arial"/>
          <w:b w:val="0"/>
          <w:color w:val="auto"/>
          <w:kern w:val="2"/>
          <w:sz w:val="26"/>
          <w:szCs w:val="26"/>
          <w:lang w:val="en-US" w:eastAsia="zh-CN" w:bidi="ar-SA"/>
        </w:rPr>
        <w:t>隆肛蛙、棘腹蛙、</w:t>
      </w:r>
      <w:r>
        <w:rPr>
          <w:rFonts w:hint="eastAsia" w:ascii="Arial" w:hAnsi="Arial" w:cs="Arial"/>
          <w:color w:val="auto"/>
          <w:sz w:val="26"/>
          <w:szCs w:val="26"/>
          <w:highlight w:val="none"/>
          <w:lang w:val="en-US" w:eastAsia="zh-CN"/>
        </w:rPr>
        <w:t>乌梢蛇、黑眉锦蛇。项目所涉及海螺沟河道</w:t>
      </w:r>
      <w:r>
        <w:rPr>
          <w:rFonts w:hint="eastAsia" w:ascii="Arial" w:hAnsi="Arial" w:cs="Arial"/>
          <w:b w:val="0"/>
          <w:color w:val="auto"/>
          <w:kern w:val="2"/>
          <w:sz w:val="26"/>
          <w:szCs w:val="26"/>
          <w:lang w:val="en-US" w:eastAsia="zh-CN" w:bidi="ar-SA"/>
        </w:rPr>
        <w:t>内</w:t>
      </w:r>
      <w:r>
        <w:rPr>
          <w:rFonts w:hint="default" w:ascii="Arial" w:hAnsi="Arial" w:cs="Arial"/>
          <w:color w:val="auto"/>
          <w:sz w:val="26"/>
          <w:szCs w:val="26"/>
        </w:rPr>
        <w:t>水生生态</w:t>
      </w:r>
      <w:r>
        <w:rPr>
          <w:rFonts w:hint="eastAsia" w:ascii="Arial" w:hAnsi="Arial" w:cs="Arial"/>
          <w:color w:val="auto"/>
          <w:sz w:val="26"/>
          <w:szCs w:val="26"/>
          <w:lang w:eastAsia="zh-CN"/>
        </w:rPr>
        <w:t>较为简单，</w:t>
      </w:r>
      <w:r>
        <w:rPr>
          <w:rFonts w:hint="eastAsia" w:ascii="Arial" w:hAnsi="Arial" w:cs="Arial"/>
          <w:color w:val="auto"/>
          <w:sz w:val="26"/>
          <w:szCs w:val="26"/>
          <w:lang w:val="en-US" w:eastAsia="zh-CN"/>
        </w:rPr>
        <w:t>无鱼类“三场一通道”分布</w:t>
      </w:r>
      <w:r>
        <w:rPr>
          <w:rFonts w:hint="default" w:ascii="Arial" w:hAnsi="Arial" w:cs="Arial"/>
          <w:color w:val="auto"/>
          <w:sz w:val="26"/>
          <w:szCs w:val="26"/>
        </w:rPr>
        <w:t>。</w:t>
      </w:r>
    </w:p>
    <w:p w14:paraId="183A7A47">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cs="Arial"/>
          <w:b/>
          <w:bCs/>
          <w:color w:val="000000"/>
          <w:kern w:val="2"/>
          <w:sz w:val="26"/>
          <w:szCs w:val="26"/>
          <w:lang w:val="en-US" w:eastAsia="zh-CN" w:bidi="ar-SA"/>
        </w:rPr>
      </w:pPr>
      <w:bookmarkStart w:id="197" w:name="_Toc80865357"/>
      <w:bookmarkStart w:id="198" w:name="_Toc84687772"/>
      <w:bookmarkStart w:id="199" w:name="_Toc119592492"/>
      <w:bookmarkStart w:id="200" w:name="_Toc82767295"/>
      <w:bookmarkStart w:id="201" w:name="_Toc34987974"/>
      <w:bookmarkStart w:id="202" w:name="_Toc36041175"/>
      <w:bookmarkStart w:id="203" w:name="_Toc37663441"/>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2</w:t>
      </w: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环境保护目标</w:t>
      </w:r>
    </w:p>
    <w:p w14:paraId="27F7C40E">
      <w:pPr>
        <w:pStyle w:val="583"/>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cs="Arial"/>
          <w:color w:val="000000"/>
          <w:kern w:val="2"/>
          <w:sz w:val="26"/>
          <w:szCs w:val="26"/>
          <w:lang w:val="en-US" w:eastAsia="zh-CN" w:bidi="ar-SA"/>
        </w:rPr>
      </w:pPr>
      <w:r>
        <w:rPr>
          <w:rFonts w:hint="eastAsia" w:ascii="Arial" w:hAnsi="Arial" w:cs="Arial"/>
          <w:color w:val="000000"/>
          <w:kern w:val="2"/>
          <w:sz w:val="26"/>
          <w:szCs w:val="26"/>
          <w:lang w:val="en-US" w:eastAsia="zh-CN" w:bidi="ar-SA"/>
        </w:rPr>
        <w:t>项目评价范围内无自然保护区、饮用水水源保护区、森林公园、地质公园、风景名胜区、生态保护红线等特殊生态敏感区；无鱼类“三场”分布，未发现国家及重庆市重点保护鱼类；无珍稀濒危保护型野生植物、名木古树分布；</w:t>
      </w:r>
      <w:r>
        <w:rPr>
          <w:rFonts w:hint="eastAsia" w:ascii="Arial" w:hAnsi="Arial" w:cs="Arial"/>
          <w:b w:val="0"/>
          <w:color w:val="auto"/>
          <w:kern w:val="2"/>
          <w:sz w:val="26"/>
          <w:szCs w:val="26"/>
          <w:lang w:val="en-US" w:eastAsia="zh-CN" w:bidi="ar-SA"/>
        </w:rPr>
        <w:t>分布有重庆市重点保护动</w:t>
      </w:r>
      <w:r>
        <w:rPr>
          <w:rFonts w:hint="eastAsia" w:ascii="Arial" w:hAnsi="Arial" w:eastAsia="宋体" w:cs="Arial"/>
          <w:b w:val="0"/>
          <w:color w:val="auto"/>
          <w:kern w:val="2"/>
          <w:sz w:val="26"/>
          <w:szCs w:val="26"/>
          <w:lang w:val="en-US" w:eastAsia="zh-CN" w:bidi="ar-SA"/>
        </w:rPr>
        <w:t>物</w:t>
      </w:r>
      <w:r>
        <w:rPr>
          <w:rFonts w:hint="eastAsia" w:ascii="Arial" w:hAnsi="Arial" w:cs="Arial"/>
          <w:b w:val="0"/>
          <w:color w:val="auto"/>
          <w:kern w:val="2"/>
          <w:sz w:val="26"/>
          <w:szCs w:val="26"/>
          <w:lang w:val="en-US" w:eastAsia="zh-CN" w:bidi="ar-SA"/>
        </w:rPr>
        <w:t>3</w:t>
      </w:r>
      <w:r>
        <w:rPr>
          <w:rFonts w:hint="eastAsia" w:ascii="Arial" w:hAnsi="Arial" w:eastAsia="宋体" w:cs="Arial"/>
          <w:b w:val="0"/>
          <w:color w:val="auto"/>
          <w:kern w:val="2"/>
          <w:sz w:val="26"/>
          <w:szCs w:val="26"/>
          <w:lang w:val="en-US" w:eastAsia="zh-CN" w:bidi="ar-SA"/>
        </w:rPr>
        <w:t>种，为隆肛蛙、棘腹蛙、黑眉锦蛇、乌梢蛇</w:t>
      </w:r>
      <w:r>
        <w:rPr>
          <w:rFonts w:hint="eastAsia" w:ascii="Arial" w:hAnsi="Arial" w:cs="Arial"/>
          <w:b w:val="0"/>
          <w:color w:val="auto"/>
          <w:kern w:val="2"/>
          <w:sz w:val="26"/>
          <w:szCs w:val="26"/>
          <w:lang w:val="en-US" w:eastAsia="zh-CN" w:bidi="ar-SA"/>
        </w:rPr>
        <w:t>。</w:t>
      </w:r>
    </w:p>
    <w:p w14:paraId="532B14B5">
      <w:pPr>
        <w:pStyle w:val="583"/>
        <w:keepNext w:val="0"/>
        <w:keepLines w:val="0"/>
        <w:pageBreakBefore w:val="0"/>
        <w:widowControl w:val="0"/>
        <w:kinsoku/>
        <w:wordWrap/>
        <w:overflowPunct/>
        <w:topLinePunct w:val="0"/>
        <w:autoSpaceDE/>
        <w:autoSpaceDN/>
        <w:bidi w:val="0"/>
        <w:adjustRightInd w:val="0"/>
        <w:snapToGrid w:val="0"/>
        <w:spacing w:line="460" w:lineRule="exact"/>
        <w:ind w:firstLine="560"/>
        <w:textAlignment w:val="auto"/>
        <w:rPr>
          <w:rFonts w:hint="eastAsia" w:ascii="Arial" w:hAnsi="Arial" w:cs="Arial"/>
          <w:color w:val="000000"/>
          <w:kern w:val="2"/>
          <w:sz w:val="26"/>
          <w:szCs w:val="26"/>
          <w:lang w:val="en-US" w:eastAsia="zh-CN" w:bidi="ar-SA"/>
        </w:rPr>
      </w:pPr>
      <w:r>
        <w:rPr>
          <w:rFonts w:hint="eastAsia" w:ascii="Arial" w:hAnsi="Arial" w:cs="Arial"/>
          <w:color w:val="000000"/>
          <w:kern w:val="2"/>
          <w:sz w:val="26"/>
          <w:szCs w:val="26"/>
          <w:lang w:val="en-US" w:eastAsia="zh-CN" w:bidi="ar-SA"/>
        </w:rPr>
        <w:t>此外，项目枢纽工程、输水工程施工区周边均有散居居民分布，将受施工噪声、粉尘等影响，作为本工程的声环境保护目标和环境空气 保护目标。</w:t>
      </w:r>
    </w:p>
    <w:bookmarkEnd w:id="197"/>
    <w:bookmarkEnd w:id="198"/>
    <w:bookmarkEnd w:id="199"/>
    <w:bookmarkEnd w:id="200"/>
    <w:bookmarkEnd w:id="201"/>
    <w:bookmarkEnd w:id="202"/>
    <w:bookmarkEnd w:id="203"/>
    <w:p w14:paraId="2A49E252">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color w:val="000000"/>
          <w:sz w:val="26"/>
          <w:szCs w:val="26"/>
          <w:lang w:val="en-US" w:eastAsia="zh-CN"/>
        </w:rPr>
      </w:pPr>
      <w:bookmarkStart w:id="204" w:name="_Toc309066924"/>
      <w:bookmarkStart w:id="205" w:name="_Toc82767296"/>
      <w:bookmarkStart w:id="206" w:name="_Toc119592493"/>
      <w:bookmarkStart w:id="207" w:name="_Toc34987975"/>
      <w:bookmarkStart w:id="208" w:name="_Toc329341130"/>
      <w:bookmarkStart w:id="209" w:name="_Toc36041176"/>
      <w:bookmarkStart w:id="210" w:name="_Toc429770280"/>
      <w:bookmarkStart w:id="211" w:name="_Toc391112271"/>
      <w:bookmarkStart w:id="212" w:name="_Toc37663442"/>
      <w:bookmarkStart w:id="213" w:name="_Toc80865358"/>
      <w:bookmarkStart w:id="214" w:name="_Toc84687773"/>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0</w:t>
      </w:r>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4</w:t>
      </w:r>
      <w:r>
        <w:rPr>
          <w:rFonts w:hint="eastAsia" w:ascii="Arial" w:hAnsi="Arial" w:eastAsia="宋体" w:cs="Arial"/>
          <w:b/>
          <w:bCs/>
          <w:color w:val="000000"/>
          <w:sz w:val="26"/>
          <w:szCs w:val="26"/>
          <w:lang w:val="en-US" w:eastAsia="zh-CN"/>
        </w:rPr>
        <w:t>环境保护措施及环境影响</w:t>
      </w:r>
      <w:bookmarkEnd w:id="204"/>
      <w:bookmarkEnd w:id="205"/>
      <w:bookmarkEnd w:id="206"/>
      <w:bookmarkEnd w:id="207"/>
      <w:bookmarkEnd w:id="208"/>
      <w:bookmarkEnd w:id="209"/>
      <w:bookmarkEnd w:id="210"/>
      <w:bookmarkEnd w:id="211"/>
      <w:bookmarkEnd w:id="212"/>
      <w:bookmarkEnd w:id="213"/>
      <w:bookmarkEnd w:id="214"/>
    </w:p>
    <w:p w14:paraId="6987D2CE">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b/>
          <w:bCs/>
          <w:color w:val="000000"/>
          <w:kern w:val="2"/>
          <w:sz w:val="26"/>
          <w:szCs w:val="26"/>
          <w:lang w:val="en-US" w:eastAsia="zh-CN" w:bidi="ar-SA"/>
        </w:rPr>
      </w:pPr>
      <w:r>
        <w:rPr>
          <w:rFonts w:hint="eastAsia" w:ascii="Arial" w:hAnsi="Arial" w:eastAsia="宋体" w:cs="Arial"/>
          <w:b/>
          <w:bCs/>
          <w:color w:val="000000"/>
          <w:kern w:val="2"/>
          <w:sz w:val="26"/>
          <w:szCs w:val="26"/>
          <w:lang w:val="en-US" w:eastAsia="zh-CN" w:bidi="ar-SA"/>
        </w:rPr>
        <w:t>（1）施工期</w:t>
      </w:r>
      <w:r>
        <w:rPr>
          <w:rFonts w:hint="eastAsia" w:ascii="Arial" w:hAnsi="Arial" w:cs="Arial"/>
          <w:b/>
          <w:bCs/>
          <w:color w:val="000000"/>
          <w:kern w:val="2"/>
          <w:sz w:val="26"/>
          <w:szCs w:val="26"/>
          <w:lang w:val="en-US" w:eastAsia="zh-CN" w:bidi="ar-SA"/>
        </w:rPr>
        <w:t>对区域环境质量的影响及保护措施</w:t>
      </w:r>
    </w:p>
    <w:p w14:paraId="661B5239">
      <w:pPr>
        <w:keepNext w:val="0"/>
        <w:keepLines w:val="0"/>
        <w:pageBreakBefore w:val="0"/>
        <w:widowControl w:val="0"/>
        <w:kinsoku/>
        <w:wordWrap/>
        <w:overflowPunct/>
        <w:topLinePunct w:val="0"/>
        <w:autoSpaceDE/>
        <w:autoSpaceDN/>
        <w:bidi w:val="0"/>
        <w:spacing w:line="460" w:lineRule="exact"/>
        <w:ind w:firstLine="522" w:firstLineChars="200"/>
        <w:textAlignment w:val="auto"/>
        <w:rPr>
          <w:rFonts w:hint="eastAsia" w:ascii="Arial" w:hAnsi="Arial" w:eastAsia="宋体" w:cs="Arial"/>
          <w:b/>
          <w:bCs/>
          <w:color w:val="auto"/>
          <w:kern w:val="0"/>
          <w:sz w:val="26"/>
          <w:szCs w:val="26"/>
          <w:highlight w:val="none"/>
          <w:lang w:val="en-US" w:eastAsia="zh-CN" w:bidi="ar-SA"/>
        </w:rPr>
      </w:pPr>
      <w:r>
        <w:rPr>
          <w:rFonts w:hint="default" w:ascii="Arial" w:hAnsi="Arial" w:eastAsia="宋体" w:cs="Arial"/>
          <w:b/>
          <w:bCs/>
          <w:color w:val="auto"/>
          <w:kern w:val="0"/>
          <w:sz w:val="26"/>
          <w:szCs w:val="26"/>
          <w:highlight w:val="none"/>
          <w:lang w:val="en-US" w:eastAsia="zh-CN" w:bidi="ar-SA"/>
        </w:rPr>
        <w:t>①</w:t>
      </w:r>
      <w:r>
        <w:rPr>
          <w:rFonts w:hint="eastAsia" w:ascii="Arial" w:hAnsi="Arial" w:eastAsia="宋体" w:cs="Arial"/>
          <w:b/>
          <w:bCs/>
          <w:color w:val="auto"/>
          <w:kern w:val="0"/>
          <w:sz w:val="26"/>
          <w:szCs w:val="26"/>
          <w:highlight w:val="none"/>
          <w:lang w:val="en-US" w:eastAsia="zh-CN" w:bidi="ar-SA"/>
        </w:rPr>
        <w:t xml:space="preserve"> 地表水</w:t>
      </w:r>
    </w:p>
    <w:p w14:paraId="7E33D963">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项目施工废水主要为混凝土拌合系统废水、基坑废水、车辆及施工设备冲洗等产生的含油废水、管道试压废水等生产废水，以及施工场地初期雨水和施工人员产生的生活污水。</w:t>
      </w:r>
    </w:p>
    <w:p w14:paraId="363BF2E9">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Arial" w:hAnsi="Arial" w:cs="Arial"/>
          <w:b w:val="0"/>
          <w:bCs/>
          <w:sz w:val="26"/>
          <w:szCs w:val="26"/>
          <w:lang w:val="en-US" w:eastAsia="zh-CN"/>
        </w:rPr>
      </w:pPr>
      <w:r>
        <w:rPr>
          <w:rFonts w:hint="eastAsia" w:ascii="Arial" w:hAnsi="Arial" w:cs="Arial"/>
          <w:b w:val="0"/>
          <w:bCs/>
          <w:sz w:val="26"/>
          <w:szCs w:val="26"/>
          <w:lang w:val="en-US" w:eastAsia="zh-CN"/>
        </w:rPr>
        <w:t>施工人员生活污水经租赁居民房屋内已有的旱厕收集处理后，交附近居民作农肥，不外排。混凝土拌合系统废水仅设置的截排水沟、沉淀池收集处理后，上清液可回用作混凝土拌合、养护等生产用水，或抑尘洒水，不外排地表水体。施工机械、运输车辆清洗产生的含油废水经枢纽工程、输水工程施工场地内设置的隔油池分别收集处理后，循环使用，不外排。</w:t>
      </w:r>
      <w:r>
        <w:rPr>
          <w:rFonts w:hint="eastAsia" w:ascii="Arial" w:hAnsi="Times New Roman" w:eastAsia="宋体" w:cs="Arial"/>
          <w:sz w:val="26"/>
          <w:szCs w:val="26"/>
          <w:lang w:val="en-US" w:eastAsia="zh-CN"/>
        </w:rPr>
        <w:t>在基坑内设立截水沟、集水坑，将基坑废水收集并静置</w:t>
      </w:r>
      <w:r>
        <w:rPr>
          <w:rFonts w:hint="eastAsia" w:ascii="Arial" w:cs="Arial"/>
          <w:sz w:val="26"/>
          <w:szCs w:val="26"/>
          <w:lang w:val="en-US" w:eastAsia="zh-CN"/>
        </w:rPr>
        <w:t>处理</w:t>
      </w:r>
      <w:r>
        <w:rPr>
          <w:rFonts w:hint="eastAsia" w:ascii="Arial" w:hAnsi="Times New Roman" w:eastAsia="宋体" w:cs="Arial"/>
          <w:sz w:val="26"/>
          <w:szCs w:val="26"/>
          <w:lang w:val="en-US" w:eastAsia="zh-CN"/>
        </w:rPr>
        <w:t>后，</w:t>
      </w:r>
      <w:r>
        <w:rPr>
          <w:rFonts w:hint="eastAsia" w:ascii="Arial" w:hAnsi="Arial" w:cs="Arial"/>
          <w:b w:val="0"/>
          <w:bCs/>
          <w:color w:val="auto"/>
          <w:sz w:val="26"/>
          <w:szCs w:val="26"/>
          <w:lang w:val="en-US" w:eastAsia="zh-CN"/>
        </w:rPr>
        <w:t>上清液可用作</w:t>
      </w:r>
      <w:r>
        <w:rPr>
          <w:rFonts w:hint="eastAsia" w:ascii="Arial" w:hAnsi="Arial" w:cs="Arial"/>
          <w:b w:val="0"/>
          <w:bCs w:val="0"/>
          <w:color w:val="auto"/>
          <w:kern w:val="0"/>
          <w:sz w:val="26"/>
          <w:szCs w:val="26"/>
          <w:highlight w:val="none"/>
          <w:lang w:val="en-US" w:eastAsia="zh-CN" w:bidi="ar-SA"/>
        </w:rPr>
        <w:t>施工用水，多余部分泵入下游河道。管道试压排水为水库蓄水，水质较好</w:t>
      </w:r>
      <w:r>
        <w:rPr>
          <w:rFonts w:hint="default" w:ascii="Arial" w:hAnsi="Arial" w:cs="Arial"/>
          <w:b w:val="0"/>
          <w:bCs w:val="0"/>
          <w:color w:val="auto"/>
          <w:kern w:val="0"/>
          <w:sz w:val="26"/>
          <w:szCs w:val="26"/>
          <w:highlight w:val="none"/>
          <w:lang w:val="en-US" w:eastAsia="zh-CN" w:bidi="ar-SA"/>
        </w:rPr>
        <w:t>，直接用于沿线农林灌溉</w:t>
      </w:r>
      <w:r>
        <w:rPr>
          <w:rFonts w:hint="eastAsia" w:ascii="Arial" w:hAnsi="Arial" w:cs="Arial"/>
          <w:b w:val="0"/>
          <w:bCs w:val="0"/>
          <w:color w:val="auto"/>
          <w:kern w:val="0"/>
          <w:sz w:val="26"/>
          <w:szCs w:val="26"/>
          <w:highlight w:val="none"/>
          <w:lang w:val="en-US" w:eastAsia="zh-CN" w:bidi="ar-SA"/>
        </w:rPr>
        <w:t>。</w:t>
      </w:r>
    </w:p>
    <w:p w14:paraId="3E255C79">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Arial" w:hAnsi="Arial" w:cs="Arial"/>
          <w:b w:val="0"/>
          <w:bCs/>
          <w:sz w:val="26"/>
          <w:szCs w:val="26"/>
          <w:lang w:val="en-US" w:eastAsia="zh-CN"/>
        </w:rPr>
      </w:pPr>
      <w:r>
        <w:rPr>
          <w:rFonts w:hint="eastAsia" w:ascii="Arial" w:hAnsi="Arial" w:cs="Arial"/>
          <w:b w:val="0"/>
          <w:bCs/>
          <w:sz w:val="26"/>
          <w:szCs w:val="26"/>
          <w:lang w:val="en-US" w:eastAsia="zh-CN"/>
        </w:rPr>
        <w:t>同时根据施工进度，建设截排水沟、沉砂池等收集、处理设施，暴雨天气采取篷布</w:t>
      </w:r>
      <w:r>
        <w:rPr>
          <w:rFonts w:hint="eastAsia" w:ascii="Arial" w:cs="Arial"/>
          <w:b w:val="0"/>
          <w:bCs/>
          <w:sz w:val="26"/>
          <w:szCs w:val="26"/>
          <w:lang w:eastAsia="zh-CN"/>
        </w:rPr>
        <w:t>等对开挖裸露面</w:t>
      </w:r>
      <w:r>
        <w:rPr>
          <w:rFonts w:hint="eastAsia" w:ascii="Arial" w:hAnsi="Arial" w:cs="Arial"/>
          <w:b w:val="0"/>
          <w:bCs w:val="0"/>
          <w:color w:val="auto"/>
          <w:kern w:val="0"/>
          <w:sz w:val="26"/>
          <w:szCs w:val="26"/>
          <w:highlight w:val="none"/>
          <w:lang w:val="en-US" w:eastAsia="zh-CN" w:bidi="ar-SA"/>
        </w:rPr>
        <w:t>进行遮盖，减轻降雨面源污染，并</w:t>
      </w:r>
      <w:r>
        <w:rPr>
          <w:rFonts w:hint="eastAsia" w:ascii="Arial" w:hAnsi="Arial" w:cs="Arial"/>
          <w:b w:val="0"/>
          <w:bCs/>
          <w:sz w:val="26"/>
          <w:szCs w:val="26"/>
          <w:lang w:val="en-US" w:eastAsia="zh-CN"/>
        </w:rPr>
        <w:t>将初期雨水收集沉淀处理后，回用作施工用水或排入环境。</w:t>
      </w:r>
    </w:p>
    <w:p w14:paraId="2E6FD2B4">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Arial" w:hAnsi="Arial" w:eastAsia="宋体" w:cs="Arial"/>
          <w:kern w:val="0"/>
          <w:sz w:val="26"/>
          <w:szCs w:val="26"/>
          <w:lang w:val="en-US" w:eastAsia="zh-CN"/>
        </w:rPr>
      </w:pPr>
      <w:r>
        <w:rPr>
          <w:rFonts w:hint="eastAsia" w:ascii="Arial" w:hAnsi="Arial" w:eastAsia="宋体" w:cs="Arial"/>
          <w:kern w:val="0"/>
          <w:sz w:val="26"/>
          <w:szCs w:val="26"/>
          <w:lang w:val="en-US" w:eastAsia="zh-CN"/>
        </w:rPr>
        <w:t>在采取以上污染防治措施后，施工期对</w:t>
      </w:r>
      <w:r>
        <w:rPr>
          <w:rFonts w:hint="eastAsia" w:ascii="Arial" w:hAnsi="Arial" w:cs="Arial"/>
          <w:kern w:val="0"/>
          <w:sz w:val="26"/>
          <w:szCs w:val="26"/>
          <w:lang w:val="en-US" w:eastAsia="zh-CN"/>
        </w:rPr>
        <w:t>地表水环境</w:t>
      </w:r>
      <w:r>
        <w:rPr>
          <w:rFonts w:hint="eastAsia" w:ascii="Arial" w:hAnsi="Arial" w:eastAsia="宋体" w:cs="Arial"/>
          <w:kern w:val="0"/>
          <w:sz w:val="26"/>
          <w:szCs w:val="26"/>
          <w:lang w:val="en-US" w:eastAsia="zh-CN"/>
        </w:rPr>
        <w:t>的影响可降</w:t>
      </w:r>
      <w:r>
        <w:rPr>
          <w:rFonts w:hint="eastAsia" w:ascii="Arial" w:hAnsi="Arial" w:cs="Arial"/>
          <w:kern w:val="0"/>
          <w:sz w:val="26"/>
          <w:szCs w:val="26"/>
          <w:lang w:val="en-US" w:eastAsia="zh-CN"/>
        </w:rPr>
        <w:t>至</w:t>
      </w:r>
      <w:r>
        <w:rPr>
          <w:rFonts w:hint="eastAsia" w:ascii="Arial" w:hAnsi="Arial" w:eastAsia="宋体" w:cs="Arial"/>
          <w:kern w:val="0"/>
          <w:sz w:val="26"/>
          <w:szCs w:val="26"/>
          <w:lang w:val="en-US" w:eastAsia="zh-CN"/>
        </w:rPr>
        <w:t>最小程度。</w:t>
      </w:r>
    </w:p>
    <w:p w14:paraId="52FFA9A7">
      <w:pPr>
        <w:keepNext w:val="0"/>
        <w:keepLines w:val="0"/>
        <w:pageBreakBefore w:val="0"/>
        <w:widowControl w:val="0"/>
        <w:kinsoku/>
        <w:wordWrap/>
        <w:overflowPunct/>
        <w:topLinePunct w:val="0"/>
        <w:autoSpaceDE/>
        <w:autoSpaceDN/>
        <w:bidi w:val="0"/>
        <w:spacing w:line="460" w:lineRule="exact"/>
        <w:ind w:firstLine="522" w:firstLineChars="200"/>
        <w:textAlignment w:val="auto"/>
        <w:rPr>
          <w:rFonts w:hint="default" w:ascii="Arial" w:hAnsi="Arial" w:eastAsia="宋体" w:cs="Arial"/>
          <w:b/>
          <w:bCs/>
          <w:color w:val="auto"/>
          <w:kern w:val="0"/>
          <w:sz w:val="26"/>
          <w:szCs w:val="26"/>
          <w:highlight w:val="none"/>
          <w:lang w:val="en-US" w:eastAsia="zh-CN" w:bidi="ar-SA"/>
        </w:rPr>
      </w:pPr>
      <w:r>
        <w:rPr>
          <w:rFonts w:hint="default" w:ascii="Arial" w:hAnsi="Arial" w:eastAsia="宋体" w:cs="Arial"/>
          <w:b/>
          <w:bCs/>
          <w:color w:val="auto"/>
          <w:kern w:val="0"/>
          <w:sz w:val="26"/>
          <w:szCs w:val="26"/>
          <w:highlight w:val="none"/>
          <w:lang w:val="en-US" w:eastAsia="zh-CN" w:bidi="ar-SA"/>
        </w:rPr>
        <w:t>②</w:t>
      </w:r>
      <w:r>
        <w:rPr>
          <w:rFonts w:hint="eastAsia" w:ascii="Arial" w:hAnsi="Arial" w:eastAsia="宋体" w:cs="Arial"/>
          <w:b/>
          <w:bCs/>
          <w:color w:val="auto"/>
          <w:kern w:val="0"/>
          <w:sz w:val="26"/>
          <w:szCs w:val="26"/>
          <w:highlight w:val="none"/>
          <w:lang w:val="en-US" w:eastAsia="zh-CN" w:bidi="ar-SA"/>
        </w:rPr>
        <w:t xml:space="preserve"> 地下水</w:t>
      </w:r>
    </w:p>
    <w:p w14:paraId="78C6420E">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Arial" w:hAnsi="Arial" w:cs="Arial"/>
          <w:kern w:val="0"/>
          <w:sz w:val="26"/>
          <w:szCs w:val="26"/>
          <w:lang w:val="en-US" w:eastAsia="zh-CN"/>
        </w:rPr>
      </w:pPr>
      <w:r>
        <w:rPr>
          <w:rFonts w:hint="eastAsia" w:ascii="Arial" w:hAnsi="Arial" w:eastAsia="宋体" w:cs="Arial"/>
          <w:kern w:val="0"/>
          <w:sz w:val="26"/>
          <w:szCs w:val="26"/>
          <w:lang w:val="en-US" w:eastAsia="zh-CN"/>
        </w:rPr>
        <w:t>本项目</w:t>
      </w:r>
      <w:r>
        <w:rPr>
          <w:rFonts w:hint="eastAsia" w:ascii="Arial" w:hAnsi="Arial" w:cs="Arial"/>
          <w:kern w:val="0"/>
          <w:sz w:val="26"/>
          <w:szCs w:val="26"/>
          <w:lang w:val="en-US" w:eastAsia="zh-CN"/>
        </w:rPr>
        <w:t>不涉及爆破作业，不会引起地下水漏失；各类施工污废水经收集处理后，大部分被再次利用，仅少量经处理后多余的初期雨水、基坑排水外排，对区域地下水水质影响小；枢纽工程、输水工程施工场所内暂存的燃油采取桶装密闭储存，</w:t>
      </w:r>
      <w:r>
        <w:rPr>
          <w:rFonts w:hint="eastAsia" w:ascii="Arial" w:hAnsi="Arial" w:cs="Arial"/>
          <w:color w:val="auto"/>
          <w:sz w:val="26"/>
          <w:szCs w:val="26"/>
          <w:highlight w:val="none"/>
          <w:lang w:val="en-US" w:eastAsia="zh-CN"/>
        </w:rPr>
        <w:t>暂存区</w:t>
      </w:r>
      <w:r>
        <w:rPr>
          <w:rFonts w:hint="eastAsia" w:ascii="Arial" w:hAnsi="Arial" w:cs="Arial"/>
          <w:kern w:val="0"/>
          <w:sz w:val="26"/>
          <w:szCs w:val="26"/>
          <w:lang w:val="en-US" w:eastAsia="zh-CN"/>
        </w:rPr>
        <w:t>四周设置围堰，</w:t>
      </w:r>
      <w:r>
        <w:rPr>
          <w:rFonts w:hint="eastAsia" w:ascii="Arial" w:hAnsi="Arial" w:cs="Arial"/>
          <w:color w:val="auto"/>
          <w:sz w:val="26"/>
          <w:szCs w:val="26"/>
          <w:highlight w:val="none"/>
          <w:lang w:val="en-US" w:eastAsia="zh-CN"/>
        </w:rPr>
        <w:t>围堰和地面均进行重点防渗处置</w:t>
      </w:r>
      <w:r>
        <w:rPr>
          <w:rFonts w:hint="eastAsia" w:ascii="Arial" w:hAnsi="Arial" w:cs="Arial"/>
          <w:kern w:val="0"/>
          <w:sz w:val="26"/>
          <w:szCs w:val="26"/>
          <w:lang w:val="en-US" w:eastAsia="zh-CN"/>
        </w:rPr>
        <w:t>；废油</w:t>
      </w:r>
      <w:r>
        <w:rPr>
          <w:rFonts w:hint="eastAsia" w:ascii="Arial" w:hAnsi="宋体" w:cs="Arial"/>
          <w:b w:val="0"/>
          <w:bCs w:val="0"/>
          <w:sz w:val="26"/>
          <w:szCs w:val="26"/>
          <w:lang w:eastAsia="zh-CN"/>
        </w:rPr>
        <w:t>桶装收集后，暂存于施工场地所设危废贮存间内，危废贮存间按规定进行“六防”处置，储存区下方加设托盘</w:t>
      </w:r>
      <w:r>
        <w:rPr>
          <w:rFonts w:hint="eastAsia" w:ascii="Arial" w:hAnsi="Arial" w:cs="Arial"/>
          <w:kern w:val="0"/>
          <w:sz w:val="26"/>
          <w:szCs w:val="26"/>
          <w:lang w:val="en-US" w:eastAsia="zh-CN"/>
        </w:rPr>
        <w:t>。</w:t>
      </w:r>
    </w:p>
    <w:p w14:paraId="1B30D12F">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Arial" w:hAnsi="Arial" w:eastAsia="宋体" w:cs="Arial"/>
          <w:kern w:val="0"/>
          <w:sz w:val="26"/>
          <w:szCs w:val="26"/>
          <w:lang w:val="en-US" w:eastAsia="zh-CN"/>
        </w:rPr>
      </w:pPr>
      <w:r>
        <w:rPr>
          <w:rFonts w:hint="eastAsia" w:ascii="Arial" w:hAnsi="Arial" w:cs="Arial"/>
          <w:kern w:val="0"/>
          <w:sz w:val="26"/>
          <w:szCs w:val="26"/>
          <w:lang w:val="en-US" w:eastAsia="zh-CN"/>
        </w:rPr>
        <w:t>在采取上述</w:t>
      </w:r>
      <w:r>
        <w:rPr>
          <w:rFonts w:hint="eastAsia" w:ascii="Arial" w:hAnsi="Arial" w:eastAsia="宋体" w:cs="Arial"/>
          <w:kern w:val="0"/>
          <w:sz w:val="26"/>
          <w:szCs w:val="26"/>
          <w:lang w:val="en-US" w:eastAsia="zh-CN"/>
        </w:rPr>
        <w:t>污染防治</w:t>
      </w:r>
      <w:r>
        <w:rPr>
          <w:rFonts w:hint="eastAsia" w:ascii="Arial" w:hAnsi="Arial" w:cs="Arial"/>
          <w:kern w:val="0"/>
          <w:sz w:val="26"/>
          <w:szCs w:val="26"/>
          <w:lang w:val="en-US" w:eastAsia="zh-CN"/>
        </w:rPr>
        <w:t>措施后，</w:t>
      </w:r>
      <w:r>
        <w:rPr>
          <w:rFonts w:hint="eastAsia" w:ascii="Arial" w:hAnsi="Arial" w:eastAsia="宋体" w:cs="Arial"/>
          <w:kern w:val="0"/>
          <w:sz w:val="26"/>
          <w:szCs w:val="26"/>
          <w:lang w:val="en-US" w:eastAsia="zh-CN"/>
        </w:rPr>
        <w:t>施工期对</w:t>
      </w:r>
      <w:r>
        <w:rPr>
          <w:rFonts w:hint="eastAsia" w:ascii="Arial" w:hAnsi="Arial" w:cs="Arial"/>
          <w:kern w:val="0"/>
          <w:sz w:val="26"/>
          <w:szCs w:val="26"/>
          <w:lang w:val="en-US" w:eastAsia="zh-CN"/>
        </w:rPr>
        <w:t>地下水环境</w:t>
      </w:r>
      <w:r>
        <w:rPr>
          <w:rFonts w:hint="eastAsia" w:ascii="Arial" w:hAnsi="Arial" w:eastAsia="宋体" w:cs="Arial"/>
          <w:kern w:val="0"/>
          <w:sz w:val="26"/>
          <w:szCs w:val="26"/>
          <w:lang w:val="en-US" w:eastAsia="zh-CN"/>
        </w:rPr>
        <w:t>的影响可降</w:t>
      </w:r>
      <w:r>
        <w:rPr>
          <w:rFonts w:hint="eastAsia" w:ascii="Arial" w:hAnsi="Arial" w:cs="Arial"/>
          <w:kern w:val="0"/>
          <w:sz w:val="26"/>
          <w:szCs w:val="26"/>
          <w:lang w:val="en-US" w:eastAsia="zh-CN"/>
        </w:rPr>
        <w:t>至</w:t>
      </w:r>
      <w:r>
        <w:rPr>
          <w:rFonts w:hint="eastAsia" w:ascii="Arial" w:hAnsi="Arial" w:eastAsia="宋体" w:cs="Arial"/>
          <w:kern w:val="0"/>
          <w:sz w:val="26"/>
          <w:szCs w:val="26"/>
          <w:lang w:val="en-US" w:eastAsia="zh-CN"/>
        </w:rPr>
        <w:t>最小程度。</w:t>
      </w:r>
    </w:p>
    <w:p w14:paraId="0EC1DD0E">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eastAsia="宋体" w:cs="Arial"/>
          <w:b/>
          <w:bCs/>
          <w:color w:val="auto"/>
          <w:kern w:val="0"/>
          <w:sz w:val="26"/>
          <w:szCs w:val="26"/>
          <w:highlight w:val="none"/>
          <w:lang w:val="en-US" w:eastAsia="zh-CN" w:bidi="ar-SA"/>
        </w:rPr>
      </w:pPr>
      <w:r>
        <w:rPr>
          <w:rFonts w:hint="eastAsia" w:ascii="Arial" w:hAnsi="Arial" w:eastAsia="宋体" w:cs="Arial"/>
          <w:b/>
          <w:bCs/>
          <w:color w:val="auto"/>
          <w:kern w:val="0"/>
          <w:sz w:val="26"/>
          <w:szCs w:val="26"/>
          <w:highlight w:val="none"/>
          <w:lang w:val="en-US" w:eastAsia="zh-CN" w:bidi="ar-SA"/>
        </w:rPr>
        <w:t>③ 环境空气</w:t>
      </w:r>
    </w:p>
    <w:p w14:paraId="511B31D1">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宋体" w:eastAsia="宋体" w:cs="Arial"/>
          <w:b w:val="0"/>
          <w:bCs w:val="0"/>
          <w:sz w:val="26"/>
          <w:szCs w:val="26"/>
        </w:rPr>
      </w:pPr>
      <w:r>
        <w:rPr>
          <w:rFonts w:hint="eastAsia" w:ascii="Arial" w:hAnsi="宋体" w:eastAsia="宋体" w:cs="Arial"/>
          <w:b w:val="0"/>
          <w:bCs w:val="0"/>
          <w:sz w:val="26"/>
          <w:szCs w:val="26"/>
          <w:lang w:eastAsia="zh-CN"/>
        </w:rPr>
        <w:t>本项目</w:t>
      </w:r>
      <w:r>
        <w:rPr>
          <w:rFonts w:hint="eastAsia" w:ascii="Arial" w:hAnsi="宋体" w:eastAsia="宋体" w:cs="Arial"/>
          <w:b w:val="0"/>
          <w:bCs w:val="0"/>
          <w:sz w:val="26"/>
          <w:szCs w:val="26"/>
        </w:rPr>
        <w:t>施工期环境空气污染物主要是土石方开挖、</w:t>
      </w:r>
      <w:r>
        <w:rPr>
          <w:rFonts w:hint="eastAsia" w:ascii="Arial" w:hAnsi="宋体" w:eastAsia="宋体" w:cs="Arial"/>
          <w:b w:val="0"/>
          <w:bCs w:val="0"/>
          <w:sz w:val="26"/>
          <w:szCs w:val="26"/>
          <w:lang w:eastAsia="zh-CN"/>
        </w:rPr>
        <w:t>物料</w:t>
      </w:r>
      <w:r>
        <w:rPr>
          <w:rFonts w:hint="eastAsia" w:ascii="Arial" w:hAnsi="宋体" w:eastAsia="宋体" w:cs="Arial"/>
          <w:b w:val="0"/>
          <w:bCs w:val="0"/>
          <w:sz w:val="26"/>
          <w:szCs w:val="26"/>
        </w:rPr>
        <w:t>运输等施工过程中产生的扬尘、混凝土拌和系统粉尘、施工机械和运输车辆废气。</w:t>
      </w:r>
    </w:p>
    <w:p w14:paraId="53F13DF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color w:val="auto"/>
          <w:kern w:val="0"/>
          <w:sz w:val="26"/>
          <w:szCs w:val="26"/>
          <w:lang w:val="en-US" w:eastAsia="zh-CN"/>
        </w:rPr>
      </w:pPr>
      <w:r>
        <w:rPr>
          <w:rFonts w:hint="eastAsia" w:ascii="Arial" w:hAnsi="Arial" w:cs="Arial"/>
          <w:kern w:val="0"/>
          <w:sz w:val="26"/>
          <w:szCs w:val="26"/>
          <w:lang w:val="en-US" w:eastAsia="zh-CN"/>
        </w:rPr>
        <w:t>项目采取湿法作业，配置洒水车、雾炮机等装置洒水抑尘；混凝土拌合站水泥、粉煤灰等筒仓储存，</w:t>
      </w:r>
      <w:r>
        <w:rPr>
          <w:rFonts w:hint="eastAsia" w:ascii="Arial" w:hAnsi="Arial" w:eastAsia="宋体" w:cs="Arial"/>
          <w:color w:val="000000"/>
          <w:sz w:val="26"/>
          <w:szCs w:val="26"/>
          <w:lang w:val="en-US" w:eastAsia="zh-CN"/>
        </w:rPr>
        <w:t>筒仓上部安装仓顶除尘器，搅拌罐密闭设置</w:t>
      </w:r>
      <w:r>
        <w:rPr>
          <w:rFonts w:hint="eastAsia" w:ascii="Arial" w:hAnsi="Arial" w:cs="Arial"/>
          <w:color w:val="000000"/>
          <w:sz w:val="26"/>
          <w:szCs w:val="26"/>
          <w:lang w:val="en-US" w:eastAsia="zh-CN"/>
        </w:rPr>
        <w:t>；粉质物料集中堆存，并采取篷布遮盖；及时清运暂不利用的土石方，避免在场地内长时间、大量堆存；</w:t>
      </w:r>
      <w:r>
        <w:rPr>
          <w:rFonts w:hint="eastAsia" w:ascii="Arial" w:hAnsi="Arial" w:cs="Arial"/>
          <w:sz w:val="26"/>
          <w:szCs w:val="26"/>
          <w:highlight w:val="none"/>
          <w:lang w:eastAsia="zh-CN"/>
        </w:rPr>
        <w:t>分段施工，避免大面积开挖形成大面积裸露，引起风力扬尘；各施工场地内设置车辆冲洗装置，对进出场车辆进行冲洗，避免带泥上路引起二次扬尘；施工便道等进行硬化处置，合理规划运输路线，物料、弃土等限速、限载，避免洒落，安排专人清扫。加强对施工机具、车辆的维护和保养，确保其正常运行，并以轻质柴油、汽油为</w:t>
      </w:r>
      <w:r>
        <w:rPr>
          <w:rFonts w:hint="eastAsia" w:ascii="Arial" w:hAnsi="Arial" w:cs="Arial"/>
          <w:color w:val="auto"/>
          <w:sz w:val="26"/>
          <w:szCs w:val="26"/>
          <w:highlight w:val="none"/>
          <w:lang w:eastAsia="zh-CN"/>
        </w:rPr>
        <w:t>燃料，减少燃油尾气的产排量。</w:t>
      </w:r>
      <w:r>
        <w:rPr>
          <w:rFonts w:hint="default" w:ascii="Arial" w:hAnsi="Arial" w:cs="Arial"/>
          <w:sz w:val="26"/>
          <w:szCs w:val="26"/>
        </w:rPr>
        <w:t>采用液化气、电等清洁能源作为生活燃料</w:t>
      </w:r>
      <w:r>
        <w:rPr>
          <w:rFonts w:hint="eastAsia" w:ascii="Arial" w:hAnsi="Arial" w:cs="Arial"/>
          <w:sz w:val="26"/>
          <w:szCs w:val="26"/>
          <w:lang w:eastAsia="zh-CN"/>
        </w:rPr>
        <w:t>，</w:t>
      </w:r>
      <w:r>
        <w:rPr>
          <w:rFonts w:hint="default" w:ascii="Arial" w:hAnsi="Arial" w:cs="Arial"/>
          <w:sz w:val="26"/>
          <w:szCs w:val="26"/>
        </w:rPr>
        <w:t>烹饪油烟通过油烟净化器处理后</w:t>
      </w:r>
      <w:r>
        <w:rPr>
          <w:rFonts w:hint="eastAsia" w:ascii="Arial" w:hAnsi="Arial" w:cs="Arial"/>
          <w:sz w:val="26"/>
          <w:szCs w:val="26"/>
          <w:lang w:eastAsia="zh-CN"/>
        </w:rPr>
        <w:t>，引至超屋顶</w:t>
      </w:r>
      <w:r>
        <w:rPr>
          <w:rFonts w:hint="default" w:ascii="Arial" w:hAnsi="Arial" w:cs="Arial"/>
          <w:sz w:val="26"/>
          <w:szCs w:val="26"/>
        </w:rPr>
        <w:t>排放。</w:t>
      </w:r>
      <w:r>
        <w:rPr>
          <w:rFonts w:hint="eastAsia" w:ascii="Arial" w:hAnsi="Arial" w:cs="Arial"/>
          <w:color w:val="auto"/>
          <w:sz w:val="26"/>
          <w:szCs w:val="26"/>
          <w:highlight w:val="none"/>
          <w:lang w:eastAsia="zh-CN"/>
        </w:rPr>
        <w:t>柴油发电机为备用电源，以轻质柴油为燃料，燃烧废气经其自带排气筒外排。</w:t>
      </w:r>
    </w:p>
    <w:p w14:paraId="1C8F846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kern w:val="0"/>
          <w:sz w:val="26"/>
          <w:szCs w:val="26"/>
          <w:lang w:val="en-US" w:eastAsia="zh-CN"/>
        </w:rPr>
      </w:pPr>
      <w:r>
        <w:rPr>
          <w:rFonts w:hint="eastAsia" w:ascii="Arial" w:hAnsi="Arial" w:eastAsia="宋体" w:cs="Arial"/>
          <w:kern w:val="0"/>
          <w:sz w:val="26"/>
          <w:szCs w:val="26"/>
          <w:lang w:val="en-US" w:eastAsia="zh-CN"/>
        </w:rPr>
        <w:t>在采取以上污染防治措施后，施工期对环境空气的影响可降</w:t>
      </w:r>
      <w:r>
        <w:rPr>
          <w:rFonts w:hint="eastAsia" w:ascii="Arial" w:hAnsi="Arial" w:cs="Arial"/>
          <w:kern w:val="0"/>
          <w:sz w:val="26"/>
          <w:szCs w:val="26"/>
          <w:lang w:val="en-US" w:eastAsia="zh-CN"/>
        </w:rPr>
        <w:t>至</w:t>
      </w:r>
      <w:r>
        <w:rPr>
          <w:rFonts w:hint="eastAsia" w:ascii="Arial" w:hAnsi="Arial" w:eastAsia="宋体" w:cs="Arial"/>
          <w:kern w:val="0"/>
          <w:sz w:val="26"/>
          <w:szCs w:val="26"/>
          <w:lang w:val="en-US" w:eastAsia="zh-CN"/>
        </w:rPr>
        <w:t>最小程度。</w:t>
      </w:r>
    </w:p>
    <w:p w14:paraId="2E3E8413">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eastAsia="宋体" w:cs="Arial"/>
          <w:b/>
          <w:bCs/>
          <w:color w:val="auto"/>
          <w:kern w:val="0"/>
          <w:sz w:val="26"/>
          <w:szCs w:val="26"/>
          <w:highlight w:val="none"/>
          <w:lang w:val="en-US" w:eastAsia="zh-CN" w:bidi="ar-SA"/>
        </w:rPr>
      </w:pPr>
      <w:r>
        <w:rPr>
          <w:rFonts w:hint="eastAsia" w:ascii="Arial" w:hAnsi="Arial" w:eastAsia="宋体" w:cs="Arial"/>
          <w:b/>
          <w:bCs/>
          <w:color w:val="auto"/>
          <w:kern w:val="0"/>
          <w:sz w:val="26"/>
          <w:szCs w:val="26"/>
          <w:highlight w:val="none"/>
          <w:lang w:val="en-US" w:eastAsia="zh-CN" w:bidi="ar-SA"/>
        </w:rPr>
        <w:t>④</w:t>
      </w:r>
      <w:r>
        <w:rPr>
          <w:rFonts w:hint="eastAsia" w:ascii="Arial" w:hAnsi="Arial" w:cs="Arial"/>
          <w:b/>
          <w:bCs/>
          <w:color w:val="auto"/>
          <w:kern w:val="0"/>
          <w:sz w:val="26"/>
          <w:szCs w:val="26"/>
          <w:highlight w:val="none"/>
          <w:lang w:val="en-US" w:eastAsia="zh-CN" w:bidi="ar-SA"/>
        </w:rPr>
        <w:t xml:space="preserve"> 声环境</w:t>
      </w:r>
    </w:p>
    <w:p w14:paraId="54A6C125">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eastAsia="宋体" w:cs="Arial"/>
          <w:kern w:val="0"/>
          <w:sz w:val="26"/>
          <w:szCs w:val="26"/>
          <w:lang w:val="en-US" w:eastAsia="zh-CN"/>
        </w:rPr>
      </w:pPr>
      <w:r>
        <w:rPr>
          <w:rFonts w:hint="eastAsia" w:ascii="Arial" w:hAnsi="Arial" w:eastAsia="宋体" w:cs="Arial"/>
          <w:kern w:val="0"/>
          <w:sz w:val="26"/>
          <w:szCs w:val="26"/>
          <w:lang w:val="en-US" w:eastAsia="zh-CN"/>
        </w:rPr>
        <w:t>施工期噪声主要来自于施工机械和运输车辆，</w:t>
      </w:r>
      <w:r>
        <w:rPr>
          <w:rFonts w:hint="eastAsia" w:ascii="Arial" w:hAnsi="Arial" w:cs="Arial"/>
          <w:kern w:val="0"/>
          <w:sz w:val="26"/>
          <w:szCs w:val="26"/>
          <w:lang w:val="en-US" w:eastAsia="zh-CN"/>
        </w:rPr>
        <w:t>建设单位在施工过程中应</w:t>
      </w:r>
      <w:r>
        <w:rPr>
          <w:rFonts w:hint="default" w:ascii="Arial" w:hAnsi="Arial" w:cs="Arial"/>
          <w:sz w:val="26"/>
          <w:szCs w:val="26"/>
        </w:rPr>
        <w:t>《重庆市噪声污染防治办法》的相关要求，优先用低产噪设备，同时加强施工机械的维护保养；合理布置施工机械和施工强度，作好施工组织，将施工区内高产噪区域远离环境敏感点布置，并设置临时设备间、通过墙体隔声，以减缓噪声影响；物料运输尽量安排在白天运输，途径密集居住区时采取缓速、禁鸣等措施；合理安排施工作业时间，尽量避免夜间作业，偶遇混凝土浇筑必须连续作业的工序，需取得当地</w:t>
      </w:r>
      <w:r>
        <w:rPr>
          <w:rFonts w:hint="default" w:ascii="Arial" w:hAnsi="Arial" w:cs="Arial"/>
          <w:sz w:val="26"/>
          <w:szCs w:val="26"/>
          <w:lang w:val="en-US" w:eastAsia="zh-CN"/>
        </w:rPr>
        <w:t>城市管理或者住房城乡建设部门的</w:t>
      </w:r>
      <w:r>
        <w:rPr>
          <w:rFonts w:hint="default" w:ascii="Arial" w:hAnsi="Arial" w:cs="Arial"/>
          <w:sz w:val="26"/>
          <w:szCs w:val="26"/>
        </w:rPr>
        <w:t>批准，并告知附近居民，以取得谅解。</w:t>
      </w:r>
    </w:p>
    <w:p w14:paraId="09647C84">
      <w:pPr>
        <w:keepNext w:val="0"/>
        <w:keepLines w:val="0"/>
        <w:pageBreakBefore w:val="0"/>
        <w:widowControl w:val="0"/>
        <w:kinsoku/>
        <w:wordWrap/>
        <w:overflowPunct/>
        <w:topLinePunct w:val="0"/>
        <w:autoSpaceDE/>
        <w:autoSpaceDN/>
        <w:bidi w:val="0"/>
        <w:spacing w:line="480" w:lineRule="exact"/>
        <w:ind w:firstLine="520" w:firstLineChars="200"/>
        <w:textAlignment w:val="auto"/>
        <w:rPr>
          <w:kern w:val="0"/>
          <w:sz w:val="26"/>
          <w:szCs w:val="26"/>
        </w:rPr>
      </w:pPr>
      <w:r>
        <w:rPr>
          <w:rFonts w:hint="eastAsia" w:ascii="Arial" w:hAnsi="Arial" w:eastAsia="宋体" w:cs="Arial"/>
          <w:kern w:val="0"/>
          <w:sz w:val="26"/>
          <w:szCs w:val="26"/>
          <w:lang w:val="en-US" w:eastAsia="zh-CN"/>
        </w:rPr>
        <w:t>在采取以上污染防治措施后，施工期对周边声环境的影响可</w:t>
      </w:r>
      <w:r>
        <w:rPr>
          <w:rFonts w:hint="eastAsia"/>
          <w:kern w:val="0"/>
          <w:sz w:val="26"/>
          <w:szCs w:val="26"/>
          <w:lang w:eastAsia="zh-CN"/>
        </w:rPr>
        <w:t>降至</w:t>
      </w:r>
      <w:r>
        <w:rPr>
          <w:rFonts w:hint="eastAsia"/>
          <w:kern w:val="0"/>
          <w:sz w:val="26"/>
          <w:szCs w:val="26"/>
        </w:rPr>
        <w:t>最小程度。</w:t>
      </w:r>
    </w:p>
    <w:p w14:paraId="0869BDE8">
      <w:pPr>
        <w:keepNext w:val="0"/>
        <w:keepLines w:val="0"/>
        <w:pageBreakBefore w:val="0"/>
        <w:widowControl w:val="0"/>
        <w:kinsoku/>
        <w:wordWrap/>
        <w:overflowPunct/>
        <w:topLinePunct w:val="0"/>
        <w:autoSpaceDE/>
        <w:autoSpaceDN/>
        <w:bidi w:val="0"/>
        <w:spacing w:line="480" w:lineRule="exact"/>
        <w:ind w:firstLine="522" w:firstLineChars="200"/>
        <w:textAlignment w:val="auto"/>
        <w:rPr>
          <w:rFonts w:hint="default" w:ascii="Arial" w:hAnsi="Arial" w:eastAsia="宋体" w:cs="Arial"/>
          <w:b/>
          <w:bCs/>
          <w:color w:val="auto"/>
          <w:kern w:val="0"/>
          <w:sz w:val="26"/>
          <w:szCs w:val="26"/>
          <w:highlight w:val="none"/>
          <w:lang w:val="en-US" w:eastAsia="zh-CN" w:bidi="ar-SA"/>
        </w:rPr>
      </w:pPr>
      <w:r>
        <w:rPr>
          <w:rFonts w:hint="eastAsia" w:ascii="Arial" w:hAnsi="Arial" w:eastAsia="宋体" w:cs="Arial"/>
          <w:b/>
          <w:bCs/>
          <w:color w:val="auto"/>
          <w:kern w:val="0"/>
          <w:sz w:val="26"/>
          <w:szCs w:val="26"/>
          <w:highlight w:val="none"/>
          <w:lang w:val="en-US" w:eastAsia="zh-CN" w:bidi="ar-SA"/>
        </w:rPr>
        <w:t>⑤ 固体废物</w:t>
      </w:r>
    </w:p>
    <w:p w14:paraId="5919020E">
      <w:pPr>
        <w:pStyle w:val="100"/>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Arial" w:hAnsi="Times New Roman" w:eastAsia="宋体" w:cs="Arial"/>
          <w:b w:val="0"/>
          <w:color w:val="auto"/>
          <w:kern w:val="2"/>
          <w:sz w:val="26"/>
          <w:szCs w:val="26"/>
          <w:lang w:val="en-US" w:eastAsia="zh-CN" w:bidi="ar-SA"/>
        </w:rPr>
      </w:pPr>
      <w:r>
        <w:rPr>
          <w:rFonts w:hint="eastAsia" w:ascii="Arial" w:hAnsi="Times New Roman" w:eastAsia="宋体" w:cs="Arial"/>
          <w:b w:val="0"/>
          <w:color w:val="auto"/>
          <w:kern w:val="2"/>
          <w:sz w:val="26"/>
          <w:szCs w:val="26"/>
          <w:lang w:val="en-US" w:eastAsia="zh-CN" w:bidi="ar-SA"/>
        </w:rPr>
        <w:t>施工期固体废物来自场地清理出的表土、开挖产生的弃渣、施工机械及运输车辆维修废油、施工人员产生的生活垃圾和餐厨垃圾，以及库区清理出的林木。</w:t>
      </w:r>
    </w:p>
    <w:p w14:paraId="03599EB5">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lang w:val="en-US" w:eastAsia="zh-CN"/>
        </w:rPr>
        <w:t>表土集中收集后，分区暂存于项目所设弃渣场内，后期全部用作绿化覆土，不外排；弃渣采取自卸式汽车清运至项目所设弃渣场内夯实堆存；废油属于</w:t>
      </w:r>
      <w:r>
        <w:rPr>
          <w:rFonts w:hint="eastAsia" w:ascii="Arial" w:hAnsi="Arial" w:cs="Arial"/>
          <w:sz w:val="26"/>
          <w:szCs w:val="26"/>
          <w:lang w:eastAsia="zh-CN"/>
        </w:rPr>
        <w:t>危险废物，桶装收集后，</w:t>
      </w:r>
      <w:r>
        <w:rPr>
          <w:rFonts w:hint="eastAsia" w:ascii="Arial" w:hAnsi="Arial" w:cs="Arial"/>
          <w:sz w:val="26"/>
          <w:szCs w:val="26"/>
        </w:rPr>
        <w:t>暂存于施工</w:t>
      </w:r>
      <w:r>
        <w:rPr>
          <w:rFonts w:hint="eastAsia" w:ascii="Arial" w:hAnsi="Arial" w:cs="Arial"/>
          <w:sz w:val="26"/>
          <w:szCs w:val="26"/>
          <w:lang w:eastAsia="zh-CN"/>
        </w:rPr>
        <w:t>场地</w:t>
      </w:r>
      <w:r>
        <w:rPr>
          <w:rFonts w:hint="eastAsia" w:ascii="Arial" w:hAnsi="Arial" w:cs="Arial"/>
          <w:sz w:val="26"/>
          <w:szCs w:val="26"/>
        </w:rPr>
        <w:t>内独立设置的危废</w:t>
      </w:r>
      <w:r>
        <w:rPr>
          <w:rFonts w:hint="eastAsia" w:ascii="Arial" w:hAnsi="Arial" w:cs="Arial"/>
          <w:sz w:val="26"/>
          <w:szCs w:val="26"/>
          <w:lang w:eastAsia="zh-CN"/>
        </w:rPr>
        <w:t>贮存区内</w:t>
      </w:r>
      <w:r>
        <w:rPr>
          <w:rFonts w:hint="eastAsia" w:ascii="Arial" w:hAnsi="Arial" w:cs="Arial"/>
          <w:sz w:val="26"/>
          <w:szCs w:val="26"/>
        </w:rPr>
        <w:t>，按规定进行“</w:t>
      </w:r>
      <w:r>
        <w:rPr>
          <w:rFonts w:hint="eastAsia" w:ascii="Arial" w:hAnsi="Arial" w:cs="Arial"/>
          <w:sz w:val="26"/>
          <w:szCs w:val="26"/>
          <w:lang w:eastAsia="zh-CN"/>
        </w:rPr>
        <w:t>六</w:t>
      </w:r>
      <w:r>
        <w:rPr>
          <w:rFonts w:hint="eastAsia" w:ascii="Arial" w:hAnsi="Arial" w:cs="Arial"/>
          <w:sz w:val="26"/>
          <w:szCs w:val="26"/>
        </w:rPr>
        <w:t>防”处置，最终交有有资质的单位回收处置</w:t>
      </w:r>
      <w:r>
        <w:rPr>
          <w:rFonts w:hint="eastAsia" w:ascii="Arial" w:hAnsi="Arial" w:cs="Arial"/>
          <w:sz w:val="26"/>
          <w:szCs w:val="26"/>
          <w:lang w:eastAsia="zh-CN"/>
        </w:rPr>
        <w:t>；施工人员生活垃圾</w:t>
      </w:r>
      <w:r>
        <w:rPr>
          <w:rFonts w:hint="default" w:ascii="Arial" w:hAnsi="Arial" w:cs="Arial"/>
          <w:sz w:val="26"/>
          <w:szCs w:val="26"/>
        </w:rPr>
        <w:t>经各施工区所设垃圾桶收集</w:t>
      </w:r>
      <w:r>
        <w:rPr>
          <w:rFonts w:hint="default" w:ascii="Arial" w:hAnsi="Arial" w:cs="Arial"/>
          <w:sz w:val="26"/>
          <w:szCs w:val="26"/>
          <w:lang w:val="en-US" w:eastAsia="zh-CN"/>
        </w:rPr>
        <w:t>后，交</w:t>
      </w:r>
      <w:r>
        <w:rPr>
          <w:rFonts w:hint="eastAsia" w:ascii="Arial" w:hAnsi="Arial" w:cs="Arial"/>
          <w:sz w:val="26"/>
          <w:szCs w:val="26"/>
          <w:lang w:val="en-US" w:eastAsia="zh-CN"/>
        </w:rPr>
        <w:t>当地</w:t>
      </w:r>
      <w:r>
        <w:rPr>
          <w:rFonts w:hint="default" w:ascii="Arial" w:hAnsi="Arial" w:cs="Arial"/>
          <w:sz w:val="26"/>
          <w:szCs w:val="26"/>
          <w:lang w:val="en-US" w:eastAsia="zh-CN"/>
        </w:rPr>
        <w:t>环卫部门统一清运处置</w:t>
      </w:r>
      <w:r>
        <w:rPr>
          <w:rFonts w:hint="eastAsia" w:ascii="Arial" w:hAnsi="Arial" w:cs="Arial"/>
          <w:sz w:val="26"/>
          <w:szCs w:val="26"/>
          <w:lang w:val="en-US" w:eastAsia="zh-CN"/>
        </w:rPr>
        <w:t>；餐厨垃圾</w:t>
      </w:r>
      <w:r>
        <w:rPr>
          <w:rFonts w:hint="default" w:ascii="Arial" w:hAnsi="Arial" w:cs="Arial"/>
          <w:sz w:val="26"/>
          <w:szCs w:val="26"/>
          <w:lang w:val="en-US" w:eastAsia="zh-CN"/>
        </w:rPr>
        <w:t>桶装收集后，交有资质单位清运处置</w:t>
      </w:r>
      <w:r>
        <w:rPr>
          <w:rFonts w:hint="eastAsia" w:ascii="Arial" w:hAnsi="Arial" w:cs="Arial"/>
          <w:sz w:val="26"/>
          <w:szCs w:val="26"/>
          <w:lang w:val="en-US" w:eastAsia="zh-CN"/>
        </w:rPr>
        <w:t>；清库废物</w:t>
      </w:r>
      <w:r>
        <w:rPr>
          <w:rFonts w:hint="default" w:ascii="Arial" w:hAnsi="Arial" w:cs="Arial"/>
          <w:sz w:val="26"/>
          <w:szCs w:val="26"/>
          <w:lang w:val="en-US" w:eastAsia="zh-CN"/>
        </w:rPr>
        <w:t>分类收集，</w:t>
      </w:r>
      <w:r>
        <w:rPr>
          <w:rFonts w:hint="eastAsia" w:ascii="Arial" w:hAnsi="Arial" w:cs="Arial"/>
          <w:sz w:val="26"/>
          <w:szCs w:val="26"/>
          <w:lang w:val="en-US" w:eastAsia="zh-CN"/>
        </w:rPr>
        <w:t>生活垃圾等运至当地垃圾填埋场处置，林木外卖综合利用</w:t>
      </w:r>
      <w:r>
        <w:rPr>
          <w:rFonts w:hint="default" w:ascii="Arial" w:hAnsi="Arial" w:cs="Arial"/>
          <w:sz w:val="26"/>
          <w:szCs w:val="26"/>
          <w:lang w:val="en-US" w:eastAsia="zh-CN"/>
        </w:rPr>
        <w:t>。</w:t>
      </w:r>
    </w:p>
    <w:p w14:paraId="34D6609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lang w:val="en-US" w:eastAsia="zh-CN"/>
        </w:rPr>
        <w:t>由此可见，施工期各类固体废物均可得到合理有效的处置，不会对区域外环境造成二次污染。</w:t>
      </w:r>
    </w:p>
    <w:p w14:paraId="50E508AA">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b/>
          <w:bCs/>
          <w:color w:val="000000"/>
          <w:kern w:val="2"/>
          <w:sz w:val="26"/>
          <w:szCs w:val="26"/>
          <w:lang w:val="en-US" w:eastAsia="zh-CN" w:bidi="ar-SA"/>
        </w:rPr>
      </w:pP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2</w:t>
      </w: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运营期对区域环境质量的影响及保护措施</w:t>
      </w:r>
    </w:p>
    <w:p w14:paraId="00CA9D4F">
      <w:pPr>
        <w:keepNext w:val="0"/>
        <w:keepLines w:val="0"/>
        <w:pageBreakBefore w:val="0"/>
        <w:widowControl w:val="0"/>
        <w:kinsoku/>
        <w:wordWrap/>
        <w:overflowPunct/>
        <w:topLinePunct w:val="0"/>
        <w:autoSpaceDE/>
        <w:autoSpaceDN/>
        <w:bidi w:val="0"/>
        <w:spacing w:line="460" w:lineRule="exact"/>
        <w:ind w:firstLine="522" w:firstLineChars="200"/>
        <w:textAlignment w:val="auto"/>
        <w:rPr>
          <w:rFonts w:hint="eastAsia" w:ascii="Arial" w:hAnsi="Arial" w:eastAsia="宋体" w:cs="Arial"/>
          <w:b/>
          <w:bCs/>
          <w:color w:val="auto"/>
          <w:kern w:val="0"/>
          <w:sz w:val="26"/>
          <w:szCs w:val="26"/>
          <w:highlight w:val="none"/>
          <w:lang w:val="en-US" w:eastAsia="zh-CN" w:bidi="ar-SA"/>
        </w:rPr>
      </w:pPr>
      <w:r>
        <w:rPr>
          <w:rFonts w:hint="default" w:ascii="Arial" w:hAnsi="Arial" w:eastAsia="宋体" w:cs="Arial"/>
          <w:b/>
          <w:bCs/>
          <w:color w:val="auto"/>
          <w:kern w:val="0"/>
          <w:sz w:val="26"/>
          <w:szCs w:val="26"/>
          <w:highlight w:val="none"/>
          <w:lang w:val="en-US" w:eastAsia="zh-CN" w:bidi="ar-SA"/>
        </w:rPr>
        <w:t>①</w:t>
      </w:r>
      <w:r>
        <w:rPr>
          <w:rFonts w:hint="eastAsia" w:ascii="Arial" w:hAnsi="Arial" w:eastAsia="宋体" w:cs="Arial"/>
          <w:b/>
          <w:bCs/>
          <w:color w:val="auto"/>
          <w:kern w:val="0"/>
          <w:sz w:val="26"/>
          <w:szCs w:val="26"/>
          <w:highlight w:val="none"/>
          <w:lang w:val="en-US" w:eastAsia="zh-CN" w:bidi="ar-SA"/>
        </w:rPr>
        <w:t xml:space="preserve"> 地表水</w:t>
      </w:r>
    </w:p>
    <w:p w14:paraId="0BA730B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sz w:val="26"/>
          <w:szCs w:val="26"/>
          <w:lang w:val="en-US" w:eastAsia="zh-CN"/>
        </w:rPr>
      </w:pPr>
      <w:r>
        <w:rPr>
          <w:rFonts w:hint="eastAsia" w:ascii="Arial" w:hAnsi="Arial" w:cs="Arial"/>
          <w:sz w:val="26"/>
          <w:szCs w:val="26"/>
          <w:lang w:val="en-US" w:eastAsia="zh-CN"/>
        </w:rPr>
        <w:t>本项目运营期仅配置4名管理人员，产生的生活污水</w:t>
      </w:r>
      <w:r>
        <w:rPr>
          <w:rFonts w:hint="default" w:ascii="Arial" w:hAnsi="Arial" w:cs="Arial"/>
          <w:sz w:val="26"/>
          <w:szCs w:val="26"/>
        </w:rPr>
        <w:t>经管理</w:t>
      </w:r>
      <w:r>
        <w:rPr>
          <w:rFonts w:hint="eastAsia" w:ascii="Arial" w:hAnsi="Arial" w:cs="Arial"/>
          <w:sz w:val="26"/>
          <w:szCs w:val="26"/>
          <w:lang w:eastAsia="zh-CN"/>
        </w:rPr>
        <w:t>用房内</w:t>
      </w:r>
      <w:r>
        <w:rPr>
          <w:rFonts w:hint="default" w:ascii="Arial" w:hAnsi="Arial" w:cs="Arial"/>
          <w:sz w:val="26"/>
          <w:szCs w:val="26"/>
        </w:rPr>
        <w:t>所设化粪池收集处理后，交当地居民农灌，不外排。</w:t>
      </w:r>
    </w:p>
    <w:p w14:paraId="6531779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Arial" w:hAnsi="Arial" w:cs="Arial"/>
          <w:color w:val="auto"/>
          <w:sz w:val="26"/>
          <w:szCs w:val="26"/>
        </w:rPr>
      </w:pPr>
      <w:r>
        <w:rPr>
          <w:rFonts w:hint="eastAsia" w:ascii="Arial" w:hAnsi="Arial" w:cs="Arial"/>
          <w:sz w:val="26"/>
          <w:szCs w:val="26"/>
          <w:lang w:val="en-US" w:eastAsia="zh-CN"/>
        </w:rPr>
        <w:t>灌区退水主要进入高洞桥河、双龙河，</w:t>
      </w:r>
      <w:r>
        <w:rPr>
          <w:rFonts w:hint="default" w:ascii="Arial" w:hAnsi="Arial" w:cs="Arial"/>
          <w:sz w:val="26"/>
          <w:szCs w:val="26"/>
        </w:rPr>
        <w:t>应采取科学的灌溉措施，加强工程管理，减少管道漏水；</w:t>
      </w:r>
      <w:r>
        <w:rPr>
          <w:rFonts w:hint="eastAsia" w:ascii="Arial" w:hAnsi="Arial" w:cs="Arial"/>
          <w:sz w:val="26"/>
          <w:szCs w:val="26"/>
          <w:lang w:eastAsia="zh-CN"/>
        </w:rPr>
        <w:t>与当地主管部门一同</w:t>
      </w:r>
      <w:r>
        <w:rPr>
          <w:rFonts w:hint="default" w:ascii="Arial" w:hAnsi="Arial" w:cs="Arial"/>
          <w:sz w:val="26"/>
          <w:szCs w:val="26"/>
        </w:rPr>
        <w:t>推行计划用水、科学用水、合理进行水量调配；</w:t>
      </w:r>
      <w:r>
        <w:rPr>
          <w:rFonts w:hint="eastAsia" w:ascii="Arial" w:hAnsi="Arial" w:cs="Arial"/>
          <w:sz w:val="26"/>
          <w:szCs w:val="26"/>
          <w:lang w:eastAsia="zh-CN"/>
        </w:rPr>
        <w:t>协同当地农业主管部</w:t>
      </w:r>
      <w:r>
        <w:rPr>
          <w:rFonts w:hint="eastAsia" w:ascii="Arial" w:hAnsi="Arial" w:cs="Arial"/>
          <w:color w:val="auto"/>
          <w:sz w:val="26"/>
          <w:szCs w:val="26"/>
          <w:lang w:eastAsia="zh-CN"/>
        </w:rPr>
        <w:t>门，</w:t>
      </w:r>
      <w:r>
        <w:rPr>
          <w:rFonts w:hint="default" w:ascii="Arial" w:hAnsi="Arial" w:cs="Arial"/>
          <w:bCs/>
          <w:color w:val="auto"/>
          <w:sz w:val="26"/>
          <w:szCs w:val="26"/>
        </w:rPr>
        <w:t>根据《长江保护修复攻坚战行动计划》，落实化肥、农药施用量负增长行动，通过开展化肥、农药减量利用和替代利用，加大测土配方施肥推广力度，引导科学合理施肥施药，</w:t>
      </w:r>
      <w:r>
        <w:rPr>
          <w:rFonts w:hint="default" w:ascii="Arial" w:hAnsi="Arial" w:cs="Arial"/>
          <w:color w:val="auto"/>
          <w:sz w:val="26"/>
          <w:szCs w:val="26"/>
        </w:rPr>
        <w:t>降低N、P流失量。</w:t>
      </w:r>
    </w:p>
    <w:p w14:paraId="02F16EA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val="en-US" w:eastAsia="zh-CN"/>
        </w:rPr>
      </w:pPr>
      <w:r>
        <w:rPr>
          <w:rFonts w:hint="eastAsia" w:ascii="Arial" w:hAnsi="Arial" w:cs="Arial"/>
          <w:sz w:val="26"/>
          <w:szCs w:val="26"/>
          <w:lang w:val="en-US" w:eastAsia="zh-CN"/>
        </w:rPr>
        <w:t>按照《饮用水水源保护区划分技术规范》（HJ338-2018）划定饮用水水源保护区，落实库底清理措施，并按照《中华人民共和国水污染防治法》、《饮用水水源保护区污染防治管理规定》（环境保护令第16号）、《关于进一步加强饮用水水源安全保障工作的通知》（环办〔2009〕30号）、《重庆市水资源管理条例》（重庆市人民代表大会常务委员会公告</w:t>
      </w:r>
      <w:r>
        <w:rPr>
          <w:rFonts w:hint="default" w:ascii="Arial" w:hAnsi="Arial" w:cs="Arial"/>
          <w:sz w:val="26"/>
          <w:szCs w:val="26"/>
          <w:lang w:val="en-US" w:eastAsia="zh-CN"/>
        </w:rPr>
        <w:t>〔2015〕第14号</w:t>
      </w:r>
      <w:r>
        <w:rPr>
          <w:rFonts w:hint="eastAsia" w:ascii="Arial" w:hAnsi="Arial" w:cs="Arial"/>
          <w:sz w:val="26"/>
          <w:szCs w:val="26"/>
          <w:lang w:val="en-US" w:eastAsia="zh-CN"/>
        </w:rPr>
        <w:t>）、《重庆市人民政府关于加强集中式饮用水源保护工作的通知》（渝府发〔2012〕79号）、</w:t>
      </w:r>
      <w:r>
        <w:rPr>
          <w:rFonts w:hint="default" w:ascii="Arial" w:hAnsi="Arial" w:cs="Arial"/>
          <w:sz w:val="26"/>
          <w:szCs w:val="26"/>
          <w:lang w:val="en-US" w:eastAsia="zh-CN"/>
        </w:rPr>
        <w:t>《集中式饮用水水源环境保护指南（试行）》（环办〔2012〕50 号）</w:t>
      </w:r>
      <w:r>
        <w:rPr>
          <w:rFonts w:hint="eastAsia" w:ascii="Arial" w:hAnsi="Arial" w:cs="Arial"/>
          <w:sz w:val="26"/>
          <w:szCs w:val="26"/>
          <w:lang w:val="en-US" w:eastAsia="zh-CN"/>
        </w:rPr>
        <w:t>等文件要求，落实水源地水质保护措施。</w:t>
      </w:r>
    </w:p>
    <w:p w14:paraId="0539DAF0">
      <w:pPr>
        <w:keepNext w:val="0"/>
        <w:keepLines w:val="0"/>
        <w:pageBreakBefore w:val="0"/>
        <w:widowControl w:val="0"/>
        <w:kinsoku/>
        <w:wordWrap/>
        <w:overflowPunct/>
        <w:topLinePunct w:val="0"/>
        <w:autoSpaceDE/>
        <w:autoSpaceDN/>
        <w:bidi w:val="0"/>
        <w:spacing w:line="460" w:lineRule="exact"/>
        <w:ind w:firstLine="522" w:firstLineChars="200"/>
        <w:textAlignment w:val="auto"/>
        <w:rPr>
          <w:rFonts w:hint="default" w:ascii="Arial" w:hAnsi="Arial" w:eastAsia="宋体" w:cs="Arial"/>
          <w:b/>
          <w:bCs/>
          <w:color w:val="auto"/>
          <w:kern w:val="0"/>
          <w:sz w:val="26"/>
          <w:szCs w:val="26"/>
          <w:highlight w:val="none"/>
          <w:lang w:val="en-US" w:eastAsia="zh-CN" w:bidi="ar-SA"/>
        </w:rPr>
      </w:pPr>
      <w:r>
        <w:rPr>
          <w:rFonts w:hint="default" w:ascii="Arial" w:hAnsi="Arial" w:eastAsia="宋体" w:cs="Arial"/>
          <w:b/>
          <w:bCs/>
          <w:color w:val="auto"/>
          <w:kern w:val="0"/>
          <w:sz w:val="26"/>
          <w:szCs w:val="26"/>
          <w:highlight w:val="none"/>
          <w:lang w:val="en-US" w:eastAsia="zh-CN" w:bidi="ar-SA"/>
        </w:rPr>
        <w:t>②</w:t>
      </w:r>
      <w:r>
        <w:rPr>
          <w:rFonts w:hint="eastAsia" w:ascii="Arial" w:hAnsi="Arial" w:eastAsia="宋体" w:cs="Arial"/>
          <w:b/>
          <w:bCs/>
          <w:color w:val="auto"/>
          <w:kern w:val="0"/>
          <w:sz w:val="26"/>
          <w:szCs w:val="26"/>
          <w:highlight w:val="none"/>
          <w:lang w:val="en-US" w:eastAsia="zh-CN" w:bidi="ar-SA"/>
        </w:rPr>
        <w:t xml:space="preserve"> </w:t>
      </w:r>
      <w:r>
        <w:rPr>
          <w:rFonts w:hint="eastAsia" w:ascii="Arial" w:hAnsi="Arial" w:cs="Arial"/>
          <w:b/>
          <w:bCs/>
          <w:color w:val="auto"/>
          <w:kern w:val="0"/>
          <w:sz w:val="26"/>
          <w:szCs w:val="26"/>
          <w:highlight w:val="none"/>
          <w:lang w:val="en-US" w:eastAsia="zh-CN" w:bidi="ar-SA"/>
        </w:rPr>
        <w:t>环境空气</w:t>
      </w:r>
    </w:p>
    <w:p w14:paraId="69689F0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Arial" w:hAnsi="Arial" w:cs="Arial"/>
          <w:sz w:val="26"/>
          <w:szCs w:val="26"/>
          <w:lang w:eastAsia="zh-CN"/>
        </w:rPr>
      </w:pPr>
      <w:r>
        <w:rPr>
          <w:rFonts w:hint="default" w:ascii="Arial" w:hAnsi="Arial" w:cs="Arial"/>
          <w:sz w:val="26"/>
          <w:szCs w:val="26"/>
        </w:rPr>
        <w:t>运行期自身无废气产生，</w:t>
      </w:r>
      <w:r>
        <w:rPr>
          <w:rFonts w:hint="eastAsia" w:ascii="Arial" w:hAnsi="Arial" w:cs="Arial"/>
          <w:sz w:val="26"/>
          <w:szCs w:val="26"/>
          <w:lang w:eastAsia="zh-CN"/>
        </w:rPr>
        <w:t>管理人员</w:t>
      </w:r>
      <w:r>
        <w:rPr>
          <w:rFonts w:hint="default" w:ascii="Arial" w:hAnsi="Arial" w:cs="Arial"/>
          <w:sz w:val="26"/>
          <w:szCs w:val="26"/>
        </w:rPr>
        <w:t>以液化石油气、电为能源，食堂油烟经油烟净化器处理达标后，引至超屋顶外排</w:t>
      </w:r>
      <w:r>
        <w:rPr>
          <w:rFonts w:hint="eastAsia" w:ascii="Arial" w:hAnsi="Arial" w:cs="Arial"/>
          <w:sz w:val="26"/>
          <w:szCs w:val="26"/>
          <w:lang w:eastAsia="zh-CN"/>
        </w:rPr>
        <w:t>。</w:t>
      </w:r>
    </w:p>
    <w:p w14:paraId="663B4B71">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eastAsia="宋体" w:cs="Arial"/>
          <w:b/>
          <w:bCs/>
          <w:color w:val="auto"/>
          <w:kern w:val="0"/>
          <w:sz w:val="26"/>
          <w:szCs w:val="26"/>
          <w:highlight w:val="none"/>
          <w:lang w:val="en-US" w:eastAsia="zh-CN" w:bidi="ar-SA"/>
        </w:rPr>
      </w:pPr>
      <w:r>
        <w:rPr>
          <w:rFonts w:hint="eastAsia" w:ascii="Arial" w:hAnsi="Arial" w:eastAsia="宋体" w:cs="Arial"/>
          <w:b/>
          <w:bCs/>
          <w:color w:val="auto"/>
          <w:kern w:val="0"/>
          <w:sz w:val="26"/>
          <w:szCs w:val="26"/>
          <w:highlight w:val="none"/>
          <w:lang w:val="en-US" w:eastAsia="zh-CN" w:bidi="ar-SA"/>
        </w:rPr>
        <w:t xml:space="preserve">③ </w:t>
      </w:r>
      <w:r>
        <w:rPr>
          <w:rFonts w:hint="eastAsia" w:ascii="Arial" w:hAnsi="Arial" w:cs="Arial"/>
          <w:b/>
          <w:bCs/>
          <w:color w:val="auto"/>
          <w:kern w:val="0"/>
          <w:sz w:val="26"/>
          <w:szCs w:val="26"/>
          <w:highlight w:val="none"/>
          <w:lang w:val="en-US" w:eastAsia="zh-CN" w:bidi="ar-SA"/>
        </w:rPr>
        <w:t>声环境</w:t>
      </w:r>
    </w:p>
    <w:p w14:paraId="5605A800">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Arial" w:hAnsi="宋体" w:cs="Arial"/>
          <w:color w:val="auto"/>
          <w:sz w:val="26"/>
          <w:szCs w:val="26"/>
          <w:lang w:val="en-US" w:eastAsia="zh-CN"/>
        </w:rPr>
      </w:pPr>
      <w:r>
        <w:rPr>
          <w:rFonts w:hint="eastAsia" w:ascii="Arial" w:hAnsi="Arial" w:cs="Arial"/>
          <w:sz w:val="26"/>
          <w:szCs w:val="26"/>
          <w:lang w:eastAsia="zh-CN"/>
        </w:rPr>
        <w:t>本项目运营期</w:t>
      </w:r>
      <w:r>
        <w:rPr>
          <w:rFonts w:hint="eastAsia" w:ascii="Arial" w:hAnsi="Arial" w:eastAsia="宋体" w:cs="Arial"/>
          <w:color w:val="000000"/>
          <w:sz w:val="26"/>
          <w:szCs w:val="26"/>
          <w:lang w:val="en-US" w:eastAsia="zh-CN"/>
        </w:rPr>
        <w:t>枢纽工程主要噪声源为闸阀房内控制阀、溢洪道启闭设备运行噪声，</w:t>
      </w:r>
      <w:r>
        <w:rPr>
          <w:rFonts w:hint="eastAsia" w:ascii="Arial" w:hAnsi="Arial" w:cs="Arial"/>
          <w:color w:val="000000"/>
          <w:sz w:val="26"/>
          <w:szCs w:val="26"/>
          <w:lang w:val="en-US" w:eastAsia="zh-CN"/>
        </w:rPr>
        <w:t>及上坝道路车行噪声。本项目</w:t>
      </w:r>
      <w:r>
        <w:rPr>
          <w:rFonts w:hint="eastAsia" w:ascii="Arial" w:hAnsi="Arial" w:eastAsia="宋体" w:cs="Arial"/>
          <w:color w:val="000000"/>
          <w:sz w:val="26"/>
          <w:szCs w:val="26"/>
          <w:lang w:val="en-US" w:eastAsia="zh-CN"/>
        </w:rPr>
        <w:t>距离周边居民点较远，</w:t>
      </w:r>
      <w:r>
        <w:rPr>
          <w:rFonts w:hint="eastAsia" w:ascii="Arial" w:hAnsi="Arial" w:cs="Arial"/>
          <w:color w:val="000000"/>
          <w:sz w:val="26"/>
          <w:szCs w:val="26"/>
          <w:lang w:val="en-US" w:eastAsia="zh-CN"/>
        </w:rPr>
        <w:t>运行噪声源强小，</w:t>
      </w:r>
      <w:r>
        <w:rPr>
          <w:rFonts w:hint="eastAsia" w:ascii="Arial" w:hAnsi="Arial" w:eastAsia="宋体" w:cs="Arial"/>
          <w:color w:val="000000"/>
          <w:sz w:val="26"/>
          <w:szCs w:val="26"/>
          <w:lang w:val="en-US" w:eastAsia="zh-CN"/>
        </w:rPr>
        <w:t>对外环境影响小。</w:t>
      </w:r>
    </w:p>
    <w:p w14:paraId="3AB23BEE">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Arial" w:hAnsi="Arial" w:eastAsia="宋体" w:cs="Arial"/>
          <w:b/>
          <w:bCs/>
          <w:color w:val="auto"/>
          <w:kern w:val="0"/>
          <w:sz w:val="26"/>
          <w:szCs w:val="26"/>
          <w:highlight w:val="none"/>
          <w:lang w:val="en-US" w:eastAsia="zh-CN" w:bidi="ar-SA"/>
        </w:rPr>
      </w:pPr>
      <w:r>
        <w:rPr>
          <w:rFonts w:hint="eastAsia" w:ascii="Arial" w:hAnsi="Arial" w:eastAsia="宋体" w:cs="Arial"/>
          <w:b/>
          <w:bCs/>
          <w:color w:val="auto"/>
          <w:kern w:val="0"/>
          <w:sz w:val="26"/>
          <w:szCs w:val="26"/>
          <w:highlight w:val="none"/>
          <w:lang w:val="en-US" w:eastAsia="zh-CN" w:bidi="ar-SA"/>
        </w:rPr>
        <w:t>④</w:t>
      </w:r>
      <w:r>
        <w:rPr>
          <w:rFonts w:hint="eastAsia" w:ascii="Arial" w:hAnsi="Arial" w:cs="Arial"/>
          <w:b/>
          <w:bCs/>
          <w:color w:val="auto"/>
          <w:kern w:val="0"/>
          <w:sz w:val="26"/>
          <w:szCs w:val="26"/>
          <w:highlight w:val="none"/>
          <w:lang w:val="en-US" w:eastAsia="zh-CN" w:bidi="ar-SA"/>
        </w:rPr>
        <w:t xml:space="preserve"> 固体废物</w:t>
      </w:r>
    </w:p>
    <w:p w14:paraId="3C132083">
      <w:pPr>
        <w:spacing w:line="460" w:lineRule="exact"/>
        <w:ind w:firstLine="520" w:firstLineChars="200"/>
        <w:rPr>
          <w:rFonts w:hint="eastAsia" w:ascii="Arial" w:hAnsi="宋体" w:cs="Arial"/>
          <w:sz w:val="26"/>
          <w:szCs w:val="26"/>
        </w:rPr>
      </w:pPr>
      <w:r>
        <w:rPr>
          <w:rFonts w:hint="eastAsia" w:ascii="Arial" w:cs="Arial"/>
          <w:sz w:val="26"/>
          <w:szCs w:val="26"/>
        </w:rPr>
        <w:t>生活垃圾集中收集后，交当地环卫部门统一清运处置；餐厨垃圾桶装收集后，交有资质单位清运处置</w:t>
      </w:r>
      <w:r>
        <w:rPr>
          <w:rFonts w:hint="eastAsia" w:ascii="Arial" w:hAnsi="宋体" w:cs="Arial"/>
          <w:sz w:val="26"/>
          <w:szCs w:val="26"/>
          <w:lang w:eastAsia="zh-CN"/>
        </w:rPr>
        <w:t>；</w:t>
      </w:r>
      <w:r>
        <w:rPr>
          <w:rFonts w:hint="eastAsia" w:ascii="Arial" w:hAnsi="宋体" w:cs="Arial"/>
          <w:sz w:val="26"/>
          <w:szCs w:val="26"/>
        </w:rPr>
        <w:t>库区打捞出的漂浮物</w:t>
      </w:r>
      <w:r>
        <w:rPr>
          <w:rFonts w:hint="eastAsia" w:ascii="Arial" w:hAnsi="宋体" w:cs="Arial"/>
          <w:sz w:val="26"/>
          <w:szCs w:val="26"/>
          <w:lang w:eastAsia="zh-CN"/>
        </w:rPr>
        <w:t>，</w:t>
      </w:r>
      <w:r>
        <w:rPr>
          <w:rFonts w:hint="eastAsia" w:ascii="Arial" w:cs="Arial"/>
          <w:sz w:val="26"/>
          <w:szCs w:val="26"/>
        </w:rPr>
        <w:t>交当地环卫部门统一清运处置</w:t>
      </w:r>
      <w:r>
        <w:rPr>
          <w:rFonts w:hint="eastAsia" w:ascii="Arial" w:hAnsi="宋体" w:cs="Arial"/>
          <w:sz w:val="26"/>
          <w:szCs w:val="26"/>
        </w:rPr>
        <w:t>。</w:t>
      </w:r>
    </w:p>
    <w:p w14:paraId="6F5465AB">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b/>
          <w:bCs/>
          <w:color w:val="000000"/>
          <w:kern w:val="2"/>
          <w:sz w:val="26"/>
          <w:szCs w:val="26"/>
          <w:lang w:val="en-US" w:eastAsia="zh-CN" w:bidi="ar-SA"/>
        </w:rPr>
      </w:pP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3</w:t>
      </w: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施工期对区域生态环境的影响及保护措施</w:t>
      </w:r>
    </w:p>
    <w:p w14:paraId="663C38A5">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sz w:val="26"/>
          <w:szCs w:val="26"/>
          <w:lang w:eastAsia="zh-CN"/>
        </w:rPr>
      </w:pPr>
      <w:r>
        <w:rPr>
          <w:rFonts w:hint="eastAsia" w:ascii="Arial" w:hAnsi="Arial" w:cs="Arial"/>
          <w:b/>
          <w:sz w:val="26"/>
          <w:szCs w:val="26"/>
        </w:rPr>
        <w:t xml:space="preserve">① </w:t>
      </w:r>
      <w:r>
        <w:rPr>
          <w:rFonts w:hint="eastAsia" w:ascii="Arial" w:hAnsi="Arial" w:cs="Arial"/>
          <w:b/>
          <w:sz w:val="26"/>
          <w:szCs w:val="26"/>
          <w:lang w:eastAsia="zh-CN"/>
        </w:rPr>
        <w:t>水生生态</w:t>
      </w:r>
    </w:p>
    <w:p w14:paraId="4FD41158">
      <w:pPr>
        <w:spacing w:line="460" w:lineRule="exact"/>
        <w:ind w:firstLine="520" w:firstLineChars="200"/>
        <w:rPr>
          <w:rFonts w:hint="eastAsia" w:ascii="Arial" w:cs="Arial"/>
          <w:color w:val="000000" w:themeColor="text1"/>
          <w:sz w:val="26"/>
          <w:szCs w:val="26"/>
          <w14:textFill>
            <w14:solidFill>
              <w14:schemeClr w14:val="tx1"/>
            </w14:solidFill>
          </w14:textFill>
        </w:rPr>
      </w:pPr>
      <w:r>
        <w:rPr>
          <w:rFonts w:hint="eastAsia" w:ascii="Arial" w:cs="Arial"/>
          <w:color w:val="000000" w:themeColor="text1"/>
          <w:sz w:val="26"/>
          <w:szCs w:val="26"/>
          <w14:textFill>
            <w14:solidFill>
              <w14:schemeClr w14:val="tx1"/>
            </w14:solidFill>
          </w14:textFill>
        </w:rPr>
        <w:t>在枢纽工程施工区严格落实围堰导流工程，确保河道水流正常排泄，避免对鱼类造成阻隔影响。在施工前做好各施工场地、弃渣场、施工区的防护，避免初期雨水直排河流；同时做好各类污废水的收集处理工作，避免直接排放，减水水体污染和防止水体流失。加强对施工人员自然保护教育，同时加强施工期的环境监管。</w:t>
      </w:r>
    </w:p>
    <w:p w14:paraId="1E554651">
      <w:pPr>
        <w:spacing w:line="460" w:lineRule="exact"/>
        <w:ind w:firstLine="504" w:firstLineChars="200"/>
        <w:rPr>
          <w:rFonts w:hint="eastAsia" w:ascii="Arial" w:cs="Arial"/>
          <w:bCs/>
          <w:color w:val="auto"/>
          <w:sz w:val="26"/>
        </w:rPr>
      </w:pPr>
      <w:r>
        <w:rPr>
          <w:rFonts w:hint="eastAsia" w:ascii="Arial" w:hAnsi="宋体" w:cs="Arial"/>
          <w:color w:val="000000" w:themeColor="text1"/>
          <w:spacing w:val="-4"/>
          <w:sz w:val="26"/>
          <w:szCs w:val="26"/>
          <w14:textFill>
            <w14:solidFill>
              <w14:schemeClr w14:val="tx1"/>
            </w14:solidFill>
          </w14:textFill>
        </w:rPr>
        <w:t>输水工程管道有</w:t>
      </w:r>
      <w:r>
        <w:rPr>
          <w:rFonts w:hint="eastAsia" w:ascii="Arial" w:hAnsi="宋体" w:cs="Arial"/>
          <w:color w:val="000000" w:themeColor="text1"/>
          <w:spacing w:val="-4"/>
          <w:sz w:val="26"/>
          <w:szCs w:val="26"/>
          <w:lang w:val="en-US" w:eastAsia="zh-CN"/>
          <w14:textFill>
            <w14:solidFill>
              <w14:schemeClr w14:val="tx1"/>
            </w14:solidFill>
          </w14:textFill>
        </w:rPr>
        <w:t>5</w:t>
      </w:r>
      <w:r>
        <w:rPr>
          <w:rFonts w:hint="eastAsia" w:ascii="Arial" w:hAnsi="宋体" w:cs="Arial"/>
          <w:color w:val="000000" w:themeColor="text1"/>
          <w:spacing w:val="-4"/>
          <w:sz w:val="26"/>
          <w:szCs w:val="26"/>
          <w14:textFill>
            <w14:solidFill>
              <w14:schemeClr w14:val="tx1"/>
            </w14:solidFill>
          </w14:textFill>
        </w:rPr>
        <w:t>处跨河，</w:t>
      </w:r>
      <w:r>
        <w:rPr>
          <w:rFonts w:hint="eastAsia" w:ascii="Arial" w:hAnsi="宋体" w:cs="Arial"/>
          <w:color w:val="auto"/>
          <w:sz w:val="26"/>
          <w:szCs w:val="26"/>
          <w:lang w:val="en-US" w:eastAsia="zh-CN"/>
        </w:rPr>
        <w:t>为避免对河道水生生态环境造成影响，本评价建议建设单位优先选用定向钻、顶管等不涉水施工工艺，无法选用时，需做好施工导流、围堰等工作，</w:t>
      </w:r>
      <w:r>
        <w:rPr>
          <w:rFonts w:hint="eastAsia" w:ascii="Arial" w:hAnsi="宋体" w:cs="Arial"/>
          <w:color w:val="auto"/>
          <w:spacing w:val="-4"/>
          <w:sz w:val="26"/>
          <w:szCs w:val="26"/>
        </w:rPr>
        <w:t>选择枯水期分段作业，严格控制施工开挖面，并尽可能将处理后的基坑废水回用于施工抑尘洒水，</w:t>
      </w:r>
      <w:r>
        <w:rPr>
          <w:rFonts w:hint="eastAsia" w:ascii="Arial" w:hAnsi="宋体" w:cs="Arial"/>
          <w:bCs/>
          <w:color w:val="auto"/>
          <w:sz w:val="26"/>
          <w:szCs w:val="26"/>
        </w:rPr>
        <w:t>多余部分需经沉淀处理</w:t>
      </w:r>
      <w:r>
        <w:rPr>
          <w:rFonts w:hint="eastAsia" w:ascii="Arial" w:hAnsi="宋体" w:cs="Arial"/>
          <w:bCs/>
          <w:color w:val="auto"/>
          <w:sz w:val="26"/>
          <w:szCs w:val="26"/>
          <w:lang w:eastAsia="zh-CN"/>
        </w:rPr>
        <w:t>后引至下游河道排放。</w:t>
      </w:r>
      <w:r>
        <w:rPr>
          <w:rFonts w:hint="eastAsia" w:ascii="Arial" w:cs="Arial"/>
          <w:bCs/>
          <w:color w:val="auto"/>
          <w:sz w:val="26"/>
        </w:rPr>
        <w:t>同时，输水管线施工段应设置临时围挡，严格控制施工活动，做好废弃土石方的暂存、清运工作，严禁向河道内倾倒废渣，减轻对</w:t>
      </w:r>
      <w:r>
        <w:rPr>
          <w:rFonts w:hint="eastAsia" w:ascii="Arial" w:cs="Arial"/>
          <w:bCs/>
          <w:color w:val="auto"/>
          <w:sz w:val="26"/>
          <w:lang w:eastAsia="zh-CN"/>
        </w:rPr>
        <w:t>河道水质、水生生态的</w:t>
      </w:r>
      <w:r>
        <w:rPr>
          <w:rFonts w:hint="eastAsia" w:ascii="Arial" w:cs="Arial"/>
          <w:bCs/>
          <w:color w:val="auto"/>
          <w:sz w:val="26"/>
        </w:rPr>
        <w:t>影响。</w:t>
      </w:r>
    </w:p>
    <w:p w14:paraId="59371B61">
      <w:pPr>
        <w:keepNext w:val="0"/>
        <w:keepLines w:val="0"/>
        <w:pageBreakBefore w:val="0"/>
        <w:widowControl w:val="0"/>
        <w:kinsoku/>
        <w:wordWrap/>
        <w:overflowPunct/>
        <w:topLinePunct w:val="0"/>
        <w:autoSpaceDE/>
        <w:autoSpaceDN/>
        <w:bidi w:val="0"/>
        <w:spacing w:line="460" w:lineRule="exact"/>
        <w:ind w:firstLine="522" w:firstLineChars="200"/>
        <w:textAlignment w:val="auto"/>
        <w:rPr>
          <w:rFonts w:hint="default" w:ascii="Arial" w:hAnsi="Arial" w:eastAsia="宋体" w:cs="Arial"/>
          <w:b/>
          <w:bCs/>
          <w:color w:val="auto"/>
          <w:kern w:val="0"/>
          <w:sz w:val="26"/>
          <w:szCs w:val="26"/>
          <w:highlight w:val="none"/>
          <w:lang w:val="en-US" w:eastAsia="zh-CN" w:bidi="ar-SA"/>
        </w:rPr>
      </w:pPr>
      <w:r>
        <w:rPr>
          <w:rFonts w:hint="default" w:ascii="Arial" w:hAnsi="Arial" w:eastAsia="宋体" w:cs="Arial"/>
          <w:b/>
          <w:bCs/>
          <w:color w:val="auto"/>
          <w:kern w:val="0"/>
          <w:sz w:val="26"/>
          <w:szCs w:val="26"/>
          <w:highlight w:val="none"/>
          <w:lang w:val="en-US" w:eastAsia="zh-CN" w:bidi="ar-SA"/>
        </w:rPr>
        <w:t>②</w:t>
      </w:r>
      <w:r>
        <w:rPr>
          <w:rFonts w:hint="eastAsia" w:ascii="Arial" w:hAnsi="Arial" w:eastAsia="宋体" w:cs="Arial"/>
          <w:b/>
          <w:bCs/>
          <w:color w:val="auto"/>
          <w:kern w:val="0"/>
          <w:sz w:val="26"/>
          <w:szCs w:val="26"/>
          <w:highlight w:val="none"/>
          <w:lang w:val="en-US" w:eastAsia="zh-CN" w:bidi="ar-SA"/>
        </w:rPr>
        <w:t xml:space="preserve"> </w:t>
      </w:r>
      <w:r>
        <w:rPr>
          <w:rFonts w:hint="eastAsia" w:ascii="Arial" w:hAnsi="Arial" w:cs="Arial"/>
          <w:b/>
          <w:bCs/>
          <w:color w:val="auto"/>
          <w:kern w:val="0"/>
          <w:sz w:val="26"/>
          <w:szCs w:val="26"/>
          <w:highlight w:val="none"/>
          <w:lang w:val="en-US" w:eastAsia="zh-CN" w:bidi="ar-SA"/>
        </w:rPr>
        <w:t>陆生生态</w:t>
      </w:r>
    </w:p>
    <w:p w14:paraId="78FA5D0A">
      <w:pPr>
        <w:spacing w:line="460" w:lineRule="exact"/>
        <w:ind w:firstLine="504" w:firstLineChars="200"/>
        <w:rPr>
          <w:rFonts w:hint="eastAsia" w:ascii="Arial" w:hAnsi="宋体" w:cs="Arial"/>
          <w:color w:val="000000" w:themeColor="text1"/>
          <w:spacing w:val="-4"/>
          <w:sz w:val="26"/>
          <w:szCs w:val="26"/>
          <w:lang w:eastAsia="zh-CN"/>
          <w14:textFill>
            <w14:solidFill>
              <w14:schemeClr w14:val="tx1"/>
            </w14:solidFill>
          </w14:textFill>
        </w:rPr>
      </w:pPr>
      <w:r>
        <w:rPr>
          <w:rFonts w:hint="eastAsia" w:ascii="Arial" w:hAnsi="宋体" w:cs="Arial"/>
          <w:color w:val="000000" w:themeColor="text1"/>
          <w:spacing w:val="-4"/>
          <w:sz w:val="26"/>
          <w:szCs w:val="26"/>
          <w14:textFill>
            <w14:solidFill>
              <w14:schemeClr w14:val="tx1"/>
            </w14:solidFill>
          </w14:textFill>
        </w:rPr>
        <w:t>主要采取的各项保护措施如下：严格按照规定的工程征占地范围进行施工，严格控制施工占地红线，尽量将临时设施布置在项目永久占地范围内，减少表土及植被的破坏，严禁超范围占压植被</w:t>
      </w:r>
      <w:r>
        <w:rPr>
          <w:rFonts w:hint="eastAsia" w:ascii="Arial" w:hAnsi="宋体" w:cs="Arial"/>
          <w:color w:val="000000" w:themeColor="text1"/>
          <w:spacing w:val="-4"/>
          <w:sz w:val="26"/>
          <w:szCs w:val="26"/>
          <w:lang w:eastAsia="zh-CN"/>
          <w14:textFill>
            <w14:solidFill>
              <w14:schemeClr w14:val="tx1"/>
            </w14:solidFill>
          </w14:textFill>
        </w:rPr>
        <w:t>；</w:t>
      </w:r>
      <w:r>
        <w:rPr>
          <w:rFonts w:hint="default" w:ascii="Arial" w:hAnsi="宋体" w:cs="Arial"/>
          <w:color w:val="000000" w:themeColor="text1"/>
          <w:spacing w:val="-4"/>
          <w:sz w:val="26"/>
          <w:szCs w:val="26"/>
          <w14:textFill>
            <w14:solidFill>
              <w14:schemeClr w14:val="tx1"/>
            </w14:solidFill>
          </w14:textFill>
        </w:rPr>
        <w:t>施工过程中注意保护好施工区的表层土壤，</w:t>
      </w:r>
      <w:r>
        <w:rPr>
          <w:rFonts w:hint="eastAsia" w:ascii="Arial" w:hAnsi="宋体" w:cs="Arial"/>
          <w:color w:val="000000" w:themeColor="text1"/>
          <w:spacing w:val="-4"/>
          <w:sz w:val="26"/>
          <w:szCs w:val="26"/>
          <w:lang w:eastAsia="zh-CN"/>
          <w14:textFill>
            <w14:solidFill>
              <w14:schemeClr w14:val="tx1"/>
            </w14:solidFill>
          </w14:textFill>
        </w:rPr>
        <w:t>集中收集后，分区暂存于弃渣场内，</w:t>
      </w:r>
      <w:r>
        <w:rPr>
          <w:rFonts w:hint="default" w:ascii="Arial" w:hAnsi="宋体" w:cs="Arial"/>
          <w:color w:val="000000" w:themeColor="text1"/>
          <w:spacing w:val="-4"/>
          <w:sz w:val="26"/>
          <w:szCs w:val="26"/>
          <w14:textFill>
            <w14:solidFill>
              <w14:schemeClr w14:val="tx1"/>
            </w14:solidFill>
          </w14:textFill>
        </w:rPr>
        <w:t>后期</w:t>
      </w:r>
      <w:r>
        <w:rPr>
          <w:rFonts w:hint="eastAsia" w:ascii="Arial" w:hAnsi="宋体" w:cs="Arial"/>
          <w:color w:val="000000" w:themeColor="text1"/>
          <w:spacing w:val="-4"/>
          <w:sz w:val="26"/>
          <w:szCs w:val="26"/>
          <w:lang w:eastAsia="zh-CN"/>
          <w14:textFill>
            <w14:solidFill>
              <w14:schemeClr w14:val="tx1"/>
            </w14:solidFill>
          </w14:textFill>
        </w:rPr>
        <w:t>全部用作生态覆土；</w:t>
      </w:r>
      <w:r>
        <w:rPr>
          <w:rFonts w:hint="default" w:ascii="Arial" w:hAnsi="宋体" w:cs="Arial"/>
          <w:color w:val="000000" w:themeColor="text1"/>
          <w:spacing w:val="-4"/>
          <w:sz w:val="26"/>
          <w:szCs w:val="26"/>
          <w14:textFill>
            <w14:solidFill>
              <w14:schemeClr w14:val="tx1"/>
            </w14:solidFill>
          </w14:textFill>
        </w:rPr>
        <w:t>在建设工程中，加强宣传教育和管理，认真</w:t>
      </w:r>
      <w:r>
        <w:rPr>
          <w:rFonts w:hint="eastAsia" w:ascii="Arial" w:hAnsi="宋体" w:cs="Arial"/>
          <w:color w:val="000000" w:themeColor="text1"/>
          <w:spacing w:val="-4"/>
          <w:sz w:val="26"/>
          <w:szCs w:val="26"/>
          <w14:textFill>
            <w14:solidFill>
              <w14:schemeClr w14:val="tx1"/>
            </w14:solidFill>
          </w14:textFill>
        </w:rPr>
        <w:t>全面贯彻执行《中华人民共和国野生动物保护法》和《重庆市实施&lt;中华人民共和国野生动物保护法&gt;办法》，增强人们的生态保护意识</w:t>
      </w:r>
      <w:r>
        <w:rPr>
          <w:rFonts w:hint="eastAsia" w:ascii="Arial" w:hAnsi="宋体" w:cs="Arial"/>
          <w:color w:val="000000" w:themeColor="text1"/>
          <w:spacing w:val="-4"/>
          <w:sz w:val="26"/>
          <w:szCs w:val="26"/>
          <w:lang w:eastAsia="zh-CN"/>
          <w14:textFill>
            <w14:solidFill>
              <w14:schemeClr w14:val="tx1"/>
            </w14:solidFill>
          </w14:textFill>
        </w:rPr>
        <w:t>，</w:t>
      </w:r>
      <w:r>
        <w:rPr>
          <w:rFonts w:hint="default" w:ascii="Arial" w:hAnsi="宋体" w:cs="Arial"/>
          <w:color w:val="000000" w:themeColor="text1"/>
          <w:spacing w:val="-4"/>
          <w:sz w:val="26"/>
          <w:szCs w:val="26"/>
          <w14:textFill>
            <w14:solidFill>
              <w14:schemeClr w14:val="tx1"/>
            </w14:solidFill>
          </w14:textFill>
        </w:rPr>
        <w:t>严禁猎杀捕食野生动物</w:t>
      </w:r>
      <w:r>
        <w:rPr>
          <w:rFonts w:hint="eastAsia" w:ascii="Arial" w:hAnsi="宋体" w:cs="Arial"/>
          <w:color w:val="000000" w:themeColor="text1"/>
          <w:spacing w:val="-4"/>
          <w:sz w:val="26"/>
          <w:szCs w:val="26"/>
          <w:lang w:eastAsia="zh-CN"/>
          <w14:textFill>
            <w14:solidFill>
              <w14:schemeClr w14:val="tx1"/>
            </w14:solidFill>
          </w14:textFill>
        </w:rPr>
        <w:t>；</w:t>
      </w:r>
      <w:r>
        <w:rPr>
          <w:rFonts w:hint="eastAsia" w:ascii="Arial" w:hAnsi="宋体" w:cs="Arial"/>
          <w:color w:val="000000" w:themeColor="text1"/>
          <w:spacing w:val="-4"/>
          <w:sz w:val="26"/>
          <w:szCs w:val="26"/>
          <w14:textFill>
            <w14:solidFill>
              <w14:schemeClr w14:val="tx1"/>
            </w14:solidFill>
          </w14:textFill>
        </w:rPr>
        <w:t>施工结束后，拆除施工临时设施，清理施工区固体废弃物，对施工临时占地进行生态恢复</w:t>
      </w:r>
      <w:r>
        <w:rPr>
          <w:rFonts w:hint="eastAsia" w:ascii="Arial" w:hAnsi="宋体" w:cs="Arial"/>
          <w:color w:val="000000" w:themeColor="text1"/>
          <w:spacing w:val="-4"/>
          <w:sz w:val="26"/>
          <w:szCs w:val="26"/>
          <w:lang w:eastAsia="zh-CN"/>
          <w14:textFill>
            <w14:solidFill>
              <w14:schemeClr w14:val="tx1"/>
            </w14:solidFill>
          </w14:textFill>
        </w:rPr>
        <w:t>，</w:t>
      </w:r>
      <w:r>
        <w:rPr>
          <w:rFonts w:hint="default" w:ascii="Arial" w:hAnsi="宋体" w:cs="Arial"/>
          <w:color w:val="000000" w:themeColor="text1"/>
          <w:spacing w:val="-4"/>
          <w:sz w:val="26"/>
          <w:szCs w:val="26"/>
          <w14:textFill>
            <w14:solidFill>
              <w14:schemeClr w14:val="tx1"/>
            </w14:solidFill>
          </w14:textFill>
        </w:rPr>
        <w:t>临时占地应尽量恢复为农田；不能恢复为农田的，在通过平整后，按照</w:t>
      </w:r>
      <w:r>
        <w:rPr>
          <w:rFonts w:hint="eastAsia" w:ascii="Arial" w:hAnsi="宋体" w:cs="Arial"/>
          <w:color w:val="000000" w:themeColor="text1"/>
          <w:spacing w:val="-4"/>
          <w:sz w:val="26"/>
          <w:szCs w:val="26"/>
          <w14:textFill>
            <w14:solidFill>
              <w14:schemeClr w14:val="tx1"/>
            </w14:solidFill>
          </w14:textFill>
        </w:rPr>
        <w:t>“宜林则林、宜草则草”</w:t>
      </w:r>
      <w:r>
        <w:rPr>
          <w:rFonts w:hint="default" w:ascii="Arial" w:hAnsi="宋体" w:cs="Arial"/>
          <w:color w:val="000000" w:themeColor="text1"/>
          <w:spacing w:val="-4"/>
          <w:sz w:val="26"/>
          <w:szCs w:val="26"/>
          <w14:textFill>
            <w14:solidFill>
              <w14:schemeClr w14:val="tx1"/>
            </w14:solidFill>
          </w14:textFill>
        </w:rPr>
        <w:t>的原则，种植适宜的林木和草类，最大限度地提高生态环境质量</w:t>
      </w:r>
      <w:r>
        <w:rPr>
          <w:rFonts w:hint="eastAsia" w:ascii="Arial" w:hAnsi="宋体" w:cs="Arial"/>
          <w:color w:val="000000" w:themeColor="text1"/>
          <w:spacing w:val="-4"/>
          <w:sz w:val="26"/>
          <w:szCs w:val="26"/>
          <w:lang w:eastAsia="zh-CN"/>
          <w14:textFill>
            <w14:solidFill>
              <w14:schemeClr w14:val="tx1"/>
            </w14:solidFill>
          </w14:textFill>
        </w:rPr>
        <w:t>；</w:t>
      </w:r>
      <w:r>
        <w:rPr>
          <w:rFonts w:hint="eastAsia" w:ascii="Arial" w:hAnsi="Arial" w:cs="Arial"/>
          <w:sz w:val="26"/>
          <w:szCs w:val="26"/>
        </w:rPr>
        <w:t>结合当地生态规划与工程水土保持要求，按要求在工程竣工前对施工迹地与裸露开挖面进行绿化和植被恢复。施工完毕后，应该在采取水土保持措施的同时将清除的表土层进行回填覆土，并种植当地乔、灌、萆，进行迹地恢复。</w:t>
      </w:r>
    </w:p>
    <w:p w14:paraId="0C6C72A2">
      <w:pPr>
        <w:pStyle w:val="583"/>
        <w:keepNext w:val="0"/>
        <w:keepLines w:val="0"/>
        <w:pageBreakBefore w:val="0"/>
        <w:widowControl w:val="0"/>
        <w:kinsoku/>
        <w:wordWrap/>
        <w:overflowPunct/>
        <w:topLinePunct w:val="0"/>
        <w:autoSpaceDE/>
        <w:autoSpaceDN/>
        <w:bidi w:val="0"/>
        <w:adjustRightInd w:val="0"/>
        <w:snapToGrid w:val="0"/>
        <w:spacing w:line="460" w:lineRule="exact"/>
        <w:ind w:firstLine="392" w:firstLineChars="150"/>
        <w:textAlignment w:val="auto"/>
        <w:rPr>
          <w:rFonts w:hint="eastAsia" w:ascii="Arial" w:hAnsi="Arial" w:eastAsia="宋体" w:cs="Arial"/>
          <w:b/>
          <w:bCs/>
          <w:color w:val="000000"/>
          <w:kern w:val="2"/>
          <w:sz w:val="26"/>
          <w:szCs w:val="26"/>
          <w:lang w:val="en-US" w:eastAsia="zh-CN" w:bidi="ar-SA"/>
        </w:rPr>
      </w:pP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4</w:t>
      </w:r>
      <w:r>
        <w:rPr>
          <w:rFonts w:hint="eastAsia" w:ascii="Arial" w:hAnsi="Arial" w:eastAsia="宋体" w:cs="Arial"/>
          <w:b/>
          <w:bCs/>
          <w:color w:val="000000"/>
          <w:kern w:val="2"/>
          <w:sz w:val="26"/>
          <w:szCs w:val="26"/>
          <w:lang w:val="en-US" w:eastAsia="zh-CN" w:bidi="ar-SA"/>
        </w:rPr>
        <w:t>）</w:t>
      </w:r>
      <w:r>
        <w:rPr>
          <w:rFonts w:hint="eastAsia" w:ascii="Arial" w:hAnsi="Arial" w:cs="Arial"/>
          <w:b/>
          <w:bCs/>
          <w:color w:val="000000"/>
          <w:kern w:val="2"/>
          <w:sz w:val="26"/>
          <w:szCs w:val="26"/>
          <w:lang w:val="en-US" w:eastAsia="zh-CN" w:bidi="ar-SA"/>
        </w:rPr>
        <w:t>运营期对区域生态环境的影响及保护措施</w:t>
      </w:r>
    </w:p>
    <w:p w14:paraId="13A0E654">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sz w:val="26"/>
          <w:szCs w:val="26"/>
          <w:lang w:eastAsia="zh-CN"/>
        </w:rPr>
      </w:pPr>
      <w:r>
        <w:rPr>
          <w:rFonts w:hint="eastAsia" w:ascii="Arial" w:hAnsi="Arial" w:cs="Arial"/>
          <w:b/>
          <w:sz w:val="26"/>
          <w:szCs w:val="26"/>
        </w:rPr>
        <w:t xml:space="preserve">① </w:t>
      </w:r>
      <w:r>
        <w:rPr>
          <w:rFonts w:hint="eastAsia" w:ascii="Arial" w:hAnsi="Arial" w:cs="Arial"/>
          <w:b/>
          <w:sz w:val="26"/>
          <w:szCs w:val="26"/>
          <w:lang w:eastAsia="zh-CN"/>
        </w:rPr>
        <w:t>水生生态</w:t>
      </w:r>
    </w:p>
    <w:p w14:paraId="722F69E7">
      <w:pPr>
        <w:spacing w:line="460" w:lineRule="exact"/>
        <w:ind w:firstLine="504" w:firstLineChars="200"/>
        <w:rPr>
          <w:rFonts w:hint="eastAsia" w:ascii="Arial" w:hAnsi="宋体" w:cs="Arial"/>
          <w:color w:val="000000" w:themeColor="text1"/>
          <w:spacing w:val="-4"/>
          <w:sz w:val="26"/>
          <w:szCs w:val="26"/>
          <w:lang w:val="en-US" w:eastAsia="zh-CN"/>
          <w14:textFill>
            <w14:solidFill>
              <w14:schemeClr w14:val="tx1"/>
            </w14:solidFill>
          </w14:textFill>
        </w:rPr>
      </w:pPr>
      <w:r>
        <w:rPr>
          <w:rFonts w:hint="eastAsia" w:ascii="Arial" w:hAnsi="宋体" w:cs="Arial"/>
          <w:color w:val="000000" w:themeColor="text1"/>
          <w:spacing w:val="-4"/>
          <w:sz w:val="26"/>
          <w:szCs w:val="26"/>
          <w:lang w:eastAsia="zh-CN"/>
          <w14:textFill>
            <w14:solidFill>
              <w14:schemeClr w14:val="tx1"/>
            </w14:solidFill>
          </w14:textFill>
        </w:rPr>
        <w:t>共设置</w:t>
      </w:r>
      <w:r>
        <w:rPr>
          <w:rFonts w:hint="eastAsia" w:ascii="Arial" w:hAnsi="宋体" w:cs="Arial"/>
          <w:color w:val="000000" w:themeColor="text1"/>
          <w:spacing w:val="-4"/>
          <w:sz w:val="26"/>
          <w:szCs w:val="26"/>
          <w:lang w:val="en-US" w:eastAsia="zh-CN"/>
          <w14:textFill>
            <w14:solidFill>
              <w14:schemeClr w14:val="tx1"/>
            </w14:solidFill>
          </w14:textFill>
        </w:rPr>
        <w:t>5层管道取水，</w:t>
      </w:r>
      <w:r>
        <w:rPr>
          <w:rFonts w:hint="eastAsia" w:ascii="Arial" w:hAnsi="宋体" w:cs="Arial"/>
          <w:color w:val="000000" w:themeColor="text1"/>
          <w:spacing w:val="-4"/>
          <w:sz w:val="26"/>
          <w:szCs w:val="26"/>
          <w:lang w:eastAsia="zh-CN"/>
          <w14:textFill>
            <w14:solidFill>
              <w14:schemeClr w14:val="tx1"/>
            </w14:solidFill>
          </w14:textFill>
        </w:rPr>
        <w:t>各层取水口从上到下高程依次为</w:t>
      </w:r>
      <w:r>
        <w:rPr>
          <w:rFonts w:hint="default" w:ascii="Arial" w:hAnsi="宋体" w:cs="Arial"/>
          <w:color w:val="000000" w:themeColor="text1"/>
          <w:spacing w:val="-4"/>
          <w:sz w:val="26"/>
          <w:szCs w:val="26"/>
          <w14:textFill>
            <w14:solidFill>
              <w14:schemeClr w14:val="tx1"/>
            </w14:solidFill>
          </w14:textFill>
        </w:rPr>
        <w:t>418.0m、415.0m、412.0m</w:t>
      </w:r>
      <w:r>
        <w:rPr>
          <w:rFonts w:hint="eastAsia" w:ascii="Arial" w:hAnsi="宋体" w:cs="Arial"/>
          <w:color w:val="000000" w:themeColor="text1"/>
          <w:spacing w:val="-4"/>
          <w:sz w:val="26"/>
          <w:szCs w:val="26"/>
          <w14:textFill>
            <w14:solidFill>
              <w14:schemeClr w14:val="tx1"/>
            </w14:solidFill>
          </w14:textFill>
        </w:rPr>
        <w:t>、</w:t>
      </w:r>
      <w:r>
        <w:rPr>
          <w:rFonts w:hint="default" w:ascii="Arial" w:hAnsi="宋体" w:cs="Arial"/>
          <w:color w:val="000000" w:themeColor="text1"/>
          <w:spacing w:val="-4"/>
          <w:sz w:val="26"/>
          <w:szCs w:val="26"/>
          <w14:textFill>
            <w14:solidFill>
              <w14:schemeClr w14:val="tx1"/>
            </w14:solidFill>
          </w14:textFill>
        </w:rPr>
        <w:t>409.0m</w:t>
      </w:r>
      <w:r>
        <w:rPr>
          <w:rFonts w:hint="eastAsia" w:ascii="Arial" w:hAnsi="宋体" w:cs="Arial"/>
          <w:color w:val="000000" w:themeColor="text1"/>
          <w:spacing w:val="-4"/>
          <w:sz w:val="26"/>
          <w:szCs w:val="26"/>
          <w14:textFill>
            <w14:solidFill>
              <w14:schemeClr w14:val="tx1"/>
            </w14:solidFill>
          </w14:textFill>
        </w:rPr>
        <w:t>、</w:t>
      </w:r>
      <w:r>
        <w:rPr>
          <w:rFonts w:hint="default" w:ascii="Arial" w:hAnsi="宋体" w:cs="Arial"/>
          <w:color w:val="000000" w:themeColor="text1"/>
          <w:spacing w:val="-4"/>
          <w:sz w:val="26"/>
          <w:szCs w:val="26"/>
          <w14:textFill>
            <w14:solidFill>
              <w14:schemeClr w14:val="tx1"/>
            </w14:solidFill>
          </w14:textFill>
        </w:rPr>
        <w:t>405.5m</w:t>
      </w:r>
      <w:r>
        <w:rPr>
          <w:rFonts w:hint="eastAsia" w:ascii="Arial" w:hAnsi="宋体" w:cs="Arial"/>
          <w:color w:val="000000" w:themeColor="text1"/>
          <w:spacing w:val="-4"/>
          <w:sz w:val="26"/>
          <w:szCs w:val="26"/>
          <w:lang w:eastAsia="zh-CN"/>
          <w14:textFill>
            <w14:solidFill>
              <w14:schemeClr w14:val="tx1"/>
            </w14:solidFill>
          </w14:textFill>
        </w:rPr>
        <w:t>，</w:t>
      </w:r>
      <w:r>
        <w:rPr>
          <w:rFonts w:hint="eastAsia" w:ascii="Arial" w:hAnsi="宋体" w:cs="Arial"/>
          <w:color w:val="000000" w:themeColor="text1"/>
          <w:spacing w:val="-4"/>
          <w:sz w:val="26"/>
          <w:szCs w:val="26"/>
          <w:lang w:val="en-US" w:eastAsia="zh-CN"/>
          <w14:textFill>
            <w14:solidFill>
              <w14:schemeClr w14:val="tx1"/>
            </w14:solidFill>
          </w14:textFill>
        </w:rPr>
        <w:t>5</w:t>
      </w:r>
      <w:r>
        <w:rPr>
          <w:rFonts w:hint="default" w:ascii="Arial" w:hAnsi="宋体" w:cs="Arial"/>
          <w:color w:val="000000" w:themeColor="text1"/>
          <w:spacing w:val="-4"/>
          <w:sz w:val="26"/>
          <w:szCs w:val="26"/>
          <w14:textFill>
            <w14:solidFill>
              <w14:schemeClr w14:val="tx1"/>
            </w14:solidFill>
          </w14:textFill>
        </w:rPr>
        <w:t>层取水管从坝体下游坝坡穿出后汇合成一根引水管，引水管沿大坝下游坝坡左侧坝脚布置，</w:t>
      </w:r>
      <w:r>
        <w:rPr>
          <w:rFonts w:hint="eastAsia" w:ascii="Arial" w:hAnsi="宋体" w:cs="Arial"/>
          <w:color w:val="000000" w:themeColor="text1"/>
          <w:spacing w:val="-4"/>
          <w:sz w:val="26"/>
          <w:szCs w:val="26"/>
          <w:lang w:eastAsia="zh-CN"/>
          <w14:textFill>
            <w14:solidFill>
              <w14:schemeClr w14:val="tx1"/>
            </w14:solidFill>
          </w14:textFill>
        </w:rPr>
        <w:t>引入闸阀房内，充分混合后，根据用水性质分类，室内分设3根管道，其中一根</w:t>
      </w:r>
      <w:r>
        <w:rPr>
          <w:rFonts w:hint="eastAsia" w:ascii="Arial" w:hAnsi="宋体" w:cs="Arial"/>
          <w:color w:val="000000" w:themeColor="text1"/>
          <w:spacing w:val="-4"/>
          <w:sz w:val="26"/>
          <w:szCs w:val="26"/>
          <w:lang w:val="en-US" w:eastAsia="zh-CN"/>
          <w14:textFill>
            <w14:solidFill>
              <w14:schemeClr w14:val="tx1"/>
            </w14:solidFill>
          </w14:textFill>
        </w:rPr>
        <w:t>DN100为生态放水管，下泄生态流量为0.005</w:t>
      </w:r>
      <w:r>
        <w:rPr>
          <w:rFonts w:hint="default" w:ascii="Arial" w:hAnsi="宋体" w:cs="Arial"/>
          <w:color w:val="000000" w:themeColor="text1"/>
          <w:spacing w:val="-4"/>
          <w:sz w:val="26"/>
          <w:szCs w:val="26"/>
          <w14:textFill>
            <w14:solidFill>
              <w14:schemeClr w14:val="tx1"/>
            </w14:solidFill>
          </w14:textFill>
        </w:rPr>
        <w:t>m</w:t>
      </w:r>
      <w:r>
        <w:rPr>
          <w:rFonts w:hint="default" w:ascii="Arial" w:hAnsi="宋体" w:cs="Arial"/>
          <w:color w:val="000000" w:themeColor="text1"/>
          <w:spacing w:val="-4"/>
          <w:sz w:val="26"/>
          <w:szCs w:val="26"/>
          <w:vertAlign w:val="superscript"/>
          <w14:textFill>
            <w14:solidFill>
              <w14:schemeClr w14:val="tx1"/>
            </w14:solidFill>
          </w14:textFill>
        </w:rPr>
        <w:t>3</w:t>
      </w:r>
      <w:r>
        <w:rPr>
          <w:rFonts w:hint="default" w:ascii="Arial" w:hAnsi="宋体" w:cs="Arial"/>
          <w:color w:val="000000" w:themeColor="text1"/>
          <w:spacing w:val="-4"/>
          <w:sz w:val="26"/>
          <w:szCs w:val="26"/>
          <w14:textFill>
            <w14:solidFill>
              <w14:schemeClr w14:val="tx1"/>
            </w14:solidFill>
          </w14:textFill>
        </w:rPr>
        <w:t>/s</w:t>
      </w:r>
      <w:r>
        <w:rPr>
          <w:rFonts w:hint="eastAsia" w:ascii="Arial" w:hAnsi="宋体" w:cs="Arial"/>
          <w:color w:val="000000" w:themeColor="text1"/>
          <w:spacing w:val="-4"/>
          <w:sz w:val="26"/>
          <w:szCs w:val="26"/>
          <w:lang w:eastAsia="zh-CN"/>
          <w14:textFill>
            <w14:solidFill>
              <w14:schemeClr w14:val="tx1"/>
            </w14:solidFill>
          </w14:textFill>
        </w:rPr>
        <w:t>，</w:t>
      </w:r>
      <w:r>
        <w:rPr>
          <w:rFonts w:hint="default" w:ascii="Arial" w:hAnsi="宋体" w:cs="Arial"/>
          <w:color w:val="000000" w:themeColor="text1"/>
          <w:spacing w:val="-4"/>
          <w:sz w:val="26"/>
          <w:szCs w:val="26"/>
          <w14:textFill>
            <w14:solidFill>
              <w14:schemeClr w14:val="tx1"/>
            </w14:solidFill>
          </w14:textFill>
        </w:rPr>
        <w:t>多年平均下放生态水量</w:t>
      </w:r>
      <w:r>
        <w:rPr>
          <w:rFonts w:hint="eastAsia" w:ascii="Arial" w:hAnsi="宋体" w:cs="Arial"/>
          <w:color w:val="000000" w:themeColor="text1"/>
          <w:spacing w:val="-4"/>
          <w:sz w:val="26"/>
          <w:szCs w:val="26"/>
          <w:lang w:val="en-US" w:eastAsia="zh-CN"/>
          <w14:textFill>
            <w14:solidFill>
              <w14:schemeClr w14:val="tx1"/>
            </w14:solidFill>
          </w14:textFill>
        </w:rPr>
        <w:t>15.75</w:t>
      </w:r>
      <w:r>
        <w:rPr>
          <w:rFonts w:hint="default" w:ascii="Arial" w:hAnsi="宋体" w:cs="Arial"/>
          <w:color w:val="000000" w:themeColor="text1"/>
          <w:spacing w:val="-4"/>
          <w:sz w:val="26"/>
          <w:szCs w:val="26"/>
          <w14:textFill>
            <w14:solidFill>
              <w14:schemeClr w14:val="tx1"/>
            </w14:solidFill>
          </w14:textFill>
        </w:rPr>
        <w:t>万m</w:t>
      </w:r>
      <w:r>
        <w:rPr>
          <w:rFonts w:hint="eastAsia" w:ascii="Arial" w:hAnsi="宋体" w:cs="Arial"/>
          <w:color w:val="000000" w:themeColor="text1"/>
          <w:spacing w:val="-4"/>
          <w:sz w:val="26"/>
          <w:szCs w:val="26"/>
          <w:vertAlign w:val="superscript"/>
          <w:lang w:val="en-US" w:eastAsia="zh-CN"/>
          <w14:textFill>
            <w14:solidFill>
              <w14:schemeClr w14:val="tx1"/>
            </w14:solidFill>
          </w14:textFill>
        </w:rPr>
        <w:t>3</w:t>
      </w:r>
      <w:r>
        <w:rPr>
          <w:rFonts w:hint="default" w:ascii="Arial" w:hAnsi="宋体" w:cs="Arial"/>
          <w:color w:val="000000" w:themeColor="text1"/>
          <w:spacing w:val="-4"/>
          <w:sz w:val="26"/>
          <w:szCs w:val="26"/>
          <w14:textFill>
            <w14:solidFill>
              <w14:schemeClr w14:val="tx1"/>
            </w14:solidFill>
          </w14:textFill>
        </w:rPr>
        <w:t>。</w:t>
      </w:r>
      <w:r>
        <w:rPr>
          <w:rFonts w:hint="eastAsia" w:ascii="Arial" w:hAnsi="宋体" w:cs="Arial"/>
          <w:color w:val="000000" w:themeColor="text1"/>
          <w:spacing w:val="-4"/>
          <w:sz w:val="26"/>
          <w:szCs w:val="26"/>
          <w:lang w:val="en-US" w:eastAsia="zh-CN"/>
          <w14:textFill>
            <w14:solidFill>
              <w14:schemeClr w14:val="tx1"/>
            </w14:solidFill>
          </w14:textFill>
        </w:rPr>
        <w:t>生态放水管控制阀处于常年开启状态，并设置在线监控设施，确保生态流量下泄。</w:t>
      </w:r>
    </w:p>
    <w:p w14:paraId="1742D1D6">
      <w:pPr>
        <w:spacing w:line="460" w:lineRule="exact"/>
        <w:ind w:firstLine="504" w:firstLineChars="200"/>
        <w:rPr>
          <w:rFonts w:hint="eastAsia" w:ascii="Arial" w:hAnsi="宋体" w:cs="Arial"/>
          <w:color w:val="000000" w:themeColor="text1"/>
          <w:spacing w:val="-4"/>
          <w:sz w:val="26"/>
          <w:szCs w:val="26"/>
          <w:lang w:val="en-US" w:eastAsia="zh-CN"/>
          <w14:textFill>
            <w14:solidFill>
              <w14:schemeClr w14:val="tx1"/>
            </w14:solidFill>
          </w14:textFill>
        </w:rPr>
      </w:pPr>
      <w:r>
        <w:rPr>
          <w:rFonts w:hint="eastAsia" w:ascii="Arial" w:hAnsi="宋体" w:cs="Arial"/>
          <w:color w:val="000000" w:themeColor="text1"/>
          <w:spacing w:val="-4"/>
          <w:sz w:val="26"/>
          <w:szCs w:val="26"/>
          <w:lang w:eastAsia="zh-CN"/>
          <w14:textFill>
            <w14:solidFill>
              <w14:schemeClr w14:val="tx1"/>
            </w14:solidFill>
          </w14:textFill>
        </w:rPr>
        <w:t>水利工程大坝库区通过对洪水的调蓄，削减了部分洪峰流量，洪水经工程消能措施处理后流速减小，减轻了对河道的冲刷影响，同时将大部分泥沙拦蓄在坝前库区内而减少流域水土流失，出库的少量泥沙多为细颗粒悬沙，不易在坝下河 段产生淤积影响。</w:t>
      </w:r>
    </w:p>
    <w:p w14:paraId="156354CD">
      <w:pPr>
        <w:spacing w:line="460" w:lineRule="exact"/>
        <w:ind w:firstLine="504" w:firstLineChars="200"/>
        <w:rPr>
          <w:rFonts w:hint="eastAsia" w:ascii="Arial" w:hAnsi="宋体" w:cs="Arial"/>
          <w:color w:val="000000" w:themeColor="text1"/>
          <w:spacing w:val="-4"/>
          <w:sz w:val="26"/>
          <w:szCs w:val="26"/>
          <w:lang w:eastAsia="zh-CN"/>
          <w14:textFill>
            <w14:solidFill>
              <w14:schemeClr w14:val="tx1"/>
            </w14:solidFill>
          </w14:textFill>
        </w:rPr>
      </w:pPr>
      <w:r>
        <w:rPr>
          <w:rFonts w:hint="eastAsia" w:ascii="Arial" w:hAnsi="宋体" w:cs="Arial"/>
          <w:color w:val="000000" w:themeColor="text1"/>
          <w:spacing w:val="-4"/>
          <w:sz w:val="26"/>
          <w:szCs w:val="26"/>
          <w:lang w:eastAsia="zh-CN"/>
          <w14:textFill>
            <w14:solidFill>
              <w14:schemeClr w14:val="tx1"/>
            </w14:solidFill>
          </w14:textFill>
        </w:rPr>
        <w:t>按规定进行清库作业，运营期定期清漂，加强库区水质监测，协同当地农业主管部门控制集雨范围内农业面源污染，避免出现富营养化现象。</w:t>
      </w:r>
    </w:p>
    <w:p w14:paraId="3E90596C">
      <w:pPr>
        <w:keepNext w:val="0"/>
        <w:keepLines w:val="0"/>
        <w:pageBreakBefore w:val="0"/>
        <w:widowControl w:val="0"/>
        <w:kinsoku/>
        <w:wordWrap/>
        <w:overflowPunct/>
        <w:topLinePunct w:val="0"/>
        <w:autoSpaceDE/>
        <w:autoSpaceDN/>
        <w:bidi w:val="0"/>
        <w:spacing w:line="460" w:lineRule="exact"/>
        <w:ind w:firstLine="522" w:firstLineChars="200"/>
        <w:textAlignment w:val="auto"/>
        <w:rPr>
          <w:rFonts w:hint="default" w:ascii="Arial" w:hAnsi="Arial" w:eastAsia="宋体" w:cs="Arial"/>
          <w:b/>
          <w:bCs/>
          <w:color w:val="auto"/>
          <w:kern w:val="0"/>
          <w:sz w:val="26"/>
          <w:szCs w:val="26"/>
          <w:highlight w:val="none"/>
          <w:lang w:val="en-US" w:eastAsia="zh-CN" w:bidi="ar-SA"/>
        </w:rPr>
      </w:pPr>
      <w:r>
        <w:rPr>
          <w:rFonts w:hint="default" w:ascii="Arial" w:hAnsi="Arial" w:eastAsia="宋体" w:cs="Arial"/>
          <w:b/>
          <w:bCs/>
          <w:color w:val="auto"/>
          <w:kern w:val="0"/>
          <w:sz w:val="26"/>
          <w:szCs w:val="26"/>
          <w:highlight w:val="none"/>
          <w:lang w:val="en-US" w:eastAsia="zh-CN" w:bidi="ar-SA"/>
        </w:rPr>
        <w:t>②</w:t>
      </w:r>
      <w:r>
        <w:rPr>
          <w:rFonts w:hint="eastAsia" w:ascii="Arial" w:hAnsi="Arial" w:eastAsia="宋体" w:cs="Arial"/>
          <w:b/>
          <w:bCs/>
          <w:color w:val="auto"/>
          <w:kern w:val="0"/>
          <w:sz w:val="26"/>
          <w:szCs w:val="26"/>
          <w:highlight w:val="none"/>
          <w:lang w:val="en-US" w:eastAsia="zh-CN" w:bidi="ar-SA"/>
        </w:rPr>
        <w:t xml:space="preserve"> </w:t>
      </w:r>
      <w:r>
        <w:rPr>
          <w:rFonts w:hint="eastAsia" w:ascii="Arial" w:hAnsi="Arial" w:cs="Arial"/>
          <w:b/>
          <w:bCs/>
          <w:color w:val="auto"/>
          <w:kern w:val="0"/>
          <w:sz w:val="26"/>
          <w:szCs w:val="26"/>
          <w:highlight w:val="none"/>
          <w:lang w:val="en-US" w:eastAsia="zh-CN" w:bidi="ar-SA"/>
        </w:rPr>
        <w:t>陆生生态</w:t>
      </w:r>
    </w:p>
    <w:p w14:paraId="5CAA4D5E">
      <w:pPr>
        <w:spacing w:line="460" w:lineRule="exact"/>
        <w:ind w:firstLine="504" w:firstLineChars="200"/>
        <w:rPr>
          <w:rFonts w:hint="eastAsia" w:ascii="Arial" w:hAnsi="宋体" w:cs="Arial"/>
          <w:color w:val="000000" w:themeColor="text1"/>
          <w:spacing w:val="-4"/>
          <w:sz w:val="26"/>
          <w:szCs w:val="26"/>
          <w:lang w:eastAsia="zh-CN"/>
          <w14:textFill>
            <w14:solidFill>
              <w14:schemeClr w14:val="tx1"/>
            </w14:solidFill>
          </w14:textFill>
        </w:rPr>
      </w:pPr>
      <w:r>
        <w:rPr>
          <w:rFonts w:hint="eastAsia" w:ascii="Arial" w:hAnsi="宋体" w:cs="Arial"/>
          <w:color w:val="000000" w:themeColor="text1"/>
          <w:spacing w:val="-4"/>
          <w:sz w:val="26"/>
          <w:szCs w:val="26"/>
          <w:lang w:eastAsia="zh-CN"/>
          <w14:textFill>
            <w14:solidFill>
              <w14:schemeClr w14:val="tx1"/>
            </w14:solidFill>
          </w14:textFill>
        </w:rPr>
        <w:t>对管理区四周进行绿化布置，减缓因工程占地剥离地表植被对区域生态环境造成的破坏。库区周边植树造林，禁止对水库周围植被乱砍乱伐。在野生动物可能出没的地方设置动物通行标志，并在水库周边采取一定的保护措施如加设围栏等，还可对水库周边设置预告、人工监控、控制交通等措施来有效避免对评价区内野生动物的伤害。</w:t>
      </w:r>
    </w:p>
    <w:p w14:paraId="62921135">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color w:val="000000"/>
          <w:sz w:val="26"/>
          <w:szCs w:val="26"/>
          <w:lang w:val="en-US" w:eastAsia="zh-CN"/>
        </w:rPr>
      </w:pPr>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0</w:t>
      </w:r>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5环境风险</w:t>
      </w:r>
    </w:p>
    <w:p w14:paraId="4E9B8E52">
      <w:pPr>
        <w:pStyle w:val="1219"/>
        <w:spacing w:line="440" w:lineRule="exact"/>
        <w:ind w:firstLine="520"/>
        <w:jc w:val="both"/>
        <w:rPr>
          <w:rFonts w:hint="eastAsia"/>
          <w:color w:val="auto"/>
          <w:sz w:val="26"/>
          <w:szCs w:val="26"/>
        </w:rPr>
      </w:pPr>
      <w:r>
        <w:rPr>
          <w:rFonts w:hint="eastAsia"/>
          <w:color w:val="auto"/>
          <w:sz w:val="26"/>
          <w:szCs w:val="26"/>
        </w:rPr>
        <w:t>水库的环境风险包括农业面源污染和库岸道路车辆事故造成的污染。通过合理引导农民耕种施肥、道路沿线设置限速及醒目的水源保护标识、</w:t>
      </w:r>
      <w:r>
        <w:rPr>
          <w:rFonts w:hint="eastAsia"/>
          <w:bCs/>
          <w:color w:val="auto"/>
          <w:sz w:val="26"/>
          <w:szCs w:val="26"/>
        </w:rPr>
        <w:t>加强水库周边巡查道路和现有道路的防撞等级（如</w:t>
      </w:r>
      <w:r>
        <w:rPr>
          <w:rFonts w:hint="eastAsia"/>
          <w:color w:val="auto"/>
          <w:sz w:val="26"/>
          <w:szCs w:val="26"/>
        </w:rPr>
        <w:t>加装防撞栏等）可有效减缓环境风险发生的几率，同时，水库应制定应急预案，保证风险事故下的饮用水安全。</w:t>
      </w:r>
    </w:p>
    <w:p w14:paraId="428C322C">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color w:val="000000"/>
          <w:sz w:val="26"/>
          <w:szCs w:val="26"/>
          <w:lang w:val="en-US" w:eastAsia="zh-CN"/>
        </w:rPr>
      </w:pPr>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0</w:t>
      </w:r>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6选址选线合理性</w:t>
      </w:r>
    </w:p>
    <w:p w14:paraId="22AE215F">
      <w:pPr>
        <w:pStyle w:val="1219"/>
        <w:spacing w:line="440" w:lineRule="exact"/>
        <w:ind w:firstLine="520"/>
        <w:jc w:val="both"/>
        <w:rPr>
          <w:rFonts w:hint="eastAsia"/>
          <w:color w:val="auto"/>
          <w:sz w:val="26"/>
          <w:szCs w:val="26"/>
        </w:rPr>
      </w:pPr>
      <w:r>
        <w:rPr>
          <w:rFonts w:hint="eastAsia"/>
          <w:color w:val="auto"/>
          <w:sz w:val="26"/>
          <w:szCs w:val="26"/>
          <w:lang w:eastAsia="zh-CN"/>
        </w:rPr>
        <w:t>海螺沟水库</w:t>
      </w:r>
      <w:r>
        <w:rPr>
          <w:rFonts w:hint="eastAsia"/>
          <w:color w:val="auto"/>
          <w:sz w:val="26"/>
          <w:szCs w:val="26"/>
        </w:rPr>
        <w:t>各场地设施不涉及占用自然保护区、水源保护区等敏感区域，也不处在地质灾害频发区，建设用地条件良好。项目区环境现状较好，有一定的环境承载力，可接纳本项目的正常排污。因此本项目各场地设施的选址合理。</w:t>
      </w:r>
    </w:p>
    <w:p w14:paraId="47F99B5A">
      <w:pPr>
        <w:pStyle w:val="1219"/>
        <w:spacing w:line="440" w:lineRule="exact"/>
        <w:ind w:firstLine="520"/>
        <w:jc w:val="both"/>
        <w:rPr>
          <w:rFonts w:hint="eastAsia"/>
          <w:color w:val="auto"/>
          <w:sz w:val="26"/>
          <w:szCs w:val="26"/>
          <w:lang w:eastAsia="zh-CN"/>
        </w:rPr>
      </w:pPr>
      <w:r>
        <w:rPr>
          <w:rFonts w:hint="eastAsia"/>
          <w:color w:val="auto"/>
          <w:sz w:val="26"/>
          <w:szCs w:val="26"/>
        </w:rPr>
        <w:t>施工期间，各地面设施均有公路相连，便于施工；临时占地面积小，影响范围小。因此整体上说，本项目的施工布置较合理。</w:t>
      </w:r>
    </w:p>
    <w:p w14:paraId="4F419724">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color w:val="000000"/>
          <w:sz w:val="26"/>
          <w:szCs w:val="26"/>
          <w:lang w:val="en-US" w:eastAsia="zh-CN"/>
        </w:rPr>
      </w:pPr>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0</w:t>
      </w:r>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7水源保护区的划分</w:t>
      </w:r>
    </w:p>
    <w:p w14:paraId="6275C0B3">
      <w:pPr>
        <w:pStyle w:val="1219"/>
        <w:spacing w:line="440" w:lineRule="exact"/>
        <w:ind w:firstLine="520"/>
        <w:jc w:val="both"/>
        <w:rPr>
          <w:rFonts w:hint="default" w:ascii="Arial" w:hAnsi="Arial" w:cs="Arial"/>
          <w:color w:val="auto"/>
          <w:sz w:val="26"/>
          <w:szCs w:val="26"/>
          <w:lang w:val="en-US" w:eastAsia="zh-CN"/>
        </w:rPr>
      </w:pPr>
      <w:r>
        <w:rPr>
          <w:rFonts w:hint="default" w:ascii="Arial" w:hAnsi="Arial" w:cs="Arial"/>
          <w:color w:val="auto"/>
          <w:sz w:val="26"/>
          <w:szCs w:val="26"/>
          <w:lang w:val="en-US" w:eastAsia="zh-CN"/>
        </w:rPr>
        <w:t>海螺沟水库为小（2）型水库，</w:t>
      </w:r>
      <w:r>
        <w:rPr>
          <w:rFonts w:hint="default" w:ascii="Arial" w:hAnsi="Arial" w:cs="Arial"/>
          <w:color w:val="auto"/>
          <w:sz w:val="26"/>
          <w:szCs w:val="26"/>
          <w:lang w:eastAsia="zh-CN"/>
        </w:rPr>
        <w:t>根据《饮用水水源保护区划分技术规范》</w:t>
      </w:r>
      <w:r>
        <w:rPr>
          <w:rFonts w:hint="eastAsia" w:ascii="Arial" w:hAnsi="Arial" w:cs="Arial"/>
          <w:color w:val="auto"/>
          <w:sz w:val="26"/>
          <w:szCs w:val="26"/>
          <w:lang w:eastAsia="zh-CN"/>
        </w:rPr>
        <w:t>（</w:t>
      </w:r>
      <w:r>
        <w:rPr>
          <w:rFonts w:hint="default" w:ascii="Arial" w:hAnsi="Arial" w:cs="Arial"/>
          <w:color w:val="auto"/>
          <w:sz w:val="26"/>
          <w:szCs w:val="26"/>
          <w:lang w:eastAsia="zh-CN"/>
        </w:rPr>
        <w:t>HJ/T338</w:t>
      </w:r>
      <w:r>
        <w:rPr>
          <w:rFonts w:hint="eastAsia" w:ascii="Arial" w:hAnsi="Arial" w:cs="Arial"/>
          <w:color w:val="auto"/>
          <w:sz w:val="26"/>
          <w:szCs w:val="26"/>
          <w:lang w:val="en-US" w:eastAsia="zh-CN"/>
        </w:rPr>
        <w:t>-</w:t>
      </w:r>
      <w:r>
        <w:rPr>
          <w:rFonts w:hint="default" w:ascii="Arial" w:hAnsi="Arial" w:cs="Arial"/>
          <w:color w:val="auto"/>
          <w:sz w:val="26"/>
          <w:szCs w:val="26"/>
          <w:lang w:eastAsia="zh-CN"/>
        </w:rPr>
        <w:t>2018</w:t>
      </w:r>
      <w:r>
        <w:rPr>
          <w:rFonts w:hint="eastAsia" w:ascii="Arial" w:hAnsi="Arial" w:cs="Arial"/>
          <w:color w:val="auto"/>
          <w:sz w:val="26"/>
          <w:szCs w:val="26"/>
          <w:lang w:eastAsia="zh-CN"/>
        </w:rPr>
        <w:t>）</w:t>
      </w:r>
      <w:r>
        <w:rPr>
          <w:rFonts w:hint="default" w:ascii="Arial" w:hAnsi="Arial" w:cs="Arial"/>
          <w:color w:val="auto"/>
          <w:sz w:val="26"/>
          <w:szCs w:val="26"/>
          <w:lang w:eastAsia="zh-CN"/>
        </w:rPr>
        <w:t>规定，</w:t>
      </w:r>
      <w:r>
        <w:rPr>
          <w:rFonts w:hint="default" w:ascii="Arial" w:hAnsi="Arial" w:cs="Arial"/>
          <w:color w:val="auto"/>
          <w:sz w:val="26"/>
          <w:szCs w:val="26"/>
          <w:lang w:val="en-US" w:eastAsia="zh-CN"/>
        </w:rPr>
        <w:t>本次仅提出建议划分范围，建议水域一级保护区为整个水库水域；陆域一级保护区为水域外200m范围内的陆域，二级保护区为一级保护区以外入库河流流域分水岭范围。最终划分方案以水库建成蓄水后的饮用水水源保护区划分技术报告和主管部门的批复结果为准。</w:t>
      </w:r>
    </w:p>
    <w:p w14:paraId="56E8945E">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cs="Arial"/>
          <w:b/>
          <w:bCs/>
          <w:color w:val="000000"/>
          <w:sz w:val="26"/>
          <w:szCs w:val="26"/>
          <w:lang w:val="en-US" w:eastAsia="zh-CN"/>
        </w:rPr>
      </w:pPr>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0</w:t>
      </w:r>
      <w:r>
        <w:rPr>
          <w:rFonts w:hint="eastAsia" w:ascii="Arial" w:hAnsi="Arial" w:eastAsia="宋体" w:cs="Arial"/>
          <w:b/>
          <w:bCs/>
          <w:color w:val="000000"/>
          <w:sz w:val="26"/>
          <w:szCs w:val="26"/>
          <w:lang w:val="en-US" w:eastAsia="zh-CN"/>
        </w:rPr>
        <w:t>.1.</w:t>
      </w:r>
      <w:r>
        <w:rPr>
          <w:rFonts w:hint="eastAsia" w:ascii="Arial" w:hAnsi="Arial" w:cs="Arial"/>
          <w:b/>
          <w:bCs/>
          <w:color w:val="000000"/>
          <w:sz w:val="26"/>
          <w:szCs w:val="26"/>
          <w:lang w:val="en-US" w:eastAsia="zh-CN"/>
        </w:rPr>
        <w:t>8环境影响经济损益分析</w:t>
      </w:r>
    </w:p>
    <w:p w14:paraId="44C5D879">
      <w:pPr>
        <w:pStyle w:val="1219"/>
        <w:spacing w:line="440" w:lineRule="exact"/>
        <w:ind w:firstLine="520"/>
        <w:jc w:val="both"/>
        <w:rPr>
          <w:rFonts w:hint="eastAsia" w:ascii="Arial" w:hAnsi="Arial" w:cs="Arial"/>
          <w:snapToGrid/>
          <w:sz w:val="26"/>
          <w:szCs w:val="26"/>
        </w:rPr>
      </w:pPr>
      <w:r>
        <w:rPr>
          <w:rFonts w:hint="eastAsia"/>
          <w:sz w:val="26"/>
          <w:szCs w:val="26"/>
        </w:rPr>
        <w:t>施工期和运行期通过采取</w:t>
      </w:r>
      <w:r>
        <w:rPr>
          <w:rFonts w:hint="eastAsia"/>
          <w:sz w:val="26"/>
          <w:szCs w:val="26"/>
          <w:lang w:eastAsia="zh-CN"/>
        </w:rPr>
        <w:t>一系列</w:t>
      </w:r>
      <w:r>
        <w:rPr>
          <w:rFonts w:hint="eastAsia"/>
          <w:sz w:val="26"/>
          <w:szCs w:val="26"/>
        </w:rPr>
        <w:t>环境污染防治措施，可将工程建设对区域环境质量的不利影响降至最低；同时，通过采取坝后下泄生态流量和生态保护措施，可在一定程度上减轻项目运行对水生生态和河道景观的不利影响，促使经济发展和保护环境之协调并重发展。因此，项目环境保护措施有利于保护项目区环境质量，推动当地可持续发展进程。</w:t>
      </w:r>
    </w:p>
    <w:p w14:paraId="4E70FBE9">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color w:val="000000"/>
          <w:sz w:val="26"/>
          <w:szCs w:val="26"/>
          <w:lang w:val="en-US" w:eastAsia="zh-CN"/>
        </w:rPr>
      </w:pPr>
      <w:r>
        <w:rPr>
          <w:rFonts w:hint="eastAsia" w:ascii="Arial" w:hAnsi="Arial" w:cs="Arial"/>
          <w:b/>
          <w:bCs/>
          <w:color w:val="000000"/>
          <w:sz w:val="26"/>
          <w:szCs w:val="26"/>
          <w:lang w:val="en-US" w:eastAsia="zh-CN"/>
        </w:rPr>
        <w:t>10.1.9环境监测与管理</w:t>
      </w:r>
    </w:p>
    <w:p w14:paraId="2F643627">
      <w:pPr>
        <w:pStyle w:val="1219"/>
        <w:widowControl w:val="0"/>
        <w:spacing w:line="440" w:lineRule="exact"/>
        <w:ind w:firstLine="520"/>
        <w:jc w:val="both"/>
        <w:rPr>
          <w:sz w:val="26"/>
          <w:szCs w:val="26"/>
        </w:rPr>
      </w:pPr>
      <w:r>
        <w:rPr>
          <w:rFonts w:hint="eastAsia"/>
          <w:sz w:val="26"/>
          <w:szCs w:val="26"/>
        </w:rPr>
        <w:t>建设单位应配置</w:t>
      </w:r>
      <w:r>
        <w:rPr>
          <w:rFonts w:ascii="Arial" w:hAnsi="Arial" w:cs="Arial"/>
          <w:sz w:val="26"/>
          <w:szCs w:val="26"/>
        </w:rPr>
        <w:t>1</w:t>
      </w:r>
      <w:r>
        <w:rPr>
          <w:rFonts w:hint="eastAsia" w:ascii="Arial" w:cs="Arial"/>
          <w:sz w:val="26"/>
          <w:szCs w:val="26"/>
        </w:rPr>
        <w:t>~</w:t>
      </w:r>
      <w:r>
        <w:rPr>
          <w:rFonts w:ascii="Arial" w:hAnsi="Arial" w:cs="Arial"/>
          <w:sz w:val="26"/>
          <w:szCs w:val="26"/>
        </w:rPr>
        <w:t>2</w:t>
      </w:r>
      <w:r>
        <w:rPr>
          <w:rFonts w:ascii="Arial" w:cs="Arial"/>
          <w:sz w:val="26"/>
          <w:szCs w:val="26"/>
        </w:rPr>
        <w:t>名</w:t>
      </w:r>
      <w:r>
        <w:rPr>
          <w:rFonts w:hint="eastAsia"/>
          <w:sz w:val="26"/>
          <w:szCs w:val="26"/>
        </w:rPr>
        <w:t>环境管理人员，负责工程建设和运行过程中的环境管理工作及监测计划；并根据环境影响报告中提出的环保措施，结合在施工和营运期间实际造成的环境影响，详细制定本工程施工期和营运期环境保护规章制度。</w:t>
      </w:r>
    </w:p>
    <w:p w14:paraId="0D8F3436">
      <w:pPr>
        <w:spacing w:line="440" w:lineRule="exact"/>
        <w:ind w:firstLine="520" w:firstLineChars="200"/>
        <w:rPr>
          <w:rFonts w:hint="eastAsia"/>
          <w:sz w:val="26"/>
          <w:szCs w:val="26"/>
        </w:rPr>
      </w:pPr>
      <w:r>
        <w:rPr>
          <w:rFonts w:hint="eastAsia"/>
          <w:sz w:val="26"/>
          <w:szCs w:val="26"/>
        </w:rPr>
        <w:t>评价分别对工程施工期、营运期提出环境监理和监测计划，重点是保护地表水环境和项目区生态环境。</w:t>
      </w:r>
    </w:p>
    <w:p w14:paraId="556A55F2">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Arial" w:hAnsi="Arial" w:eastAsia="宋体" w:cs="Arial"/>
          <w:b/>
          <w:bCs/>
          <w:color w:val="000000"/>
          <w:sz w:val="26"/>
          <w:szCs w:val="26"/>
          <w:lang w:val="en-US" w:eastAsia="zh-CN"/>
        </w:rPr>
      </w:pPr>
      <w:r>
        <w:rPr>
          <w:rFonts w:hint="eastAsia" w:ascii="Arial" w:hAnsi="Arial" w:cs="Arial"/>
          <w:b/>
          <w:bCs/>
          <w:color w:val="000000"/>
          <w:sz w:val="26"/>
          <w:szCs w:val="26"/>
          <w:lang w:val="en-US" w:eastAsia="zh-CN"/>
        </w:rPr>
        <w:t>10.1.10公众参与</w:t>
      </w:r>
    </w:p>
    <w:p w14:paraId="68831AD5">
      <w:pPr>
        <w:pStyle w:val="1219"/>
        <w:spacing w:line="440" w:lineRule="exact"/>
        <w:ind w:firstLine="520"/>
        <w:jc w:val="both"/>
        <w:rPr>
          <w:rFonts w:hint="eastAsia"/>
          <w:sz w:val="26"/>
          <w:szCs w:val="26"/>
          <w:highlight w:val="none"/>
        </w:rPr>
      </w:pPr>
      <w:r>
        <w:rPr>
          <w:rFonts w:hint="eastAsia"/>
          <w:sz w:val="26"/>
          <w:szCs w:val="26"/>
          <w:highlight w:val="none"/>
        </w:rPr>
        <w:t>根据《公众参与</w:t>
      </w:r>
      <w:r>
        <w:rPr>
          <w:rFonts w:hint="eastAsia"/>
          <w:sz w:val="26"/>
          <w:szCs w:val="26"/>
          <w:highlight w:val="none"/>
          <w:lang w:eastAsia="zh-CN"/>
        </w:rPr>
        <w:t>说明</w:t>
      </w:r>
      <w:r>
        <w:rPr>
          <w:rFonts w:hint="eastAsia"/>
          <w:sz w:val="26"/>
          <w:szCs w:val="26"/>
          <w:highlight w:val="none"/>
        </w:rPr>
        <w:t>》，本次公众参与调查通过在</w:t>
      </w:r>
      <w:r>
        <w:rPr>
          <w:rFonts w:hint="eastAsia"/>
          <w:sz w:val="26"/>
          <w:szCs w:val="26"/>
          <w:highlight w:val="none"/>
          <w:lang w:eastAsia="zh-CN"/>
        </w:rPr>
        <w:t>丰都县水利局网</w:t>
      </w:r>
      <w:r>
        <w:rPr>
          <w:rFonts w:hint="eastAsia"/>
          <w:sz w:val="26"/>
          <w:szCs w:val="26"/>
          <w:highlight w:val="none"/>
        </w:rPr>
        <w:t>站、</w:t>
      </w:r>
      <w:r>
        <w:rPr>
          <w:rFonts w:hint="eastAsia"/>
          <w:sz w:val="26"/>
          <w:szCs w:val="26"/>
          <w:highlight w:val="none"/>
          <w:lang w:eastAsia="zh-CN"/>
        </w:rPr>
        <w:t>重庆晚报</w:t>
      </w:r>
      <w:r>
        <w:rPr>
          <w:rFonts w:hint="eastAsia"/>
          <w:sz w:val="26"/>
          <w:szCs w:val="26"/>
          <w:highlight w:val="none"/>
        </w:rPr>
        <w:t>、工程现场等形式进行项目环保信息公开和公众意见的征求。公示及征求意见期间未收到任何反馈、反对意见，本评价视为同意本项目建设。</w:t>
      </w:r>
    </w:p>
    <w:p w14:paraId="43096640">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eastAsia" w:ascii="Arial" w:hAnsi="Arial" w:eastAsia="宋体" w:cs="Arial"/>
          <w:b/>
          <w:bCs/>
          <w:color w:val="000000"/>
          <w:sz w:val="26"/>
          <w:szCs w:val="26"/>
          <w:lang w:val="en-US" w:eastAsia="zh-CN"/>
        </w:rPr>
      </w:pPr>
      <w:bookmarkStart w:id="215" w:name="_Toc34987980"/>
      <w:bookmarkStart w:id="216" w:name="_Toc36041181"/>
      <w:bookmarkStart w:id="217" w:name="_Toc82767300"/>
      <w:bookmarkStart w:id="218" w:name="_Toc80865362"/>
      <w:bookmarkStart w:id="219" w:name="_Toc37663447"/>
      <w:bookmarkStart w:id="220" w:name="_Toc119592497"/>
      <w:bookmarkStart w:id="221" w:name="_Toc84687777"/>
      <w:r>
        <w:rPr>
          <w:rFonts w:hint="eastAsia" w:ascii="Arial" w:hAnsi="Arial" w:eastAsia="宋体" w:cs="Arial"/>
          <w:b/>
          <w:bCs/>
          <w:color w:val="000000"/>
          <w:sz w:val="26"/>
          <w:szCs w:val="26"/>
          <w:lang w:val="en-US" w:eastAsia="zh-CN"/>
        </w:rPr>
        <w:t>11.1.</w:t>
      </w:r>
      <w:r>
        <w:rPr>
          <w:rFonts w:hint="eastAsia" w:ascii="Arial" w:hAnsi="Arial" w:cs="Arial"/>
          <w:b/>
          <w:bCs/>
          <w:color w:val="000000"/>
          <w:sz w:val="26"/>
          <w:szCs w:val="26"/>
          <w:lang w:val="en-US" w:eastAsia="zh-CN"/>
        </w:rPr>
        <w:t>11</w:t>
      </w:r>
      <w:r>
        <w:rPr>
          <w:rFonts w:hint="eastAsia" w:ascii="Arial" w:hAnsi="Arial" w:eastAsia="宋体" w:cs="Arial"/>
          <w:b/>
          <w:bCs/>
          <w:color w:val="000000"/>
          <w:sz w:val="26"/>
          <w:szCs w:val="26"/>
          <w:lang w:val="en-US" w:eastAsia="zh-CN"/>
        </w:rPr>
        <w:t>综合结论</w:t>
      </w:r>
      <w:bookmarkEnd w:id="215"/>
      <w:bookmarkEnd w:id="216"/>
      <w:bookmarkEnd w:id="217"/>
      <w:bookmarkEnd w:id="218"/>
      <w:bookmarkEnd w:id="219"/>
      <w:bookmarkEnd w:id="220"/>
      <w:bookmarkEnd w:id="221"/>
    </w:p>
    <w:p w14:paraId="3FAF53F3">
      <w:pPr>
        <w:keepNext w:val="0"/>
        <w:keepLines w:val="0"/>
        <w:pageBreakBefore w:val="0"/>
        <w:kinsoku/>
        <w:wordWrap/>
        <w:overflowPunct/>
        <w:topLinePunct w:val="0"/>
        <w:bidi w:val="0"/>
        <w:spacing w:line="480" w:lineRule="exact"/>
        <w:ind w:firstLine="520" w:firstLineChars="200"/>
        <w:textAlignment w:val="auto"/>
        <w:rPr>
          <w:rFonts w:hint="eastAsia" w:ascii="Arial" w:hAnsi="Arial" w:cs="Arial"/>
          <w:color w:val="auto"/>
          <w:kern w:val="0"/>
          <w:sz w:val="26"/>
          <w:szCs w:val="26"/>
          <w:highlight w:val="none"/>
          <w:lang w:val="en-US" w:eastAsia="zh-CN"/>
        </w:rPr>
      </w:pPr>
      <w:r>
        <w:rPr>
          <w:rFonts w:hint="eastAsia" w:ascii="Arial" w:hAnsi="Arial" w:cs="Arial"/>
          <w:b w:val="0"/>
          <w:color w:val="auto"/>
          <w:kern w:val="2"/>
          <w:sz w:val="26"/>
          <w:szCs w:val="26"/>
          <w:lang w:val="en-US" w:eastAsia="zh-CN" w:bidi="ar-SA"/>
        </w:rPr>
        <w:t>丰都县海螺沟水库工程是《重庆市</w:t>
      </w:r>
      <w:r>
        <w:rPr>
          <w:rFonts w:hint="eastAsia" w:ascii="Arial" w:hAnsi="Arial" w:cs="Arial"/>
          <w:b w:val="0"/>
          <w:bCs/>
          <w:sz w:val="26"/>
          <w:szCs w:val="26"/>
          <w:lang w:val="en-US" w:eastAsia="zh-CN"/>
        </w:rPr>
        <w:t>重庆市渠溪河流域综合规划》中重点项目之一，</w:t>
      </w:r>
      <w:r>
        <w:rPr>
          <w:rFonts w:hint="eastAsia" w:ascii="Arial" w:hAnsi="Arial" w:eastAsia="宋体" w:cs="Arial"/>
          <w:b w:val="0"/>
          <w:color w:val="auto"/>
          <w:kern w:val="2"/>
          <w:sz w:val="26"/>
          <w:szCs w:val="26"/>
          <w:lang w:val="en-US" w:eastAsia="zh-CN" w:bidi="ar-SA"/>
        </w:rPr>
        <w:t>符合国家</w:t>
      </w:r>
      <w:r>
        <w:rPr>
          <w:rFonts w:hint="eastAsia" w:ascii="Arial" w:hAnsi="Arial" w:cs="Arial"/>
          <w:b w:val="0"/>
          <w:color w:val="auto"/>
          <w:kern w:val="2"/>
          <w:sz w:val="26"/>
          <w:szCs w:val="26"/>
          <w:lang w:val="en-US" w:eastAsia="zh-CN" w:bidi="ar-SA"/>
        </w:rPr>
        <w:t>相关法律法规、产业政策及规划要求，符合</w:t>
      </w:r>
      <w:r>
        <w:rPr>
          <w:rFonts w:hint="eastAsia" w:ascii="Arial" w:hAnsi="Arial" w:cs="Arial"/>
          <w:color w:val="auto"/>
          <w:kern w:val="0"/>
          <w:sz w:val="26"/>
          <w:szCs w:val="26"/>
          <w:highlight w:val="none"/>
          <w:lang w:val="en-US" w:eastAsia="zh-CN"/>
        </w:rPr>
        <w:t>《重庆市渠溪河流域综合规划环境影响报告书》及其审查意见“</w:t>
      </w:r>
      <w:r>
        <w:rPr>
          <w:rFonts w:hint="default" w:ascii="Arial" w:hAnsi="Arial" w:cs="Arial"/>
          <w:color w:val="auto"/>
          <w:kern w:val="0"/>
          <w:sz w:val="26"/>
          <w:szCs w:val="26"/>
          <w:highlight w:val="none"/>
          <w:lang w:val="en-US" w:eastAsia="zh-CN"/>
        </w:rPr>
        <w:t>丰环函</w:t>
      </w:r>
      <w:r>
        <w:rPr>
          <w:rFonts w:hint="default" w:ascii="Arial" w:hAnsi="Arial" w:eastAsia="宋体" w:cs="Arial"/>
          <w:color w:val="auto"/>
          <w:kern w:val="0"/>
          <w:sz w:val="26"/>
          <w:szCs w:val="26"/>
          <w:highlight w:val="none"/>
          <w:lang w:val="en-US" w:eastAsia="zh-CN"/>
        </w:rPr>
        <w:t>〔2025〕2</w:t>
      </w:r>
      <w:r>
        <w:rPr>
          <w:rFonts w:hint="eastAsia" w:ascii="宋体" w:hAnsi="宋体" w:eastAsia="宋体" w:cs="宋体"/>
          <w:color w:val="auto"/>
          <w:kern w:val="0"/>
          <w:sz w:val="26"/>
          <w:szCs w:val="26"/>
          <w:highlight w:val="none"/>
          <w:lang w:val="en-US" w:eastAsia="zh-CN"/>
        </w:rPr>
        <w:t>号</w:t>
      </w:r>
      <w:r>
        <w:rPr>
          <w:rFonts w:hint="eastAsia" w:ascii="Arial" w:hAnsi="Arial" w:cs="Arial"/>
          <w:color w:val="auto"/>
          <w:kern w:val="0"/>
          <w:sz w:val="26"/>
          <w:szCs w:val="26"/>
          <w:highlight w:val="none"/>
          <w:lang w:val="en-US" w:eastAsia="zh-CN"/>
        </w:rPr>
        <w:t>”，工程实施后可解决供区缺水问题，有利于保障区域发展所需的水资源，也可提高灌溉保证率。因此，海螺沟水库的建设具有显著的经济效益、社会效益和生态效益。</w:t>
      </w:r>
    </w:p>
    <w:p w14:paraId="39F168EE">
      <w:pPr>
        <w:keepNext w:val="0"/>
        <w:keepLines w:val="0"/>
        <w:pageBreakBefore w:val="0"/>
        <w:kinsoku/>
        <w:wordWrap/>
        <w:overflowPunct/>
        <w:topLinePunct w:val="0"/>
        <w:bidi w:val="0"/>
        <w:spacing w:line="480" w:lineRule="exact"/>
        <w:ind w:firstLine="520" w:firstLineChars="200"/>
        <w:textAlignment w:val="auto"/>
        <w:rPr>
          <w:rFonts w:hint="eastAsia" w:ascii="Arial" w:hAnsi="Arial" w:eastAsia="宋体" w:cs="Arial"/>
          <w:b w:val="0"/>
          <w:color w:val="auto"/>
          <w:kern w:val="2"/>
          <w:sz w:val="26"/>
          <w:szCs w:val="26"/>
          <w:highlight w:val="none"/>
          <w:lang w:val="en-US" w:eastAsia="zh-CN" w:bidi="ar-SA"/>
        </w:rPr>
      </w:pPr>
      <w:r>
        <w:rPr>
          <w:rFonts w:hint="eastAsia" w:ascii="Arial" w:hAnsi="Arial" w:cs="Arial"/>
          <w:color w:val="auto"/>
          <w:kern w:val="0"/>
          <w:sz w:val="26"/>
          <w:szCs w:val="26"/>
          <w:highlight w:val="none"/>
          <w:lang w:val="en-US" w:eastAsia="zh-CN"/>
        </w:rPr>
        <w:t>工程建设和运行过程中会对所在流域水文情势、水环境、水生生态、陆生生态等带来一定的不利影响，排放的污染物也会对区域环境质量带来不利影响。但在采取本报告书中所提生态补偿与修复、污染防治等相关措施后，可有效减缓工程建设对外环境的不利影响。因此，从环境保护的角度分析，本项目建设是可行的。</w:t>
      </w:r>
    </w:p>
    <w:p w14:paraId="55655F0F">
      <w:pPr>
        <w:pStyle w:val="1291"/>
        <w:keepNext w:val="0"/>
        <w:keepLines w:val="0"/>
        <w:pageBreakBefore w:val="0"/>
        <w:widowControl/>
        <w:kinsoku/>
        <w:wordWrap/>
        <w:overflowPunct/>
        <w:topLinePunct w:val="0"/>
        <w:autoSpaceDE/>
        <w:autoSpaceDN/>
        <w:bidi w:val="0"/>
        <w:adjustRightInd w:val="0"/>
        <w:snapToGrid w:val="0"/>
        <w:spacing w:line="480" w:lineRule="exact"/>
        <w:ind w:firstLine="522" w:firstLineChars="200"/>
        <w:jc w:val="both"/>
        <w:textAlignment w:val="auto"/>
        <w:rPr>
          <w:rFonts w:hint="eastAsia" w:ascii="Arial" w:hAnsi="Arial" w:eastAsia="宋体" w:cs="Arial"/>
          <w:sz w:val="26"/>
          <w:szCs w:val="26"/>
          <w:highlight w:val="none"/>
          <w:lang w:val="en-US" w:eastAsia="zh-CN"/>
        </w:rPr>
      </w:pPr>
      <w:bookmarkStart w:id="222" w:name="_Toc16172"/>
      <w:r>
        <w:rPr>
          <w:rFonts w:hint="eastAsia" w:ascii="Arial" w:hAnsi="Arial" w:eastAsia="宋体" w:cs="Arial"/>
          <w:sz w:val="26"/>
          <w:szCs w:val="26"/>
          <w:highlight w:val="none"/>
          <w:lang w:val="en-US" w:eastAsia="zh-CN"/>
        </w:rPr>
        <w:t>1</w:t>
      </w:r>
      <w:r>
        <w:rPr>
          <w:rFonts w:hint="eastAsia" w:ascii="Arial" w:hAnsi="Arial" w:cs="Arial"/>
          <w:sz w:val="26"/>
          <w:szCs w:val="26"/>
          <w:highlight w:val="none"/>
          <w:lang w:val="en-US" w:eastAsia="zh-CN"/>
        </w:rPr>
        <w:t>0</w:t>
      </w:r>
      <w:r>
        <w:rPr>
          <w:rFonts w:hint="eastAsia" w:ascii="Arial" w:hAnsi="Arial" w:eastAsia="宋体" w:cs="Arial"/>
          <w:sz w:val="26"/>
          <w:szCs w:val="26"/>
          <w:highlight w:val="none"/>
          <w:lang w:val="en-US" w:eastAsia="zh-CN"/>
        </w:rPr>
        <w:t>.2 建议</w:t>
      </w:r>
      <w:bookmarkEnd w:id="222"/>
    </w:p>
    <w:p w14:paraId="7A0D360A">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（1）加强落实各项环境保护及生态恢复措施，严格执行“三同时”制度。</w:t>
      </w:r>
    </w:p>
    <w:p w14:paraId="66E3151A">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rFonts w:hint="eastAsia" w:ascii="Arial" w:hAnsi="Arial" w:eastAsia="宋体" w:cs="Arial"/>
          <w:b w:val="0"/>
          <w:color w:val="auto"/>
          <w:kern w:val="2"/>
          <w:sz w:val="26"/>
          <w:szCs w:val="26"/>
          <w:lang w:val="en-US" w:eastAsia="zh-CN" w:bidi="ar-SA"/>
        </w:rPr>
      </w:pPr>
      <w:r>
        <w:rPr>
          <w:rFonts w:hint="eastAsia" w:ascii="Arial" w:hAnsi="Arial" w:eastAsia="宋体" w:cs="Arial"/>
          <w:b w:val="0"/>
          <w:color w:val="auto"/>
          <w:kern w:val="2"/>
          <w:sz w:val="26"/>
          <w:szCs w:val="26"/>
          <w:lang w:val="en-US" w:eastAsia="zh-CN" w:bidi="ar-SA"/>
        </w:rPr>
        <w:t>（2）加强对施工人员的宣传和教育，增强其</w:t>
      </w:r>
      <w:r>
        <w:rPr>
          <w:rFonts w:hint="eastAsia" w:ascii="Arial" w:hAnsi="Arial" w:cs="Arial"/>
          <w:b w:val="0"/>
          <w:color w:val="auto"/>
          <w:kern w:val="2"/>
          <w:sz w:val="26"/>
          <w:szCs w:val="26"/>
          <w:lang w:val="en-US" w:eastAsia="zh-CN" w:bidi="ar-SA"/>
        </w:rPr>
        <w:t>环保意识</w:t>
      </w:r>
      <w:r>
        <w:rPr>
          <w:rFonts w:hint="eastAsia" w:ascii="Arial" w:hAnsi="Arial" w:eastAsia="宋体" w:cs="Arial"/>
          <w:b w:val="0"/>
          <w:color w:val="auto"/>
          <w:kern w:val="2"/>
          <w:sz w:val="26"/>
          <w:szCs w:val="26"/>
          <w:lang w:val="en-US" w:eastAsia="zh-CN" w:bidi="ar-SA"/>
        </w:rPr>
        <w:t>，加强环境管理。</w:t>
      </w:r>
    </w:p>
    <w:p w14:paraId="24038919">
      <w:pPr>
        <w:keepNext w:val="0"/>
        <w:keepLines w:val="0"/>
        <w:pageBreakBefore w:val="0"/>
        <w:widowControl w:val="0"/>
        <w:kinsoku/>
        <w:wordWrap/>
        <w:overflowPunct/>
        <w:topLinePunct w:val="0"/>
        <w:autoSpaceDE/>
        <w:autoSpaceDN/>
        <w:bidi w:val="0"/>
        <w:adjustRightInd/>
        <w:snapToGrid/>
        <w:spacing w:line="480" w:lineRule="exact"/>
        <w:ind w:firstLine="390" w:firstLineChars="150"/>
        <w:textAlignment w:val="auto"/>
        <w:rPr>
          <w:sz w:val="24"/>
          <w:szCs w:val="24"/>
        </w:rPr>
      </w:pPr>
      <w:r>
        <w:rPr>
          <w:rFonts w:hint="eastAsia" w:ascii="Arial" w:hAnsi="Arial" w:eastAsia="宋体" w:cs="Arial"/>
          <w:b w:val="0"/>
          <w:color w:val="auto"/>
          <w:kern w:val="2"/>
          <w:sz w:val="26"/>
          <w:szCs w:val="26"/>
          <w:lang w:val="en-US" w:eastAsia="zh-CN" w:bidi="ar-SA"/>
        </w:rPr>
        <w:t>（3）水库成库后，根据饮用水源保护区范围划分情况及饮用水源保护区的相关规定，</w:t>
      </w:r>
      <w:r>
        <w:rPr>
          <w:rFonts w:hint="eastAsia" w:ascii="Arial" w:hAnsi="Arial" w:cs="Arial"/>
          <w:b w:val="0"/>
          <w:color w:val="auto"/>
          <w:kern w:val="2"/>
          <w:sz w:val="26"/>
          <w:szCs w:val="26"/>
          <w:lang w:val="en-US" w:eastAsia="zh-CN" w:bidi="ar-SA"/>
        </w:rPr>
        <w:t>落实各种水质保护措施</w:t>
      </w:r>
      <w:r>
        <w:rPr>
          <w:rFonts w:hint="eastAsia" w:ascii="Arial" w:hAnsi="Arial" w:eastAsia="宋体" w:cs="Arial"/>
          <w:b w:val="0"/>
          <w:color w:val="auto"/>
          <w:kern w:val="2"/>
          <w:sz w:val="26"/>
          <w:szCs w:val="26"/>
          <w:lang w:val="en-US" w:eastAsia="zh-CN" w:bidi="ar-SA"/>
        </w:rPr>
        <w:t>。</w:t>
      </w:r>
    </w:p>
    <w:sectPr>
      <w:pgSz w:w="12240" w:h="15840"/>
      <w:pgMar w:top="1440" w:right="1701" w:bottom="1440" w:left="1701" w:header="794" w:footer="794"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华文宋体">
    <w:altName w:val="宋体"/>
    <w:panose1 w:val="02010600040101010101"/>
    <w:charset w:val="86"/>
    <w:family w:val="auto"/>
    <w:pitch w:val="default"/>
    <w:sig w:usb0="00000000" w:usb1="00000000" w:usb2="00000000" w:usb3="00000000" w:csb0="0004009F" w:csb1="DFD70000"/>
  </w:font>
  <w:font w:name="汉鼎简书宋">
    <w:altName w:val="宋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G Times (WN)">
    <w:altName w:val="Times New Roman"/>
    <w:panose1 w:val="00000000000000000000"/>
    <w:charset w:val="00"/>
    <w:family w:val="decorative"/>
    <w:pitch w:val="default"/>
    <w:sig w:usb0="00000000" w:usb1="00000000" w:usb2="00000000" w:usb3="00000000" w:csb0="00000001" w:csb1="00000000"/>
  </w:font>
  <w:font w:name="方正仿宋简体">
    <w:panose1 w:val="02010601030101010101"/>
    <w:charset w:val="86"/>
    <w:family w:val="script"/>
    <w:pitch w:val="default"/>
    <w:sig w:usb0="00000001" w:usb1="080E0000" w:usb2="00000000" w:usb3="00000000" w:csb0="00040000" w:csb1="00000000"/>
  </w:font>
  <w:font w:name="L Helvetica Light">
    <w:altName w:val="Times New Roman"/>
    <w:panose1 w:val="00000000000000000000"/>
    <w:charset w:val="00"/>
    <w:family w:val="auto"/>
    <w:pitch w:val="default"/>
    <w:sig w:usb0="00000000" w:usb1="00000000" w:usb2="00000000" w:usb3="00000000" w:csb0="00000001" w:csb1="00000000"/>
  </w:font>
  <w:font w:name="AdobeSongStd-Light">
    <w:altName w:val="宋体"/>
    <w:panose1 w:val="00000000000000000000"/>
    <w:charset w:val="86"/>
    <w:family w:val="auto"/>
    <w:pitch w:val="default"/>
    <w:sig w:usb0="00000000" w:usb1="00000000" w:usb2="0000001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宋体繁体">
    <w:altName w:val="宋体"/>
    <w:panose1 w:val="00000000000000000000"/>
    <w:charset w:val="86"/>
    <w:family w:val="auto"/>
    <w:pitch w:val="default"/>
    <w:sig w:usb0="00000000" w:usb1="00000000" w:usb2="00000000" w:usb3="00000000" w:csb0="00040000" w:csb1="00000000"/>
  </w:font>
  <w:font w:name="?l?r ｨC?｡ｯ?">
    <w:altName w:val="MS Gothic"/>
    <w:panose1 w:val="00000000000000000000"/>
    <w:charset w:val="80"/>
    <w:family w:val="roma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华文仿宋">
    <w:altName w:val="仿宋"/>
    <w:panose1 w:val="02010600040101010101"/>
    <w:charset w:val="86"/>
    <w:family w:val="auto"/>
    <w:pitch w:val="default"/>
    <w:sig w:usb0="00000000" w:usb1="00000000" w:usb2="00000000" w:usb3="00000000" w:csb0="0004009F" w:csb1="DFD70000"/>
  </w:font>
  <w:font w:name="Technic">
    <w:altName w:val="Segoe Print"/>
    <w:panose1 w:val="00000400000000000000"/>
    <w:charset w:val="02"/>
    <w:family w:val="auto"/>
    <w:pitch w:val="default"/>
    <w:sig w:usb0="00000000" w:usb1="00000000" w:usb2="00000000" w:usb3="00000000" w:csb0="00000000" w:csb1="00000000"/>
  </w:font>
  <w:font w:name="TimesNewRoman">
    <w:altName w:val="Times New Roman"/>
    <w:panose1 w:val="00000000000000000000"/>
    <w:charset w:val="00"/>
    <w:family w:val="roman"/>
    <w:pitch w:val="default"/>
    <w:sig w:usb0="00000000" w:usb1="00000000" w:usb2="00000010" w:usb3="00000000" w:csb0="00040001" w:csb1="0000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華康粗黑體">
    <w:altName w:val="Microsoft JhengHei"/>
    <w:panose1 w:val="00000000000000000000"/>
    <w:charset w:val="88"/>
    <w:family w:val="roman"/>
    <w:pitch w:val="default"/>
    <w:sig w:usb0="00000000" w:usb1="00000000" w:usb2="00000010" w:usb3="00000000" w:csb0="00100000"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CommercialPi BT">
    <w:altName w:val="Symbol"/>
    <w:panose1 w:val="05020102010206080802"/>
    <w:charset w:val="02"/>
    <w:family w:val="roman"/>
    <w:pitch w:val="default"/>
    <w:sig w:usb0="00000000" w:usb1="00000000" w:usb2="00000000" w:usb3="00000000" w:csb0="00000000" w:csb1="0000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DFKai-SB">
    <w:altName w:val="Microsoft JhengHei Light"/>
    <w:panose1 w:val="03000509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Dutch801 Rm BT">
    <w:altName w:val="Times New Roman"/>
    <w:panose1 w:val="02020603060505020304"/>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System">
    <w:altName w:val="宋体"/>
    <w:panose1 w:val="00000000000000000000"/>
    <w:charset w:val="86"/>
    <w:family w:val="auto"/>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Univers Md">
    <w:altName w:val="Segoe Print"/>
    <w:panose1 w:val="00000000000000000000"/>
    <w:charset w:val="00"/>
    <w:family w:val="swiss"/>
    <w:pitch w:val="default"/>
    <w:sig w:usb0="00000000" w:usb1="00000000" w:usb2="00000000" w:usb3="00000000" w:csb0="00000001" w:csb1="00000000"/>
  </w:font>
  <w:font w:name="CIDFont">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F1C31">
    <w:pPr>
      <w:pStyle w:val="50"/>
      <w:pBdr>
        <w:top w:val="single" w:color="auto" w:sz="6" w:space="0"/>
      </w:pBdr>
      <w:jc w:val="center"/>
      <w:rPr>
        <w:rFonts w:hint="default" w:ascii="Arial" w:hAnsi="Arial" w:cs="Arial"/>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66929">
    <w:pPr>
      <w:pStyle w:val="50"/>
      <w:pBdr>
        <w:top w:val="single" w:color="auto" w:sz="6" w:space="0"/>
      </w:pBdr>
      <w:jc w:val="center"/>
      <w:rPr>
        <w:rFonts w:hint="default" w:ascii="Arial" w:hAnsi="Arial" w:cs="Arial"/>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3CD2AC">
                          <w:pPr>
                            <w:pStyle w:val="5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453CD2AC">
                    <w:pPr>
                      <w:pStyle w:val="50"/>
                    </w:pPr>
                    <w:r>
                      <w:fldChar w:fldCharType="begin"/>
                    </w:r>
                    <w:r>
                      <w:instrText xml:space="preserve"> PAGE  \* MERGEFORMAT </w:instrText>
                    </w:r>
                    <w:r>
                      <w:fldChar w:fldCharType="separate"/>
                    </w:r>
                    <w:r>
                      <w:t>I</w:t>
                    </w:r>
                    <w:r>
                      <w:fldChar w:fldCharType="end"/>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61B7B6"/>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E61B7B6"/>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78940">
    <w:pPr>
      <w:pStyle w:val="5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594DF9">
                          <w:pPr>
                            <w:pStyle w:val="5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594DF9">
                    <w:pPr>
                      <w:pStyle w:val="5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CAD8C">
    <w:pPr>
      <w:pStyle w:val="50"/>
      <w:rPr>
        <w:rFonts w:hint="default"/>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3A1E39">
                          <w:pPr>
                            <w:pStyle w:val="5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593A1E39">
                    <w:pPr>
                      <w:pStyle w:val="5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88664">
    <w:pPr>
      <w:pStyle w:val="5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860609">
                          <w:pPr>
                            <w:pStyle w:val="5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59860609">
                    <w:pPr>
                      <w:pStyle w:val="5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35135">
    <w:pPr>
      <w:pStyle w:val="50"/>
      <w:rPr>
        <w:rFonts w:hint="default"/>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012BE">
                          <w:pPr>
                            <w:pStyle w:val="50"/>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32E012BE">
                    <w:pPr>
                      <w:pStyle w:val="50"/>
                    </w:pPr>
                    <w:r>
                      <w:fldChar w:fldCharType="begin"/>
                    </w:r>
                    <w:r>
                      <w:instrText xml:space="preserve"> PAGE  \* MERGEFORMAT </w:instrText>
                    </w:r>
                    <w:r>
                      <w:fldChar w:fldCharType="separate"/>
                    </w:r>
                    <w:r>
                      <w:t>III</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227E7">
    <w:pPr>
      <w:pStyle w:val="5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E92AC">
                          <w:pPr>
                            <w:pStyle w:val="5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043E92AC">
                    <w:pPr>
                      <w:pStyle w:val="50"/>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0A29B">
    <w:pPr>
      <w:pStyle w:val="50"/>
      <w:pBdr>
        <w:top w:val="single" w:color="auto" w:sz="6" w:space="0"/>
      </w:pBdr>
      <w:jc w:val="both"/>
      <w:rPr>
        <w:rFonts w:hint="default" w:ascii="Arial" w:hAnsi="Arial" w:cs="Arial"/>
        <w:sz w:val="21"/>
        <w:szCs w:val="21"/>
      </w:rPr>
    </w:pPr>
    <w:r>
      <w:rPr>
        <w:sz w:val="21"/>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945AEF">
                          <w:pPr>
                            <w:pStyle w:val="5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57945AEF">
                    <w:pPr>
                      <w:pStyle w:val="50"/>
                    </w:pPr>
                    <w:r>
                      <w:fldChar w:fldCharType="begin"/>
                    </w:r>
                    <w:r>
                      <w:instrText xml:space="preserve"> PAGE  \* MERGEFORMAT </w:instrText>
                    </w:r>
                    <w:r>
                      <w:fldChar w:fldCharType="separate"/>
                    </w:r>
                    <w:r>
                      <w:t>I</w:t>
                    </w:r>
                    <w:r>
                      <w:fldChar w:fldCharType="end"/>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F399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45F399F"/>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BA5F6">
    <w:pPr>
      <w:tabs>
        <w:tab w:val="left" w:pos="3731"/>
      </w:tabs>
      <w:spacing w:line="175" w:lineRule="auto"/>
      <w:ind w:left="4189"/>
      <w:rPr>
        <w:rFonts w:ascii="宋体" w:hAnsi="宋体" w:eastAsia="宋体" w:cs="宋体"/>
        <w:sz w:val="25"/>
        <w:szCs w:val="25"/>
      </w:rPr>
    </w:pPr>
    <w:r>
      <w:rPr>
        <w:sz w:val="25"/>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9D5040">
                          <w:pPr>
                            <w:pStyle w:val="50"/>
                            <w:keepNext w:val="0"/>
                            <w:keepLines w:val="0"/>
                            <w:pageBreakBefore w:val="0"/>
                            <w:widowControl w:val="0"/>
                            <w:kinsoku/>
                            <w:wordWrap/>
                            <w:overflowPunct/>
                            <w:topLinePunct w:val="0"/>
                            <w:bidi w:val="0"/>
                            <w:adjustRightInd/>
                            <w:snapToGrid w:val="0"/>
                            <w:spacing w:line="240" w:lineRule="exact"/>
                            <w:textAlignment w:val="auto"/>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89D5040">
                    <w:pPr>
                      <w:pStyle w:val="50"/>
                      <w:keepNext w:val="0"/>
                      <w:keepLines w:val="0"/>
                      <w:pageBreakBefore w:val="0"/>
                      <w:widowControl w:val="0"/>
                      <w:kinsoku/>
                      <w:wordWrap/>
                      <w:overflowPunct/>
                      <w:topLinePunct w:val="0"/>
                      <w:bidi w:val="0"/>
                      <w:adjustRightInd/>
                      <w:snapToGrid w:val="0"/>
                      <w:spacing w:line="240" w:lineRule="exact"/>
                      <w:textAlignment w:val="auto"/>
                    </w:pPr>
                    <w:r>
                      <w:fldChar w:fldCharType="begin"/>
                    </w:r>
                    <w:r>
                      <w:instrText xml:space="preserve"> PAGE  \* MERGEFORMAT </w:instrText>
                    </w:r>
                    <w:r>
                      <w:fldChar w:fldCharType="separate"/>
                    </w:r>
                    <w:r>
                      <w:t>44</w:t>
                    </w:r>
                    <w:r>
                      <w:fldChar w:fldCharType="end"/>
                    </w:r>
                  </w:p>
                </w:txbxContent>
              </v:textbox>
            </v:shape>
          </w:pict>
        </mc:Fallback>
      </mc:AlternateContent>
    </w:r>
    <w:r>
      <w:rPr>
        <w:rFonts w:hint="eastAsia" w:ascii="宋体" w:hAnsi="宋体" w:cs="宋体"/>
        <w:sz w:val="25"/>
        <w:szCs w:val="25"/>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47D15">
    <w:pPr>
      <w:pStyle w:val="51"/>
      <w:spacing w:after="120" w:afterLines="50"/>
      <w:jc w:val="center"/>
      <w:rPr>
        <w:rFonts w:hint="default" w:ascii="Arial" w:hAnsi="Arial" w:cs="Arial"/>
        <w:sz w:val="21"/>
        <w:szCs w:val="21"/>
      </w:rPr>
    </w:pPr>
    <w:r>
      <w:rPr>
        <w:rFonts w:hint="default" w:ascii="Arial" w:hAnsi="Arial" w:cs="Arial"/>
        <w:sz w:val="21"/>
        <w:szCs w:val="21"/>
        <w:lang w:val="en-US" w:eastAsia="zh-CN"/>
      </w:rPr>
      <w:t>垫江县G350澄溪至群力村段新改建工程</w:t>
    </w:r>
    <w:r>
      <w:rPr>
        <w:rFonts w:hint="default" w:ascii="Arial" w:hAnsi="Arial" w:cs="Arial"/>
        <w:sz w:val="21"/>
        <w:szCs w:val="21"/>
      </w:rPr>
      <w:t>环境影响报告书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94386">
    <w:pPr>
      <w:pStyle w:val="51"/>
      <w:spacing w:after="120" w:afterLines="50"/>
      <w:jc w:val="center"/>
      <w:rPr>
        <w:sz w:val="21"/>
        <w:szCs w:val="21"/>
      </w:rPr>
    </w:pPr>
    <w:r>
      <w:rPr>
        <w:rFonts w:hint="eastAsia" w:ascii="Arial" w:hAnsi="Arial" w:cs="Arial"/>
        <w:sz w:val="21"/>
        <w:szCs w:val="21"/>
        <w:lang w:val="en-US" w:eastAsia="zh-CN"/>
      </w:rPr>
      <w:t>丰都县海螺沟水库工程</w:t>
    </w:r>
    <w:r>
      <w:rPr>
        <w:rFonts w:hint="default" w:ascii="Arial" w:hAnsi="Arial" w:cs="Arial"/>
        <w:sz w:val="21"/>
        <w:szCs w:val="21"/>
      </w:rPr>
      <w:t>环境影响报告书</w:t>
    </w:r>
    <w:r>
      <w:rPr>
        <w:rFonts w:hint="default" w:ascii="Arial" w:hAnsi="Arial" w:cs="Arial"/>
        <w:sz w:val="22"/>
        <w:szCs w:val="22"/>
      </w:rPr>
      <w:t xml:space="preserve">           </w:t>
    </w:r>
    <w:r>
      <w:rPr>
        <w:sz w:val="21"/>
        <w:szCs w:val="21"/>
      </w:rPr>
      <w:t xml:space="preserve">   </w:t>
    </w:r>
    <w:r>
      <w:rPr>
        <w:rFonts w:hint="eastAsia"/>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6DC7B">
    <w:pPr>
      <w:pStyle w:val="51"/>
      <w:pBdr>
        <w:bottom w:val="none" w:color="auto" w:sz="0" w:space="0"/>
      </w:pBdr>
      <w:ind w:firstLine="360" w:firstLineChars="20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BDC35">
    <w:pPr>
      <w:pStyle w:val="51"/>
      <w:rPr>
        <w:rFonts w:hint="default"/>
      </w:rPr>
    </w:pPr>
    <w:r>
      <w:rPr>
        <w:rFonts w:hint="eastAsia" w:ascii="Arial" w:hAnsi="Arial" w:cs="Arial"/>
        <w:sz w:val="21"/>
        <w:szCs w:val="21"/>
        <w:lang w:val="en-US" w:eastAsia="zh-CN"/>
      </w:rPr>
      <w:t>丰都县海螺沟水库工程</w:t>
    </w:r>
    <w:r>
      <w:rPr>
        <w:rFonts w:hint="default" w:ascii="Arial" w:hAnsi="Arial" w:cs="Arial"/>
        <w:sz w:val="21"/>
        <w:szCs w:val="21"/>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000C5">
    <w:pPr>
      <w:pStyle w:val="51"/>
      <w:keepNext w:val="0"/>
      <w:keepLines w:val="0"/>
      <w:pageBreakBefore w:val="0"/>
      <w:widowControl w:val="0"/>
      <w:kinsoku/>
      <w:wordWrap/>
      <w:overflowPunct/>
      <w:topLinePunct w:val="0"/>
      <w:autoSpaceDE/>
      <w:autoSpaceDN/>
      <w:bidi w:val="0"/>
      <w:adjustRightInd/>
      <w:snapToGrid w:val="0"/>
      <w:spacing w:after="120" w:afterLines="50" w:line="300" w:lineRule="exact"/>
      <w:jc w:val="center"/>
      <w:textAlignment w:val="auto"/>
      <w:rPr>
        <w:rFonts w:hint="default" w:ascii="Arial" w:hAnsi="Arial" w:cs="Arial"/>
        <w:sz w:val="21"/>
        <w:szCs w:val="21"/>
      </w:rPr>
    </w:pPr>
    <w:r>
      <w:rPr>
        <w:rFonts w:hint="eastAsia" w:ascii="Arial" w:hAnsi="Arial" w:cs="Arial"/>
        <w:sz w:val="21"/>
        <w:szCs w:val="21"/>
        <w:lang w:val="en-US" w:eastAsia="zh-CN"/>
      </w:rPr>
      <w:t>丰都县海螺沟水库工程</w:t>
    </w:r>
    <w:r>
      <w:rPr>
        <w:rFonts w:hint="default" w:ascii="Arial" w:hAnsi="Arial" w:cs="Arial"/>
        <w:sz w:val="21"/>
        <w:szCs w:val="21"/>
      </w:rPr>
      <w:t>环境影响报告书</w:t>
    </w:r>
  </w:p>
  <w:p w14:paraId="402BA4AB">
    <w:pPr>
      <w:pStyle w:val="51"/>
      <w:pBdr>
        <w:bottom w:val="none" w:color="auto" w:sz="0" w:space="0"/>
      </w:pBdr>
      <w:ind w:firstLine="360" w:firstLineChars="20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BF54E">
    <w:pPr>
      <w:pStyle w:val="51"/>
      <w:rPr>
        <w:rFonts w:hint="default"/>
      </w:rPr>
    </w:pPr>
    <w:r>
      <w:rPr>
        <w:rFonts w:hint="eastAsia" w:ascii="Arial" w:hAnsi="Arial" w:cs="Arial"/>
        <w:sz w:val="21"/>
        <w:szCs w:val="21"/>
        <w:lang w:val="en-US" w:eastAsia="zh-CN"/>
      </w:rPr>
      <w:t>丰都县海螺沟水库工程</w:t>
    </w:r>
    <w:r>
      <w:rPr>
        <w:rFonts w:hint="default" w:ascii="Arial" w:hAnsi="Arial" w:cs="Arial"/>
        <w:sz w:val="21"/>
        <w:szCs w:val="21"/>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F25AF">
    <w:pPr>
      <w:pStyle w:val="51"/>
      <w:spacing w:after="120" w:afterLines="50"/>
      <w:jc w:val="center"/>
      <w:rPr>
        <w:sz w:val="21"/>
        <w:szCs w:val="21"/>
      </w:rPr>
    </w:pPr>
    <w:r>
      <w:rPr>
        <w:rFonts w:hint="eastAsia" w:ascii="Arial" w:hAnsi="Arial" w:cs="Arial"/>
        <w:sz w:val="21"/>
        <w:szCs w:val="21"/>
        <w:lang w:val="en-US" w:eastAsia="zh-CN"/>
      </w:rPr>
      <w:t>丰都县海螺沟水库</w:t>
    </w:r>
    <w:r>
      <w:rPr>
        <w:rFonts w:hint="default" w:ascii="Arial" w:hAnsi="Arial" w:cs="Arial"/>
        <w:sz w:val="21"/>
        <w:szCs w:val="21"/>
        <w:lang w:val="en-US" w:eastAsia="zh-CN"/>
      </w:rPr>
      <w:t>工程</w:t>
    </w:r>
    <w:r>
      <w:rPr>
        <w:rFonts w:hint="default" w:ascii="Arial" w:hAnsi="Arial" w:cs="Arial"/>
        <w:sz w:val="21"/>
        <w:szCs w:val="21"/>
      </w:rPr>
      <w:t>环境影响报告书</w:t>
    </w:r>
    <w:r>
      <w:rPr>
        <w:rFonts w:hint="eastAsia"/>
        <w:sz w:val="21"/>
        <w:szCs w:val="21"/>
      </w:rPr>
      <w:t xml:space="preserve">   </w:t>
    </w:r>
    <w:r>
      <w:rPr>
        <w:sz w:val="21"/>
        <w:szCs w:val="21"/>
      </w:rPr>
      <w:t xml:space="preserve">                          </w:t>
    </w:r>
    <w:r>
      <w:rPr>
        <w:rFonts w:hint="eastAsia"/>
        <w:sz w:val="21"/>
        <w:szCs w:val="21"/>
      </w:rPr>
      <w:t xml:space="preserve"> </w:t>
    </w:r>
    <w:r>
      <w:rPr>
        <w:sz w:val="21"/>
        <w:szCs w:val="21"/>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E6C32">
    <w:pPr>
      <w:pStyle w:val="51"/>
      <w:bidi w:val="0"/>
      <w:rPr>
        <w:rFonts w:hint="default" w:ascii="Arial" w:hAnsi="Arial" w:cs="Arial"/>
      </w:rPr>
    </w:pPr>
    <w:r>
      <w:rPr>
        <w:rFonts w:hint="default" w:ascii="Arial" w:hAnsi="Arial" w:cs="Arial"/>
        <w:lang w:val="en-US" w:eastAsia="zh-CN"/>
      </w:rPr>
      <w:t>垫江县G350澄溪至群力村段新改建工程</w:t>
    </w:r>
    <w:r>
      <w:rPr>
        <w:rFonts w:hint="default" w:ascii="Arial" w:hAnsi="Arial" w:cs="Arial"/>
      </w:rPr>
      <w:t>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0AB18">
    <w:pPr>
      <w:pStyle w:val="51"/>
      <w:spacing w:after="120" w:afterLines="50"/>
      <w:jc w:val="center"/>
      <w:rPr>
        <w:sz w:val="21"/>
        <w:szCs w:val="21"/>
      </w:rPr>
    </w:pPr>
    <w:r>
      <w:rPr>
        <w:rFonts w:hint="eastAsia" w:ascii="Arial" w:hAnsi="Arial" w:cs="Arial"/>
        <w:sz w:val="21"/>
        <w:szCs w:val="21"/>
        <w:lang w:val="en-US" w:eastAsia="zh-CN"/>
      </w:rPr>
      <w:t>丰都县海螺沟水库工程</w:t>
    </w:r>
    <w:r>
      <w:rPr>
        <w:rFonts w:hint="default" w:ascii="Arial" w:hAnsi="Arial" w:cs="Arial"/>
        <w:sz w:val="21"/>
        <w:szCs w:val="21"/>
      </w:rPr>
      <w:t xml:space="preserve">环境影响报告书   </w:t>
    </w:r>
    <w:r>
      <w:rPr>
        <w:rFonts w:hint="eastAsia"/>
        <w:sz w:val="21"/>
        <w:szCs w:val="21"/>
      </w:rPr>
      <w:t xml:space="preserve">  </w:t>
    </w:r>
    <w:r>
      <w:rPr>
        <w:sz w:val="21"/>
        <w:szCs w:val="21"/>
      </w:rPr>
      <w:t xml:space="preserve">       </w:t>
    </w:r>
    <w:r>
      <w:rPr>
        <w:rFonts w:hint="eastAsia"/>
        <w:sz w:val="21"/>
        <w:szCs w:val="21"/>
      </w:rPr>
      <w:t xml:space="preserve"> </w:t>
    </w:r>
    <w:r>
      <w:rPr>
        <w:sz w:val="21"/>
        <w:szCs w:val="21"/>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F348B">
    <w:pPr>
      <w:pStyle w:val="51"/>
      <w:spacing w:after="120" w:afterLines="50"/>
      <w:jc w:val="center"/>
      <w:rPr>
        <w:rFonts w:hint="default" w:ascii="Arial" w:hAnsi="Arial" w:cs="Arial"/>
      </w:rPr>
    </w:pPr>
    <w:r>
      <w:rPr>
        <w:rFonts w:hint="eastAsia" w:ascii="Arial" w:hAnsi="Arial" w:cs="Arial"/>
        <w:sz w:val="21"/>
        <w:szCs w:val="21"/>
        <w:lang w:val="en-US" w:eastAsia="zh-CN"/>
      </w:rPr>
      <w:t>丰都县海螺沟水库工程</w:t>
    </w:r>
    <w:r>
      <w:rPr>
        <w:rFonts w:hint="default" w:ascii="Arial" w:hAnsi="Arial" w:cs="Arial"/>
        <w:sz w:val="21"/>
        <w:szCs w:val="21"/>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92C5E2"/>
    <w:multiLevelType w:val="singleLevel"/>
    <w:tmpl w:val="9092C5E2"/>
    <w:lvl w:ilvl="0" w:tentative="0">
      <w:start w:val="1"/>
      <w:numFmt w:val="bullet"/>
      <w:pStyle w:val="42"/>
      <w:lvlText w:val=""/>
      <w:lvlJc w:val="left"/>
      <w:pPr>
        <w:tabs>
          <w:tab w:val="left" w:pos="2040"/>
        </w:tabs>
        <w:ind w:left="2040" w:hanging="360"/>
      </w:pPr>
      <w:rPr>
        <w:rFonts w:hint="default" w:ascii="Wingdings" w:hAnsi="Wingdings"/>
      </w:rPr>
    </w:lvl>
  </w:abstractNum>
  <w:abstractNum w:abstractNumId="1">
    <w:nsid w:val="F782A466"/>
    <w:multiLevelType w:val="singleLevel"/>
    <w:tmpl w:val="F782A466"/>
    <w:lvl w:ilvl="0" w:tentative="0">
      <w:start w:val="3"/>
      <w:numFmt w:val="decimal"/>
      <w:suff w:val="nothing"/>
      <w:lvlText w:val="（%1）"/>
      <w:lvlJc w:val="left"/>
    </w:lvl>
  </w:abstractNum>
  <w:abstractNum w:abstractNumId="2">
    <w:nsid w:val="FFFFFF7F"/>
    <w:multiLevelType w:val="singleLevel"/>
    <w:tmpl w:val="FFFFFF7F"/>
    <w:lvl w:ilvl="0" w:tentative="0">
      <w:start w:val="1"/>
      <w:numFmt w:val="decimal"/>
      <w:pStyle w:val="14"/>
      <w:lvlText w:val="%1."/>
      <w:lvlJc w:val="left"/>
      <w:pPr>
        <w:tabs>
          <w:tab w:val="left" w:pos="1390"/>
        </w:tabs>
        <w:ind w:left="1390" w:hanging="360"/>
      </w:pPr>
    </w:lvl>
  </w:abstractNum>
  <w:abstractNum w:abstractNumId="3">
    <w:nsid w:val="11953967"/>
    <w:multiLevelType w:val="multilevel"/>
    <w:tmpl w:val="11953967"/>
    <w:lvl w:ilvl="0" w:tentative="0">
      <w:start w:val="1"/>
      <w:numFmt w:val="decimal"/>
      <w:pStyle w:val="1815"/>
      <w:lvlText w:val="第%1条"/>
      <w:lvlJc w:val="left"/>
      <w:pPr>
        <w:tabs>
          <w:tab w:val="left" w:pos="1021"/>
        </w:tabs>
        <w:ind w:left="1021" w:hanging="1021"/>
      </w:pPr>
      <w:rPr>
        <w:rFonts w:hint="default" w:ascii="Times New Roman" w:hAnsi="Times New Roman" w:eastAsia="宋体" w:cs="Times New Roman"/>
        <w:b/>
        <w:i w:val="0"/>
        <w:strike w:val="0"/>
        <w:dstrike w:val="0"/>
        <w:color w:val="000000"/>
        <w:sz w:val="24"/>
        <w:szCs w:val="24"/>
        <w:u w:val="none"/>
        <w:lang w:val="en-US"/>
      </w:rPr>
    </w:lvl>
    <w:lvl w:ilvl="1" w:tentative="0">
      <w:start w:val="1"/>
      <w:numFmt w:val="decimal"/>
      <w:lvlText w:val="%2．"/>
      <w:lvlJc w:val="left"/>
      <w:pPr>
        <w:tabs>
          <w:tab w:val="left" w:pos="1620"/>
        </w:tabs>
        <w:ind w:left="1620" w:hanging="360"/>
      </w:pPr>
    </w:lvl>
    <w:lvl w:ilvl="2" w:tentative="0">
      <w:start w:val="1"/>
      <w:numFmt w:val="decimal"/>
      <w:lvlText w:val="（%3）"/>
      <w:lvlJc w:val="left"/>
      <w:pPr>
        <w:tabs>
          <w:tab w:val="left" w:pos="2400"/>
        </w:tabs>
        <w:ind w:left="2400" w:hanging="720"/>
      </w:pPr>
      <w:rPr>
        <w:lang w:val="en-US"/>
      </w:rPr>
    </w:lvl>
    <w:lvl w:ilvl="3" w:tentative="0">
      <w:start w:val="1"/>
      <w:numFmt w:val="decimal"/>
      <w:lvlText w:val="(%4)"/>
      <w:lvlJc w:val="left"/>
      <w:pPr>
        <w:tabs>
          <w:tab w:val="left" w:pos="2460"/>
        </w:tabs>
        <w:ind w:left="2460" w:hanging="360"/>
      </w:pPr>
    </w:lvl>
    <w:lvl w:ilvl="4" w:tentative="0">
      <w:start w:val="1"/>
      <w:numFmt w:val="decimal"/>
      <w:lvlText w:val="%5、"/>
      <w:lvlJc w:val="left"/>
      <w:pPr>
        <w:tabs>
          <w:tab w:val="left" w:pos="2880"/>
        </w:tabs>
        <w:ind w:left="2880" w:hanging="36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6880DA8"/>
    <w:multiLevelType w:val="multilevel"/>
    <w:tmpl w:val="16880DA8"/>
    <w:lvl w:ilvl="0" w:tentative="0">
      <w:start w:val="1"/>
      <w:numFmt w:val="decimal"/>
      <w:pStyle w:val="1930"/>
      <w:suff w:val="nothing"/>
      <w:lvlText w:val="表2-%1"/>
      <w:lvlJc w:val="left"/>
      <w:pPr>
        <w:ind w:left="1275" w:firstLine="0"/>
      </w:pPr>
      <w:rPr>
        <w:rFonts w:hint="eastAsia" w:ascii="黑体" w:hAnsi="Century Gothic" w:eastAsia="黑体"/>
        <w:b w:val="0"/>
        <w:i w:val="0"/>
        <w:sz w:val="24"/>
        <w:szCs w:val="24"/>
        <w:lang w:val="en-US"/>
      </w:rPr>
    </w:lvl>
    <w:lvl w:ilvl="1" w:tentative="0">
      <w:start w:val="1"/>
      <w:numFmt w:val="decimal"/>
      <w:suff w:val="nothing"/>
      <w:lvlText w:val="%1.%2  "/>
      <w:lvlJc w:val="left"/>
      <w:pPr>
        <w:ind w:left="1794" w:firstLine="0"/>
      </w:pPr>
      <w:rPr>
        <w:rFonts w:hint="default" w:ascii="Century Gothic" w:hAnsi="Century Gothic" w:eastAsia="黑体"/>
        <w:b w:val="0"/>
        <w:i w:val="0"/>
        <w:sz w:val="26"/>
        <w:szCs w:val="26"/>
      </w:rPr>
    </w:lvl>
    <w:lvl w:ilvl="2" w:tentative="0">
      <w:start w:val="1"/>
      <w:numFmt w:val="decimal"/>
      <w:suff w:val="nothing"/>
      <w:lvlText w:val="%1.%2.%3  "/>
      <w:lvlJc w:val="left"/>
      <w:pPr>
        <w:ind w:left="1794" w:firstLine="0"/>
      </w:pPr>
      <w:rPr>
        <w:rFonts w:hint="default" w:ascii="Century Gothic" w:hAnsi="Century Gothic" w:eastAsia="华文楷体"/>
        <w:b w:val="0"/>
        <w:i w:val="0"/>
        <w:sz w:val="26"/>
        <w:szCs w:val="26"/>
      </w:rPr>
    </w:lvl>
    <w:lvl w:ilvl="3" w:tentative="0">
      <w:start w:val="1"/>
      <w:numFmt w:val="decimal"/>
      <w:suff w:val="nothing"/>
      <w:lvlText w:val="%4.  "/>
      <w:lvlJc w:val="left"/>
      <w:pPr>
        <w:ind w:left="1794" w:firstLine="0"/>
      </w:pPr>
      <w:rPr>
        <w:rFonts w:hint="default" w:ascii="Century Gothic" w:hAnsi="Century Gothic" w:eastAsia="华文仿宋"/>
        <w:b w:val="0"/>
        <w:i w:val="0"/>
        <w:sz w:val="26"/>
        <w:szCs w:val="26"/>
      </w:rPr>
    </w:lvl>
    <w:lvl w:ilvl="4" w:tentative="0">
      <w:start w:val="1"/>
      <w:numFmt w:val="decimal"/>
      <w:suff w:val="nothing"/>
      <w:lvlText w:val=" (%5)  "/>
      <w:lvlJc w:val="left"/>
      <w:pPr>
        <w:ind w:left="1794" w:firstLine="0"/>
      </w:pPr>
      <w:rPr>
        <w:rFonts w:hint="default" w:ascii="Century Gothic" w:hAnsi="Century Gothic"/>
        <w:b w:val="0"/>
        <w:i w:val="0"/>
        <w:sz w:val="26"/>
        <w:szCs w:val="26"/>
      </w:rPr>
    </w:lvl>
    <w:lvl w:ilvl="5" w:tentative="0">
      <w:start w:val="1"/>
      <w:numFmt w:val="decimalEnclosedCircle"/>
      <w:suff w:val="nothing"/>
      <w:lvlText w:val="  %6  "/>
      <w:lvlJc w:val="left"/>
      <w:pPr>
        <w:ind w:left="1794" w:hanging="1758"/>
      </w:pPr>
      <w:rPr>
        <w:rFonts w:hint="default" w:ascii="Century Gothic" w:hAnsi="Century Gothic"/>
        <w:b w:val="0"/>
        <w:i w:val="0"/>
        <w:sz w:val="26"/>
        <w:szCs w:val="26"/>
      </w:rPr>
    </w:lvl>
    <w:lvl w:ilvl="6" w:tentative="0">
      <w:start w:val="1"/>
      <w:numFmt w:val="lowerRoman"/>
      <w:suff w:val="nothing"/>
      <w:lvlText w:val="%7   "/>
      <w:lvlJc w:val="left"/>
      <w:pPr>
        <w:ind w:left="1794" w:firstLine="454"/>
      </w:pPr>
      <w:rPr>
        <w:rFonts w:hint="default" w:ascii="Century Gothic" w:hAnsi="Century Gothic"/>
        <w:b w:val="0"/>
        <w:i w:val="0"/>
        <w:sz w:val="26"/>
        <w:szCs w:val="26"/>
      </w:rPr>
    </w:lvl>
    <w:lvl w:ilvl="7" w:tentative="0">
      <w:start w:val="1"/>
      <w:numFmt w:val="lowerRoman"/>
      <w:suff w:val="nothing"/>
      <w:lvlText w:val="(%8)     "/>
      <w:lvlJc w:val="left"/>
      <w:pPr>
        <w:ind w:left="1794" w:firstLine="567"/>
      </w:pPr>
      <w:rPr>
        <w:rFonts w:hint="default" w:ascii="Century Gothic" w:hAnsi="Century Gothic"/>
        <w:b w:val="0"/>
        <w:i w:val="0"/>
        <w:sz w:val="26"/>
        <w:szCs w:val="26"/>
      </w:rPr>
    </w:lvl>
    <w:lvl w:ilvl="8" w:tentative="0">
      <w:start w:val="1"/>
      <w:numFmt w:val="lowerLetter"/>
      <w:suff w:val="nothing"/>
      <w:lvlText w:val="%9    "/>
      <w:lvlJc w:val="left"/>
      <w:pPr>
        <w:ind w:left="1794" w:firstLine="680"/>
      </w:pPr>
      <w:rPr>
        <w:rFonts w:hint="default" w:ascii="Century Gothic" w:hAnsi="Century Gothic"/>
        <w:b w:val="0"/>
        <w:i w:val="0"/>
        <w:sz w:val="26"/>
        <w:szCs w:val="26"/>
      </w:rPr>
    </w:lvl>
  </w:abstractNum>
  <w:num w:numId="1">
    <w:abstractNumId w:val="2"/>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dkYzExZGMwZjFjMjAzZjBlNzg0NmIwMzdiOTFhNjMifQ=="/>
  </w:docVars>
  <w:rsids>
    <w:rsidRoot w:val="00E703C2"/>
    <w:rsid w:val="0000051D"/>
    <w:rsid w:val="00000642"/>
    <w:rsid w:val="0000080F"/>
    <w:rsid w:val="000008A5"/>
    <w:rsid w:val="00000A61"/>
    <w:rsid w:val="00000E89"/>
    <w:rsid w:val="00000FA0"/>
    <w:rsid w:val="0000109F"/>
    <w:rsid w:val="000018C5"/>
    <w:rsid w:val="00001987"/>
    <w:rsid w:val="00001B85"/>
    <w:rsid w:val="00001C31"/>
    <w:rsid w:val="00002064"/>
    <w:rsid w:val="00002240"/>
    <w:rsid w:val="00002B57"/>
    <w:rsid w:val="0000337E"/>
    <w:rsid w:val="00003654"/>
    <w:rsid w:val="00003B66"/>
    <w:rsid w:val="00004A38"/>
    <w:rsid w:val="00004AE2"/>
    <w:rsid w:val="00004EC0"/>
    <w:rsid w:val="000051AA"/>
    <w:rsid w:val="000054E2"/>
    <w:rsid w:val="00005AAA"/>
    <w:rsid w:val="00005FCE"/>
    <w:rsid w:val="000061F6"/>
    <w:rsid w:val="00007588"/>
    <w:rsid w:val="00007970"/>
    <w:rsid w:val="000079A7"/>
    <w:rsid w:val="0001012C"/>
    <w:rsid w:val="0001021E"/>
    <w:rsid w:val="0001028D"/>
    <w:rsid w:val="00010301"/>
    <w:rsid w:val="000106EB"/>
    <w:rsid w:val="00010B50"/>
    <w:rsid w:val="00010CD4"/>
    <w:rsid w:val="00012185"/>
    <w:rsid w:val="000121A9"/>
    <w:rsid w:val="000125E4"/>
    <w:rsid w:val="00012638"/>
    <w:rsid w:val="00012768"/>
    <w:rsid w:val="00012B97"/>
    <w:rsid w:val="00013122"/>
    <w:rsid w:val="0001334A"/>
    <w:rsid w:val="00013740"/>
    <w:rsid w:val="00013CB5"/>
    <w:rsid w:val="00013F39"/>
    <w:rsid w:val="00014545"/>
    <w:rsid w:val="000145A0"/>
    <w:rsid w:val="00014979"/>
    <w:rsid w:val="000151DB"/>
    <w:rsid w:val="00015509"/>
    <w:rsid w:val="00015B3E"/>
    <w:rsid w:val="00015BD1"/>
    <w:rsid w:val="00015CB8"/>
    <w:rsid w:val="00015D40"/>
    <w:rsid w:val="00015D90"/>
    <w:rsid w:val="00017266"/>
    <w:rsid w:val="00017830"/>
    <w:rsid w:val="000178F6"/>
    <w:rsid w:val="00020C6B"/>
    <w:rsid w:val="00021873"/>
    <w:rsid w:val="00021B2C"/>
    <w:rsid w:val="000221DA"/>
    <w:rsid w:val="00022445"/>
    <w:rsid w:val="0002298F"/>
    <w:rsid w:val="00022B22"/>
    <w:rsid w:val="000230AF"/>
    <w:rsid w:val="00023884"/>
    <w:rsid w:val="0002417E"/>
    <w:rsid w:val="00024C8D"/>
    <w:rsid w:val="00025120"/>
    <w:rsid w:val="0002513A"/>
    <w:rsid w:val="00025355"/>
    <w:rsid w:val="000255AE"/>
    <w:rsid w:val="000259E1"/>
    <w:rsid w:val="00025BFF"/>
    <w:rsid w:val="00025FFF"/>
    <w:rsid w:val="00026315"/>
    <w:rsid w:val="00026703"/>
    <w:rsid w:val="00026E6E"/>
    <w:rsid w:val="00027860"/>
    <w:rsid w:val="00027F7F"/>
    <w:rsid w:val="000308DC"/>
    <w:rsid w:val="000309F7"/>
    <w:rsid w:val="00030A27"/>
    <w:rsid w:val="00030A2B"/>
    <w:rsid w:val="0003120D"/>
    <w:rsid w:val="00031891"/>
    <w:rsid w:val="00032194"/>
    <w:rsid w:val="000323EB"/>
    <w:rsid w:val="000325A6"/>
    <w:rsid w:val="00032728"/>
    <w:rsid w:val="00032AE6"/>
    <w:rsid w:val="0003308E"/>
    <w:rsid w:val="0003320D"/>
    <w:rsid w:val="00033555"/>
    <w:rsid w:val="00033636"/>
    <w:rsid w:val="00033E5F"/>
    <w:rsid w:val="000342A8"/>
    <w:rsid w:val="00034EE0"/>
    <w:rsid w:val="00035449"/>
    <w:rsid w:val="00035496"/>
    <w:rsid w:val="00035736"/>
    <w:rsid w:val="000359AE"/>
    <w:rsid w:val="00036176"/>
    <w:rsid w:val="000364E5"/>
    <w:rsid w:val="00036549"/>
    <w:rsid w:val="0003654A"/>
    <w:rsid w:val="000365B4"/>
    <w:rsid w:val="00036644"/>
    <w:rsid w:val="000374DD"/>
    <w:rsid w:val="0003756F"/>
    <w:rsid w:val="00037657"/>
    <w:rsid w:val="00037D19"/>
    <w:rsid w:val="00040359"/>
    <w:rsid w:val="00040A0D"/>
    <w:rsid w:val="00040C2E"/>
    <w:rsid w:val="000418C2"/>
    <w:rsid w:val="000424CE"/>
    <w:rsid w:val="00042CA9"/>
    <w:rsid w:val="00042FFC"/>
    <w:rsid w:val="00043480"/>
    <w:rsid w:val="00043A18"/>
    <w:rsid w:val="00044077"/>
    <w:rsid w:val="00044165"/>
    <w:rsid w:val="000441B5"/>
    <w:rsid w:val="0004474E"/>
    <w:rsid w:val="00045225"/>
    <w:rsid w:val="000454B9"/>
    <w:rsid w:val="00045561"/>
    <w:rsid w:val="000458FF"/>
    <w:rsid w:val="00045F30"/>
    <w:rsid w:val="000460FF"/>
    <w:rsid w:val="00046411"/>
    <w:rsid w:val="000465C6"/>
    <w:rsid w:val="00046716"/>
    <w:rsid w:val="000469FB"/>
    <w:rsid w:val="00046B14"/>
    <w:rsid w:val="00047421"/>
    <w:rsid w:val="00047573"/>
    <w:rsid w:val="00047643"/>
    <w:rsid w:val="00047A21"/>
    <w:rsid w:val="00047B3C"/>
    <w:rsid w:val="00047F36"/>
    <w:rsid w:val="0005044D"/>
    <w:rsid w:val="0005077A"/>
    <w:rsid w:val="000507A1"/>
    <w:rsid w:val="000507A7"/>
    <w:rsid w:val="00050E78"/>
    <w:rsid w:val="00051D6F"/>
    <w:rsid w:val="0005208C"/>
    <w:rsid w:val="000520DB"/>
    <w:rsid w:val="000525FE"/>
    <w:rsid w:val="00052EA3"/>
    <w:rsid w:val="00052ECF"/>
    <w:rsid w:val="000541FE"/>
    <w:rsid w:val="00054683"/>
    <w:rsid w:val="0005480A"/>
    <w:rsid w:val="00054868"/>
    <w:rsid w:val="00054885"/>
    <w:rsid w:val="00054BB3"/>
    <w:rsid w:val="00055EDF"/>
    <w:rsid w:val="00056034"/>
    <w:rsid w:val="00056ADA"/>
    <w:rsid w:val="00056BCC"/>
    <w:rsid w:val="00056C5A"/>
    <w:rsid w:val="00057251"/>
    <w:rsid w:val="00057666"/>
    <w:rsid w:val="000576AA"/>
    <w:rsid w:val="00057A53"/>
    <w:rsid w:val="00060422"/>
    <w:rsid w:val="000604ED"/>
    <w:rsid w:val="00060E34"/>
    <w:rsid w:val="0006159C"/>
    <w:rsid w:val="00061A3F"/>
    <w:rsid w:val="00061AD6"/>
    <w:rsid w:val="000624EC"/>
    <w:rsid w:val="000629B9"/>
    <w:rsid w:val="00062E6C"/>
    <w:rsid w:val="00062F0D"/>
    <w:rsid w:val="00063383"/>
    <w:rsid w:val="000633B4"/>
    <w:rsid w:val="00063533"/>
    <w:rsid w:val="00063C65"/>
    <w:rsid w:val="0006407C"/>
    <w:rsid w:val="0006409F"/>
    <w:rsid w:val="00064107"/>
    <w:rsid w:val="0006470C"/>
    <w:rsid w:val="00064AE4"/>
    <w:rsid w:val="00064FB9"/>
    <w:rsid w:val="000650E9"/>
    <w:rsid w:val="0006517A"/>
    <w:rsid w:val="000654D6"/>
    <w:rsid w:val="000658C9"/>
    <w:rsid w:val="000661B9"/>
    <w:rsid w:val="00066299"/>
    <w:rsid w:val="00066902"/>
    <w:rsid w:val="00066B3D"/>
    <w:rsid w:val="00067652"/>
    <w:rsid w:val="000701CE"/>
    <w:rsid w:val="0007030E"/>
    <w:rsid w:val="00070BA2"/>
    <w:rsid w:val="000715A1"/>
    <w:rsid w:val="00071676"/>
    <w:rsid w:val="00071B1F"/>
    <w:rsid w:val="00071E01"/>
    <w:rsid w:val="00072872"/>
    <w:rsid w:val="000735CF"/>
    <w:rsid w:val="00073823"/>
    <w:rsid w:val="00073DC2"/>
    <w:rsid w:val="00074143"/>
    <w:rsid w:val="00074996"/>
    <w:rsid w:val="00074CC2"/>
    <w:rsid w:val="00075693"/>
    <w:rsid w:val="00075C52"/>
    <w:rsid w:val="00075D7F"/>
    <w:rsid w:val="0007792C"/>
    <w:rsid w:val="00080350"/>
    <w:rsid w:val="000805E7"/>
    <w:rsid w:val="00080A21"/>
    <w:rsid w:val="00080A34"/>
    <w:rsid w:val="00080CD0"/>
    <w:rsid w:val="000812F6"/>
    <w:rsid w:val="00081430"/>
    <w:rsid w:val="00081DFD"/>
    <w:rsid w:val="00081E0D"/>
    <w:rsid w:val="00082131"/>
    <w:rsid w:val="00082484"/>
    <w:rsid w:val="00082843"/>
    <w:rsid w:val="0008292F"/>
    <w:rsid w:val="00082AE5"/>
    <w:rsid w:val="00082B22"/>
    <w:rsid w:val="00082FA0"/>
    <w:rsid w:val="0008315C"/>
    <w:rsid w:val="00083A3D"/>
    <w:rsid w:val="0008409B"/>
    <w:rsid w:val="00084BF1"/>
    <w:rsid w:val="00084D7D"/>
    <w:rsid w:val="00084E09"/>
    <w:rsid w:val="00085AA9"/>
    <w:rsid w:val="000861BD"/>
    <w:rsid w:val="00086651"/>
    <w:rsid w:val="0008669B"/>
    <w:rsid w:val="00086A64"/>
    <w:rsid w:val="00086B06"/>
    <w:rsid w:val="00087245"/>
    <w:rsid w:val="0008768B"/>
    <w:rsid w:val="000878C8"/>
    <w:rsid w:val="00087B2F"/>
    <w:rsid w:val="000901D6"/>
    <w:rsid w:val="0009039F"/>
    <w:rsid w:val="000904AD"/>
    <w:rsid w:val="000907A8"/>
    <w:rsid w:val="00091A91"/>
    <w:rsid w:val="0009206E"/>
    <w:rsid w:val="000922E7"/>
    <w:rsid w:val="000923D6"/>
    <w:rsid w:val="000925E2"/>
    <w:rsid w:val="0009264D"/>
    <w:rsid w:val="00092672"/>
    <w:rsid w:val="000927DC"/>
    <w:rsid w:val="00093292"/>
    <w:rsid w:val="00093478"/>
    <w:rsid w:val="00093841"/>
    <w:rsid w:val="00093899"/>
    <w:rsid w:val="00094219"/>
    <w:rsid w:val="000944B2"/>
    <w:rsid w:val="00094707"/>
    <w:rsid w:val="00094E2A"/>
    <w:rsid w:val="000951CF"/>
    <w:rsid w:val="000955DF"/>
    <w:rsid w:val="00096822"/>
    <w:rsid w:val="00096C9B"/>
    <w:rsid w:val="00096D79"/>
    <w:rsid w:val="00096D81"/>
    <w:rsid w:val="00096DF6"/>
    <w:rsid w:val="00096FA3"/>
    <w:rsid w:val="00096FF0"/>
    <w:rsid w:val="0009711F"/>
    <w:rsid w:val="00097547"/>
    <w:rsid w:val="00097A44"/>
    <w:rsid w:val="00097B85"/>
    <w:rsid w:val="00097E3D"/>
    <w:rsid w:val="000A01A9"/>
    <w:rsid w:val="000A051C"/>
    <w:rsid w:val="000A0AF0"/>
    <w:rsid w:val="000A2176"/>
    <w:rsid w:val="000A22A8"/>
    <w:rsid w:val="000A249D"/>
    <w:rsid w:val="000A24E8"/>
    <w:rsid w:val="000A25AC"/>
    <w:rsid w:val="000A2803"/>
    <w:rsid w:val="000A280C"/>
    <w:rsid w:val="000A2B19"/>
    <w:rsid w:val="000A2B8C"/>
    <w:rsid w:val="000A2FE7"/>
    <w:rsid w:val="000A3000"/>
    <w:rsid w:val="000A3185"/>
    <w:rsid w:val="000A3389"/>
    <w:rsid w:val="000A35A5"/>
    <w:rsid w:val="000A38C8"/>
    <w:rsid w:val="000A413B"/>
    <w:rsid w:val="000A47A0"/>
    <w:rsid w:val="000A48B9"/>
    <w:rsid w:val="000A49B8"/>
    <w:rsid w:val="000A4DD0"/>
    <w:rsid w:val="000A53A3"/>
    <w:rsid w:val="000A5D08"/>
    <w:rsid w:val="000A5D28"/>
    <w:rsid w:val="000A6444"/>
    <w:rsid w:val="000A6490"/>
    <w:rsid w:val="000A66AC"/>
    <w:rsid w:val="000A6E4B"/>
    <w:rsid w:val="000A6EB9"/>
    <w:rsid w:val="000A6ECA"/>
    <w:rsid w:val="000A6F9B"/>
    <w:rsid w:val="000A7070"/>
    <w:rsid w:val="000A70E6"/>
    <w:rsid w:val="000A7396"/>
    <w:rsid w:val="000A781E"/>
    <w:rsid w:val="000A7A1A"/>
    <w:rsid w:val="000A7D30"/>
    <w:rsid w:val="000A7DE0"/>
    <w:rsid w:val="000A7DEC"/>
    <w:rsid w:val="000A7FA4"/>
    <w:rsid w:val="000B0791"/>
    <w:rsid w:val="000B15BB"/>
    <w:rsid w:val="000B231F"/>
    <w:rsid w:val="000B330C"/>
    <w:rsid w:val="000B34FA"/>
    <w:rsid w:val="000B3567"/>
    <w:rsid w:val="000B3693"/>
    <w:rsid w:val="000B3DD9"/>
    <w:rsid w:val="000B42DC"/>
    <w:rsid w:val="000B47C7"/>
    <w:rsid w:val="000B48CE"/>
    <w:rsid w:val="000B5150"/>
    <w:rsid w:val="000B5A3F"/>
    <w:rsid w:val="000B5D7E"/>
    <w:rsid w:val="000B61B7"/>
    <w:rsid w:val="000B65CA"/>
    <w:rsid w:val="000B6820"/>
    <w:rsid w:val="000B6BD7"/>
    <w:rsid w:val="000B718F"/>
    <w:rsid w:val="000B73E0"/>
    <w:rsid w:val="000B76B6"/>
    <w:rsid w:val="000B77F8"/>
    <w:rsid w:val="000B7F70"/>
    <w:rsid w:val="000B7FC7"/>
    <w:rsid w:val="000C0340"/>
    <w:rsid w:val="000C05DF"/>
    <w:rsid w:val="000C12A7"/>
    <w:rsid w:val="000C1398"/>
    <w:rsid w:val="000C1560"/>
    <w:rsid w:val="000C2983"/>
    <w:rsid w:val="000C3055"/>
    <w:rsid w:val="000C378F"/>
    <w:rsid w:val="000C392A"/>
    <w:rsid w:val="000C3C4F"/>
    <w:rsid w:val="000C41E3"/>
    <w:rsid w:val="000C5AB5"/>
    <w:rsid w:val="000C66E5"/>
    <w:rsid w:val="000C6C84"/>
    <w:rsid w:val="000C7357"/>
    <w:rsid w:val="000C747E"/>
    <w:rsid w:val="000C79F2"/>
    <w:rsid w:val="000C7B47"/>
    <w:rsid w:val="000D0306"/>
    <w:rsid w:val="000D04AF"/>
    <w:rsid w:val="000D0FD7"/>
    <w:rsid w:val="000D123F"/>
    <w:rsid w:val="000D162D"/>
    <w:rsid w:val="000D1D5E"/>
    <w:rsid w:val="000D1FC8"/>
    <w:rsid w:val="000D20B4"/>
    <w:rsid w:val="000D2400"/>
    <w:rsid w:val="000D255C"/>
    <w:rsid w:val="000D25DB"/>
    <w:rsid w:val="000D33F2"/>
    <w:rsid w:val="000D377C"/>
    <w:rsid w:val="000D3852"/>
    <w:rsid w:val="000D4A6A"/>
    <w:rsid w:val="000D4A78"/>
    <w:rsid w:val="000D4F4B"/>
    <w:rsid w:val="000D5141"/>
    <w:rsid w:val="000D58D0"/>
    <w:rsid w:val="000D5E34"/>
    <w:rsid w:val="000D5E95"/>
    <w:rsid w:val="000D5F62"/>
    <w:rsid w:val="000D749C"/>
    <w:rsid w:val="000D750E"/>
    <w:rsid w:val="000E0223"/>
    <w:rsid w:val="000E1BA0"/>
    <w:rsid w:val="000E21F5"/>
    <w:rsid w:val="000E2379"/>
    <w:rsid w:val="000E27A8"/>
    <w:rsid w:val="000E2E32"/>
    <w:rsid w:val="000E3B78"/>
    <w:rsid w:val="000E3C2B"/>
    <w:rsid w:val="000E3DFF"/>
    <w:rsid w:val="000E3E48"/>
    <w:rsid w:val="000E497C"/>
    <w:rsid w:val="000E4A04"/>
    <w:rsid w:val="000E4C77"/>
    <w:rsid w:val="000E4CA7"/>
    <w:rsid w:val="000E55CF"/>
    <w:rsid w:val="000E588C"/>
    <w:rsid w:val="000E5BF1"/>
    <w:rsid w:val="000E6925"/>
    <w:rsid w:val="000E70CC"/>
    <w:rsid w:val="000F013C"/>
    <w:rsid w:val="000F0B12"/>
    <w:rsid w:val="000F1825"/>
    <w:rsid w:val="000F1965"/>
    <w:rsid w:val="000F1D16"/>
    <w:rsid w:val="000F213B"/>
    <w:rsid w:val="000F22DF"/>
    <w:rsid w:val="000F2745"/>
    <w:rsid w:val="000F2959"/>
    <w:rsid w:val="000F2969"/>
    <w:rsid w:val="000F2A4B"/>
    <w:rsid w:val="000F2C22"/>
    <w:rsid w:val="000F2EBD"/>
    <w:rsid w:val="000F2FE2"/>
    <w:rsid w:val="000F363A"/>
    <w:rsid w:val="000F36E5"/>
    <w:rsid w:val="000F38DF"/>
    <w:rsid w:val="000F3A78"/>
    <w:rsid w:val="000F3AA4"/>
    <w:rsid w:val="000F4645"/>
    <w:rsid w:val="000F4A3D"/>
    <w:rsid w:val="000F5213"/>
    <w:rsid w:val="000F53FD"/>
    <w:rsid w:val="000F5565"/>
    <w:rsid w:val="000F5923"/>
    <w:rsid w:val="000F5FB9"/>
    <w:rsid w:val="000F61FA"/>
    <w:rsid w:val="000F63BD"/>
    <w:rsid w:val="000F63C0"/>
    <w:rsid w:val="000F6859"/>
    <w:rsid w:val="000F6CE7"/>
    <w:rsid w:val="000F6FCB"/>
    <w:rsid w:val="000F732A"/>
    <w:rsid w:val="000F76FF"/>
    <w:rsid w:val="000F7F55"/>
    <w:rsid w:val="0010021B"/>
    <w:rsid w:val="001002AA"/>
    <w:rsid w:val="00100508"/>
    <w:rsid w:val="001005B1"/>
    <w:rsid w:val="00100992"/>
    <w:rsid w:val="00100FF5"/>
    <w:rsid w:val="0010235C"/>
    <w:rsid w:val="00102539"/>
    <w:rsid w:val="0010272C"/>
    <w:rsid w:val="00103262"/>
    <w:rsid w:val="001042D7"/>
    <w:rsid w:val="001048EA"/>
    <w:rsid w:val="00104D54"/>
    <w:rsid w:val="00104E0B"/>
    <w:rsid w:val="001053ED"/>
    <w:rsid w:val="001057CC"/>
    <w:rsid w:val="001059EA"/>
    <w:rsid w:val="00105F31"/>
    <w:rsid w:val="001066B3"/>
    <w:rsid w:val="0010671F"/>
    <w:rsid w:val="00106E50"/>
    <w:rsid w:val="00107034"/>
    <w:rsid w:val="001072A4"/>
    <w:rsid w:val="00107B89"/>
    <w:rsid w:val="00110B61"/>
    <w:rsid w:val="00110DFE"/>
    <w:rsid w:val="00111082"/>
    <w:rsid w:val="001110EB"/>
    <w:rsid w:val="00111150"/>
    <w:rsid w:val="001113CC"/>
    <w:rsid w:val="00111535"/>
    <w:rsid w:val="001117FA"/>
    <w:rsid w:val="00111DC9"/>
    <w:rsid w:val="0011237C"/>
    <w:rsid w:val="001124D0"/>
    <w:rsid w:val="001128AE"/>
    <w:rsid w:val="00112A62"/>
    <w:rsid w:val="001137C1"/>
    <w:rsid w:val="00113951"/>
    <w:rsid w:val="00113DCA"/>
    <w:rsid w:val="00113E96"/>
    <w:rsid w:val="00113EF3"/>
    <w:rsid w:val="001142B6"/>
    <w:rsid w:val="00114782"/>
    <w:rsid w:val="00114955"/>
    <w:rsid w:val="00114BBC"/>
    <w:rsid w:val="00114DCA"/>
    <w:rsid w:val="00114EE2"/>
    <w:rsid w:val="0011564F"/>
    <w:rsid w:val="0011578A"/>
    <w:rsid w:val="0011586B"/>
    <w:rsid w:val="00115C21"/>
    <w:rsid w:val="0011633D"/>
    <w:rsid w:val="00116CB1"/>
    <w:rsid w:val="00116E04"/>
    <w:rsid w:val="001174C3"/>
    <w:rsid w:val="001175D2"/>
    <w:rsid w:val="001177E3"/>
    <w:rsid w:val="00117B71"/>
    <w:rsid w:val="001200E4"/>
    <w:rsid w:val="00120672"/>
    <w:rsid w:val="00120AED"/>
    <w:rsid w:val="00120CF1"/>
    <w:rsid w:val="00120F48"/>
    <w:rsid w:val="0012101C"/>
    <w:rsid w:val="00121167"/>
    <w:rsid w:val="0012135D"/>
    <w:rsid w:val="00121AE5"/>
    <w:rsid w:val="0012211A"/>
    <w:rsid w:val="00122216"/>
    <w:rsid w:val="001222E1"/>
    <w:rsid w:val="00122408"/>
    <w:rsid w:val="00122551"/>
    <w:rsid w:val="0012288E"/>
    <w:rsid w:val="00122A41"/>
    <w:rsid w:val="00122A9A"/>
    <w:rsid w:val="00122FF0"/>
    <w:rsid w:val="001231D5"/>
    <w:rsid w:val="001235FC"/>
    <w:rsid w:val="001236CE"/>
    <w:rsid w:val="00123D88"/>
    <w:rsid w:val="00123FB5"/>
    <w:rsid w:val="00124005"/>
    <w:rsid w:val="001241F9"/>
    <w:rsid w:val="00124352"/>
    <w:rsid w:val="0012567A"/>
    <w:rsid w:val="00125726"/>
    <w:rsid w:val="00125E71"/>
    <w:rsid w:val="001262EE"/>
    <w:rsid w:val="00126F08"/>
    <w:rsid w:val="001270A3"/>
    <w:rsid w:val="001273D7"/>
    <w:rsid w:val="00127D65"/>
    <w:rsid w:val="00130640"/>
    <w:rsid w:val="00130A2C"/>
    <w:rsid w:val="00131027"/>
    <w:rsid w:val="001317BF"/>
    <w:rsid w:val="0013241C"/>
    <w:rsid w:val="0013283D"/>
    <w:rsid w:val="00132D7F"/>
    <w:rsid w:val="00132FF6"/>
    <w:rsid w:val="001330FB"/>
    <w:rsid w:val="00133110"/>
    <w:rsid w:val="001331B9"/>
    <w:rsid w:val="001333D1"/>
    <w:rsid w:val="0013374A"/>
    <w:rsid w:val="00134EE1"/>
    <w:rsid w:val="0013505C"/>
    <w:rsid w:val="0013506C"/>
    <w:rsid w:val="001350F7"/>
    <w:rsid w:val="00135184"/>
    <w:rsid w:val="0013582E"/>
    <w:rsid w:val="001364DC"/>
    <w:rsid w:val="001366A8"/>
    <w:rsid w:val="001366D9"/>
    <w:rsid w:val="00137198"/>
    <w:rsid w:val="00137E8B"/>
    <w:rsid w:val="001404E6"/>
    <w:rsid w:val="00140C16"/>
    <w:rsid w:val="001412ED"/>
    <w:rsid w:val="001415B2"/>
    <w:rsid w:val="00141AD0"/>
    <w:rsid w:val="001425A0"/>
    <w:rsid w:val="00142C22"/>
    <w:rsid w:val="00142EFA"/>
    <w:rsid w:val="00143274"/>
    <w:rsid w:val="0014351C"/>
    <w:rsid w:val="001435CE"/>
    <w:rsid w:val="00143795"/>
    <w:rsid w:val="00143917"/>
    <w:rsid w:val="00143922"/>
    <w:rsid w:val="00143DC8"/>
    <w:rsid w:val="00143FAD"/>
    <w:rsid w:val="00144455"/>
    <w:rsid w:val="00144A22"/>
    <w:rsid w:val="0014532B"/>
    <w:rsid w:val="00145355"/>
    <w:rsid w:val="00145435"/>
    <w:rsid w:val="0014595F"/>
    <w:rsid w:val="00145D05"/>
    <w:rsid w:val="00145E9E"/>
    <w:rsid w:val="00146345"/>
    <w:rsid w:val="00146A08"/>
    <w:rsid w:val="001470BD"/>
    <w:rsid w:val="001471F3"/>
    <w:rsid w:val="001477C3"/>
    <w:rsid w:val="00147C07"/>
    <w:rsid w:val="00147D14"/>
    <w:rsid w:val="00147FF2"/>
    <w:rsid w:val="00150B03"/>
    <w:rsid w:val="00150FDC"/>
    <w:rsid w:val="00151131"/>
    <w:rsid w:val="0015130F"/>
    <w:rsid w:val="00151566"/>
    <w:rsid w:val="001516AA"/>
    <w:rsid w:val="00151BD6"/>
    <w:rsid w:val="00151F6B"/>
    <w:rsid w:val="00151F91"/>
    <w:rsid w:val="00151FB1"/>
    <w:rsid w:val="001521F1"/>
    <w:rsid w:val="0015283C"/>
    <w:rsid w:val="0015286E"/>
    <w:rsid w:val="001528A9"/>
    <w:rsid w:val="0015299A"/>
    <w:rsid w:val="00153388"/>
    <w:rsid w:val="00153649"/>
    <w:rsid w:val="001536B2"/>
    <w:rsid w:val="001539D1"/>
    <w:rsid w:val="00153EFD"/>
    <w:rsid w:val="00154251"/>
    <w:rsid w:val="001547B8"/>
    <w:rsid w:val="00154CDC"/>
    <w:rsid w:val="00154D9A"/>
    <w:rsid w:val="00154F12"/>
    <w:rsid w:val="00154F6E"/>
    <w:rsid w:val="001553A2"/>
    <w:rsid w:val="001553F7"/>
    <w:rsid w:val="001553F8"/>
    <w:rsid w:val="00155964"/>
    <w:rsid w:val="00155CD4"/>
    <w:rsid w:val="00155EEF"/>
    <w:rsid w:val="001560D3"/>
    <w:rsid w:val="00156136"/>
    <w:rsid w:val="001561D5"/>
    <w:rsid w:val="0015650E"/>
    <w:rsid w:val="00156AD8"/>
    <w:rsid w:val="00156AF1"/>
    <w:rsid w:val="00156C24"/>
    <w:rsid w:val="00156C38"/>
    <w:rsid w:val="0015752B"/>
    <w:rsid w:val="001577C4"/>
    <w:rsid w:val="00157B40"/>
    <w:rsid w:val="00157D69"/>
    <w:rsid w:val="00157E28"/>
    <w:rsid w:val="00160384"/>
    <w:rsid w:val="00160D50"/>
    <w:rsid w:val="0016174F"/>
    <w:rsid w:val="0016193F"/>
    <w:rsid w:val="00161AE4"/>
    <w:rsid w:val="00161E69"/>
    <w:rsid w:val="00162151"/>
    <w:rsid w:val="00162251"/>
    <w:rsid w:val="00162EF4"/>
    <w:rsid w:val="00163116"/>
    <w:rsid w:val="00163576"/>
    <w:rsid w:val="00163CF8"/>
    <w:rsid w:val="00164131"/>
    <w:rsid w:val="001645F3"/>
    <w:rsid w:val="001647D6"/>
    <w:rsid w:val="001648D4"/>
    <w:rsid w:val="00164DA4"/>
    <w:rsid w:val="0016518C"/>
    <w:rsid w:val="00165989"/>
    <w:rsid w:val="00165A4A"/>
    <w:rsid w:val="00165BD8"/>
    <w:rsid w:val="001663A0"/>
    <w:rsid w:val="00166561"/>
    <w:rsid w:val="0016659E"/>
    <w:rsid w:val="001666C5"/>
    <w:rsid w:val="00166821"/>
    <w:rsid w:val="001669FF"/>
    <w:rsid w:val="00166E3B"/>
    <w:rsid w:val="00166F54"/>
    <w:rsid w:val="0016706F"/>
    <w:rsid w:val="00167101"/>
    <w:rsid w:val="0016711D"/>
    <w:rsid w:val="00167123"/>
    <w:rsid w:val="001678BA"/>
    <w:rsid w:val="00170E12"/>
    <w:rsid w:val="001713DE"/>
    <w:rsid w:val="00171C33"/>
    <w:rsid w:val="00171DFB"/>
    <w:rsid w:val="0017248B"/>
    <w:rsid w:val="00172620"/>
    <w:rsid w:val="0017263B"/>
    <w:rsid w:val="0017266D"/>
    <w:rsid w:val="0017295C"/>
    <w:rsid w:val="00172DAA"/>
    <w:rsid w:val="00172F5A"/>
    <w:rsid w:val="00172FBA"/>
    <w:rsid w:val="00173521"/>
    <w:rsid w:val="001739BC"/>
    <w:rsid w:val="00173E1B"/>
    <w:rsid w:val="00173EF2"/>
    <w:rsid w:val="00174374"/>
    <w:rsid w:val="001749F0"/>
    <w:rsid w:val="00174AEE"/>
    <w:rsid w:val="00174CBF"/>
    <w:rsid w:val="0017529E"/>
    <w:rsid w:val="001753F1"/>
    <w:rsid w:val="00175590"/>
    <w:rsid w:val="0017583C"/>
    <w:rsid w:val="001759B8"/>
    <w:rsid w:val="00176214"/>
    <w:rsid w:val="001763A0"/>
    <w:rsid w:val="0017646B"/>
    <w:rsid w:val="001767DC"/>
    <w:rsid w:val="00176819"/>
    <w:rsid w:val="00177951"/>
    <w:rsid w:val="001804A5"/>
    <w:rsid w:val="001804F2"/>
    <w:rsid w:val="0018056D"/>
    <w:rsid w:val="0018066B"/>
    <w:rsid w:val="001808DD"/>
    <w:rsid w:val="0018135E"/>
    <w:rsid w:val="0018149E"/>
    <w:rsid w:val="001824C4"/>
    <w:rsid w:val="0018283A"/>
    <w:rsid w:val="00183064"/>
    <w:rsid w:val="0018326E"/>
    <w:rsid w:val="00183D50"/>
    <w:rsid w:val="00183F28"/>
    <w:rsid w:val="001844C2"/>
    <w:rsid w:val="0018479C"/>
    <w:rsid w:val="00184956"/>
    <w:rsid w:val="00184DC3"/>
    <w:rsid w:val="001851A8"/>
    <w:rsid w:val="001853F8"/>
    <w:rsid w:val="001857AF"/>
    <w:rsid w:val="00185990"/>
    <w:rsid w:val="00185A81"/>
    <w:rsid w:val="00185C31"/>
    <w:rsid w:val="00186127"/>
    <w:rsid w:val="001862C6"/>
    <w:rsid w:val="00186437"/>
    <w:rsid w:val="00186BE3"/>
    <w:rsid w:val="00187053"/>
    <w:rsid w:val="00187133"/>
    <w:rsid w:val="00187D61"/>
    <w:rsid w:val="00187E27"/>
    <w:rsid w:val="00187E8A"/>
    <w:rsid w:val="00187E8D"/>
    <w:rsid w:val="00187E8F"/>
    <w:rsid w:val="0019040A"/>
    <w:rsid w:val="00190CDB"/>
    <w:rsid w:val="00190D2A"/>
    <w:rsid w:val="00191190"/>
    <w:rsid w:val="00191664"/>
    <w:rsid w:val="001916D0"/>
    <w:rsid w:val="00191A70"/>
    <w:rsid w:val="001923BC"/>
    <w:rsid w:val="00192591"/>
    <w:rsid w:val="00192632"/>
    <w:rsid w:val="00192A01"/>
    <w:rsid w:val="00192EDA"/>
    <w:rsid w:val="00193435"/>
    <w:rsid w:val="0019344A"/>
    <w:rsid w:val="001936FA"/>
    <w:rsid w:val="001938CA"/>
    <w:rsid w:val="00194007"/>
    <w:rsid w:val="00194030"/>
    <w:rsid w:val="00194073"/>
    <w:rsid w:val="00194199"/>
    <w:rsid w:val="001945E7"/>
    <w:rsid w:val="00194632"/>
    <w:rsid w:val="00194EEF"/>
    <w:rsid w:val="001951D9"/>
    <w:rsid w:val="00195336"/>
    <w:rsid w:val="001953C3"/>
    <w:rsid w:val="00195503"/>
    <w:rsid w:val="00195599"/>
    <w:rsid w:val="00195AE4"/>
    <w:rsid w:val="00195D59"/>
    <w:rsid w:val="00196213"/>
    <w:rsid w:val="001966BC"/>
    <w:rsid w:val="001966CF"/>
    <w:rsid w:val="0019680F"/>
    <w:rsid w:val="00196D3F"/>
    <w:rsid w:val="001972FB"/>
    <w:rsid w:val="00197403"/>
    <w:rsid w:val="00197798"/>
    <w:rsid w:val="001977E8"/>
    <w:rsid w:val="00197F35"/>
    <w:rsid w:val="001A0099"/>
    <w:rsid w:val="001A0539"/>
    <w:rsid w:val="001A0B19"/>
    <w:rsid w:val="001A0BC5"/>
    <w:rsid w:val="001A1F6F"/>
    <w:rsid w:val="001A1F99"/>
    <w:rsid w:val="001A233E"/>
    <w:rsid w:val="001A26BB"/>
    <w:rsid w:val="001A26C2"/>
    <w:rsid w:val="001A27D2"/>
    <w:rsid w:val="001A2AB8"/>
    <w:rsid w:val="001A3642"/>
    <w:rsid w:val="001A36D7"/>
    <w:rsid w:val="001A384A"/>
    <w:rsid w:val="001A41CC"/>
    <w:rsid w:val="001A4335"/>
    <w:rsid w:val="001A44D8"/>
    <w:rsid w:val="001A47BF"/>
    <w:rsid w:val="001A4BA1"/>
    <w:rsid w:val="001A5B9C"/>
    <w:rsid w:val="001A5B9E"/>
    <w:rsid w:val="001A5BB0"/>
    <w:rsid w:val="001A5BE0"/>
    <w:rsid w:val="001A5CF6"/>
    <w:rsid w:val="001A5FA5"/>
    <w:rsid w:val="001A620D"/>
    <w:rsid w:val="001A6507"/>
    <w:rsid w:val="001A6536"/>
    <w:rsid w:val="001A671D"/>
    <w:rsid w:val="001A683B"/>
    <w:rsid w:val="001A70B5"/>
    <w:rsid w:val="001A72C0"/>
    <w:rsid w:val="001A74F2"/>
    <w:rsid w:val="001A77A6"/>
    <w:rsid w:val="001B0628"/>
    <w:rsid w:val="001B07BF"/>
    <w:rsid w:val="001B0F5A"/>
    <w:rsid w:val="001B0F62"/>
    <w:rsid w:val="001B1872"/>
    <w:rsid w:val="001B1B40"/>
    <w:rsid w:val="001B2186"/>
    <w:rsid w:val="001B219C"/>
    <w:rsid w:val="001B25AC"/>
    <w:rsid w:val="001B3A81"/>
    <w:rsid w:val="001B3C2C"/>
    <w:rsid w:val="001B40BB"/>
    <w:rsid w:val="001B40DC"/>
    <w:rsid w:val="001B42BB"/>
    <w:rsid w:val="001B46D6"/>
    <w:rsid w:val="001B494F"/>
    <w:rsid w:val="001B4C7A"/>
    <w:rsid w:val="001B4D6A"/>
    <w:rsid w:val="001B4E81"/>
    <w:rsid w:val="001B509B"/>
    <w:rsid w:val="001B517D"/>
    <w:rsid w:val="001B5CCB"/>
    <w:rsid w:val="001B5F20"/>
    <w:rsid w:val="001B6068"/>
    <w:rsid w:val="001B6525"/>
    <w:rsid w:val="001B653E"/>
    <w:rsid w:val="001B67D4"/>
    <w:rsid w:val="001B7335"/>
    <w:rsid w:val="001B78AF"/>
    <w:rsid w:val="001B7B25"/>
    <w:rsid w:val="001B7B28"/>
    <w:rsid w:val="001B7CC4"/>
    <w:rsid w:val="001B7F77"/>
    <w:rsid w:val="001C00F2"/>
    <w:rsid w:val="001C01B3"/>
    <w:rsid w:val="001C078F"/>
    <w:rsid w:val="001C08C8"/>
    <w:rsid w:val="001C08D8"/>
    <w:rsid w:val="001C09E8"/>
    <w:rsid w:val="001C0D6E"/>
    <w:rsid w:val="001C0DE0"/>
    <w:rsid w:val="001C0ED7"/>
    <w:rsid w:val="001C1200"/>
    <w:rsid w:val="001C1518"/>
    <w:rsid w:val="001C1E1F"/>
    <w:rsid w:val="001C26B1"/>
    <w:rsid w:val="001C26B7"/>
    <w:rsid w:val="001C2C1B"/>
    <w:rsid w:val="001C2D3F"/>
    <w:rsid w:val="001C3A80"/>
    <w:rsid w:val="001C40CD"/>
    <w:rsid w:val="001C45EA"/>
    <w:rsid w:val="001C488F"/>
    <w:rsid w:val="001C4AE3"/>
    <w:rsid w:val="001C4F87"/>
    <w:rsid w:val="001C517D"/>
    <w:rsid w:val="001C64B0"/>
    <w:rsid w:val="001C6EBB"/>
    <w:rsid w:val="001C7123"/>
    <w:rsid w:val="001C74DA"/>
    <w:rsid w:val="001C7CC8"/>
    <w:rsid w:val="001C7E68"/>
    <w:rsid w:val="001D044B"/>
    <w:rsid w:val="001D0C6A"/>
    <w:rsid w:val="001D0D5E"/>
    <w:rsid w:val="001D0E09"/>
    <w:rsid w:val="001D113E"/>
    <w:rsid w:val="001D1A17"/>
    <w:rsid w:val="001D1A7C"/>
    <w:rsid w:val="001D1C8E"/>
    <w:rsid w:val="001D1CF1"/>
    <w:rsid w:val="001D1D07"/>
    <w:rsid w:val="001D2075"/>
    <w:rsid w:val="001D2613"/>
    <w:rsid w:val="001D3153"/>
    <w:rsid w:val="001D325C"/>
    <w:rsid w:val="001D359E"/>
    <w:rsid w:val="001D36E4"/>
    <w:rsid w:val="001D3E24"/>
    <w:rsid w:val="001D497B"/>
    <w:rsid w:val="001D4F15"/>
    <w:rsid w:val="001D4FB3"/>
    <w:rsid w:val="001D5209"/>
    <w:rsid w:val="001D5400"/>
    <w:rsid w:val="001D5402"/>
    <w:rsid w:val="001D56F4"/>
    <w:rsid w:val="001D605B"/>
    <w:rsid w:val="001D6308"/>
    <w:rsid w:val="001D6447"/>
    <w:rsid w:val="001D6542"/>
    <w:rsid w:val="001D69B0"/>
    <w:rsid w:val="001D6A8F"/>
    <w:rsid w:val="001D6DF5"/>
    <w:rsid w:val="001D7C26"/>
    <w:rsid w:val="001D7CC3"/>
    <w:rsid w:val="001E08AC"/>
    <w:rsid w:val="001E0927"/>
    <w:rsid w:val="001E0A5F"/>
    <w:rsid w:val="001E0B81"/>
    <w:rsid w:val="001E0D4A"/>
    <w:rsid w:val="001E0E27"/>
    <w:rsid w:val="001E1A43"/>
    <w:rsid w:val="001E1B01"/>
    <w:rsid w:val="001E1BD8"/>
    <w:rsid w:val="001E2091"/>
    <w:rsid w:val="001E3387"/>
    <w:rsid w:val="001E348C"/>
    <w:rsid w:val="001E3973"/>
    <w:rsid w:val="001E3AFE"/>
    <w:rsid w:val="001E3B5B"/>
    <w:rsid w:val="001E3FF7"/>
    <w:rsid w:val="001E4421"/>
    <w:rsid w:val="001E4782"/>
    <w:rsid w:val="001E4AC5"/>
    <w:rsid w:val="001E4D02"/>
    <w:rsid w:val="001E5CD0"/>
    <w:rsid w:val="001E61E2"/>
    <w:rsid w:val="001E671B"/>
    <w:rsid w:val="001E6F3A"/>
    <w:rsid w:val="001E77D9"/>
    <w:rsid w:val="001E7BD9"/>
    <w:rsid w:val="001E7F0C"/>
    <w:rsid w:val="001E7FF7"/>
    <w:rsid w:val="001F0A16"/>
    <w:rsid w:val="001F0BCD"/>
    <w:rsid w:val="001F1D00"/>
    <w:rsid w:val="001F248A"/>
    <w:rsid w:val="001F2A21"/>
    <w:rsid w:val="001F2BDA"/>
    <w:rsid w:val="001F3A1E"/>
    <w:rsid w:val="001F3A49"/>
    <w:rsid w:val="001F3AF9"/>
    <w:rsid w:val="001F4591"/>
    <w:rsid w:val="001F5434"/>
    <w:rsid w:val="001F5472"/>
    <w:rsid w:val="001F59F3"/>
    <w:rsid w:val="001F5D06"/>
    <w:rsid w:val="001F6F4C"/>
    <w:rsid w:val="001F74DD"/>
    <w:rsid w:val="001F76FB"/>
    <w:rsid w:val="001F7749"/>
    <w:rsid w:val="001F7B9C"/>
    <w:rsid w:val="002001EA"/>
    <w:rsid w:val="00200233"/>
    <w:rsid w:val="0020113A"/>
    <w:rsid w:val="002011F0"/>
    <w:rsid w:val="00201C8A"/>
    <w:rsid w:val="002026FD"/>
    <w:rsid w:val="00202A5A"/>
    <w:rsid w:val="00202DC5"/>
    <w:rsid w:val="0020308D"/>
    <w:rsid w:val="00203FDE"/>
    <w:rsid w:val="00204006"/>
    <w:rsid w:val="0020465B"/>
    <w:rsid w:val="00204BB5"/>
    <w:rsid w:val="00205094"/>
    <w:rsid w:val="00205418"/>
    <w:rsid w:val="00205BFF"/>
    <w:rsid w:val="00205E15"/>
    <w:rsid w:val="00205F87"/>
    <w:rsid w:val="0020609F"/>
    <w:rsid w:val="002061A4"/>
    <w:rsid w:val="00206394"/>
    <w:rsid w:val="00206519"/>
    <w:rsid w:val="0020699B"/>
    <w:rsid w:val="00206BC9"/>
    <w:rsid w:val="00207098"/>
    <w:rsid w:val="00207134"/>
    <w:rsid w:val="0020714A"/>
    <w:rsid w:val="00210071"/>
    <w:rsid w:val="0021041F"/>
    <w:rsid w:val="00210813"/>
    <w:rsid w:val="00210AC9"/>
    <w:rsid w:val="002113F2"/>
    <w:rsid w:val="002115CB"/>
    <w:rsid w:val="00211B1D"/>
    <w:rsid w:val="00211FA9"/>
    <w:rsid w:val="0021218F"/>
    <w:rsid w:val="00212391"/>
    <w:rsid w:val="00212A3F"/>
    <w:rsid w:val="00212FBD"/>
    <w:rsid w:val="00213B5C"/>
    <w:rsid w:val="00213E5B"/>
    <w:rsid w:val="0021479F"/>
    <w:rsid w:val="00214913"/>
    <w:rsid w:val="00214B67"/>
    <w:rsid w:val="0021513C"/>
    <w:rsid w:val="00215982"/>
    <w:rsid w:val="00215E76"/>
    <w:rsid w:val="00216A4D"/>
    <w:rsid w:val="00216C00"/>
    <w:rsid w:val="0021725C"/>
    <w:rsid w:val="002177E2"/>
    <w:rsid w:val="00217FA0"/>
    <w:rsid w:val="002214E0"/>
    <w:rsid w:val="002218A5"/>
    <w:rsid w:val="00221A91"/>
    <w:rsid w:val="002224CD"/>
    <w:rsid w:val="00223128"/>
    <w:rsid w:val="002237D7"/>
    <w:rsid w:val="00223C92"/>
    <w:rsid w:val="00223E62"/>
    <w:rsid w:val="002240BC"/>
    <w:rsid w:val="00224251"/>
    <w:rsid w:val="00224C07"/>
    <w:rsid w:val="00224C63"/>
    <w:rsid w:val="002250F9"/>
    <w:rsid w:val="002258E1"/>
    <w:rsid w:val="002264B4"/>
    <w:rsid w:val="0022651E"/>
    <w:rsid w:val="00226918"/>
    <w:rsid w:val="00226CAD"/>
    <w:rsid w:val="00226CE7"/>
    <w:rsid w:val="00226FEB"/>
    <w:rsid w:val="002270D6"/>
    <w:rsid w:val="00227F5A"/>
    <w:rsid w:val="00230B69"/>
    <w:rsid w:val="00230E04"/>
    <w:rsid w:val="00230F6E"/>
    <w:rsid w:val="00231239"/>
    <w:rsid w:val="002317A7"/>
    <w:rsid w:val="00231C26"/>
    <w:rsid w:val="00231CCD"/>
    <w:rsid w:val="00231E24"/>
    <w:rsid w:val="00232449"/>
    <w:rsid w:val="002324BC"/>
    <w:rsid w:val="00232794"/>
    <w:rsid w:val="00232934"/>
    <w:rsid w:val="00232A53"/>
    <w:rsid w:val="00232DEF"/>
    <w:rsid w:val="00232E46"/>
    <w:rsid w:val="002332E1"/>
    <w:rsid w:val="002334BC"/>
    <w:rsid w:val="002342CD"/>
    <w:rsid w:val="0023459E"/>
    <w:rsid w:val="002346DC"/>
    <w:rsid w:val="00234B04"/>
    <w:rsid w:val="00234BB8"/>
    <w:rsid w:val="00234ECA"/>
    <w:rsid w:val="00234EF8"/>
    <w:rsid w:val="00234EFE"/>
    <w:rsid w:val="002350D9"/>
    <w:rsid w:val="00235C3A"/>
    <w:rsid w:val="0023609B"/>
    <w:rsid w:val="00237182"/>
    <w:rsid w:val="00240030"/>
    <w:rsid w:val="00240289"/>
    <w:rsid w:val="00240859"/>
    <w:rsid w:val="0024187A"/>
    <w:rsid w:val="00241A6D"/>
    <w:rsid w:val="0024209E"/>
    <w:rsid w:val="00242D1B"/>
    <w:rsid w:val="00243198"/>
    <w:rsid w:val="002435A7"/>
    <w:rsid w:val="002439B2"/>
    <w:rsid w:val="002448AE"/>
    <w:rsid w:val="00245796"/>
    <w:rsid w:val="00245CC8"/>
    <w:rsid w:val="0024663E"/>
    <w:rsid w:val="002469E9"/>
    <w:rsid w:val="00246AE1"/>
    <w:rsid w:val="00246C21"/>
    <w:rsid w:val="00246E79"/>
    <w:rsid w:val="0024703B"/>
    <w:rsid w:val="0024712B"/>
    <w:rsid w:val="00247163"/>
    <w:rsid w:val="002472BA"/>
    <w:rsid w:val="002479AB"/>
    <w:rsid w:val="00247C7C"/>
    <w:rsid w:val="00247DE2"/>
    <w:rsid w:val="0025010F"/>
    <w:rsid w:val="002501AF"/>
    <w:rsid w:val="00250BBF"/>
    <w:rsid w:val="00251208"/>
    <w:rsid w:val="002515C3"/>
    <w:rsid w:val="0025171A"/>
    <w:rsid w:val="00251DE0"/>
    <w:rsid w:val="00252042"/>
    <w:rsid w:val="0025293C"/>
    <w:rsid w:val="00252BF3"/>
    <w:rsid w:val="00254FBF"/>
    <w:rsid w:val="00255013"/>
    <w:rsid w:val="0025547B"/>
    <w:rsid w:val="00255864"/>
    <w:rsid w:val="00255A97"/>
    <w:rsid w:val="00255FE9"/>
    <w:rsid w:val="00256071"/>
    <w:rsid w:val="002567D2"/>
    <w:rsid w:val="00256FB2"/>
    <w:rsid w:val="00257154"/>
    <w:rsid w:val="00257404"/>
    <w:rsid w:val="00257C85"/>
    <w:rsid w:val="00257DDE"/>
    <w:rsid w:val="00257F7F"/>
    <w:rsid w:val="0026053D"/>
    <w:rsid w:val="00260B21"/>
    <w:rsid w:val="002611A8"/>
    <w:rsid w:val="002611AC"/>
    <w:rsid w:val="002617E9"/>
    <w:rsid w:val="00261CEF"/>
    <w:rsid w:val="00261DDB"/>
    <w:rsid w:val="00261DE6"/>
    <w:rsid w:val="0026242B"/>
    <w:rsid w:val="002638EC"/>
    <w:rsid w:val="00263B22"/>
    <w:rsid w:val="00263D7E"/>
    <w:rsid w:val="00264276"/>
    <w:rsid w:val="00264734"/>
    <w:rsid w:val="00264923"/>
    <w:rsid w:val="00264C47"/>
    <w:rsid w:val="002651DE"/>
    <w:rsid w:val="00265626"/>
    <w:rsid w:val="00265844"/>
    <w:rsid w:val="00266210"/>
    <w:rsid w:val="002663C1"/>
    <w:rsid w:val="002664F5"/>
    <w:rsid w:val="0026695C"/>
    <w:rsid w:val="00266A35"/>
    <w:rsid w:val="0026701F"/>
    <w:rsid w:val="00270144"/>
    <w:rsid w:val="00270BFE"/>
    <w:rsid w:val="00270DAD"/>
    <w:rsid w:val="00271405"/>
    <w:rsid w:val="00271838"/>
    <w:rsid w:val="00271A3A"/>
    <w:rsid w:val="0027203E"/>
    <w:rsid w:val="00272265"/>
    <w:rsid w:val="002723C4"/>
    <w:rsid w:val="00272503"/>
    <w:rsid w:val="0027263B"/>
    <w:rsid w:val="0027275A"/>
    <w:rsid w:val="0027297D"/>
    <w:rsid w:val="00272AED"/>
    <w:rsid w:val="00272D96"/>
    <w:rsid w:val="00273021"/>
    <w:rsid w:val="002730A5"/>
    <w:rsid w:val="0027311F"/>
    <w:rsid w:val="00273342"/>
    <w:rsid w:val="00273353"/>
    <w:rsid w:val="002733EB"/>
    <w:rsid w:val="0027340F"/>
    <w:rsid w:val="00273F34"/>
    <w:rsid w:val="0027412B"/>
    <w:rsid w:val="00274488"/>
    <w:rsid w:val="002749F3"/>
    <w:rsid w:val="00274A8E"/>
    <w:rsid w:val="00274A9B"/>
    <w:rsid w:val="00275266"/>
    <w:rsid w:val="00275B30"/>
    <w:rsid w:val="002766D1"/>
    <w:rsid w:val="00276786"/>
    <w:rsid w:val="002769D7"/>
    <w:rsid w:val="00276C3D"/>
    <w:rsid w:val="00280171"/>
    <w:rsid w:val="0028022B"/>
    <w:rsid w:val="002809F7"/>
    <w:rsid w:val="00280BC5"/>
    <w:rsid w:val="00281222"/>
    <w:rsid w:val="0028127F"/>
    <w:rsid w:val="002812EE"/>
    <w:rsid w:val="00281AFC"/>
    <w:rsid w:val="00281B51"/>
    <w:rsid w:val="00281BAA"/>
    <w:rsid w:val="00281E02"/>
    <w:rsid w:val="002820BE"/>
    <w:rsid w:val="00282483"/>
    <w:rsid w:val="00282545"/>
    <w:rsid w:val="0028274C"/>
    <w:rsid w:val="00282858"/>
    <w:rsid w:val="00282CC1"/>
    <w:rsid w:val="00282E6C"/>
    <w:rsid w:val="00283019"/>
    <w:rsid w:val="00283345"/>
    <w:rsid w:val="002836CC"/>
    <w:rsid w:val="002836D4"/>
    <w:rsid w:val="002839AA"/>
    <w:rsid w:val="00283C4B"/>
    <w:rsid w:val="00283DB7"/>
    <w:rsid w:val="002844C0"/>
    <w:rsid w:val="00284606"/>
    <w:rsid w:val="00284B48"/>
    <w:rsid w:val="00284DFE"/>
    <w:rsid w:val="00285245"/>
    <w:rsid w:val="002856F1"/>
    <w:rsid w:val="002858B9"/>
    <w:rsid w:val="00285A0A"/>
    <w:rsid w:val="002863A1"/>
    <w:rsid w:val="002863BB"/>
    <w:rsid w:val="002864DB"/>
    <w:rsid w:val="00287037"/>
    <w:rsid w:val="00290358"/>
    <w:rsid w:val="002905EC"/>
    <w:rsid w:val="002908E2"/>
    <w:rsid w:val="0029095F"/>
    <w:rsid w:val="00290CDD"/>
    <w:rsid w:val="00290CFB"/>
    <w:rsid w:val="00290CFC"/>
    <w:rsid w:val="00291459"/>
    <w:rsid w:val="002920E2"/>
    <w:rsid w:val="00292472"/>
    <w:rsid w:val="002928E0"/>
    <w:rsid w:val="00292C7A"/>
    <w:rsid w:val="002934A1"/>
    <w:rsid w:val="00293773"/>
    <w:rsid w:val="00293B78"/>
    <w:rsid w:val="00294A3A"/>
    <w:rsid w:val="00294CDF"/>
    <w:rsid w:val="002951EF"/>
    <w:rsid w:val="002955DF"/>
    <w:rsid w:val="00295B82"/>
    <w:rsid w:val="00295C41"/>
    <w:rsid w:val="00296087"/>
    <w:rsid w:val="00296383"/>
    <w:rsid w:val="00296F51"/>
    <w:rsid w:val="00297102"/>
    <w:rsid w:val="00297188"/>
    <w:rsid w:val="00297462"/>
    <w:rsid w:val="00297C0B"/>
    <w:rsid w:val="00297E55"/>
    <w:rsid w:val="002A019F"/>
    <w:rsid w:val="002A02AE"/>
    <w:rsid w:val="002A02C2"/>
    <w:rsid w:val="002A0727"/>
    <w:rsid w:val="002A088D"/>
    <w:rsid w:val="002A0A0C"/>
    <w:rsid w:val="002A0D57"/>
    <w:rsid w:val="002A0EEC"/>
    <w:rsid w:val="002A0F53"/>
    <w:rsid w:val="002A22A0"/>
    <w:rsid w:val="002A2FD6"/>
    <w:rsid w:val="002A398A"/>
    <w:rsid w:val="002A3EE3"/>
    <w:rsid w:val="002A431C"/>
    <w:rsid w:val="002A49D4"/>
    <w:rsid w:val="002A4A1F"/>
    <w:rsid w:val="002A4D7D"/>
    <w:rsid w:val="002A4EB8"/>
    <w:rsid w:val="002A5153"/>
    <w:rsid w:val="002A52C2"/>
    <w:rsid w:val="002A5B0F"/>
    <w:rsid w:val="002A5BD1"/>
    <w:rsid w:val="002A5E9F"/>
    <w:rsid w:val="002A5EFF"/>
    <w:rsid w:val="002A64FC"/>
    <w:rsid w:val="002A65D5"/>
    <w:rsid w:val="002A6784"/>
    <w:rsid w:val="002A6BCD"/>
    <w:rsid w:val="002A6E9A"/>
    <w:rsid w:val="002A7001"/>
    <w:rsid w:val="002A738F"/>
    <w:rsid w:val="002A758F"/>
    <w:rsid w:val="002A7E01"/>
    <w:rsid w:val="002B08DA"/>
    <w:rsid w:val="002B0C02"/>
    <w:rsid w:val="002B0E47"/>
    <w:rsid w:val="002B12EC"/>
    <w:rsid w:val="002B14F1"/>
    <w:rsid w:val="002B1C65"/>
    <w:rsid w:val="002B1E2D"/>
    <w:rsid w:val="002B1FE4"/>
    <w:rsid w:val="002B2384"/>
    <w:rsid w:val="002B2517"/>
    <w:rsid w:val="002B29CA"/>
    <w:rsid w:val="002B3539"/>
    <w:rsid w:val="002B39A6"/>
    <w:rsid w:val="002B39AE"/>
    <w:rsid w:val="002B3B8A"/>
    <w:rsid w:val="002B3F5F"/>
    <w:rsid w:val="002B44A8"/>
    <w:rsid w:val="002B47AE"/>
    <w:rsid w:val="002B4CD7"/>
    <w:rsid w:val="002B4EC9"/>
    <w:rsid w:val="002B5ADC"/>
    <w:rsid w:val="002B5CAC"/>
    <w:rsid w:val="002B5D70"/>
    <w:rsid w:val="002B61B8"/>
    <w:rsid w:val="002B6E04"/>
    <w:rsid w:val="002B6EFA"/>
    <w:rsid w:val="002B7895"/>
    <w:rsid w:val="002B7A07"/>
    <w:rsid w:val="002B7AEB"/>
    <w:rsid w:val="002B7D90"/>
    <w:rsid w:val="002C09A6"/>
    <w:rsid w:val="002C0FF1"/>
    <w:rsid w:val="002C1D61"/>
    <w:rsid w:val="002C29E0"/>
    <w:rsid w:val="002C2C66"/>
    <w:rsid w:val="002C2CD6"/>
    <w:rsid w:val="002C2DA0"/>
    <w:rsid w:val="002C31CB"/>
    <w:rsid w:val="002C349D"/>
    <w:rsid w:val="002C3A54"/>
    <w:rsid w:val="002C3E9D"/>
    <w:rsid w:val="002C4C56"/>
    <w:rsid w:val="002C512A"/>
    <w:rsid w:val="002C5274"/>
    <w:rsid w:val="002C5917"/>
    <w:rsid w:val="002C5954"/>
    <w:rsid w:val="002C61E1"/>
    <w:rsid w:val="002C62A5"/>
    <w:rsid w:val="002C678B"/>
    <w:rsid w:val="002C67C9"/>
    <w:rsid w:val="002C7D30"/>
    <w:rsid w:val="002C7D37"/>
    <w:rsid w:val="002C7E0E"/>
    <w:rsid w:val="002C7E7A"/>
    <w:rsid w:val="002C7EFC"/>
    <w:rsid w:val="002D089F"/>
    <w:rsid w:val="002D08F9"/>
    <w:rsid w:val="002D0CC2"/>
    <w:rsid w:val="002D0CEE"/>
    <w:rsid w:val="002D0E5C"/>
    <w:rsid w:val="002D0E69"/>
    <w:rsid w:val="002D10F3"/>
    <w:rsid w:val="002D12D8"/>
    <w:rsid w:val="002D1A7B"/>
    <w:rsid w:val="002D1C2A"/>
    <w:rsid w:val="002D231B"/>
    <w:rsid w:val="002D23D6"/>
    <w:rsid w:val="002D2615"/>
    <w:rsid w:val="002D292A"/>
    <w:rsid w:val="002D306B"/>
    <w:rsid w:val="002D3108"/>
    <w:rsid w:val="002D35EA"/>
    <w:rsid w:val="002D35F1"/>
    <w:rsid w:val="002D4535"/>
    <w:rsid w:val="002D497A"/>
    <w:rsid w:val="002D5001"/>
    <w:rsid w:val="002D535D"/>
    <w:rsid w:val="002D5964"/>
    <w:rsid w:val="002D5C7C"/>
    <w:rsid w:val="002D6203"/>
    <w:rsid w:val="002D67F8"/>
    <w:rsid w:val="002D6CFE"/>
    <w:rsid w:val="002D6E1C"/>
    <w:rsid w:val="002D74B9"/>
    <w:rsid w:val="002D751B"/>
    <w:rsid w:val="002D778D"/>
    <w:rsid w:val="002E09B4"/>
    <w:rsid w:val="002E0C43"/>
    <w:rsid w:val="002E0C96"/>
    <w:rsid w:val="002E0D36"/>
    <w:rsid w:val="002E0F3A"/>
    <w:rsid w:val="002E1B8B"/>
    <w:rsid w:val="002E1DB7"/>
    <w:rsid w:val="002E1E6B"/>
    <w:rsid w:val="002E210C"/>
    <w:rsid w:val="002E2441"/>
    <w:rsid w:val="002E2F85"/>
    <w:rsid w:val="002E30DA"/>
    <w:rsid w:val="002E3199"/>
    <w:rsid w:val="002E3FCE"/>
    <w:rsid w:val="002E41E9"/>
    <w:rsid w:val="002E4A19"/>
    <w:rsid w:val="002E4BE8"/>
    <w:rsid w:val="002E560B"/>
    <w:rsid w:val="002E5772"/>
    <w:rsid w:val="002E57E1"/>
    <w:rsid w:val="002E5C27"/>
    <w:rsid w:val="002E5FF7"/>
    <w:rsid w:val="002E689C"/>
    <w:rsid w:val="002E6959"/>
    <w:rsid w:val="002E705E"/>
    <w:rsid w:val="002E729B"/>
    <w:rsid w:val="002E731F"/>
    <w:rsid w:val="002E76F8"/>
    <w:rsid w:val="002E7869"/>
    <w:rsid w:val="002E7B7D"/>
    <w:rsid w:val="002E7BEE"/>
    <w:rsid w:val="002F04E3"/>
    <w:rsid w:val="002F0680"/>
    <w:rsid w:val="002F0976"/>
    <w:rsid w:val="002F15C9"/>
    <w:rsid w:val="002F168B"/>
    <w:rsid w:val="002F195A"/>
    <w:rsid w:val="002F2DCB"/>
    <w:rsid w:val="002F3068"/>
    <w:rsid w:val="002F351E"/>
    <w:rsid w:val="002F3B06"/>
    <w:rsid w:val="002F3B19"/>
    <w:rsid w:val="002F3CF1"/>
    <w:rsid w:val="002F3E97"/>
    <w:rsid w:val="002F42FD"/>
    <w:rsid w:val="002F442B"/>
    <w:rsid w:val="002F454F"/>
    <w:rsid w:val="002F535E"/>
    <w:rsid w:val="002F552C"/>
    <w:rsid w:val="002F5B04"/>
    <w:rsid w:val="002F66D6"/>
    <w:rsid w:val="002F66EA"/>
    <w:rsid w:val="002F68B4"/>
    <w:rsid w:val="002F6A88"/>
    <w:rsid w:val="002F6C02"/>
    <w:rsid w:val="002F6F65"/>
    <w:rsid w:val="002F7CD5"/>
    <w:rsid w:val="002F7E7C"/>
    <w:rsid w:val="003000DD"/>
    <w:rsid w:val="0030039B"/>
    <w:rsid w:val="00300587"/>
    <w:rsid w:val="0030087A"/>
    <w:rsid w:val="00301662"/>
    <w:rsid w:val="00301A4B"/>
    <w:rsid w:val="00302436"/>
    <w:rsid w:val="00302B7A"/>
    <w:rsid w:val="0030301E"/>
    <w:rsid w:val="00303761"/>
    <w:rsid w:val="00303811"/>
    <w:rsid w:val="003039D5"/>
    <w:rsid w:val="00303A99"/>
    <w:rsid w:val="00303B18"/>
    <w:rsid w:val="00303CFE"/>
    <w:rsid w:val="00303F3A"/>
    <w:rsid w:val="003043BF"/>
    <w:rsid w:val="00304903"/>
    <w:rsid w:val="003052CE"/>
    <w:rsid w:val="00305451"/>
    <w:rsid w:val="00305657"/>
    <w:rsid w:val="003056E3"/>
    <w:rsid w:val="00305D22"/>
    <w:rsid w:val="00305EA0"/>
    <w:rsid w:val="00305EB7"/>
    <w:rsid w:val="00306336"/>
    <w:rsid w:val="00306573"/>
    <w:rsid w:val="00306669"/>
    <w:rsid w:val="00306A79"/>
    <w:rsid w:val="00306C61"/>
    <w:rsid w:val="00306E24"/>
    <w:rsid w:val="00307617"/>
    <w:rsid w:val="00307664"/>
    <w:rsid w:val="00307C5A"/>
    <w:rsid w:val="00310118"/>
    <w:rsid w:val="003102FA"/>
    <w:rsid w:val="00310505"/>
    <w:rsid w:val="00310EEA"/>
    <w:rsid w:val="003113A5"/>
    <w:rsid w:val="00311CD1"/>
    <w:rsid w:val="00311D95"/>
    <w:rsid w:val="0031203C"/>
    <w:rsid w:val="00312105"/>
    <w:rsid w:val="0031212E"/>
    <w:rsid w:val="00312BC8"/>
    <w:rsid w:val="003135E6"/>
    <w:rsid w:val="00313B95"/>
    <w:rsid w:val="00314035"/>
    <w:rsid w:val="00314264"/>
    <w:rsid w:val="00314F1E"/>
    <w:rsid w:val="00315E75"/>
    <w:rsid w:val="003167F7"/>
    <w:rsid w:val="00316923"/>
    <w:rsid w:val="00316F2D"/>
    <w:rsid w:val="003176A4"/>
    <w:rsid w:val="00317736"/>
    <w:rsid w:val="003179DF"/>
    <w:rsid w:val="0032044B"/>
    <w:rsid w:val="0032079A"/>
    <w:rsid w:val="00320858"/>
    <w:rsid w:val="00320FE2"/>
    <w:rsid w:val="00321095"/>
    <w:rsid w:val="003212DF"/>
    <w:rsid w:val="00321802"/>
    <w:rsid w:val="00321CE8"/>
    <w:rsid w:val="00322D93"/>
    <w:rsid w:val="00323238"/>
    <w:rsid w:val="00323B94"/>
    <w:rsid w:val="00323F09"/>
    <w:rsid w:val="00323FB4"/>
    <w:rsid w:val="00324431"/>
    <w:rsid w:val="0032448F"/>
    <w:rsid w:val="00324614"/>
    <w:rsid w:val="00324C6B"/>
    <w:rsid w:val="00325600"/>
    <w:rsid w:val="003258D7"/>
    <w:rsid w:val="00325D77"/>
    <w:rsid w:val="00326184"/>
    <w:rsid w:val="00326415"/>
    <w:rsid w:val="0032700D"/>
    <w:rsid w:val="003270ED"/>
    <w:rsid w:val="003303A0"/>
    <w:rsid w:val="003306C3"/>
    <w:rsid w:val="003310D1"/>
    <w:rsid w:val="00331303"/>
    <w:rsid w:val="0033155A"/>
    <w:rsid w:val="003315F1"/>
    <w:rsid w:val="00331C03"/>
    <w:rsid w:val="00331D8B"/>
    <w:rsid w:val="00331EFB"/>
    <w:rsid w:val="0033224E"/>
    <w:rsid w:val="00332370"/>
    <w:rsid w:val="0033256D"/>
    <w:rsid w:val="00332758"/>
    <w:rsid w:val="00332D31"/>
    <w:rsid w:val="003338DC"/>
    <w:rsid w:val="003342D5"/>
    <w:rsid w:val="0033442C"/>
    <w:rsid w:val="00334702"/>
    <w:rsid w:val="00334A2A"/>
    <w:rsid w:val="00334BEE"/>
    <w:rsid w:val="00334C02"/>
    <w:rsid w:val="00334D2D"/>
    <w:rsid w:val="0033543E"/>
    <w:rsid w:val="003358FC"/>
    <w:rsid w:val="00335F32"/>
    <w:rsid w:val="00335F44"/>
    <w:rsid w:val="003363C1"/>
    <w:rsid w:val="0033648A"/>
    <w:rsid w:val="00336563"/>
    <w:rsid w:val="00336D2C"/>
    <w:rsid w:val="00337383"/>
    <w:rsid w:val="00337630"/>
    <w:rsid w:val="00337681"/>
    <w:rsid w:val="00337963"/>
    <w:rsid w:val="00337C49"/>
    <w:rsid w:val="00337CBD"/>
    <w:rsid w:val="00337F51"/>
    <w:rsid w:val="003401B6"/>
    <w:rsid w:val="00340C22"/>
    <w:rsid w:val="00340E99"/>
    <w:rsid w:val="003410F9"/>
    <w:rsid w:val="00341100"/>
    <w:rsid w:val="003411F9"/>
    <w:rsid w:val="003411FD"/>
    <w:rsid w:val="00341299"/>
    <w:rsid w:val="00341609"/>
    <w:rsid w:val="00341C3D"/>
    <w:rsid w:val="00341C9C"/>
    <w:rsid w:val="003421A7"/>
    <w:rsid w:val="00342441"/>
    <w:rsid w:val="003427AD"/>
    <w:rsid w:val="00342C2A"/>
    <w:rsid w:val="00342C3F"/>
    <w:rsid w:val="003437A2"/>
    <w:rsid w:val="00343863"/>
    <w:rsid w:val="00343BD4"/>
    <w:rsid w:val="00343E3E"/>
    <w:rsid w:val="0034404E"/>
    <w:rsid w:val="003440E0"/>
    <w:rsid w:val="00344E67"/>
    <w:rsid w:val="00345021"/>
    <w:rsid w:val="00345045"/>
    <w:rsid w:val="00345F2C"/>
    <w:rsid w:val="003468AD"/>
    <w:rsid w:val="00346B72"/>
    <w:rsid w:val="00346D2C"/>
    <w:rsid w:val="0034742C"/>
    <w:rsid w:val="003475F8"/>
    <w:rsid w:val="003478C4"/>
    <w:rsid w:val="0034790E"/>
    <w:rsid w:val="00347F37"/>
    <w:rsid w:val="00347F8A"/>
    <w:rsid w:val="003500FE"/>
    <w:rsid w:val="00350120"/>
    <w:rsid w:val="003509F1"/>
    <w:rsid w:val="00350A5C"/>
    <w:rsid w:val="00350C21"/>
    <w:rsid w:val="00350D7E"/>
    <w:rsid w:val="00350E35"/>
    <w:rsid w:val="00350ECA"/>
    <w:rsid w:val="0035107D"/>
    <w:rsid w:val="003510B9"/>
    <w:rsid w:val="0035146C"/>
    <w:rsid w:val="00351B4F"/>
    <w:rsid w:val="00351EE2"/>
    <w:rsid w:val="00351EFB"/>
    <w:rsid w:val="003523AE"/>
    <w:rsid w:val="003524A0"/>
    <w:rsid w:val="00352786"/>
    <w:rsid w:val="003527CF"/>
    <w:rsid w:val="00352894"/>
    <w:rsid w:val="00352C7B"/>
    <w:rsid w:val="00352FFF"/>
    <w:rsid w:val="003536DC"/>
    <w:rsid w:val="00353823"/>
    <w:rsid w:val="0035388F"/>
    <w:rsid w:val="00353B50"/>
    <w:rsid w:val="00354137"/>
    <w:rsid w:val="00354789"/>
    <w:rsid w:val="00354795"/>
    <w:rsid w:val="00354923"/>
    <w:rsid w:val="00354BE6"/>
    <w:rsid w:val="0035510B"/>
    <w:rsid w:val="003553C9"/>
    <w:rsid w:val="003555BF"/>
    <w:rsid w:val="0035561D"/>
    <w:rsid w:val="0035566A"/>
    <w:rsid w:val="00355E68"/>
    <w:rsid w:val="00356F03"/>
    <w:rsid w:val="0035793C"/>
    <w:rsid w:val="00357DBE"/>
    <w:rsid w:val="003603FB"/>
    <w:rsid w:val="00360945"/>
    <w:rsid w:val="00360A7E"/>
    <w:rsid w:val="00360BBC"/>
    <w:rsid w:val="00360F91"/>
    <w:rsid w:val="00361049"/>
    <w:rsid w:val="003611F0"/>
    <w:rsid w:val="003615B2"/>
    <w:rsid w:val="003618C8"/>
    <w:rsid w:val="00361A7F"/>
    <w:rsid w:val="0036209F"/>
    <w:rsid w:val="00362824"/>
    <w:rsid w:val="003628C3"/>
    <w:rsid w:val="00362CB4"/>
    <w:rsid w:val="00362DCF"/>
    <w:rsid w:val="0036318C"/>
    <w:rsid w:val="00363A9E"/>
    <w:rsid w:val="00363C90"/>
    <w:rsid w:val="00363CA7"/>
    <w:rsid w:val="00363FA5"/>
    <w:rsid w:val="00364115"/>
    <w:rsid w:val="003644CA"/>
    <w:rsid w:val="00364918"/>
    <w:rsid w:val="00364B94"/>
    <w:rsid w:val="00364D2B"/>
    <w:rsid w:val="00364F73"/>
    <w:rsid w:val="003651F0"/>
    <w:rsid w:val="00365456"/>
    <w:rsid w:val="003654B6"/>
    <w:rsid w:val="00365618"/>
    <w:rsid w:val="003665B4"/>
    <w:rsid w:val="0036691F"/>
    <w:rsid w:val="003669AB"/>
    <w:rsid w:val="00366AB6"/>
    <w:rsid w:val="003673DA"/>
    <w:rsid w:val="00367B4E"/>
    <w:rsid w:val="00370217"/>
    <w:rsid w:val="00370DAF"/>
    <w:rsid w:val="003719C0"/>
    <w:rsid w:val="00371C73"/>
    <w:rsid w:val="00371CE8"/>
    <w:rsid w:val="00372E25"/>
    <w:rsid w:val="0037301E"/>
    <w:rsid w:val="00373400"/>
    <w:rsid w:val="00373AD7"/>
    <w:rsid w:val="00373AF4"/>
    <w:rsid w:val="00373CC0"/>
    <w:rsid w:val="00373F32"/>
    <w:rsid w:val="003744EE"/>
    <w:rsid w:val="00374B5F"/>
    <w:rsid w:val="00374E2B"/>
    <w:rsid w:val="00374FAF"/>
    <w:rsid w:val="003751F1"/>
    <w:rsid w:val="00375260"/>
    <w:rsid w:val="003752EA"/>
    <w:rsid w:val="003756F7"/>
    <w:rsid w:val="00375822"/>
    <w:rsid w:val="003758DD"/>
    <w:rsid w:val="00375AF1"/>
    <w:rsid w:val="00375CED"/>
    <w:rsid w:val="003760F7"/>
    <w:rsid w:val="003762DB"/>
    <w:rsid w:val="00376ABB"/>
    <w:rsid w:val="00376C1A"/>
    <w:rsid w:val="00376C5A"/>
    <w:rsid w:val="00376E47"/>
    <w:rsid w:val="00376F80"/>
    <w:rsid w:val="003771FE"/>
    <w:rsid w:val="0037721F"/>
    <w:rsid w:val="0037741E"/>
    <w:rsid w:val="00377A02"/>
    <w:rsid w:val="00377AE5"/>
    <w:rsid w:val="00377CC0"/>
    <w:rsid w:val="00377F00"/>
    <w:rsid w:val="00377FF0"/>
    <w:rsid w:val="00377FF4"/>
    <w:rsid w:val="00380AE7"/>
    <w:rsid w:val="00381443"/>
    <w:rsid w:val="00381B1B"/>
    <w:rsid w:val="003821FD"/>
    <w:rsid w:val="00382BD3"/>
    <w:rsid w:val="00382CA0"/>
    <w:rsid w:val="00382F87"/>
    <w:rsid w:val="003833D6"/>
    <w:rsid w:val="0038352D"/>
    <w:rsid w:val="00384454"/>
    <w:rsid w:val="00384D6F"/>
    <w:rsid w:val="00384D99"/>
    <w:rsid w:val="00384FB9"/>
    <w:rsid w:val="00385415"/>
    <w:rsid w:val="0038586E"/>
    <w:rsid w:val="00385B5B"/>
    <w:rsid w:val="003860B3"/>
    <w:rsid w:val="003863BF"/>
    <w:rsid w:val="00386546"/>
    <w:rsid w:val="00387570"/>
    <w:rsid w:val="0038782A"/>
    <w:rsid w:val="00387BAA"/>
    <w:rsid w:val="00387BE1"/>
    <w:rsid w:val="00387FDC"/>
    <w:rsid w:val="00387FDF"/>
    <w:rsid w:val="003905A0"/>
    <w:rsid w:val="00390EC4"/>
    <w:rsid w:val="0039114E"/>
    <w:rsid w:val="0039175A"/>
    <w:rsid w:val="0039185D"/>
    <w:rsid w:val="0039207D"/>
    <w:rsid w:val="0039272F"/>
    <w:rsid w:val="00392981"/>
    <w:rsid w:val="003938CC"/>
    <w:rsid w:val="0039395A"/>
    <w:rsid w:val="0039396F"/>
    <w:rsid w:val="0039549A"/>
    <w:rsid w:val="003959BA"/>
    <w:rsid w:val="003960A9"/>
    <w:rsid w:val="0039634E"/>
    <w:rsid w:val="00396C5E"/>
    <w:rsid w:val="00397071"/>
    <w:rsid w:val="00397130"/>
    <w:rsid w:val="00397470"/>
    <w:rsid w:val="0039795A"/>
    <w:rsid w:val="00397994"/>
    <w:rsid w:val="003979F3"/>
    <w:rsid w:val="00397C3F"/>
    <w:rsid w:val="00397D57"/>
    <w:rsid w:val="00397FF5"/>
    <w:rsid w:val="003A00C1"/>
    <w:rsid w:val="003A00C4"/>
    <w:rsid w:val="003A01B4"/>
    <w:rsid w:val="003A0678"/>
    <w:rsid w:val="003A0C2E"/>
    <w:rsid w:val="003A0C4E"/>
    <w:rsid w:val="003A12FC"/>
    <w:rsid w:val="003A21BB"/>
    <w:rsid w:val="003A29D7"/>
    <w:rsid w:val="003A2CAC"/>
    <w:rsid w:val="003A2D90"/>
    <w:rsid w:val="003A2E5F"/>
    <w:rsid w:val="003A3304"/>
    <w:rsid w:val="003A333B"/>
    <w:rsid w:val="003A33AB"/>
    <w:rsid w:val="003A343B"/>
    <w:rsid w:val="003A3489"/>
    <w:rsid w:val="003A35CC"/>
    <w:rsid w:val="003A3706"/>
    <w:rsid w:val="003A409E"/>
    <w:rsid w:val="003A4B2C"/>
    <w:rsid w:val="003A53FC"/>
    <w:rsid w:val="003A5434"/>
    <w:rsid w:val="003A580E"/>
    <w:rsid w:val="003A6469"/>
    <w:rsid w:val="003A667F"/>
    <w:rsid w:val="003A727F"/>
    <w:rsid w:val="003A72EA"/>
    <w:rsid w:val="003A7FAD"/>
    <w:rsid w:val="003B06D7"/>
    <w:rsid w:val="003B098C"/>
    <w:rsid w:val="003B0F8F"/>
    <w:rsid w:val="003B1DE2"/>
    <w:rsid w:val="003B227F"/>
    <w:rsid w:val="003B2458"/>
    <w:rsid w:val="003B2B13"/>
    <w:rsid w:val="003B2BA0"/>
    <w:rsid w:val="003B2E62"/>
    <w:rsid w:val="003B317D"/>
    <w:rsid w:val="003B34E6"/>
    <w:rsid w:val="003B3C9A"/>
    <w:rsid w:val="003B3DE4"/>
    <w:rsid w:val="003B4038"/>
    <w:rsid w:val="003B4456"/>
    <w:rsid w:val="003B458C"/>
    <w:rsid w:val="003B47DA"/>
    <w:rsid w:val="003B47EE"/>
    <w:rsid w:val="003B4B59"/>
    <w:rsid w:val="003B5045"/>
    <w:rsid w:val="003B50D8"/>
    <w:rsid w:val="003B532C"/>
    <w:rsid w:val="003B6017"/>
    <w:rsid w:val="003B679D"/>
    <w:rsid w:val="003B6BA3"/>
    <w:rsid w:val="003B6C5B"/>
    <w:rsid w:val="003B6DB4"/>
    <w:rsid w:val="003B736E"/>
    <w:rsid w:val="003B73C6"/>
    <w:rsid w:val="003B7775"/>
    <w:rsid w:val="003B7A0C"/>
    <w:rsid w:val="003B7CB8"/>
    <w:rsid w:val="003B7D79"/>
    <w:rsid w:val="003B7EBE"/>
    <w:rsid w:val="003C083E"/>
    <w:rsid w:val="003C0F3F"/>
    <w:rsid w:val="003C18BC"/>
    <w:rsid w:val="003C19D7"/>
    <w:rsid w:val="003C1DC5"/>
    <w:rsid w:val="003C1EFE"/>
    <w:rsid w:val="003C1F67"/>
    <w:rsid w:val="003C1FB0"/>
    <w:rsid w:val="003C245F"/>
    <w:rsid w:val="003C281B"/>
    <w:rsid w:val="003C2EBD"/>
    <w:rsid w:val="003C3132"/>
    <w:rsid w:val="003C36A0"/>
    <w:rsid w:val="003C3E78"/>
    <w:rsid w:val="003C4C84"/>
    <w:rsid w:val="003C50AF"/>
    <w:rsid w:val="003C51A2"/>
    <w:rsid w:val="003C54B4"/>
    <w:rsid w:val="003C572B"/>
    <w:rsid w:val="003C7D07"/>
    <w:rsid w:val="003C7E5A"/>
    <w:rsid w:val="003C7E92"/>
    <w:rsid w:val="003D0113"/>
    <w:rsid w:val="003D02CB"/>
    <w:rsid w:val="003D05BD"/>
    <w:rsid w:val="003D0B22"/>
    <w:rsid w:val="003D10DD"/>
    <w:rsid w:val="003D186F"/>
    <w:rsid w:val="003D18C8"/>
    <w:rsid w:val="003D1BF9"/>
    <w:rsid w:val="003D1E8A"/>
    <w:rsid w:val="003D2424"/>
    <w:rsid w:val="003D2446"/>
    <w:rsid w:val="003D25D1"/>
    <w:rsid w:val="003D29CD"/>
    <w:rsid w:val="003D2E9C"/>
    <w:rsid w:val="003D302C"/>
    <w:rsid w:val="003D35EB"/>
    <w:rsid w:val="003D3E35"/>
    <w:rsid w:val="003D430E"/>
    <w:rsid w:val="003D4574"/>
    <w:rsid w:val="003D48B7"/>
    <w:rsid w:val="003D4CBB"/>
    <w:rsid w:val="003D538A"/>
    <w:rsid w:val="003D5730"/>
    <w:rsid w:val="003D5D1D"/>
    <w:rsid w:val="003D6F00"/>
    <w:rsid w:val="003D6FD7"/>
    <w:rsid w:val="003D755E"/>
    <w:rsid w:val="003D7672"/>
    <w:rsid w:val="003D7749"/>
    <w:rsid w:val="003E0949"/>
    <w:rsid w:val="003E0CDD"/>
    <w:rsid w:val="003E0D88"/>
    <w:rsid w:val="003E0E26"/>
    <w:rsid w:val="003E11A9"/>
    <w:rsid w:val="003E1240"/>
    <w:rsid w:val="003E179A"/>
    <w:rsid w:val="003E1899"/>
    <w:rsid w:val="003E2427"/>
    <w:rsid w:val="003E25C3"/>
    <w:rsid w:val="003E2F28"/>
    <w:rsid w:val="003E2F73"/>
    <w:rsid w:val="003E3089"/>
    <w:rsid w:val="003E316C"/>
    <w:rsid w:val="003E3922"/>
    <w:rsid w:val="003E3AF4"/>
    <w:rsid w:val="003E3D19"/>
    <w:rsid w:val="003E3FD8"/>
    <w:rsid w:val="003E4530"/>
    <w:rsid w:val="003E47BF"/>
    <w:rsid w:val="003E48B5"/>
    <w:rsid w:val="003E4CB3"/>
    <w:rsid w:val="003E5598"/>
    <w:rsid w:val="003E59F4"/>
    <w:rsid w:val="003E5F95"/>
    <w:rsid w:val="003E6388"/>
    <w:rsid w:val="003E6D6D"/>
    <w:rsid w:val="003E6F38"/>
    <w:rsid w:val="003F0078"/>
    <w:rsid w:val="003F03CB"/>
    <w:rsid w:val="003F08B8"/>
    <w:rsid w:val="003F0B5E"/>
    <w:rsid w:val="003F0D59"/>
    <w:rsid w:val="003F0D62"/>
    <w:rsid w:val="003F0D9C"/>
    <w:rsid w:val="003F0F3D"/>
    <w:rsid w:val="003F1313"/>
    <w:rsid w:val="003F1FC6"/>
    <w:rsid w:val="003F3005"/>
    <w:rsid w:val="003F37C4"/>
    <w:rsid w:val="003F3A90"/>
    <w:rsid w:val="003F3C3B"/>
    <w:rsid w:val="003F4498"/>
    <w:rsid w:val="003F4640"/>
    <w:rsid w:val="003F4ED2"/>
    <w:rsid w:val="003F5011"/>
    <w:rsid w:val="003F5030"/>
    <w:rsid w:val="003F5063"/>
    <w:rsid w:val="003F52BF"/>
    <w:rsid w:val="003F5A92"/>
    <w:rsid w:val="003F5CE3"/>
    <w:rsid w:val="003F6099"/>
    <w:rsid w:val="003F6188"/>
    <w:rsid w:val="003F635B"/>
    <w:rsid w:val="003F6E42"/>
    <w:rsid w:val="003F6F9F"/>
    <w:rsid w:val="003F7350"/>
    <w:rsid w:val="003F7637"/>
    <w:rsid w:val="003F7948"/>
    <w:rsid w:val="003F7A04"/>
    <w:rsid w:val="003F7AC0"/>
    <w:rsid w:val="003F7C53"/>
    <w:rsid w:val="0040023A"/>
    <w:rsid w:val="00400495"/>
    <w:rsid w:val="004005B2"/>
    <w:rsid w:val="00400BA8"/>
    <w:rsid w:val="00401137"/>
    <w:rsid w:val="0040179D"/>
    <w:rsid w:val="00402299"/>
    <w:rsid w:val="00402C2A"/>
    <w:rsid w:val="00402EDC"/>
    <w:rsid w:val="00402EF4"/>
    <w:rsid w:val="00404487"/>
    <w:rsid w:val="0040467C"/>
    <w:rsid w:val="004046A6"/>
    <w:rsid w:val="00404B96"/>
    <w:rsid w:val="00404D23"/>
    <w:rsid w:val="004051BD"/>
    <w:rsid w:val="00405BC4"/>
    <w:rsid w:val="00406048"/>
    <w:rsid w:val="00406326"/>
    <w:rsid w:val="00406517"/>
    <w:rsid w:val="00406696"/>
    <w:rsid w:val="0040691A"/>
    <w:rsid w:val="00406AD7"/>
    <w:rsid w:val="00407414"/>
    <w:rsid w:val="00407574"/>
    <w:rsid w:val="00407846"/>
    <w:rsid w:val="00410047"/>
    <w:rsid w:val="004102AB"/>
    <w:rsid w:val="00411036"/>
    <w:rsid w:val="00411610"/>
    <w:rsid w:val="0041174F"/>
    <w:rsid w:val="00411C70"/>
    <w:rsid w:val="00412018"/>
    <w:rsid w:val="00412281"/>
    <w:rsid w:val="00412D5D"/>
    <w:rsid w:val="00412DB3"/>
    <w:rsid w:val="004134B8"/>
    <w:rsid w:val="00413902"/>
    <w:rsid w:val="00413A0B"/>
    <w:rsid w:val="00413C52"/>
    <w:rsid w:val="00414365"/>
    <w:rsid w:val="00414725"/>
    <w:rsid w:val="00414A6A"/>
    <w:rsid w:val="00414B6A"/>
    <w:rsid w:val="00414DDE"/>
    <w:rsid w:val="00415023"/>
    <w:rsid w:val="0041516A"/>
    <w:rsid w:val="004151C2"/>
    <w:rsid w:val="004153D3"/>
    <w:rsid w:val="0041556F"/>
    <w:rsid w:val="004157C8"/>
    <w:rsid w:val="004167E6"/>
    <w:rsid w:val="00416B82"/>
    <w:rsid w:val="00416B9F"/>
    <w:rsid w:val="00416FCE"/>
    <w:rsid w:val="0041727C"/>
    <w:rsid w:val="00417837"/>
    <w:rsid w:val="00417903"/>
    <w:rsid w:val="00420976"/>
    <w:rsid w:val="00421A02"/>
    <w:rsid w:val="00421C0D"/>
    <w:rsid w:val="00422026"/>
    <w:rsid w:val="00422553"/>
    <w:rsid w:val="00422AD8"/>
    <w:rsid w:val="00422BCA"/>
    <w:rsid w:val="00422E74"/>
    <w:rsid w:val="00423146"/>
    <w:rsid w:val="00423311"/>
    <w:rsid w:val="0042368A"/>
    <w:rsid w:val="004239A0"/>
    <w:rsid w:val="00424459"/>
    <w:rsid w:val="0042456E"/>
    <w:rsid w:val="00424735"/>
    <w:rsid w:val="00424DB5"/>
    <w:rsid w:val="004262D1"/>
    <w:rsid w:val="00426F6B"/>
    <w:rsid w:val="00427184"/>
    <w:rsid w:val="00427299"/>
    <w:rsid w:val="00427800"/>
    <w:rsid w:val="00430871"/>
    <w:rsid w:val="00430B47"/>
    <w:rsid w:val="00430EBC"/>
    <w:rsid w:val="00430F58"/>
    <w:rsid w:val="00430F69"/>
    <w:rsid w:val="0043117B"/>
    <w:rsid w:val="004312AD"/>
    <w:rsid w:val="004316ED"/>
    <w:rsid w:val="004319F5"/>
    <w:rsid w:val="00431E3A"/>
    <w:rsid w:val="00432203"/>
    <w:rsid w:val="00432647"/>
    <w:rsid w:val="00432696"/>
    <w:rsid w:val="004327B5"/>
    <w:rsid w:val="0043314E"/>
    <w:rsid w:val="0043321E"/>
    <w:rsid w:val="00433542"/>
    <w:rsid w:val="0043360D"/>
    <w:rsid w:val="00433860"/>
    <w:rsid w:val="00433A85"/>
    <w:rsid w:val="00434C49"/>
    <w:rsid w:val="00435352"/>
    <w:rsid w:val="00435465"/>
    <w:rsid w:val="004354B3"/>
    <w:rsid w:val="00435B25"/>
    <w:rsid w:val="0043625C"/>
    <w:rsid w:val="00436673"/>
    <w:rsid w:val="004366BF"/>
    <w:rsid w:val="00436834"/>
    <w:rsid w:val="004368A0"/>
    <w:rsid w:val="00437464"/>
    <w:rsid w:val="00437476"/>
    <w:rsid w:val="00437E90"/>
    <w:rsid w:val="00440420"/>
    <w:rsid w:val="00440730"/>
    <w:rsid w:val="00440BDB"/>
    <w:rsid w:val="00440CC4"/>
    <w:rsid w:val="00441057"/>
    <w:rsid w:val="0044132C"/>
    <w:rsid w:val="004414BC"/>
    <w:rsid w:val="00441C21"/>
    <w:rsid w:val="00441EA0"/>
    <w:rsid w:val="00442137"/>
    <w:rsid w:val="004427B7"/>
    <w:rsid w:val="00442814"/>
    <w:rsid w:val="0044285D"/>
    <w:rsid w:val="00442923"/>
    <w:rsid w:val="00442BEB"/>
    <w:rsid w:val="00442F3B"/>
    <w:rsid w:val="0044335D"/>
    <w:rsid w:val="00443367"/>
    <w:rsid w:val="00443441"/>
    <w:rsid w:val="004435C3"/>
    <w:rsid w:val="00443B7A"/>
    <w:rsid w:val="00444AA1"/>
    <w:rsid w:val="00444C91"/>
    <w:rsid w:val="00444F70"/>
    <w:rsid w:val="004450CD"/>
    <w:rsid w:val="0044534C"/>
    <w:rsid w:val="0044572D"/>
    <w:rsid w:val="004457D0"/>
    <w:rsid w:val="004458EC"/>
    <w:rsid w:val="00446146"/>
    <w:rsid w:val="0044633D"/>
    <w:rsid w:val="0044634D"/>
    <w:rsid w:val="00446449"/>
    <w:rsid w:val="00446504"/>
    <w:rsid w:val="00446893"/>
    <w:rsid w:val="00446986"/>
    <w:rsid w:val="00447328"/>
    <w:rsid w:val="004474B3"/>
    <w:rsid w:val="00447B09"/>
    <w:rsid w:val="00447C85"/>
    <w:rsid w:val="004502EE"/>
    <w:rsid w:val="0045035A"/>
    <w:rsid w:val="00450475"/>
    <w:rsid w:val="00450744"/>
    <w:rsid w:val="0045078F"/>
    <w:rsid w:val="00451461"/>
    <w:rsid w:val="004517FA"/>
    <w:rsid w:val="00451DB7"/>
    <w:rsid w:val="00451EB0"/>
    <w:rsid w:val="00452404"/>
    <w:rsid w:val="004529A1"/>
    <w:rsid w:val="00452C77"/>
    <w:rsid w:val="00452FDC"/>
    <w:rsid w:val="004533C9"/>
    <w:rsid w:val="00453512"/>
    <w:rsid w:val="0045399C"/>
    <w:rsid w:val="00453EA1"/>
    <w:rsid w:val="004540F7"/>
    <w:rsid w:val="00454B5C"/>
    <w:rsid w:val="00454F9C"/>
    <w:rsid w:val="0045513B"/>
    <w:rsid w:val="00455B5C"/>
    <w:rsid w:val="00455CF4"/>
    <w:rsid w:val="00455D79"/>
    <w:rsid w:val="004566BD"/>
    <w:rsid w:val="00456C38"/>
    <w:rsid w:val="004573B9"/>
    <w:rsid w:val="004574A9"/>
    <w:rsid w:val="00457BA0"/>
    <w:rsid w:val="00460824"/>
    <w:rsid w:val="00460B3E"/>
    <w:rsid w:val="00461554"/>
    <w:rsid w:val="00461EEA"/>
    <w:rsid w:val="004620C8"/>
    <w:rsid w:val="00462370"/>
    <w:rsid w:val="004623FB"/>
    <w:rsid w:val="004627FE"/>
    <w:rsid w:val="00462DF0"/>
    <w:rsid w:val="00462EA5"/>
    <w:rsid w:val="0046338A"/>
    <w:rsid w:val="00463522"/>
    <w:rsid w:val="00464384"/>
    <w:rsid w:val="004643E8"/>
    <w:rsid w:val="0046448E"/>
    <w:rsid w:val="00464B14"/>
    <w:rsid w:val="0046507C"/>
    <w:rsid w:val="004652E5"/>
    <w:rsid w:val="00465555"/>
    <w:rsid w:val="00465561"/>
    <w:rsid w:val="0046581D"/>
    <w:rsid w:val="00465859"/>
    <w:rsid w:val="004658EA"/>
    <w:rsid w:val="00465C39"/>
    <w:rsid w:val="00465E7E"/>
    <w:rsid w:val="00466668"/>
    <w:rsid w:val="004666CB"/>
    <w:rsid w:val="00466939"/>
    <w:rsid w:val="00466DC2"/>
    <w:rsid w:val="00466EC1"/>
    <w:rsid w:val="004673CD"/>
    <w:rsid w:val="004679E8"/>
    <w:rsid w:val="00467D44"/>
    <w:rsid w:val="00467F69"/>
    <w:rsid w:val="00470043"/>
    <w:rsid w:val="0047047F"/>
    <w:rsid w:val="004704A2"/>
    <w:rsid w:val="00470552"/>
    <w:rsid w:val="00471950"/>
    <w:rsid w:val="00472587"/>
    <w:rsid w:val="00473531"/>
    <w:rsid w:val="0047375F"/>
    <w:rsid w:val="0047396A"/>
    <w:rsid w:val="00474241"/>
    <w:rsid w:val="004742BB"/>
    <w:rsid w:val="00474566"/>
    <w:rsid w:val="004747C6"/>
    <w:rsid w:val="00474BB4"/>
    <w:rsid w:val="00474E40"/>
    <w:rsid w:val="00475085"/>
    <w:rsid w:val="0047584D"/>
    <w:rsid w:val="0047588F"/>
    <w:rsid w:val="00475D69"/>
    <w:rsid w:val="004761B4"/>
    <w:rsid w:val="0047692E"/>
    <w:rsid w:val="00476E1C"/>
    <w:rsid w:val="00476E3C"/>
    <w:rsid w:val="00476E81"/>
    <w:rsid w:val="00477B6F"/>
    <w:rsid w:val="00477BCC"/>
    <w:rsid w:val="00477BFC"/>
    <w:rsid w:val="00477E91"/>
    <w:rsid w:val="0048092D"/>
    <w:rsid w:val="00480B7E"/>
    <w:rsid w:val="0048132F"/>
    <w:rsid w:val="00481430"/>
    <w:rsid w:val="00481D24"/>
    <w:rsid w:val="00482F25"/>
    <w:rsid w:val="004830AF"/>
    <w:rsid w:val="004830B4"/>
    <w:rsid w:val="004837FB"/>
    <w:rsid w:val="00483DEF"/>
    <w:rsid w:val="00483F15"/>
    <w:rsid w:val="0048417C"/>
    <w:rsid w:val="0048439C"/>
    <w:rsid w:val="004843F1"/>
    <w:rsid w:val="004844F5"/>
    <w:rsid w:val="00484808"/>
    <w:rsid w:val="0048559D"/>
    <w:rsid w:val="00485691"/>
    <w:rsid w:val="0048585E"/>
    <w:rsid w:val="00485955"/>
    <w:rsid w:val="00486078"/>
    <w:rsid w:val="004863A1"/>
    <w:rsid w:val="00486A0C"/>
    <w:rsid w:val="0048701A"/>
    <w:rsid w:val="004874DE"/>
    <w:rsid w:val="00487582"/>
    <w:rsid w:val="0048775A"/>
    <w:rsid w:val="00487D6F"/>
    <w:rsid w:val="00490031"/>
    <w:rsid w:val="00490194"/>
    <w:rsid w:val="00490DFB"/>
    <w:rsid w:val="00490E22"/>
    <w:rsid w:val="00490E60"/>
    <w:rsid w:val="0049105D"/>
    <w:rsid w:val="0049113A"/>
    <w:rsid w:val="0049138F"/>
    <w:rsid w:val="004914F9"/>
    <w:rsid w:val="0049177E"/>
    <w:rsid w:val="00491873"/>
    <w:rsid w:val="004919CC"/>
    <w:rsid w:val="00491B46"/>
    <w:rsid w:val="00491C33"/>
    <w:rsid w:val="00491CDE"/>
    <w:rsid w:val="00491FC4"/>
    <w:rsid w:val="00492AF5"/>
    <w:rsid w:val="00492EF0"/>
    <w:rsid w:val="00493309"/>
    <w:rsid w:val="00493918"/>
    <w:rsid w:val="00493C4B"/>
    <w:rsid w:val="00494008"/>
    <w:rsid w:val="00494739"/>
    <w:rsid w:val="00494B12"/>
    <w:rsid w:val="00494B8D"/>
    <w:rsid w:val="004959E0"/>
    <w:rsid w:val="00495F19"/>
    <w:rsid w:val="0049615F"/>
    <w:rsid w:val="004961E3"/>
    <w:rsid w:val="0049782C"/>
    <w:rsid w:val="0049789C"/>
    <w:rsid w:val="00497EDA"/>
    <w:rsid w:val="004A0233"/>
    <w:rsid w:val="004A0637"/>
    <w:rsid w:val="004A06AD"/>
    <w:rsid w:val="004A082C"/>
    <w:rsid w:val="004A0ACF"/>
    <w:rsid w:val="004A0D21"/>
    <w:rsid w:val="004A18A7"/>
    <w:rsid w:val="004A1A8A"/>
    <w:rsid w:val="004A1C9F"/>
    <w:rsid w:val="004A1D7C"/>
    <w:rsid w:val="004A1FE5"/>
    <w:rsid w:val="004A2606"/>
    <w:rsid w:val="004A28D0"/>
    <w:rsid w:val="004A2A65"/>
    <w:rsid w:val="004A3070"/>
    <w:rsid w:val="004A3282"/>
    <w:rsid w:val="004A344E"/>
    <w:rsid w:val="004A3BAD"/>
    <w:rsid w:val="004A4303"/>
    <w:rsid w:val="004A4E27"/>
    <w:rsid w:val="004A4EE5"/>
    <w:rsid w:val="004A4FF0"/>
    <w:rsid w:val="004A5300"/>
    <w:rsid w:val="004A53F5"/>
    <w:rsid w:val="004A56BA"/>
    <w:rsid w:val="004A5874"/>
    <w:rsid w:val="004A5E32"/>
    <w:rsid w:val="004A67A6"/>
    <w:rsid w:val="004A67F4"/>
    <w:rsid w:val="004A685F"/>
    <w:rsid w:val="004A6BC6"/>
    <w:rsid w:val="004A6D46"/>
    <w:rsid w:val="004A7688"/>
    <w:rsid w:val="004A7813"/>
    <w:rsid w:val="004A790F"/>
    <w:rsid w:val="004B0337"/>
    <w:rsid w:val="004B0524"/>
    <w:rsid w:val="004B0805"/>
    <w:rsid w:val="004B0999"/>
    <w:rsid w:val="004B0B96"/>
    <w:rsid w:val="004B11FE"/>
    <w:rsid w:val="004B1862"/>
    <w:rsid w:val="004B1C49"/>
    <w:rsid w:val="004B1D9A"/>
    <w:rsid w:val="004B23B8"/>
    <w:rsid w:val="004B23CC"/>
    <w:rsid w:val="004B2E4B"/>
    <w:rsid w:val="004B2FCC"/>
    <w:rsid w:val="004B34CA"/>
    <w:rsid w:val="004B35A1"/>
    <w:rsid w:val="004B36A8"/>
    <w:rsid w:val="004B388B"/>
    <w:rsid w:val="004B3CE7"/>
    <w:rsid w:val="004B3D3E"/>
    <w:rsid w:val="004B3D59"/>
    <w:rsid w:val="004B4518"/>
    <w:rsid w:val="004B456D"/>
    <w:rsid w:val="004B4FBA"/>
    <w:rsid w:val="004B5302"/>
    <w:rsid w:val="004B56BC"/>
    <w:rsid w:val="004B56CB"/>
    <w:rsid w:val="004B5C46"/>
    <w:rsid w:val="004B63DE"/>
    <w:rsid w:val="004B69CF"/>
    <w:rsid w:val="004B6A3F"/>
    <w:rsid w:val="004B6B5F"/>
    <w:rsid w:val="004B6D3E"/>
    <w:rsid w:val="004B6D69"/>
    <w:rsid w:val="004B6E15"/>
    <w:rsid w:val="004B726A"/>
    <w:rsid w:val="004B7421"/>
    <w:rsid w:val="004C0083"/>
    <w:rsid w:val="004C0D5B"/>
    <w:rsid w:val="004C0F45"/>
    <w:rsid w:val="004C1258"/>
    <w:rsid w:val="004C1A9A"/>
    <w:rsid w:val="004C1AD2"/>
    <w:rsid w:val="004C2152"/>
    <w:rsid w:val="004C24D2"/>
    <w:rsid w:val="004C260D"/>
    <w:rsid w:val="004C2CAD"/>
    <w:rsid w:val="004C30BF"/>
    <w:rsid w:val="004C30E8"/>
    <w:rsid w:val="004C425C"/>
    <w:rsid w:val="004C43E4"/>
    <w:rsid w:val="004C4D75"/>
    <w:rsid w:val="004C4F52"/>
    <w:rsid w:val="004C518F"/>
    <w:rsid w:val="004C5722"/>
    <w:rsid w:val="004C5743"/>
    <w:rsid w:val="004C592D"/>
    <w:rsid w:val="004C59B5"/>
    <w:rsid w:val="004C6020"/>
    <w:rsid w:val="004C677B"/>
    <w:rsid w:val="004C6791"/>
    <w:rsid w:val="004C7070"/>
    <w:rsid w:val="004C74AE"/>
    <w:rsid w:val="004C7695"/>
    <w:rsid w:val="004C7725"/>
    <w:rsid w:val="004C7815"/>
    <w:rsid w:val="004C7C29"/>
    <w:rsid w:val="004D0423"/>
    <w:rsid w:val="004D0638"/>
    <w:rsid w:val="004D075A"/>
    <w:rsid w:val="004D0C42"/>
    <w:rsid w:val="004D0D9A"/>
    <w:rsid w:val="004D10F1"/>
    <w:rsid w:val="004D14F6"/>
    <w:rsid w:val="004D1547"/>
    <w:rsid w:val="004D16E9"/>
    <w:rsid w:val="004D186E"/>
    <w:rsid w:val="004D26CC"/>
    <w:rsid w:val="004D30AB"/>
    <w:rsid w:val="004D33FF"/>
    <w:rsid w:val="004D35BB"/>
    <w:rsid w:val="004D3B0D"/>
    <w:rsid w:val="004D4959"/>
    <w:rsid w:val="004D4C7D"/>
    <w:rsid w:val="004D4DB2"/>
    <w:rsid w:val="004D5679"/>
    <w:rsid w:val="004D6831"/>
    <w:rsid w:val="004D6AD8"/>
    <w:rsid w:val="004D6B8A"/>
    <w:rsid w:val="004D709B"/>
    <w:rsid w:val="004D74F9"/>
    <w:rsid w:val="004D7A60"/>
    <w:rsid w:val="004D7B89"/>
    <w:rsid w:val="004D7B9C"/>
    <w:rsid w:val="004D7C12"/>
    <w:rsid w:val="004D7CB9"/>
    <w:rsid w:val="004D7E3D"/>
    <w:rsid w:val="004E0388"/>
    <w:rsid w:val="004E0ADA"/>
    <w:rsid w:val="004E0E15"/>
    <w:rsid w:val="004E100C"/>
    <w:rsid w:val="004E138F"/>
    <w:rsid w:val="004E14CF"/>
    <w:rsid w:val="004E22FB"/>
    <w:rsid w:val="004E234D"/>
    <w:rsid w:val="004E2A98"/>
    <w:rsid w:val="004E2B6B"/>
    <w:rsid w:val="004E2C9A"/>
    <w:rsid w:val="004E31AA"/>
    <w:rsid w:val="004E3DFD"/>
    <w:rsid w:val="004E4603"/>
    <w:rsid w:val="004E46AF"/>
    <w:rsid w:val="004E4897"/>
    <w:rsid w:val="004E48CD"/>
    <w:rsid w:val="004E4933"/>
    <w:rsid w:val="004E4C9B"/>
    <w:rsid w:val="004E52B2"/>
    <w:rsid w:val="004E53BA"/>
    <w:rsid w:val="004E558A"/>
    <w:rsid w:val="004E55DC"/>
    <w:rsid w:val="004E5A35"/>
    <w:rsid w:val="004E5D2A"/>
    <w:rsid w:val="004E6305"/>
    <w:rsid w:val="004E63D6"/>
    <w:rsid w:val="004E6482"/>
    <w:rsid w:val="004E6A8A"/>
    <w:rsid w:val="004E6E35"/>
    <w:rsid w:val="004E6E9B"/>
    <w:rsid w:val="004E6ECE"/>
    <w:rsid w:val="004E7380"/>
    <w:rsid w:val="004E7514"/>
    <w:rsid w:val="004E7BDD"/>
    <w:rsid w:val="004E7CDB"/>
    <w:rsid w:val="004E7DFF"/>
    <w:rsid w:val="004F0330"/>
    <w:rsid w:val="004F076C"/>
    <w:rsid w:val="004F0B06"/>
    <w:rsid w:val="004F0F9F"/>
    <w:rsid w:val="004F21B5"/>
    <w:rsid w:val="004F23B0"/>
    <w:rsid w:val="004F25E5"/>
    <w:rsid w:val="004F2629"/>
    <w:rsid w:val="004F268E"/>
    <w:rsid w:val="004F2734"/>
    <w:rsid w:val="004F2CCC"/>
    <w:rsid w:val="004F334D"/>
    <w:rsid w:val="004F3A3F"/>
    <w:rsid w:val="004F3B9E"/>
    <w:rsid w:val="004F3D4B"/>
    <w:rsid w:val="004F4175"/>
    <w:rsid w:val="004F41E7"/>
    <w:rsid w:val="004F4D26"/>
    <w:rsid w:val="004F5045"/>
    <w:rsid w:val="004F5BD9"/>
    <w:rsid w:val="004F6256"/>
    <w:rsid w:val="004F639B"/>
    <w:rsid w:val="004F69E6"/>
    <w:rsid w:val="004F6FE0"/>
    <w:rsid w:val="004F764A"/>
    <w:rsid w:val="004F78EA"/>
    <w:rsid w:val="005001BE"/>
    <w:rsid w:val="00500273"/>
    <w:rsid w:val="005003D3"/>
    <w:rsid w:val="005006EB"/>
    <w:rsid w:val="00500815"/>
    <w:rsid w:val="00500AB2"/>
    <w:rsid w:val="00500B7D"/>
    <w:rsid w:val="00501135"/>
    <w:rsid w:val="00501B46"/>
    <w:rsid w:val="00501C08"/>
    <w:rsid w:val="00501C7F"/>
    <w:rsid w:val="00501D10"/>
    <w:rsid w:val="005020E3"/>
    <w:rsid w:val="00502B92"/>
    <w:rsid w:val="005035C1"/>
    <w:rsid w:val="0050388B"/>
    <w:rsid w:val="005038E7"/>
    <w:rsid w:val="0050394A"/>
    <w:rsid w:val="00503E4F"/>
    <w:rsid w:val="0050445A"/>
    <w:rsid w:val="00504E48"/>
    <w:rsid w:val="005051E1"/>
    <w:rsid w:val="00506378"/>
    <w:rsid w:val="0050699D"/>
    <w:rsid w:val="0050712C"/>
    <w:rsid w:val="005076F4"/>
    <w:rsid w:val="005077A5"/>
    <w:rsid w:val="005078E1"/>
    <w:rsid w:val="00507E70"/>
    <w:rsid w:val="00507F93"/>
    <w:rsid w:val="00510191"/>
    <w:rsid w:val="00510DF5"/>
    <w:rsid w:val="005116C3"/>
    <w:rsid w:val="005122B7"/>
    <w:rsid w:val="00512671"/>
    <w:rsid w:val="00512A37"/>
    <w:rsid w:val="0051338A"/>
    <w:rsid w:val="00513878"/>
    <w:rsid w:val="00513BE7"/>
    <w:rsid w:val="005144AB"/>
    <w:rsid w:val="00514803"/>
    <w:rsid w:val="00514B48"/>
    <w:rsid w:val="005159C5"/>
    <w:rsid w:val="00515E7A"/>
    <w:rsid w:val="00515FDC"/>
    <w:rsid w:val="00516116"/>
    <w:rsid w:val="00516364"/>
    <w:rsid w:val="005163CC"/>
    <w:rsid w:val="00516491"/>
    <w:rsid w:val="005167D0"/>
    <w:rsid w:val="005169FF"/>
    <w:rsid w:val="00516A80"/>
    <w:rsid w:val="00517287"/>
    <w:rsid w:val="005177F5"/>
    <w:rsid w:val="005178E4"/>
    <w:rsid w:val="00517961"/>
    <w:rsid w:val="00517B15"/>
    <w:rsid w:val="0052030A"/>
    <w:rsid w:val="0052093D"/>
    <w:rsid w:val="00520B91"/>
    <w:rsid w:val="00521163"/>
    <w:rsid w:val="00522078"/>
    <w:rsid w:val="00522320"/>
    <w:rsid w:val="00522379"/>
    <w:rsid w:val="00523272"/>
    <w:rsid w:val="0052345B"/>
    <w:rsid w:val="00523472"/>
    <w:rsid w:val="005236B2"/>
    <w:rsid w:val="0052396A"/>
    <w:rsid w:val="00523A9F"/>
    <w:rsid w:val="00523AAE"/>
    <w:rsid w:val="00523F61"/>
    <w:rsid w:val="005240DD"/>
    <w:rsid w:val="0052420C"/>
    <w:rsid w:val="005244AD"/>
    <w:rsid w:val="00524589"/>
    <w:rsid w:val="00524612"/>
    <w:rsid w:val="00524780"/>
    <w:rsid w:val="005253C9"/>
    <w:rsid w:val="0052580E"/>
    <w:rsid w:val="00525A3C"/>
    <w:rsid w:val="00525ABC"/>
    <w:rsid w:val="0052631D"/>
    <w:rsid w:val="00526865"/>
    <w:rsid w:val="005269A6"/>
    <w:rsid w:val="00526CD3"/>
    <w:rsid w:val="00527629"/>
    <w:rsid w:val="00527CE3"/>
    <w:rsid w:val="00530B64"/>
    <w:rsid w:val="00530BFE"/>
    <w:rsid w:val="00530D06"/>
    <w:rsid w:val="00530FC0"/>
    <w:rsid w:val="00532651"/>
    <w:rsid w:val="00532856"/>
    <w:rsid w:val="00533110"/>
    <w:rsid w:val="0053348C"/>
    <w:rsid w:val="005334EE"/>
    <w:rsid w:val="0053375D"/>
    <w:rsid w:val="00533AED"/>
    <w:rsid w:val="005341D9"/>
    <w:rsid w:val="00534818"/>
    <w:rsid w:val="00534919"/>
    <w:rsid w:val="00535207"/>
    <w:rsid w:val="0053552D"/>
    <w:rsid w:val="00535E93"/>
    <w:rsid w:val="00535EC0"/>
    <w:rsid w:val="00536117"/>
    <w:rsid w:val="0053747E"/>
    <w:rsid w:val="0053793B"/>
    <w:rsid w:val="00540340"/>
    <w:rsid w:val="00540710"/>
    <w:rsid w:val="00540DEB"/>
    <w:rsid w:val="00541149"/>
    <w:rsid w:val="00541210"/>
    <w:rsid w:val="005412EA"/>
    <w:rsid w:val="005413E4"/>
    <w:rsid w:val="005414EE"/>
    <w:rsid w:val="005418CA"/>
    <w:rsid w:val="00541C57"/>
    <w:rsid w:val="00542D1A"/>
    <w:rsid w:val="005430E2"/>
    <w:rsid w:val="0054327D"/>
    <w:rsid w:val="005433F9"/>
    <w:rsid w:val="005436BA"/>
    <w:rsid w:val="005437C5"/>
    <w:rsid w:val="00543923"/>
    <w:rsid w:val="00543D53"/>
    <w:rsid w:val="00543EF8"/>
    <w:rsid w:val="00544A0B"/>
    <w:rsid w:val="00544DA7"/>
    <w:rsid w:val="005452AF"/>
    <w:rsid w:val="00545674"/>
    <w:rsid w:val="00545D5F"/>
    <w:rsid w:val="005463CF"/>
    <w:rsid w:val="005500EB"/>
    <w:rsid w:val="00550156"/>
    <w:rsid w:val="00550443"/>
    <w:rsid w:val="00550977"/>
    <w:rsid w:val="005509DE"/>
    <w:rsid w:val="00550A38"/>
    <w:rsid w:val="00550D54"/>
    <w:rsid w:val="00550DA0"/>
    <w:rsid w:val="0055134C"/>
    <w:rsid w:val="00552BFB"/>
    <w:rsid w:val="00552C57"/>
    <w:rsid w:val="005530C6"/>
    <w:rsid w:val="00553408"/>
    <w:rsid w:val="00553469"/>
    <w:rsid w:val="00553BBB"/>
    <w:rsid w:val="00554469"/>
    <w:rsid w:val="00554E18"/>
    <w:rsid w:val="0055505F"/>
    <w:rsid w:val="0055516A"/>
    <w:rsid w:val="00555660"/>
    <w:rsid w:val="00555703"/>
    <w:rsid w:val="005557E3"/>
    <w:rsid w:val="00555874"/>
    <w:rsid w:val="00555972"/>
    <w:rsid w:val="00555B89"/>
    <w:rsid w:val="00555F70"/>
    <w:rsid w:val="005566DA"/>
    <w:rsid w:val="00556B24"/>
    <w:rsid w:val="00556EB7"/>
    <w:rsid w:val="005571BF"/>
    <w:rsid w:val="00557C5C"/>
    <w:rsid w:val="00560406"/>
    <w:rsid w:val="005604A3"/>
    <w:rsid w:val="00560535"/>
    <w:rsid w:val="005607DD"/>
    <w:rsid w:val="005611F9"/>
    <w:rsid w:val="005612C0"/>
    <w:rsid w:val="0056147B"/>
    <w:rsid w:val="0056152C"/>
    <w:rsid w:val="005625F0"/>
    <w:rsid w:val="0056280A"/>
    <w:rsid w:val="005629E4"/>
    <w:rsid w:val="00562C09"/>
    <w:rsid w:val="00562D1C"/>
    <w:rsid w:val="00562F2F"/>
    <w:rsid w:val="00562FA0"/>
    <w:rsid w:val="0056341C"/>
    <w:rsid w:val="00563AAE"/>
    <w:rsid w:val="00564905"/>
    <w:rsid w:val="00564FD2"/>
    <w:rsid w:val="005650B0"/>
    <w:rsid w:val="00565439"/>
    <w:rsid w:val="0056562A"/>
    <w:rsid w:val="005667AF"/>
    <w:rsid w:val="00566A02"/>
    <w:rsid w:val="00566C9D"/>
    <w:rsid w:val="005672E5"/>
    <w:rsid w:val="005675E4"/>
    <w:rsid w:val="00567621"/>
    <w:rsid w:val="0056798A"/>
    <w:rsid w:val="00567B58"/>
    <w:rsid w:val="00567C52"/>
    <w:rsid w:val="00567F8C"/>
    <w:rsid w:val="00570296"/>
    <w:rsid w:val="005708CB"/>
    <w:rsid w:val="00570F76"/>
    <w:rsid w:val="00571068"/>
    <w:rsid w:val="00571EEC"/>
    <w:rsid w:val="00571F08"/>
    <w:rsid w:val="00572237"/>
    <w:rsid w:val="00572509"/>
    <w:rsid w:val="00572E8F"/>
    <w:rsid w:val="0057339B"/>
    <w:rsid w:val="005734EE"/>
    <w:rsid w:val="00573770"/>
    <w:rsid w:val="00573C4B"/>
    <w:rsid w:val="00573EBD"/>
    <w:rsid w:val="00574590"/>
    <w:rsid w:val="00574971"/>
    <w:rsid w:val="0057506F"/>
    <w:rsid w:val="005751EA"/>
    <w:rsid w:val="0057525A"/>
    <w:rsid w:val="005752F5"/>
    <w:rsid w:val="00575928"/>
    <w:rsid w:val="00575BFB"/>
    <w:rsid w:val="00575EBD"/>
    <w:rsid w:val="00576022"/>
    <w:rsid w:val="00576523"/>
    <w:rsid w:val="005766B5"/>
    <w:rsid w:val="00576FA7"/>
    <w:rsid w:val="00577293"/>
    <w:rsid w:val="0057732F"/>
    <w:rsid w:val="00580199"/>
    <w:rsid w:val="0058022C"/>
    <w:rsid w:val="005802AE"/>
    <w:rsid w:val="0058060D"/>
    <w:rsid w:val="00580A77"/>
    <w:rsid w:val="00581082"/>
    <w:rsid w:val="00581ABC"/>
    <w:rsid w:val="00581C7C"/>
    <w:rsid w:val="005824CF"/>
    <w:rsid w:val="00582819"/>
    <w:rsid w:val="005828DF"/>
    <w:rsid w:val="00583249"/>
    <w:rsid w:val="0058385A"/>
    <w:rsid w:val="005839B3"/>
    <w:rsid w:val="005839EF"/>
    <w:rsid w:val="00583B25"/>
    <w:rsid w:val="00583CC6"/>
    <w:rsid w:val="00584299"/>
    <w:rsid w:val="005843A0"/>
    <w:rsid w:val="005848DA"/>
    <w:rsid w:val="00584928"/>
    <w:rsid w:val="00584943"/>
    <w:rsid w:val="00585130"/>
    <w:rsid w:val="005856FC"/>
    <w:rsid w:val="005858D2"/>
    <w:rsid w:val="00585AF9"/>
    <w:rsid w:val="00585B13"/>
    <w:rsid w:val="00585B60"/>
    <w:rsid w:val="00585BED"/>
    <w:rsid w:val="00585C28"/>
    <w:rsid w:val="00585D0A"/>
    <w:rsid w:val="005861EB"/>
    <w:rsid w:val="005867AE"/>
    <w:rsid w:val="0058681F"/>
    <w:rsid w:val="00586942"/>
    <w:rsid w:val="00586C15"/>
    <w:rsid w:val="00586ED9"/>
    <w:rsid w:val="0058796C"/>
    <w:rsid w:val="005907B7"/>
    <w:rsid w:val="00590C02"/>
    <w:rsid w:val="00591110"/>
    <w:rsid w:val="005913E4"/>
    <w:rsid w:val="00591DCE"/>
    <w:rsid w:val="00591FFA"/>
    <w:rsid w:val="0059222B"/>
    <w:rsid w:val="00592306"/>
    <w:rsid w:val="00592923"/>
    <w:rsid w:val="00592D50"/>
    <w:rsid w:val="00593BA7"/>
    <w:rsid w:val="00593C36"/>
    <w:rsid w:val="0059405C"/>
    <w:rsid w:val="005942C0"/>
    <w:rsid w:val="005948DC"/>
    <w:rsid w:val="005955BB"/>
    <w:rsid w:val="00595743"/>
    <w:rsid w:val="005958E8"/>
    <w:rsid w:val="00595927"/>
    <w:rsid w:val="00595985"/>
    <w:rsid w:val="00596651"/>
    <w:rsid w:val="00596A3B"/>
    <w:rsid w:val="00596A90"/>
    <w:rsid w:val="00596AE4"/>
    <w:rsid w:val="00596D8F"/>
    <w:rsid w:val="0059722B"/>
    <w:rsid w:val="005A02C7"/>
    <w:rsid w:val="005A055B"/>
    <w:rsid w:val="005A063D"/>
    <w:rsid w:val="005A0C72"/>
    <w:rsid w:val="005A0E40"/>
    <w:rsid w:val="005A0E6D"/>
    <w:rsid w:val="005A0EF8"/>
    <w:rsid w:val="005A107E"/>
    <w:rsid w:val="005A1E50"/>
    <w:rsid w:val="005A2068"/>
    <w:rsid w:val="005A2583"/>
    <w:rsid w:val="005A27A1"/>
    <w:rsid w:val="005A28CF"/>
    <w:rsid w:val="005A2A76"/>
    <w:rsid w:val="005A2C9F"/>
    <w:rsid w:val="005A2D0E"/>
    <w:rsid w:val="005A2F30"/>
    <w:rsid w:val="005A33CA"/>
    <w:rsid w:val="005A3C6E"/>
    <w:rsid w:val="005A4E15"/>
    <w:rsid w:val="005A501F"/>
    <w:rsid w:val="005A52DE"/>
    <w:rsid w:val="005A5A13"/>
    <w:rsid w:val="005A5DEC"/>
    <w:rsid w:val="005A6DC2"/>
    <w:rsid w:val="005A707D"/>
    <w:rsid w:val="005A76AD"/>
    <w:rsid w:val="005A7943"/>
    <w:rsid w:val="005B02BF"/>
    <w:rsid w:val="005B034B"/>
    <w:rsid w:val="005B13AD"/>
    <w:rsid w:val="005B1847"/>
    <w:rsid w:val="005B1A77"/>
    <w:rsid w:val="005B1E27"/>
    <w:rsid w:val="005B208B"/>
    <w:rsid w:val="005B2557"/>
    <w:rsid w:val="005B3097"/>
    <w:rsid w:val="005B33E5"/>
    <w:rsid w:val="005B37CA"/>
    <w:rsid w:val="005B384D"/>
    <w:rsid w:val="005B38A8"/>
    <w:rsid w:val="005B39B2"/>
    <w:rsid w:val="005B3A27"/>
    <w:rsid w:val="005B3CA1"/>
    <w:rsid w:val="005B40AC"/>
    <w:rsid w:val="005B4152"/>
    <w:rsid w:val="005B44E3"/>
    <w:rsid w:val="005B4905"/>
    <w:rsid w:val="005B4AB2"/>
    <w:rsid w:val="005B4BC8"/>
    <w:rsid w:val="005B4C7A"/>
    <w:rsid w:val="005B4E86"/>
    <w:rsid w:val="005B5046"/>
    <w:rsid w:val="005B505D"/>
    <w:rsid w:val="005B568A"/>
    <w:rsid w:val="005B5821"/>
    <w:rsid w:val="005B5D48"/>
    <w:rsid w:val="005B5D6B"/>
    <w:rsid w:val="005B61B0"/>
    <w:rsid w:val="005B61E7"/>
    <w:rsid w:val="005B626A"/>
    <w:rsid w:val="005B626B"/>
    <w:rsid w:val="005B6335"/>
    <w:rsid w:val="005B64EC"/>
    <w:rsid w:val="005B6557"/>
    <w:rsid w:val="005B66F4"/>
    <w:rsid w:val="005B6D9C"/>
    <w:rsid w:val="005B6EF8"/>
    <w:rsid w:val="005B75C8"/>
    <w:rsid w:val="005B7864"/>
    <w:rsid w:val="005B7ABF"/>
    <w:rsid w:val="005B7F5E"/>
    <w:rsid w:val="005C0FFD"/>
    <w:rsid w:val="005C103C"/>
    <w:rsid w:val="005C13A7"/>
    <w:rsid w:val="005C2226"/>
    <w:rsid w:val="005C258F"/>
    <w:rsid w:val="005C2C99"/>
    <w:rsid w:val="005C2D76"/>
    <w:rsid w:val="005C3321"/>
    <w:rsid w:val="005C33B9"/>
    <w:rsid w:val="005C37E8"/>
    <w:rsid w:val="005C41D4"/>
    <w:rsid w:val="005C4240"/>
    <w:rsid w:val="005C45D3"/>
    <w:rsid w:val="005C4B67"/>
    <w:rsid w:val="005C4D18"/>
    <w:rsid w:val="005C51A9"/>
    <w:rsid w:val="005C55ED"/>
    <w:rsid w:val="005C5B40"/>
    <w:rsid w:val="005C5BAC"/>
    <w:rsid w:val="005C60D7"/>
    <w:rsid w:val="005C671B"/>
    <w:rsid w:val="005C721C"/>
    <w:rsid w:val="005C74AA"/>
    <w:rsid w:val="005C75A3"/>
    <w:rsid w:val="005C7FF3"/>
    <w:rsid w:val="005D0CE3"/>
    <w:rsid w:val="005D0CEA"/>
    <w:rsid w:val="005D1F3A"/>
    <w:rsid w:val="005D236E"/>
    <w:rsid w:val="005D2457"/>
    <w:rsid w:val="005D2520"/>
    <w:rsid w:val="005D29FB"/>
    <w:rsid w:val="005D2A54"/>
    <w:rsid w:val="005D302D"/>
    <w:rsid w:val="005D39A7"/>
    <w:rsid w:val="005D4B62"/>
    <w:rsid w:val="005D4CCE"/>
    <w:rsid w:val="005D5C52"/>
    <w:rsid w:val="005D5F83"/>
    <w:rsid w:val="005D62DC"/>
    <w:rsid w:val="005D6EE9"/>
    <w:rsid w:val="005D73C5"/>
    <w:rsid w:val="005D73E9"/>
    <w:rsid w:val="005E0C13"/>
    <w:rsid w:val="005E0F8A"/>
    <w:rsid w:val="005E1512"/>
    <w:rsid w:val="005E16CA"/>
    <w:rsid w:val="005E1A1A"/>
    <w:rsid w:val="005E1E8C"/>
    <w:rsid w:val="005E2915"/>
    <w:rsid w:val="005E2B60"/>
    <w:rsid w:val="005E3494"/>
    <w:rsid w:val="005E34E7"/>
    <w:rsid w:val="005E365D"/>
    <w:rsid w:val="005E37A4"/>
    <w:rsid w:val="005E3D7A"/>
    <w:rsid w:val="005E3F1D"/>
    <w:rsid w:val="005E445B"/>
    <w:rsid w:val="005E4AC2"/>
    <w:rsid w:val="005E4BB6"/>
    <w:rsid w:val="005E5113"/>
    <w:rsid w:val="005E5A13"/>
    <w:rsid w:val="005E5F49"/>
    <w:rsid w:val="005E6049"/>
    <w:rsid w:val="005E63C7"/>
    <w:rsid w:val="005E6D7F"/>
    <w:rsid w:val="005E744C"/>
    <w:rsid w:val="005E7534"/>
    <w:rsid w:val="005E7C12"/>
    <w:rsid w:val="005F01BC"/>
    <w:rsid w:val="005F065F"/>
    <w:rsid w:val="005F0728"/>
    <w:rsid w:val="005F0895"/>
    <w:rsid w:val="005F0FC0"/>
    <w:rsid w:val="005F1DCA"/>
    <w:rsid w:val="005F2172"/>
    <w:rsid w:val="005F29B5"/>
    <w:rsid w:val="005F2C7F"/>
    <w:rsid w:val="005F2CE9"/>
    <w:rsid w:val="005F2E6B"/>
    <w:rsid w:val="005F3108"/>
    <w:rsid w:val="005F366B"/>
    <w:rsid w:val="005F36A8"/>
    <w:rsid w:val="005F39CA"/>
    <w:rsid w:val="005F40FD"/>
    <w:rsid w:val="005F448D"/>
    <w:rsid w:val="005F44EF"/>
    <w:rsid w:val="005F45D5"/>
    <w:rsid w:val="005F4842"/>
    <w:rsid w:val="005F49FF"/>
    <w:rsid w:val="005F4A8F"/>
    <w:rsid w:val="005F4AAC"/>
    <w:rsid w:val="005F4F24"/>
    <w:rsid w:val="005F53B0"/>
    <w:rsid w:val="005F5688"/>
    <w:rsid w:val="005F56DF"/>
    <w:rsid w:val="005F57EC"/>
    <w:rsid w:val="005F586B"/>
    <w:rsid w:val="005F5A84"/>
    <w:rsid w:val="005F5C64"/>
    <w:rsid w:val="005F5FF7"/>
    <w:rsid w:val="005F6029"/>
    <w:rsid w:val="005F6E6F"/>
    <w:rsid w:val="005F6FC1"/>
    <w:rsid w:val="005F76A6"/>
    <w:rsid w:val="005F7835"/>
    <w:rsid w:val="005F7A72"/>
    <w:rsid w:val="005F7BE6"/>
    <w:rsid w:val="005F7DFC"/>
    <w:rsid w:val="00600C4D"/>
    <w:rsid w:val="00601276"/>
    <w:rsid w:val="006012AD"/>
    <w:rsid w:val="006019AD"/>
    <w:rsid w:val="00601D95"/>
    <w:rsid w:val="00601E83"/>
    <w:rsid w:val="00602023"/>
    <w:rsid w:val="006027FA"/>
    <w:rsid w:val="00602985"/>
    <w:rsid w:val="00603053"/>
    <w:rsid w:val="0060372D"/>
    <w:rsid w:val="0060393D"/>
    <w:rsid w:val="00603C0C"/>
    <w:rsid w:val="00604A85"/>
    <w:rsid w:val="00605060"/>
    <w:rsid w:val="0060558C"/>
    <w:rsid w:val="00605AB8"/>
    <w:rsid w:val="00605B35"/>
    <w:rsid w:val="00605D10"/>
    <w:rsid w:val="0060655B"/>
    <w:rsid w:val="006068C7"/>
    <w:rsid w:val="00606AC1"/>
    <w:rsid w:val="00606E39"/>
    <w:rsid w:val="006070D8"/>
    <w:rsid w:val="006071AC"/>
    <w:rsid w:val="0060741B"/>
    <w:rsid w:val="00607E36"/>
    <w:rsid w:val="00607FAA"/>
    <w:rsid w:val="00610450"/>
    <w:rsid w:val="0061070D"/>
    <w:rsid w:val="00610BDC"/>
    <w:rsid w:val="00610C19"/>
    <w:rsid w:val="00610CAB"/>
    <w:rsid w:val="0061105D"/>
    <w:rsid w:val="00611217"/>
    <w:rsid w:val="00611B07"/>
    <w:rsid w:val="006129E9"/>
    <w:rsid w:val="00612ABC"/>
    <w:rsid w:val="00612ABF"/>
    <w:rsid w:val="0061333A"/>
    <w:rsid w:val="00613926"/>
    <w:rsid w:val="006140BC"/>
    <w:rsid w:val="006142E6"/>
    <w:rsid w:val="006143D6"/>
    <w:rsid w:val="006146F0"/>
    <w:rsid w:val="00614A8C"/>
    <w:rsid w:val="0061569E"/>
    <w:rsid w:val="00615D55"/>
    <w:rsid w:val="00615FC2"/>
    <w:rsid w:val="00616CD1"/>
    <w:rsid w:val="00616F1C"/>
    <w:rsid w:val="0061725C"/>
    <w:rsid w:val="00617392"/>
    <w:rsid w:val="00617594"/>
    <w:rsid w:val="006177AE"/>
    <w:rsid w:val="006178BE"/>
    <w:rsid w:val="00617912"/>
    <w:rsid w:val="00617AB8"/>
    <w:rsid w:val="00617BDF"/>
    <w:rsid w:val="00620151"/>
    <w:rsid w:val="006208B5"/>
    <w:rsid w:val="00620B4A"/>
    <w:rsid w:val="00621031"/>
    <w:rsid w:val="006210AC"/>
    <w:rsid w:val="0062125D"/>
    <w:rsid w:val="006212DA"/>
    <w:rsid w:val="006214B4"/>
    <w:rsid w:val="00621A2E"/>
    <w:rsid w:val="0062244A"/>
    <w:rsid w:val="0062286A"/>
    <w:rsid w:val="00622964"/>
    <w:rsid w:val="0062339B"/>
    <w:rsid w:val="00623417"/>
    <w:rsid w:val="00623C7E"/>
    <w:rsid w:val="0062423A"/>
    <w:rsid w:val="00624AFE"/>
    <w:rsid w:val="00624E90"/>
    <w:rsid w:val="00624EDA"/>
    <w:rsid w:val="006257E0"/>
    <w:rsid w:val="006258E7"/>
    <w:rsid w:val="0062613E"/>
    <w:rsid w:val="00626184"/>
    <w:rsid w:val="00626621"/>
    <w:rsid w:val="006269F7"/>
    <w:rsid w:val="00626F27"/>
    <w:rsid w:val="00627099"/>
    <w:rsid w:val="006271F2"/>
    <w:rsid w:val="00627D28"/>
    <w:rsid w:val="00627F06"/>
    <w:rsid w:val="006301A9"/>
    <w:rsid w:val="0063060A"/>
    <w:rsid w:val="006317B7"/>
    <w:rsid w:val="006319D7"/>
    <w:rsid w:val="00631DE6"/>
    <w:rsid w:val="00632276"/>
    <w:rsid w:val="00632310"/>
    <w:rsid w:val="00632AC3"/>
    <w:rsid w:val="006330F9"/>
    <w:rsid w:val="00633F52"/>
    <w:rsid w:val="00634324"/>
    <w:rsid w:val="00635EAF"/>
    <w:rsid w:val="00636241"/>
    <w:rsid w:val="00636316"/>
    <w:rsid w:val="006366D0"/>
    <w:rsid w:val="00636A44"/>
    <w:rsid w:val="00637410"/>
    <w:rsid w:val="006378FE"/>
    <w:rsid w:val="00637DAB"/>
    <w:rsid w:val="006403A6"/>
    <w:rsid w:val="0064056E"/>
    <w:rsid w:val="0064081F"/>
    <w:rsid w:val="00640AFA"/>
    <w:rsid w:val="00640E41"/>
    <w:rsid w:val="00640F2E"/>
    <w:rsid w:val="0064170F"/>
    <w:rsid w:val="00641AA2"/>
    <w:rsid w:val="00641D7B"/>
    <w:rsid w:val="006428A6"/>
    <w:rsid w:val="0064296F"/>
    <w:rsid w:val="006435D6"/>
    <w:rsid w:val="0064387F"/>
    <w:rsid w:val="00643F16"/>
    <w:rsid w:val="006444DF"/>
    <w:rsid w:val="006446F4"/>
    <w:rsid w:val="006446FC"/>
    <w:rsid w:val="00644B48"/>
    <w:rsid w:val="00644B7F"/>
    <w:rsid w:val="00645368"/>
    <w:rsid w:val="006455D1"/>
    <w:rsid w:val="006456FF"/>
    <w:rsid w:val="00645A72"/>
    <w:rsid w:val="00645AA6"/>
    <w:rsid w:val="0064667C"/>
    <w:rsid w:val="00647094"/>
    <w:rsid w:val="0064786F"/>
    <w:rsid w:val="00647DDF"/>
    <w:rsid w:val="006501BC"/>
    <w:rsid w:val="0065065C"/>
    <w:rsid w:val="00650E89"/>
    <w:rsid w:val="00650EB9"/>
    <w:rsid w:val="00651160"/>
    <w:rsid w:val="00651863"/>
    <w:rsid w:val="00651AE3"/>
    <w:rsid w:val="0065222D"/>
    <w:rsid w:val="006527DE"/>
    <w:rsid w:val="00652C0D"/>
    <w:rsid w:val="00652EAA"/>
    <w:rsid w:val="00653411"/>
    <w:rsid w:val="00653B3F"/>
    <w:rsid w:val="006547E2"/>
    <w:rsid w:val="006548BC"/>
    <w:rsid w:val="00654D02"/>
    <w:rsid w:val="00654EB7"/>
    <w:rsid w:val="00654EB9"/>
    <w:rsid w:val="0065522A"/>
    <w:rsid w:val="00655309"/>
    <w:rsid w:val="0065540B"/>
    <w:rsid w:val="00655477"/>
    <w:rsid w:val="006558D1"/>
    <w:rsid w:val="00655CE2"/>
    <w:rsid w:val="00655D3E"/>
    <w:rsid w:val="00657192"/>
    <w:rsid w:val="00657450"/>
    <w:rsid w:val="0065777C"/>
    <w:rsid w:val="00657A65"/>
    <w:rsid w:val="00657E66"/>
    <w:rsid w:val="00657E78"/>
    <w:rsid w:val="006603FA"/>
    <w:rsid w:val="00660878"/>
    <w:rsid w:val="00660AD7"/>
    <w:rsid w:val="00660FE5"/>
    <w:rsid w:val="006613A0"/>
    <w:rsid w:val="0066167E"/>
    <w:rsid w:val="00661B36"/>
    <w:rsid w:val="00661DF6"/>
    <w:rsid w:val="0066209B"/>
    <w:rsid w:val="00663134"/>
    <w:rsid w:val="006634BE"/>
    <w:rsid w:val="00663531"/>
    <w:rsid w:val="00663D48"/>
    <w:rsid w:val="0066417D"/>
    <w:rsid w:val="0066425B"/>
    <w:rsid w:val="006650AC"/>
    <w:rsid w:val="006653EA"/>
    <w:rsid w:val="006658D7"/>
    <w:rsid w:val="00665957"/>
    <w:rsid w:val="00665FB3"/>
    <w:rsid w:val="00666551"/>
    <w:rsid w:val="00666884"/>
    <w:rsid w:val="00666996"/>
    <w:rsid w:val="006669E0"/>
    <w:rsid w:val="00666B79"/>
    <w:rsid w:val="00666DD6"/>
    <w:rsid w:val="00667A20"/>
    <w:rsid w:val="00667B45"/>
    <w:rsid w:val="00667FFA"/>
    <w:rsid w:val="00670303"/>
    <w:rsid w:val="006705BF"/>
    <w:rsid w:val="006706B2"/>
    <w:rsid w:val="00670765"/>
    <w:rsid w:val="006707B6"/>
    <w:rsid w:val="00671413"/>
    <w:rsid w:val="00671868"/>
    <w:rsid w:val="00671C1E"/>
    <w:rsid w:val="00671D49"/>
    <w:rsid w:val="0067242A"/>
    <w:rsid w:val="0067268B"/>
    <w:rsid w:val="0067273A"/>
    <w:rsid w:val="00672A7F"/>
    <w:rsid w:val="0067304C"/>
    <w:rsid w:val="00673C4C"/>
    <w:rsid w:val="00674099"/>
    <w:rsid w:val="0067461F"/>
    <w:rsid w:val="00674871"/>
    <w:rsid w:val="00674959"/>
    <w:rsid w:val="00674D67"/>
    <w:rsid w:val="00674F79"/>
    <w:rsid w:val="00675050"/>
    <w:rsid w:val="0067508C"/>
    <w:rsid w:val="0067567C"/>
    <w:rsid w:val="00675BDE"/>
    <w:rsid w:val="00675E4A"/>
    <w:rsid w:val="00675EDC"/>
    <w:rsid w:val="00675EEC"/>
    <w:rsid w:val="006764CA"/>
    <w:rsid w:val="0067665F"/>
    <w:rsid w:val="00676CB1"/>
    <w:rsid w:val="00676D1E"/>
    <w:rsid w:val="00676F0F"/>
    <w:rsid w:val="006775C9"/>
    <w:rsid w:val="006776E7"/>
    <w:rsid w:val="006776FC"/>
    <w:rsid w:val="006779A3"/>
    <w:rsid w:val="00677BE5"/>
    <w:rsid w:val="00677D3B"/>
    <w:rsid w:val="00680345"/>
    <w:rsid w:val="00680590"/>
    <w:rsid w:val="006805BF"/>
    <w:rsid w:val="006806A6"/>
    <w:rsid w:val="006806BD"/>
    <w:rsid w:val="00680C2B"/>
    <w:rsid w:val="00680F5F"/>
    <w:rsid w:val="0068104A"/>
    <w:rsid w:val="00681BD9"/>
    <w:rsid w:val="0068274C"/>
    <w:rsid w:val="006829D0"/>
    <w:rsid w:val="00682C22"/>
    <w:rsid w:val="00683AEE"/>
    <w:rsid w:val="0068400C"/>
    <w:rsid w:val="0068418C"/>
    <w:rsid w:val="00684FE9"/>
    <w:rsid w:val="006854EC"/>
    <w:rsid w:val="00685648"/>
    <w:rsid w:val="006857A7"/>
    <w:rsid w:val="00685832"/>
    <w:rsid w:val="00686179"/>
    <w:rsid w:val="0068661E"/>
    <w:rsid w:val="00686F0B"/>
    <w:rsid w:val="00686FCC"/>
    <w:rsid w:val="006871FD"/>
    <w:rsid w:val="00687A56"/>
    <w:rsid w:val="00687A87"/>
    <w:rsid w:val="00687DC2"/>
    <w:rsid w:val="00687E8B"/>
    <w:rsid w:val="006903FA"/>
    <w:rsid w:val="00690426"/>
    <w:rsid w:val="006906F5"/>
    <w:rsid w:val="006908CC"/>
    <w:rsid w:val="00690F36"/>
    <w:rsid w:val="006927B6"/>
    <w:rsid w:val="00692BC7"/>
    <w:rsid w:val="00693101"/>
    <w:rsid w:val="00693A08"/>
    <w:rsid w:val="00693A48"/>
    <w:rsid w:val="00693C72"/>
    <w:rsid w:val="006945DB"/>
    <w:rsid w:val="006946BC"/>
    <w:rsid w:val="00694A31"/>
    <w:rsid w:val="00694A3C"/>
    <w:rsid w:val="006951B2"/>
    <w:rsid w:val="006967C3"/>
    <w:rsid w:val="006969F3"/>
    <w:rsid w:val="00696DC8"/>
    <w:rsid w:val="006970C5"/>
    <w:rsid w:val="0069790B"/>
    <w:rsid w:val="006979C4"/>
    <w:rsid w:val="006A039E"/>
    <w:rsid w:val="006A0B33"/>
    <w:rsid w:val="006A0BD2"/>
    <w:rsid w:val="006A128F"/>
    <w:rsid w:val="006A1557"/>
    <w:rsid w:val="006A1A67"/>
    <w:rsid w:val="006A1BAC"/>
    <w:rsid w:val="006A1C6D"/>
    <w:rsid w:val="006A2333"/>
    <w:rsid w:val="006A25BA"/>
    <w:rsid w:val="006A27FE"/>
    <w:rsid w:val="006A2B7E"/>
    <w:rsid w:val="006A2D10"/>
    <w:rsid w:val="006A36EB"/>
    <w:rsid w:val="006A3C81"/>
    <w:rsid w:val="006A4B53"/>
    <w:rsid w:val="006A5064"/>
    <w:rsid w:val="006A5614"/>
    <w:rsid w:val="006A59B4"/>
    <w:rsid w:val="006A5B3B"/>
    <w:rsid w:val="006A5F78"/>
    <w:rsid w:val="006A5FA7"/>
    <w:rsid w:val="006A6103"/>
    <w:rsid w:val="006A616E"/>
    <w:rsid w:val="006A6530"/>
    <w:rsid w:val="006A6B4C"/>
    <w:rsid w:val="006A6BA0"/>
    <w:rsid w:val="006A72DE"/>
    <w:rsid w:val="006A75F4"/>
    <w:rsid w:val="006A7894"/>
    <w:rsid w:val="006A7F12"/>
    <w:rsid w:val="006B09B9"/>
    <w:rsid w:val="006B09FD"/>
    <w:rsid w:val="006B0A02"/>
    <w:rsid w:val="006B0DAF"/>
    <w:rsid w:val="006B11C2"/>
    <w:rsid w:val="006B14DC"/>
    <w:rsid w:val="006B1B7D"/>
    <w:rsid w:val="006B336A"/>
    <w:rsid w:val="006B33E6"/>
    <w:rsid w:val="006B3556"/>
    <w:rsid w:val="006B36D0"/>
    <w:rsid w:val="006B4203"/>
    <w:rsid w:val="006B4C55"/>
    <w:rsid w:val="006B4E9C"/>
    <w:rsid w:val="006B5648"/>
    <w:rsid w:val="006B57BF"/>
    <w:rsid w:val="006B5ADE"/>
    <w:rsid w:val="006B667E"/>
    <w:rsid w:val="006B7404"/>
    <w:rsid w:val="006B74EB"/>
    <w:rsid w:val="006C02DA"/>
    <w:rsid w:val="006C06C5"/>
    <w:rsid w:val="006C08C8"/>
    <w:rsid w:val="006C09BB"/>
    <w:rsid w:val="006C0A6A"/>
    <w:rsid w:val="006C12EA"/>
    <w:rsid w:val="006C14D8"/>
    <w:rsid w:val="006C225F"/>
    <w:rsid w:val="006C2386"/>
    <w:rsid w:val="006C31D5"/>
    <w:rsid w:val="006C4332"/>
    <w:rsid w:val="006C451C"/>
    <w:rsid w:val="006C46F1"/>
    <w:rsid w:val="006C48F8"/>
    <w:rsid w:val="006C49AF"/>
    <w:rsid w:val="006C4FE2"/>
    <w:rsid w:val="006C5114"/>
    <w:rsid w:val="006C51BB"/>
    <w:rsid w:val="006C5DA7"/>
    <w:rsid w:val="006C65D6"/>
    <w:rsid w:val="006C675E"/>
    <w:rsid w:val="006C6A8B"/>
    <w:rsid w:val="006C6ED2"/>
    <w:rsid w:val="006C7802"/>
    <w:rsid w:val="006C7C89"/>
    <w:rsid w:val="006D058A"/>
    <w:rsid w:val="006D0627"/>
    <w:rsid w:val="006D07CB"/>
    <w:rsid w:val="006D099B"/>
    <w:rsid w:val="006D1019"/>
    <w:rsid w:val="006D1074"/>
    <w:rsid w:val="006D1267"/>
    <w:rsid w:val="006D1575"/>
    <w:rsid w:val="006D266A"/>
    <w:rsid w:val="006D3278"/>
    <w:rsid w:val="006D328B"/>
    <w:rsid w:val="006D35CE"/>
    <w:rsid w:val="006D3902"/>
    <w:rsid w:val="006D3F9E"/>
    <w:rsid w:val="006D43B7"/>
    <w:rsid w:val="006D49D4"/>
    <w:rsid w:val="006D4ABA"/>
    <w:rsid w:val="006D55E2"/>
    <w:rsid w:val="006D56C3"/>
    <w:rsid w:val="006D5BB9"/>
    <w:rsid w:val="006D5D13"/>
    <w:rsid w:val="006D5E82"/>
    <w:rsid w:val="006D60E0"/>
    <w:rsid w:val="006D6110"/>
    <w:rsid w:val="006D665A"/>
    <w:rsid w:val="006D6E1C"/>
    <w:rsid w:val="006D7A41"/>
    <w:rsid w:val="006D7E3D"/>
    <w:rsid w:val="006E02B6"/>
    <w:rsid w:val="006E05C2"/>
    <w:rsid w:val="006E0715"/>
    <w:rsid w:val="006E08AB"/>
    <w:rsid w:val="006E0A9A"/>
    <w:rsid w:val="006E137A"/>
    <w:rsid w:val="006E19FE"/>
    <w:rsid w:val="006E1A8A"/>
    <w:rsid w:val="006E25C5"/>
    <w:rsid w:val="006E283D"/>
    <w:rsid w:val="006E28E5"/>
    <w:rsid w:val="006E2B62"/>
    <w:rsid w:val="006E2BD5"/>
    <w:rsid w:val="006E3003"/>
    <w:rsid w:val="006E318C"/>
    <w:rsid w:val="006E338E"/>
    <w:rsid w:val="006E3597"/>
    <w:rsid w:val="006E41C5"/>
    <w:rsid w:val="006E457D"/>
    <w:rsid w:val="006E5085"/>
    <w:rsid w:val="006E546F"/>
    <w:rsid w:val="006E5725"/>
    <w:rsid w:val="006E5BF5"/>
    <w:rsid w:val="006E5E4A"/>
    <w:rsid w:val="006E6387"/>
    <w:rsid w:val="006E6B03"/>
    <w:rsid w:val="006E6B6F"/>
    <w:rsid w:val="006E6BBE"/>
    <w:rsid w:val="006E6E14"/>
    <w:rsid w:val="006E73D6"/>
    <w:rsid w:val="006E75FB"/>
    <w:rsid w:val="006E787B"/>
    <w:rsid w:val="006E7973"/>
    <w:rsid w:val="006E7CD7"/>
    <w:rsid w:val="006E7EF8"/>
    <w:rsid w:val="006F00CB"/>
    <w:rsid w:val="006F00FD"/>
    <w:rsid w:val="006F012E"/>
    <w:rsid w:val="006F02D3"/>
    <w:rsid w:val="006F0529"/>
    <w:rsid w:val="006F09B0"/>
    <w:rsid w:val="006F09C1"/>
    <w:rsid w:val="006F09E6"/>
    <w:rsid w:val="006F1BC3"/>
    <w:rsid w:val="006F21B4"/>
    <w:rsid w:val="006F23E0"/>
    <w:rsid w:val="006F251D"/>
    <w:rsid w:val="006F2669"/>
    <w:rsid w:val="006F2823"/>
    <w:rsid w:val="006F2C33"/>
    <w:rsid w:val="006F2F06"/>
    <w:rsid w:val="006F32F3"/>
    <w:rsid w:val="006F3392"/>
    <w:rsid w:val="006F3A3A"/>
    <w:rsid w:val="006F3ADA"/>
    <w:rsid w:val="006F40E7"/>
    <w:rsid w:val="006F54F6"/>
    <w:rsid w:val="006F5534"/>
    <w:rsid w:val="006F57B9"/>
    <w:rsid w:val="006F5C8D"/>
    <w:rsid w:val="006F5CF2"/>
    <w:rsid w:val="006F6A34"/>
    <w:rsid w:val="006F6BE6"/>
    <w:rsid w:val="006F744D"/>
    <w:rsid w:val="006F785E"/>
    <w:rsid w:val="006F7B3D"/>
    <w:rsid w:val="006F7B75"/>
    <w:rsid w:val="006F7D57"/>
    <w:rsid w:val="007000F0"/>
    <w:rsid w:val="007001A7"/>
    <w:rsid w:val="00701225"/>
    <w:rsid w:val="007017B3"/>
    <w:rsid w:val="00701810"/>
    <w:rsid w:val="007023E7"/>
    <w:rsid w:val="007025D7"/>
    <w:rsid w:val="007026BE"/>
    <w:rsid w:val="007034C1"/>
    <w:rsid w:val="007036BB"/>
    <w:rsid w:val="00703E7F"/>
    <w:rsid w:val="00703EAF"/>
    <w:rsid w:val="00703FCF"/>
    <w:rsid w:val="00704171"/>
    <w:rsid w:val="0070435F"/>
    <w:rsid w:val="007046D8"/>
    <w:rsid w:val="007047E9"/>
    <w:rsid w:val="00704942"/>
    <w:rsid w:val="007064E0"/>
    <w:rsid w:val="007073E5"/>
    <w:rsid w:val="00710248"/>
    <w:rsid w:val="0071026B"/>
    <w:rsid w:val="00710372"/>
    <w:rsid w:val="00711CDB"/>
    <w:rsid w:val="00712A53"/>
    <w:rsid w:val="00712C35"/>
    <w:rsid w:val="00712E05"/>
    <w:rsid w:val="00713060"/>
    <w:rsid w:val="00713075"/>
    <w:rsid w:val="007132DF"/>
    <w:rsid w:val="0071368E"/>
    <w:rsid w:val="00713B71"/>
    <w:rsid w:val="00713DAC"/>
    <w:rsid w:val="00714567"/>
    <w:rsid w:val="00715044"/>
    <w:rsid w:val="00715154"/>
    <w:rsid w:val="007151E3"/>
    <w:rsid w:val="00715936"/>
    <w:rsid w:val="00715BB0"/>
    <w:rsid w:val="00715E27"/>
    <w:rsid w:val="0071618D"/>
    <w:rsid w:val="007163EF"/>
    <w:rsid w:val="00716584"/>
    <w:rsid w:val="00716E00"/>
    <w:rsid w:val="0071755F"/>
    <w:rsid w:val="0071757E"/>
    <w:rsid w:val="00717C05"/>
    <w:rsid w:val="00717DD8"/>
    <w:rsid w:val="0072039D"/>
    <w:rsid w:val="0072083A"/>
    <w:rsid w:val="00720DBA"/>
    <w:rsid w:val="00720E60"/>
    <w:rsid w:val="00721CE6"/>
    <w:rsid w:val="00721D7D"/>
    <w:rsid w:val="00721F61"/>
    <w:rsid w:val="007220D5"/>
    <w:rsid w:val="00722151"/>
    <w:rsid w:val="0072229F"/>
    <w:rsid w:val="00722478"/>
    <w:rsid w:val="007228A8"/>
    <w:rsid w:val="00722B50"/>
    <w:rsid w:val="00722CDE"/>
    <w:rsid w:val="007231B2"/>
    <w:rsid w:val="00724B09"/>
    <w:rsid w:val="00724BD6"/>
    <w:rsid w:val="00724CCE"/>
    <w:rsid w:val="00724E70"/>
    <w:rsid w:val="00724EA5"/>
    <w:rsid w:val="00724F77"/>
    <w:rsid w:val="00725016"/>
    <w:rsid w:val="00725588"/>
    <w:rsid w:val="007255FC"/>
    <w:rsid w:val="00725C36"/>
    <w:rsid w:val="00725CF1"/>
    <w:rsid w:val="007260A4"/>
    <w:rsid w:val="007266B3"/>
    <w:rsid w:val="00726AA4"/>
    <w:rsid w:val="00726F56"/>
    <w:rsid w:val="00727140"/>
    <w:rsid w:val="0072767A"/>
    <w:rsid w:val="007277E1"/>
    <w:rsid w:val="00727E2E"/>
    <w:rsid w:val="0073056A"/>
    <w:rsid w:val="00730A29"/>
    <w:rsid w:val="00730D37"/>
    <w:rsid w:val="007312B0"/>
    <w:rsid w:val="00731567"/>
    <w:rsid w:val="00731BF5"/>
    <w:rsid w:val="00731FE3"/>
    <w:rsid w:val="00732035"/>
    <w:rsid w:val="00732162"/>
    <w:rsid w:val="0073240C"/>
    <w:rsid w:val="007326C2"/>
    <w:rsid w:val="00732791"/>
    <w:rsid w:val="007327D9"/>
    <w:rsid w:val="007327F6"/>
    <w:rsid w:val="00732C7F"/>
    <w:rsid w:val="00734DFA"/>
    <w:rsid w:val="0073507B"/>
    <w:rsid w:val="00735612"/>
    <w:rsid w:val="00735FD8"/>
    <w:rsid w:val="0073610A"/>
    <w:rsid w:val="00736A7D"/>
    <w:rsid w:val="00736AB1"/>
    <w:rsid w:val="00736F89"/>
    <w:rsid w:val="00737036"/>
    <w:rsid w:val="007372E7"/>
    <w:rsid w:val="007374A1"/>
    <w:rsid w:val="00737770"/>
    <w:rsid w:val="00740461"/>
    <w:rsid w:val="00740847"/>
    <w:rsid w:val="00740892"/>
    <w:rsid w:val="00740962"/>
    <w:rsid w:val="0074183B"/>
    <w:rsid w:val="00741BE4"/>
    <w:rsid w:val="00741C69"/>
    <w:rsid w:val="00742256"/>
    <w:rsid w:val="00742C1A"/>
    <w:rsid w:val="00742C94"/>
    <w:rsid w:val="00742E6E"/>
    <w:rsid w:val="00742FB6"/>
    <w:rsid w:val="007433BA"/>
    <w:rsid w:val="00743606"/>
    <w:rsid w:val="00743E61"/>
    <w:rsid w:val="007442DE"/>
    <w:rsid w:val="00744EF9"/>
    <w:rsid w:val="0074549F"/>
    <w:rsid w:val="00745503"/>
    <w:rsid w:val="00745546"/>
    <w:rsid w:val="007459A3"/>
    <w:rsid w:val="00745C25"/>
    <w:rsid w:val="00745C75"/>
    <w:rsid w:val="00746590"/>
    <w:rsid w:val="00746656"/>
    <w:rsid w:val="00746AEC"/>
    <w:rsid w:val="00747C35"/>
    <w:rsid w:val="007508CA"/>
    <w:rsid w:val="00751003"/>
    <w:rsid w:val="0075102E"/>
    <w:rsid w:val="00751327"/>
    <w:rsid w:val="007515C8"/>
    <w:rsid w:val="007517A5"/>
    <w:rsid w:val="00752C85"/>
    <w:rsid w:val="00753031"/>
    <w:rsid w:val="007538FB"/>
    <w:rsid w:val="00753DCD"/>
    <w:rsid w:val="0075553D"/>
    <w:rsid w:val="00755E60"/>
    <w:rsid w:val="007560A7"/>
    <w:rsid w:val="00756A31"/>
    <w:rsid w:val="00756A90"/>
    <w:rsid w:val="00756E8E"/>
    <w:rsid w:val="00756FBA"/>
    <w:rsid w:val="007572A8"/>
    <w:rsid w:val="007574EA"/>
    <w:rsid w:val="00757766"/>
    <w:rsid w:val="00757A30"/>
    <w:rsid w:val="00760219"/>
    <w:rsid w:val="00760395"/>
    <w:rsid w:val="00760971"/>
    <w:rsid w:val="00760EC4"/>
    <w:rsid w:val="00761212"/>
    <w:rsid w:val="0076148C"/>
    <w:rsid w:val="00761E2A"/>
    <w:rsid w:val="00762648"/>
    <w:rsid w:val="0076278C"/>
    <w:rsid w:val="00762A70"/>
    <w:rsid w:val="00762A9A"/>
    <w:rsid w:val="00763A3E"/>
    <w:rsid w:val="007643A1"/>
    <w:rsid w:val="00764474"/>
    <w:rsid w:val="0076466D"/>
    <w:rsid w:val="0076498B"/>
    <w:rsid w:val="007655BA"/>
    <w:rsid w:val="00765871"/>
    <w:rsid w:val="00765FF2"/>
    <w:rsid w:val="0076640F"/>
    <w:rsid w:val="007667E4"/>
    <w:rsid w:val="00766854"/>
    <w:rsid w:val="00766874"/>
    <w:rsid w:val="00766999"/>
    <w:rsid w:val="00766D99"/>
    <w:rsid w:val="00766DD5"/>
    <w:rsid w:val="00766E97"/>
    <w:rsid w:val="00767E49"/>
    <w:rsid w:val="00767E7D"/>
    <w:rsid w:val="0077008D"/>
    <w:rsid w:val="007702D1"/>
    <w:rsid w:val="0077051C"/>
    <w:rsid w:val="00770C8F"/>
    <w:rsid w:val="00771234"/>
    <w:rsid w:val="0077169D"/>
    <w:rsid w:val="007719D8"/>
    <w:rsid w:val="00772420"/>
    <w:rsid w:val="0077267B"/>
    <w:rsid w:val="00772A73"/>
    <w:rsid w:val="00772F45"/>
    <w:rsid w:val="00772F46"/>
    <w:rsid w:val="00772FFB"/>
    <w:rsid w:val="00773521"/>
    <w:rsid w:val="0077363B"/>
    <w:rsid w:val="00773E4E"/>
    <w:rsid w:val="0077405D"/>
    <w:rsid w:val="0077420E"/>
    <w:rsid w:val="00774454"/>
    <w:rsid w:val="007747F4"/>
    <w:rsid w:val="00774906"/>
    <w:rsid w:val="007751C4"/>
    <w:rsid w:val="007752D7"/>
    <w:rsid w:val="007752DB"/>
    <w:rsid w:val="0077544C"/>
    <w:rsid w:val="007755F9"/>
    <w:rsid w:val="00775763"/>
    <w:rsid w:val="0077588B"/>
    <w:rsid w:val="00775F10"/>
    <w:rsid w:val="007763DC"/>
    <w:rsid w:val="00776938"/>
    <w:rsid w:val="00776DE1"/>
    <w:rsid w:val="0077766F"/>
    <w:rsid w:val="00777C2D"/>
    <w:rsid w:val="00780043"/>
    <w:rsid w:val="007802E1"/>
    <w:rsid w:val="007804A6"/>
    <w:rsid w:val="00780B4D"/>
    <w:rsid w:val="00780BFA"/>
    <w:rsid w:val="007811D5"/>
    <w:rsid w:val="007815DD"/>
    <w:rsid w:val="00782610"/>
    <w:rsid w:val="007827E7"/>
    <w:rsid w:val="00782F06"/>
    <w:rsid w:val="007832BB"/>
    <w:rsid w:val="007835B2"/>
    <w:rsid w:val="007838CE"/>
    <w:rsid w:val="00783F20"/>
    <w:rsid w:val="00784AE3"/>
    <w:rsid w:val="0078608D"/>
    <w:rsid w:val="0078627D"/>
    <w:rsid w:val="007875EC"/>
    <w:rsid w:val="00787934"/>
    <w:rsid w:val="007879AC"/>
    <w:rsid w:val="007879FC"/>
    <w:rsid w:val="00787ABE"/>
    <w:rsid w:val="00787F8C"/>
    <w:rsid w:val="00787FA2"/>
    <w:rsid w:val="0079062F"/>
    <w:rsid w:val="00790E75"/>
    <w:rsid w:val="00790F30"/>
    <w:rsid w:val="00791355"/>
    <w:rsid w:val="00791BCF"/>
    <w:rsid w:val="00791FA7"/>
    <w:rsid w:val="00792541"/>
    <w:rsid w:val="00792680"/>
    <w:rsid w:val="0079270F"/>
    <w:rsid w:val="007929EC"/>
    <w:rsid w:val="0079316F"/>
    <w:rsid w:val="0079373E"/>
    <w:rsid w:val="00793804"/>
    <w:rsid w:val="0079380E"/>
    <w:rsid w:val="00793A36"/>
    <w:rsid w:val="00793AB8"/>
    <w:rsid w:val="00793D4A"/>
    <w:rsid w:val="00793E81"/>
    <w:rsid w:val="00794074"/>
    <w:rsid w:val="00794185"/>
    <w:rsid w:val="0079455D"/>
    <w:rsid w:val="00794590"/>
    <w:rsid w:val="007945D9"/>
    <w:rsid w:val="00794797"/>
    <w:rsid w:val="007947DA"/>
    <w:rsid w:val="00794975"/>
    <w:rsid w:val="00794B5A"/>
    <w:rsid w:val="007953F1"/>
    <w:rsid w:val="00795EC7"/>
    <w:rsid w:val="007964E9"/>
    <w:rsid w:val="00796F8B"/>
    <w:rsid w:val="0079782F"/>
    <w:rsid w:val="0079790A"/>
    <w:rsid w:val="007A0877"/>
    <w:rsid w:val="007A0C85"/>
    <w:rsid w:val="007A0ECC"/>
    <w:rsid w:val="007A11F5"/>
    <w:rsid w:val="007A1353"/>
    <w:rsid w:val="007A1C01"/>
    <w:rsid w:val="007A1CAC"/>
    <w:rsid w:val="007A1F5F"/>
    <w:rsid w:val="007A239E"/>
    <w:rsid w:val="007A2545"/>
    <w:rsid w:val="007A2724"/>
    <w:rsid w:val="007A3183"/>
    <w:rsid w:val="007A31A5"/>
    <w:rsid w:val="007A32CC"/>
    <w:rsid w:val="007A385B"/>
    <w:rsid w:val="007A39FA"/>
    <w:rsid w:val="007A3FD0"/>
    <w:rsid w:val="007A4973"/>
    <w:rsid w:val="007A4E01"/>
    <w:rsid w:val="007A5554"/>
    <w:rsid w:val="007A5CBE"/>
    <w:rsid w:val="007A60B3"/>
    <w:rsid w:val="007A6167"/>
    <w:rsid w:val="007A6206"/>
    <w:rsid w:val="007A69AF"/>
    <w:rsid w:val="007A6FB7"/>
    <w:rsid w:val="007A7C46"/>
    <w:rsid w:val="007B0446"/>
    <w:rsid w:val="007B0B6E"/>
    <w:rsid w:val="007B0F28"/>
    <w:rsid w:val="007B178E"/>
    <w:rsid w:val="007B18B1"/>
    <w:rsid w:val="007B30A2"/>
    <w:rsid w:val="007B32D7"/>
    <w:rsid w:val="007B392B"/>
    <w:rsid w:val="007B3A1B"/>
    <w:rsid w:val="007B3A9F"/>
    <w:rsid w:val="007B3D74"/>
    <w:rsid w:val="007B3E7D"/>
    <w:rsid w:val="007B3F26"/>
    <w:rsid w:val="007B4640"/>
    <w:rsid w:val="007B52BC"/>
    <w:rsid w:val="007B5526"/>
    <w:rsid w:val="007B631D"/>
    <w:rsid w:val="007B667B"/>
    <w:rsid w:val="007B6930"/>
    <w:rsid w:val="007B70E6"/>
    <w:rsid w:val="007B7180"/>
    <w:rsid w:val="007B7565"/>
    <w:rsid w:val="007C0584"/>
    <w:rsid w:val="007C093B"/>
    <w:rsid w:val="007C0AE2"/>
    <w:rsid w:val="007C1549"/>
    <w:rsid w:val="007C1750"/>
    <w:rsid w:val="007C186D"/>
    <w:rsid w:val="007C28B0"/>
    <w:rsid w:val="007C2D59"/>
    <w:rsid w:val="007C2E42"/>
    <w:rsid w:val="007C377C"/>
    <w:rsid w:val="007C449F"/>
    <w:rsid w:val="007C4672"/>
    <w:rsid w:val="007C46AE"/>
    <w:rsid w:val="007C473E"/>
    <w:rsid w:val="007C4816"/>
    <w:rsid w:val="007C4AFB"/>
    <w:rsid w:val="007C4DB4"/>
    <w:rsid w:val="007C55F8"/>
    <w:rsid w:val="007C56A3"/>
    <w:rsid w:val="007C5BAD"/>
    <w:rsid w:val="007C68FA"/>
    <w:rsid w:val="007C6A62"/>
    <w:rsid w:val="007C6B70"/>
    <w:rsid w:val="007C6D28"/>
    <w:rsid w:val="007C6E60"/>
    <w:rsid w:val="007C7437"/>
    <w:rsid w:val="007C7A9E"/>
    <w:rsid w:val="007C7EB6"/>
    <w:rsid w:val="007D0313"/>
    <w:rsid w:val="007D0C8D"/>
    <w:rsid w:val="007D0FEB"/>
    <w:rsid w:val="007D1918"/>
    <w:rsid w:val="007D1C62"/>
    <w:rsid w:val="007D244E"/>
    <w:rsid w:val="007D2A15"/>
    <w:rsid w:val="007D2F96"/>
    <w:rsid w:val="007D2FC8"/>
    <w:rsid w:val="007D30EE"/>
    <w:rsid w:val="007D337F"/>
    <w:rsid w:val="007D33F6"/>
    <w:rsid w:val="007D357A"/>
    <w:rsid w:val="007D3836"/>
    <w:rsid w:val="007D3BC2"/>
    <w:rsid w:val="007D3D7A"/>
    <w:rsid w:val="007D4074"/>
    <w:rsid w:val="007D46DD"/>
    <w:rsid w:val="007D47D0"/>
    <w:rsid w:val="007D48F0"/>
    <w:rsid w:val="007D4A50"/>
    <w:rsid w:val="007D4C4D"/>
    <w:rsid w:val="007D4F6D"/>
    <w:rsid w:val="007D50FB"/>
    <w:rsid w:val="007D517A"/>
    <w:rsid w:val="007D5A2F"/>
    <w:rsid w:val="007D6233"/>
    <w:rsid w:val="007D66D2"/>
    <w:rsid w:val="007D6C66"/>
    <w:rsid w:val="007D702E"/>
    <w:rsid w:val="007D7AAB"/>
    <w:rsid w:val="007D7D4D"/>
    <w:rsid w:val="007E01CC"/>
    <w:rsid w:val="007E0A95"/>
    <w:rsid w:val="007E1042"/>
    <w:rsid w:val="007E11CC"/>
    <w:rsid w:val="007E1536"/>
    <w:rsid w:val="007E1915"/>
    <w:rsid w:val="007E1944"/>
    <w:rsid w:val="007E1A21"/>
    <w:rsid w:val="007E25B9"/>
    <w:rsid w:val="007E25C9"/>
    <w:rsid w:val="007E2670"/>
    <w:rsid w:val="007E29AC"/>
    <w:rsid w:val="007E2EDD"/>
    <w:rsid w:val="007E2EF6"/>
    <w:rsid w:val="007E3A12"/>
    <w:rsid w:val="007E3AC7"/>
    <w:rsid w:val="007E3C94"/>
    <w:rsid w:val="007E40EE"/>
    <w:rsid w:val="007E5316"/>
    <w:rsid w:val="007E56CD"/>
    <w:rsid w:val="007E589F"/>
    <w:rsid w:val="007E5BA3"/>
    <w:rsid w:val="007E6554"/>
    <w:rsid w:val="007E6848"/>
    <w:rsid w:val="007E79DF"/>
    <w:rsid w:val="007F04D4"/>
    <w:rsid w:val="007F0650"/>
    <w:rsid w:val="007F07BC"/>
    <w:rsid w:val="007F0BF5"/>
    <w:rsid w:val="007F0C8F"/>
    <w:rsid w:val="007F11A9"/>
    <w:rsid w:val="007F17F3"/>
    <w:rsid w:val="007F1BE8"/>
    <w:rsid w:val="007F2357"/>
    <w:rsid w:val="007F241C"/>
    <w:rsid w:val="007F362A"/>
    <w:rsid w:val="007F3752"/>
    <w:rsid w:val="007F3CB9"/>
    <w:rsid w:val="007F4A9D"/>
    <w:rsid w:val="007F5655"/>
    <w:rsid w:val="007F56C4"/>
    <w:rsid w:val="007F5A26"/>
    <w:rsid w:val="007F5A64"/>
    <w:rsid w:val="007F5E1E"/>
    <w:rsid w:val="007F5FAE"/>
    <w:rsid w:val="007F6045"/>
    <w:rsid w:val="007F6357"/>
    <w:rsid w:val="007F667F"/>
    <w:rsid w:val="007F6B85"/>
    <w:rsid w:val="007F6C7C"/>
    <w:rsid w:val="007F7AED"/>
    <w:rsid w:val="007F7E13"/>
    <w:rsid w:val="00800668"/>
    <w:rsid w:val="00800900"/>
    <w:rsid w:val="00800A18"/>
    <w:rsid w:val="00800A3A"/>
    <w:rsid w:val="00800AB5"/>
    <w:rsid w:val="00800BEA"/>
    <w:rsid w:val="00800F93"/>
    <w:rsid w:val="00801407"/>
    <w:rsid w:val="008017F4"/>
    <w:rsid w:val="008022F8"/>
    <w:rsid w:val="0080314B"/>
    <w:rsid w:val="008031D0"/>
    <w:rsid w:val="008037A3"/>
    <w:rsid w:val="008038BC"/>
    <w:rsid w:val="008039EC"/>
    <w:rsid w:val="00803EBF"/>
    <w:rsid w:val="00804118"/>
    <w:rsid w:val="00804442"/>
    <w:rsid w:val="00804790"/>
    <w:rsid w:val="008049DD"/>
    <w:rsid w:val="00805063"/>
    <w:rsid w:val="008062B7"/>
    <w:rsid w:val="00806A76"/>
    <w:rsid w:val="008074C8"/>
    <w:rsid w:val="008075D2"/>
    <w:rsid w:val="00807801"/>
    <w:rsid w:val="008078DE"/>
    <w:rsid w:val="00807965"/>
    <w:rsid w:val="00807B0C"/>
    <w:rsid w:val="00807BF4"/>
    <w:rsid w:val="00807CC4"/>
    <w:rsid w:val="008101F5"/>
    <w:rsid w:val="00810575"/>
    <w:rsid w:val="00811B0D"/>
    <w:rsid w:val="00812DC7"/>
    <w:rsid w:val="00812F2F"/>
    <w:rsid w:val="00813491"/>
    <w:rsid w:val="00814269"/>
    <w:rsid w:val="00814514"/>
    <w:rsid w:val="0081451F"/>
    <w:rsid w:val="008149D7"/>
    <w:rsid w:val="00814EE2"/>
    <w:rsid w:val="00815A89"/>
    <w:rsid w:val="00815A9B"/>
    <w:rsid w:val="00815CA7"/>
    <w:rsid w:val="008165A1"/>
    <w:rsid w:val="00816C76"/>
    <w:rsid w:val="008173EB"/>
    <w:rsid w:val="008179B2"/>
    <w:rsid w:val="00817A49"/>
    <w:rsid w:val="00817B0E"/>
    <w:rsid w:val="00820528"/>
    <w:rsid w:val="008206CB"/>
    <w:rsid w:val="0082077B"/>
    <w:rsid w:val="008207B7"/>
    <w:rsid w:val="00820BD4"/>
    <w:rsid w:val="0082109D"/>
    <w:rsid w:val="0082110C"/>
    <w:rsid w:val="00821398"/>
    <w:rsid w:val="008215B2"/>
    <w:rsid w:val="008216CA"/>
    <w:rsid w:val="00821FA0"/>
    <w:rsid w:val="00822655"/>
    <w:rsid w:val="00822850"/>
    <w:rsid w:val="0082296A"/>
    <w:rsid w:val="00822EC5"/>
    <w:rsid w:val="00823042"/>
    <w:rsid w:val="0082304B"/>
    <w:rsid w:val="00823274"/>
    <w:rsid w:val="00823C6A"/>
    <w:rsid w:val="00823D18"/>
    <w:rsid w:val="00823D41"/>
    <w:rsid w:val="00824115"/>
    <w:rsid w:val="008241C7"/>
    <w:rsid w:val="0082435C"/>
    <w:rsid w:val="008247AE"/>
    <w:rsid w:val="00824B45"/>
    <w:rsid w:val="00825344"/>
    <w:rsid w:val="008255FA"/>
    <w:rsid w:val="00825963"/>
    <w:rsid w:val="00825E09"/>
    <w:rsid w:val="00826091"/>
    <w:rsid w:val="00826631"/>
    <w:rsid w:val="00826D22"/>
    <w:rsid w:val="00826DDE"/>
    <w:rsid w:val="008270B7"/>
    <w:rsid w:val="00827586"/>
    <w:rsid w:val="008300F3"/>
    <w:rsid w:val="0083078B"/>
    <w:rsid w:val="00830B0D"/>
    <w:rsid w:val="00830D08"/>
    <w:rsid w:val="00830EF8"/>
    <w:rsid w:val="008315D9"/>
    <w:rsid w:val="00832018"/>
    <w:rsid w:val="00832038"/>
    <w:rsid w:val="008320AC"/>
    <w:rsid w:val="0083233B"/>
    <w:rsid w:val="00832A3E"/>
    <w:rsid w:val="00833176"/>
    <w:rsid w:val="00833234"/>
    <w:rsid w:val="008332E1"/>
    <w:rsid w:val="00833872"/>
    <w:rsid w:val="008338A8"/>
    <w:rsid w:val="008342F4"/>
    <w:rsid w:val="00834A6B"/>
    <w:rsid w:val="00834C8E"/>
    <w:rsid w:val="00834CC6"/>
    <w:rsid w:val="00835061"/>
    <w:rsid w:val="00835813"/>
    <w:rsid w:val="00835846"/>
    <w:rsid w:val="008362A9"/>
    <w:rsid w:val="00836A46"/>
    <w:rsid w:val="00836D20"/>
    <w:rsid w:val="00836E96"/>
    <w:rsid w:val="00836F3F"/>
    <w:rsid w:val="00837A88"/>
    <w:rsid w:val="00837F4F"/>
    <w:rsid w:val="00837FE2"/>
    <w:rsid w:val="00840905"/>
    <w:rsid w:val="00840CBB"/>
    <w:rsid w:val="00840DB0"/>
    <w:rsid w:val="00841556"/>
    <w:rsid w:val="00841677"/>
    <w:rsid w:val="0084181A"/>
    <w:rsid w:val="0084193F"/>
    <w:rsid w:val="00841940"/>
    <w:rsid w:val="00841DE7"/>
    <w:rsid w:val="00842097"/>
    <w:rsid w:val="008421B1"/>
    <w:rsid w:val="00842220"/>
    <w:rsid w:val="0084270C"/>
    <w:rsid w:val="0084281A"/>
    <w:rsid w:val="00842F55"/>
    <w:rsid w:val="00842FD7"/>
    <w:rsid w:val="0084322C"/>
    <w:rsid w:val="0084346D"/>
    <w:rsid w:val="00843747"/>
    <w:rsid w:val="008438CA"/>
    <w:rsid w:val="00843AF7"/>
    <w:rsid w:val="008440B5"/>
    <w:rsid w:val="00844119"/>
    <w:rsid w:val="00844355"/>
    <w:rsid w:val="00844597"/>
    <w:rsid w:val="0084472E"/>
    <w:rsid w:val="00844C2A"/>
    <w:rsid w:val="00845DB4"/>
    <w:rsid w:val="00845EB7"/>
    <w:rsid w:val="0084611B"/>
    <w:rsid w:val="0084666A"/>
    <w:rsid w:val="00846842"/>
    <w:rsid w:val="00846E2D"/>
    <w:rsid w:val="00847D4F"/>
    <w:rsid w:val="008500C8"/>
    <w:rsid w:val="0085076F"/>
    <w:rsid w:val="00850C64"/>
    <w:rsid w:val="0085160C"/>
    <w:rsid w:val="00851CF7"/>
    <w:rsid w:val="00851E57"/>
    <w:rsid w:val="008527CD"/>
    <w:rsid w:val="00852907"/>
    <w:rsid w:val="00852945"/>
    <w:rsid w:val="008529CD"/>
    <w:rsid w:val="00852A2B"/>
    <w:rsid w:val="00853FD0"/>
    <w:rsid w:val="00854174"/>
    <w:rsid w:val="008543BC"/>
    <w:rsid w:val="0085449C"/>
    <w:rsid w:val="0085458C"/>
    <w:rsid w:val="00854E32"/>
    <w:rsid w:val="00854F92"/>
    <w:rsid w:val="00855833"/>
    <w:rsid w:val="00855ACF"/>
    <w:rsid w:val="00855B75"/>
    <w:rsid w:val="00855CB8"/>
    <w:rsid w:val="0085631E"/>
    <w:rsid w:val="00857023"/>
    <w:rsid w:val="008571A4"/>
    <w:rsid w:val="008573F4"/>
    <w:rsid w:val="008575C2"/>
    <w:rsid w:val="00857E87"/>
    <w:rsid w:val="00857F19"/>
    <w:rsid w:val="008601D0"/>
    <w:rsid w:val="00861269"/>
    <w:rsid w:val="0086149D"/>
    <w:rsid w:val="00861912"/>
    <w:rsid w:val="00861BAB"/>
    <w:rsid w:val="008630B9"/>
    <w:rsid w:val="008630C2"/>
    <w:rsid w:val="008631DF"/>
    <w:rsid w:val="00863469"/>
    <w:rsid w:val="00863C06"/>
    <w:rsid w:val="00863C3F"/>
    <w:rsid w:val="00864242"/>
    <w:rsid w:val="00864344"/>
    <w:rsid w:val="0086482D"/>
    <w:rsid w:val="0086525E"/>
    <w:rsid w:val="0086564A"/>
    <w:rsid w:val="00865706"/>
    <w:rsid w:val="00866266"/>
    <w:rsid w:val="008662CC"/>
    <w:rsid w:val="0086673A"/>
    <w:rsid w:val="00866DBB"/>
    <w:rsid w:val="00866FCB"/>
    <w:rsid w:val="008672EF"/>
    <w:rsid w:val="008673EA"/>
    <w:rsid w:val="0086758A"/>
    <w:rsid w:val="00867B13"/>
    <w:rsid w:val="008703E1"/>
    <w:rsid w:val="008706B2"/>
    <w:rsid w:val="008706D1"/>
    <w:rsid w:val="008708E9"/>
    <w:rsid w:val="00870B93"/>
    <w:rsid w:val="00870DA3"/>
    <w:rsid w:val="0087105D"/>
    <w:rsid w:val="0087139D"/>
    <w:rsid w:val="008719B1"/>
    <w:rsid w:val="00871B00"/>
    <w:rsid w:val="00871B77"/>
    <w:rsid w:val="0087223A"/>
    <w:rsid w:val="00872278"/>
    <w:rsid w:val="0087250A"/>
    <w:rsid w:val="00872A02"/>
    <w:rsid w:val="00872BDE"/>
    <w:rsid w:val="008734C9"/>
    <w:rsid w:val="0087399C"/>
    <w:rsid w:val="00873A2D"/>
    <w:rsid w:val="008746A3"/>
    <w:rsid w:val="00874DD2"/>
    <w:rsid w:val="00875C68"/>
    <w:rsid w:val="00875DBF"/>
    <w:rsid w:val="00875DFD"/>
    <w:rsid w:val="0087616F"/>
    <w:rsid w:val="0087678F"/>
    <w:rsid w:val="00876830"/>
    <w:rsid w:val="0087690D"/>
    <w:rsid w:val="00876E20"/>
    <w:rsid w:val="00876FB6"/>
    <w:rsid w:val="00877948"/>
    <w:rsid w:val="00877CD8"/>
    <w:rsid w:val="008803D5"/>
    <w:rsid w:val="0088047C"/>
    <w:rsid w:val="0088048F"/>
    <w:rsid w:val="00880662"/>
    <w:rsid w:val="00880700"/>
    <w:rsid w:val="008808F2"/>
    <w:rsid w:val="00880901"/>
    <w:rsid w:val="00880C31"/>
    <w:rsid w:val="00880E00"/>
    <w:rsid w:val="00881565"/>
    <w:rsid w:val="00881B0D"/>
    <w:rsid w:val="00881F00"/>
    <w:rsid w:val="008827BE"/>
    <w:rsid w:val="00882BD4"/>
    <w:rsid w:val="008830DC"/>
    <w:rsid w:val="008834E0"/>
    <w:rsid w:val="00883556"/>
    <w:rsid w:val="00883645"/>
    <w:rsid w:val="0088396E"/>
    <w:rsid w:val="00883B59"/>
    <w:rsid w:val="00883C3E"/>
    <w:rsid w:val="008843C4"/>
    <w:rsid w:val="00884498"/>
    <w:rsid w:val="008845AA"/>
    <w:rsid w:val="008857A4"/>
    <w:rsid w:val="00885BFC"/>
    <w:rsid w:val="008862A6"/>
    <w:rsid w:val="00886DDC"/>
    <w:rsid w:val="00886E16"/>
    <w:rsid w:val="008872C2"/>
    <w:rsid w:val="0088751E"/>
    <w:rsid w:val="008905F6"/>
    <w:rsid w:val="008908BC"/>
    <w:rsid w:val="008909BA"/>
    <w:rsid w:val="00890B9B"/>
    <w:rsid w:val="008913E1"/>
    <w:rsid w:val="008913FB"/>
    <w:rsid w:val="00891401"/>
    <w:rsid w:val="00891555"/>
    <w:rsid w:val="0089163E"/>
    <w:rsid w:val="008919DF"/>
    <w:rsid w:val="00892A81"/>
    <w:rsid w:val="00892BAE"/>
    <w:rsid w:val="00892C40"/>
    <w:rsid w:val="008930C2"/>
    <w:rsid w:val="008932F3"/>
    <w:rsid w:val="00893454"/>
    <w:rsid w:val="00893B96"/>
    <w:rsid w:val="00894152"/>
    <w:rsid w:val="00894226"/>
    <w:rsid w:val="008943F8"/>
    <w:rsid w:val="008943FF"/>
    <w:rsid w:val="0089456E"/>
    <w:rsid w:val="00894850"/>
    <w:rsid w:val="00894F37"/>
    <w:rsid w:val="00895040"/>
    <w:rsid w:val="008953E1"/>
    <w:rsid w:val="00895537"/>
    <w:rsid w:val="00895833"/>
    <w:rsid w:val="00896256"/>
    <w:rsid w:val="008963D8"/>
    <w:rsid w:val="008964B1"/>
    <w:rsid w:val="008965BB"/>
    <w:rsid w:val="008966E1"/>
    <w:rsid w:val="0089780C"/>
    <w:rsid w:val="00897B0D"/>
    <w:rsid w:val="00897BD1"/>
    <w:rsid w:val="00897ED5"/>
    <w:rsid w:val="008A03FB"/>
    <w:rsid w:val="008A05B3"/>
    <w:rsid w:val="008A061E"/>
    <w:rsid w:val="008A069C"/>
    <w:rsid w:val="008A07BB"/>
    <w:rsid w:val="008A0903"/>
    <w:rsid w:val="008A0938"/>
    <w:rsid w:val="008A0A2A"/>
    <w:rsid w:val="008A0EE6"/>
    <w:rsid w:val="008A108E"/>
    <w:rsid w:val="008A1159"/>
    <w:rsid w:val="008A1BC2"/>
    <w:rsid w:val="008A205F"/>
    <w:rsid w:val="008A2232"/>
    <w:rsid w:val="008A24F8"/>
    <w:rsid w:val="008A2D47"/>
    <w:rsid w:val="008A307D"/>
    <w:rsid w:val="008A3101"/>
    <w:rsid w:val="008A3261"/>
    <w:rsid w:val="008A329E"/>
    <w:rsid w:val="008A36E2"/>
    <w:rsid w:val="008A383C"/>
    <w:rsid w:val="008A38A6"/>
    <w:rsid w:val="008A3DE3"/>
    <w:rsid w:val="008A402B"/>
    <w:rsid w:val="008A4313"/>
    <w:rsid w:val="008A4E86"/>
    <w:rsid w:val="008A5DC2"/>
    <w:rsid w:val="008A615E"/>
    <w:rsid w:val="008A625D"/>
    <w:rsid w:val="008A626C"/>
    <w:rsid w:val="008A6BB2"/>
    <w:rsid w:val="008A6C97"/>
    <w:rsid w:val="008A6DC0"/>
    <w:rsid w:val="008A7420"/>
    <w:rsid w:val="008A75EF"/>
    <w:rsid w:val="008A7648"/>
    <w:rsid w:val="008B0240"/>
    <w:rsid w:val="008B0305"/>
    <w:rsid w:val="008B073E"/>
    <w:rsid w:val="008B0BA4"/>
    <w:rsid w:val="008B123C"/>
    <w:rsid w:val="008B140A"/>
    <w:rsid w:val="008B181A"/>
    <w:rsid w:val="008B1B20"/>
    <w:rsid w:val="008B1D7E"/>
    <w:rsid w:val="008B1FDF"/>
    <w:rsid w:val="008B2253"/>
    <w:rsid w:val="008B28C0"/>
    <w:rsid w:val="008B3051"/>
    <w:rsid w:val="008B34F6"/>
    <w:rsid w:val="008B3E89"/>
    <w:rsid w:val="008B4197"/>
    <w:rsid w:val="008B455E"/>
    <w:rsid w:val="008B60AB"/>
    <w:rsid w:val="008B629F"/>
    <w:rsid w:val="008B65F4"/>
    <w:rsid w:val="008B678F"/>
    <w:rsid w:val="008B6C7C"/>
    <w:rsid w:val="008B6E1D"/>
    <w:rsid w:val="008B6F3B"/>
    <w:rsid w:val="008B7005"/>
    <w:rsid w:val="008B70B3"/>
    <w:rsid w:val="008B717B"/>
    <w:rsid w:val="008B7343"/>
    <w:rsid w:val="008B78E4"/>
    <w:rsid w:val="008C0011"/>
    <w:rsid w:val="008C00FB"/>
    <w:rsid w:val="008C04B2"/>
    <w:rsid w:val="008C065C"/>
    <w:rsid w:val="008C06C9"/>
    <w:rsid w:val="008C0720"/>
    <w:rsid w:val="008C0A7E"/>
    <w:rsid w:val="008C0C09"/>
    <w:rsid w:val="008C165E"/>
    <w:rsid w:val="008C18D4"/>
    <w:rsid w:val="008C1DA4"/>
    <w:rsid w:val="008C20A7"/>
    <w:rsid w:val="008C2468"/>
    <w:rsid w:val="008C277C"/>
    <w:rsid w:val="008C2A66"/>
    <w:rsid w:val="008C3342"/>
    <w:rsid w:val="008C337A"/>
    <w:rsid w:val="008C3394"/>
    <w:rsid w:val="008C3E3B"/>
    <w:rsid w:val="008C4046"/>
    <w:rsid w:val="008C4369"/>
    <w:rsid w:val="008C4426"/>
    <w:rsid w:val="008C4E2B"/>
    <w:rsid w:val="008C5293"/>
    <w:rsid w:val="008C539F"/>
    <w:rsid w:val="008C5507"/>
    <w:rsid w:val="008C5B67"/>
    <w:rsid w:val="008C5E22"/>
    <w:rsid w:val="008C5FFC"/>
    <w:rsid w:val="008C628F"/>
    <w:rsid w:val="008C64BA"/>
    <w:rsid w:val="008C6542"/>
    <w:rsid w:val="008C684D"/>
    <w:rsid w:val="008C6BCE"/>
    <w:rsid w:val="008C6EA2"/>
    <w:rsid w:val="008C70A6"/>
    <w:rsid w:val="008C748E"/>
    <w:rsid w:val="008C765A"/>
    <w:rsid w:val="008C79E2"/>
    <w:rsid w:val="008C7D09"/>
    <w:rsid w:val="008D01A5"/>
    <w:rsid w:val="008D0461"/>
    <w:rsid w:val="008D07D7"/>
    <w:rsid w:val="008D091A"/>
    <w:rsid w:val="008D0D66"/>
    <w:rsid w:val="008D1564"/>
    <w:rsid w:val="008D18E5"/>
    <w:rsid w:val="008D1AFA"/>
    <w:rsid w:val="008D2032"/>
    <w:rsid w:val="008D2182"/>
    <w:rsid w:val="008D23CB"/>
    <w:rsid w:val="008D2610"/>
    <w:rsid w:val="008D29FB"/>
    <w:rsid w:val="008D3EAB"/>
    <w:rsid w:val="008D41C5"/>
    <w:rsid w:val="008D4215"/>
    <w:rsid w:val="008D434B"/>
    <w:rsid w:val="008D45A6"/>
    <w:rsid w:val="008D4604"/>
    <w:rsid w:val="008D4828"/>
    <w:rsid w:val="008D4FEB"/>
    <w:rsid w:val="008D51A2"/>
    <w:rsid w:val="008D5319"/>
    <w:rsid w:val="008D5417"/>
    <w:rsid w:val="008D571A"/>
    <w:rsid w:val="008D5963"/>
    <w:rsid w:val="008D5B27"/>
    <w:rsid w:val="008D5D54"/>
    <w:rsid w:val="008D5D5B"/>
    <w:rsid w:val="008D62B8"/>
    <w:rsid w:val="008D643A"/>
    <w:rsid w:val="008D6734"/>
    <w:rsid w:val="008D67D4"/>
    <w:rsid w:val="008D7F3A"/>
    <w:rsid w:val="008E011F"/>
    <w:rsid w:val="008E0806"/>
    <w:rsid w:val="008E0A00"/>
    <w:rsid w:val="008E0E00"/>
    <w:rsid w:val="008E16A5"/>
    <w:rsid w:val="008E1946"/>
    <w:rsid w:val="008E1A4A"/>
    <w:rsid w:val="008E2087"/>
    <w:rsid w:val="008E20D9"/>
    <w:rsid w:val="008E2565"/>
    <w:rsid w:val="008E2629"/>
    <w:rsid w:val="008E2942"/>
    <w:rsid w:val="008E2D2A"/>
    <w:rsid w:val="008E2D9E"/>
    <w:rsid w:val="008E2FEE"/>
    <w:rsid w:val="008E2FFA"/>
    <w:rsid w:val="008E3077"/>
    <w:rsid w:val="008E3776"/>
    <w:rsid w:val="008E3B6E"/>
    <w:rsid w:val="008E3BED"/>
    <w:rsid w:val="008E414B"/>
    <w:rsid w:val="008E4484"/>
    <w:rsid w:val="008E467E"/>
    <w:rsid w:val="008E4A5F"/>
    <w:rsid w:val="008E4BEE"/>
    <w:rsid w:val="008E5C15"/>
    <w:rsid w:val="008E6046"/>
    <w:rsid w:val="008E7B25"/>
    <w:rsid w:val="008E7CD0"/>
    <w:rsid w:val="008F002A"/>
    <w:rsid w:val="008F0800"/>
    <w:rsid w:val="008F0C5F"/>
    <w:rsid w:val="008F0F5A"/>
    <w:rsid w:val="008F13AC"/>
    <w:rsid w:val="008F1843"/>
    <w:rsid w:val="008F18D7"/>
    <w:rsid w:val="008F1ACE"/>
    <w:rsid w:val="008F212E"/>
    <w:rsid w:val="008F258A"/>
    <w:rsid w:val="008F2984"/>
    <w:rsid w:val="008F2AF8"/>
    <w:rsid w:val="008F2BF4"/>
    <w:rsid w:val="008F2F19"/>
    <w:rsid w:val="008F3E2E"/>
    <w:rsid w:val="008F3E57"/>
    <w:rsid w:val="008F3EFA"/>
    <w:rsid w:val="008F45AC"/>
    <w:rsid w:val="008F53CC"/>
    <w:rsid w:val="008F55B4"/>
    <w:rsid w:val="008F568E"/>
    <w:rsid w:val="008F5704"/>
    <w:rsid w:val="008F5987"/>
    <w:rsid w:val="008F5EA2"/>
    <w:rsid w:val="008F6D66"/>
    <w:rsid w:val="008F6EB5"/>
    <w:rsid w:val="008F6FF4"/>
    <w:rsid w:val="008F7608"/>
    <w:rsid w:val="008F77E6"/>
    <w:rsid w:val="009002F8"/>
    <w:rsid w:val="00900924"/>
    <w:rsid w:val="009009A7"/>
    <w:rsid w:val="00901904"/>
    <w:rsid w:val="009019ED"/>
    <w:rsid w:val="00901E2D"/>
    <w:rsid w:val="009020FC"/>
    <w:rsid w:val="00902280"/>
    <w:rsid w:val="00902477"/>
    <w:rsid w:val="00902ADC"/>
    <w:rsid w:val="00902B6C"/>
    <w:rsid w:val="00902D62"/>
    <w:rsid w:val="00902E16"/>
    <w:rsid w:val="00903454"/>
    <w:rsid w:val="00903900"/>
    <w:rsid w:val="00903C0A"/>
    <w:rsid w:val="00903F4F"/>
    <w:rsid w:val="0090407C"/>
    <w:rsid w:val="009043E5"/>
    <w:rsid w:val="00904593"/>
    <w:rsid w:val="00904B06"/>
    <w:rsid w:val="009051AF"/>
    <w:rsid w:val="00905744"/>
    <w:rsid w:val="009058DE"/>
    <w:rsid w:val="0090613B"/>
    <w:rsid w:val="0090628E"/>
    <w:rsid w:val="0090638C"/>
    <w:rsid w:val="00906E77"/>
    <w:rsid w:val="00907560"/>
    <w:rsid w:val="00907828"/>
    <w:rsid w:val="00907B93"/>
    <w:rsid w:val="00907C12"/>
    <w:rsid w:val="00907C2F"/>
    <w:rsid w:val="00907CCF"/>
    <w:rsid w:val="00907E55"/>
    <w:rsid w:val="0091044C"/>
    <w:rsid w:val="00910A7A"/>
    <w:rsid w:val="00910CB6"/>
    <w:rsid w:val="00910DBE"/>
    <w:rsid w:val="009110DB"/>
    <w:rsid w:val="0091183B"/>
    <w:rsid w:val="009119D3"/>
    <w:rsid w:val="00911A48"/>
    <w:rsid w:val="00911AD3"/>
    <w:rsid w:val="00911D91"/>
    <w:rsid w:val="0091227F"/>
    <w:rsid w:val="00912773"/>
    <w:rsid w:val="009134B4"/>
    <w:rsid w:val="009134FA"/>
    <w:rsid w:val="00913622"/>
    <w:rsid w:val="00913BD9"/>
    <w:rsid w:val="00914383"/>
    <w:rsid w:val="00914797"/>
    <w:rsid w:val="00914847"/>
    <w:rsid w:val="00915233"/>
    <w:rsid w:val="009157B1"/>
    <w:rsid w:val="0091593B"/>
    <w:rsid w:val="009161C5"/>
    <w:rsid w:val="00916554"/>
    <w:rsid w:val="00916D5C"/>
    <w:rsid w:val="009172DD"/>
    <w:rsid w:val="009173B3"/>
    <w:rsid w:val="0091741A"/>
    <w:rsid w:val="00920186"/>
    <w:rsid w:val="00920194"/>
    <w:rsid w:val="0092021F"/>
    <w:rsid w:val="009203A7"/>
    <w:rsid w:val="009204BE"/>
    <w:rsid w:val="00920D69"/>
    <w:rsid w:val="0092148A"/>
    <w:rsid w:val="00921B5C"/>
    <w:rsid w:val="00922107"/>
    <w:rsid w:val="00922F2A"/>
    <w:rsid w:val="00922FF0"/>
    <w:rsid w:val="00923620"/>
    <w:rsid w:val="00924403"/>
    <w:rsid w:val="00924543"/>
    <w:rsid w:val="0092495A"/>
    <w:rsid w:val="00924ECB"/>
    <w:rsid w:val="00925113"/>
    <w:rsid w:val="0092542D"/>
    <w:rsid w:val="0092558A"/>
    <w:rsid w:val="00925894"/>
    <w:rsid w:val="00925B46"/>
    <w:rsid w:val="00925CB9"/>
    <w:rsid w:val="00925EBD"/>
    <w:rsid w:val="00926674"/>
    <w:rsid w:val="00926A75"/>
    <w:rsid w:val="00926AC2"/>
    <w:rsid w:val="00926DA6"/>
    <w:rsid w:val="009273E3"/>
    <w:rsid w:val="00927AC3"/>
    <w:rsid w:val="00927CDC"/>
    <w:rsid w:val="00927F52"/>
    <w:rsid w:val="00930400"/>
    <w:rsid w:val="009304B1"/>
    <w:rsid w:val="00930AA4"/>
    <w:rsid w:val="009313BC"/>
    <w:rsid w:val="00931813"/>
    <w:rsid w:val="00931A66"/>
    <w:rsid w:val="00931B96"/>
    <w:rsid w:val="00932176"/>
    <w:rsid w:val="00932A7A"/>
    <w:rsid w:val="00932BB5"/>
    <w:rsid w:val="00933190"/>
    <w:rsid w:val="0093323E"/>
    <w:rsid w:val="0093418B"/>
    <w:rsid w:val="009346CB"/>
    <w:rsid w:val="009346D5"/>
    <w:rsid w:val="00934751"/>
    <w:rsid w:val="00934C90"/>
    <w:rsid w:val="00934E7A"/>
    <w:rsid w:val="00934FBB"/>
    <w:rsid w:val="00935270"/>
    <w:rsid w:val="00935D32"/>
    <w:rsid w:val="009360E7"/>
    <w:rsid w:val="00936177"/>
    <w:rsid w:val="0093624D"/>
    <w:rsid w:val="00936501"/>
    <w:rsid w:val="00936DB5"/>
    <w:rsid w:val="00937A19"/>
    <w:rsid w:val="00937F8C"/>
    <w:rsid w:val="0094004D"/>
    <w:rsid w:val="00940153"/>
    <w:rsid w:val="009403F5"/>
    <w:rsid w:val="0094092E"/>
    <w:rsid w:val="00940CDD"/>
    <w:rsid w:val="00940DEE"/>
    <w:rsid w:val="0094136C"/>
    <w:rsid w:val="00941B5E"/>
    <w:rsid w:val="00941C4A"/>
    <w:rsid w:val="00941EDE"/>
    <w:rsid w:val="00942232"/>
    <w:rsid w:val="009425BE"/>
    <w:rsid w:val="00942651"/>
    <w:rsid w:val="00942AE5"/>
    <w:rsid w:val="00942B23"/>
    <w:rsid w:val="00942C81"/>
    <w:rsid w:val="00942EAF"/>
    <w:rsid w:val="0094313E"/>
    <w:rsid w:val="009433E4"/>
    <w:rsid w:val="00944506"/>
    <w:rsid w:val="009447B8"/>
    <w:rsid w:val="0094520B"/>
    <w:rsid w:val="00945C41"/>
    <w:rsid w:val="00945E9E"/>
    <w:rsid w:val="00946082"/>
    <w:rsid w:val="00946739"/>
    <w:rsid w:val="00946A97"/>
    <w:rsid w:val="00946FD1"/>
    <w:rsid w:val="00947E57"/>
    <w:rsid w:val="00947F1B"/>
    <w:rsid w:val="009503DD"/>
    <w:rsid w:val="0095044C"/>
    <w:rsid w:val="009505AC"/>
    <w:rsid w:val="0095093B"/>
    <w:rsid w:val="00950B8E"/>
    <w:rsid w:val="00950FF8"/>
    <w:rsid w:val="00951347"/>
    <w:rsid w:val="0095139A"/>
    <w:rsid w:val="00951453"/>
    <w:rsid w:val="009516C6"/>
    <w:rsid w:val="009519B9"/>
    <w:rsid w:val="009524B0"/>
    <w:rsid w:val="009529BC"/>
    <w:rsid w:val="00952C74"/>
    <w:rsid w:val="00952E30"/>
    <w:rsid w:val="00953A7D"/>
    <w:rsid w:val="00953D3B"/>
    <w:rsid w:val="009541F1"/>
    <w:rsid w:val="0095429A"/>
    <w:rsid w:val="009544A3"/>
    <w:rsid w:val="00954619"/>
    <w:rsid w:val="00954654"/>
    <w:rsid w:val="00954DCD"/>
    <w:rsid w:val="00955339"/>
    <w:rsid w:val="00955633"/>
    <w:rsid w:val="0095563A"/>
    <w:rsid w:val="00955B13"/>
    <w:rsid w:val="00955B65"/>
    <w:rsid w:val="00956083"/>
    <w:rsid w:val="009563EE"/>
    <w:rsid w:val="009566FB"/>
    <w:rsid w:val="00956724"/>
    <w:rsid w:val="009571E3"/>
    <w:rsid w:val="00957824"/>
    <w:rsid w:val="00957C67"/>
    <w:rsid w:val="00957D60"/>
    <w:rsid w:val="00957DE2"/>
    <w:rsid w:val="00957F9E"/>
    <w:rsid w:val="00961770"/>
    <w:rsid w:val="009627B1"/>
    <w:rsid w:val="0096292A"/>
    <w:rsid w:val="00962F9C"/>
    <w:rsid w:val="00963207"/>
    <w:rsid w:val="009632D6"/>
    <w:rsid w:val="00963F61"/>
    <w:rsid w:val="009640E1"/>
    <w:rsid w:val="009641A6"/>
    <w:rsid w:val="00964606"/>
    <w:rsid w:val="00964A5A"/>
    <w:rsid w:val="00964B99"/>
    <w:rsid w:val="00964C10"/>
    <w:rsid w:val="00964CA6"/>
    <w:rsid w:val="009650FE"/>
    <w:rsid w:val="00965159"/>
    <w:rsid w:val="0096519E"/>
    <w:rsid w:val="00965723"/>
    <w:rsid w:val="00965C23"/>
    <w:rsid w:val="00965C75"/>
    <w:rsid w:val="00965D55"/>
    <w:rsid w:val="00965E2F"/>
    <w:rsid w:val="00965E60"/>
    <w:rsid w:val="00966109"/>
    <w:rsid w:val="00966602"/>
    <w:rsid w:val="0096751D"/>
    <w:rsid w:val="009677FD"/>
    <w:rsid w:val="009678A8"/>
    <w:rsid w:val="00967A9B"/>
    <w:rsid w:val="00970110"/>
    <w:rsid w:val="00970487"/>
    <w:rsid w:val="009715CA"/>
    <w:rsid w:val="00971F9C"/>
    <w:rsid w:val="00972373"/>
    <w:rsid w:val="009734B6"/>
    <w:rsid w:val="00973A5B"/>
    <w:rsid w:val="00973C24"/>
    <w:rsid w:val="00974492"/>
    <w:rsid w:val="0097465B"/>
    <w:rsid w:val="00974C4F"/>
    <w:rsid w:val="00974DB5"/>
    <w:rsid w:val="00975365"/>
    <w:rsid w:val="00975429"/>
    <w:rsid w:val="00975E5C"/>
    <w:rsid w:val="00975F9B"/>
    <w:rsid w:val="0097605B"/>
    <w:rsid w:val="00976977"/>
    <w:rsid w:val="00976A50"/>
    <w:rsid w:val="00976C8A"/>
    <w:rsid w:val="00977495"/>
    <w:rsid w:val="00977519"/>
    <w:rsid w:val="00977A9B"/>
    <w:rsid w:val="009805B8"/>
    <w:rsid w:val="00980CFD"/>
    <w:rsid w:val="00981030"/>
    <w:rsid w:val="00981115"/>
    <w:rsid w:val="0098123C"/>
    <w:rsid w:val="009813CF"/>
    <w:rsid w:val="00981433"/>
    <w:rsid w:val="0098171A"/>
    <w:rsid w:val="009817A0"/>
    <w:rsid w:val="009822B6"/>
    <w:rsid w:val="00982477"/>
    <w:rsid w:val="0098265B"/>
    <w:rsid w:val="0098268A"/>
    <w:rsid w:val="00982A15"/>
    <w:rsid w:val="0098336F"/>
    <w:rsid w:val="009835DA"/>
    <w:rsid w:val="00983A31"/>
    <w:rsid w:val="00983A70"/>
    <w:rsid w:val="00984259"/>
    <w:rsid w:val="00985717"/>
    <w:rsid w:val="00985C2B"/>
    <w:rsid w:val="00985D1C"/>
    <w:rsid w:val="009860B7"/>
    <w:rsid w:val="009867A9"/>
    <w:rsid w:val="009871EB"/>
    <w:rsid w:val="009872C5"/>
    <w:rsid w:val="00987AD4"/>
    <w:rsid w:val="00987C08"/>
    <w:rsid w:val="00987F8E"/>
    <w:rsid w:val="0099025A"/>
    <w:rsid w:val="00990298"/>
    <w:rsid w:val="009902CF"/>
    <w:rsid w:val="009904F1"/>
    <w:rsid w:val="00990AA8"/>
    <w:rsid w:val="00990F71"/>
    <w:rsid w:val="0099116B"/>
    <w:rsid w:val="009915C8"/>
    <w:rsid w:val="0099191C"/>
    <w:rsid w:val="0099194F"/>
    <w:rsid w:val="00991AF0"/>
    <w:rsid w:val="00991F03"/>
    <w:rsid w:val="00991F7F"/>
    <w:rsid w:val="00992B12"/>
    <w:rsid w:val="00993686"/>
    <w:rsid w:val="00993B5F"/>
    <w:rsid w:val="00994467"/>
    <w:rsid w:val="009945AF"/>
    <w:rsid w:val="0099476A"/>
    <w:rsid w:val="009947AF"/>
    <w:rsid w:val="00995034"/>
    <w:rsid w:val="00995066"/>
    <w:rsid w:val="009964C8"/>
    <w:rsid w:val="00997872"/>
    <w:rsid w:val="0099792C"/>
    <w:rsid w:val="00997B1D"/>
    <w:rsid w:val="009A022F"/>
    <w:rsid w:val="009A0C54"/>
    <w:rsid w:val="009A0DD5"/>
    <w:rsid w:val="009A0F50"/>
    <w:rsid w:val="009A2622"/>
    <w:rsid w:val="009A283B"/>
    <w:rsid w:val="009A2D04"/>
    <w:rsid w:val="009A2DB1"/>
    <w:rsid w:val="009A313D"/>
    <w:rsid w:val="009A332B"/>
    <w:rsid w:val="009A3330"/>
    <w:rsid w:val="009A36CB"/>
    <w:rsid w:val="009A391B"/>
    <w:rsid w:val="009A4536"/>
    <w:rsid w:val="009A4721"/>
    <w:rsid w:val="009A4EB7"/>
    <w:rsid w:val="009A50DA"/>
    <w:rsid w:val="009A598B"/>
    <w:rsid w:val="009A5F6F"/>
    <w:rsid w:val="009A63D7"/>
    <w:rsid w:val="009A644B"/>
    <w:rsid w:val="009A6501"/>
    <w:rsid w:val="009A6821"/>
    <w:rsid w:val="009A6D48"/>
    <w:rsid w:val="009A7259"/>
    <w:rsid w:val="009A73C2"/>
    <w:rsid w:val="009A760C"/>
    <w:rsid w:val="009A773F"/>
    <w:rsid w:val="009A7ADB"/>
    <w:rsid w:val="009A7C59"/>
    <w:rsid w:val="009B02DA"/>
    <w:rsid w:val="009B1066"/>
    <w:rsid w:val="009B1132"/>
    <w:rsid w:val="009B1D66"/>
    <w:rsid w:val="009B2473"/>
    <w:rsid w:val="009B2769"/>
    <w:rsid w:val="009B27FE"/>
    <w:rsid w:val="009B285C"/>
    <w:rsid w:val="009B2B68"/>
    <w:rsid w:val="009B3362"/>
    <w:rsid w:val="009B3565"/>
    <w:rsid w:val="009B3B0A"/>
    <w:rsid w:val="009B3DFD"/>
    <w:rsid w:val="009B3F3D"/>
    <w:rsid w:val="009B42B0"/>
    <w:rsid w:val="009B438A"/>
    <w:rsid w:val="009B46CA"/>
    <w:rsid w:val="009B481C"/>
    <w:rsid w:val="009B4BDD"/>
    <w:rsid w:val="009B50BD"/>
    <w:rsid w:val="009B5279"/>
    <w:rsid w:val="009B5606"/>
    <w:rsid w:val="009B5AD2"/>
    <w:rsid w:val="009B5F8A"/>
    <w:rsid w:val="009B6024"/>
    <w:rsid w:val="009B6702"/>
    <w:rsid w:val="009B67F3"/>
    <w:rsid w:val="009B6B2C"/>
    <w:rsid w:val="009B6BE3"/>
    <w:rsid w:val="009B6DE4"/>
    <w:rsid w:val="009B78A9"/>
    <w:rsid w:val="009B7DC4"/>
    <w:rsid w:val="009B7E37"/>
    <w:rsid w:val="009C03D5"/>
    <w:rsid w:val="009C0A99"/>
    <w:rsid w:val="009C0F95"/>
    <w:rsid w:val="009C194D"/>
    <w:rsid w:val="009C1A73"/>
    <w:rsid w:val="009C1AD5"/>
    <w:rsid w:val="009C3238"/>
    <w:rsid w:val="009C3AC1"/>
    <w:rsid w:val="009C43D0"/>
    <w:rsid w:val="009C48D3"/>
    <w:rsid w:val="009C5004"/>
    <w:rsid w:val="009C5017"/>
    <w:rsid w:val="009C56B3"/>
    <w:rsid w:val="009C57CC"/>
    <w:rsid w:val="009C5AD2"/>
    <w:rsid w:val="009C5C67"/>
    <w:rsid w:val="009C5CDF"/>
    <w:rsid w:val="009C5F77"/>
    <w:rsid w:val="009C65A6"/>
    <w:rsid w:val="009C6843"/>
    <w:rsid w:val="009C6965"/>
    <w:rsid w:val="009C6DF6"/>
    <w:rsid w:val="009C7D63"/>
    <w:rsid w:val="009D01DE"/>
    <w:rsid w:val="009D0836"/>
    <w:rsid w:val="009D0AC7"/>
    <w:rsid w:val="009D13E6"/>
    <w:rsid w:val="009D141E"/>
    <w:rsid w:val="009D1590"/>
    <w:rsid w:val="009D188D"/>
    <w:rsid w:val="009D1FCF"/>
    <w:rsid w:val="009D222B"/>
    <w:rsid w:val="009D2271"/>
    <w:rsid w:val="009D2539"/>
    <w:rsid w:val="009D26FF"/>
    <w:rsid w:val="009D2813"/>
    <w:rsid w:val="009D2EF1"/>
    <w:rsid w:val="009D321B"/>
    <w:rsid w:val="009D3E40"/>
    <w:rsid w:val="009D3E63"/>
    <w:rsid w:val="009D4023"/>
    <w:rsid w:val="009D45CD"/>
    <w:rsid w:val="009D4C39"/>
    <w:rsid w:val="009D4DDA"/>
    <w:rsid w:val="009D525B"/>
    <w:rsid w:val="009D5288"/>
    <w:rsid w:val="009D5563"/>
    <w:rsid w:val="009D5C37"/>
    <w:rsid w:val="009D6737"/>
    <w:rsid w:val="009D6872"/>
    <w:rsid w:val="009D76C1"/>
    <w:rsid w:val="009D78CC"/>
    <w:rsid w:val="009D7B9D"/>
    <w:rsid w:val="009D7C23"/>
    <w:rsid w:val="009D7CA2"/>
    <w:rsid w:val="009E0A44"/>
    <w:rsid w:val="009E0B06"/>
    <w:rsid w:val="009E128E"/>
    <w:rsid w:val="009E1806"/>
    <w:rsid w:val="009E1948"/>
    <w:rsid w:val="009E2007"/>
    <w:rsid w:val="009E2D2D"/>
    <w:rsid w:val="009E2EFF"/>
    <w:rsid w:val="009E308A"/>
    <w:rsid w:val="009E3387"/>
    <w:rsid w:val="009E3483"/>
    <w:rsid w:val="009E374E"/>
    <w:rsid w:val="009E383B"/>
    <w:rsid w:val="009E489F"/>
    <w:rsid w:val="009E49BE"/>
    <w:rsid w:val="009E4A50"/>
    <w:rsid w:val="009E4AAD"/>
    <w:rsid w:val="009E4B8D"/>
    <w:rsid w:val="009E53DA"/>
    <w:rsid w:val="009E5DA1"/>
    <w:rsid w:val="009E5EA3"/>
    <w:rsid w:val="009E65AA"/>
    <w:rsid w:val="009E6633"/>
    <w:rsid w:val="009E6653"/>
    <w:rsid w:val="009E67DA"/>
    <w:rsid w:val="009E69E2"/>
    <w:rsid w:val="009E71AC"/>
    <w:rsid w:val="009E72A7"/>
    <w:rsid w:val="009E7702"/>
    <w:rsid w:val="009E789F"/>
    <w:rsid w:val="009E79C0"/>
    <w:rsid w:val="009F04B8"/>
    <w:rsid w:val="009F082D"/>
    <w:rsid w:val="009F0D06"/>
    <w:rsid w:val="009F188B"/>
    <w:rsid w:val="009F1BB4"/>
    <w:rsid w:val="009F2584"/>
    <w:rsid w:val="009F2796"/>
    <w:rsid w:val="009F2ABB"/>
    <w:rsid w:val="009F2BBD"/>
    <w:rsid w:val="009F2BFD"/>
    <w:rsid w:val="009F2DCF"/>
    <w:rsid w:val="009F2F75"/>
    <w:rsid w:val="009F3C44"/>
    <w:rsid w:val="009F47B1"/>
    <w:rsid w:val="009F4860"/>
    <w:rsid w:val="009F4969"/>
    <w:rsid w:val="009F50C0"/>
    <w:rsid w:val="009F5111"/>
    <w:rsid w:val="009F540E"/>
    <w:rsid w:val="009F5730"/>
    <w:rsid w:val="009F5B25"/>
    <w:rsid w:val="009F5B2D"/>
    <w:rsid w:val="009F5B32"/>
    <w:rsid w:val="009F5E7C"/>
    <w:rsid w:val="009F6308"/>
    <w:rsid w:val="009F6A1C"/>
    <w:rsid w:val="009F730E"/>
    <w:rsid w:val="00A001DE"/>
    <w:rsid w:val="00A00B33"/>
    <w:rsid w:val="00A00F08"/>
    <w:rsid w:val="00A0142E"/>
    <w:rsid w:val="00A01545"/>
    <w:rsid w:val="00A0174E"/>
    <w:rsid w:val="00A01859"/>
    <w:rsid w:val="00A0193C"/>
    <w:rsid w:val="00A01981"/>
    <w:rsid w:val="00A01E89"/>
    <w:rsid w:val="00A0217F"/>
    <w:rsid w:val="00A02323"/>
    <w:rsid w:val="00A0242A"/>
    <w:rsid w:val="00A02CE8"/>
    <w:rsid w:val="00A03215"/>
    <w:rsid w:val="00A03C42"/>
    <w:rsid w:val="00A04600"/>
    <w:rsid w:val="00A049A3"/>
    <w:rsid w:val="00A050AB"/>
    <w:rsid w:val="00A056A7"/>
    <w:rsid w:val="00A0609B"/>
    <w:rsid w:val="00A06421"/>
    <w:rsid w:val="00A06AEA"/>
    <w:rsid w:val="00A06D91"/>
    <w:rsid w:val="00A06DA9"/>
    <w:rsid w:val="00A06E73"/>
    <w:rsid w:val="00A07381"/>
    <w:rsid w:val="00A073E9"/>
    <w:rsid w:val="00A0775C"/>
    <w:rsid w:val="00A07BD8"/>
    <w:rsid w:val="00A07C5E"/>
    <w:rsid w:val="00A07EF6"/>
    <w:rsid w:val="00A106BE"/>
    <w:rsid w:val="00A10BEF"/>
    <w:rsid w:val="00A11444"/>
    <w:rsid w:val="00A116E3"/>
    <w:rsid w:val="00A1180E"/>
    <w:rsid w:val="00A11B19"/>
    <w:rsid w:val="00A11C34"/>
    <w:rsid w:val="00A11E0D"/>
    <w:rsid w:val="00A120ED"/>
    <w:rsid w:val="00A1231F"/>
    <w:rsid w:val="00A12437"/>
    <w:rsid w:val="00A126F2"/>
    <w:rsid w:val="00A12A82"/>
    <w:rsid w:val="00A12BB7"/>
    <w:rsid w:val="00A13079"/>
    <w:rsid w:val="00A133D6"/>
    <w:rsid w:val="00A139C0"/>
    <w:rsid w:val="00A139DD"/>
    <w:rsid w:val="00A140BE"/>
    <w:rsid w:val="00A14228"/>
    <w:rsid w:val="00A14702"/>
    <w:rsid w:val="00A14891"/>
    <w:rsid w:val="00A148D4"/>
    <w:rsid w:val="00A149A1"/>
    <w:rsid w:val="00A15022"/>
    <w:rsid w:val="00A1514F"/>
    <w:rsid w:val="00A15215"/>
    <w:rsid w:val="00A15360"/>
    <w:rsid w:val="00A1537C"/>
    <w:rsid w:val="00A15504"/>
    <w:rsid w:val="00A155AC"/>
    <w:rsid w:val="00A15852"/>
    <w:rsid w:val="00A15BDB"/>
    <w:rsid w:val="00A162DD"/>
    <w:rsid w:val="00A167D3"/>
    <w:rsid w:val="00A16B0B"/>
    <w:rsid w:val="00A16D18"/>
    <w:rsid w:val="00A17A92"/>
    <w:rsid w:val="00A17B60"/>
    <w:rsid w:val="00A17D29"/>
    <w:rsid w:val="00A2097E"/>
    <w:rsid w:val="00A20B8D"/>
    <w:rsid w:val="00A20E71"/>
    <w:rsid w:val="00A2110F"/>
    <w:rsid w:val="00A21AEB"/>
    <w:rsid w:val="00A21C0F"/>
    <w:rsid w:val="00A21D6A"/>
    <w:rsid w:val="00A21E7E"/>
    <w:rsid w:val="00A2211D"/>
    <w:rsid w:val="00A22339"/>
    <w:rsid w:val="00A22AED"/>
    <w:rsid w:val="00A233A2"/>
    <w:rsid w:val="00A2354B"/>
    <w:rsid w:val="00A237DF"/>
    <w:rsid w:val="00A239AE"/>
    <w:rsid w:val="00A23ABF"/>
    <w:rsid w:val="00A23B55"/>
    <w:rsid w:val="00A246C8"/>
    <w:rsid w:val="00A2494D"/>
    <w:rsid w:val="00A24FD5"/>
    <w:rsid w:val="00A254C4"/>
    <w:rsid w:val="00A25ABB"/>
    <w:rsid w:val="00A25EDD"/>
    <w:rsid w:val="00A26381"/>
    <w:rsid w:val="00A26B24"/>
    <w:rsid w:val="00A26F00"/>
    <w:rsid w:val="00A3023A"/>
    <w:rsid w:val="00A30846"/>
    <w:rsid w:val="00A30881"/>
    <w:rsid w:val="00A30AB0"/>
    <w:rsid w:val="00A30D2A"/>
    <w:rsid w:val="00A30FFA"/>
    <w:rsid w:val="00A3124A"/>
    <w:rsid w:val="00A3195B"/>
    <w:rsid w:val="00A31A38"/>
    <w:rsid w:val="00A31A4D"/>
    <w:rsid w:val="00A322F0"/>
    <w:rsid w:val="00A32687"/>
    <w:rsid w:val="00A3292F"/>
    <w:rsid w:val="00A32B17"/>
    <w:rsid w:val="00A32C7E"/>
    <w:rsid w:val="00A32D9F"/>
    <w:rsid w:val="00A332A8"/>
    <w:rsid w:val="00A3441E"/>
    <w:rsid w:val="00A34887"/>
    <w:rsid w:val="00A34A24"/>
    <w:rsid w:val="00A34EAD"/>
    <w:rsid w:val="00A35365"/>
    <w:rsid w:val="00A360C0"/>
    <w:rsid w:val="00A361BB"/>
    <w:rsid w:val="00A36286"/>
    <w:rsid w:val="00A364DE"/>
    <w:rsid w:val="00A367A1"/>
    <w:rsid w:val="00A376DA"/>
    <w:rsid w:val="00A40035"/>
    <w:rsid w:val="00A401D5"/>
    <w:rsid w:val="00A40277"/>
    <w:rsid w:val="00A404D9"/>
    <w:rsid w:val="00A40868"/>
    <w:rsid w:val="00A408BF"/>
    <w:rsid w:val="00A40D1B"/>
    <w:rsid w:val="00A40E34"/>
    <w:rsid w:val="00A4134E"/>
    <w:rsid w:val="00A41681"/>
    <w:rsid w:val="00A4179F"/>
    <w:rsid w:val="00A41A2C"/>
    <w:rsid w:val="00A42350"/>
    <w:rsid w:val="00A42613"/>
    <w:rsid w:val="00A4276A"/>
    <w:rsid w:val="00A42A2D"/>
    <w:rsid w:val="00A42CA4"/>
    <w:rsid w:val="00A4309A"/>
    <w:rsid w:val="00A43142"/>
    <w:rsid w:val="00A431B7"/>
    <w:rsid w:val="00A43285"/>
    <w:rsid w:val="00A43726"/>
    <w:rsid w:val="00A437C5"/>
    <w:rsid w:val="00A43B72"/>
    <w:rsid w:val="00A440B7"/>
    <w:rsid w:val="00A440C6"/>
    <w:rsid w:val="00A44654"/>
    <w:rsid w:val="00A455D0"/>
    <w:rsid w:val="00A45C05"/>
    <w:rsid w:val="00A45C87"/>
    <w:rsid w:val="00A45D2B"/>
    <w:rsid w:val="00A45E17"/>
    <w:rsid w:val="00A46231"/>
    <w:rsid w:val="00A46405"/>
    <w:rsid w:val="00A46CB8"/>
    <w:rsid w:val="00A46CBB"/>
    <w:rsid w:val="00A46CC8"/>
    <w:rsid w:val="00A46DF4"/>
    <w:rsid w:val="00A46E72"/>
    <w:rsid w:val="00A478B3"/>
    <w:rsid w:val="00A47AD0"/>
    <w:rsid w:val="00A47AFA"/>
    <w:rsid w:val="00A505BE"/>
    <w:rsid w:val="00A50650"/>
    <w:rsid w:val="00A5074D"/>
    <w:rsid w:val="00A50F4D"/>
    <w:rsid w:val="00A51100"/>
    <w:rsid w:val="00A5135E"/>
    <w:rsid w:val="00A51EBB"/>
    <w:rsid w:val="00A5211A"/>
    <w:rsid w:val="00A527A3"/>
    <w:rsid w:val="00A52F6F"/>
    <w:rsid w:val="00A52FBE"/>
    <w:rsid w:val="00A53714"/>
    <w:rsid w:val="00A53D44"/>
    <w:rsid w:val="00A53EBD"/>
    <w:rsid w:val="00A53F45"/>
    <w:rsid w:val="00A54148"/>
    <w:rsid w:val="00A54709"/>
    <w:rsid w:val="00A548B8"/>
    <w:rsid w:val="00A54A12"/>
    <w:rsid w:val="00A5508A"/>
    <w:rsid w:val="00A553D3"/>
    <w:rsid w:val="00A5552A"/>
    <w:rsid w:val="00A55637"/>
    <w:rsid w:val="00A55F0A"/>
    <w:rsid w:val="00A561B4"/>
    <w:rsid w:val="00A562EB"/>
    <w:rsid w:val="00A5640D"/>
    <w:rsid w:val="00A56566"/>
    <w:rsid w:val="00A56826"/>
    <w:rsid w:val="00A5743D"/>
    <w:rsid w:val="00A57881"/>
    <w:rsid w:val="00A601E3"/>
    <w:rsid w:val="00A6035D"/>
    <w:rsid w:val="00A60A27"/>
    <w:rsid w:val="00A60BCB"/>
    <w:rsid w:val="00A61329"/>
    <w:rsid w:val="00A61B66"/>
    <w:rsid w:val="00A61C6E"/>
    <w:rsid w:val="00A62092"/>
    <w:rsid w:val="00A62542"/>
    <w:rsid w:val="00A62C22"/>
    <w:rsid w:val="00A62D1A"/>
    <w:rsid w:val="00A632F1"/>
    <w:rsid w:val="00A63A15"/>
    <w:rsid w:val="00A63F4E"/>
    <w:rsid w:val="00A640E2"/>
    <w:rsid w:val="00A645AB"/>
    <w:rsid w:val="00A6469A"/>
    <w:rsid w:val="00A64CF5"/>
    <w:rsid w:val="00A6594E"/>
    <w:rsid w:val="00A65968"/>
    <w:rsid w:val="00A65DCC"/>
    <w:rsid w:val="00A66242"/>
    <w:rsid w:val="00A66593"/>
    <w:rsid w:val="00A66D30"/>
    <w:rsid w:val="00A671BE"/>
    <w:rsid w:val="00A6729B"/>
    <w:rsid w:val="00A67DDF"/>
    <w:rsid w:val="00A67F2E"/>
    <w:rsid w:val="00A67F7B"/>
    <w:rsid w:val="00A70134"/>
    <w:rsid w:val="00A70271"/>
    <w:rsid w:val="00A707E0"/>
    <w:rsid w:val="00A7103B"/>
    <w:rsid w:val="00A7116D"/>
    <w:rsid w:val="00A71519"/>
    <w:rsid w:val="00A716D5"/>
    <w:rsid w:val="00A71872"/>
    <w:rsid w:val="00A71C4F"/>
    <w:rsid w:val="00A726CD"/>
    <w:rsid w:val="00A73292"/>
    <w:rsid w:val="00A7375D"/>
    <w:rsid w:val="00A737DE"/>
    <w:rsid w:val="00A738F4"/>
    <w:rsid w:val="00A73DEF"/>
    <w:rsid w:val="00A74767"/>
    <w:rsid w:val="00A74B5D"/>
    <w:rsid w:val="00A76F31"/>
    <w:rsid w:val="00A77679"/>
    <w:rsid w:val="00A77C22"/>
    <w:rsid w:val="00A77DC6"/>
    <w:rsid w:val="00A77FF1"/>
    <w:rsid w:val="00A80129"/>
    <w:rsid w:val="00A8016E"/>
    <w:rsid w:val="00A80B64"/>
    <w:rsid w:val="00A80D8A"/>
    <w:rsid w:val="00A8105C"/>
    <w:rsid w:val="00A81A5A"/>
    <w:rsid w:val="00A81F1E"/>
    <w:rsid w:val="00A822CC"/>
    <w:rsid w:val="00A8233D"/>
    <w:rsid w:val="00A825C6"/>
    <w:rsid w:val="00A8292A"/>
    <w:rsid w:val="00A82EC8"/>
    <w:rsid w:val="00A83004"/>
    <w:rsid w:val="00A831AC"/>
    <w:rsid w:val="00A8340D"/>
    <w:rsid w:val="00A837FC"/>
    <w:rsid w:val="00A83A9C"/>
    <w:rsid w:val="00A846E1"/>
    <w:rsid w:val="00A84B6A"/>
    <w:rsid w:val="00A853A6"/>
    <w:rsid w:val="00A85983"/>
    <w:rsid w:val="00A85BD5"/>
    <w:rsid w:val="00A86CF3"/>
    <w:rsid w:val="00A870C5"/>
    <w:rsid w:val="00A87728"/>
    <w:rsid w:val="00A87B32"/>
    <w:rsid w:val="00A90D32"/>
    <w:rsid w:val="00A91B9A"/>
    <w:rsid w:val="00A91BE8"/>
    <w:rsid w:val="00A91EF7"/>
    <w:rsid w:val="00A924A7"/>
    <w:rsid w:val="00A926B1"/>
    <w:rsid w:val="00A92793"/>
    <w:rsid w:val="00A9308E"/>
    <w:rsid w:val="00A9342B"/>
    <w:rsid w:val="00A93BBD"/>
    <w:rsid w:val="00A94630"/>
    <w:rsid w:val="00A94851"/>
    <w:rsid w:val="00A948EA"/>
    <w:rsid w:val="00A94C52"/>
    <w:rsid w:val="00A94ED6"/>
    <w:rsid w:val="00A94F47"/>
    <w:rsid w:val="00A950D0"/>
    <w:rsid w:val="00A95137"/>
    <w:rsid w:val="00A95849"/>
    <w:rsid w:val="00A9596C"/>
    <w:rsid w:val="00A95CB8"/>
    <w:rsid w:val="00A95FC8"/>
    <w:rsid w:val="00A96030"/>
    <w:rsid w:val="00A97656"/>
    <w:rsid w:val="00A97A8B"/>
    <w:rsid w:val="00A97F62"/>
    <w:rsid w:val="00AA00E6"/>
    <w:rsid w:val="00AA0DCD"/>
    <w:rsid w:val="00AA0EFA"/>
    <w:rsid w:val="00AA1392"/>
    <w:rsid w:val="00AA164D"/>
    <w:rsid w:val="00AA1BF1"/>
    <w:rsid w:val="00AA200E"/>
    <w:rsid w:val="00AA213A"/>
    <w:rsid w:val="00AA2841"/>
    <w:rsid w:val="00AA2AF9"/>
    <w:rsid w:val="00AA329E"/>
    <w:rsid w:val="00AA3673"/>
    <w:rsid w:val="00AA37C1"/>
    <w:rsid w:val="00AA37D1"/>
    <w:rsid w:val="00AA3C3C"/>
    <w:rsid w:val="00AA3CF7"/>
    <w:rsid w:val="00AA3E3F"/>
    <w:rsid w:val="00AA4210"/>
    <w:rsid w:val="00AA4967"/>
    <w:rsid w:val="00AA4C9D"/>
    <w:rsid w:val="00AA4F51"/>
    <w:rsid w:val="00AA52CF"/>
    <w:rsid w:val="00AA54CD"/>
    <w:rsid w:val="00AA57E9"/>
    <w:rsid w:val="00AA5CFC"/>
    <w:rsid w:val="00AA63DC"/>
    <w:rsid w:val="00AA6511"/>
    <w:rsid w:val="00AA67AB"/>
    <w:rsid w:val="00AA7057"/>
    <w:rsid w:val="00AA705C"/>
    <w:rsid w:val="00AA75B6"/>
    <w:rsid w:val="00AA75F7"/>
    <w:rsid w:val="00AA79B6"/>
    <w:rsid w:val="00AA7D07"/>
    <w:rsid w:val="00AA7D8F"/>
    <w:rsid w:val="00AB05BD"/>
    <w:rsid w:val="00AB0AB5"/>
    <w:rsid w:val="00AB0C52"/>
    <w:rsid w:val="00AB15CA"/>
    <w:rsid w:val="00AB16B4"/>
    <w:rsid w:val="00AB1CEA"/>
    <w:rsid w:val="00AB2040"/>
    <w:rsid w:val="00AB22D5"/>
    <w:rsid w:val="00AB2BDE"/>
    <w:rsid w:val="00AB2C2E"/>
    <w:rsid w:val="00AB38E6"/>
    <w:rsid w:val="00AB41D7"/>
    <w:rsid w:val="00AB422F"/>
    <w:rsid w:val="00AB458F"/>
    <w:rsid w:val="00AB49A6"/>
    <w:rsid w:val="00AB4BA3"/>
    <w:rsid w:val="00AB4CD0"/>
    <w:rsid w:val="00AB600D"/>
    <w:rsid w:val="00AB6710"/>
    <w:rsid w:val="00AB6F6E"/>
    <w:rsid w:val="00AB732D"/>
    <w:rsid w:val="00AB7630"/>
    <w:rsid w:val="00AC0277"/>
    <w:rsid w:val="00AC0A5D"/>
    <w:rsid w:val="00AC0B2F"/>
    <w:rsid w:val="00AC0D06"/>
    <w:rsid w:val="00AC0E92"/>
    <w:rsid w:val="00AC131C"/>
    <w:rsid w:val="00AC182A"/>
    <w:rsid w:val="00AC1E59"/>
    <w:rsid w:val="00AC1F4B"/>
    <w:rsid w:val="00AC2971"/>
    <w:rsid w:val="00AC2D9F"/>
    <w:rsid w:val="00AC2FA6"/>
    <w:rsid w:val="00AC3082"/>
    <w:rsid w:val="00AC39C6"/>
    <w:rsid w:val="00AC3F39"/>
    <w:rsid w:val="00AC42F0"/>
    <w:rsid w:val="00AC4465"/>
    <w:rsid w:val="00AC4BDF"/>
    <w:rsid w:val="00AC50CB"/>
    <w:rsid w:val="00AC54F2"/>
    <w:rsid w:val="00AC59F5"/>
    <w:rsid w:val="00AC5BF9"/>
    <w:rsid w:val="00AC6654"/>
    <w:rsid w:val="00AC69DF"/>
    <w:rsid w:val="00AC7070"/>
    <w:rsid w:val="00AC72B6"/>
    <w:rsid w:val="00AC768C"/>
    <w:rsid w:val="00AC7C97"/>
    <w:rsid w:val="00AC7D15"/>
    <w:rsid w:val="00AC7E18"/>
    <w:rsid w:val="00AC7FF2"/>
    <w:rsid w:val="00AD0343"/>
    <w:rsid w:val="00AD0A90"/>
    <w:rsid w:val="00AD0AA9"/>
    <w:rsid w:val="00AD0BB5"/>
    <w:rsid w:val="00AD12BB"/>
    <w:rsid w:val="00AD1C2B"/>
    <w:rsid w:val="00AD1D4F"/>
    <w:rsid w:val="00AD1D83"/>
    <w:rsid w:val="00AD1F83"/>
    <w:rsid w:val="00AD2140"/>
    <w:rsid w:val="00AD22F4"/>
    <w:rsid w:val="00AD24D2"/>
    <w:rsid w:val="00AD2500"/>
    <w:rsid w:val="00AD28AE"/>
    <w:rsid w:val="00AD346F"/>
    <w:rsid w:val="00AD35E7"/>
    <w:rsid w:val="00AD40F7"/>
    <w:rsid w:val="00AD4117"/>
    <w:rsid w:val="00AD4843"/>
    <w:rsid w:val="00AD4A0B"/>
    <w:rsid w:val="00AD5381"/>
    <w:rsid w:val="00AD5602"/>
    <w:rsid w:val="00AD57C3"/>
    <w:rsid w:val="00AD6DE4"/>
    <w:rsid w:val="00AD6E80"/>
    <w:rsid w:val="00AD779D"/>
    <w:rsid w:val="00AD7C47"/>
    <w:rsid w:val="00AD7EF5"/>
    <w:rsid w:val="00AE0AD1"/>
    <w:rsid w:val="00AE0BC8"/>
    <w:rsid w:val="00AE1341"/>
    <w:rsid w:val="00AE256A"/>
    <w:rsid w:val="00AE26D6"/>
    <w:rsid w:val="00AE28E3"/>
    <w:rsid w:val="00AE2AF3"/>
    <w:rsid w:val="00AE2DBA"/>
    <w:rsid w:val="00AE2FD1"/>
    <w:rsid w:val="00AE3049"/>
    <w:rsid w:val="00AE30F2"/>
    <w:rsid w:val="00AE391F"/>
    <w:rsid w:val="00AE3FBD"/>
    <w:rsid w:val="00AE40E6"/>
    <w:rsid w:val="00AE49D2"/>
    <w:rsid w:val="00AE4BAC"/>
    <w:rsid w:val="00AE50B7"/>
    <w:rsid w:val="00AE53CD"/>
    <w:rsid w:val="00AE5783"/>
    <w:rsid w:val="00AE5D19"/>
    <w:rsid w:val="00AE6249"/>
    <w:rsid w:val="00AE6402"/>
    <w:rsid w:val="00AE72AD"/>
    <w:rsid w:val="00AE7509"/>
    <w:rsid w:val="00AE7936"/>
    <w:rsid w:val="00AE7E0C"/>
    <w:rsid w:val="00AE7E22"/>
    <w:rsid w:val="00AE7E61"/>
    <w:rsid w:val="00AF0374"/>
    <w:rsid w:val="00AF0736"/>
    <w:rsid w:val="00AF08C4"/>
    <w:rsid w:val="00AF1145"/>
    <w:rsid w:val="00AF1213"/>
    <w:rsid w:val="00AF137A"/>
    <w:rsid w:val="00AF1446"/>
    <w:rsid w:val="00AF146E"/>
    <w:rsid w:val="00AF177E"/>
    <w:rsid w:val="00AF17F0"/>
    <w:rsid w:val="00AF18B7"/>
    <w:rsid w:val="00AF19CB"/>
    <w:rsid w:val="00AF1A81"/>
    <w:rsid w:val="00AF1C4C"/>
    <w:rsid w:val="00AF2106"/>
    <w:rsid w:val="00AF2BD1"/>
    <w:rsid w:val="00AF3010"/>
    <w:rsid w:val="00AF3ACA"/>
    <w:rsid w:val="00AF3CFE"/>
    <w:rsid w:val="00AF3D33"/>
    <w:rsid w:val="00AF443A"/>
    <w:rsid w:val="00AF48F9"/>
    <w:rsid w:val="00AF4B59"/>
    <w:rsid w:val="00AF4FF8"/>
    <w:rsid w:val="00AF53D9"/>
    <w:rsid w:val="00AF5611"/>
    <w:rsid w:val="00AF5898"/>
    <w:rsid w:val="00AF5A0D"/>
    <w:rsid w:val="00AF6109"/>
    <w:rsid w:val="00AF6427"/>
    <w:rsid w:val="00AF65A0"/>
    <w:rsid w:val="00AF6601"/>
    <w:rsid w:val="00AF6ECE"/>
    <w:rsid w:val="00AF6FD0"/>
    <w:rsid w:val="00AF7687"/>
    <w:rsid w:val="00AF77B1"/>
    <w:rsid w:val="00AF7899"/>
    <w:rsid w:val="00B00240"/>
    <w:rsid w:val="00B002AA"/>
    <w:rsid w:val="00B0095A"/>
    <w:rsid w:val="00B00D1A"/>
    <w:rsid w:val="00B00F22"/>
    <w:rsid w:val="00B0192F"/>
    <w:rsid w:val="00B01965"/>
    <w:rsid w:val="00B01B15"/>
    <w:rsid w:val="00B02283"/>
    <w:rsid w:val="00B023BD"/>
    <w:rsid w:val="00B0241D"/>
    <w:rsid w:val="00B0250D"/>
    <w:rsid w:val="00B02AEC"/>
    <w:rsid w:val="00B0317C"/>
    <w:rsid w:val="00B04693"/>
    <w:rsid w:val="00B04EB3"/>
    <w:rsid w:val="00B04F64"/>
    <w:rsid w:val="00B0521E"/>
    <w:rsid w:val="00B05839"/>
    <w:rsid w:val="00B05894"/>
    <w:rsid w:val="00B05E6D"/>
    <w:rsid w:val="00B05EDF"/>
    <w:rsid w:val="00B06185"/>
    <w:rsid w:val="00B06651"/>
    <w:rsid w:val="00B068A1"/>
    <w:rsid w:val="00B06BF1"/>
    <w:rsid w:val="00B06ECB"/>
    <w:rsid w:val="00B07211"/>
    <w:rsid w:val="00B07EBE"/>
    <w:rsid w:val="00B1050C"/>
    <w:rsid w:val="00B107CB"/>
    <w:rsid w:val="00B10EC5"/>
    <w:rsid w:val="00B1100A"/>
    <w:rsid w:val="00B112A9"/>
    <w:rsid w:val="00B117B3"/>
    <w:rsid w:val="00B11BED"/>
    <w:rsid w:val="00B12381"/>
    <w:rsid w:val="00B12564"/>
    <w:rsid w:val="00B125BD"/>
    <w:rsid w:val="00B12718"/>
    <w:rsid w:val="00B1273F"/>
    <w:rsid w:val="00B12BC0"/>
    <w:rsid w:val="00B1342C"/>
    <w:rsid w:val="00B136FD"/>
    <w:rsid w:val="00B13998"/>
    <w:rsid w:val="00B14144"/>
    <w:rsid w:val="00B142AB"/>
    <w:rsid w:val="00B14436"/>
    <w:rsid w:val="00B14B44"/>
    <w:rsid w:val="00B14D65"/>
    <w:rsid w:val="00B153DD"/>
    <w:rsid w:val="00B16D78"/>
    <w:rsid w:val="00B17444"/>
    <w:rsid w:val="00B176EB"/>
    <w:rsid w:val="00B17757"/>
    <w:rsid w:val="00B2018B"/>
    <w:rsid w:val="00B20BD5"/>
    <w:rsid w:val="00B20DB3"/>
    <w:rsid w:val="00B21289"/>
    <w:rsid w:val="00B21D93"/>
    <w:rsid w:val="00B21EED"/>
    <w:rsid w:val="00B22488"/>
    <w:rsid w:val="00B225FF"/>
    <w:rsid w:val="00B226B5"/>
    <w:rsid w:val="00B228A3"/>
    <w:rsid w:val="00B22911"/>
    <w:rsid w:val="00B22D85"/>
    <w:rsid w:val="00B234DD"/>
    <w:rsid w:val="00B2418E"/>
    <w:rsid w:val="00B2427E"/>
    <w:rsid w:val="00B2443D"/>
    <w:rsid w:val="00B246C2"/>
    <w:rsid w:val="00B24932"/>
    <w:rsid w:val="00B24C9D"/>
    <w:rsid w:val="00B25205"/>
    <w:rsid w:val="00B25337"/>
    <w:rsid w:val="00B2558B"/>
    <w:rsid w:val="00B257DB"/>
    <w:rsid w:val="00B25883"/>
    <w:rsid w:val="00B25D89"/>
    <w:rsid w:val="00B25FD7"/>
    <w:rsid w:val="00B2674C"/>
    <w:rsid w:val="00B26B39"/>
    <w:rsid w:val="00B26D98"/>
    <w:rsid w:val="00B26DB1"/>
    <w:rsid w:val="00B26F2F"/>
    <w:rsid w:val="00B2786B"/>
    <w:rsid w:val="00B278B6"/>
    <w:rsid w:val="00B27C00"/>
    <w:rsid w:val="00B27C24"/>
    <w:rsid w:val="00B27E57"/>
    <w:rsid w:val="00B307AE"/>
    <w:rsid w:val="00B30805"/>
    <w:rsid w:val="00B309E8"/>
    <w:rsid w:val="00B30AF3"/>
    <w:rsid w:val="00B30B60"/>
    <w:rsid w:val="00B30DC5"/>
    <w:rsid w:val="00B31074"/>
    <w:rsid w:val="00B3239A"/>
    <w:rsid w:val="00B3241E"/>
    <w:rsid w:val="00B32870"/>
    <w:rsid w:val="00B32D89"/>
    <w:rsid w:val="00B33266"/>
    <w:rsid w:val="00B3378B"/>
    <w:rsid w:val="00B33882"/>
    <w:rsid w:val="00B33907"/>
    <w:rsid w:val="00B33946"/>
    <w:rsid w:val="00B33BC2"/>
    <w:rsid w:val="00B34062"/>
    <w:rsid w:val="00B3515A"/>
    <w:rsid w:val="00B354CC"/>
    <w:rsid w:val="00B35763"/>
    <w:rsid w:val="00B360ED"/>
    <w:rsid w:val="00B3612E"/>
    <w:rsid w:val="00B3616E"/>
    <w:rsid w:val="00B3629C"/>
    <w:rsid w:val="00B36348"/>
    <w:rsid w:val="00B36658"/>
    <w:rsid w:val="00B36A87"/>
    <w:rsid w:val="00B36CD9"/>
    <w:rsid w:val="00B36E43"/>
    <w:rsid w:val="00B36F60"/>
    <w:rsid w:val="00B371AE"/>
    <w:rsid w:val="00B37230"/>
    <w:rsid w:val="00B37AAD"/>
    <w:rsid w:val="00B37E09"/>
    <w:rsid w:val="00B405C7"/>
    <w:rsid w:val="00B41049"/>
    <w:rsid w:val="00B412BA"/>
    <w:rsid w:val="00B4131A"/>
    <w:rsid w:val="00B417C8"/>
    <w:rsid w:val="00B41A76"/>
    <w:rsid w:val="00B4209E"/>
    <w:rsid w:val="00B4235D"/>
    <w:rsid w:val="00B4275D"/>
    <w:rsid w:val="00B4284B"/>
    <w:rsid w:val="00B4293D"/>
    <w:rsid w:val="00B42B44"/>
    <w:rsid w:val="00B42CE1"/>
    <w:rsid w:val="00B43087"/>
    <w:rsid w:val="00B43831"/>
    <w:rsid w:val="00B43D9B"/>
    <w:rsid w:val="00B4402D"/>
    <w:rsid w:val="00B44879"/>
    <w:rsid w:val="00B45074"/>
    <w:rsid w:val="00B4529C"/>
    <w:rsid w:val="00B45589"/>
    <w:rsid w:val="00B45769"/>
    <w:rsid w:val="00B45C25"/>
    <w:rsid w:val="00B45DDD"/>
    <w:rsid w:val="00B45E49"/>
    <w:rsid w:val="00B462E5"/>
    <w:rsid w:val="00B465AE"/>
    <w:rsid w:val="00B46F97"/>
    <w:rsid w:val="00B50720"/>
    <w:rsid w:val="00B513D6"/>
    <w:rsid w:val="00B51929"/>
    <w:rsid w:val="00B51BCA"/>
    <w:rsid w:val="00B51EBF"/>
    <w:rsid w:val="00B51FAF"/>
    <w:rsid w:val="00B525B9"/>
    <w:rsid w:val="00B52B7D"/>
    <w:rsid w:val="00B52D97"/>
    <w:rsid w:val="00B52E39"/>
    <w:rsid w:val="00B52E7E"/>
    <w:rsid w:val="00B53133"/>
    <w:rsid w:val="00B532C2"/>
    <w:rsid w:val="00B53449"/>
    <w:rsid w:val="00B537E2"/>
    <w:rsid w:val="00B538C4"/>
    <w:rsid w:val="00B53A23"/>
    <w:rsid w:val="00B53C27"/>
    <w:rsid w:val="00B53EAE"/>
    <w:rsid w:val="00B54A04"/>
    <w:rsid w:val="00B54A6F"/>
    <w:rsid w:val="00B557CF"/>
    <w:rsid w:val="00B5581C"/>
    <w:rsid w:val="00B55E55"/>
    <w:rsid w:val="00B55EE5"/>
    <w:rsid w:val="00B565A7"/>
    <w:rsid w:val="00B5688B"/>
    <w:rsid w:val="00B5702B"/>
    <w:rsid w:val="00B570FD"/>
    <w:rsid w:val="00B5759B"/>
    <w:rsid w:val="00B57C29"/>
    <w:rsid w:val="00B57E2C"/>
    <w:rsid w:val="00B600E8"/>
    <w:rsid w:val="00B60322"/>
    <w:rsid w:val="00B60D67"/>
    <w:rsid w:val="00B60F49"/>
    <w:rsid w:val="00B60F72"/>
    <w:rsid w:val="00B61254"/>
    <w:rsid w:val="00B61375"/>
    <w:rsid w:val="00B61F2E"/>
    <w:rsid w:val="00B61F5D"/>
    <w:rsid w:val="00B62738"/>
    <w:rsid w:val="00B62C3F"/>
    <w:rsid w:val="00B62D8E"/>
    <w:rsid w:val="00B631DC"/>
    <w:rsid w:val="00B6433B"/>
    <w:rsid w:val="00B644C9"/>
    <w:rsid w:val="00B64CAB"/>
    <w:rsid w:val="00B64DC5"/>
    <w:rsid w:val="00B64E99"/>
    <w:rsid w:val="00B6509C"/>
    <w:rsid w:val="00B65516"/>
    <w:rsid w:val="00B6576F"/>
    <w:rsid w:val="00B65AF4"/>
    <w:rsid w:val="00B65CCE"/>
    <w:rsid w:val="00B65E0E"/>
    <w:rsid w:val="00B67AC8"/>
    <w:rsid w:val="00B67B2D"/>
    <w:rsid w:val="00B67C58"/>
    <w:rsid w:val="00B67C64"/>
    <w:rsid w:val="00B67D94"/>
    <w:rsid w:val="00B70232"/>
    <w:rsid w:val="00B70700"/>
    <w:rsid w:val="00B707D2"/>
    <w:rsid w:val="00B70FF2"/>
    <w:rsid w:val="00B7132A"/>
    <w:rsid w:val="00B713DF"/>
    <w:rsid w:val="00B71623"/>
    <w:rsid w:val="00B71746"/>
    <w:rsid w:val="00B71CFA"/>
    <w:rsid w:val="00B71EF2"/>
    <w:rsid w:val="00B72314"/>
    <w:rsid w:val="00B724F3"/>
    <w:rsid w:val="00B72A8A"/>
    <w:rsid w:val="00B72CE3"/>
    <w:rsid w:val="00B72DB2"/>
    <w:rsid w:val="00B73319"/>
    <w:rsid w:val="00B733C2"/>
    <w:rsid w:val="00B73D1C"/>
    <w:rsid w:val="00B7441E"/>
    <w:rsid w:val="00B74695"/>
    <w:rsid w:val="00B74713"/>
    <w:rsid w:val="00B74CD9"/>
    <w:rsid w:val="00B74CDE"/>
    <w:rsid w:val="00B75AD0"/>
    <w:rsid w:val="00B75C76"/>
    <w:rsid w:val="00B761A1"/>
    <w:rsid w:val="00B76687"/>
    <w:rsid w:val="00B76718"/>
    <w:rsid w:val="00B767E5"/>
    <w:rsid w:val="00B76EB8"/>
    <w:rsid w:val="00B802B0"/>
    <w:rsid w:val="00B81161"/>
    <w:rsid w:val="00B8116F"/>
    <w:rsid w:val="00B8150F"/>
    <w:rsid w:val="00B81928"/>
    <w:rsid w:val="00B81AC7"/>
    <w:rsid w:val="00B81DCB"/>
    <w:rsid w:val="00B821AA"/>
    <w:rsid w:val="00B82666"/>
    <w:rsid w:val="00B8295E"/>
    <w:rsid w:val="00B82B15"/>
    <w:rsid w:val="00B8305C"/>
    <w:rsid w:val="00B83094"/>
    <w:rsid w:val="00B83CA6"/>
    <w:rsid w:val="00B84341"/>
    <w:rsid w:val="00B84588"/>
    <w:rsid w:val="00B84692"/>
    <w:rsid w:val="00B84AA9"/>
    <w:rsid w:val="00B84C17"/>
    <w:rsid w:val="00B84DB6"/>
    <w:rsid w:val="00B850EB"/>
    <w:rsid w:val="00B852D5"/>
    <w:rsid w:val="00B8575A"/>
    <w:rsid w:val="00B8646B"/>
    <w:rsid w:val="00B86610"/>
    <w:rsid w:val="00B866EF"/>
    <w:rsid w:val="00B868DC"/>
    <w:rsid w:val="00B87180"/>
    <w:rsid w:val="00B87188"/>
    <w:rsid w:val="00B9015E"/>
    <w:rsid w:val="00B90529"/>
    <w:rsid w:val="00B9066E"/>
    <w:rsid w:val="00B909FA"/>
    <w:rsid w:val="00B90DD5"/>
    <w:rsid w:val="00B90ED8"/>
    <w:rsid w:val="00B91604"/>
    <w:rsid w:val="00B923B1"/>
    <w:rsid w:val="00B92496"/>
    <w:rsid w:val="00B925B0"/>
    <w:rsid w:val="00B939E9"/>
    <w:rsid w:val="00B9448C"/>
    <w:rsid w:val="00B947B2"/>
    <w:rsid w:val="00B957F3"/>
    <w:rsid w:val="00B95851"/>
    <w:rsid w:val="00B960DF"/>
    <w:rsid w:val="00B96304"/>
    <w:rsid w:val="00B97A48"/>
    <w:rsid w:val="00B97D1D"/>
    <w:rsid w:val="00BA03C7"/>
    <w:rsid w:val="00BA087C"/>
    <w:rsid w:val="00BA10C8"/>
    <w:rsid w:val="00BA24BF"/>
    <w:rsid w:val="00BA2E6F"/>
    <w:rsid w:val="00BA320E"/>
    <w:rsid w:val="00BA38EE"/>
    <w:rsid w:val="00BA40BC"/>
    <w:rsid w:val="00BA4A4C"/>
    <w:rsid w:val="00BA4BA2"/>
    <w:rsid w:val="00BA4BD5"/>
    <w:rsid w:val="00BA5BB2"/>
    <w:rsid w:val="00BA60E5"/>
    <w:rsid w:val="00BA61A3"/>
    <w:rsid w:val="00BA62D8"/>
    <w:rsid w:val="00BA695B"/>
    <w:rsid w:val="00BA69E1"/>
    <w:rsid w:val="00BA70EA"/>
    <w:rsid w:val="00BA7211"/>
    <w:rsid w:val="00BA74D6"/>
    <w:rsid w:val="00BA7BD3"/>
    <w:rsid w:val="00BB00BA"/>
    <w:rsid w:val="00BB02CE"/>
    <w:rsid w:val="00BB0336"/>
    <w:rsid w:val="00BB036D"/>
    <w:rsid w:val="00BB0389"/>
    <w:rsid w:val="00BB0E1A"/>
    <w:rsid w:val="00BB13AF"/>
    <w:rsid w:val="00BB1890"/>
    <w:rsid w:val="00BB1A3F"/>
    <w:rsid w:val="00BB1C95"/>
    <w:rsid w:val="00BB1CA3"/>
    <w:rsid w:val="00BB22D7"/>
    <w:rsid w:val="00BB2994"/>
    <w:rsid w:val="00BB32FD"/>
    <w:rsid w:val="00BB3539"/>
    <w:rsid w:val="00BB36DC"/>
    <w:rsid w:val="00BB3B12"/>
    <w:rsid w:val="00BB3BCC"/>
    <w:rsid w:val="00BB4A15"/>
    <w:rsid w:val="00BB4A63"/>
    <w:rsid w:val="00BB4B95"/>
    <w:rsid w:val="00BB4E17"/>
    <w:rsid w:val="00BB5660"/>
    <w:rsid w:val="00BB586B"/>
    <w:rsid w:val="00BB5ACE"/>
    <w:rsid w:val="00BB5B35"/>
    <w:rsid w:val="00BB5D51"/>
    <w:rsid w:val="00BB5DD6"/>
    <w:rsid w:val="00BB6426"/>
    <w:rsid w:val="00BB6DD3"/>
    <w:rsid w:val="00BB6F2C"/>
    <w:rsid w:val="00BB70AD"/>
    <w:rsid w:val="00BB77F5"/>
    <w:rsid w:val="00BB7BAF"/>
    <w:rsid w:val="00BB7BCF"/>
    <w:rsid w:val="00BB7CFF"/>
    <w:rsid w:val="00BC1006"/>
    <w:rsid w:val="00BC12C4"/>
    <w:rsid w:val="00BC1B72"/>
    <w:rsid w:val="00BC2230"/>
    <w:rsid w:val="00BC22D2"/>
    <w:rsid w:val="00BC240D"/>
    <w:rsid w:val="00BC2DA2"/>
    <w:rsid w:val="00BC2EBB"/>
    <w:rsid w:val="00BC3238"/>
    <w:rsid w:val="00BC3303"/>
    <w:rsid w:val="00BC3328"/>
    <w:rsid w:val="00BC374D"/>
    <w:rsid w:val="00BC3F87"/>
    <w:rsid w:val="00BC42FD"/>
    <w:rsid w:val="00BC4573"/>
    <w:rsid w:val="00BC506A"/>
    <w:rsid w:val="00BC50C0"/>
    <w:rsid w:val="00BC52E2"/>
    <w:rsid w:val="00BC530A"/>
    <w:rsid w:val="00BC53F4"/>
    <w:rsid w:val="00BC58F8"/>
    <w:rsid w:val="00BC5D88"/>
    <w:rsid w:val="00BC5EB5"/>
    <w:rsid w:val="00BC602D"/>
    <w:rsid w:val="00BC62E9"/>
    <w:rsid w:val="00BC66FC"/>
    <w:rsid w:val="00BC705A"/>
    <w:rsid w:val="00BC7608"/>
    <w:rsid w:val="00BC78AB"/>
    <w:rsid w:val="00BC7944"/>
    <w:rsid w:val="00BD087B"/>
    <w:rsid w:val="00BD08F9"/>
    <w:rsid w:val="00BD097C"/>
    <w:rsid w:val="00BD0AE8"/>
    <w:rsid w:val="00BD0C01"/>
    <w:rsid w:val="00BD0EB3"/>
    <w:rsid w:val="00BD1262"/>
    <w:rsid w:val="00BD12C7"/>
    <w:rsid w:val="00BD12F4"/>
    <w:rsid w:val="00BD202A"/>
    <w:rsid w:val="00BD2033"/>
    <w:rsid w:val="00BD247B"/>
    <w:rsid w:val="00BD2B2A"/>
    <w:rsid w:val="00BD2EC7"/>
    <w:rsid w:val="00BD3472"/>
    <w:rsid w:val="00BD35B9"/>
    <w:rsid w:val="00BD3CBD"/>
    <w:rsid w:val="00BD3EAC"/>
    <w:rsid w:val="00BD3F40"/>
    <w:rsid w:val="00BD460E"/>
    <w:rsid w:val="00BD518F"/>
    <w:rsid w:val="00BD5490"/>
    <w:rsid w:val="00BD57A1"/>
    <w:rsid w:val="00BD5C1B"/>
    <w:rsid w:val="00BD5E50"/>
    <w:rsid w:val="00BD64D3"/>
    <w:rsid w:val="00BD671C"/>
    <w:rsid w:val="00BD6834"/>
    <w:rsid w:val="00BD7045"/>
    <w:rsid w:val="00BD76D2"/>
    <w:rsid w:val="00BD77F3"/>
    <w:rsid w:val="00BE02B6"/>
    <w:rsid w:val="00BE0405"/>
    <w:rsid w:val="00BE1DDC"/>
    <w:rsid w:val="00BE1FCF"/>
    <w:rsid w:val="00BE245C"/>
    <w:rsid w:val="00BE2E89"/>
    <w:rsid w:val="00BE2EEF"/>
    <w:rsid w:val="00BE2FD5"/>
    <w:rsid w:val="00BE32E1"/>
    <w:rsid w:val="00BE3DBA"/>
    <w:rsid w:val="00BE4249"/>
    <w:rsid w:val="00BE4502"/>
    <w:rsid w:val="00BE4B4F"/>
    <w:rsid w:val="00BE510C"/>
    <w:rsid w:val="00BE5361"/>
    <w:rsid w:val="00BE5C08"/>
    <w:rsid w:val="00BE642A"/>
    <w:rsid w:val="00BE6474"/>
    <w:rsid w:val="00BE702D"/>
    <w:rsid w:val="00BE7711"/>
    <w:rsid w:val="00BE7EA4"/>
    <w:rsid w:val="00BF0201"/>
    <w:rsid w:val="00BF02CD"/>
    <w:rsid w:val="00BF0FBB"/>
    <w:rsid w:val="00BF12AB"/>
    <w:rsid w:val="00BF1A21"/>
    <w:rsid w:val="00BF2AB1"/>
    <w:rsid w:val="00BF2B37"/>
    <w:rsid w:val="00BF3111"/>
    <w:rsid w:val="00BF37B6"/>
    <w:rsid w:val="00BF40FC"/>
    <w:rsid w:val="00BF42CE"/>
    <w:rsid w:val="00BF44A8"/>
    <w:rsid w:val="00BF46B0"/>
    <w:rsid w:val="00BF49E9"/>
    <w:rsid w:val="00BF50FB"/>
    <w:rsid w:val="00BF5583"/>
    <w:rsid w:val="00BF55B7"/>
    <w:rsid w:val="00BF5757"/>
    <w:rsid w:val="00BF57FD"/>
    <w:rsid w:val="00BF5F82"/>
    <w:rsid w:val="00BF6163"/>
    <w:rsid w:val="00BF6728"/>
    <w:rsid w:val="00BF6C42"/>
    <w:rsid w:val="00BF6FDC"/>
    <w:rsid w:val="00BF770C"/>
    <w:rsid w:val="00BF7767"/>
    <w:rsid w:val="00C00603"/>
    <w:rsid w:val="00C006A3"/>
    <w:rsid w:val="00C00BF8"/>
    <w:rsid w:val="00C0120A"/>
    <w:rsid w:val="00C01235"/>
    <w:rsid w:val="00C019E8"/>
    <w:rsid w:val="00C02112"/>
    <w:rsid w:val="00C02254"/>
    <w:rsid w:val="00C02256"/>
    <w:rsid w:val="00C02659"/>
    <w:rsid w:val="00C02917"/>
    <w:rsid w:val="00C030CF"/>
    <w:rsid w:val="00C0367E"/>
    <w:rsid w:val="00C039E3"/>
    <w:rsid w:val="00C039FB"/>
    <w:rsid w:val="00C03BA3"/>
    <w:rsid w:val="00C03D75"/>
    <w:rsid w:val="00C03E92"/>
    <w:rsid w:val="00C04384"/>
    <w:rsid w:val="00C04531"/>
    <w:rsid w:val="00C0461E"/>
    <w:rsid w:val="00C0479A"/>
    <w:rsid w:val="00C05063"/>
    <w:rsid w:val="00C05952"/>
    <w:rsid w:val="00C05CC0"/>
    <w:rsid w:val="00C05D2F"/>
    <w:rsid w:val="00C05DA7"/>
    <w:rsid w:val="00C05DB8"/>
    <w:rsid w:val="00C05DEB"/>
    <w:rsid w:val="00C0614C"/>
    <w:rsid w:val="00C064C2"/>
    <w:rsid w:val="00C06F14"/>
    <w:rsid w:val="00C07127"/>
    <w:rsid w:val="00C103DE"/>
    <w:rsid w:val="00C10CAE"/>
    <w:rsid w:val="00C10E4B"/>
    <w:rsid w:val="00C1153D"/>
    <w:rsid w:val="00C119F2"/>
    <w:rsid w:val="00C11EC2"/>
    <w:rsid w:val="00C1216F"/>
    <w:rsid w:val="00C12193"/>
    <w:rsid w:val="00C121A4"/>
    <w:rsid w:val="00C127DB"/>
    <w:rsid w:val="00C12850"/>
    <w:rsid w:val="00C1310B"/>
    <w:rsid w:val="00C1366D"/>
    <w:rsid w:val="00C13943"/>
    <w:rsid w:val="00C13F8A"/>
    <w:rsid w:val="00C1413C"/>
    <w:rsid w:val="00C143B7"/>
    <w:rsid w:val="00C1440F"/>
    <w:rsid w:val="00C145F5"/>
    <w:rsid w:val="00C1485E"/>
    <w:rsid w:val="00C1489E"/>
    <w:rsid w:val="00C14BD6"/>
    <w:rsid w:val="00C150DE"/>
    <w:rsid w:val="00C1524B"/>
    <w:rsid w:val="00C15356"/>
    <w:rsid w:val="00C159D4"/>
    <w:rsid w:val="00C15C6C"/>
    <w:rsid w:val="00C15FE3"/>
    <w:rsid w:val="00C16609"/>
    <w:rsid w:val="00C16C5F"/>
    <w:rsid w:val="00C17B0D"/>
    <w:rsid w:val="00C20769"/>
    <w:rsid w:val="00C20B1A"/>
    <w:rsid w:val="00C20C6D"/>
    <w:rsid w:val="00C21586"/>
    <w:rsid w:val="00C21621"/>
    <w:rsid w:val="00C21A10"/>
    <w:rsid w:val="00C21D8C"/>
    <w:rsid w:val="00C21EB7"/>
    <w:rsid w:val="00C222D5"/>
    <w:rsid w:val="00C22768"/>
    <w:rsid w:val="00C227D5"/>
    <w:rsid w:val="00C22842"/>
    <w:rsid w:val="00C2295D"/>
    <w:rsid w:val="00C233D4"/>
    <w:rsid w:val="00C234AE"/>
    <w:rsid w:val="00C23548"/>
    <w:rsid w:val="00C2355A"/>
    <w:rsid w:val="00C23722"/>
    <w:rsid w:val="00C24CFE"/>
    <w:rsid w:val="00C24EA2"/>
    <w:rsid w:val="00C2538F"/>
    <w:rsid w:val="00C253B0"/>
    <w:rsid w:val="00C257CE"/>
    <w:rsid w:val="00C259BC"/>
    <w:rsid w:val="00C25C33"/>
    <w:rsid w:val="00C25EAD"/>
    <w:rsid w:val="00C26387"/>
    <w:rsid w:val="00C26C97"/>
    <w:rsid w:val="00C27AC1"/>
    <w:rsid w:val="00C30469"/>
    <w:rsid w:val="00C304F5"/>
    <w:rsid w:val="00C31589"/>
    <w:rsid w:val="00C319DD"/>
    <w:rsid w:val="00C31AC0"/>
    <w:rsid w:val="00C31BA2"/>
    <w:rsid w:val="00C31DD9"/>
    <w:rsid w:val="00C3217D"/>
    <w:rsid w:val="00C328FE"/>
    <w:rsid w:val="00C3331F"/>
    <w:rsid w:val="00C334EC"/>
    <w:rsid w:val="00C33A91"/>
    <w:rsid w:val="00C33D49"/>
    <w:rsid w:val="00C33F72"/>
    <w:rsid w:val="00C34B82"/>
    <w:rsid w:val="00C34CDB"/>
    <w:rsid w:val="00C34E66"/>
    <w:rsid w:val="00C3551B"/>
    <w:rsid w:val="00C35617"/>
    <w:rsid w:val="00C35958"/>
    <w:rsid w:val="00C35E7F"/>
    <w:rsid w:val="00C36156"/>
    <w:rsid w:val="00C3622D"/>
    <w:rsid w:val="00C36DDC"/>
    <w:rsid w:val="00C37CC3"/>
    <w:rsid w:val="00C37E29"/>
    <w:rsid w:val="00C37F18"/>
    <w:rsid w:val="00C37FA8"/>
    <w:rsid w:val="00C40471"/>
    <w:rsid w:val="00C408AF"/>
    <w:rsid w:val="00C4159B"/>
    <w:rsid w:val="00C4210D"/>
    <w:rsid w:val="00C4213F"/>
    <w:rsid w:val="00C425FE"/>
    <w:rsid w:val="00C4273D"/>
    <w:rsid w:val="00C428B8"/>
    <w:rsid w:val="00C42CD7"/>
    <w:rsid w:val="00C43698"/>
    <w:rsid w:val="00C43B55"/>
    <w:rsid w:val="00C44322"/>
    <w:rsid w:val="00C443E6"/>
    <w:rsid w:val="00C44449"/>
    <w:rsid w:val="00C4460F"/>
    <w:rsid w:val="00C44DD9"/>
    <w:rsid w:val="00C451F0"/>
    <w:rsid w:val="00C451F8"/>
    <w:rsid w:val="00C457ED"/>
    <w:rsid w:val="00C45822"/>
    <w:rsid w:val="00C45E35"/>
    <w:rsid w:val="00C462FE"/>
    <w:rsid w:val="00C4630A"/>
    <w:rsid w:val="00C4639C"/>
    <w:rsid w:val="00C463C0"/>
    <w:rsid w:val="00C465E7"/>
    <w:rsid w:val="00C467CE"/>
    <w:rsid w:val="00C46A11"/>
    <w:rsid w:val="00C46B4C"/>
    <w:rsid w:val="00C46FBF"/>
    <w:rsid w:val="00C4709D"/>
    <w:rsid w:val="00C473EF"/>
    <w:rsid w:val="00C47B6C"/>
    <w:rsid w:val="00C5004A"/>
    <w:rsid w:val="00C50438"/>
    <w:rsid w:val="00C50661"/>
    <w:rsid w:val="00C50918"/>
    <w:rsid w:val="00C51557"/>
    <w:rsid w:val="00C51783"/>
    <w:rsid w:val="00C51F35"/>
    <w:rsid w:val="00C522C1"/>
    <w:rsid w:val="00C52619"/>
    <w:rsid w:val="00C526BE"/>
    <w:rsid w:val="00C53419"/>
    <w:rsid w:val="00C53792"/>
    <w:rsid w:val="00C539DE"/>
    <w:rsid w:val="00C53ED8"/>
    <w:rsid w:val="00C53F83"/>
    <w:rsid w:val="00C53FEB"/>
    <w:rsid w:val="00C54913"/>
    <w:rsid w:val="00C54950"/>
    <w:rsid w:val="00C54A21"/>
    <w:rsid w:val="00C54C21"/>
    <w:rsid w:val="00C54C5D"/>
    <w:rsid w:val="00C555D3"/>
    <w:rsid w:val="00C55652"/>
    <w:rsid w:val="00C558C3"/>
    <w:rsid w:val="00C559CA"/>
    <w:rsid w:val="00C55C33"/>
    <w:rsid w:val="00C5675F"/>
    <w:rsid w:val="00C577A2"/>
    <w:rsid w:val="00C57A1E"/>
    <w:rsid w:val="00C605E7"/>
    <w:rsid w:val="00C62265"/>
    <w:rsid w:val="00C62C22"/>
    <w:rsid w:val="00C631F0"/>
    <w:rsid w:val="00C633B6"/>
    <w:rsid w:val="00C63A44"/>
    <w:rsid w:val="00C645DA"/>
    <w:rsid w:val="00C647AC"/>
    <w:rsid w:val="00C6495D"/>
    <w:rsid w:val="00C64BDB"/>
    <w:rsid w:val="00C657BD"/>
    <w:rsid w:val="00C657D0"/>
    <w:rsid w:val="00C65AA2"/>
    <w:rsid w:val="00C6600B"/>
    <w:rsid w:val="00C664DD"/>
    <w:rsid w:val="00C6656E"/>
    <w:rsid w:val="00C666E1"/>
    <w:rsid w:val="00C66B5E"/>
    <w:rsid w:val="00C66C9E"/>
    <w:rsid w:val="00C670B2"/>
    <w:rsid w:val="00C675FD"/>
    <w:rsid w:val="00C67D8D"/>
    <w:rsid w:val="00C700BA"/>
    <w:rsid w:val="00C70360"/>
    <w:rsid w:val="00C70835"/>
    <w:rsid w:val="00C70B41"/>
    <w:rsid w:val="00C70CDD"/>
    <w:rsid w:val="00C71714"/>
    <w:rsid w:val="00C71A59"/>
    <w:rsid w:val="00C71D03"/>
    <w:rsid w:val="00C725DC"/>
    <w:rsid w:val="00C72A43"/>
    <w:rsid w:val="00C72AFB"/>
    <w:rsid w:val="00C72C29"/>
    <w:rsid w:val="00C73086"/>
    <w:rsid w:val="00C73200"/>
    <w:rsid w:val="00C7373A"/>
    <w:rsid w:val="00C7379E"/>
    <w:rsid w:val="00C743C0"/>
    <w:rsid w:val="00C74613"/>
    <w:rsid w:val="00C7464F"/>
    <w:rsid w:val="00C75907"/>
    <w:rsid w:val="00C7614D"/>
    <w:rsid w:val="00C768BE"/>
    <w:rsid w:val="00C76EB6"/>
    <w:rsid w:val="00C77212"/>
    <w:rsid w:val="00C77D67"/>
    <w:rsid w:val="00C80214"/>
    <w:rsid w:val="00C80454"/>
    <w:rsid w:val="00C80477"/>
    <w:rsid w:val="00C80484"/>
    <w:rsid w:val="00C80594"/>
    <w:rsid w:val="00C809BE"/>
    <w:rsid w:val="00C80BE6"/>
    <w:rsid w:val="00C81767"/>
    <w:rsid w:val="00C81B37"/>
    <w:rsid w:val="00C81B92"/>
    <w:rsid w:val="00C8219F"/>
    <w:rsid w:val="00C82452"/>
    <w:rsid w:val="00C827BC"/>
    <w:rsid w:val="00C83265"/>
    <w:rsid w:val="00C835E1"/>
    <w:rsid w:val="00C83763"/>
    <w:rsid w:val="00C83960"/>
    <w:rsid w:val="00C83C5B"/>
    <w:rsid w:val="00C83C9B"/>
    <w:rsid w:val="00C83D8A"/>
    <w:rsid w:val="00C844F1"/>
    <w:rsid w:val="00C84609"/>
    <w:rsid w:val="00C8477E"/>
    <w:rsid w:val="00C84789"/>
    <w:rsid w:val="00C848E0"/>
    <w:rsid w:val="00C84DDA"/>
    <w:rsid w:val="00C84E2F"/>
    <w:rsid w:val="00C851CB"/>
    <w:rsid w:val="00C8683D"/>
    <w:rsid w:val="00C869A5"/>
    <w:rsid w:val="00C869A8"/>
    <w:rsid w:val="00C87DFA"/>
    <w:rsid w:val="00C87F74"/>
    <w:rsid w:val="00C9020D"/>
    <w:rsid w:val="00C906D9"/>
    <w:rsid w:val="00C90E71"/>
    <w:rsid w:val="00C90F68"/>
    <w:rsid w:val="00C910BF"/>
    <w:rsid w:val="00C91355"/>
    <w:rsid w:val="00C9158C"/>
    <w:rsid w:val="00C915DC"/>
    <w:rsid w:val="00C91786"/>
    <w:rsid w:val="00C917AC"/>
    <w:rsid w:val="00C91D09"/>
    <w:rsid w:val="00C92AE1"/>
    <w:rsid w:val="00C92E07"/>
    <w:rsid w:val="00C92F73"/>
    <w:rsid w:val="00C93617"/>
    <w:rsid w:val="00C9370C"/>
    <w:rsid w:val="00C93980"/>
    <w:rsid w:val="00C93F89"/>
    <w:rsid w:val="00C940B8"/>
    <w:rsid w:val="00C9430E"/>
    <w:rsid w:val="00C94449"/>
    <w:rsid w:val="00C949CC"/>
    <w:rsid w:val="00C9563E"/>
    <w:rsid w:val="00C95779"/>
    <w:rsid w:val="00C95D00"/>
    <w:rsid w:val="00C96223"/>
    <w:rsid w:val="00C96C6D"/>
    <w:rsid w:val="00C97114"/>
    <w:rsid w:val="00C972AE"/>
    <w:rsid w:val="00C9792E"/>
    <w:rsid w:val="00CA06DE"/>
    <w:rsid w:val="00CA0ACB"/>
    <w:rsid w:val="00CA0FC1"/>
    <w:rsid w:val="00CA18FE"/>
    <w:rsid w:val="00CA19B3"/>
    <w:rsid w:val="00CA1B8D"/>
    <w:rsid w:val="00CA212F"/>
    <w:rsid w:val="00CA25FF"/>
    <w:rsid w:val="00CA26B2"/>
    <w:rsid w:val="00CA286F"/>
    <w:rsid w:val="00CA287C"/>
    <w:rsid w:val="00CA2AA8"/>
    <w:rsid w:val="00CA2CA1"/>
    <w:rsid w:val="00CA2D82"/>
    <w:rsid w:val="00CA2E49"/>
    <w:rsid w:val="00CA3014"/>
    <w:rsid w:val="00CA3643"/>
    <w:rsid w:val="00CA3A28"/>
    <w:rsid w:val="00CA3C62"/>
    <w:rsid w:val="00CA3F12"/>
    <w:rsid w:val="00CA478A"/>
    <w:rsid w:val="00CA48F1"/>
    <w:rsid w:val="00CA4BEC"/>
    <w:rsid w:val="00CA50E5"/>
    <w:rsid w:val="00CA5165"/>
    <w:rsid w:val="00CA55F1"/>
    <w:rsid w:val="00CA5760"/>
    <w:rsid w:val="00CA67AD"/>
    <w:rsid w:val="00CA6AA7"/>
    <w:rsid w:val="00CA6BC2"/>
    <w:rsid w:val="00CA77B2"/>
    <w:rsid w:val="00CA7C99"/>
    <w:rsid w:val="00CB01F3"/>
    <w:rsid w:val="00CB01F7"/>
    <w:rsid w:val="00CB07FE"/>
    <w:rsid w:val="00CB10B6"/>
    <w:rsid w:val="00CB1352"/>
    <w:rsid w:val="00CB13B9"/>
    <w:rsid w:val="00CB143A"/>
    <w:rsid w:val="00CB1460"/>
    <w:rsid w:val="00CB1706"/>
    <w:rsid w:val="00CB1771"/>
    <w:rsid w:val="00CB1ED0"/>
    <w:rsid w:val="00CB2416"/>
    <w:rsid w:val="00CB25E8"/>
    <w:rsid w:val="00CB2A2F"/>
    <w:rsid w:val="00CB2B09"/>
    <w:rsid w:val="00CB3788"/>
    <w:rsid w:val="00CB3DFC"/>
    <w:rsid w:val="00CB414D"/>
    <w:rsid w:val="00CB5200"/>
    <w:rsid w:val="00CB5902"/>
    <w:rsid w:val="00CB5D7A"/>
    <w:rsid w:val="00CB5E22"/>
    <w:rsid w:val="00CB6250"/>
    <w:rsid w:val="00CB67B1"/>
    <w:rsid w:val="00CB6E75"/>
    <w:rsid w:val="00CB73A3"/>
    <w:rsid w:val="00CB7709"/>
    <w:rsid w:val="00CB7F35"/>
    <w:rsid w:val="00CC0019"/>
    <w:rsid w:val="00CC03F0"/>
    <w:rsid w:val="00CC0749"/>
    <w:rsid w:val="00CC07F5"/>
    <w:rsid w:val="00CC0D67"/>
    <w:rsid w:val="00CC199C"/>
    <w:rsid w:val="00CC1ECA"/>
    <w:rsid w:val="00CC25F0"/>
    <w:rsid w:val="00CC27E6"/>
    <w:rsid w:val="00CC28B3"/>
    <w:rsid w:val="00CC3531"/>
    <w:rsid w:val="00CC3871"/>
    <w:rsid w:val="00CC412E"/>
    <w:rsid w:val="00CC436D"/>
    <w:rsid w:val="00CC4403"/>
    <w:rsid w:val="00CC4589"/>
    <w:rsid w:val="00CC46F1"/>
    <w:rsid w:val="00CC5047"/>
    <w:rsid w:val="00CC5863"/>
    <w:rsid w:val="00CC58C6"/>
    <w:rsid w:val="00CC597D"/>
    <w:rsid w:val="00CC59B2"/>
    <w:rsid w:val="00CC5F82"/>
    <w:rsid w:val="00CC6427"/>
    <w:rsid w:val="00CC656E"/>
    <w:rsid w:val="00CC657F"/>
    <w:rsid w:val="00CC6602"/>
    <w:rsid w:val="00CC6A16"/>
    <w:rsid w:val="00CC6EA9"/>
    <w:rsid w:val="00CC712C"/>
    <w:rsid w:val="00CC7DCB"/>
    <w:rsid w:val="00CC7FD3"/>
    <w:rsid w:val="00CD0050"/>
    <w:rsid w:val="00CD1160"/>
    <w:rsid w:val="00CD16E9"/>
    <w:rsid w:val="00CD1843"/>
    <w:rsid w:val="00CD1932"/>
    <w:rsid w:val="00CD2B87"/>
    <w:rsid w:val="00CD2EB6"/>
    <w:rsid w:val="00CD31F5"/>
    <w:rsid w:val="00CD3C47"/>
    <w:rsid w:val="00CD3E0E"/>
    <w:rsid w:val="00CD42EE"/>
    <w:rsid w:val="00CD443E"/>
    <w:rsid w:val="00CD459C"/>
    <w:rsid w:val="00CD475F"/>
    <w:rsid w:val="00CD47D8"/>
    <w:rsid w:val="00CD496C"/>
    <w:rsid w:val="00CD4AC8"/>
    <w:rsid w:val="00CD4C85"/>
    <w:rsid w:val="00CD4E4D"/>
    <w:rsid w:val="00CD4F42"/>
    <w:rsid w:val="00CD504C"/>
    <w:rsid w:val="00CD5315"/>
    <w:rsid w:val="00CD5627"/>
    <w:rsid w:val="00CD577D"/>
    <w:rsid w:val="00CD679A"/>
    <w:rsid w:val="00CD67BF"/>
    <w:rsid w:val="00CD7130"/>
    <w:rsid w:val="00CD745B"/>
    <w:rsid w:val="00CD756D"/>
    <w:rsid w:val="00CD76AB"/>
    <w:rsid w:val="00CD76C9"/>
    <w:rsid w:val="00CE0882"/>
    <w:rsid w:val="00CE0E05"/>
    <w:rsid w:val="00CE0E45"/>
    <w:rsid w:val="00CE1C1E"/>
    <w:rsid w:val="00CE25D7"/>
    <w:rsid w:val="00CE2910"/>
    <w:rsid w:val="00CE2B64"/>
    <w:rsid w:val="00CE2F9E"/>
    <w:rsid w:val="00CE31E6"/>
    <w:rsid w:val="00CE3236"/>
    <w:rsid w:val="00CE3314"/>
    <w:rsid w:val="00CE3448"/>
    <w:rsid w:val="00CE382B"/>
    <w:rsid w:val="00CE405D"/>
    <w:rsid w:val="00CE489E"/>
    <w:rsid w:val="00CE4F13"/>
    <w:rsid w:val="00CE50FE"/>
    <w:rsid w:val="00CE5342"/>
    <w:rsid w:val="00CE5DF4"/>
    <w:rsid w:val="00CE630B"/>
    <w:rsid w:val="00CE6332"/>
    <w:rsid w:val="00CE66AB"/>
    <w:rsid w:val="00CE6748"/>
    <w:rsid w:val="00CE727C"/>
    <w:rsid w:val="00CE7B9B"/>
    <w:rsid w:val="00CE7C76"/>
    <w:rsid w:val="00CE7E27"/>
    <w:rsid w:val="00CE7E90"/>
    <w:rsid w:val="00CF0428"/>
    <w:rsid w:val="00CF06D5"/>
    <w:rsid w:val="00CF16A3"/>
    <w:rsid w:val="00CF2004"/>
    <w:rsid w:val="00CF214B"/>
    <w:rsid w:val="00CF24D6"/>
    <w:rsid w:val="00CF33EB"/>
    <w:rsid w:val="00CF355A"/>
    <w:rsid w:val="00CF36CF"/>
    <w:rsid w:val="00CF3D56"/>
    <w:rsid w:val="00CF3DBC"/>
    <w:rsid w:val="00CF40BC"/>
    <w:rsid w:val="00CF546E"/>
    <w:rsid w:val="00CF5521"/>
    <w:rsid w:val="00CF56C9"/>
    <w:rsid w:val="00CF5B36"/>
    <w:rsid w:val="00CF5CB5"/>
    <w:rsid w:val="00CF5D6D"/>
    <w:rsid w:val="00CF5E73"/>
    <w:rsid w:val="00CF5FBF"/>
    <w:rsid w:val="00CF634E"/>
    <w:rsid w:val="00CF644F"/>
    <w:rsid w:val="00CF67BB"/>
    <w:rsid w:val="00CF6E74"/>
    <w:rsid w:val="00CF6F7F"/>
    <w:rsid w:val="00CF763E"/>
    <w:rsid w:val="00CF7BB4"/>
    <w:rsid w:val="00D002A2"/>
    <w:rsid w:val="00D00531"/>
    <w:rsid w:val="00D0094A"/>
    <w:rsid w:val="00D00E45"/>
    <w:rsid w:val="00D0124A"/>
    <w:rsid w:val="00D01362"/>
    <w:rsid w:val="00D01394"/>
    <w:rsid w:val="00D01DD3"/>
    <w:rsid w:val="00D0291D"/>
    <w:rsid w:val="00D032D1"/>
    <w:rsid w:val="00D042E7"/>
    <w:rsid w:val="00D044CC"/>
    <w:rsid w:val="00D0457B"/>
    <w:rsid w:val="00D04E1A"/>
    <w:rsid w:val="00D051B7"/>
    <w:rsid w:val="00D055F3"/>
    <w:rsid w:val="00D0593A"/>
    <w:rsid w:val="00D05CF1"/>
    <w:rsid w:val="00D0661F"/>
    <w:rsid w:val="00D067D6"/>
    <w:rsid w:val="00D0685D"/>
    <w:rsid w:val="00D0691D"/>
    <w:rsid w:val="00D07017"/>
    <w:rsid w:val="00D07E39"/>
    <w:rsid w:val="00D07EA1"/>
    <w:rsid w:val="00D103E8"/>
    <w:rsid w:val="00D107EE"/>
    <w:rsid w:val="00D1113C"/>
    <w:rsid w:val="00D118DB"/>
    <w:rsid w:val="00D11A12"/>
    <w:rsid w:val="00D120A7"/>
    <w:rsid w:val="00D12197"/>
    <w:rsid w:val="00D121B1"/>
    <w:rsid w:val="00D12501"/>
    <w:rsid w:val="00D12CA8"/>
    <w:rsid w:val="00D12CC6"/>
    <w:rsid w:val="00D13405"/>
    <w:rsid w:val="00D1383D"/>
    <w:rsid w:val="00D13C06"/>
    <w:rsid w:val="00D13CA6"/>
    <w:rsid w:val="00D13EC9"/>
    <w:rsid w:val="00D14244"/>
    <w:rsid w:val="00D1513F"/>
    <w:rsid w:val="00D153D5"/>
    <w:rsid w:val="00D1565B"/>
    <w:rsid w:val="00D158B6"/>
    <w:rsid w:val="00D15CED"/>
    <w:rsid w:val="00D15E9F"/>
    <w:rsid w:val="00D15F85"/>
    <w:rsid w:val="00D164E4"/>
    <w:rsid w:val="00D166F6"/>
    <w:rsid w:val="00D17032"/>
    <w:rsid w:val="00D17056"/>
    <w:rsid w:val="00D1775A"/>
    <w:rsid w:val="00D177D6"/>
    <w:rsid w:val="00D17930"/>
    <w:rsid w:val="00D17ABE"/>
    <w:rsid w:val="00D2099B"/>
    <w:rsid w:val="00D20CF6"/>
    <w:rsid w:val="00D20EFB"/>
    <w:rsid w:val="00D211E6"/>
    <w:rsid w:val="00D21291"/>
    <w:rsid w:val="00D2192E"/>
    <w:rsid w:val="00D21A6F"/>
    <w:rsid w:val="00D21A83"/>
    <w:rsid w:val="00D21D04"/>
    <w:rsid w:val="00D2200B"/>
    <w:rsid w:val="00D223A8"/>
    <w:rsid w:val="00D228E8"/>
    <w:rsid w:val="00D2332A"/>
    <w:rsid w:val="00D235A6"/>
    <w:rsid w:val="00D2384A"/>
    <w:rsid w:val="00D23D67"/>
    <w:rsid w:val="00D243D4"/>
    <w:rsid w:val="00D245E6"/>
    <w:rsid w:val="00D24904"/>
    <w:rsid w:val="00D24FA5"/>
    <w:rsid w:val="00D24FF3"/>
    <w:rsid w:val="00D252A3"/>
    <w:rsid w:val="00D25395"/>
    <w:rsid w:val="00D2552A"/>
    <w:rsid w:val="00D2586B"/>
    <w:rsid w:val="00D25971"/>
    <w:rsid w:val="00D25B84"/>
    <w:rsid w:val="00D25C31"/>
    <w:rsid w:val="00D25DCD"/>
    <w:rsid w:val="00D2651A"/>
    <w:rsid w:val="00D26FB9"/>
    <w:rsid w:val="00D270D6"/>
    <w:rsid w:val="00D2730F"/>
    <w:rsid w:val="00D276C6"/>
    <w:rsid w:val="00D27884"/>
    <w:rsid w:val="00D30084"/>
    <w:rsid w:val="00D307F8"/>
    <w:rsid w:val="00D31000"/>
    <w:rsid w:val="00D31076"/>
    <w:rsid w:val="00D31313"/>
    <w:rsid w:val="00D313FD"/>
    <w:rsid w:val="00D319D6"/>
    <w:rsid w:val="00D31A2E"/>
    <w:rsid w:val="00D32177"/>
    <w:rsid w:val="00D321AA"/>
    <w:rsid w:val="00D32486"/>
    <w:rsid w:val="00D32700"/>
    <w:rsid w:val="00D3295A"/>
    <w:rsid w:val="00D32C14"/>
    <w:rsid w:val="00D331BF"/>
    <w:rsid w:val="00D33232"/>
    <w:rsid w:val="00D333E0"/>
    <w:rsid w:val="00D33507"/>
    <w:rsid w:val="00D33622"/>
    <w:rsid w:val="00D339F7"/>
    <w:rsid w:val="00D33FE1"/>
    <w:rsid w:val="00D3431B"/>
    <w:rsid w:val="00D34CE0"/>
    <w:rsid w:val="00D34F55"/>
    <w:rsid w:val="00D353E6"/>
    <w:rsid w:val="00D3559A"/>
    <w:rsid w:val="00D3599A"/>
    <w:rsid w:val="00D35DAC"/>
    <w:rsid w:val="00D363F4"/>
    <w:rsid w:val="00D366C8"/>
    <w:rsid w:val="00D371B2"/>
    <w:rsid w:val="00D3765E"/>
    <w:rsid w:val="00D37B93"/>
    <w:rsid w:val="00D37DB8"/>
    <w:rsid w:val="00D40624"/>
    <w:rsid w:val="00D40A89"/>
    <w:rsid w:val="00D412DF"/>
    <w:rsid w:val="00D4195D"/>
    <w:rsid w:val="00D41D33"/>
    <w:rsid w:val="00D429BC"/>
    <w:rsid w:val="00D43063"/>
    <w:rsid w:val="00D4314B"/>
    <w:rsid w:val="00D44087"/>
    <w:rsid w:val="00D441B6"/>
    <w:rsid w:val="00D442A7"/>
    <w:rsid w:val="00D44B5F"/>
    <w:rsid w:val="00D44CF1"/>
    <w:rsid w:val="00D44EBE"/>
    <w:rsid w:val="00D44F64"/>
    <w:rsid w:val="00D44F8D"/>
    <w:rsid w:val="00D451D0"/>
    <w:rsid w:val="00D452CE"/>
    <w:rsid w:val="00D45416"/>
    <w:rsid w:val="00D4544F"/>
    <w:rsid w:val="00D45476"/>
    <w:rsid w:val="00D45849"/>
    <w:rsid w:val="00D45A77"/>
    <w:rsid w:val="00D45B1F"/>
    <w:rsid w:val="00D47390"/>
    <w:rsid w:val="00D508FA"/>
    <w:rsid w:val="00D50DF9"/>
    <w:rsid w:val="00D514B5"/>
    <w:rsid w:val="00D514DD"/>
    <w:rsid w:val="00D515EA"/>
    <w:rsid w:val="00D51F38"/>
    <w:rsid w:val="00D51FA4"/>
    <w:rsid w:val="00D5222E"/>
    <w:rsid w:val="00D523D4"/>
    <w:rsid w:val="00D52D5C"/>
    <w:rsid w:val="00D52DED"/>
    <w:rsid w:val="00D53122"/>
    <w:rsid w:val="00D53669"/>
    <w:rsid w:val="00D53F40"/>
    <w:rsid w:val="00D541F3"/>
    <w:rsid w:val="00D54FA1"/>
    <w:rsid w:val="00D55177"/>
    <w:rsid w:val="00D5536C"/>
    <w:rsid w:val="00D55712"/>
    <w:rsid w:val="00D55DE5"/>
    <w:rsid w:val="00D55F64"/>
    <w:rsid w:val="00D56006"/>
    <w:rsid w:val="00D56130"/>
    <w:rsid w:val="00D56283"/>
    <w:rsid w:val="00D563B8"/>
    <w:rsid w:val="00D563BD"/>
    <w:rsid w:val="00D565A2"/>
    <w:rsid w:val="00D569CA"/>
    <w:rsid w:val="00D573EA"/>
    <w:rsid w:val="00D57793"/>
    <w:rsid w:val="00D57813"/>
    <w:rsid w:val="00D57AD1"/>
    <w:rsid w:val="00D57CEF"/>
    <w:rsid w:val="00D57DF1"/>
    <w:rsid w:val="00D6021C"/>
    <w:rsid w:val="00D60496"/>
    <w:rsid w:val="00D60B88"/>
    <w:rsid w:val="00D60B8C"/>
    <w:rsid w:val="00D60BF8"/>
    <w:rsid w:val="00D610E0"/>
    <w:rsid w:val="00D6151D"/>
    <w:rsid w:val="00D6224C"/>
    <w:rsid w:val="00D626B6"/>
    <w:rsid w:val="00D62B2B"/>
    <w:rsid w:val="00D62DF5"/>
    <w:rsid w:val="00D6373F"/>
    <w:rsid w:val="00D63E61"/>
    <w:rsid w:val="00D64B1B"/>
    <w:rsid w:val="00D64F93"/>
    <w:rsid w:val="00D650CC"/>
    <w:rsid w:val="00D66937"/>
    <w:rsid w:val="00D66CB7"/>
    <w:rsid w:val="00D66CC3"/>
    <w:rsid w:val="00D67327"/>
    <w:rsid w:val="00D6744F"/>
    <w:rsid w:val="00D678F2"/>
    <w:rsid w:val="00D67B2F"/>
    <w:rsid w:val="00D67C9D"/>
    <w:rsid w:val="00D704C3"/>
    <w:rsid w:val="00D705F9"/>
    <w:rsid w:val="00D70686"/>
    <w:rsid w:val="00D708B9"/>
    <w:rsid w:val="00D70FF2"/>
    <w:rsid w:val="00D717E8"/>
    <w:rsid w:val="00D721BC"/>
    <w:rsid w:val="00D7282E"/>
    <w:rsid w:val="00D72D21"/>
    <w:rsid w:val="00D7302B"/>
    <w:rsid w:val="00D730F3"/>
    <w:rsid w:val="00D735E8"/>
    <w:rsid w:val="00D739AA"/>
    <w:rsid w:val="00D73FF7"/>
    <w:rsid w:val="00D74104"/>
    <w:rsid w:val="00D74145"/>
    <w:rsid w:val="00D7417C"/>
    <w:rsid w:val="00D744F4"/>
    <w:rsid w:val="00D74600"/>
    <w:rsid w:val="00D74875"/>
    <w:rsid w:val="00D7503D"/>
    <w:rsid w:val="00D75205"/>
    <w:rsid w:val="00D752E5"/>
    <w:rsid w:val="00D765B8"/>
    <w:rsid w:val="00D769E3"/>
    <w:rsid w:val="00D76ACF"/>
    <w:rsid w:val="00D76B8D"/>
    <w:rsid w:val="00D77470"/>
    <w:rsid w:val="00D77D4F"/>
    <w:rsid w:val="00D77E4D"/>
    <w:rsid w:val="00D80135"/>
    <w:rsid w:val="00D804FA"/>
    <w:rsid w:val="00D806B0"/>
    <w:rsid w:val="00D8125A"/>
    <w:rsid w:val="00D81368"/>
    <w:rsid w:val="00D81728"/>
    <w:rsid w:val="00D81BEE"/>
    <w:rsid w:val="00D81E2B"/>
    <w:rsid w:val="00D8258B"/>
    <w:rsid w:val="00D8357C"/>
    <w:rsid w:val="00D8382E"/>
    <w:rsid w:val="00D84754"/>
    <w:rsid w:val="00D84865"/>
    <w:rsid w:val="00D84F6F"/>
    <w:rsid w:val="00D85136"/>
    <w:rsid w:val="00D854BA"/>
    <w:rsid w:val="00D8568F"/>
    <w:rsid w:val="00D85AA2"/>
    <w:rsid w:val="00D86388"/>
    <w:rsid w:val="00D8642F"/>
    <w:rsid w:val="00D86B59"/>
    <w:rsid w:val="00D86C97"/>
    <w:rsid w:val="00D86D70"/>
    <w:rsid w:val="00D8716C"/>
    <w:rsid w:val="00D871D7"/>
    <w:rsid w:val="00D874F6"/>
    <w:rsid w:val="00D8777C"/>
    <w:rsid w:val="00D87BA0"/>
    <w:rsid w:val="00D87CBB"/>
    <w:rsid w:val="00D90005"/>
    <w:rsid w:val="00D9003D"/>
    <w:rsid w:val="00D90302"/>
    <w:rsid w:val="00D90BFD"/>
    <w:rsid w:val="00D90DDC"/>
    <w:rsid w:val="00D91223"/>
    <w:rsid w:val="00D91260"/>
    <w:rsid w:val="00D91368"/>
    <w:rsid w:val="00D91478"/>
    <w:rsid w:val="00D92094"/>
    <w:rsid w:val="00D920B7"/>
    <w:rsid w:val="00D92219"/>
    <w:rsid w:val="00D9253E"/>
    <w:rsid w:val="00D93282"/>
    <w:rsid w:val="00D9345E"/>
    <w:rsid w:val="00D93DB0"/>
    <w:rsid w:val="00D93E23"/>
    <w:rsid w:val="00D93FA0"/>
    <w:rsid w:val="00D9418F"/>
    <w:rsid w:val="00D9419F"/>
    <w:rsid w:val="00D94B32"/>
    <w:rsid w:val="00D94E5D"/>
    <w:rsid w:val="00D94F2C"/>
    <w:rsid w:val="00D955CD"/>
    <w:rsid w:val="00D95CC0"/>
    <w:rsid w:val="00D95E24"/>
    <w:rsid w:val="00D96882"/>
    <w:rsid w:val="00D96A0F"/>
    <w:rsid w:val="00D96A42"/>
    <w:rsid w:val="00D96C4F"/>
    <w:rsid w:val="00D96FEC"/>
    <w:rsid w:val="00D974E1"/>
    <w:rsid w:val="00D977EE"/>
    <w:rsid w:val="00D97BFF"/>
    <w:rsid w:val="00DA0489"/>
    <w:rsid w:val="00DA06D1"/>
    <w:rsid w:val="00DA12D8"/>
    <w:rsid w:val="00DA1302"/>
    <w:rsid w:val="00DA1E32"/>
    <w:rsid w:val="00DA2108"/>
    <w:rsid w:val="00DA23FD"/>
    <w:rsid w:val="00DA2908"/>
    <w:rsid w:val="00DA29B7"/>
    <w:rsid w:val="00DA32ED"/>
    <w:rsid w:val="00DA33CF"/>
    <w:rsid w:val="00DA37B5"/>
    <w:rsid w:val="00DA38C7"/>
    <w:rsid w:val="00DA3936"/>
    <w:rsid w:val="00DA3C3E"/>
    <w:rsid w:val="00DA407F"/>
    <w:rsid w:val="00DA40D3"/>
    <w:rsid w:val="00DA41B6"/>
    <w:rsid w:val="00DA4DED"/>
    <w:rsid w:val="00DA4FA7"/>
    <w:rsid w:val="00DA53E3"/>
    <w:rsid w:val="00DA56C0"/>
    <w:rsid w:val="00DA5722"/>
    <w:rsid w:val="00DA5778"/>
    <w:rsid w:val="00DA59C9"/>
    <w:rsid w:val="00DA5CCE"/>
    <w:rsid w:val="00DA612E"/>
    <w:rsid w:val="00DA6150"/>
    <w:rsid w:val="00DA64E0"/>
    <w:rsid w:val="00DA6512"/>
    <w:rsid w:val="00DA677E"/>
    <w:rsid w:val="00DA68F5"/>
    <w:rsid w:val="00DA6BCC"/>
    <w:rsid w:val="00DA6C09"/>
    <w:rsid w:val="00DA6CCF"/>
    <w:rsid w:val="00DA6E8F"/>
    <w:rsid w:val="00DA79D9"/>
    <w:rsid w:val="00DA7B90"/>
    <w:rsid w:val="00DA7D4E"/>
    <w:rsid w:val="00DA7DF7"/>
    <w:rsid w:val="00DB11AC"/>
    <w:rsid w:val="00DB16EF"/>
    <w:rsid w:val="00DB1A09"/>
    <w:rsid w:val="00DB1F8C"/>
    <w:rsid w:val="00DB3736"/>
    <w:rsid w:val="00DB3872"/>
    <w:rsid w:val="00DB3D0A"/>
    <w:rsid w:val="00DB47D6"/>
    <w:rsid w:val="00DB52F5"/>
    <w:rsid w:val="00DB542C"/>
    <w:rsid w:val="00DB5E4F"/>
    <w:rsid w:val="00DB656A"/>
    <w:rsid w:val="00DB65D6"/>
    <w:rsid w:val="00DB7339"/>
    <w:rsid w:val="00DB7416"/>
    <w:rsid w:val="00DB7521"/>
    <w:rsid w:val="00DB75B7"/>
    <w:rsid w:val="00DC082D"/>
    <w:rsid w:val="00DC0BDF"/>
    <w:rsid w:val="00DC11DB"/>
    <w:rsid w:val="00DC1C82"/>
    <w:rsid w:val="00DC1D72"/>
    <w:rsid w:val="00DC1D9A"/>
    <w:rsid w:val="00DC1DF5"/>
    <w:rsid w:val="00DC246F"/>
    <w:rsid w:val="00DC27FE"/>
    <w:rsid w:val="00DC302E"/>
    <w:rsid w:val="00DC335B"/>
    <w:rsid w:val="00DC3684"/>
    <w:rsid w:val="00DC3F35"/>
    <w:rsid w:val="00DC3F85"/>
    <w:rsid w:val="00DC4064"/>
    <w:rsid w:val="00DC42B8"/>
    <w:rsid w:val="00DC4C72"/>
    <w:rsid w:val="00DC53CA"/>
    <w:rsid w:val="00DC58F4"/>
    <w:rsid w:val="00DC5B54"/>
    <w:rsid w:val="00DC5BAF"/>
    <w:rsid w:val="00DC5D32"/>
    <w:rsid w:val="00DC5E5C"/>
    <w:rsid w:val="00DC690C"/>
    <w:rsid w:val="00DC6A2A"/>
    <w:rsid w:val="00DC6A5C"/>
    <w:rsid w:val="00DC6C4D"/>
    <w:rsid w:val="00DC6C85"/>
    <w:rsid w:val="00DC71B2"/>
    <w:rsid w:val="00DC73D1"/>
    <w:rsid w:val="00DC745D"/>
    <w:rsid w:val="00DC79C6"/>
    <w:rsid w:val="00DC7D35"/>
    <w:rsid w:val="00DD025D"/>
    <w:rsid w:val="00DD03C8"/>
    <w:rsid w:val="00DD044E"/>
    <w:rsid w:val="00DD0BD3"/>
    <w:rsid w:val="00DD0BD5"/>
    <w:rsid w:val="00DD0C68"/>
    <w:rsid w:val="00DD0E64"/>
    <w:rsid w:val="00DD1023"/>
    <w:rsid w:val="00DD1D2F"/>
    <w:rsid w:val="00DD1EBF"/>
    <w:rsid w:val="00DD24A4"/>
    <w:rsid w:val="00DD2C46"/>
    <w:rsid w:val="00DD3852"/>
    <w:rsid w:val="00DD38C2"/>
    <w:rsid w:val="00DD4E17"/>
    <w:rsid w:val="00DD539D"/>
    <w:rsid w:val="00DD62EF"/>
    <w:rsid w:val="00DD6704"/>
    <w:rsid w:val="00DD6A32"/>
    <w:rsid w:val="00DD6C35"/>
    <w:rsid w:val="00DD6E54"/>
    <w:rsid w:val="00DD7010"/>
    <w:rsid w:val="00DD71EC"/>
    <w:rsid w:val="00DD753B"/>
    <w:rsid w:val="00DD76EA"/>
    <w:rsid w:val="00DD7FE6"/>
    <w:rsid w:val="00DE01E3"/>
    <w:rsid w:val="00DE071C"/>
    <w:rsid w:val="00DE0B94"/>
    <w:rsid w:val="00DE1026"/>
    <w:rsid w:val="00DE10F4"/>
    <w:rsid w:val="00DE17F1"/>
    <w:rsid w:val="00DE1BC1"/>
    <w:rsid w:val="00DE1D9F"/>
    <w:rsid w:val="00DE284E"/>
    <w:rsid w:val="00DE3001"/>
    <w:rsid w:val="00DE32B9"/>
    <w:rsid w:val="00DE3466"/>
    <w:rsid w:val="00DE3AC3"/>
    <w:rsid w:val="00DE3D14"/>
    <w:rsid w:val="00DE3E4E"/>
    <w:rsid w:val="00DE4040"/>
    <w:rsid w:val="00DE4112"/>
    <w:rsid w:val="00DE4280"/>
    <w:rsid w:val="00DE47F5"/>
    <w:rsid w:val="00DE4B2F"/>
    <w:rsid w:val="00DE5434"/>
    <w:rsid w:val="00DE57D7"/>
    <w:rsid w:val="00DE59CF"/>
    <w:rsid w:val="00DE5FFE"/>
    <w:rsid w:val="00DE69FF"/>
    <w:rsid w:val="00DE7096"/>
    <w:rsid w:val="00DE70E2"/>
    <w:rsid w:val="00DF005F"/>
    <w:rsid w:val="00DF0442"/>
    <w:rsid w:val="00DF0562"/>
    <w:rsid w:val="00DF06BB"/>
    <w:rsid w:val="00DF0FB1"/>
    <w:rsid w:val="00DF12E9"/>
    <w:rsid w:val="00DF14DC"/>
    <w:rsid w:val="00DF1676"/>
    <w:rsid w:val="00DF1BF4"/>
    <w:rsid w:val="00DF1DC3"/>
    <w:rsid w:val="00DF1FB4"/>
    <w:rsid w:val="00DF202E"/>
    <w:rsid w:val="00DF347B"/>
    <w:rsid w:val="00DF3519"/>
    <w:rsid w:val="00DF3AC9"/>
    <w:rsid w:val="00DF3BF4"/>
    <w:rsid w:val="00DF3FBA"/>
    <w:rsid w:val="00DF4226"/>
    <w:rsid w:val="00DF4A0E"/>
    <w:rsid w:val="00DF4B51"/>
    <w:rsid w:val="00DF4D06"/>
    <w:rsid w:val="00DF4D83"/>
    <w:rsid w:val="00DF4D9D"/>
    <w:rsid w:val="00DF51E7"/>
    <w:rsid w:val="00DF5268"/>
    <w:rsid w:val="00DF53B8"/>
    <w:rsid w:val="00DF56E2"/>
    <w:rsid w:val="00DF5D2A"/>
    <w:rsid w:val="00DF648A"/>
    <w:rsid w:val="00DF67B2"/>
    <w:rsid w:val="00DF6B9C"/>
    <w:rsid w:val="00DF6E9E"/>
    <w:rsid w:val="00DF7153"/>
    <w:rsid w:val="00DF746A"/>
    <w:rsid w:val="00DF791E"/>
    <w:rsid w:val="00DF7C38"/>
    <w:rsid w:val="00DF7D7D"/>
    <w:rsid w:val="00DF7FEF"/>
    <w:rsid w:val="00E00047"/>
    <w:rsid w:val="00E0050F"/>
    <w:rsid w:val="00E005C5"/>
    <w:rsid w:val="00E0070D"/>
    <w:rsid w:val="00E00B32"/>
    <w:rsid w:val="00E00E8E"/>
    <w:rsid w:val="00E0189B"/>
    <w:rsid w:val="00E01BA3"/>
    <w:rsid w:val="00E02101"/>
    <w:rsid w:val="00E0225C"/>
    <w:rsid w:val="00E02986"/>
    <w:rsid w:val="00E029E6"/>
    <w:rsid w:val="00E03100"/>
    <w:rsid w:val="00E03511"/>
    <w:rsid w:val="00E03814"/>
    <w:rsid w:val="00E03870"/>
    <w:rsid w:val="00E03A5B"/>
    <w:rsid w:val="00E03B3C"/>
    <w:rsid w:val="00E03C33"/>
    <w:rsid w:val="00E0405C"/>
    <w:rsid w:val="00E041C5"/>
    <w:rsid w:val="00E046C8"/>
    <w:rsid w:val="00E0484D"/>
    <w:rsid w:val="00E04FE0"/>
    <w:rsid w:val="00E063D1"/>
    <w:rsid w:val="00E0642B"/>
    <w:rsid w:val="00E067A3"/>
    <w:rsid w:val="00E06A65"/>
    <w:rsid w:val="00E06D52"/>
    <w:rsid w:val="00E074F6"/>
    <w:rsid w:val="00E079A6"/>
    <w:rsid w:val="00E07A67"/>
    <w:rsid w:val="00E07EF5"/>
    <w:rsid w:val="00E107F4"/>
    <w:rsid w:val="00E1082B"/>
    <w:rsid w:val="00E11519"/>
    <w:rsid w:val="00E11B27"/>
    <w:rsid w:val="00E11D0A"/>
    <w:rsid w:val="00E124CE"/>
    <w:rsid w:val="00E1281C"/>
    <w:rsid w:val="00E12A4A"/>
    <w:rsid w:val="00E12E1B"/>
    <w:rsid w:val="00E12FCD"/>
    <w:rsid w:val="00E13678"/>
    <w:rsid w:val="00E13798"/>
    <w:rsid w:val="00E138CD"/>
    <w:rsid w:val="00E13AA7"/>
    <w:rsid w:val="00E13DD5"/>
    <w:rsid w:val="00E1493B"/>
    <w:rsid w:val="00E149AB"/>
    <w:rsid w:val="00E14E2C"/>
    <w:rsid w:val="00E15C5A"/>
    <w:rsid w:val="00E17063"/>
    <w:rsid w:val="00E17642"/>
    <w:rsid w:val="00E176CA"/>
    <w:rsid w:val="00E17793"/>
    <w:rsid w:val="00E17F5C"/>
    <w:rsid w:val="00E202B9"/>
    <w:rsid w:val="00E203E1"/>
    <w:rsid w:val="00E204EC"/>
    <w:rsid w:val="00E20759"/>
    <w:rsid w:val="00E2098A"/>
    <w:rsid w:val="00E20C7C"/>
    <w:rsid w:val="00E20FFE"/>
    <w:rsid w:val="00E21099"/>
    <w:rsid w:val="00E21657"/>
    <w:rsid w:val="00E216D3"/>
    <w:rsid w:val="00E21D8F"/>
    <w:rsid w:val="00E21F1D"/>
    <w:rsid w:val="00E22322"/>
    <w:rsid w:val="00E22BCB"/>
    <w:rsid w:val="00E22CA5"/>
    <w:rsid w:val="00E23460"/>
    <w:rsid w:val="00E2385F"/>
    <w:rsid w:val="00E24C45"/>
    <w:rsid w:val="00E24E3C"/>
    <w:rsid w:val="00E25091"/>
    <w:rsid w:val="00E258A1"/>
    <w:rsid w:val="00E25E8E"/>
    <w:rsid w:val="00E26930"/>
    <w:rsid w:val="00E26CA6"/>
    <w:rsid w:val="00E26FC5"/>
    <w:rsid w:val="00E27447"/>
    <w:rsid w:val="00E27929"/>
    <w:rsid w:val="00E27936"/>
    <w:rsid w:val="00E27A76"/>
    <w:rsid w:val="00E27F88"/>
    <w:rsid w:val="00E3014C"/>
    <w:rsid w:val="00E304B0"/>
    <w:rsid w:val="00E308AB"/>
    <w:rsid w:val="00E30A55"/>
    <w:rsid w:val="00E30BF0"/>
    <w:rsid w:val="00E3178E"/>
    <w:rsid w:val="00E317A6"/>
    <w:rsid w:val="00E319F8"/>
    <w:rsid w:val="00E31B0A"/>
    <w:rsid w:val="00E32022"/>
    <w:rsid w:val="00E3268A"/>
    <w:rsid w:val="00E32BCC"/>
    <w:rsid w:val="00E3340F"/>
    <w:rsid w:val="00E336B1"/>
    <w:rsid w:val="00E34539"/>
    <w:rsid w:val="00E348B8"/>
    <w:rsid w:val="00E349FC"/>
    <w:rsid w:val="00E35141"/>
    <w:rsid w:val="00E35656"/>
    <w:rsid w:val="00E35D06"/>
    <w:rsid w:val="00E35D0C"/>
    <w:rsid w:val="00E36303"/>
    <w:rsid w:val="00E363C9"/>
    <w:rsid w:val="00E363F8"/>
    <w:rsid w:val="00E367F0"/>
    <w:rsid w:val="00E3689E"/>
    <w:rsid w:val="00E36BB2"/>
    <w:rsid w:val="00E36F28"/>
    <w:rsid w:val="00E37045"/>
    <w:rsid w:val="00E372DE"/>
    <w:rsid w:val="00E37481"/>
    <w:rsid w:val="00E374A7"/>
    <w:rsid w:val="00E402DA"/>
    <w:rsid w:val="00E406E3"/>
    <w:rsid w:val="00E40C70"/>
    <w:rsid w:val="00E41191"/>
    <w:rsid w:val="00E41371"/>
    <w:rsid w:val="00E413D6"/>
    <w:rsid w:val="00E41407"/>
    <w:rsid w:val="00E41D8A"/>
    <w:rsid w:val="00E4215A"/>
    <w:rsid w:val="00E42282"/>
    <w:rsid w:val="00E4261E"/>
    <w:rsid w:val="00E42784"/>
    <w:rsid w:val="00E42E4F"/>
    <w:rsid w:val="00E4302B"/>
    <w:rsid w:val="00E432CA"/>
    <w:rsid w:val="00E434B1"/>
    <w:rsid w:val="00E437EE"/>
    <w:rsid w:val="00E4387A"/>
    <w:rsid w:val="00E43EDD"/>
    <w:rsid w:val="00E440A7"/>
    <w:rsid w:val="00E44185"/>
    <w:rsid w:val="00E444B3"/>
    <w:rsid w:val="00E44505"/>
    <w:rsid w:val="00E44DD2"/>
    <w:rsid w:val="00E4506E"/>
    <w:rsid w:val="00E452DE"/>
    <w:rsid w:val="00E454C2"/>
    <w:rsid w:val="00E45567"/>
    <w:rsid w:val="00E46C01"/>
    <w:rsid w:val="00E46FFA"/>
    <w:rsid w:val="00E47400"/>
    <w:rsid w:val="00E4764D"/>
    <w:rsid w:val="00E50564"/>
    <w:rsid w:val="00E5087E"/>
    <w:rsid w:val="00E50CB6"/>
    <w:rsid w:val="00E50F6E"/>
    <w:rsid w:val="00E51B31"/>
    <w:rsid w:val="00E52013"/>
    <w:rsid w:val="00E52045"/>
    <w:rsid w:val="00E52382"/>
    <w:rsid w:val="00E52456"/>
    <w:rsid w:val="00E52489"/>
    <w:rsid w:val="00E52493"/>
    <w:rsid w:val="00E527A6"/>
    <w:rsid w:val="00E52FC5"/>
    <w:rsid w:val="00E5306F"/>
    <w:rsid w:val="00E53416"/>
    <w:rsid w:val="00E53840"/>
    <w:rsid w:val="00E53979"/>
    <w:rsid w:val="00E53A37"/>
    <w:rsid w:val="00E53F57"/>
    <w:rsid w:val="00E543AA"/>
    <w:rsid w:val="00E54656"/>
    <w:rsid w:val="00E547F7"/>
    <w:rsid w:val="00E549EE"/>
    <w:rsid w:val="00E54B91"/>
    <w:rsid w:val="00E54CC1"/>
    <w:rsid w:val="00E54CE6"/>
    <w:rsid w:val="00E55073"/>
    <w:rsid w:val="00E556CB"/>
    <w:rsid w:val="00E556FB"/>
    <w:rsid w:val="00E55810"/>
    <w:rsid w:val="00E558AE"/>
    <w:rsid w:val="00E55AF6"/>
    <w:rsid w:val="00E55C22"/>
    <w:rsid w:val="00E55D25"/>
    <w:rsid w:val="00E55D7D"/>
    <w:rsid w:val="00E569A3"/>
    <w:rsid w:val="00E57A35"/>
    <w:rsid w:val="00E57CE3"/>
    <w:rsid w:val="00E57D3E"/>
    <w:rsid w:val="00E57EA8"/>
    <w:rsid w:val="00E605EB"/>
    <w:rsid w:val="00E60BCB"/>
    <w:rsid w:val="00E60F2D"/>
    <w:rsid w:val="00E61A8E"/>
    <w:rsid w:val="00E623F1"/>
    <w:rsid w:val="00E6298B"/>
    <w:rsid w:val="00E62D46"/>
    <w:rsid w:val="00E6337B"/>
    <w:rsid w:val="00E634F5"/>
    <w:rsid w:val="00E642A3"/>
    <w:rsid w:val="00E648F7"/>
    <w:rsid w:val="00E6498E"/>
    <w:rsid w:val="00E655A1"/>
    <w:rsid w:val="00E65AB6"/>
    <w:rsid w:val="00E660EF"/>
    <w:rsid w:val="00E664E9"/>
    <w:rsid w:val="00E664FC"/>
    <w:rsid w:val="00E6660B"/>
    <w:rsid w:val="00E66643"/>
    <w:rsid w:val="00E66905"/>
    <w:rsid w:val="00E66BB8"/>
    <w:rsid w:val="00E6700E"/>
    <w:rsid w:val="00E67252"/>
    <w:rsid w:val="00E6729F"/>
    <w:rsid w:val="00E672A4"/>
    <w:rsid w:val="00E67554"/>
    <w:rsid w:val="00E678CC"/>
    <w:rsid w:val="00E678F1"/>
    <w:rsid w:val="00E703C2"/>
    <w:rsid w:val="00E7063D"/>
    <w:rsid w:val="00E706AA"/>
    <w:rsid w:val="00E70991"/>
    <w:rsid w:val="00E70FC7"/>
    <w:rsid w:val="00E70FF7"/>
    <w:rsid w:val="00E719D3"/>
    <w:rsid w:val="00E71CEC"/>
    <w:rsid w:val="00E71CF0"/>
    <w:rsid w:val="00E727D9"/>
    <w:rsid w:val="00E72B0D"/>
    <w:rsid w:val="00E7337F"/>
    <w:rsid w:val="00E734C2"/>
    <w:rsid w:val="00E73841"/>
    <w:rsid w:val="00E73DCF"/>
    <w:rsid w:val="00E74170"/>
    <w:rsid w:val="00E741F8"/>
    <w:rsid w:val="00E743A4"/>
    <w:rsid w:val="00E74A5A"/>
    <w:rsid w:val="00E76033"/>
    <w:rsid w:val="00E76660"/>
    <w:rsid w:val="00E76686"/>
    <w:rsid w:val="00E76F3E"/>
    <w:rsid w:val="00E77723"/>
    <w:rsid w:val="00E778B3"/>
    <w:rsid w:val="00E77C53"/>
    <w:rsid w:val="00E81C71"/>
    <w:rsid w:val="00E81F0C"/>
    <w:rsid w:val="00E825BB"/>
    <w:rsid w:val="00E840DF"/>
    <w:rsid w:val="00E84288"/>
    <w:rsid w:val="00E843E1"/>
    <w:rsid w:val="00E84CCB"/>
    <w:rsid w:val="00E84E52"/>
    <w:rsid w:val="00E84F49"/>
    <w:rsid w:val="00E8518A"/>
    <w:rsid w:val="00E8546A"/>
    <w:rsid w:val="00E8552D"/>
    <w:rsid w:val="00E859DE"/>
    <w:rsid w:val="00E85F39"/>
    <w:rsid w:val="00E8649B"/>
    <w:rsid w:val="00E8674A"/>
    <w:rsid w:val="00E86925"/>
    <w:rsid w:val="00E86963"/>
    <w:rsid w:val="00E86DED"/>
    <w:rsid w:val="00E870D4"/>
    <w:rsid w:val="00E87300"/>
    <w:rsid w:val="00E873FA"/>
    <w:rsid w:val="00E87589"/>
    <w:rsid w:val="00E87734"/>
    <w:rsid w:val="00E87BE9"/>
    <w:rsid w:val="00E90610"/>
    <w:rsid w:val="00E90641"/>
    <w:rsid w:val="00E906A8"/>
    <w:rsid w:val="00E90C25"/>
    <w:rsid w:val="00E90E7B"/>
    <w:rsid w:val="00E911EE"/>
    <w:rsid w:val="00E91249"/>
    <w:rsid w:val="00E912C2"/>
    <w:rsid w:val="00E918F5"/>
    <w:rsid w:val="00E91A61"/>
    <w:rsid w:val="00E922E3"/>
    <w:rsid w:val="00E92398"/>
    <w:rsid w:val="00E92422"/>
    <w:rsid w:val="00E92CAA"/>
    <w:rsid w:val="00E93442"/>
    <w:rsid w:val="00E935CB"/>
    <w:rsid w:val="00E938CF"/>
    <w:rsid w:val="00E93B22"/>
    <w:rsid w:val="00E940E7"/>
    <w:rsid w:val="00E94350"/>
    <w:rsid w:val="00E9461E"/>
    <w:rsid w:val="00E947C1"/>
    <w:rsid w:val="00E95526"/>
    <w:rsid w:val="00E9594A"/>
    <w:rsid w:val="00E95B28"/>
    <w:rsid w:val="00E95BC8"/>
    <w:rsid w:val="00E95E88"/>
    <w:rsid w:val="00E96224"/>
    <w:rsid w:val="00E968E6"/>
    <w:rsid w:val="00E96D47"/>
    <w:rsid w:val="00E97210"/>
    <w:rsid w:val="00E974C2"/>
    <w:rsid w:val="00E9774F"/>
    <w:rsid w:val="00E97E1E"/>
    <w:rsid w:val="00E97FE9"/>
    <w:rsid w:val="00EA0DFD"/>
    <w:rsid w:val="00EA100C"/>
    <w:rsid w:val="00EA11C0"/>
    <w:rsid w:val="00EA1552"/>
    <w:rsid w:val="00EA16A2"/>
    <w:rsid w:val="00EA1E70"/>
    <w:rsid w:val="00EA1FA9"/>
    <w:rsid w:val="00EA25D4"/>
    <w:rsid w:val="00EA273F"/>
    <w:rsid w:val="00EA27FB"/>
    <w:rsid w:val="00EA27FE"/>
    <w:rsid w:val="00EA2949"/>
    <w:rsid w:val="00EA2A1E"/>
    <w:rsid w:val="00EA2F87"/>
    <w:rsid w:val="00EA415C"/>
    <w:rsid w:val="00EA4686"/>
    <w:rsid w:val="00EA472E"/>
    <w:rsid w:val="00EA4797"/>
    <w:rsid w:val="00EA4810"/>
    <w:rsid w:val="00EA5021"/>
    <w:rsid w:val="00EA5B23"/>
    <w:rsid w:val="00EA5B64"/>
    <w:rsid w:val="00EA5CB9"/>
    <w:rsid w:val="00EA61C3"/>
    <w:rsid w:val="00EA6415"/>
    <w:rsid w:val="00EA6CE5"/>
    <w:rsid w:val="00EA747A"/>
    <w:rsid w:val="00EA7EB9"/>
    <w:rsid w:val="00EB040D"/>
    <w:rsid w:val="00EB0495"/>
    <w:rsid w:val="00EB0500"/>
    <w:rsid w:val="00EB0B40"/>
    <w:rsid w:val="00EB0C8F"/>
    <w:rsid w:val="00EB1A4E"/>
    <w:rsid w:val="00EB1B68"/>
    <w:rsid w:val="00EB1C0E"/>
    <w:rsid w:val="00EB1E9D"/>
    <w:rsid w:val="00EB32CD"/>
    <w:rsid w:val="00EB44AA"/>
    <w:rsid w:val="00EB4BA2"/>
    <w:rsid w:val="00EB4EBE"/>
    <w:rsid w:val="00EB57BC"/>
    <w:rsid w:val="00EB596A"/>
    <w:rsid w:val="00EB5B4A"/>
    <w:rsid w:val="00EB5DD3"/>
    <w:rsid w:val="00EB5DFF"/>
    <w:rsid w:val="00EB600E"/>
    <w:rsid w:val="00EB6A59"/>
    <w:rsid w:val="00EB6ACF"/>
    <w:rsid w:val="00EB6D48"/>
    <w:rsid w:val="00EB74CD"/>
    <w:rsid w:val="00EB7AC8"/>
    <w:rsid w:val="00EC09C1"/>
    <w:rsid w:val="00EC09DE"/>
    <w:rsid w:val="00EC0E74"/>
    <w:rsid w:val="00EC1538"/>
    <w:rsid w:val="00EC15A7"/>
    <w:rsid w:val="00EC16A5"/>
    <w:rsid w:val="00EC1A90"/>
    <w:rsid w:val="00EC24DE"/>
    <w:rsid w:val="00EC261B"/>
    <w:rsid w:val="00EC27A7"/>
    <w:rsid w:val="00EC3031"/>
    <w:rsid w:val="00EC3BC0"/>
    <w:rsid w:val="00EC4479"/>
    <w:rsid w:val="00EC4482"/>
    <w:rsid w:val="00EC4EB5"/>
    <w:rsid w:val="00EC5121"/>
    <w:rsid w:val="00EC5152"/>
    <w:rsid w:val="00EC55DC"/>
    <w:rsid w:val="00EC5B58"/>
    <w:rsid w:val="00EC6319"/>
    <w:rsid w:val="00EC68F9"/>
    <w:rsid w:val="00EC71C8"/>
    <w:rsid w:val="00EC76DD"/>
    <w:rsid w:val="00EC7882"/>
    <w:rsid w:val="00EC7C2D"/>
    <w:rsid w:val="00EC7D23"/>
    <w:rsid w:val="00EC7D63"/>
    <w:rsid w:val="00EC7DEF"/>
    <w:rsid w:val="00EC7ECE"/>
    <w:rsid w:val="00ED0CA9"/>
    <w:rsid w:val="00ED1027"/>
    <w:rsid w:val="00ED12EF"/>
    <w:rsid w:val="00ED15EC"/>
    <w:rsid w:val="00ED17CB"/>
    <w:rsid w:val="00ED1E8C"/>
    <w:rsid w:val="00ED2388"/>
    <w:rsid w:val="00ED25BC"/>
    <w:rsid w:val="00ED32E8"/>
    <w:rsid w:val="00ED3430"/>
    <w:rsid w:val="00ED38F3"/>
    <w:rsid w:val="00ED3AF4"/>
    <w:rsid w:val="00ED3EB0"/>
    <w:rsid w:val="00ED3F3F"/>
    <w:rsid w:val="00ED413E"/>
    <w:rsid w:val="00ED43CB"/>
    <w:rsid w:val="00ED4736"/>
    <w:rsid w:val="00ED4FD6"/>
    <w:rsid w:val="00ED50EE"/>
    <w:rsid w:val="00ED57E0"/>
    <w:rsid w:val="00ED5A0E"/>
    <w:rsid w:val="00ED5B6D"/>
    <w:rsid w:val="00ED6461"/>
    <w:rsid w:val="00ED6567"/>
    <w:rsid w:val="00ED6618"/>
    <w:rsid w:val="00ED6CF9"/>
    <w:rsid w:val="00ED77B4"/>
    <w:rsid w:val="00ED7F1C"/>
    <w:rsid w:val="00ED7F9C"/>
    <w:rsid w:val="00EE0159"/>
    <w:rsid w:val="00EE033F"/>
    <w:rsid w:val="00EE06D6"/>
    <w:rsid w:val="00EE070E"/>
    <w:rsid w:val="00EE07E5"/>
    <w:rsid w:val="00EE09AF"/>
    <w:rsid w:val="00EE12A2"/>
    <w:rsid w:val="00EE1620"/>
    <w:rsid w:val="00EE1A5E"/>
    <w:rsid w:val="00EE245F"/>
    <w:rsid w:val="00EE2843"/>
    <w:rsid w:val="00EE2A45"/>
    <w:rsid w:val="00EE2CCE"/>
    <w:rsid w:val="00EE2DFE"/>
    <w:rsid w:val="00EE3106"/>
    <w:rsid w:val="00EE3E3F"/>
    <w:rsid w:val="00EE42E3"/>
    <w:rsid w:val="00EE439D"/>
    <w:rsid w:val="00EE4645"/>
    <w:rsid w:val="00EE4992"/>
    <w:rsid w:val="00EE4E19"/>
    <w:rsid w:val="00EE4FBB"/>
    <w:rsid w:val="00EE5840"/>
    <w:rsid w:val="00EE585A"/>
    <w:rsid w:val="00EE5DF9"/>
    <w:rsid w:val="00EE5FFB"/>
    <w:rsid w:val="00EE61A7"/>
    <w:rsid w:val="00EE6FFE"/>
    <w:rsid w:val="00EF04C0"/>
    <w:rsid w:val="00EF08DF"/>
    <w:rsid w:val="00EF08EB"/>
    <w:rsid w:val="00EF0B40"/>
    <w:rsid w:val="00EF10DE"/>
    <w:rsid w:val="00EF1E57"/>
    <w:rsid w:val="00EF290F"/>
    <w:rsid w:val="00EF30D2"/>
    <w:rsid w:val="00EF4138"/>
    <w:rsid w:val="00EF50C9"/>
    <w:rsid w:val="00EF592B"/>
    <w:rsid w:val="00EF5C9B"/>
    <w:rsid w:val="00EF6493"/>
    <w:rsid w:val="00EF68A1"/>
    <w:rsid w:val="00EF6FA4"/>
    <w:rsid w:val="00EF75E7"/>
    <w:rsid w:val="00EF7C95"/>
    <w:rsid w:val="00EF7CF7"/>
    <w:rsid w:val="00F00AAE"/>
    <w:rsid w:val="00F00D27"/>
    <w:rsid w:val="00F01209"/>
    <w:rsid w:val="00F0192C"/>
    <w:rsid w:val="00F01D5A"/>
    <w:rsid w:val="00F023E8"/>
    <w:rsid w:val="00F02A07"/>
    <w:rsid w:val="00F0311C"/>
    <w:rsid w:val="00F031EF"/>
    <w:rsid w:val="00F03463"/>
    <w:rsid w:val="00F03704"/>
    <w:rsid w:val="00F041F6"/>
    <w:rsid w:val="00F04432"/>
    <w:rsid w:val="00F0464C"/>
    <w:rsid w:val="00F04AA7"/>
    <w:rsid w:val="00F051E1"/>
    <w:rsid w:val="00F05566"/>
    <w:rsid w:val="00F05C6A"/>
    <w:rsid w:val="00F05E50"/>
    <w:rsid w:val="00F07A08"/>
    <w:rsid w:val="00F07F54"/>
    <w:rsid w:val="00F10410"/>
    <w:rsid w:val="00F105F7"/>
    <w:rsid w:val="00F10627"/>
    <w:rsid w:val="00F10B62"/>
    <w:rsid w:val="00F10EEB"/>
    <w:rsid w:val="00F1100F"/>
    <w:rsid w:val="00F11066"/>
    <w:rsid w:val="00F111C2"/>
    <w:rsid w:val="00F1180F"/>
    <w:rsid w:val="00F11AAF"/>
    <w:rsid w:val="00F11B0D"/>
    <w:rsid w:val="00F11C38"/>
    <w:rsid w:val="00F11F02"/>
    <w:rsid w:val="00F11FA6"/>
    <w:rsid w:val="00F1232D"/>
    <w:rsid w:val="00F12C5A"/>
    <w:rsid w:val="00F12CB8"/>
    <w:rsid w:val="00F12E4A"/>
    <w:rsid w:val="00F13743"/>
    <w:rsid w:val="00F138C8"/>
    <w:rsid w:val="00F13B86"/>
    <w:rsid w:val="00F1420F"/>
    <w:rsid w:val="00F146D4"/>
    <w:rsid w:val="00F1478F"/>
    <w:rsid w:val="00F14CE0"/>
    <w:rsid w:val="00F150D5"/>
    <w:rsid w:val="00F1513E"/>
    <w:rsid w:val="00F15824"/>
    <w:rsid w:val="00F15983"/>
    <w:rsid w:val="00F15DB3"/>
    <w:rsid w:val="00F15E50"/>
    <w:rsid w:val="00F160BC"/>
    <w:rsid w:val="00F16516"/>
    <w:rsid w:val="00F16604"/>
    <w:rsid w:val="00F166A3"/>
    <w:rsid w:val="00F16E9C"/>
    <w:rsid w:val="00F177E4"/>
    <w:rsid w:val="00F17948"/>
    <w:rsid w:val="00F17E7D"/>
    <w:rsid w:val="00F20460"/>
    <w:rsid w:val="00F2050F"/>
    <w:rsid w:val="00F2094E"/>
    <w:rsid w:val="00F20BDB"/>
    <w:rsid w:val="00F214CB"/>
    <w:rsid w:val="00F21689"/>
    <w:rsid w:val="00F216A7"/>
    <w:rsid w:val="00F22468"/>
    <w:rsid w:val="00F224EC"/>
    <w:rsid w:val="00F226B9"/>
    <w:rsid w:val="00F22ADC"/>
    <w:rsid w:val="00F2319F"/>
    <w:rsid w:val="00F23BD6"/>
    <w:rsid w:val="00F24234"/>
    <w:rsid w:val="00F243C6"/>
    <w:rsid w:val="00F24596"/>
    <w:rsid w:val="00F24A66"/>
    <w:rsid w:val="00F24DC8"/>
    <w:rsid w:val="00F24F1C"/>
    <w:rsid w:val="00F257AF"/>
    <w:rsid w:val="00F264FA"/>
    <w:rsid w:val="00F269EA"/>
    <w:rsid w:val="00F26BF8"/>
    <w:rsid w:val="00F26D15"/>
    <w:rsid w:val="00F270F8"/>
    <w:rsid w:val="00F27A5A"/>
    <w:rsid w:val="00F30630"/>
    <w:rsid w:val="00F30B0F"/>
    <w:rsid w:val="00F31090"/>
    <w:rsid w:val="00F3131D"/>
    <w:rsid w:val="00F313DC"/>
    <w:rsid w:val="00F31760"/>
    <w:rsid w:val="00F31B79"/>
    <w:rsid w:val="00F31C47"/>
    <w:rsid w:val="00F331C6"/>
    <w:rsid w:val="00F336BC"/>
    <w:rsid w:val="00F342F6"/>
    <w:rsid w:val="00F34430"/>
    <w:rsid w:val="00F349F9"/>
    <w:rsid w:val="00F35A74"/>
    <w:rsid w:val="00F35EE2"/>
    <w:rsid w:val="00F36191"/>
    <w:rsid w:val="00F362FC"/>
    <w:rsid w:val="00F375A1"/>
    <w:rsid w:val="00F37819"/>
    <w:rsid w:val="00F37937"/>
    <w:rsid w:val="00F379E9"/>
    <w:rsid w:val="00F37B2B"/>
    <w:rsid w:val="00F37EC6"/>
    <w:rsid w:val="00F37FF0"/>
    <w:rsid w:val="00F40108"/>
    <w:rsid w:val="00F40339"/>
    <w:rsid w:val="00F403BB"/>
    <w:rsid w:val="00F408E7"/>
    <w:rsid w:val="00F40EC6"/>
    <w:rsid w:val="00F41000"/>
    <w:rsid w:val="00F41833"/>
    <w:rsid w:val="00F41903"/>
    <w:rsid w:val="00F41E55"/>
    <w:rsid w:val="00F4215B"/>
    <w:rsid w:val="00F42623"/>
    <w:rsid w:val="00F43BE5"/>
    <w:rsid w:val="00F43C14"/>
    <w:rsid w:val="00F43C53"/>
    <w:rsid w:val="00F43FA6"/>
    <w:rsid w:val="00F44404"/>
    <w:rsid w:val="00F4441B"/>
    <w:rsid w:val="00F4481C"/>
    <w:rsid w:val="00F44C58"/>
    <w:rsid w:val="00F44CDF"/>
    <w:rsid w:val="00F450AC"/>
    <w:rsid w:val="00F4517E"/>
    <w:rsid w:val="00F45ADE"/>
    <w:rsid w:val="00F45CC2"/>
    <w:rsid w:val="00F45E77"/>
    <w:rsid w:val="00F46C2E"/>
    <w:rsid w:val="00F46E4E"/>
    <w:rsid w:val="00F46F51"/>
    <w:rsid w:val="00F47399"/>
    <w:rsid w:val="00F475DB"/>
    <w:rsid w:val="00F47850"/>
    <w:rsid w:val="00F47DC1"/>
    <w:rsid w:val="00F50480"/>
    <w:rsid w:val="00F5124E"/>
    <w:rsid w:val="00F5211C"/>
    <w:rsid w:val="00F521A6"/>
    <w:rsid w:val="00F52388"/>
    <w:rsid w:val="00F52A31"/>
    <w:rsid w:val="00F52C85"/>
    <w:rsid w:val="00F53958"/>
    <w:rsid w:val="00F53F38"/>
    <w:rsid w:val="00F54417"/>
    <w:rsid w:val="00F546B9"/>
    <w:rsid w:val="00F54EC4"/>
    <w:rsid w:val="00F5533C"/>
    <w:rsid w:val="00F55556"/>
    <w:rsid w:val="00F55586"/>
    <w:rsid w:val="00F555EF"/>
    <w:rsid w:val="00F55610"/>
    <w:rsid w:val="00F5563F"/>
    <w:rsid w:val="00F55B23"/>
    <w:rsid w:val="00F56D1E"/>
    <w:rsid w:val="00F56DA8"/>
    <w:rsid w:val="00F5701C"/>
    <w:rsid w:val="00F57B85"/>
    <w:rsid w:val="00F57DA0"/>
    <w:rsid w:val="00F57E0A"/>
    <w:rsid w:val="00F602F6"/>
    <w:rsid w:val="00F6030E"/>
    <w:rsid w:val="00F60313"/>
    <w:rsid w:val="00F6071D"/>
    <w:rsid w:val="00F60890"/>
    <w:rsid w:val="00F61624"/>
    <w:rsid w:val="00F61B80"/>
    <w:rsid w:val="00F620CD"/>
    <w:rsid w:val="00F6236B"/>
    <w:rsid w:val="00F62935"/>
    <w:rsid w:val="00F632FA"/>
    <w:rsid w:val="00F639FC"/>
    <w:rsid w:val="00F63CDE"/>
    <w:rsid w:val="00F646D7"/>
    <w:rsid w:val="00F64E79"/>
    <w:rsid w:val="00F64EFB"/>
    <w:rsid w:val="00F652C1"/>
    <w:rsid w:val="00F655DE"/>
    <w:rsid w:val="00F65D14"/>
    <w:rsid w:val="00F65F08"/>
    <w:rsid w:val="00F670DF"/>
    <w:rsid w:val="00F70365"/>
    <w:rsid w:val="00F7053A"/>
    <w:rsid w:val="00F70CEE"/>
    <w:rsid w:val="00F7123C"/>
    <w:rsid w:val="00F71620"/>
    <w:rsid w:val="00F718DC"/>
    <w:rsid w:val="00F72088"/>
    <w:rsid w:val="00F72788"/>
    <w:rsid w:val="00F7294E"/>
    <w:rsid w:val="00F72B62"/>
    <w:rsid w:val="00F72BC3"/>
    <w:rsid w:val="00F72BE2"/>
    <w:rsid w:val="00F732FB"/>
    <w:rsid w:val="00F737FA"/>
    <w:rsid w:val="00F73A4B"/>
    <w:rsid w:val="00F73E68"/>
    <w:rsid w:val="00F743E2"/>
    <w:rsid w:val="00F74518"/>
    <w:rsid w:val="00F75057"/>
    <w:rsid w:val="00F75B2F"/>
    <w:rsid w:val="00F76034"/>
    <w:rsid w:val="00F76265"/>
    <w:rsid w:val="00F763E6"/>
    <w:rsid w:val="00F76775"/>
    <w:rsid w:val="00F76DB1"/>
    <w:rsid w:val="00F76F0A"/>
    <w:rsid w:val="00F76FC9"/>
    <w:rsid w:val="00F7710A"/>
    <w:rsid w:val="00F7771F"/>
    <w:rsid w:val="00F7796B"/>
    <w:rsid w:val="00F77CDE"/>
    <w:rsid w:val="00F77D3F"/>
    <w:rsid w:val="00F77EE0"/>
    <w:rsid w:val="00F80243"/>
    <w:rsid w:val="00F80667"/>
    <w:rsid w:val="00F80E05"/>
    <w:rsid w:val="00F81075"/>
    <w:rsid w:val="00F814E1"/>
    <w:rsid w:val="00F81AF9"/>
    <w:rsid w:val="00F81DA0"/>
    <w:rsid w:val="00F82B6C"/>
    <w:rsid w:val="00F82C41"/>
    <w:rsid w:val="00F82DDF"/>
    <w:rsid w:val="00F831D9"/>
    <w:rsid w:val="00F83822"/>
    <w:rsid w:val="00F83D9A"/>
    <w:rsid w:val="00F84C85"/>
    <w:rsid w:val="00F84FE8"/>
    <w:rsid w:val="00F850AF"/>
    <w:rsid w:val="00F85A1C"/>
    <w:rsid w:val="00F85D12"/>
    <w:rsid w:val="00F86821"/>
    <w:rsid w:val="00F86F0F"/>
    <w:rsid w:val="00F872F2"/>
    <w:rsid w:val="00F873B8"/>
    <w:rsid w:val="00F87539"/>
    <w:rsid w:val="00F87568"/>
    <w:rsid w:val="00F876F4"/>
    <w:rsid w:val="00F877D0"/>
    <w:rsid w:val="00F87A43"/>
    <w:rsid w:val="00F9094C"/>
    <w:rsid w:val="00F90C25"/>
    <w:rsid w:val="00F90DA4"/>
    <w:rsid w:val="00F90E32"/>
    <w:rsid w:val="00F90E5D"/>
    <w:rsid w:val="00F90F6A"/>
    <w:rsid w:val="00F910CE"/>
    <w:rsid w:val="00F914F9"/>
    <w:rsid w:val="00F9165B"/>
    <w:rsid w:val="00F91698"/>
    <w:rsid w:val="00F919DB"/>
    <w:rsid w:val="00F92581"/>
    <w:rsid w:val="00F928E9"/>
    <w:rsid w:val="00F92F8D"/>
    <w:rsid w:val="00F939E8"/>
    <w:rsid w:val="00F93D2E"/>
    <w:rsid w:val="00F94022"/>
    <w:rsid w:val="00F9426E"/>
    <w:rsid w:val="00F945B2"/>
    <w:rsid w:val="00F94A88"/>
    <w:rsid w:val="00F94D4C"/>
    <w:rsid w:val="00F95386"/>
    <w:rsid w:val="00F95A63"/>
    <w:rsid w:val="00F9626E"/>
    <w:rsid w:val="00F96297"/>
    <w:rsid w:val="00F96327"/>
    <w:rsid w:val="00F964D1"/>
    <w:rsid w:val="00F967A7"/>
    <w:rsid w:val="00F967EB"/>
    <w:rsid w:val="00F96CC4"/>
    <w:rsid w:val="00F9736B"/>
    <w:rsid w:val="00F9737B"/>
    <w:rsid w:val="00F97C40"/>
    <w:rsid w:val="00F97CFF"/>
    <w:rsid w:val="00FA0A37"/>
    <w:rsid w:val="00FA0BB0"/>
    <w:rsid w:val="00FA1418"/>
    <w:rsid w:val="00FA1475"/>
    <w:rsid w:val="00FA14E7"/>
    <w:rsid w:val="00FA15AB"/>
    <w:rsid w:val="00FA16D0"/>
    <w:rsid w:val="00FA1807"/>
    <w:rsid w:val="00FA3064"/>
    <w:rsid w:val="00FA4442"/>
    <w:rsid w:val="00FA581D"/>
    <w:rsid w:val="00FA5AAC"/>
    <w:rsid w:val="00FA60BE"/>
    <w:rsid w:val="00FA67A9"/>
    <w:rsid w:val="00FA67FB"/>
    <w:rsid w:val="00FA7439"/>
    <w:rsid w:val="00FA7DEE"/>
    <w:rsid w:val="00FA7FDC"/>
    <w:rsid w:val="00FB0233"/>
    <w:rsid w:val="00FB05B3"/>
    <w:rsid w:val="00FB0A21"/>
    <w:rsid w:val="00FB0A3D"/>
    <w:rsid w:val="00FB0AC5"/>
    <w:rsid w:val="00FB0B0A"/>
    <w:rsid w:val="00FB1243"/>
    <w:rsid w:val="00FB166C"/>
    <w:rsid w:val="00FB17B6"/>
    <w:rsid w:val="00FB1C2D"/>
    <w:rsid w:val="00FB1E67"/>
    <w:rsid w:val="00FB215F"/>
    <w:rsid w:val="00FB23E7"/>
    <w:rsid w:val="00FB2B1E"/>
    <w:rsid w:val="00FB2F2C"/>
    <w:rsid w:val="00FB3192"/>
    <w:rsid w:val="00FB3402"/>
    <w:rsid w:val="00FB389C"/>
    <w:rsid w:val="00FB3BAF"/>
    <w:rsid w:val="00FB3E7A"/>
    <w:rsid w:val="00FB4090"/>
    <w:rsid w:val="00FB4415"/>
    <w:rsid w:val="00FB453B"/>
    <w:rsid w:val="00FB4FD3"/>
    <w:rsid w:val="00FB503D"/>
    <w:rsid w:val="00FB562A"/>
    <w:rsid w:val="00FB5683"/>
    <w:rsid w:val="00FB5811"/>
    <w:rsid w:val="00FB5A99"/>
    <w:rsid w:val="00FB5FC0"/>
    <w:rsid w:val="00FB6682"/>
    <w:rsid w:val="00FB6696"/>
    <w:rsid w:val="00FB6854"/>
    <w:rsid w:val="00FB68B0"/>
    <w:rsid w:val="00FB7279"/>
    <w:rsid w:val="00FB7C3A"/>
    <w:rsid w:val="00FB7C89"/>
    <w:rsid w:val="00FC00D0"/>
    <w:rsid w:val="00FC0376"/>
    <w:rsid w:val="00FC06B4"/>
    <w:rsid w:val="00FC06CC"/>
    <w:rsid w:val="00FC0733"/>
    <w:rsid w:val="00FC0A5D"/>
    <w:rsid w:val="00FC0A73"/>
    <w:rsid w:val="00FC0A8F"/>
    <w:rsid w:val="00FC0DB9"/>
    <w:rsid w:val="00FC0FD1"/>
    <w:rsid w:val="00FC163A"/>
    <w:rsid w:val="00FC1953"/>
    <w:rsid w:val="00FC1B66"/>
    <w:rsid w:val="00FC1CD0"/>
    <w:rsid w:val="00FC1DF0"/>
    <w:rsid w:val="00FC1E20"/>
    <w:rsid w:val="00FC29E9"/>
    <w:rsid w:val="00FC31E0"/>
    <w:rsid w:val="00FC35CF"/>
    <w:rsid w:val="00FC362D"/>
    <w:rsid w:val="00FC3E26"/>
    <w:rsid w:val="00FC3ED7"/>
    <w:rsid w:val="00FC415E"/>
    <w:rsid w:val="00FC4468"/>
    <w:rsid w:val="00FC4779"/>
    <w:rsid w:val="00FC4AAC"/>
    <w:rsid w:val="00FC4BDF"/>
    <w:rsid w:val="00FC4FE6"/>
    <w:rsid w:val="00FC503E"/>
    <w:rsid w:val="00FC54A5"/>
    <w:rsid w:val="00FC5517"/>
    <w:rsid w:val="00FC64E2"/>
    <w:rsid w:val="00FC660C"/>
    <w:rsid w:val="00FC680C"/>
    <w:rsid w:val="00FC6B19"/>
    <w:rsid w:val="00FC6B76"/>
    <w:rsid w:val="00FC6C76"/>
    <w:rsid w:val="00FC6E9A"/>
    <w:rsid w:val="00FC6F2D"/>
    <w:rsid w:val="00FC7450"/>
    <w:rsid w:val="00FC7F5B"/>
    <w:rsid w:val="00FD016F"/>
    <w:rsid w:val="00FD04B2"/>
    <w:rsid w:val="00FD0E05"/>
    <w:rsid w:val="00FD0F3D"/>
    <w:rsid w:val="00FD197F"/>
    <w:rsid w:val="00FD1A7A"/>
    <w:rsid w:val="00FD1AAD"/>
    <w:rsid w:val="00FD1D3F"/>
    <w:rsid w:val="00FD22EC"/>
    <w:rsid w:val="00FD276D"/>
    <w:rsid w:val="00FD2CC9"/>
    <w:rsid w:val="00FD3525"/>
    <w:rsid w:val="00FD396B"/>
    <w:rsid w:val="00FD3FC5"/>
    <w:rsid w:val="00FD45FD"/>
    <w:rsid w:val="00FD4B34"/>
    <w:rsid w:val="00FD4F14"/>
    <w:rsid w:val="00FD51ED"/>
    <w:rsid w:val="00FD600E"/>
    <w:rsid w:val="00FD6558"/>
    <w:rsid w:val="00FD6B5E"/>
    <w:rsid w:val="00FD6CD3"/>
    <w:rsid w:val="00FD70EA"/>
    <w:rsid w:val="00FD7F38"/>
    <w:rsid w:val="00FE0648"/>
    <w:rsid w:val="00FE06D3"/>
    <w:rsid w:val="00FE0848"/>
    <w:rsid w:val="00FE09EC"/>
    <w:rsid w:val="00FE0DF1"/>
    <w:rsid w:val="00FE14CA"/>
    <w:rsid w:val="00FE1876"/>
    <w:rsid w:val="00FE1C32"/>
    <w:rsid w:val="00FE1DC1"/>
    <w:rsid w:val="00FE1F1C"/>
    <w:rsid w:val="00FE2693"/>
    <w:rsid w:val="00FE34D2"/>
    <w:rsid w:val="00FE398B"/>
    <w:rsid w:val="00FE4012"/>
    <w:rsid w:val="00FE494A"/>
    <w:rsid w:val="00FE4C8E"/>
    <w:rsid w:val="00FE5573"/>
    <w:rsid w:val="00FE678D"/>
    <w:rsid w:val="00FE6920"/>
    <w:rsid w:val="00FE6C39"/>
    <w:rsid w:val="00FE7A8B"/>
    <w:rsid w:val="00FF1094"/>
    <w:rsid w:val="00FF1296"/>
    <w:rsid w:val="00FF1419"/>
    <w:rsid w:val="00FF18C0"/>
    <w:rsid w:val="00FF1E51"/>
    <w:rsid w:val="00FF1EA5"/>
    <w:rsid w:val="00FF27A4"/>
    <w:rsid w:val="00FF32B4"/>
    <w:rsid w:val="00FF38AA"/>
    <w:rsid w:val="00FF3E4F"/>
    <w:rsid w:val="00FF4066"/>
    <w:rsid w:val="00FF48CD"/>
    <w:rsid w:val="00FF4963"/>
    <w:rsid w:val="00FF61CD"/>
    <w:rsid w:val="00FF6251"/>
    <w:rsid w:val="00FF650B"/>
    <w:rsid w:val="00FF660F"/>
    <w:rsid w:val="00FF7462"/>
    <w:rsid w:val="00FF751D"/>
    <w:rsid w:val="00FF7732"/>
    <w:rsid w:val="00FF77DD"/>
    <w:rsid w:val="00FF7BA6"/>
    <w:rsid w:val="010A29DC"/>
    <w:rsid w:val="012D6BF7"/>
    <w:rsid w:val="013E2686"/>
    <w:rsid w:val="015B1207"/>
    <w:rsid w:val="016043AA"/>
    <w:rsid w:val="01785B98"/>
    <w:rsid w:val="01D22B07"/>
    <w:rsid w:val="0204245E"/>
    <w:rsid w:val="026F71B4"/>
    <w:rsid w:val="027030CC"/>
    <w:rsid w:val="02711490"/>
    <w:rsid w:val="02D8351D"/>
    <w:rsid w:val="030516AD"/>
    <w:rsid w:val="030B538B"/>
    <w:rsid w:val="038424F6"/>
    <w:rsid w:val="038F0F77"/>
    <w:rsid w:val="03922815"/>
    <w:rsid w:val="039F2472"/>
    <w:rsid w:val="03C6563E"/>
    <w:rsid w:val="03D143FF"/>
    <w:rsid w:val="041A00D1"/>
    <w:rsid w:val="04325E86"/>
    <w:rsid w:val="044A3E16"/>
    <w:rsid w:val="04561CA4"/>
    <w:rsid w:val="04A60A9B"/>
    <w:rsid w:val="04B8641E"/>
    <w:rsid w:val="04D23811"/>
    <w:rsid w:val="054B5209"/>
    <w:rsid w:val="055B741E"/>
    <w:rsid w:val="056F4927"/>
    <w:rsid w:val="05923441"/>
    <w:rsid w:val="05AE6E5D"/>
    <w:rsid w:val="05E20DF8"/>
    <w:rsid w:val="062953FF"/>
    <w:rsid w:val="064A3A56"/>
    <w:rsid w:val="06832233"/>
    <w:rsid w:val="0709099F"/>
    <w:rsid w:val="072440CC"/>
    <w:rsid w:val="072D11D3"/>
    <w:rsid w:val="07661769"/>
    <w:rsid w:val="07683FB9"/>
    <w:rsid w:val="07844720"/>
    <w:rsid w:val="078A266C"/>
    <w:rsid w:val="078D7EC3"/>
    <w:rsid w:val="07A1571D"/>
    <w:rsid w:val="07B71D79"/>
    <w:rsid w:val="07D93267"/>
    <w:rsid w:val="080737D2"/>
    <w:rsid w:val="081E6D6D"/>
    <w:rsid w:val="08220261"/>
    <w:rsid w:val="083826B3"/>
    <w:rsid w:val="08634780"/>
    <w:rsid w:val="08992B09"/>
    <w:rsid w:val="08B33B34"/>
    <w:rsid w:val="08B66FA6"/>
    <w:rsid w:val="08BC0A1F"/>
    <w:rsid w:val="08BF22FE"/>
    <w:rsid w:val="08C6543B"/>
    <w:rsid w:val="08C90A87"/>
    <w:rsid w:val="091A339E"/>
    <w:rsid w:val="093005CC"/>
    <w:rsid w:val="09AF339B"/>
    <w:rsid w:val="09C22B91"/>
    <w:rsid w:val="09D33EA7"/>
    <w:rsid w:val="0A003F79"/>
    <w:rsid w:val="0A081D79"/>
    <w:rsid w:val="0A382368"/>
    <w:rsid w:val="0B007DA7"/>
    <w:rsid w:val="0B3B5E69"/>
    <w:rsid w:val="0B475687"/>
    <w:rsid w:val="0B6E3B68"/>
    <w:rsid w:val="0BA20707"/>
    <w:rsid w:val="0BA92DF2"/>
    <w:rsid w:val="0BAC41E4"/>
    <w:rsid w:val="0BC35D05"/>
    <w:rsid w:val="0BD065D0"/>
    <w:rsid w:val="0BD847B0"/>
    <w:rsid w:val="0BE61950"/>
    <w:rsid w:val="0C04484A"/>
    <w:rsid w:val="0C1863C7"/>
    <w:rsid w:val="0C3A566F"/>
    <w:rsid w:val="0C564D28"/>
    <w:rsid w:val="0C565910"/>
    <w:rsid w:val="0C5974B5"/>
    <w:rsid w:val="0C7A30DA"/>
    <w:rsid w:val="0CA830A9"/>
    <w:rsid w:val="0CBD5DB6"/>
    <w:rsid w:val="0CC66778"/>
    <w:rsid w:val="0CEA5470"/>
    <w:rsid w:val="0D023866"/>
    <w:rsid w:val="0D703BC7"/>
    <w:rsid w:val="0E35096D"/>
    <w:rsid w:val="0E3D7000"/>
    <w:rsid w:val="0E816F6D"/>
    <w:rsid w:val="0EC8358F"/>
    <w:rsid w:val="0EE74DE8"/>
    <w:rsid w:val="0F24158C"/>
    <w:rsid w:val="0F334EAC"/>
    <w:rsid w:val="0F59068B"/>
    <w:rsid w:val="0F5D63CD"/>
    <w:rsid w:val="0FBB29F6"/>
    <w:rsid w:val="0FBF0014"/>
    <w:rsid w:val="0FF27337"/>
    <w:rsid w:val="0FF85779"/>
    <w:rsid w:val="100F3B6B"/>
    <w:rsid w:val="10525806"/>
    <w:rsid w:val="10985A77"/>
    <w:rsid w:val="10CA1840"/>
    <w:rsid w:val="10D119EB"/>
    <w:rsid w:val="10E03C13"/>
    <w:rsid w:val="10ED552F"/>
    <w:rsid w:val="112776E3"/>
    <w:rsid w:val="115F631A"/>
    <w:rsid w:val="117B0D8C"/>
    <w:rsid w:val="117F160D"/>
    <w:rsid w:val="11B43887"/>
    <w:rsid w:val="11D379B2"/>
    <w:rsid w:val="11E14EB1"/>
    <w:rsid w:val="11E35B5E"/>
    <w:rsid w:val="12071360"/>
    <w:rsid w:val="12251E10"/>
    <w:rsid w:val="12335087"/>
    <w:rsid w:val="124D097B"/>
    <w:rsid w:val="12DB51A7"/>
    <w:rsid w:val="131C5736"/>
    <w:rsid w:val="13201BEB"/>
    <w:rsid w:val="13274F64"/>
    <w:rsid w:val="134C29E0"/>
    <w:rsid w:val="136525A5"/>
    <w:rsid w:val="13674B86"/>
    <w:rsid w:val="13764A30"/>
    <w:rsid w:val="13A50CE8"/>
    <w:rsid w:val="13AC2BAA"/>
    <w:rsid w:val="140C30C9"/>
    <w:rsid w:val="141259D8"/>
    <w:rsid w:val="14326278"/>
    <w:rsid w:val="143B371E"/>
    <w:rsid w:val="146A2710"/>
    <w:rsid w:val="149208C7"/>
    <w:rsid w:val="14CD4474"/>
    <w:rsid w:val="14CF0BAF"/>
    <w:rsid w:val="14E13D7A"/>
    <w:rsid w:val="150177FB"/>
    <w:rsid w:val="153A2337"/>
    <w:rsid w:val="15724254"/>
    <w:rsid w:val="1581583E"/>
    <w:rsid w:val="1594195C"/>
    <w:rsid w:val="159E5735"/>
    <w:rsid w:val="15C641C9"/>
    <w:rsid w:val="15F756B1"/>
    <w:rsid w:val="162E0602"/>
    <w:rsid w:val="166E2C6E"/>
    <w:rsid w:val="167A7865"/>
    <w:rsid w:val="167C1241"/>
    <w:rsid w:val="167C2C01"/>
    <w:rsid w:val="16BE6068"/>
    <w:rsid w:val="16FC296F"/>
    <w:rsid w:val="172334CD"/>
    <w:rsid w:val="173E0159"/>
    <w:rsid w:val="175D4E15"/>
    <w:rsid w:val="179970E7"/>
    <w:rsid w:val="17BB08BB"/>
    <w:rsid w:val="17C533C4"/>
    <w:rsid w:val="17E21B65"/>
    <w:rsid w:val="17EC6B52"/>
    <w:rsid w:val="18065FFA"/>
    <w:rsid w:val="182F3C11"/>
    <w:rsid w:val="18891FE1"/>
    <w:rsid w:val="188B5D59"/>
    <w:rsid w:val="191748E1"/>
    <w:rsid w:val="194C138C"/>
    <w:rsid w:val="19964E77"/>
    <w:rsid w:val="19E00326"/>
    <w:rsid w:val="19EC0249"/>
    <w:rsid w:val="19F227AC"/>
    <w:rsid w:val="19FA418F"/>
    <w:rsid w:val="1A16534C"/>
    <w:rsid w:val="1A620D3B"/>
    <w:rsid w:val="1A7171D0"/>
    <w:rsid w:val="1A724185"/>
    <w:rsid w:val="1AA7263A"/>
    <w:rsid w:val="1AD00D22"/>
    <w:rsid w:val="1ADA5E92"/>
    <w:rsid w:val="1B13332C"/>
    <w:rsid w:val="1B190D14"/>
    <w:rsid w:val="1B6E79BA"/>
    <w:rsid w:val="1B7C407F"/>
    <w:rsid w:val="1B813443"/>
    <w:rsid w:val="1B993043"/>
    <w:rsid w:val="1BB4158D"/>
    <w:rsid w:val="1C013282"/>
    <w:rsid w:val="1C1F68A8"/>
    <w:rsid w:val="1C46581E"/>
    <w:rsid w:val="1C5446B4"/>
    <w:rsid w:val="1C6F1525"/>
    <w:rsid w:val="1C7149E7"/>
    <w:rsid w:val="1C715266"/>
    <w:rsid w:val="1D1C3400"/>
    <w:rsid w:val="1D303373"/>
    <w:rsid w:val="1D51690C"/>
    <w:rsid w:val="1D585070"/>
    <w:rsid w:val="1D80797D"/>
    <w:rsid w:val="1D9C27B6"/>
    <w:rsid w:val="1DD5648A"/>
    <w:rsid w:val="1E066FB4"/>
    <w:rsid w:val="1E2A1B70"/>
    <w:rsid w:val="1E2F2C87"/>
    <w:rsid w:val="1E452D1C"/>
    <w:rsid w:val="1E71154D"/>
    <w:rsid w:val="1E78760A"/>
    <w:rsid w:val="1EF05DD8"/>
    <w:rsid w:val="1EF27B48"/>
    <w:rsid w:val="1F077573"/>
    <w:rsid w:val="1F3C1DFE"/>
    <w:rsid w:val="1F3F1951"/>
    <w:rsid w:val="1F421378"/>
    <w:rsid w:val="1F4318D9"/>
    <w:rsid w:val="1F555F62"/>
    <w:rsid w:val="1F5F2B49"/>
    <w:rsid w:val="1F813CF1"/>
    <w:rsid w:val="1F9D049A"/>
    <w:rsid w:val="1FA6791C"/>
    <w:rsid w:val="1FAA379E"/>
    <w:rsid w:val="1FB2746D"/>
    <w:rsid w:val="1FE97CC8"/>
    <w:rsid w:val="20076B7E"/>
    <w:rsid w:val="203F1F56"/>
    <w:rsid w:val="20444A22"/>
    <w:rsid w:val="204A31D1"/>
    <w:rsid w:val="208F215E"/>
    <w:rsid w:val="20A83220"/>
    <w:rsid w:val="20C77B76"/>
    <w:rsid w:val="214D7258"/>
    <w:rsid w:val="21723F5A"/>
    <w:rsid w:val="21C5597E"/>
    <w:rsid w:val="21EA49CE"/>
    <w:rsid w:val="224376A4"/>
    <w:rsid w:val="225002BD"/>
    <w:rsid w:val="22ED7908"/>
    <w:rsid w:val="23272FC5"/>
    <w:rsid w:val="234D4382"/>
    <w:rsid w:val="2354669F"/>
    <w:rsid w:val="2377581D"/>
    <w:rsid w:val="23812062"/>
    <w:rsid w:val="23D31501"/>
    <w:rsid w:val="23FD2D19"/>
    <w:rsid w:val="23FE1BC6"/>
    <w:rsid w:val="24153ED7"/>
    <w:rsid w:val="241B040A"/>
    <w:rsid w:val="247974A2"/>
    <w:rsid w:val="2481624A"/>
    <w:rsid w:val="252613C4"/>
    <w:rsid w:val="252B49E7"/>
    <w:rsid w:val="25D11850"/>
    <w:rsid w:val="25F50FF0"/>
    <w:rsid w:val="26473BB2"/>
    <w:rsid w:val="266A7A2E"/>
    <w:rsid w:val="26773DC1"/>
    <w:rsid w:val="26793A92"/>
    <w:rsid w:val="269F0C21"/>
    <w:rsid w:val="26A96CEC"/>
    <w:rsid w:val="26C228EE"/>
    <w:rsid w:val="26D6070D"/>
    <w:rsid w:val="26E9678C"/>
    <w:rsid w:val="26F4283C"/>
    <w:rsid w:val="2705317A"/>
    <w:rsid w:val="270D0281"/>
    <w:rsid w:val="270E609F"/>
    <w:rsid w:val="27257379"/>
    <w:rsid w:val="278C389C"/>
    <w:rsid w:val="27901611"/>
    <w:rsid w:val="27BF73C5"/>
    <w:rsid w:val="27C272BD"/>
    <w:rsid w:val="27C30F71"/>
    <w:rsid w:val="286C1E91"/>
    <w:rsid w:val="28D52B89"/>
    <w:rsid w:val="291E6775"/>
    <w:rsid w:val="295B01BA"/>
    <w:rsid w:val="29874610"/>
    <w:rsid w:val="29D57379"/>
    <w:rsid w:val="29DE507F"/>
    <w:rsid w:val="29E24410"/>
    <w:rsid w:val="2A0347DE"/>
    <w:rsid w:val="2A100351"/>
    <w:rsid w:val="2A7D7C33"/>
    <w:rsid w:val="2A9071FF"/>
    <w:rsid w:val="2AA2474D"/>
    <w:rsid w:val="2AC423E2"/>
    <w:rsid w:val="2ACB46DB"/>
    <w:rsid w:val="2B177920"/>
    <w:rsid w:val="2B2F421E"/>
    <w:rsid w:val="2B5B3BAA"/>
    <w:rsid w:val="2BE55328"/>
    <w:rsid w:val="2BF11F1F"/>
    <w:rsid w:val="2C941621"/>
    <w:rsid w:val="2CA560A0"/>
    <w:rsid w:val="2CC50582"/>
    <w:rsid w:val="2CD809F1"/>
    <w:rsid w:val="2CFD090D"/>
    <w:rsid w:val="2D74515C"/>
    <w:rsid w:val="2D8748E9"/>
    <w:rsid w:val="2D8D3ECA"/>
    <w:rsid w:val="2D8F0C4E"/>
    <w:rsid w:val="2DAA6FC6"/>
    <w:rsid w:val="2DBE7052"/>
    <w:rsid w:val="2DDE0DF3"/>
    <w:rsid w:val="2DEF06E0"/>
    <w:rsid w:val="2E2A1F67"/>
    <w:rsid w:val="2E334350"/>
    <w:rsid w:val="2E3C0615"/>
    <w:rsid w:val="2E3F51C4"/>
    <w:rsid w:val="2E8338E0"/>
    <w:rsid w:val="2E8B665B"/>
    <w:rsid w:val="2EAD19BB"/>
    <w:rsid w:val="2F185D59"/>
    <w:rsid w:val="2F1F0B51"/>
    <w:rsid w:val="2F2701B6"/>
    <w:rsid w:val="2F2E29AB"/>
    <w:rsid w:val="2F454A5C"/>
    <w:rsid w:val="2F5841ED"/>
    <w:rsid w:val="2FC11C09"/>
    <w:rsid w:val="2FED0B26"/>
    <w:rsid w:val="2FF20D0B"/>
    <w:rsid w:val="300246FB"/>
    <w:rsid w:val="30112B90"/>
    <w:rsid w:val="3014746B"/>
    <w:rsid w:val="301D5049"/>
    <w:rsid w:val="303310CC"/>
    <w:rsid w:val="308E70A8"/>
    <w:rsid w:val="3091577C"/>
    <w:rsid w:val="31181CFC"/>
    <w:rsid w:val="317D110C"/>
    <w:rsid w:val="31A36494"/>
    <w:rsid w:val="31B17D02"/>
    <w:rsid w:val="31D245A1"/>
    <w:rsid w:val="31DA66C0"/>
    <w:rsid w:val="31E16BB0"/>
    <w:rsid w:val="31FC33CC"/>
    <w:rsid w:val="3202637A"/>
    <w:rsid w:val="32131E50"/>
    <w:rsid w:val="3230372C"/>
    <w:rsid w:val="32A1377B"/>
    <w:rsid w:val="32CC0FF0"/>
    <w:rsid w:val="32EF2418"/>
    <w:rsid w:val="330F2DD1"/>
    <w:rsid w:val="33185FE3"/>
    <w:rsid w:val="33583DA8"/>
    <w:rsid w:val="33857222"/>
    <w:rsid w:val="33B301CF"/>
    <w:rsid w:val="347673CF"/>
    <w:rsid w:val="348778C5"/>
    <w:rsid w:val="34B85CD0"/>
    <w:rsid w:val="34D1738E"/>
    <w:rsid w:val="35326A11"/>
    <w:rsid w:val="359871BA"/>
    <w:rsid w:val="35F3132D"/>
    <w:rsid w:val="36187321"/>
    <w:rsid w:val="36287B3C"/>
    <w:rsid w:val="36525CB0"/>
    <w:rsid w:val="36A33AE5"/>
    <w:rsid w:val="36C9002A"/>
    <w:rsid w:val="36D5264B"/>
    <w:rsid w:val="36E0506A"/>
    <w:rsid w:val="36ED673E"/>
    <w:rsid w:val="371718C6"/>
    <w:rsid w:val="37E62B54"/>
    <w:rsid w:val="386B00A7"/>
    <w:rsid w:val="387C1C29"/>
    <w:rsid w:val="38983E4E"/>
    <w:rsid w:val="389D76B7"/>
    <w:rsid w:val="38BE53D7"/>
    <w:rsid w:val="38D67CAD"/>
    <w:rsid w:val="3938118D"/>
    <w:rsid w:val="39420F25"/>
    <w:rsid w:val="39690EF8"/>
    <w:rsid w:val="396F0F8C"/>
    <w:rsid w:val="39A148C7"/>
    <w:rsid w:val="39A75836"/>
    <w:rsid w:val="39AB195F"/>
    <w:rsid w:val="39B53E45"/>
    <w:rsid w:val="3A161DA8"/>
    <w:rsid w:val="3A190FBF"/>
    <w:rsid w:val="3A6A6623"/>
    <w:rsid w:val="3AB40CE8"/>
    <w:rsid w:val="3AC3157A"/>
    <w:rsid w:val="3B013918"/>
    <w:rsid w:val="3B422689"/>
    <w:rsid w:val="3B6A2A17"/>
    <w:rsid w:val="3B8E778B"/>
    <w:rsid w:val="3B915409"/>
    <w:rsid w:val="3BCD02B3"/>
    <w:rsid w:val="3C1D0580"/>
    <w:rsid w:val="3C340530"/>
    <w:rsid w:val="3C366174"/>
    <w:rsid w:val="3C5C155A"/>
    <w:rsid w:val="3C677A85"/>
    <w:rsid w:val="3C840D47"/>
    <w:rsid w:val="3CC94521"/>
    <w:rsid w:val="3CD21A9D"/>
    <w:rsid w:val="3CE25928"/>
    <w:rsid w:val="3D241888"/>
    <w:rsid w:val="3D3D6974"/>
    <w:rsid w:val="3D6B0825"/>
    <w:rsid w:val="3D78523A"/>
    <w:rsid w:val="3DE2791A"/>
    <w:rsid w:val="3DFD6502"/>
    <w:rsid w:val="3E400717"/>
    <w:rsid w:val="3E946202"/>
    <w:rsid w:val="3F1803C4"/>
    <w:rsid w:val="3F6D76B7"/>
    <w:rsid w:val="3F7D3D9E"/>
    <w:rsid w:val="3F895409"/>
    <w:rsid w:val="3FF61607"/>
    <w:rsid w:val="401B7113"/>
    <w:rsid w:val="40736F4F"/>
    <w:rsid w:val="408A49C4"/>
    <w:rsid w:val="40ED32DF"/>
    <w:rsid w:val="41106663"/>
    <w:rsid w:val="4153125A"/>
    <w:rsid w:val="416012CF"/>
    <w:rsid w:val="41655347"/>
    <w:rsid w:val="417F008A"/>
    <w:rsid w:val="418C0847"/>
    <w:rsid w:val="41C21E59"/>
    <w:rsid w:val="41DA54D8"/>
    <w:rsid w:val="41FA54AC"/>
    <w:rsid w:val="421064CF"/>
    <w:rsid w:val="42574E91"/>
    <w:rsid w:val="425C1855"/>
    <w:rsid w:val="42CC7D81"/>
    <w:rsid w:val="42D068DB"/>
    <w:rsid w:val="42E12896"/>
    <w:rsid w:val="42E86636"/>
    <w:rsid w:val="42F56341"/>
    <w:rsid w:val="431D0650"/>
    <w:rsid w:val="43212C92"/>
    <w:rsid w:val="43A7260A"/>
    <w:rsid w:val="43D25BA9"/>
    <w:rsid w:val="43EA37DE"/>
    <w:rsid w:val="43EA7528"/>
    <w:rsid w:val="441E005C"/>
    <w:rsid w:val="442E2DC7"/>
    <w:rsid w:val="442E38B9"/>
    <w:rsid w:val="4439400C"/>
    <w:rsid w:val="448259B3"/>
    <w:rsid w:val="44916F6F"/>
    <w:rsid w:val="44921D2E"/>
    <w:rsid w:val="44AD6A5F"/>
    <w:rsid w:val="44B7553B"/>
    <w:rsid w:val="44E51E54"/>
    <w:rsid w:val="450D7A30"/>
    <w:rsid w:val="452C74C4"/>
    <w:rsid w:val="45A007E6"/>
    <w:rsid w:val="45F31AA8"/>
    <w:rsid w:val="4607497B"/>
    <w:rsid w:val="463D0033"/>
    <w:rsid w:val="46744693"/>
    <w:rsid w:val="471823D7"/>
    <w:rsid w:val="47473562"/>
    <w:rsid w:val="47714801"/>
    <w:rsid w:val="477A6E15"/>
    <w:rsid w:val="477E7846"/>
    <w:rsid w:val="47E34000"/>
    <w:rsid w:val="480C521C"/>
    <w:rsid w:val="482A25E9"/>
    <w:rsid w:val="48492EDB"/>
    <w:rsid w:val="485246E2"/>
    <w:rsid w:val="486D510A"/>
    <w:rsid w:val="487815A6"/>
    <w:rsid w:val="48A217B6"/>
    <w:rsid w:val="48A57EC2"/>
    <w:rsid w:val="48A64365"/>
    <w:rsid w:val="48C81442"/>
    <w:rsid w:val="48F0624B"/>
    <w:rsid w:val="49303EF1"/>
    <w:rsid w:val="49312A5C"/>
    <w:rsid w:val="493B4602"/>
    <w:rsid w:val="49417BEA"/>
    <w:rsid w:val="49682D40"/>
    <w:rsid w:val="49702E92"/>
    <w:rsid w:val="498C5DCF"/>
    <w:rsid w:val="49A335C0"/>
    <w:rsid w:val="49E760C4"/>
    <w:rsid w:val="49E77873"/>
    <w:rsid w:val="49F10306"/>
    <w:rsid w:val="4A837E4F"/>
    <w:rsid w:val="4AB56AE2"/>
    <w:rsid w:val="4AC00701"/>
    <w:rsid w:val="4ADE7F93"/>
    <w:rsid w:val="4AF07B1A"/>
    <w:rsid w:val="4B1D0050"/>
    <w:rsid w:val="4B2064BE"/>
    <w:rsid w:val="4B2241A5"/>
    <w:rsid w:val="4BB609ED"/>
    <w:rsid w:val="4BE17965"/>
    <w:rsid w:val="4C080E93"/>
    <w:rsid w:val="4C2F6420"/>
    <w:rsid w:val="4C4F6AC2"/>
    <w:rsid w:val="4C9B5863"/>
    <w:rsid w:val="4C9C73C6"/>
    <w:rsid w:val="4CD370C7"/>
    <w:rsid w:val="4CED7A2D"/>
    <w:rsid w:val="4D0553D3"/>
    <w:rsid w:val="4D0B6926"/>
    <w:rsid w:val="4D0F23FC"/>
    <w:rsid w:val="4D2264A2"/>
    <w:rsid w:val="4D383CC5"/>
    <w:rsid w:val="4D614349"/>
    <w:rsid w:val="4D960F9D"/>
    <w:rsid w:val="4D970721"/>
    <w:rsid w:val="4DA70DAB"/>
    <w:rsid w:val="4DAC42B6"/>
    <w:rsid w:val="4E094160"/>
    <w:rsid w:val="4E0F558F"/>
    <w:rsid w:val="4E4F242B"/>
    <w:rsid w:val="4E6C395B"/>
    <w:rsid w:val="4F262C73"/>
    <w:rsid w:val="4F3B7FD6"/>
    <w:rsid w:val="4F3C7AB2"/>
    <w:rsid w:val="4F500E62"/>
    <w:rsid w:val="4F5455FA"/>
    <w:rsid w:val="4F68753C"/>
    <w:rsid w:val="4F6C798B"/>
    <w:rsid w:val="4F7438C1"/>
    <w:rsid w:val="4F8A2CF0"/>
    <w:rsid w:val="4FCC59C3"/>
    <w:rsid w:val="4FD669B8"/>
    <w:rsid w:val="4FF77255"/>
    <w:rsid w:val="502F4C40"/>
    <w:rsid w:val="503B1F27"/>
    <w:rsid w:val="506422F9"/>
    <w:rsid w:val="506B7C43"/>
    <w:rsid w:val="507210BD"/>
    <w:rsid w:val="507A1C34"/>
    <w:rsid w:val="508B3E41"/>
    <w:rsid w:val="50A5625A"/>
    <w:rsid w:val="50AC2467"/>
    <w:rsid w:val="50B50BF9"/>
    <w:rsid w:val="50D574E2"/>
    <w:rsid w:val="50FF6E3D"/>
    <w:rsid w:val="510F6820"/>
    <w:rsid w:val="51197774"/>
    <w:rsid w:val="51234079"/>
    <w:rsid w:val="513C39C1"/>
    <w:rsid w:val="51A11B6E"/>
    <w:rsid w:val="51DF43E7"/>
    <w:rsid w:val="52181704"/>
    <w:rsid w:val="5247788B"/>
    <w:rsid w:val="52595FA5"/>
    <w:rsid w:val="52714B97"/>
    <w:rsid w:val="52907343"/>
    <w:rsid w:val="52966AAF"/>
    <w:rsid w:val="535D3873"/>
    <w:rsid w:val="536524C3"/>
    <w:rsid w:val="537B680F"/>
    <w:rsid w:val="53807561"/>
    <w:rsid w:val="53852D75"/>
    <w:rsid w:val="53CB2ED2"/>
    <w:rsid w:val="54057813"/>
    <w:rsid w:val="54320C03"/>
    <w:rsid w:val="54362C91"/>
    <w:rsid w:val="54424BAC"/>
    <w:rsid w:val="54512725"/>
    <w:rsid w:val="54893741"/>
    <w:rsid w:val="54B34D38"/>
    <w:rsid w:val="554F24FA"/>
    <w:rsid w:val="5602343A"/>
    <w:rsid w:val="564066D5"/>
    <w:rsid w:val="567A2B24"/>
    <w:rsid w:val="56893385"/>
    <w:rsid w:val="569510CC"/>
    <w:rsid w:val="56D70570"/>
    <w:rsid w:val="56FC5A0D"/>
    <w:rsid w:val="57020011"/>
    <w:rsid w:val="570E04FC"/>
    <w:rsid w:val="57106E4E"/>
    <w:rsid w:val="57284CB0"/>
    <w:rsid w:val="573B7A5A"/>
    <w:rsid w:val="574B06C0"/>
    <w:rsid w:val="574E07C7"/>
    <w:rsid w:val="57713D91"/>
    <w:rsid w:val="57715B3F"/>
    <w:rsid w:val="57A52386"/>
    <w:rsid w:val="57B35E50"/>
    <w:rsid w:val="57E502DB"/>
    <w:rsid w:val="580976D3"/>
    <w:rsid w:val="581806B0"/>
    <w:rsid w:val="5864776B"/>
    <w:rsid w:val="58694294"/>
    <w:rsid w:val="586E6E66"/>
    <w:rsid w:val="58986794"/>
    <w:rsid w:val="58D243D6"/>
    <w:rsid w:val="58D646E2"/>
    <w:rsid w:val="58DE3112"/>
    <w:rsid w:val="592E7AC6"/>
    <w:rsid w:val="594C2D2E"/>
    <w:rsid w:val="59575007"/>
    <w:rsid w:val="59633BAD"/>
    <w:rsid w:val="598F49A2"/>
    <w:rsid w:val="59AE2100"/>
    <w:rsid w:val="59D6437F"/>
    <w:rsid w:val="59DE3233"/>
    <w:rsid w:val="59FB10EB"/>
    <w:rsid w:val="5A025174"/>
    <w:rsid w:val="5A027DA1"/>
    <w:rsid w:val="5A764A71"/>
    <w:rsid w:val="5AC833C4"/>
    <w:rsid w:val="5AF31BD7"/>
    <w:rsid w:val="5AF56A87"/>
    <w:rsid w:val="5B131D9A"/>
    <w:rsid w:val="5B3C46B5"/>
    <w:rsid w:val="5B4A6DD2"/>
    <w:rsid w:val="5B605B2E"/>
    <w:rsid w:val="5B972E66"/>
    <w:rsid w:val="5BE96687"/>
    <w:rsid w:val="5C20728C"/>
    <w:rsid w:val="5C86208C"/>
    <w:rsid w:val="5CAD4ABD"/>
    <w:rsid w:val="5CC600FA"/>
    <w:rsid w:val="5CD819EE"/>
    <w:rsid w:val="5D1D79D1"/>
    <w:rsid w:val="5D2536B0"/>
    <w:rsid w:val="5D320C91"/>
    <w:rsid w:val="5D423AD9"/>
    <w:rsid w:val="5D6972B8"/>
    <w:rsid w:val="5D8D44FA"/>
    <w:rsid w:val="5DA24FF7"/>
    <w:rsid w:val="5DC4034E"/>
    <w:rsid w:val="5E336236"/>
    <w:rsid w:val="5E36452D"/>
    <w:rsid w:val="5E517F6B"/>
    <w:rsid w:val="5E522680"/>
    <w:rsid w:val="5E730A21"/>
    <w:rsid w:val="5E90377B"/>
    <w:rsid w:val="5ED30E8D"/>
    <w:rsid w:val="5EDF7832"/>
    <w:rsid w:val="5EEC5550"/>
    <w:rsid w:val="5F021772"/>
    <w:rsid w:val="5F2627A2"/>
    <w:rsid w:val="5F300DC5"/>
    <w:rsid w:val="5F7356E7"/>
    <w:rsid w:val="5F892FA5"/>
    <w:rsid w:val="5FAA0EAA"/>
    <w:rsid w:val="5FB7255D"/>
    <w:rsid w:val="5FC1162D"/>
    <w:rsid w:val="5FC90992"/>
    <w:rsid w:val="5FEF3BB3"/>
    <w:rsid w:val="60211344"/>
    <w:rsid w:val="602A4CC7"/>
    <w:rsid w:val="604162CA"/>
    <w:rsid w:val="604C6483"/>
    <w:rsid w:val="6082700E"/>
    <w:rsid w:val="609911FF"/>
    <w:rsid w:val="60D30936"/>
    <w:rsid w:val="60D537A6"/>
    <w:rsid w:val="60DC53EE"/>
    <w:rsid w:val="60DD4245"/>
    <w:rsid w:val="60E23EF5"/>
    <w:rsid w:val="6118635B"/>
    <w:rsid w:val="611D0AE5"/>
    <w:rsid w:val="61272FC5"/>
    <w:rsid w:val="613A40C6"/>
    <w:rsid w:val="617E22D9"/>
    <w:rsid w:val="61B7115C"/>
    <w:rsid w:val="61F51865"/>
    <w:rsid w:val="62032444"/>
    <w:rsid w:val="6211064A"/>
    <w:rsid w:val="623600B0"/>
    <w:rsid w:val="6243457B"/>
    <w:rsid w:val="62494201"/>
    <w:rsid w:val="62B22FAB"/>
    <w:rsid w:val="62B97655"/>
    <w:rsid w:val="62BA2CFA"/>
    <w:rsid w:val="62C202DE"/>
    <w:rsid w:val="630378F8"/>
    <w:rsid w:val="63051831"/>
    <w:rsid w:val="63585E05"/>
    <w:rsid w:val="63BA7D75"/>
    <w:rsid w:val="63F91396"/>
    <w:rsid w:val="64153A28"/>
    <w:rsid w:val="64266E98"/>
    <w:rsid w:val="644D3C91"/>
    <w:rsid w:val="64654C7D"/>
    <w:rsid w:val="64D43FB0"/>
    <w:rsid w:val="651D04D7"/>
    <w:rsid w:val="65516FAF"/>
    <w:rsid w:val="65922853"/>
    <w:rsid w:val="65D61B75"/>
    <w:rsid w:val="65EE18C6"/>
    <w:rsid w:val="66A03D4A"/>
    <w:rsid w:val="66EF688F"/>
    <w:rsid w:val="67446DCC"/>
    <w:rsid w:val="674F751F"/>
    <w:rsid w:val="677E5F7B"/>
    <w:rsid w:val="67AE06E9"/>
    <w:rsid w:val="680F48F5"/>
    <w:rsid w:val="6873723D"/>
    <w:rsid w:val="687744FC"/>
    <w:rsid w:val="688F22C8"/>
    <w:rsid w:val="68993147"/>
    <w:rsid w:val="68CF2FCC"/>
    <w:rsid w:val="68E67775"/>
    <w:rsid w:val="68F66319"/>
    <w:rsid w:val="68F77E6E"/>
    <w:rsid w:val="69004D4E"/>
    <w:rsid w:val="69107CC9"/>
    <w:rsid w:val="6971618A"/>
    <w:rsid w:val="69765D89"/>
    <w:rsid w:val="69B163DA"/>
    <w:rsid w:val="69C32E03"/>
    <w:rsid w:val="69C4041F"/>
    <w:rsid w:val="6A2217FB"/>
    <w:rsid w:val="6A4E1D48"/>
    <w:rsid w:val="6A5F216E"/>
    <w:rsid w:val="6A7115C3"/>
    <w:rsid w:val="6AF047C6"/>
    <w:rsid w:val="6B17192C"/>
    <w:rsid w:val="6B361121"/>
    <w:rsid w:val="6B446305"/>
    <w:rsid w:val="6B497658"/>
    <w:rsid w:val="6BAB4E78"/>
    <w:rsid w:val="6BAE2E95"/>
    <w:rsid w:val="6BDA7398"/>
    <w:rsid w:val="6C416227"/>
    <w:rsid w:val="6CA87DFD"/>
    <w:rsid w:val="6CD72490"/>
    <w:rsid w:val="6CD75464"/>
    <w:rsid w:val="6CD819E2"/>
    <w:rsid w:val="6CD86ED9"/>
    <w:rsid w:val="6CE45B48"/>
    <w:rsid w:val="6CF748E0"/>
    <w:rsid w:val="6D01750D"/>
    <w:rsid w:val="6D4F0278"/>
    <w:rsid w:val="6D6055F0"/>
    <w:rsid w:val="6E0A5037"/>
    <w:rsid w:val="6E186640"/>
    <w:rsid w:val="6E680A4B"/>
    <w:rsid w:val="6E685096"/>
    <w:rsid w:val="6E7561C7"/>
    <w:rsid w:val="6E9A3775"/>
    <w:rsid w:val="6EAB3898"/>
    <w:rsid w:val="6EDB4F7D"/>
    <w:rsid w:val="6EFE1B9C"/>
    <w:rsid w:val="6F0B6421"/>
    <w:rsid w:val="6F392F8E"/>
    <w:rsid w:val="6F3B4F58"/>
    <w:rsid w:val="6FA02AB5"/>
    <w:rsid w:val="6FA10B33"/>
    <w:rsid w:val="6FA32AFD"/>
    <w:rsid w:val="6FD53C0B"/>
    <w:rsid w:val="6FED01FE"/>
    <w:rsid w:val="7036571F"/>
    <w:rsid w:val="70807AF6"/>
    <w:rsid w:val="708C694C"/>
    <w:rsid w:val="70B07280"/>
    <w:rsid w:val="70E13317"/>
    <w:rsid w:val="70F552DF"/>
    <w:rsid w:val="70F869CD"/>
    <w:rsid w:val="714055E4"/>
    <w:rsid w:val="714B27BD"/>
    <w:rsid w:val="71676D09"/>
    <w:rsid w:val="71754026"/>
    <w:rsid w:val="717C2E0B"/>
    <w:rsid w:val="71A5076D"/>
    <w:rsid w:val="71B66B18"/>
    <w:rsid w:val="72432718"/>
    <w:rsid w:val="7251239D"/>
    <w:rsid w:val="72522BEE"/>
    <w:rsid w:val="7259736E"/>
    <w:rsid w:val="72A20E4A"/>
    <w:rsid w:val="7300684E"/>
    <w:rsid w:val="73011896"/>
    <w:rsid w:val="73012015"/>
    <w:rsid w:val="7315161C"/>
    <w:rsid w:val="732325D6"/>
    <w:rsid w:val="73475014"/>
    <w:rsid w:val="73A62BBC"/>
    <w:rsid w:val="73BB3A8B"/>
    <w:rsid w:val="745E567C"/>
    <w:rsid w:val="74884070"/>
    <w:rsid w:val="74CA1F4D"/>
    <w:rsid w:val="75E860BF"/>
    <w:rsid w:val="75F145C2"/>
    <w:rsid w:val="765D6201"/>
    <w:rsid w:val="766A5A5C"/>
    <w:rsid w:val="76C704BE"/>
    <w:rsid w:val="76D90BB3"/>
    <w:rsid w:val="76EE465E"/>
    <w:rsid w:val="76F72EFA"/>
    <w:rsid w:val="7702635B"/>
    <w:rsid w:val="77901BB9"/>
    <w:rsid w:val="77CA2A48"/>
    <w:rsid w:val="77D73344"/>
    <w:rsid w:val="77DF6BF9"/>
    <w:rsid w:val="782A5121"/>
    <w:rsid w:val="78770683"/>
    <w:rsid w:val="787A0D3F"/>
    <w:rsid w:val="788F206C"/>
    <w:rsid w:val="789530F9"/>
    <w:rsid w:val="78961019"/>
    <w:rsid w:val="7897660B"/>
    <w:rsid w:val="78A04C36"/>
    <w:rsid w:val="78C22246"/>
    <w:rsid w:val="78E71CAD"/>
    <w:rsid w:val="791F131F"/>
    <w:rsid w:val="79502C65"/>
    <w:rsid w:val="798509C8"/>
    <w:rsid w:val="79C478F8"/>
    <w:rsid w:val="79C913B2"/>
    <w:rsid w:val="7A016A66"/>
    <w:rsid w:val="7A0B19CB"/>
    <w:rsid w:val="7A0C6E22"/>
    <w:rsid w:val="7A146AD1"/>
    <w:rsid w:val="7A2E1C26"/>
    <w:rsid w:val="7A301431"/>
    <w:rsid w:val="7A6C06BC"/>
    <w:rsid w:val="7A767E3D"/>
    <w:rsid w:val="7A953C40"/>
    <w:rsid w:val="7A9F0781"/>
    <w:rsid w:val="7AC4352C"/>
    <w:rsid w:val="7AC90E54"/>
    <w:rsid w:val="7AE95FD6"/>
    <w:rsid w:val="7B221D76"/>
    <w:rsid w:val="7B274036"/>
    <w:rsid w:val="7B284207"/>
    <w:rsid w:val="7B374FEA"/>
    <w:rsid w:val="7B714925"/>
    <w:rsid w:val="7B811F45"/>
    <w:rsid w:val="7B871BC1"/>
    <w:rsid w:val="7BA3043B"/>
    <w:rsid w:val="7BCC4C97"/>
    <w:rsid w:val="7BCE2CB0"/>
    <w:rsid w:val="7C1F073E"/>
    <w:rsid w:val="7C5C16BC"/>
    <w:rsid w:val="7C6E1E61"/>
    <w:rsid w:val="7CAD650E"/>
    <w:rsid w:val="7CBB3234"/>
    <w:rsid w:val="7D0A5F6A"/>
    <w:rsid w:val="7D0B6DDA"/>
    <w:rsid w:val="7D2B742D"/>
    <w:rsid w:val="7D4C20DE"/>
    <w:rsid w:val="7D7A3BB1"/>
    <w:rsid w:val="7DCE6F97"/>
    <w:rsid w:val="7DE44A0D"/>
    <w:rsid w:val="7E58660A"/>
    <w:rsid w:val="7E8A55B4"/>
    <w:rsid w:val="7E8F4979"/>
    <w:rsid w:val="7EAD4DFF"/>
    <w:rsid w:val="7EB876C3"/>
    <w:rsid w:val="7ECE3799"/>
    <w:rsid w:val="7F014DB2"/>
    <w:rsid w:val="7F166F47"/>
    <w:rsid w:val="7F410AEE"/>
    <w:rsid w:val="7F5F7B54"/>
    <w:rsid w:val="7F647934"/>
    <w:rsid w:val="7F697FF1"/>
    <w:rsid w:val="7F9935D5"/>
    <w:rsid w:val="7FAB5685"/>
    <w:rsid w:val="7FB14F0C"/>
    <w:rsid w:val="7FCB0A0D"/>
    <w:rsid w:val="7FEC733E"/>
    <w:rsid w:val="7FF12DAF"/>
    <w:rsid w:val="7FF220EA"/>
    <w:rsid w:val="7FF80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9"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name="footnote text"/>
    <w:lsdException w:qFormat="1" w:uiPriority="99"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qFormat="1" w:unhideWhenUsed="0" w:uiPriority="0" w:semiHidden="0" w:name="footnote reference"/>
    <w:lsdException w:qFormat="1" w:uiPriority="99" w:semiHidden="0" w:name="annotation reference"/>
    <w:lsdException w:qFormat="1" w:unhideWhenUsed="0" w:uiPriority="0" w:semiHidden="0" w:name="line number"/>
    <w:lsdException w:qFormat="1" w:unhideWhenUsed="0" w:uiPriority="0" w:semiHidden="0" w:name="page number"/>
    <w:lsdException w:uiPriority="0" w:name="endnote reference"/>
    <w:lsdException w:qFormat="1" w:unhideWhenUsed="0" w:uiPriority="0" w:name="endnote text"/>
    <w:lsdException w:qFormat="1" w:unhideWhenUsed="0" w:uiPriority="0" w:semiHidden="0" w:name="table of authorities"/>
    <w:lsdException w:qFormat="1" w:unhideWhenUsed="0" w:uiPriority="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0" w:name="List 5"/>
    <w:lsdException w:qFormat="1" w:unhideWhenUsed="0" w:uiPriority="0" w:semiHidden="0" w:name="List Bullet 2"/>
    <w:lsdException w:qFormat="1" w:unhideWhenUsed="0" w:uiPriority="0" w:semiHidden="0" w:name="List Bullet 3"/>
    <w:lsdException w:uiPriority="0" w:name="List Bullet 4"/>
    <w:lsdException w:qFormat="1"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qFormat="1" w:unhideWhenUsed="0" w:uiPriority="0" w:semiHidden="0" w:name="List Continue 5"/>
    <w:lsdException w:uiPriority="0" w:name="Message Header"/>
    <w:lsdException w:unhideWhenUsed="0" w:uiPriority="0" w:semiHidden="0" w:name="Subtitle"/>
    <w:lsdException w:qFormat="1" w:unhideWhenUsed="0" w:uiPriority="0" w:semiHidden="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qFormat="1" w:unhideWhenUsed="0" w:uiPriority="0" w:semiHidden="0" w:name="HTML Typewriter"/>
    <w:lsdException w:uiPriority="0" w:name="HTML Variable"/>
    <w:lsdException w:qFormat="1" w:uiPriority="99" w:name="Normal Table"/>
    <w:lsdException w:qFormat="1" w:uiPriority="99" w:semiHidden="0" w:name="annotation subject"/>
    <w:lsdException w:qFormat="1" w:unhideWhenUsed="0" w:uiPriority="0" w:semiHidden="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uiPriority="0" w:name="Table Grid 8"/>
    <w:lsdException w:uiPriority="0" w:name="Table List 1"/>
    <w:lsdException w:uiPriority="0" w:name="Table List 2"/>
    <w:lsdException w:uiPriority="0" w:name="Table List 3"/>
    <w:lsdException w:uiPriority="0" w:name="Table List 4"/>
    <w:lsdException w:qFormat="1" w:unhideWhenUsed="0" w:uiPriority="0" w:semiHidden="0" w:name="Table List 5"/>
    <w:lsdException w:qFormat="1" w:unhideWhenUsed="0" w:uiPriority="0" w:semiHidden="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qFormat="1" w:unhideWhenUsed="0" w:uiPriority="0" w:semiHidden="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428"/>
    <w:qFormat/>
    <w:uiPriority w:val="9"/>
    <w:pPr>
      <w:snapToGrid w:val="0"/>
      <w:spacing w:line="348" w:lineRule="auto"/>
      <w:outlineLvl w:val="0"/>
    </w:pPr>
    <w:rPr>
      <w:b/>
      <w:kern w:val="0"/>
      <w:sz w:val="28"/>
      <w:szCs w:val="20"/>
    </w:rPr>
  </w:style>
  <w:style w:type="paragraph" w:styleId="4">
    <w:name w:val="heading 2"/>
    <w:basedOn w:val="1"/>
    <w:next w:val="1"/>
    <w:link w:val="355"/>
    <w:unhideWhenUsed/>
    <w:qFormat/>
    <w:uiPriority w:val="9"/>
    <w:pPr>
      <w:snapToGrid w:val="0"/>
      <w:spacing w:line="348" w:lineRule="auto"/>
      <w:outlineLvl w:val="1"/>
    </w:pPr>
    <w:rPr>
      <w:b/>
      <w:kern w:val="0"/>
      <w:sz w:val="28"/>
      <w:szCs w:val="20"/>
    </w:rPr>
  </w:style>
  <w:style w:type="paragraph" w:styleId="5">
    <w:name w:val="heading 3"/>
    <w:basedOn w:val="1"/>
    <w:next w:val="1"/>
    <w:link w:val="419"/>
    <w:unhideWhenUsed/>
    <w:qFormat/>
    <w:uiPriority w:val="9"/>
    <w:pPr>
      <w:snapToGrid w:val="0"/>
      <w:spacing w:line="348" w:lineRule="auto"/>
      <w:outlineLvl w:val="2"/>
    </w:pPr>
    <w:rPr>
      <w:kern w:val="0"/>
      <w:sz w:val="28"/>
    </w:rPr>
  </w:style>
  <w:style w:type="paragraph" w:styleId="6">
    <w:name w:val="heading 4"/>
    <w:basedOn w:val="1"/>
    <w:next w:val="1"/>
    <w:link w:val="472"/>
    <w:unhideWhenUsed/>
    <w:qFormat/>
    <w:uiPriority w:val="9"/>
    <w:pPr>
      <w:spacing w:line="348" w:lineRule="auto"/>
      <w:outlineLvl w:val="3"/>
    </w:pPr>
    <w:rPr>
      <w:kern w:val="0"/>
      <w:sz w:val="28"/>
      <w:szCs w:val="20"/>
    </w:rPr>
  </w:style>
  <w:style w:type="paragraph" w:styleId="7">
    <w:name w:val="heading 5"/>
    <w:basedOn w:val="1"/>
    <w:next w:val="1"/>
    <w:link w:val="363"/>
    <w:qFormat/>
    <w:uiPriority w:val="0"/>
    <w:pPr>
      <w:keepNext/>
      <w:keepLines/>
      <w:tabs>
        <w:tab w:val="left" w:pos="-108"/>
        <w:tab w:val="left" w:pos="1008"/>
      </w:tabs>
      <w:snapToGrid w:val="0"/>
      <w:spacing w:before="280" w:after="290" w:line="376" w:lineRule="atLeast"/>
      <w:ind w:left="1008" w:firstLine="295" w:firstLineChars="295"/>
      <w:outlineLvl w:val="4"/>
    </w:pPr>
    <w:rPr>
      <w:rFonts w:ascii="宋体" w:hAnsi="宋体"/>
      <w:b/>
      <w:sz w:val="28"/>
      <w:szCs w:val="20"/>
    </w:rPr>
  </w:style>
  <w:style w:type="paragraph" w:styleId="8">
    <w:name w:val="heading 6"/>
    <w:basedOn w:val="1"/>
    <w:next w:val="1"/>
    <w:link w:val="433"/>
    <w:qFormat/>
    <w:uiPriority w:val="0"/>
    <w:pPr>
      <w:keepNext/>
      <w:keepLines/>
      <w:tabs>
        <w:tab w:val="left" w:pos="-108"/>
        <w:tab w:val="left" w:pos="1152"/>
      </w:tabs>
      <w:snapToGrid w:val="0"/>
      <w:spacing w:before="240" w:after="64" w:line="320" w:lineRule="atLeast"/>
      <w:ind w:left="1152" w:firstLine="295" w:firstLineChars="295"/>
      <w:outlineLvl w:val="5"/>
    </w:pPr>
    <w:rPr>
      <w:rFonts w:ascii="Arial" w:hAnsi="Arial" w:eastAsia="黑体"/>
      <w:b/>
      <w:sz w:val="28"/>
      <w:szCs w:val="20"/>
    </w:rPr>
  </w:style>
  <w:style w:type="paragraph" w:styleId="9">
    <w:name w:val="heading 7"/>
    <w:basedOn w:val="1"/>
    <w:next w:val="1"/>
    <w:link w:val="530"/>
    <w:qFormat/>
    <w:uiPriority w:val="0"/>
    <w:pPr>
      <w:keepNext/>
      <w:keepLines/>
      <w:tabs>
        <w:tab w:val="left" w:pos="-108"/>
        <w:tab w:val="left" w:pos="1296"/>
      </w:tabs>
      <w:snapToGrid w:val="0"/>
      <w:spacing w:before="240" w:after="64" w:line="320" w:lineRule="atLeast"/>
      <w:ind w:left="1296" w:firstLine="295" w:firstLineChars="295"/>
      <w:outlineLvl w:val="6"/>
    </w:pPr>
    <w:rPr>
      <w:rFonts w:ascii="宋体" w:hAnsi="宋体"/>
      <w:b/>
      <w:sz w:val="28"/>
      <w:szCs w:val="20"/>
    </w:rPr>
  </w:style>
  <w:style w:type="paragraph" w:styleId="10">
    <w:name w:val="heading 8"/>
    <w:basedOn w:val="1"/>
    <w:next w:val="1"/>
    <w:link w:val="517"/>
    <w:unhideWhenUsed/>
    <w:qFormat/>
    <w:uiPriority w:val="9"/>
    <w:pPr>
      <w:keepNext/>
      <w:keepLines/>
      <w:spacing w:before="240" w:after="64" w:line="320" w:lineRule="auto"/>
      <w:outlineLvl w:val="7"/>
    </w:pPr>
    <w:rPr>
      <w:rFonts w:ascii="Calibri Light" w:hAnsi="Calibri Light"/>
      <w:kern w:val="0"/>
      <w:sz w:val="24"/>
      <w:szCs w:val="24"/>
    </w:rPr>
  </w:style>
  <w:style w:type="paragraph" w:styleId="11">
    <w:name w:val="heading 9"/>
    <w:basedOn w:val="1"/>
    <w:next w:val="1"/>
    <w:link w:val="353"/>
    <w:qFormat/>
    <w:uiPriority w:val="0"/>
    <w:pPr>
      <w:keepNext/>
      <w:keepLines/>
      <w:tabs>
        <w:tab w:val="left" w:pos="-108"/>
        <w:tab w:val="left" w:pos="1584"/>
      </w:tabs>
      <w:snapToGrid w:val="0"/>
      <w:spacing w:before="240" w:after="64" w:line="320" w:lineRule="atLeast"/>
      <w:ind w:left="1584" w:firstLine="295" w:firstLineChars="295"/>
      <w:outlineLvl w:val="8"/>
    </w:pPr>
    <w:rPr>
      <w:rFonts w:ascii="Arial" w:hAnsi="Arial" w:eastAsia="黑体"/>
      <w:szCs w:val="20"/>
    </w:rPr>
  </w:style>
  <w:style w:type="character" w:default="1" w:styleId="88">
    <w:name w:val="Default Paragraph Font"/>
    <w:semiHidden/>
    <w:unhideWhenUsed/>
    <w:qFormat/>
    <w:uiPriority w:val="1"/>
  </w:style>
  <w:style w:type="table" w:default="1" w:styleId="77">
    <w:name w:val="Normal Table"/>
    <w:semiHidden/>
    <w:unhideWhenUsed/>
    <w:qFormat/>
    <w:uiPriority w:val="99"/>
    <w:tblPr>
      <w:tblCellMar>
        <w:top w:w="0" w:type="dxa"/>
        <w:left w:w="108" w:type="dxa"/>
        <w:bottom w:w="0" w:type="dxa"/>
        <w:right w:w="108" w:type="dxa"/>
      </w:tblCellMar>
    </w:tblPr>
  </w:style>
  <w:style w:type="paragraph" w:styleId="2">
    <w:name w:val="macro"/>
    <w:link w:val="362"/>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next w:val="1"/>
    <w:qFormat/>
    <w:uiPriority w:val="0"/>
    <w:pPr>
      <w:adjustRightInd w:val="0"/>
      <w:snapToGrid w:val="0"/>
      <w:spacing w:line="0" w:lineRule="atLeast"/>
      <w:jc w:val="center"/>
      <w:outlineLvl w:val="0"/>
    </w:pPr>
    <w:rPr>
      <w:rFonts w:ascii="宋体" w:hAnsi="宋体"/>
      <w:spacing w:val="-10"/>
      <w:szCs w:val="20"/>
    </w:rPr>
  </w:style>
  <w:style w:type="paragraph" w:styleId="13">
    <w:name w:val="toc 7"/>
    <w:basedOn w:val="1"/>
    <w:next w:val="1"/>
    <w:unhideWhenUsed/>
    <w:qFormat/>
    <w:uiPriority w:val="39"/>
    <w:pPr>
      <w:ind w:left="2520" w:leftChars="1200"/>
    </w:pPr>
    <w:rPr>
      <w:rFonts w:ascii="Calibri" w:hAnsi="Calibri"/>
    </w:rPr>
  </w:style>
  <w:style w:type="paragraph" w:styleId="14">
    <w:name w:val="List Number 2"/>
    <w:basedOn w:val="1"/>
    <w:qFormat/>
    <w:uiPriority w:val="0"/>
    <w:pPr>
      <w:numPr>
        <w:ilvl w:val="0"/>
        <w:numId w:val="1"/>
      </w:numPr>
      <w:tabs>
        <w:tab w:val="left" w:pos="780"/>
      </w:tabs>
    </w:pPr>
  </w:style>
  <w:style w:type="paragraph" w:styleId="15">
    <w:name w:val="table of authorities"/>
    <w:basedOn w:val="1"/>
    <w:next w:val="1"/>
    <w:qFormat/>
    <w:uiPriority w:val="0"/>
    <w:rPr>
      <w:rFonts w:ascii="宋体"/>
      <w:sz w:val="28"/>
      <w:szCs w:val="20"/>
    </w:rPr>
  </w:style>
  <w:style w:type="paragraph" w:styleId="16">
    <w:name w:val="Note Heading"/>
    <w:basedOn w:val="1"/>
    <w:next w:val="1"/>
    <w:link w:val="398"/>
    <w:qFormat/>
    <w:uiPriority w:val="0"/>
    <w:pPr>
      <w:ind w:firstLine="567"/>
      <w:jc w:val="center"/>
      <w:outlineLvl w:val="0"/>
    </w:pPr>
    <w:rPr>
      <w:rFonts w:eastAsia="楷体_GB2312"/>
      <w:szCs w:val="20"/>
    </w:rPr>
  </w:style>
  <w:style w:type="paragraph" w:styleId="17">
    <w:name w:val="index 8"/>
    <w:basedOn w:val="1"/>
    <w:next w:val="1"/>
    <w:qFormat/>
    <w:uiPriority w:val="0"/>
    <w:pPr>
      <w:widowControl/>
      <w:ind w:left="2240" w:hanging="280"/>
      <w:jc w:val="left"/>
    </w:pPr>
    <w:rPr>
      <w:kern w:val="0"/>
      <w:sz w:val="28"/>
      <w:szCs w:val="24"/>
    </w:rPr>
  </w:style>
  <w:style w:type="paragraph" w:styleId="18">
    <w:name w:val="List Number"/>
    <w:basedOn w:val="1"/>
    <w:qFormat/>
    <w:uiPriority w:val="0"/>
    <w:pPr>
      <w:jc w:val="right"/>
      <w:outlineLvl w:val="0"/>
    </w:pPr>
    <w:rPr>
      <w:szCs w:val="20"/>
    </w:rPr>
  </w:style>
  <w:style w:type="paragraph" w:styleId="19">
    <w:name w:val="Normal Indent"/>
    <w:basedOn w:val="1"/>
    <w:link w:val="285"/>
    <w:qFormat/>
    <w:uiPriority w:val="0"/>
    <w:pPr>
      <w:spacing w:line="500" w:lineRule="exact"/>
      <w:ind w:firstLine="456" w:firstLineChars="200"/>
    </w:pPr>
    <w:rPr>
      <w:kern w:val="0"/>
      <w:sz w:val="24"/>
      <w:szCs w:val="20"/>
    </w:rPr>
  </w:style>
  <w:style w:type="paragraph" w:styleId="20">
    <w:name w:val="caption"/>
    <w:basedOn w:val="1"/>
    <w:next w:val="1"/>
    <w:link w:val="591"/>
    <w:qFormat/>
    <w:uiPriority w:val="0"/>
    <w:pPr>
      <w:spacing w:line="360" w:lineRule="auto"/>
    </w:pPr>
    <w:rPr>
      <w:rFonts w:ascii="Arial" w:hAnsi="Arial" w:eastAsia="黑体"/>
      <w:sz w:val="20"/>
      <w:szCs w:val="24"/>
    </w:rPr>
  </w:style>
  <w:style w:type="paragraph" w:styleId="21">
    <w:name w:val="index 5"/>
    <w:basedOn w:val="1"/>
    <w:next w:val="1"/>
    <w:qFormat/>
    <w:uiPriority w:val="0"/>
    <w:pPr>
      <w:widowControl/>
      <w:ind w:left="1400" w:hanging="280"/>
      <w:jc w:val="left"/>
    </w:pPr>
    <w:rPr>
      <w:kern w:val="0"/>
      <w:sz w:val="28"/>
      <w:szCs w:val="24"/>
    </w:rPr>
  </w:style>
  <w:style w:type="paragraph" w:styleId="22">
    <w:name w:val="List Bullet"/>
    <w:basedOn w:val="1"/>
    <w:qFormat/>
    <w:uiPriority w:val="0"/>
    <w:pPr>
      <w:tabs>
        <w:tab w:val="left" w:pos="600"/>
      </w:tabs>
      <w:ind w:left="600" w:hanging="360" w:hangingChars="200"/>
    </w:pPr>
    <w:rPr>
      <w:rFonts w:ascii="楷体_GB2312"/>
      <w:szCs w:val="24"/>
    </w:rPr>
  </w:style>
  <w:style w:type="paragraph" w:styleId="23">
    <w:name w:val="Document Map"/>
    <w:basedOn w:val="1"/>
    <w:link w:val="380"/>
    <w:unhideWhenUsed/>
    <w:qFormat/>
    <w:uiPriority w:val="99"/>
    <w:rPr>
      <w:rFonts w:ascii="宋体"/>
      <w:sz w:val="18"/>
      <w:szCs w:val="18"/>
    </w:rPr>
  </w:style>
  <w:style w:type="paragraph" w:styleId="24">
    <w:name w:val="toa heading"/>
    <w:basedOn w:val="1"/>
    <w:next w:val="1"/>
    <w:qFormat/>
    <w:uiPriority w:val="0"/>
    <w:pPr>
      <w:tabs>
        <w:tab w:val="left" w:pos="1701"/>
      </w:tabs>
      <w:adjustRightInd w:val="0"/>
      <w:snapToGrid w:val="0"/>
      <w:spacing w:before="240" w:after="720" w:line="360" w:lineRule="auto"/>
      <w:jc w:val="center"/>
      <w:textAlignment w:val="baseline"/>
    </w:pPr>
    <w:rPr>
      <w:rFonts w:ascii="Arial" w:hAnsi="Arial"/>
      <w:b/>
      <w:caps/>
      <w:kern w:val="0"/>
      <w:sz w:val="44"/>
      <w:szCs w:val="20"/>
    </w:rPr>
  </w:style>
  <w:style w:type="paragraph" w:styleId="25">
    <w:name w:val="annotation text"/>
    <w:basedOn w:val="1"/>
    <w:link w:val="444"/>
    <w:unhideWhenUsed/>
    <w:qFormat/>
    <w:uiPriority w:val="99"/>
    <w:pPr>
      <w:jc w:val="left"/>
    </w:pPr>
    <w:rPr>
      <w:kern w:val="0"/>
      <w:sz w:val="20"/>
      <w:szCs w:val="20"/>
    </w:rPr>
  </w:style>
  <w:style w:type="paragraph" w:styleId="26">
    <w:name w:val="index 6"/>
    <w:basedOn w:val="1"/>
    <w:next w:val="1"/>
    <w:qFormat/>
    <w:uiPriority w:val="0"/>
    <w:pPr>
      <w:widowControl/>
      <w:ind w:left="1680" w:hanging="280"/>
      <w:jc w:val="left"/>
    </w:pPr>
    <w:rPr>
      <w:kern w:val="0"/>
      <w:sz w:val="28"/>
      <w:szCs w:val="24"/>
    </w:rPr>
  </w:style>
  <w:style w:type="paragraph" w:styleId="27">
    <w:name w:val="Salutation"/>
    <w:basedOn w:val="1"/>
    <w:next w:val="1"/>
    <w:link w:val="516"/>
    <w:qFormat/>
    <w:uiPriority w:val="0"/>
    <w:rPr>
      <w:sz w:val="28"/>
      <w:szCs w:val="24"/>
    </w:rPr>
  </w:style>
  <w:style w:type="paragraph" w:styleId="28">
    <w:name w:val="Body Text 3"/>
    <w:basedOn w:val="1"/>
    <w:link w:val="463"/>
    <w:qFormat/>
    <w:uiPriority w:val="0"/>
    <w:pPr>
      <w:spacing w:after="120"/>
    </w:pPr>
    <w:rPr>
      <w:sz w:val="16"/>
      <w:szCs w:val="16"/>
    </w:rPr>
  </w:style>
  <w:style w:type="paragraph" w:styleId="29">
    <w:name w:val="Closing"/>
    <w:basedOn w:val="1"/>
    <w:link w:val="267"/>
    <w:qFormat/>
    <w:uiPriority w:val="0"/>
    <w:pPr>
      <w:ind w:left="100" w:leftChars="2100"/>
    </w:pPr>
    <w:rPr>
      <w:b/>
      <w:bCs/>
      <w:sz w:val="28"/>
      <w:szCs w:val="28"/>
    </w:rPr>
  </w:style>
  <w:style w:type="paragraph" w:styleId="30">
    <w:name w:val="List Bullet 3"/>
    <w:basedOn w:val="1"/>
    <w:qFormat/>
    <w:uiPriority w:val="0"/>
    <w:pPr>
      <w:tabs>
        <w:tab w:val="left" w:pos="1200"/>
      </w:tabs>
      <w:ind w:left="1200" w:leftChars="400" w:hanging="360" w:hangingChars="200"/>
    </w:pPr>
    <w:rPr>
      <w:szCs w:val="24"/>
    </w:rPr>
  </w:style>
  <w:style w:type="paragraph" w:styleId="31">
    <w:name w:val="Body Text"/>
    <w:basedOn w:val="1"/>
    <w:link w:val="436"/>
    <w:qFormat/>
    <w:uiPriority w:val="0"/>
    <w:pPr>
      <w:spacing w:before="26"/>
      <w:ind w:left="138"/>
      <w:jc w:val="left"/>
    </w:pPr>
    <w:rPr>
      <w:rFonts w:ascii="宋体" w:hAnsi="宋体"/>
      <w:kern w:val="0"/>
      <w:sz w:val="24"/>
      <w:szCs w:val="24"/>
      <w:lang w:eastAsia="en-US"/>
    </w:rPr>
  </w:style>
  <w:style w:type="paragraph" w:styleId="32">
    <w:name w:val="Body Text Indent"/>
    <w:basedOn w:val="1"/>
    <w:next w:val="33"/>
    <w:link w:val="403"/>
    <w:qFormat/>
    <w:uiPriority w:val="99"/>
    <w:pPr>
      <w:snapToGrid w:val="0"/>
      <w:spacing w:after="120" w:line="360" w:lineRule="auto"/>
      <w:ind w:left="420" w:leftChars="200" w:firstLine="752" w:firstLineChars="295"/>
    </w:pPr>
    <w:rPr>
      <w:rFonts w:ascii="宋体" w:hAnsi="宋体"/>
      <w:sz w:val="28"/>
      <w:szCs w:val="24"/>
    </w:rPr>
  </w:style>
  <w:style w:type="paragraph" w:customStyle="1" w:styleId="33">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34">
    <w:name w:val="List 2"/>
    <w:basedOn w:val="1"/>
    <w:qFormat/>
    <w:uiPriority w:val="0"/>
    <w:pPr>
      <w:adjustRightInd w:val="0"/>
      <w:snapToGrid w:val="0"/>
      <w:spacing w:line="360" w:lineRule="auto"/>
      <w:jc w:val="center"/>
    </w:pPr>
    <w:rPr>
      <w:rFonts w:ascii="宋体" w:hAnsi="宋体"/>
      <w:szCs w:val="24"/>
    </w:rPr>
  </w:style>
  <w:style w:type="paragraph" w:styleId="35">
    <w:name w:val="List Continue"/>
    <w:basedOn w:val="1"/>
    <w:qFormat/>
    <w:uiPriority w:val="0"/>
    <w:pPr>
      <w:spacing w:after="120"/>
      <w:ind w:left="420" w:leftChars="200"/>
    </w:pPr>
    <w:rPr>
      <w:szCs w:val="24"/>
    </w:rPr>
  </w:style>
  <w:style w:type="paragraph" w:styleId="36">
    <w:name w:val="Block Text"/>
    <w:basedOn w:val="1"/>
    <w:qFormat/>
    <w:uiPriority w:val="0"/>
    <w:pPr>
      <w:spacing w:after="120"/>
      <w:ind w:left="1440" w:leftChars="700" w:right="1440" w:rightChars="700"/>
    </w:pPr>
    <w:rPr>
      <w:szCs w:val="24"/>
    </w:rPr>
  </w:style>
  <w:style w:type="paragraph" w:styleId="37">
    <w:name w:val="List Bullet 2"/>
    <w:basedOn w:val="1"/>
    <w:qFormat/>
    <w:uiPriority w:val="0"/>
    <w:pPr>
      <w:tabs>
        <w:tab w:val="left" w:pos="780"/>
      </w:tabs>
      <w:ind w:left="780" w:hanging="360"/>
    </w:pPr>
    <w:rPr>
      <w:sz w:val="28"/>
      <w:szCs w:val="28"/>
    </w:rPr>
  </w:style>
  <w:style w:type="paragraph" w:styleId="38">
    <w:name w:val="index 4"/>
    <w:basedOn w:val="1"/>
    <w:next w:val="1"/>
    <w:qFormat/>
    <w:uiPriority w:val="0"/>
    <w:pPr>
      <w:widowControl/>
      <w:ind w:left="1120" w:hanging="280"/>
      <w:jc w:val="left"/>
    </w:pPr>
    <w:rPr>
      <w:kern w:val="0"/>
      <w:sz w:val="28"/>
      <w:szCs w:val="24"/>
    </w:rPr>
  </w:style>
  <w:style w:type="paragraph" w:styleId="39">
    <w:name w:val="toc 5"/>
    <w:basedOn w:val="1"/>
    <w:next w:val="1"/>
    <w:unhideWhenUsed/>
    <w:qFormat/>
    <w:uiPriority w:val="39"/>
    <w:pPr>
      <w:ind w:left="1680" w:leftChars="800"/>
    </w:pPr>
    <w:rPr>
      <w:rFonts w:ascii="Calibri" w:hAnsi="Calibri"/>
    </w:rPr>
  </w:style>
  <w:style w:type="paragraph" w:styleId="40">
    <w:name w:val="toc 3"/>
    <w:basedOn w:val="1"/>
    <w:next w:val="1"/>
    <w:unhideWhenUsed/>
    <w:qFormat/>
    <w:uiPriority w:val="39"/>
    <w:pPr>
      <w:ind w:left="840" w:leftChars="400"/>
    </w:pPr>
    <w:rPr>
      <w:rFonts w:ascii="Calibri" w:hAnsi="Calibri"/>
    </w:rPr>
  </w:style>
  <w:style w:type="paragraph" w:styleId="41">
    <w:name w:val="Plain Text"/>
    <w:basedOn w:val="1"/>
    <w:link w:val="470"/>
    <w:qFormat/>
    <w:uiPriority w:val="99"/>
    <w:rPr>
      <w:rFonts w:ascii="宋体" w:hAnsi="Courier New" w:cs="Courier New"/>
      <w:szCs w:val="21"/>
    </w:rPr>
  </w:style>
  <w:style w:type="paragraph" w:styleId="42">
    <w:name w:val="List Bullet 5"/>
    <w:basedOn w:val="1"/>
    <w:semiHidden/>
    <w:unhideWhenUsed/>
    <w:qFormat/>
    <w:uiPriority w:val="0"/>
    <w:pPr>
      <w:numPr>
        <w:ilvl w:val="0"/>
        <w:numId w:val="2"/>
      </w:numPr>
    </w:pPr>
  </w:style>
  <w:style w:type="paragraph" w:styleId="43">
    <w:name w:val="toc 8"/>
    <w:basedOn w:val="1"/>
    <w:next w:val="1"/>
    <w:unhideWhenUsed/>
    <w:qFormat/>
    <w:uiPriority w:val="39"/>
    <w:pPr>
      <w:ind w:left="2940" w:leftChars="1400"/>
    </w:pPr>
    <w:rPr>
      <w:rFonts w:ascii="Calibri" w:hAnsi="Calibri"/>
    </w:rPr>
  </w:style>
  <w:style w:type="paragraph" w:styleId="44">
    <w:name w:val="index 3"/>
    <w:basedOn w:val="1"/>
    <w:next w:val="1"/>
    <w:qFormat/>
    <w:uiPriority w:val="0"/>
    <w:pPr>
      <w:widowControl/>
      <w:ind w:left="840" w:hanging="280"/>
      <w:jc w:val="left"/>
    </w:pPr>
    <w:rPr>
      <w:kern w:val="0"/>
      <w:sz w:val="28"/>
      <w:szCs w:val="24"/>
    </w:rPr>
  </w:style>
  <w:style w:type="paragraph" w:styleId="45">
    <w:name w:val="Date"/>
    <w:basedOn w:val="1"/>
    <w:next w:val="1"/>
    <w:link w:val="446"/>
    <w:unhideWhenUsed/>
    <w:qFormat/>
    <w:uiPriority w:val="0"/>
    <w:pPr>
      <w:ind w:left="100" w:leftChars="2500"/>
    </w:pPr>
    <w:rPr>
      <w:rFonts w:ascii="Calibri" w:hAnsi="Calibri"/>
    </w:rPr>
  </w:style>
  <w:style w:type="paragraph" w:styleId="46">
    <w:name w:val="Body Text Indent 2"/>
    <w:basedOn w:val="1"/>
    <w:link w:val="424"/>
    <w:qFormat/>
    <w:uiPriority w:val="0"/>
    <w:pPr>
      <w:snapToGrid w:val="0"/>
      <w:spacing w:after="120" w:line="480" w:lineRule="auto"/>
      <w:ind w:left="420" w:leftChars="200" w:firstLine="752" w:firstLineChars="295"/>
    </w:pPr>
    <w:rPr>
      <w:rFonts w:ascii="宋体" w:hAnsi="宋体"/>
      <w:sz w:val="28"/>
      <w:szCs w:val="24"/>
    </w:rPr>
  </w:style>
  <w:style w:type="paragraph" w:styleId="47">
    <w:name w:val="endnote text"/>
    <w:basedOn w:val="1"/>
    <w:link w:val="423"/>
    <w:semiHidden/>
    <w:qFormat/>
    <w:uiPriority w:val="0"/>
    <w:pPr>
      <w:snapToGrid w:val="0"/>
      <w:jc w:val="left"/>
    </w:pPr>
    <w:rPr>
      <w:rFonts w:ascii="Courier New" w:hAnsi="Courier New" w:cs="Courier New"/>
      <w:sz w:val="24"/>
      <w:szCs w:val="24"/>
    </w:rPr>
  </w:style>
  <w:style w:type="paragraph" w:styleId="48">
    <w:name w:val="List Continue 5"/>
    <w:basedOn w:val="1"/>
    <w:qFormat/>
    <w:uiPriority w:val="0"/>
    <w:pPr>
      <w:tabs>
        <w:tab w:val="left" w:pos="1701"/>
      </w:tabs>
      <w:adjustRightInd w:val="0"/>
      <w:snapToGrid w:val="0"/>
      <w:spacing w:after="120" w:line="348" w:lineRule="auto"/>
      <w:ind w:left="2100" w:leftChars="1000"/>
    </w:pPr>
    <w:rPr>
      <w:snapToGrid w:val="0"/>
      <w:kern w:val="0"/>
      <w:sz w:val="28"/>
      <w:szCs w:val="24"/>
    </w:rPr>
  </w:style>
  <w:style w:type="paragraph" w:styleId="49">
    <w:name w:val="Balloon Text"/>
    <w:basedOn w:val="1"/>
    <w:link w:val="525"/>
    <w:unhideWhenUsed/>
    <w:qFormat/>
    <w:uiPriority w:val="0"/>
    <w:rPr>
      <w:kern w:val="0"/>
      <w:sz w:val="18"/>
      <w:szCs w:val="18"/>
    </w:rPr>
  </w:style>
  <w:style w:type="paragraph" w:styleId="50">
    <w:name w:val="footer"/>
    <w:basedOn w:val="1"/>
    <w:link w:val="437"/>
    <w:unhideWhenUsed/>
    <w:qFormat/>
    <w:uiPriority w:val="99"/>
    <w:pPr>
      <w:tabs>
        <w:tab w:val="center" w:pos="4153"/>
        <w:tab w:val="right" w:pos="8306"/>
      </w:tabs>
      <w:snapToGrid w:val="0"/>
      <w:jc w:val="left"/>
    </w:pPr>
    <w:rPr>
      <w:sz w:val="18"/>
      <w:szCs w:val="18"/>
    </w:rPr>
  </w:style>
  <w:style w:type="paragraph" w:styleId="51">
    <w:name w:val="header"/>
    <w:basedOn w:val="1"/>
    <w:link w:val="443"/>
    <w:unhideWhenUsed/>
    <w:qFormat/>
    <w:uiPriority w:val="99"/>
    <w:pPr>
      <w:pBdr>
        <w:bottom w:val="single" w:color="auto" w:sz="6" w:space="1"/>
      </w:pBdr>
      <w:tabs>
        <w:tab w:val="center" w:pos="4153"/>
        <w:tab w:val="right" w:pos="8306"/>
      </w:tabs>
      <w:snapToGrid w:val="0"/>
      <w:jc w:val="center"/>
    </w:pPr>
    <w:rPr>
      <w:sz w:val="18"/>
      <w:szCs w:val="18"/>
    </w:rPr>
  </w:style>
  <w:style w:type="paragraph" w:styleId="52">
    <w:name w:val="Signature"/>
    <w:basedOn w:val="1"/>
    <w:link w:val="1950"/>
    <w:qFormat/>
    <w:uiPriority w:val="0"/>
    <w:pPr>
      <w:ind w:left="100" w:leftChars="2100"/>
    </w:pPr>
    <w:rPr>
      <w:szCs w:val="21"/>
    </w:rPr>
  </w:style>
  <w:style w:type="paragraph" w:styleId="53">
    <w:name w:val="toc 1"/>
    <w:basedOn w:val="1"/>
    <w:next w:val="1"/>
    <w:unhideWhenUsed/>
    <w:qFormat/>
    <w:uiPriority w:val="39"/>
    <w:pPr>
      <w:tabs>
        <w:tab w:val="right" w:leader="dot" w:pos="8494"/>
      </w:tabs>
      <w:adjustRightInd w:val="0"/>
      <w:snapToGrid w:val="0"/>
      <w:spacing w:line="348" w:lineRule="auto"/>
    </w:pPr>
    <w:rPr>
      <w:b/>
      <w:sz w:val="28"/>
      <w:szCs w:val="28"/>
    </w:rPr>
  </w:style>
  <w:style w:type="paragraph" w:styleId="54">
    <w:name w:val="toc 4"/>
    <w:basedOn w:val="1"/>
    <w:next w:val="1"/>
    <w:unhideWhenUsed/>
    <w:qFormat/>
    <w:uiPriority w:val="39"/>
    <w:pPr>
      <w:ind w:left="1260" w:leftChars="600"/>
    </w:pPr>
    <w:rPr>
      <w:rFonts w:ascii="Calibri" w:hAnsi="Calibri"/>
    </w:rPr>
  </w:style>
  <w:style w:type="paragraph" w:styleId="55">
    <w:name w:val="index heading"/>
    <w:basedOn w:val="1"/>
    <w:next w:val="56"/>
    <w:qFormat/>
    <w:uiPriority w:val="0"/>
    <w:pPr>
      <w:tabs>
        <w:tab w:val="left" w:pos="1701"/>
      </w:tabs>
    </w:pPr>
    <w:rPr>
      <w:szCs w:val="24"/>
    </w:rPr>
  </w:style>
  <w:style w:type="paragraph" w:styleId="56">
    <w:name w:val="index 1"/>
    <w:basedOn w:val="1"/>
    <w:next w:val="1"/>
    <w:qFormat/>
    <w:uiPriority w:val="0"/>
    <w:pPr>
      <w:adjustRightInd w:val="0"/>
      <w:snapToGrid w:val="0"/>
      <w:spacing w:line="400" w:lineRule="exact"/>
      <w:jc w:val="center"/>
    </w:pPr>
    <w:rPr>
      <w:rFonts w:ascii="宋体" w:hAnsi="宋体"/>
      <w:color w:val="FF0000"/>
      <w:szCs w:val="24"/>
    </w:rPr>
  </w:style>
  <w:style w:type="paragraph" w:styleId="57">
    <w:name w:val="List"/>
    <w:basedOn w:val="1"/>
    <w:link w:val="2000"/>
    <w:qFormat/>
    <w:uiPriority w:val="0"/>
    <w:pPr>
      <w:ind w:left="420" w:hanging="420"/>
    </w:pPr>
    <w:rPr>
      <w:sz w:val="28"/>
      <w:szCs w:val="24"/>
    </w:rPr>
  </w:style>
  <w:style w:type="paragraph" w:styleId="58">
    <w:name w:val="footnote text"/>
    <w:basedOn w:val="1"/>
    <w:link w:val="544"/>
    <w:semiHidden/>
    <w:qFormat/>
    <w:uiPriority w:val="0"/>
    <w:pPr>
      <w:snapToGrid w:val="0"/>
      <w:jc w:val="left"/>
    </w:pPr>
    <w:rPr>
      <w:sz w:val="18"/>
      <w:szCs w:val="18"/>
    </w:rPr>
  </w:style>
  <w:style w:type="paragraph" w:styleId="59">
    <w:name w:val="toc 6"/>
    <w:basedOn w:val="1"/>
    <w:next w:val="1"/>
    <w:unhideWhenUsed/>
    <w:qFormat/>
    <w:uiPriority w:val="39"/>
    <w:pPr>
      <w:ind w:left="2100" w:leftChars="1000"/>
    </w:pPr>
    <w:rPr>
      <w:rFonts w:ascii="Calibri" w:hAnsi="Calibri"/>
    </w:rPr>
  </w:style>
  <w:style w:type="paragraph" w:styleId="60">
    <w:name w:val="Body Text Indent 3"/>
    <w:basedOn w:val="1"/>
    <w:link w:val="371"/>
    <w:qFormat/>
    <w:uiPriority w:val="0"/>
    <w:pPr>
      <w:snapToGrid w:val="0"/>
      <w:spacing w:after="120" w:line="360" w:lineRule="auto"/>
      <w:ind w:left="420" w:leftChars="200" w:firstLine="752" w:firstLineChars="295"/>
    </w:pPr>
    <w:rPr>
      <w:rFonts w:ascii="宋体" w:hAnsi="宋体"/>
      <w:sz w:val="16"/>
      <w:szCs w:val="16"/>
    </w:rPr>
  </w:style>
  <w:style w:type="paragraph" w:styleId="61">
    <w:name w:val="index 7"/>
    <w:basedOn w:val="1"/>
    <w:next w:val="1"/>
    <w:qFormat/>
    <w:uiPriority w:val="0"/>
    <w:pPr>
      <w:widowControl/>
      <w:ind w:left="1960" w:hanging="280"/>
      <w:jc w:val="left"/>
    </w:pPr>
    <w:rPr>
      <w:kern w:val="0"/>
      <w:sz w:val="28"/>
      <w:szCs w:val="24"/>
    </w:rPr>
  </w:style>
  <w:style w:type="paragraph" w:styleId="62">
    <w:name w:val="index 9"/>
    <w:basedOn w:val="1"/>
    <w:next w:val="1"/>
    <w:qFormat/>
    <w:uiPriority w:val="0"/>
    <w:pPr>
      <w:widowControl/>
      <w:ind w:left="2520" w:hanging="280"/>
      <w:jc w:val="left"/>
    </w:pPr>
    <w:rPr>
      <w:kern w:val="0"/>
      <w:sz w:val="28"/>
      <w:szCs w:val="24"/>
    </w:rPr>
  </w:style>
  <w:style w:type="paragraph" w:styleId="63">
    <w:name w:val="table of figures"/>
    <w:basedOn w:val="1"/>
    <w:next w:val="1"/>
    <w:qFormat/>
    <w:uiPriority w:val="0"/>
    <w:pPr>
      <w:ind w:left="200" w:leftChars="200" w:hanging="200" w:hangingChars="200"/>
    </w:pPr>
    <w:rPr>
      <w:sz w:val="24"/>
      <w:szCs w:val="24"/>
    </w:rPr>
  </w:style>
  <w:style w:type="paragraph" w:styleId="64">
    <w:name w:val="toc 2"/>
    <w:basedOn w:val="1"/>
    <w:next w:val="1"/>
    <w:unhideWhenUsed/>
    <w:qFormat/>
    <w:uiPriority w:val="39"/>
    <w:pPr>
      <w:ind w:left="420" w:leftChars="200"/>
    </w:pPr>
  </w:style>
  <w:style w:type="paragraph" w:styleId="65">
    <w:name w:val="toc 9"/>
    <w:basedOn w:val="1"/>
    <w:next w:val="1"/>
    <w:unhideWhenUsed/>
    <w:qFormat/>
    <w:uiPriority w:val="39"/>
    <w:pPr>
      <w:ind w:left="3360" w:leftChars="1600"/>
    </w:pPr>
    <w:rPr>
      <w:rFonts w:ascii="Calibri" w:hAnsi="Calibri"/>
    </w:rPr>
  </w:style>
  <w:style w:type="paragraph" w:styleId="66">
    <w:name w:val="Body Text 2"/>
    <w:basedOn w:val="1"/>
    <w:link w:val="162"/>
    <w:qFormat/>
    <w:uiPriority w:val="99"/>
    <w:pPr>
      <w:widowControl/>
      <w:shd w:val="solid" w:color="FFFFFF" w:fill="FFFFFF"/>
      <w:ind w:firstLine="3661" w:firstLineChars="1771"/>
      <w:textAlignment w:val="top"/>
    </w:pPr>
    <w:rPr>
      <w:rFonts w:ascii="宋体"/>
      <w:b/>
      <w:szCs w:val="24"/>
    </w:rPr>
  </w:style>
  <w:style w:type="paragraph" w:styleId="67">
    <w:name w:val="List 4"/>
    <w:basedOn w:val="1"/>
    <w:qFormat/>
    <w:uiPriority w:val="0"/>
    <w:pPr>
      <w:ind w:left="1680" w:hanging="420"/>
    </w:pPr>
    <w:rPr>
      <w:sz w:val="24"/>
      <w:szCs w:val="20"/>
    </w:rPr>
  </w:style>
  <w:style w:type="paragraph" w:styleId="68">
    <w:name w:val="List Continue 2"/>
    <w:basedOn w:val="1"/>
    <w:qFormat/>
    <w:uiPriority w:val="0"/>
    <w:pPr>
      <w:spacing w:before="100" w:after="120" w:line="400" w:lineRule="exact"/>
      <w:ind w:left="840" w:leftChars="400" w:firstLine="200" w:firstLineChars="200"/>
    </w:pPr>
    <w:rPr>
      <w:snapToGrid w:val="0"/>
      <w:kern w:val="0"/>
      <w:sz w:val="24"/>
      <w:szCs w:val="24"/>
    </w:rPr>
  </w:style>
  <w:style w:type="paragraph" w:styleId="69">
    <w:name w:val="HTML Preformatted"/>
    <w:basedOn w:val="1"/>
    <w:link w:val="55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70">
    <w:name w:val="Normal (Web)"/>
    <w:basedOn w:val="1"/>
    <w:unhideWhenUsed/>
    <w:qFormat/>
    <w:uiPriority w:val="99"/>
    <w:pPr>
      <w:widowControl/>
      <w:jc w:val="left"/>
    </w:pPr>
    <w:rPr>
      <w:rFonts w:ascii="宋体" w:hAnsi="宋体" w:cs="宋体"/>
      <w:kern w:val="0"/>
      <w:sz w:val="24"/>
      <w:szCs w:val="24"/>
    </w:rPr>
  </w:style>
  <w:style w:type="paragraph" w:styleId="71">
    <w:name w:val="index 2"/>
    <w:basedOn w:val="1"/>
    <w:next w:val="1"/>
    <w:qFormat/>
    <w:uiPriority w:val="0"/>
    <w:pPr>
      <w:tabs>
        <w:tab w:val="left" w:pos="907"/>
      </w:tabs>
      <w:adjustRightInd w:val="0"/>
      <w:spacing w:line="280" w:lineRule="exact"/>
      <w:jc w:val="center"/>
      <w:textAlignment w:val="baseline"/>
    </w:pPr>
    <w:rPr>
      <w:rFonts w:ascii="宋体" w:hAnsi="宋体"/>
      <w:color w:val="000000"/>
      <w:kern w:val="0"/>
      <w:szCs w:val="20"/>
    </w:rPr>
  </w:style>
  <w:style w:type="paragraph" w:styleId="72">
    <w:name w:val="Title"/>
    <w:basedOn w:val="1"/>
    <w:link w:val="452"/>
    <w:qFormat/>
    <w:uiPriority w:val="0"/>
    <w:pPr>
      <w:spacing w:before="240" w:after="60"/>
      <w:jc w:val="center"/>
      <w:outlineLvl w:val="0"/>
    </w:pPr>
    <w:rPr>
      <w:sz w:val="18"/>
      <w:szCs w:val="18"/>
    </w:rPr>
  </w:style>
  <w:style w:type="paragraph" w:styleId="73">
    <w:name w:val="annotation subject"/>
    <w:basedOn w:val="25"/>
    <w:next w:val="25"/>
    <w:link w:val="415"/>
    <w:unhideWhenUsed/>
    <w:qFormat/>
    <w:uiPriority w:val="99"/>
    <w:rPr>
      <w:b/>
      <w:bCs/>
    </w:rPr>
  </w:style>
  <w:style w:type="paragraph" w:styleId="74">
    <w:name w:val="Body Text First Indent"/>
    <w:basedOn w:val="31"/>
    <w:link w:val="258"/>
    <w:qFormat/>
    <w:uiPriority w:val="0"/>
    <w:pPr>
      <w:spacing w:before="0" w:after="120"/>
      <w:ind w:left="0" w:firstLine="420" w:firstLineChars="100"/>
      <w:jc w:val="both"/>
    </w:pPr>
    <w:rPr>
      <w:rFonts w:ascii="Times New Roman" w:hAnsi="Times New Roman"/>
      <w:kern w:val="2"/>
      <w:sz w:val="28"/>
      <w:lang w:eastAsia="zh-CN"/>
    </w:rPr>
  </w:style>
  <w:style w:type="paragraph" w:styleId="75">
    <w:name w:val="Body Text First Indent 2"/>
    <w:basedOn w:val="32"/>
    <w:next w:val="76"/>
    <w:link w:val="487"/>
    <w:qFormat/>
    <w:uiPriority w:val="0"/>
    <w:pPr>
      <w:snapToGrid/>
      <w:spacing w:line="240" w:lineRule="auto"/>
      <w:ind w:firstLine="420" w:firstLineChars="200"/>
    </w:pPr>
    <w:rPr>
      <w:rFonts w:ascii="Times New Roman" w:hAnsi="Times New Roman"/>
      <w:szCs w:val="20"/>
    </w:rPr>
  </w:style>
  <w:style w:type="paragraph" w:customStyle="1" w:styleId="76">
    <w:name w:val="正文1"/>
    <w:basedOn w:val="1"/>
    <w:link w:val="527"/>
    <w:qFormat/>
    <w:uiPriority w:val="0"/>
    <w:pPr>
      <w:adjustRightInd w:val="0"/>
      <w:snapToGrid w:val="0"/>
      <w:spacing w:line="348" w:lineRule="auto"/>
      <w:ind w:firstLine="560" w:firstLineChars="200"/>
    </w:pPr>
    <w:rPr>
      <w:sz w:val="28"/>
    </w:rPr>
  </w:style>
  <w:style w:type="table" w:styleId="78">
    <w:name w:val="Table Grid"/>
    <w:basedOn w:val="7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9">
    <w:name w:val="Table Theme"/>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0">
    <w:name w:val="Table Elegant"/>
    <w:basedOn w:val="77"/>
    <w:qFormat/>
    <w:uiPriority w:val="0"/>
    <w:pPr>
      <w:widowControl w:val="0"/>
    </w:pPr>
    <w:rPr>
      <w:rFonts w:eastAsia="PMingLi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styleId="81">
    <w:name w:val="Table Simple 1"/>
    <w:basedOn w:val="77"/>
    <w:qFormat/>
    <w:uiPriority w:val="0"/>
    <w:pPr>
      <w:widowControl w:val="0"/>
      <w:jc w:val="both"/>
    </w:pPr>
    <w:tblPr>
      <w:tblBorders>
        <w:top w:val="single" w:color="008000" w:sz="12" w:space="0"/>
        <w:bottom w:val="single" w:color="008000" w:sz="12" w:space="0"/>
      </w:tblBorders>
    </w:tbl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82">
    <w:name w:val="Table List 5"/>
    <w:basedOn w:val="77"/>
    <w:qFormat/>
    <w:uiPriority w:val="0"/>
    <w:pPr>
      <w:widowControl w:val="0"/>
      <w:adjustRightInd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83">
    <w:name w:val="Table List 6"/>
    <w:basedOn w:val="77"/>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4">
    <w:name w:val="Table Grid 1"/>
    <w:basedOn w:val="77"/>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5">
    <w:name w:val="Table Grid 5"/>
    <w:basedOn w:val="77"/>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6">
    <w:name w:val="Table Grid 6"/>
    <w:basedOn w:val="77"/>
    <w:qFormat/>
    <w:uiPriority w:val="0"/>
    <w:pPr>
      <w:widowControl w:val="0"/>
      <w:adjustRightInd w:val="0"/>
      <w:snapToGrid w:val="0"/>
      <w:spacing w:line="348" w:lineRule="auto"/>
      <w:ind w:firstLine="560" w:firstLineChars="20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7">
    <w:name w:val="Table Grid 7"/>
    <w:basedOn w:val="77"/>
    <w:qFormat/>
    <w:uiPriority w:val="0"/>
    <w:pPr>
      <w:widowControl w:val="0"/>
      <w:snapToGrid w:val="0"/>
      <w:spacing w:line="348" w:lineRule="auto"/>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89">
    <w:name w:val="Strong"/>
    <w:qFormat/>
    <w:uiPriority w:val="0"/>
    <w:rPr>
      <w:b/>
      <w:bCs/>
    </w:rPr>
  </w:style>
  <w:style w:type="character" w:styleId="90">
    <w:name w:val="page number"/>
    <w:qFormat/>
    <w:uiPriority w:val="0"/>
  </w:style>
  <w:style w:type="character" w:styleId="91">
    <w:name w:val="FollowedHyperlink"/>
    <w:unhideWhenUsed/>
    <w:qFormat/>
    <w:uiPriority w:val="99"/>
    <w:rPr>
      <w:color w:val="800080"/>
      <w:u w:val="single"/>
    </w:rPr>
  </w:style>
  <w:style w:type="character" w:styleId="92">
    <w:name w:val="Emphasis"/>
    <w:qFormat/>
    <w:uiPriority w:val="0"/>
    <w:rPr>
      <w:color w:val="CC0033"/>
    </w:rPr>
  </w:style>
  <w:style w:type="character" w:styleId="93">
    <w:name w:val="line number"/>
    <w:qFormat/>
    <w:uiPriority w:val="0"/>
  </w:style>
  <w:style w:type="character" w:styleId="94">
    <w:name w:val="HTML Typewriter"/>
    <w:qFormat/>
    <w:uiPriority w:val="0"/>
    <w:rPr>
      <w:rFonts w:hint="eastAsia" w:ascii="宋体" w:hAnsi="宋体" w:eastAsia="宋体" w:cs="宋体"/>
      <w:sz w:val="18"/>
      <w:szCs w:val="18"/>
    </w:rPr>
  </w:style>
  <w:style w:type="character" w:styleId="95">
    <w:name w:val="Hyperlink"/>
    <w:unhideWhenUsed/>
    <w:qFormat/>
    <w:uiPriority w:val="99"/>
    <w:rPr>
      <w:color w:val="0000FF"/>
      <w:u w:val="single"/>
    </w:rPr>
  </w:style>
  <w:style w:type="character" w:styleId="96">
    <w:name w:val="HTML Code"/>
    <w:qFormat/>
    <w:uiPriority w:val="0"/>
    <w:rPr>
      <w:rFonts w:ascii="Courier New" w:hAnsi="Courier New" w:cs="Courier New"/>
      <w:sz w:val="20"/>
      <w:szCs w:val="20"/>
    </w:rPr>
  </w:style>
  <w:style w:type="character" w:styleId="97">
    <w:name w:val="annotation reference"/>
    <w:unhideWhenUsed/>
    <w:qFormat/>
    <w:uiPriority w:val="99"/>
    <w:rPr>
      <w:sz w:val="21"/>
      <w:szCs w:val="21"/>
    </w:rPr>
  </w:style>
  <w:style w:type="character" w:styleId="98">
    <w:name w:val="footnote reference"/>
    <w:qFormat/>
    <w:uiPriority w:val="0"/>
    <w:rPr>
      <w:vertAlign w:val="superscript"/>
    </w:rPr>
  </w:style>
  <w:style w:type="paragraph" w:customStyle="1" w:styleId="99">
    <w:name w:val="样式 正文缩进正文缩进2正文缩进 Char Char正文缩进 Char Char Char Char正文缩进 Char ..."/>
    <w:basedOn w:val="19"/>
    <w:qFormat/>
    <w:uiPriority w:val="0"/>
    <w:pPr>
      <w:spacing w:line="360" w:lineRule="auto"/>
      <w:ind w:firstLine="200" w:firstLineChars="0"/>
    </w:pPr>
    <w:rPr>
      <w:rFonts w:ascii="宋体" w:hAnsi="宋体" w:cs="宋体"/>
      <w:sz w:val="24"/>
      <w:szCs w:val="20"/>
    </w:rPr>
  </w:style>
  <w:style w:type="paragraph" w:customStyle="1" w:styleId="100">
    <w:name w:val="样式 宋体 行距: 1.5 倍行距"/>
    <w:basedOn w:val="1"/>
    <w:qFormat/>
    <w:uiPriority w:val="0"/>
    <w:pPr>
      <w:ind w:firstLine="200" w:firstLineChars="200"/>
      <w:jc w:val="left"/>
    </w:pPr>
    <w:rPr>
      <w:rFonts w:ascii="Calibri" w:hAnsi="Calibri" w:cs="Arial"/>
      <w:b/>
      <w:kern w:val="0"/>
      <w:sz w:val="24"/>
      <w:szCs w:val="22"/>
    </w:rPr>
  </w:style>
  <w:style w:type="paragraph" w:customStyle="1" w:styleId="10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2">
    <w:name w:val="样式 标题 1 + 四号 段前: 0 磅 段后: 0 磅 行距: 1.5 倍行距"/>
    <w:basedOn w:val="103"/>
    <w:next w:val="104"/>
    <w:qFormat/>
    <w:uiPriority w:val="0"/>
    <w:pPr>
      <w:tabs>
        <w:tab w:val="left" w:pos="1701"/>
      </w:tabs>
      <w:snapToGrid w:val="0"/>
      <w:spacing w:before="100" w:after="120" w:line="360" w:lineRule="auto"/>
      <w:jc w:val="center"/>
    </w:pPr>
    <w:rPr>
      <w:bCs/>
      <w:sz w:val="30"/>
      <w:szCs w:val="24"/>
    </w:rPr>
  </w:style>
  <w:style w:type="paragraph" w:customStyle="1" w:styleId="103">
    <w:name w:val="报告表正文"/>
    <w:basedOn w:val="1"/>
    <w:qFormat/>
    <w:uiPriority w:val="0"/>
    <w:pPr>
      <w:tabs>
        <w:tab w:val="left" w:pos="1701"/>
      </w:tabs>
      <w:adjustRightInd w:val="0"/>
      <w:spacing w:line="300" w:lineRule="auto"/>
      <w:ind w:left="113" w:right="113"/>
    </w:pPr>
    <w:rPr>
      <w:kern w:val="0"/>
      <w:sz w:val="24"/>
      <w:szCs w:val="20"/>
    </w:rPr>
  </w:style>
  <w:style w:type="paragraph" w:customStyle="1" w:styleId="104">
    <w:name w:val="文本正文"/>
    <w:basedOn w:val="1"/>
    <w:qFormat/>
    <w:uiPriority w:val="0"/>
    <w:pPr>
      <w:tabs>
        <w:tab w:val="left" w:pos="1701"/>
      </w:tabs>
      <w:spacing w:line="360" w:lineRule="auto"/>
      <w:ind w:firstLine="480" w:firstLineChars="200"/>
    </w:pPr>
    <w:rPr>
      <w:rFonts w:eastAsia="仿宋_GB2312"/>
      <w:sz w:val="24"/>
      <w:szCs w:val="24"/>
    </w:rPr>
  </w:style>
  <w:style w:type="character" w:customStyle="1" w:styleId="105">
    <w:name w:val="章标题 1 Char Char"/>
    <w:qFormat/>
    <w:uiPriority w:val="0"/>
    <w:rPr>
      <w:rFonts w:hint="eastAsia" w:ascii="宋体" w:hAnsi="宋体" w:eastAsia="宋体"/>
      <w:b/>
      <w:color w:val="000000"/>
      <w:kern w:val="44"/>
      <w:sz w:val="32"/>
      <w:lang w:val="en-US" w:eastAsia="zh-CN" w:bidi="ar-SA"/>
    </w:rPr>
  </w:style>
  <w:style w:type="character" w:customStyle="1" w:styleId="106">
    <w:name w:val="样式18 Char"/>
    <w:qFormat/>
    <w:uiPriority w:val="0"/>
    <w:rPr>
      <w:rFonts w:hint="eastAsia" w:ascii="宋体" w:hAnsi="宋体" w:eastAsia="宋体"/>
      <w:b/>
      <w:color w:val="000000"/>
      <w:sz w:val="24"/>
      <w:szCs w:val="24"/>
      <w:lang w:val="en-US" w:eastAsia="zh-CN" w:bidi="ar-SA"/>
    </w:rPr>
  </w:style>
  <w:style w:type="character" w:customStyle="1" w:styleId="107">
    <w:name w:val="样式93 Char"/>
    <w:link w:val="108"/>
    <w:qFormat/>
    <w:locked/>
    <w:uiPriority w:val="0"/>
    <w:rPr>
      <w:rFonts w:ascii="仿宋_GB2312" w:eastAsia="仿宋_GB2312"/>
      <w:sz w:val="24"/>
      <w:szCs w:val="24"/>
    </w:rPr>
  </w:style>
  <w:style w:type="paragraph" w:customStyle="1" w:styleId="108">
    <w:name w:val="样式93"/>
    <w:basedOn w:val="1"/>
    <w:link w:val="107"/>
    <w:qFormat/>
    <w:uiPriority w:val="0"/>
    <w:pPr>
      <w:ind w:left="420" w:leftChars="175" w:firstLine="480" w:firstLineChars="200"/>
    </w:pPr>
    <w:rPr>
      <w:rFonts w:ascii="仿宋_GB2312" w:eastAsia="仿宋_GB2312"/>
      <w:kern w:val="0"/>
      <w:sz w:val="24"/>
      <w:szCs w:val="24"/>
    </w:rPr>
  </w:style>
  <w:style w:type="character" w:customStyle="1" w:styleId="109">
    <w:name w:val="表格备注"/>
    <w:qFormat/>
    <w:uiPriority w:val="0"/>
    <w:rPr>
      <w:rFonts w:hint="default" w:ascii="Times New Roman" w:hAnsi="Times New Roman" w:cs="Times New Roman"/>
      <w:color w:val="000000"/>
      <w:kern w:val="0"/>
      <w:sz w:val="20"/>
    </w:rPr>
  </w:style>
  <w:style w:type="character" w:customStyle="1" w:styleId="110">
    <w:name w:val="图表标题 Char Char"/>
    <w:link w:val="111"/>
    <w:qFormat/>
    <w:uiPriority w:val="0"/>
    <w:rPr>
      <w:rFonts w:ascii="Times New Roman" w:hAnsi="Times New Roman" w:cs="Times New Roman"/>
      <w:b/>
      <w:sz w:val="24"/>
      <w:szCs w:val="24"/>
    </w:rPr>
  </w:style>
  <w:style w:type="paragraph" w:customStyle="1" w:styleId="111">
    <w:name w:val="图表标题 Char"/>
    <w:basedOn w:val="1"/>
    <w:next w:val="1"/>
    <w:link w:val="110"/>
    <w:qFormat/>
    <w:uiPriority w:val="0"/>
    <w:pPr>
      <w:topLinePunct/>
      <w:adjustRightInd w:val="0"/>
      <w:snapToGrid w:val="0"/>
      <w:spacing w:line="300" w:lineRule="auto"/>
      <w:jc w:val="center"/>
    </w:pPr>
    <w:rPr>
      <w:b/>
      <w:sz w:val="24"/>
      <w:szCs w:val="24"/>
    </w:rPr>
  </w:style>
  <w:style w:type="character" w:customStyle="1" w:styleId="112">
    <w:name w:val="Char Char"/>
    <w:qFormat/>
    <w:locked/>
    <w:uiPriority w:val="0"/>
    <w:rPr>
      <w:rFonts w:ascii="Courier New" w:hAnsi="Courier New" w:eastAsia="宋体" w:cs="Courier New"/>
      <w:kern w:val="2"/>
      <w:sz w:val="24"/>
      <w:szCs w:val="24"/>
      <w:lang w:val="en-US" w:eastAsia="zh-CN" w:bidi="ar-SA"/>
    </w:rPr>
  </w:style>
  <w:style w:type="character" w:customStyle="1" w:styleId="113">
    <w:name w:val="HBZW"/>
    <w:qFormat/>
    <w:uiPriority w:val="0"/>
    <w:rPr>
      <w:rFonts w:ascii="宋体" w:hAnsi="宋体" w:eastAsia="宋体"/>
      <w:kern w:val="0"/>
      <w:sz w:val="24"/>
      <w:lang w:val="en-US" w:eastAsia="zh-CN" w:bidi="ar-SA"/>
    </w:rPr>
  </w:style>
  <w:style w:type="character" w:customStyle="1" w:styleId="114">
    <w:name w:val="正文文字缩进 2 Char Char"/>
    <w:qFormat/>
    <w:uiPriority w:val="0"/>
    <w:rPr>
      <w:rFonts w:hint="eastAsia" w:ascii="宋体" w:hAnsi="宋体" w:eastAsia="宋体"/>
      <w:kern w:val="2"/>
      <w:sz w:val="21"/>
      <w:szCs w:val="24"/>
      <w:lang w:val="en-US" w:eastAsia="zh-CN" w:bidi="ar-SA"/>
    </w:rPr>
  </w:style>
  <w:style w:type="character" w:customStyle="1" w:styleId="115">
    <w:name w:val="表格文字-大表-小五"/>
    <w:qFormat/>
    <w:uiPriority w:val="0"/>
    <w:rPr>
      <w:color w:val="000000"/>
      <w:sz w:val="18"/>
    </w:rPr>
  </w:style>
  <w:style w:type="character" w:customStyle="1" w:styleId="116">
    <w:name w:val="样式 标题 2 + (西文) Times New Roman (中文) 仿宋_GB2312 四号 非加粗 Char"/>
    <w:qFormat/>
    <w:uiPriority w:val="0"/>
    <w:rPr>
      <w:rFonts w:hint="eastAsia" w:ascii="仿宋_GB2312" w:eastAsia="仿宋_GB2312"/>
      <w:bCs/>
      <w:kern w:val="2"/>
      <w:sz w:val="28"/>
      <w:szCs w:val="28"/>
      <w:lang w:val="en-US" w:eastAsia="zh-CN" w:bidi="ar-SA"/>
    </w:rPr>
  </w:style>
  <w:style w:type="character" w:customStyle="1" w:styleId="117">
    <w:name w:val="EmailStyle2198"/>
    <w:qFormat/>
    <w:uiPriority w:val="0"/>
    <w:rPr>
      <w:rFonts w:hint="default" w:ascii="Arial" w:hAnsi="Arial" w:eastAsia="宋体" w:cs="Arial"/>
      <w:color w:val="000080"/>
      <w:sz w:val="18"/>
      <w:szCs w:val="20"/>
    </w:rPr>
  </w:style>
  <w:style w:type="character" w:customStyle="1" w:styleId="118">
    <w:name w:val="表体 Char Char Char"/>
    <w:link w:val="119"/>
    <w:qFormat/>
    <w:uiPriority w:val="0"/>
    <w:rPr>
      <w:rFonts w:ascii="仿宋_GB2312" w:hAnsi="Arial Narrow" w:eastAsia="仿宋_GB2312"/>
      <w:color w:val="000000"/>
      <w:sz w:val="24"/>
      <w:lang w:val="en-US" w:eastAsia="zh-CN"/>
    </w:rPr>
  </w:style>
  <w:style w:type="paragraph" w:customStyle="1" w:styleId="119">
    <w:name w:val="表体 Char Char"/>
    <w:basedOn w:val="1"/>
    <w:link w:val="118"/>
    <w:qFormat/>
    <w:uiPriority w:val="0"/>
    <w:pPr>
      <w:widowControl/>
      <w:snapToGrid w:val="0"/>
      <w:spacing w:line="400" w:lineRule="atLeast"/>
      <w:jc w:val="center"/>
    </w:pPr>
    <w:rPr>
      <w:rFonts w:ascii="仿宋_GB2312" w:hAnsi="Arial Narrow" w:eastAsia="仿宋_GB2312"/>
      <w:color w:val="000000"/>
      <w:kern w:val="0"/>
      <w:sz w:val="24"/>
      <w:szCs w:val="20"/>
    </w:rPr>
  </w:style>
  <w:style w:type="character" w:customStyle="1" w:styleId="120">
    <w:name w:val="EmailStyle21551"/>
    <w:semiHidden/>
    <w:qFormat/>
    <w:uiPriority w:val="0"/>
    <w:rPr>
      <w:rFonts w:hint="default" w:ascii="Arial" w:hAnsi="Arial" w:eastAsia="宋体" w:cs="Arial"/>
      <w:color w:val="000080"/>
      <w:sz w:val="18"/>
      <w:szCs w:val="20"/>
    </w:rPr>
  </w:style>
  <w:style w:type="character" w:customStyle="1" w:styleId="121">
    <w:name w:val="未命名1"/>
    <w:qFormat/>
    <w:uiPriority w:val="0"/>
  </w:style>
  <w:style w:type="character" w:customStyle="1" w:styleId="122">
    <w:name w:val="链接"/>
    <w:qFormat/>
    <w:uiPriority w:val="0"/>
    <w:rPr>
      <w:rFonts w:ascii="Times New Roman" w:eastAsia="宋体"/>
      <w:color w:val="0000FF"/>
      <w:sz w:val="21"/>
      <w:u w:val="single" w:color="0000FF"/>
      <w:vertAlign w:val="baseline"/>
      <w:lang w:val="en-US" w:eastAsia="zh-CN"/>
    </w:rPr>
  </w:style>
  <w:style w:type="character" w:customStyle="1" w:styleId="123">
    <w:name w:val="style1"/>
    <w:qFormat/>
    <w:uiPriority w:val="0"/>
  </w:style>
  <w:style w:type="character" w:customStyle="1" w:styleId="124">
    <w:name w:val="A-z正文 Char"/>
    <w:link w:val="125"/>
    <w:qFormat/>
    <w:locked/>
    <w:uiPriority w:val="0"/>
    <w:rPr>
      <w:rFonts w:ascii="宋体" w:hAnsi="宋体" w:eastAsia="宋体" w:cs="宋体"/>
      <w:kern w:val="2"/>
      <w:sz w:val="24"/>
      <w:lang w:val="en-US" w:eastAsia="zh-CN" w:bidi="ar-SA"/>
    </w:rPr>
  </w:style>
  <w:style w:type="paragraph" w:customStyle="1" w:styleId="125">
    <w:name w:val="A-z正文"/>
    <w:basedOn w:val="1"/>
    <w:link w:val="124"/>
    <w:qFormat/>
    <w:uiPriority w:val="0"/>
    <w:pPr>
      <w:spacing w:line="360" w:lineRule="auto"/>
      <w:ind w:firstLine="200" w:firstLineChars="200"/>
    </w:pPr>
    <w:rPr>
      <w:rFonts w:ascii="宋体" w:hAnsi="宋体" w:cs="宋体"/>
      <w:sz w:val="24"/>
      <w:szCs w:val="20"/>
    </w:rPr>
  </w:style>
  <w:style w:type="character" w:customStyle="1" w:styleId="126">
    <w:name w:val="Char1 Char Char1"/>
    <w:qFormat/>
    <w:uiPriority w:val="0"/>
    <w:rPr>
      <w:rFonts w:hint="eastAsia" w:ascii="宋体" w:hAnsi="宋体" w:eastAsia="宋体"/>
      <w:b/>
      <w:bCs/>
      <w:kern w:val="2"/>
      <w:sz w:val="32"/>
      <w:szCs w:val="32"/>
      <w:lang w:val="en-US" w:eastAsia="zh-CN" w:bidi="ar-SA"/>
    </w:rPr>
  </w:style>
  <w:style w:type="character" w:customStyle="1" w:styleId="127">
    <w:name w:val="big1"/>
    <w:qFormat/>
    <w:uiPriority w:val="0"/>
    <w:rPr>
      <w:spacing w:val="360"/>
      <w:sz w:val="22"/>
      <w:szCs w:val="22"/>
    </w:rPr>
  </w:style>
  <w:style w:type="character" w:customStyle="1" w:styleId="128">
    <w:name w:val="H2 2 Char Char"/>
    <w:qFormat/>
    <w:uiPriority w:val="0"/>
    <w:rPr>
      <w:rFonts w:hint="default" w:ascii="Arial" w:hAnsi="Arial" w:eastAsia="宋体" w:cs="Arial"/>
      <w:spacing w:val="8"/>
      <w:sz w:val="28"/>
      <w:lang w:val="en-US" w:eastAsia="zh-CN" w:bidi="ar-SA"/>
    </w:rPr>
  </w:style>
  <w:style w:type="character" w:customStyle="1" w:styleId="129">
    <w:name w:val="表格 Char"/>
    <w:link w:val="130"/>
    <w:qFormat/>
    <w:uiPriority w:val="0"/>
    <w:rPr>
      <w:rFonts w:ascii="Times New Roman" w:hAnsi="Times New Roman"/>
      <w:bCs/>
      <w:color w:val="000000"/>
      <w:sz w:val="21"/>
    </w:rPr>
  </w:style>
  <w:style w:type="paragraph" w:customStyle="1" w:styleId="130">
    <w:name w:val="表格"/>
    <w:basedOn w:val="1"/>
    <w:link w:val="129"/>
    <w:qFormat/>
    <w:uiPriority w:val="0"/>
    <w:pPr>
      <w:adjustRightInd w:val="0"/>
      <w:snapToGrid w:val="0"/>
      <w:spacing w:beforeLines="5" w:afterLines="5"/>
      <w:jc w:val="center"/>
    </w:pPr>
    <w:rPr>
      <w:bCs/>
      <w:color w:val="000000"/>
      <w:kern w:val="0"/>
      <w:szCs w:val="20"/>
    </w:rPr>
  </w:style>
  <w:style w:type="character" w:customStyle="1" w:styleId="131">
    <w:name w:val="Body Text 2 Char1"/>
    <w:qFormat/>
    <w:uiPriority w:val="0"/>
    <w:rPr>
      <w:rFonts w:ascii="宋体" w:eastAsia="宋体"/>
      <w:kern w:val="2"/>
      <w:sz w:val="24"/>
      <w:lang w:val="en-US" w:eastAsia="zh-CN" w:bidi="ar-SA"/>
    </w:rPr>
  </w:style>
  <w:style w:type="character" w:customStyle="1" w:styleId="132">
    <w:name w:val="Char Char1"/>
    <w:qFormat/>
    <w:locked/>
    <w:uiPriority w:val="0"/>
    <w:rPr>
      <w:rFonts w:eastAsia="楷体_GB2312"/>
      <w:kern w:val="2"/>
      <w:sz w:val="21"/>
      <w:lang w:val="en-US" w:eastAsia="zh-CN" w:bidi="ar-SA"/>
    </w:rPr>
  </w:style>
  <w:style w:type="character" w:customStyle="1" w:styleId="133">
    <w:name w:val="!表标题(alt+h) Char1"/>
    <w:qFormat/>
    <w:uiPriority w:val="0"/>
    <w:rPr>
      <w:rFonts w:eastAsia="黑体"/>
      <w:sz w:val="24"/>
      <w:u w:color="3366FF"/>
      <w:lang w:val="en-US" w:eastAsia="zh-CN"/>
    </w:rPr>
  </w:style>
  <w:style w:type="character" w:customStyle="1" w:styleId="134">
    <w:name w:val="表名 Char1"/>
    <w:qFormat/>
    <w:uiPriority w:val="0"/>
    <w:rPr>
      <w:rFonts w:hint="default" w:ascii="Times New Roman" w:hAnsi="Times New Roman" w:eastAsia="宋体" w:cs="Times New Roman"/>
      <w:b/>
      <w:kern w:val="0"/>
      <w:sz w:val="24"/>
      <w:szCs w:val="20"/>
      <w:lang w:val="en-US" w:eastAsia="zh-CN"/>
    </w:rPr>
  </w:style>
  <w:style w:type="character" w:customStyle="1" w:styleId="135">
    <w:name w:val="文本框五号1.5倍行距 Char"/>
    <w:qFormat/>
    <w:uiPriority w:val="0"/>
    <w:rPr>
      <w:rFonts w:hint="eastAsia" w:ascii="仿宋_GB2312" w:eastAsia="仿宋_GB2312"/>
      <w:kern w:val="2"/>
      <w:sz w:val="21"/>
      <w:szCs w:val="21"/>
      <w:lang w:val="en-US" w:eastAsia="zh-CN" w:bidi="ar-SA"/>
    </w:rPr>
  </w:style>
  <w:style w:type="character" w:customStyle="1" w:styleId="136">
    <w:name w:val="fontstyle21"/>
    <w:qFormat/>
    <w:uiPriority w:val="0"/>
    <w:rPr>
      <w:rFonts w:hint="eastAsia" w:ascii="宋体" w:hAnsi="宋体" w:eastAsia="宋体"/>
      <w:color w:val="000000"/>
      <w:sz w:val="28"/>
      <w:szCs w:val="28"/>
    </w:rPr>
  </w:style>
  <w:style w:type="character" w:customStyle="1" w:styleId="137">
    <w:name w:val="样式11 Char"/>
    <w:link w:val="138"/>
    <w:qFormat/>
    <w:locked/>
    <w:uiPriority w:val="0"/>
    <w:rPr>
      <w:rFonts w:ascii="黑体" w:hAnsi="Courier New" w:eastAsia="黑体" w:cs="黑体"/>
      <w:b/>
      <w:bCs/>
      <w:kern w:val="2"/>
      <w:sz w:val="32"/>
      <w:szCs w:val="32"/>
      <w:lang w:val="en-US" w:eastAsia="zh-CN" w:bidi="ar-SA"/>
    </w:rPr>
  </w:style>
  <w:style w:type="paragraph" w:customStyle="1" w:styleId="138">
    <w:name w:val="样式11"/>
    <w:basedOn w:val="41"/>
    <w:link w:val="137"/>
    <w:qFormat/>
    <w:uiPriority w:val="0"/>
    <w:pPr>
      <w:adjustRightInd w:val="0"/>
      <w:snapToGrid w:val="0"/>
      <w:spacing w:line="500" w:lineRule="exact"/>
      <w:ind w:firstLine="200" w:firstLineChars="200"/>
      <w:jc w:val="center"/>
    </w:pPr>
    <w:rPr>
      <w:rFonts w:ascii="黑体" w:eastAsia="黑体" w:cs="黑体"/>
      <w:b/>
      <w:bCs/>
      <w:sz w:val="32"/>
      <w:szCs w:val="32"/>
    </w:rPr>
  </w:style>
  <w:style w:type="character" w:customStyle="1" w:styleId="139">
    <w:name w:val="Char Char121"/>
    <w:qFormat/>
    <w:uiPriority w:val="0"/>
    <w:rPr>
      <w:rFonts w:hint="eastAsia" w:ascii="仿宋_GB2312" w:hAnsi="宋体" w:eastAsia="仿宋_GB2312"/>
      <w:color w:val="000000"/>
      <w:kern w:val="2"/>
      <w:sz w:val="21"/>
    </w:rPr>
  </w:style>
  <w:style w:type="character" w:customStyle="1" w:styleId="140">
    <w:name w:val="报告正文 Char Char"/>
    <w:link w:val="141"/>
    <w:qFormat/>
    <w:locked/>
    <w:uiPriority w:val="0"/>
    <w:rPr>
      <w:rFonts w:ascii="宋体" w:hAnsi="宋体" w:eastAsia="宋体"/>
      <w:sz w:val="24"/>
      <w:lang w:val="en-US" w:eastAsia="zh-CN" w:bidi="ar-SA"/>
    </w:rPr>
  </w:style>
  <w:style w:type="paragraph" w:customStyle="1" w:styleId="141">
    <w:name w:val="报告正文 Char"/>
    <w:basedOn w:val="1"/>
    <w:link w:val="140"/>
    <w:qFormat/>
    <w:uiPriority w:val="0"/>
    <w:pPr>
      <w:spacing w:before="156" w:after="156" w:line="360" w:lineRule="auto"/>
      <w:ind w:firstLine="482"/>
    </w:pPr>
    <w:rPr>
      <w:rFonts w:ascii="宋体" w:hAnsi="宋体"/>
      <w:kern w:val="0"/>
      <w:sz w:val="24"/>
      <w:szCs w:val="20"/>
    </w:rPr>
  </w:style>
  <w:style w:type="character" w:customStyle="1" w:styleId="142">
    <w:name w:val="表格表格 Char"/>
    <w:link w:val="143"/>
    <w:qFormat/>
    <w:locked/>
    <w:uiPriority w:val="0"/>
    <w:rPr>
      <w:rFonts w:ascii="宋体" w:hAnsi="宋体" w:eastAsia="宋体"/>
      <w:color w:val="000000"/>
      <w:szCs w:val="21"/>
      <w:lang w:val="en-US" w:eastAsia="zh-CN" w:bidi="ar-SA"/>
    </w:rPr>
  </w:style>
  <w:style w:type="paragraph" w:customStyle="1" w:styleId="143">
    <w:name w:val="表格表格"/>
    <w:basedOn w:val="1"/>
    <w:link w:val="142"/>
    <w:qFormat/>
    <w:uiPriority w:val="0"/>
    <w:pPr>
      <w:jc w:val="left"/>
    </w:pPr>
    <w:rPr>
      <w:rFonts w:ascii="宋体" w:hAnsi="宋体"/>
      <w:color w:val="000000"/>
      <w:kern w:val="0"/>
      <w:sz w:val="20"/>
      <w:szCs w:val="21"/>
    </w:rPr>
  </w:style>
  <w:style w:type="character" w:customStyle="1" w:styleId="144">
    <w:name w:val="Char Char34"/>
    <w:semiHidden/>
    <w:qFormat/>
    <w:uiPriority w:val="0"/>
    <w:rPr>
      <w:rFonts w:hint="eastAsia" w:ascii="宋体" w:hAnsi="宋体" w:eastAsia="宋体"/>
      <w:sz w:val="18"/>
      <w:lang w:val="en-US" w:eastAsia="zh-CN" w:bidi="ar-SA"/>
    </w:rPr>
  </w:style>
  <w:style w:type="character" w:customStyle="1" w:styleId="145">
    <w:name w:val="style11"/>
    <w:qFormat/>
    <w:uiPriority w:val="0"/>
    <w:rPr>
      <w:color w:val="333333"/>
      <w:sz w:val="19"/>
      <w:szCs w:val="19"/>
      <w:u w:val="none"/>
    </w:rPr>
  </w:style>
  <w:style w:type="character" w:customStyle="1" w:styleId="146">
    <w:name w:val="表格文字 Char"/>
    <w:link w:val="147"/>
    <w:qFormat/>
    <w:uiPriority w:val="0"/>
    <w:rPr>
      <w:szCs w:val="22"/>
    </w:rPr>
  </w:style>
  <w:style w:type="paragraph" w:customStyle="1" w:styleId="147">
    <w:name w:val="表格文字"/>
    <w:basedOn w:val="1"/>
    <w:next w:val="1"/>
    <w:link w:val="146"/>
    <w:qFormat/>
    <w:uiPriority w:val="0"/>
    <w:pPr>
      <w:spacing w:line="300" w:lineRule="exact"/>
      <w:jc w:val="center"/>
    </w:pPr>
    <w:rPr>
      <w:kern w:val="0"/>
    </w:rPr>
  </w:style>
  <w:style w:type="character" w:customStyle="1" w:styleId="148">
    <w:name w:val="无间隔 字符1"/>
    <w:link w:val="149"/>
    <w:qFormat/>
    <w:uiPriority w:val="0"/>
    <w:rPr>
      <w:kern w:val="2"/>
      <w:sz w:val="21"/>
      <w:szCs w:val="22"/>
    </w:rPr>
  </w:style>
  <w:style w:type="paragraph" w:styleId="149">
    <w:name w:val="No Spacing"/>
    <w:basedOn w:val="1"/>
    <w:link w:val="148"/>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150">
    <w:name w:val="文本框五号 Char Char"/>
    <w:qFormat/>
    <w:uiPriority w:val="0"/>
    <w:rPr>
      <w:rFonts w:hint="eastAsia" w:ascii="仿宋_GB2312" w:eastAsia="仿宋_GB2312"/>
      <w:kern w:val="2"/>
      <w:sz w:val="21"/>
      <w:szCs w:val="21"/>
      <w:lang w:val="en-US" w:eastAsia="zh-CN" w:bidi="ar-SA"/>
    </w:rPr>
  </w:style>
  <w:style w:type="character" w:customStyle="1" w:styleId="151">
    <w:name w:val="样式 正文文本缩进 2正文文本缩进 2 Char Char Char Char正文文本缩进 2 Char Char + 黑色1 Char"/>
    <w:link w:val="152"/>
    <w:qFormat/>
    <w:locked/>
    <w:uiPriority w:val="0"/>
    <w:rPr>
      <w:rFonts w:ascii="宋体" w:hAnsi="宋体" w:eastAsia="宋体"/>
      <w:color w:val="000000"/>
      <w:sz w:val="28"/>
      <w:lang w:val="en-US" w:eastAsia="zh-CN" w:bidi="ar-SA"/>
    </w:rPr>
  </w:style>
  <w:style w:type="paragraph" w:customStyle="1" w:styleId="152">
    <w:name w:val="样式 正文文本缩进 2正文文本缩进 2 Char Char Char Char正文文本缩进 2 Char Char + 黑色1"/>
    <w:basedOn w:val="46"/>
    <w:link w:val="151"/>
    <w:qFormat/>
    <w:uiPriority w:val="0"/>
    <w:pPr>
      <w:adjustRightInd w:val="0"/>
      <w:snapToGrid/>
      <w:spacing w:after="0" w:line="280" w:lineRule="exact"/>
      <w:ind w:left="0" w:leftChars="0" w:firstLine="200" w:firstLineChars="200"/>
      <w:jc w:val="center"/>
    </w:pPr>
    <w:rPr>
      <w:color w:val="000000"/>
      <w:kern w:val="0"/>
      <w:szCs w:val="20"/>
    </w:rPr>
  </w:style>
  <w:style w:type="character" w:customStyle="1" w:styleId="153">
    <w:name w:val="样式96 Char"/>
    <w:link w:val="154"/>
    <w:qFormat/>
    <w:locked/>
    <w:uiPriority w:val="0"/>
    <w:rPr>
      <w:rFonts w:ascii="黑体" w:hAnsi="黑体" w:eastAsia="黑体"/>
      <w:b/>
      <w:color w:val="000000"/>
      <w:sz w:val="24"/>
      <w:szCs w:val="24"/>
      <w:lang w:val="en-US" w:eastAsia="zh-CN" w:bidi="ar-SA"/>
    </w:rPr>
  </w:style>
  <w:style w:type="paragraph" w:customStyle="1" w:styleId="154">
    <w:name w:val="样式96"/>
    <w:basedOn w:val="155"/>
    <w:link w:val="153"/>
    <w:qFormat/>
    <w:uiPriority w:val="0"/>
    <w:pPr>
      <w:spacing w:before="60" w:after="60"/>
    </w:pPr>
    <w:rPr>
      <w:sz w:val="24"/>
      <w:szCs w:val="24"/>
    </w:rPr>
  </w:style>
  <w:style w:type="paragraph" w:customStyle="1" w:styleId="155">
    <w:name w:val="样式90"/>
    <w:basedOn w:val="156"/>
    <w:link w:val="534"/>
    <w:qFormat/>
    <w:uiPriority w:val="0"/>
  </w:style>
  <w:style w:type="paragraph" w:customStyle="1" w:styleId="156">
    <w:name w:val="样式81"/>
    <w:basedOn w:val="157"/>
    <w:link w:val="696"/>
    <w:qFormat/>
    <w:uiPriority w:val="0"/>
    <w:rPr>
      <w:b/>
    </w:rPr>
  </w:style>
  <w:style w:type="paragraph" w:customStyle="1" w:styleId="157">
    <w:name w:val="样式73"/>
    <w:basedOn w:val="158"/>
    <w:link w:val="687"/>
    <w:qFormat/>
    <w:uiPriority w:val="0"/>
    <w:rPr>
      <w:b w:val="0"/>
    </w:rPr>
  </w:style>
  <w:style w:type="paragraph" w:customStyle="1" w:styleId="158">
    <w:name w:val="样式62"/>
    <w:basedOn w:val="159"/>
    <w:link w:val="680"/>
    <w:qFormat/>
    <w:uiPriority w:val="0"/>
    <w:pPr>
      <w:spacing w:line="240" w:lineRule="auto"/>
    </w:pPr>
    <w:rPr>
      <w:b/>
    </w:rPr>
  </w:style>
  <w:style w:type="paragraph" w:customStyle="1" w:styleId="159">
    <w:name w:val="样式61"/>
    <w:basedOn w:val="160"/>
    <w:link w:val="679"/>
    <w:qFormat/>
    <w:uiPriority w:val="0"/>
    <w:pPr>
      <w:spacing w:line="360" w:lineRule="auto"/>
    </w:pPr>
    <w:rPr>
      <w:b w:val="0"/>
      <w:sz w:val="28"/>
      <w:szCs w:val="28"/>
    </w:rPr>
  </w:style>
  <w:style w:type="paragraph" w:customStyle="1" w:styleId="160">
    <w:name w:val="样式36"/>
    <w:basedOn w:val="161"/>
    <w:link w:val="333"/>
    <w:qFormat/>
    <w:uiPriority w:val="0"/>
    <w:pPr>
      <w:spacing w:before="120"/>
      <w:outlineLvl w:val="1"/>
    </w:pPr>
    <w:rPr>
      <w:color w:val="000000"/>
      <w:szCs w:val="30"/>
    </w:rPr>
  </w:style>
  <w:style w:type="paragraph" w:customStyle="1" w:styleId="161">
    <w:name w:val="样式 标题 2H2标题 2 Char1SeHead wsa2Chapter标题 1.1Chapter Title..."/>
    <w:basedOn w:val="1"/>
    <w:link w:val="652"/>
    <w:qFormat/>
    <w:uiPriority w:val="0"/>
    <w:pPr>
      <w:keepNext/>
      <w:keepLines/>
      <w:spacing w:before="260" w:after="120" w:line="500" w:lineRule="exact"/>
      <w:ind w:firstLine="200" w:firstLineChars="200"/>
      <w:outlineLvl w:val="0"/>
    </w:pPr>
    <w:rPr>
      <w:rFonts w:ascii="黑体" w:hAnsi="黑体" w:eastAsia="黑体"/>
      <w:b/>
      <w:kern w:val="0"/>
      <w:sz w:val="30"/>
      <w:szCs w:val="20"/>
    </w:rPr>
  </w:style>
  <w:style w:type="character" w:customStyle="1" w:styleId="162">
    <w:name w:val="正文文本 2 字符2"/>
    <w:link w:val="66"/>
    <w:qFormat/>
    <w:uiPriority w:val="0"/>
    <w:rPr>
      <w:rFonts w:ascii="宋体" w:hAnsi="Times New Roman"/>
      <w:b/>
      <w:kern w:val="2"/>
      <w:sz w:val="21"/>
      <w:szCs w:val="24"/>
      <w:shd w:val="solid" w:color="FFFFFF" w:fill="FFFFFF"/>
    </w:rPr>
  </w:style>
  <w:style w:type="character" w:customStyle="1" w:styleId="163">
    <w:name w:val="标准正文 Char1"/>
    <w:link w:val="164"/>
    <w:qFormat/>
    <w:locked/>
    <w:uiPriority w:val="0"/>
    <w:rPr>
      <w:rFonts w:ascii="仿宋_GB2312" w:eastAsia="仿宋_GB2312"/>
      <w:color w:val="FF0000"/>
      <w:sz w:val="24"/>
      <w:szCs w:val="24"/>
      <w:lang w:val="en-US" w:eastAsia="zh-CN" w:bidi="ar-SA"/>
    </w:rPr>
  </w:style>
  <w:style w:type="paragraph" w:customStyle="1" w:styleId="164">
    <w:name w:val="标准正文"/>
    <w:basedOn w:val="1"/>
    <w:link w:val="163"/>
    <w:qFormat/>
    <w:uiPriority w:val="0"/>
    <w:pPr>
      <w:spacing w:line="360" w:lineRule="auto"/>
      <w:ind w:firstLine="480" w:firstLineChars="200"/>
    </w:pPr>
    <w:rPr>
      <w:rFonts w:ascii="仿宋_GB2312" w:eastAsia="仿宋_GB2312"/>
      <w:color w:val="FF0000"/>
      <w:kern w:val="0"/>
      <w:sz w:val="24"/>
      <w:szCs w:val="24"/>
    </w:rPr>
  </w:style>
  <w:style w:type="character" w:customStyle="1" w:styleId="165">
    <w:name w:val="图框 Char"/>
    <w:link w:val="166"/>
    <w:qFormat/>
    <w:locked/>
    <w:uiPriority w:val="0"/>
    <w:rPr>
      <w:rFonts w:ascii="仿宋_GB2312" w:eastAsia="仿宋_GB2312"/>
      <w:szCs w:val="24"/>
      <w:lang w:val="en-US" w:eastAsia="zh-CN" w:bidi="ar-SA"/>
    </w:rPr>
  </w:style>
  <w:style w:type="paragraph" w:customStyle="1" w:styleId="166">
    <w:name w:val="图框"/>
    <w:basedOn w:val="1"/>
    <w:link w:val="165"/>
    <w:qFormat/>
    <w:uiPriority w:val="0"/>
    <w:pPr>
      <w:jc w:val="center"/>
    </w:pPr>
    <w:rPr>
      <w:rFonts w:ascii="仿宋_GB2312" w:eastAsia="仿宋_GB2312"/>
      <w:kern w:val="0"/>
      <w:sz w:val="20"/>
      <w:szCs w:val="24"/>
    </w:rPr>
  </w:style>
  <w:style w:type="character" w:customStyle="1" w:styleId="167">
    <w:name w:val="公式 Char"/>
    <w:link w:val="168"/>
    <w:qFormat/>
    <w:locked/>
    <w:uiPriority w:val="0"/>
    <w:rPr>
      <w:rFonts w:ascii="宋体" w:hAnsi="宋体" w:eastAsia="宋体"/>
      <w:sz w:val="28"/>
      <w:szCs w:val="28"/>
      <w:lang w:val="en-US" w:eastAsia="zh-CN" w:bidi="ar-SA"/>
    </w:rPr>
  </w:style>
  <w:style w:type="paragraph" w:customStyle="1" w:styleId="168">
    <w:name w:val="公式"/>
    <w:basedOn w:val="1"/>
    <w:link w:val="167"/>
    <w:qFormat/>
    <w:uiPriority w:val="0"/>
    <w:pPr>
      <w:tabs>
        <w:tab w:val="left" w:pos="1701"/>
      </w:tabs>
      <w:adjustRightInd w:val="0"/>
      <w:spacing w:line="394" w:lineRule="atLeast"/>
      <w:ind w:firstLine="510" w:firstLineChars="200"/>
      <w:jc w:val="center"/>
    </w:pPr>
    <w:rPr>
      <w:rFonts w:ascii="宋体" w:hAnsi="宋体"/>
      <w:kern w:val="0"/>
      <w:sz w:val="28"/>
      <w:szCs w:val="28"/>
    </w:rPr>
  </w:style>
  <w:style w:type="character" w:customStyle="1" w:styleId="169">
    <w:name w:val="注释标题 Char1"/>
    <w:qFormat/>
    <w:uiPriority w:val="0"/>
    <w:rPr>
      <w:rFonts w:hint="default" w:ascii="Times New Roman" w:hAnsi="Times New Roman" w:eastAsia="宋体" w:cs="Times New Roman"/>
      <w:kern w:val="0"/>
      <w:sz w:val="20"/>
      <w:szCs w:val="20"/>
    </w:rPr>
  </w:style>
  <w:style w:type="character" w:customStyle="1" w:styleId="170">
    <w:name w:val="样式99 Char"/>
    <w:link w:val="171"/>
    <w:qFormat/>
    <w:locked/>
    <w:uiPriority w:val="0"/>
    <w:rPr>
      <w:rFonts w:ascii="黑体" w:hAnsi="黑体" w:eastAsia="黑体"/>
      <w:color w:val="000000"/>
      <w:sz w:val="24"/>
      <w:szCs w:val="24"/>
      <w:lang w:val="en-AU" w:eastAsia="zh-CN" w:bidi="ar-SA"/>
    </w:rPr>
  </w:style>
  <w:style w:type="paragraph" w:customStyle="1" w:styleId="171">
    <w:name w:val="样式99"/>
    <w:basedOn w:val="154"/>
    <w:link w:val="170"/>
    <w:qFormat/>
    <w:uiPriority w:val="0"/>
    <w:pPr>
      <w:outlineLvl w:val="3"/>
    </w:pPr>
    <w:rPr>
      <w:b w:val="0"/>
      <w:lang w:val="en-AU"/>
    </w:rPr>
  </w:style>
  <w:style w:type="character" w:customStyle="1" w:styleId="172">
    <w:name w:val="Char Char122"/>
    <w:qFormat/>
    <w:uiPriority w:val="0"/>
    <w:rPr>
      <w:rFonts w:hint="eastAsia" w:ascii="仿宋_GB2312" w:hAnsi="宋体" w:eastAsia="仿宋_GB2312"/>
      <w:color w:val="000000"/>
      <w:kern w:val="2"/>
      <w:sz w:val="21"/>
    </w:rPr>
  </w:style>
  <w:style w:type="character" w:customStyle="1" w:styleId="173">
    <w:name w:val="Char Char172"/>
    <w:qFormat/>
    <w:uiPriority w:val="0"/>
    <w:rPr>
      <w:kern w:val="2"/>
      <w:sz w:val="28"/>
      <w:szCs w:val="24"/>
    </w:rPr>
  </w:style>
  <w:style w:type="character" w:customStyle="1" w:styleId="174">
    <w:name w:val="EmailStyle21181"/>
    <w:semiHidden/>
    <w:qFormat/>
    <w:uiPriority w:val="0"/>
    <w:rPr>
      <w:rFonts w:hint="default" w:ascii="Arial" w:hAnsi="Arial" w:eastAsia="宋体" w:cs="Arial"/>
      <w:color w:val="000080"/>
      <w:sz w:val="18"/>
      <w:szCs w:val="20"/>
    </w:rPr>
  </w:style>
  <w:style w:type="character" w:customStyle="1" w:styleId="175">
    <w:name w:val="style71"/>
    <w:qFormat/>
    <w:uiPriority w:val="0"/>
    <w:rPr>
      <w:color w:val="0000CC"/>
    </w:rPr>
  </w:style>
  <w:style w:type="character" w:customStyle="1" w:styleId="176">
    <w:name w:val="样式 湛江钢铁表 + Char"/>
    <w:link w:val="177"/>
    <w:qFormat/>
    <w:locked/>
    <w:uiPriority w:val="0"/>
    <w:rPr>
      <w:rFonts w:ascii="仿宋_GB2312" w:eastAsia="仿宋_GB2312"/>
      <w:szCs w:val="21"/>
      <w:lang w:bidi="ar-SA"/>
    </w:rPr>
  </w:style>
  <w:style w:type="paragraph" w:customStyle="1" w:styleId="177">
    <w:name w:val="样式 湛江钢铁表 +"/>
    <w:basedOn w:val="178"/>
    <w:next w:val="178"/>
    <w:link w:val="176"/>
    <w:qFormat/>
    <w:uiPriority w:val="0"/>
    <w:pPr>
      <w:tabs>
        <w:tab w:val="left" w:pos="1701"/>
      </w:tabs>
      <w:spacing w:afterLines="20"/>
    </w:pPr>
  </w:style>
  <w:style w:type="paragraph" w:customStyle="1" w:styleId="178">
    <w:name w:val="湛江钢铁表"/>
    <w:basedOn w:val="130"/>
    <w:link w:val="607"/>
    <w:qFormat/>
    <w:uiPriority w:val="0"/>
    <w:pPr>
      <w:tabs>
        <w:tab w:val="left" w:pos="1701"/>
      </w:tabs>
      <w:spacing w:beforeLines="20" w:afterLines="0" w:line="348" w:lineRule="auto"/>
    </w:pPr>
    <w:rPr>
      <w:rFonts w:ascii="仿宋_GB2312" w:eastAsia="仿宋_GB2312"/>
      <w:bCs w:val="0"/>
      <w:color w:val="auto"/>
      <w:sz w:val="20"/>
      <w:szCs w:val="21"/>
    </w:rPr>
  </w:style>
  <w:style w:type="character" w:customStyle="1" w:styleId="179">
    <w:name w:val="正文文字 3 Char Char Char Char Char"/>
    <w:qFormat/>
    <w:uiPriority w:val="0"/>
    <w:rPr>
      <w:rFonts w:hint="eastAsia" w:ascii="宋体" w:hAnsi="宋体" w:eastAsia="宋体"/>
      <w:sz w:val="18"/>
      <w:lang w:val="en-US" w:eastAsia="zh-CN" w:bidi="ar-SA"/>
    </w:rPr>
  </w:style>
  <w:style w:type="character" w:customStyle="1" w:styleId="180">
    <w:name w:val="正文文本1 Char"/>
    <w:qFormat/>
    <w:uiPriority w:val="0"/>
    <w:rPr>
      <w:rFonts w:ascii="宋体" w:hAnsi="华文宋体" w:eastAsia="宋体" w:cs="宋体"/>
      <w:w w:val="80"/>
      <w:kern w:val="2"/>
      <w:sz w:val="28"/>
      <w:lang w:val="en-US" w:eastAsia="zh-CN" w:bidi="ar-SA"/>
    </w:rPr>
  </w:style>
  <w:style w:type="character" w:customStyle="1" w:styleId="181">
    <w:name w:val="样式30 Char1"/>
    <w:link w:val="182"/>
    <w:qFormat/>
    <w:locked/>
    <w:uiPriority w:val="0"/>
    <w:rPr>
      <w:rFonts w:ascii="宋体" w:hAnsi="宋体" w:eastAsia="宋体"/>
      <w:sz w:val="24"/>
      <w:szCs w:val="24"/>
      <w:lang w:val="en-US" w:eastAsia="zh-CN" w:bidi="ar-SA"/>
    </w:rPr>
  </w:style>
  <w:style w:type="paragraph" w:customStyle="1" w:styleId="182">
    <w:name w:val="样式30"/>
    <w:basedOn w:val="1"/>
    <w:link w:val="181"/>
    <w:qFormat/>
    <w:uiPriority w:val="0"/>
    <w:pPr>
      <w:spacing w:line="460" w:lineRule="exact"/>
      <w:ind w:firstLine="480" w:firstLineChars="200"/>
    </w:pPr>
    <w:rPr>
      <w:rFonts w:ascii="宋体" w:hAnsi="宋体"/>
      <w:kern w:val="0"/>
      <w:sz w:val="24"/>
      <w:szCs w:val="24"/>
    </w:rPr>
  </w:style>
  <w:style w:type="character" w:customStyle="1" w:styleId="183">
    <w:name w:val="EmailStyle18271"/>
    <w:qFormat/>
    <w:uiPriority w:val="0"/>
    <w:rPr>
      <w:rFonts w:hint="default" w:ascii="Arial" w:hAnsi="Arial" w:eastAsia="PMingLiU" w:cs="Arial"/>
      <w:color w:val="000000"/>
      <w:sz w:val="18"/>
    </w:rPr>
  </w:style>
  <w:style w:type="character" w:customStyle="1" w:styleId="184">
    <w:name w:val="表名 Char Char"/>
    <w:link w:val="185"/>
    <w:qFormat/>
    <w:uiPriority w:val="0"/>
    <w:rPr>
      <w:rFonts w:ascii="宋体" w:hAnsi="宋体"/>
      <w:b/>
      <w:bCs/>
      <w:color w:val="000000"/>
      <w:sz w:val="24"/>
    </w:rPr>
  </w:style>
  <w:style w:type="paragraph" w:customStyle="1" w:styleId="185">
    <w:name w:val="表名"/>
    <w:basedOn w:val="1"/>
    <w:link w:val="184"/>
    <w:qFormat/>
    <w:uiPriority w:val="0"/>
    <w:pPr>
      <w:spacing w:line="500" w:lineRule="exact"/>
      <w:jc w:val="center"/>
      <w:outlineLvl w:val="3"/>
    </w:pPr>
    <w:rPr>
      <w:rFonts w:ascii="宋体" w:hAnsi="宋体"/>
      <w:b/>
      <w:bCs/>
      <w:color w:val="000000"/>
      <w:kern w:val="0"/>
      <w:sz w:val="24"/>
      <w:szCs w:val="20"/>
    </w:rPr>
  </w:style>
  <w:style w:type="character" w:customStyle="1" w:styleId="186">
    <w:name w:val="font21"/>
    <w:basedOn w:val="88"/>
    <w:qFormat/>
    <w:uiPriority w:val="0"/>
    <w:rPr>
      <w:color w:val="006633"/>
      <w:spacing w:val="480"/>
      <w:sz w:val="20"/>
      <w:szCs w:val="20"/>
    </w:rPr>
  </w:style>
  <w:style w:type="character" w:customStyle="1" w:styleId="187">
    <w:name w:val="表文字 Char1"/>
    <w:qFormat/>
    <w:uiPriority w:val="0"/>
    <w:rPr>
      <w:rFonts w:eastAsia="宋体"/>
      <w:sz w:val="21"/>
      <w:szCs w:val="21"/>
      <w:lang w:val="en-US" w:eastAsia="zh-CN" w:bidi="ar-SA"/>
    </w:rPr>
  </w:style>
  <w:style w:type="character" w:customStyle="1" w:styleId="188">
    <w:name w:val="样式 五号 Char"/>
    <w:link w:val="189"/>
    <w:qFormat/>
    <w:locked/>
    <w:uiPriority w:val="0"/>
    <w:rPr>
      <w:rFonts w:ascii="楷体_GB2312" w:eastAsia="楷体_GB2312"/>
      <w:color w:val="FF0000"/>
      <w:sz w:val="24"/>
      <w:szCs w:val="24"/>
      <w:lang w:val="en-US" w:eastAsia="zh-CN" w:bidi="ar-SA"/>
    </w:rPr>
  </w:style>
  <w:style w:type="paragraph" w:customStyle="1" w:styleId="189">
    <w:name w:val="样式 五号"/>
    <w:basedOn w:val="1"/>
    <w:link w:val="188"/>
    <w:qFormat/>
    <w:uiPriority w:val="0"/>
    <w:pPr>
      <w:spacing w:line="360" w:lineRule="auto"/>
      <w:ind w:firstLine="420"/>
      <w:jc w:val="center"/>
    </w:pPr>
    <w:rPr>
      <w:rFonts w:ascii="楷体_GB2312" w:eastAsia="楷体_GB2312"/>
      <w:color w:val="FF0000"/>
      <w:kern w:val="0"/>
      <w:sz w:val="24"/>
      <w:szCs w:val="24"/>
    </w:rPr>
  </w:style>
  <w:style w:type="character" w:customStyle="1" w:styleId="190">
    <w:name w:val="正文001 Char"/>
    <w:link w:val="191"/>
    <w:qFormat/>
    <w:locked/>
    <w:uiPriority w:val="0"/>
    <w:rPr>
      <w:rFonts w:ascii="Arial" w:hAnsi="Arial" w:eastAsia="宋体" w:cs="Arial"/>
      <w:sz w:val="24"/>
      <w:lang w:val="en-US" w:eastAsia="zh-CN" w:bidi="ar-SA"/>
    </w:rPr>
  </w:style>
  <w:style w:type="paragraph" w:customStyle="1" w:styleId="191">
    <w:name w:val="正文001"/>
    <w:basedOn w:val="1"/>
    <w:link w:val="190"/>
    <w:qFormat/>
    <w:uiPriority w:val="0"/>
    <w:pPr>
      <w:spacing w:before="60" w:line="460" w:lineRule="exact"/>
      <w:ind w:firstLine="482"/>
    </w:pPr>
    <w:rPr>
      <w:rFonts w:ascii="Arial" w:hAnsi="Arial" w:cs="Arial"/>
      <w:kern w:val="0"/>
      <w:sz w:val="24"/>
      <w:szCs w:val="20"/>
    </w:rPr>
  </w:style>
  <w:style w:type="character" w:customStyle="1" w:styleId="192">
    <w:name w:val="报告图名 Char"/>
    <w:link w:val="193"/>
    <w:qFormat/>
    <w:locked/>
    <w:uiPriority w:val="0"/>
    <w:rPr>
      <w:rFonts w:ascii="黑体" w:hAnsi="黑体" w:eastAsia="宋体"/>
      <w:b/>
      <w:sz w:val="24"/>
      <w:lang w:val="en-US" w:eastAsia="zh-CN" w:bidi="ar-SA"/>
    </w:rPr>
  </w:style>
  <w:style w:type="paragraph" w:customStyle="1" w:styleId="193">
    <w:name w:val="报告图名"/>
    <w:basedOn w:val="1"/>
    <w:link w:val="192"/>
    <w:qFormat/>
    <w:uiPriority w:val="0"/>
    <w:pPr>
      <w:overflowPunct w:val="0"/>
      <w:autoSpaceDE w:val="0"/>
      <w:autoSpaceDN w:val="0"/>
      <w:adjustRightInd w:val="0"/>
      <w:spacing w:before="60" w:after="120" w:line="380" w:lineRule="atLeast"/>
      <w:jc w:val="center"/>
    </w:pPr>
    <w:rPr>
      <w:rFonts w:ascii="黑体" w:hAnsi="黑体"/>
      <w:b/>
      <w:kern w:val="0"/>
      <w:sz w:val="24"/>
      <w:szCs w:val="20"/>
    </w:rPr>
  </w:style>
  <w:style w:type="character" w:customStyle="1" w:styleId="194">
    <w:name w:val="表格标题 字符"/>
    <w:qFormat/>
    <w:locked/>
    <w:uiPriority w:val="0"/>
    <w:rPr>
      <w:rFonts w:ascii="宋体" w:hAnsi="宋体" w:eastAsia="宋体"/>
      <w:b/>
      <w:bCs/>
      <w:kern w:val="2"/>
      <w:sz w:val="24"/>
      <w:szCs w:val="22"/>
      <w:lang w:val="en-US" w:eastAsia="zh-CN" w:bidi="ar-SA"/>
    </w:rPr>
  </w:style>
  <w:style w:type="character" w:customStyle="1" w:styleId="195">
    <w:name w:val="3 Char"/>
    <w:qFormat/>
    <w:uiPriority w:val="0"/>
    <w:rPr>
      <w:rFonts w:eastAsia="宋体"/>
      <w:sz w:val="24"/>
      <w:lang w:val="en-US" w:eastAsia="zh-CN" w:bidi="ar-SA"/>
    </w:rPr>
  </w:style>
  <w:style w:type="character" w:customStyle="1" w:styleId="196">
    <w:name w:val="列出段落 字符"/>
    <w:link w:val="197"/>
    <w:qFormat/>
    <w:locked/>
    <w:uiPriority w:val="0"/>
    <w:rPr>
      <w:kern w:val="2"/>
      <w:sz w:val="21"/>
      <w:szCs w:val="22"/>
    </w:rPr>
  </w:style>
  <w:style w:type="paragraph" w:styleId="197">
    <w:name w:val="List Paragraph"/>
    <w:basedOn w:val="1"/>
    <w:link w:val="196"/>
    <w:qFormat/>
    <w:uiPriority w:val="0"/>
    <w:pPr>
      <w:ind w:firstLine="420" w:firstLineChars="200"/>
    </w:pPr>
  </w:style>
  <w:style w:type="character" w:customStyle="1" w:styleId="198">
    <w:name w:val="样式102 Char"/>
    <w:link w:val="199"/>
    <w:qFormat/>
    <w:locked/>
    <w:uiPriority w:val="0"/>
    <w:rPr>
      <w:rFonts w:ascii="黑体" w:hAnsi="黑体" w:eastAsia="黑体"/>
      <w:b/>
      <w:bCs/>
      <w:color w:val="000000"/>
      <w:sz w:val="24"/>
      <w:szCs w:val="24"/>
      <w:lang w:val="en-US" w:eastAsia="zh-CN" w:bidi="ar-SA"/>
    </w:rPr>
  </w:style>
  <w:style w:type="paragraph" w:customStyle="1" w:styleId="199">
    <w:name w:val="样式102"/>
    <w:basedOn w:val="200"/>
    <w:link w:val="198"/>
    <w:qFormat/>
    <w:uiPriority w:val="0"/>
    <w:rPr>
      <w:rFonts w:ascii="黑体" w:hAnsi="黑体" w:cs="Times New Roman"/>
      <w:b/>
    </w:rPr>
  </w:style>
  <w:style w:type="paragraph" w:customStyle="1" w:styleId="200">
    <w:name w:val="样式101"/>
    <w:basedOn w:val="201"/>
    <w:link w:val="229"/>
    <w:qFormat/>
    <w:uiPriority w:val="0"/>
    <w:pPr>
      <w:spacing w:line="240" w:lineRule="auto"/>
    </w:pPr>
    <w:rPr>
      <w:b w:val="0"/>
    </w:rPr>
  </w:style>
  <w:style w:type="paragraph" w:customStyle="1" w:styleId="201">
    <w:name w:val="样式84"/>
    <w:basedOn w:val="202"/>
    <w:link w:val="698"/>
    <w:qFormat/>
    <w:uiPriority w:val="0"/>
    <w:pPr>
      <w:ind w:firstLine="0"/>
    </w:pPr>
    <w:rPr>
      <w:rFonts w:eastAsia="黑体"/>
    </w:rPr>
  </w:style>
  <w:style w:type="paragraph" w:customStyle="1" w:styleId="202">
    <w:name w:val="样式37"/>
    <w:basedOn w:val="203"/>
    <w:link w:val="661"/>
    <w:qFormat/>
    <w:uiPriority w:val="0"/>
    <w:pPr>
      <w:jc w:val="both"/>
    </w:pPr>
    <w:rPr>
      <w:bCs/>
    </w:rPr>
  </w:style>
  <w:style w:type="paragraph" w:customStyle="1" w:styleId="203">
    <w:name w:val="样式 标题 4H4PIM 4h4blbbTitre44th levelsect 1.2.3.4Ref Head..."/>
    <w:basedOn w:val="1"/>
    <w:link w:val="279"/>
    <w:qFormat/>
    <w:uiPriority w:val="0"/>
    <w:pPr>
      <w:keepNext/>
      <w:keepLines/>
      <w:widowControl/>
      <w:spacing w:before="60" w:after="60" w:line="520" w:lineRule="exact"/>
      <w:ind w:firstLine="510" w:firstLineChars="200"/>
      <w:jc w:val="left"/>
      <w:outlineLvl w:val="3"/>
    </w:pPr>
    <w:rPr>
      <w:rFonts w:ascii="Arial" w:hAnsi="Arial" w:cs="Arial"/>
      <w:b/>
      <w:color w:val="000000"/>
      <w:kern w:val="0"/>
      <w:sz w:val="24"/>
      <w:szCs w:val="24"/>
    </w:rPr>
  </w:style>
  <w:style w:type="character" w:customStyle="1" w:styleId="204">
    <w:name w:val="文本框五号 Char Char Char"/>
    <w:qFormat/>
    <w:uiPriority w:val="0"/>
    <w:rPr>
      <w:rFonts w:hint="eastAsia" w:ascii="仿宋_GB2312" w:eastAsia="仿宋_GB2312"/>
      <w:kern w:val="2"/>
      <w:sz w:val="21"/>
      <w:szCs w:val="21"/>
      <w:lang w:val="en-US" w:eastAsia="zh-CN" w:bidi="ar-SA"/>
    </w:rPr>
  </w:style>
  <w:style w:type="character" w:customStyle="1" w:styleId="205">
    <w:name w:val="texttitle1"/>
    <w:qFormat/>
    <w:uiPriority w:val="0"/>
    <w:rPr>
      <w:color w:val="000000"/>
      <w:spacing w:val="240"/>
      <w:sz w:val="22"/>
      <w:szCs w:val="22"/>
    </w:rPr>
  </w:style>
  <w:style w:type="character" w:customStyle="1" w:styleId="206">
    <w:name w:val="keywords1"/>
    <w:qFormat/>
    <w:uiPriority w:val="0"/>
    <w:rPr>
      <w:b/>
      <w:bCs/>
      <w:color w:val="FF6600"/>
    </w:rPr>
  </w:style>
  <w:style w:type="character" w:customStyle="1" w:styleId="207">
    <w:name w:val="样式128 Char"/>
    <w:link w:val="208"/>
    <w:qFormat/>
    <w:locked/>
    <w:uiPriority w:val="0"/>
    <w:rPr>
      <w:rFonts w:ascii="黑体" w:hAnsi="黑体" w:eastAsia="黑体"/>
      <w:bCs/>
      <w:color w:val="000000"/>
      <w:sz w:val="24"/>
      <w:szCs w:val="24"/>
      <w:lang w:val="en-US" w:eastAsia="zh-CN" w:bidi="ar-SA"/>
    </w:rPr>
  </w:style>
  <w:style w:type="paragraph" w:customStyle="1" w:styleId="208">
    <w:name w:val="样式128"/>
    <w:basedOn w:val="199"/>
    <w:link w:val="207"/>
    <w:qFormat/>
    <w:uiPriority w:val="0"/>
    <w:rPr>
      <w:b w:val="0"/>
    </w:rPr>
  </w:style>
  <w:style w:type="character" w:customStyle="1" w:styleId="209">
    <w:name w:val="viewthreadtxt"/>
    <w:qFormat/>
    <w:uiPriority w:val="0"/>
  </w:style>
  <w:style w:type="character" w:customStyle="1" w:styleId="210">
    <w:name w:val="样式 标题 1 + 黑体 四号 非加粗 Char"/>
    <w:qFormat/>
    <w:uiPriority w:val="0"/>
    <w:rPr>
      <w:rFonts w:hint="eastAsia" w:ascii="黑体" w:hAnsi="黑体" w:eastAsia="黑体"/>
      <w:bCs/>
      <w:kern w:val="44"/>
      <w:sz w:val="28"/>
      <w:szCs w:val="28"/>
      <w:lang w:val="en-US" w:eastAsia="zh-CN" w:bidi="ar-SA"/>
    </w:rPr>
  </w:style>
  <w:style w:type="character" w:customStyle="1" w:styleId="211">
    <w:name w:val="样式44 Char"/>
    <w:link w:val="212"/>
    <w:qFormat/>
    <w:locked/>
    <w:uiPriority w:val="0"/>
    <w:rPr>
      <w:rFonts w:ascii="宋体" w:hAnsi="宋体" w:eastAsia="宋体"/>
      <w:color w:val="000000"/>
      <w:lang w:val="en-US" w:eastAsia="zh-CN" w:bidi="ar-SA"/>
    </w:rPr>
  </w:style>
  <w:style w:type="paragraph" w:customStyle="1" w:styleId="212">
    <w:name w:val="样式44"/>
    <w:basedOn w:val="213"/>
    <w:link w:val="211"/>
    <w:qFormat/>
    <w:uiPriority w:val="0"/>
    <w:pPr>
      <w:spacing w:line="240" w:lineRule="exact"/>
      <w:jc w:val="both"/>
    </w:pPr>
  </w:style>
  <w:style w:type="paragraph" w:customStyle="1" w:styleId="213">
    <w:name w:val="样式40"/>
    <w:basedOn w:val="1"/>
    <w:link w:val="667"/>
    <w:qFormat/>
    <w:uiPriority w:val="0"/>
    <w:pPr>
      <w:adjustRightInd w:val="0"/>
      <w:spacing w:line="320" w:lineRule="exact"/>
      <w:jc w:val="center"/>
    </w:pPr>
    <w:rPr>
      <w:rFonts w:ascii="宋体" w:hAnsi="宋体"/>
      <w:color w:val="000000"/>
      <w:kern w:val="0"/>
      <w:sz w:val="20"/>
      <w:szCs w:val="20"/>
    </w:rPr>
  </w:style>
  <w:style w:type="character" w:customStyle="1" w:styleId="214">
    <w:name w:val="样式91 Char"/>
    <w:link w:val="215"/>
    <w:qFormat/>
    <w:locked/>
    <w:uiPriority w:val="0"/>
    <w:rPr>
      <w:rFonts w:ascii="黑体" w:hAnsi="黑体" w:eastAsia="黑体"/>
      <w:bCs/>
      <w:color w:val="000000"/>
      <w:szCs w:val="21"/>
      <w:lang w:val="en-US" w:eastAsia="zh-CN" w:bidi="ar-SA"/>
    </w:rPr>
  </w:style>
  <w:style w:type="paragraph" w:customStyle="1" w:styleId="215">
    <w:name w:val="样式91"/>
    <w:basedOn w:val="1"/>
    <w:link w:val="214"/>
    <w:qFormat/>
    <w:uiPriority w:val="0"/>
    <w:pPr>
      <w:adjustRightInd w:val="0"/>
      <w:spacing w:before="60" w:line="500" w:lineRule="exact"/>
      <w:jc w:val="center"/>
    </w:pPr>
    <w:rPr>
      <w:rFonts w:ascii="黑体" w:hAnsi="黑体" w:eastAsia="黑体"/>
      <w:bCs/>
      <w:color w:val="000000"/>
      <w:kern w:val="0"/>
      <w:sz w:val="20"/>
      <w:szCs w:val="21"/>
    </w:rPr>
  </w:style>
  <w:style w:type="character" w:customStyle="1" w:styleId="216">
    <w:name w:val="list_description"/>
    <w:qFormat/>
    <w:uiPriority w:val="0"/>
  </w:style>
  <w:style w:type="character" w:customStyle="1" w:styleId="217">
    <w:name w:val="批注框文本 Char1"/>
    <w:semiHidden/>
    <w:qFormat/>
    <w:uiPriority w:val="0"/>
    <w:rPr>
      <w:kern w:val="2"/>
      <w:sz w:val="18"/>
      <w:szCs w:val="18"/>
    </w:rPr>
  </w:style>
  <w:style w:type="character" w:customStyle="1" w:styleId="218">
    <w:name w:val="tpc_content"/>
    <w:qFormat/>
    <w:uiPriority w:val="0"/>
  </w:style>
  <w:style w:type="character" w:customStyle="1" w:styleId="219">
    <w:name w:val="11p1"/>
    <w:qFormat/>
    <w:uiPriority w:val="0"/>
    <w:rPr>
      <w:sz w:val="30"/>
      <w:szCs w:val="30"/>
    </w:rPr>
  </w:style>
  <w:style w:type="character" w:customStyle="1" w:styleId="220">
    <w:name w:val="textfont1"/>
    <w:qFormat/>
    <w:uiPriority w:val="0"/>
    <w:rPr>
      <w:color w:val="000000"/>
      <w:spacing w:val="400"/>
      <w:sz w:val="22"/>
      <w:szCs w:val="22"/>
    </w:rPr>
  </w:style>
  <w:style w:type="character" w:customStyle="1" w:styleId="221">
    <w:name w:val="00-正文 Char Char Char"/>
    <w:link w:val="222"/>
    <w:qFormat/>
    <w:locked/>
    <w:uiPriority w:val="0"/>
    <w:rPr>
      <w:sz w:val="28"/>
      <w:szCs w:val="28"/>
      <w:lang w:val="en-US" w:eastAsia="zh-CN" w:bidi="ar-SA"/>
    </w:rPr>
  </w:style>
  <w:style w:type="paragraph" w:customStyle="1" w:styleId="222">
    <w:name w:val="00-正文 Char Char"/>
    <w:basedOn w:val="1"/>
    <w:link w:val="221"/>
    <w:qFormat/>
    <w:uiPriority w:val="0"/>
    <w:pPr>
      <w:snapToGrid w:val="0"/>
      <w:spacing w:line="348" w:lineRule="auto"/>
      <w:ind w:firstLine="200" w:firstLineChars="200"/>
    </w:pPr>
    <w:rPr>
      <w:rFonts w:eastAsia="Times New Roman"/>
      <w:kern w:val="0"/>
      <w:sz w:val="28"/>
      <w:szCs w:val="28"/>
    </w:rPr>
  </w:style>
  <w:style w:type="character" w:customStyle="1" w:styleId="223">
    <w:name w:val="报告表名 Char Char"/>
    <w:link w:val="224"/>
    <w:qFormat/>
    <w:locked/>
    <w:uiPriority w:val="0"/>
    <w:rPr>
      <w:rFonts w:ascii="宋体" w:hAnsi="宋体" w:eastAsia="宋体"/>
      <w:b/>
      <w:bCs/>
      <w:sz w:val="24"/>
      <w:szCs w:val="24"/>
      <w:lang w:val="en-US" w:eastAsia="zh-CN" w:bidi="ar-SA"/>
    </w:rPr>
  </w:style>
  <w:style w:type="paragraph" w:customStyle="1" w:styleId="224">
    <w:name w:val="报告表名 Char"/>
    <w:basedOn w:val="1"/>
    <w:link w:val="223"/>
    <w:qFormat/>
    <w:uiPriority w:val="0"/>
    <w:pPr>
      <w:adjustRightInd w:val="0"/>
      <w:spacing w:before="360" w:after="60" w:line="360" w:lineRule="auto"/>
      <w:jc w:val="center"/>
    </w:pPr>
    <w:rPr>
      <w:rFonts w:ascii="宋体" w:hAnsi="宋体"/>
      <w:b/>
      <w:bCs/>
      <w:kern w:val="0"/>
      <w:sz w:val="24"/>
      <w:szCs w:val="24"/>
    </w:rPr>
  </w:style>
  <w:style w:type="character" w:customStyle="1" w:styleId="225">
    <w:name w:val="样式 标题 3 + 自动设置 Char Char"/>
    <w:link w:val="226"/>
    <w:qFormat/>
    <w:locked/>
    <w:uiPriority w:val="0"/>
    <w:rPr>
      <w:rFonts w:ascii="宋体" w:hAnsi="宋体" w:eastAsia="宋体"/>
      <w:b/>
      <w:bCs/>
      <w:sz w:val="32"/>
      <w:szCs w:val="32"/>
      <w:lang w:val="en-US" w:eastAsia="zh-CN" w:bidi="ar-SA"/>
    </w:rPr>
  </w:style>
  <w:style w:type="paragraph" w:customStyle="1" w:styleId="226">
    <w:name w:val="样式 标题 3 + 自动设置 Char"/>
    <w:basedOn w:val="5"/>
    <w:link w:val="225"/>
    <w:qFormat/>
    <w:uiPriority w:val="0"/>
    <w:pPr>
      <w:tabs>
        <w:tab w:val="left" w:pos="1561"/>
        <w:tab w:val="left" w:pos="1742"/>
      </w:tabs>
      <w:adjustRightInd w:val="0"/>
      <w:spacing w:before="120" w:after="120" w:line="360" w:lineRule="auto"/>
      <w:ind w:left="1561" w:hanging="420"/>
    </w:pPr>
    <w:rPr>
      <w:rFonts w:ascii="宋体" w:hAnsi="宋体"/>
      <w:b/>
    </w:rPr>
  </w:style>
  <w:style w:type="character" w:customStyle="1" w:styleId="227">
    <w:name w:val="正文15 Char"/>
    <w:link w:val="228"/>
    <w:qFormat/>
    <w:locked/>
    <w:uiPriority w:val="0"/>
    <w:rPr>
      <w:rFonts w:ascii="宋体" w:hAnsi="宋体" w:eastAsia="宋体"/>
      <w:sz w:val="28"/>
      <w:szCs w:val="28"/>
      <w:lang w:val="en-US" w:eastAsia="zh-CN" w:bidi="ar-SA"/>
    </w:rPr>
  </w:style>
  <w:style w:type="paragraph" w:customStyle="1" w:styleId="228">
    <w:name w:val="正文15"/>
    <w:basedOn w:val="1"/>
    <w:link w:val="227"/>
    <w:qFormat/>
    <w:uiPriority w:val="0"/>
    <w:pPr>
      <w:overflowPunct w:val="0"/>
      <w:topLinePunct/>
      <w:snapToGrid w:val="0"/>
      <w:spacing w:line="360" w:lineRule="auto"/>
      <w:ind w:firstLine="567"/>
    </w:pPr>
    <w:rPr>
      <w:rFonts w:ascii="宋体" w:hAnsi="宋体"/>
      <w:kern w:val="0"/>
      <w:sz w:val="28"/>
      <w:szCs w:val="28"/>
    </w:rPr>
  </w:style>
  <w:style w:type="character" w:customStyle="1" w:styleId="229">
    <w:name w:val="样式101 Char"/>
    <w:link w:val="200"/>
    <w:qFormat/>
    <w:locked/>
    <w:uiPriority w:val="0"/>
    <w:rPr>
      <w:rFonts w:ascii="Arial" w:hAnsi="Arial" w:eastAsia="黑体" w:cs="Arial"/>
      <w:bCs/>
      <w:color w:val="000000"/>
      <w:sz w:val="24"/>
      <w:szCs w:val="24"/>
      <w:lang w:val="en-US" w:eastAsia="zh-CN" w:bidi="ar-SA"/>
    </w:rPr>
  </w:style>
  <w:style w:type="character" w:customStyle="1" w:styleId="230">
    <w:name w:val="content1"/>
    <w:qFormat/>
    <w:uiPriority w:val="0"/>
    <w:rPr>
      <w:sz w:val="21"/>
      <w:szCs w:val="21"/>
    </w:rPr>
  </w:style>
  <w:style w:type="character" w:customStyle="1" w:styleId="231">
    <w:name w:val="文本框五号1.5倍行距 Char Char"/>
    <w:qFormat/>
    <w:uiPriority w:val="0"/>
    <w:rPr>
      <w:rFonts w:hint="eastAsia" w:ascii="仿宋_GB2312" w:eastAsia="仿宋_GB2312"/>
      <w:kern w:val="2"/>
      <w:sz w:val="21"/>
      <w:szCs w:val="21"/>
      <w:lang w:val="en-US" w:eastAsia="zh-CN" w:bidi="ar-SA"/>
    </w:rPr>
  </w:style>
  <w:style w:type="character" w:customStyle="1" w:styleId="232">
    <w:name w:val="样式162 Char"/>
    <w:link w:val="233"/>
    <w:qFormat/>
    <w:locked/>
    <w:uiPriority w:val="0"/>
    <w:rPr>
      <w:rFonts w:ascii="宋体" w:hAnsi="宋体" w:eastAsia="宋体"/>
      <w:sz w:val="24"/>
      <w:szCs w:val="24"/>
      <w:lang w:val="en-AU" w:eastAsia="zh-CN" w:bidi="ar-SA"/>
    </w:rPr>
  </w:style>
  <w:style w:type="paragraph" w:customStyle="1" w:styleId="233">
    <w:name w:val="样式162"/>
    <w:basedOn w:val="1"/>
    <w:link w:val="232"/>
    <w:qFormat/>
    <w:uiPriority w:val="0"/>
    <w:pPr>
      <w:ind w:firstLine="480" w:firstLineChars="200"/>
    </w:pPr>
    <w:rPr>
      <w:rFonts w:ascii="宋体" w:hAnsi="宋体"/>
      <w:kern w:val="0"/>
      <w:sz w:val="24"/>
      <w:szCs w:val="24"/>
      <w:lang w:val="en-AU"/>
    </w:rPr>
  </w:style>
  <w:style w:type="character" w:customStyle="1" w:styleId="234">
    <w:name w:val="hp2 Char"/>
    <w:qFormat/>
    <w:uiPriority w:val="0"/>
    <w:rPr>
      <w:rFonts w:ascii="宋体" w:hAnsi="宋体" w:eastAsia="宋体"/>
      <w:b/>
      <w:bCs/>
      <w:kern w:val="2"/>
      <w:sz w:val="28"/>
      <w:szCs w:val="32"/>
      <w:lang w:val="en-US" w:eastAsia="zh-CN" w:bidi="ar-SA"/>
    </w:rPr>
  </w:style>
  <w:style w:type="character" w:customStyle="1" w:styleId="235">
    <w:name w:val="样式54 Char"/>
    <w:link w:val="236"/>
    <w:qFormat/>
    <w:locked/>
    <w:uiPriority w:val="0"/>
    <w:rPr>
      <w:rFonts w:ascii="宋体" w:hAnsi="宋体" w:eastAsia="宋体"/>
      <w:sz w:val="24"/>
      <w:szCs w:val="24"/>
      <w:lang w:val="en-US" w:eastAsia="zh-CN" w:bidi="ar-SA"/>
    </w:rPr>
  </w:style>
  <w:style w:type="paragraph" w:customStyle="1" w:styleId="236">
    <w:name w:val="样式54"/>
    <w:basedOn w:val="1"/>
    <w:link w:val="235"/>
    <w:qFormat/>
    <w:uiPriority w:val="0"/>
    <w:pPr>
      <w:spacing w:line="240" w:lineRule="atLeast"/>
      <w:jc w:val="center"/>
    </w:pPr>
    <w:rPr>
      <w:rFonts w:ascii="宋体" w:hAnsi="宋体"/>
      <w:kern w:val="0"/>
      <w:sz w:val="24"/>
      <w:szCs w:val="24"/>
    </w:rPr>
  </w:style>
  <w:style w:type="character" w:customStyle="1" w:styleId="237">
    <w:name w:val="标题 2 Char Char Char"/>
    <w:qFormat/>
    <w:uiPriority w:val="0"/>
    <w:rPr>
      <w:rFonts w:hint="eastAsia" w:ascii="黑体" w:hAnsi="黑体" w:eastAsia="黑体"/>
      <w:kern w:val="2"/>
      <w:sz w:val="28"/>
      <w:szCs w:val="28"/>
      <w:lang w:val="en-US" w:eastAsia="zh-CN" w:bidi="ar-SA"/>
    </w:rPr>
  </w:style>
  <w:style w:type="character" w:customStyle="1" w:styleId="238">
    <w:name w:val="报告表名 Char1"/>
    <w:link w:val="239"/>
    <w:qFormat/>
    <w:locked/>
    <w:uiPriority w:val="0"/>
    <w:rPr>
      <w:rFonts w:ascii="宋体" w:hAnsi="宋体" w:eastAsia="宋体"/>
      <w:b/>
      <w:bCs/>
      <w:sz w:val="24"/>
      <w:lang w:val="en-US" w:eastAsia="zh-CN" w:bidi="ar-SA"/>
    </w:rPr>
  </w:style>
  <w:style w:type="paragraph" w:customStyle="1" w:styleId="239">
    <w:name w:val="报告表名"/>
    <w:basedOn w:val="1"/>
    <w:link w:val="238"/>
    <w:qFormat/>
    <w:uiPriority w:val="0"/>
    <w:pPr>
      <w:adjustRightInd w:val="0"/>
      <w:spacing w:before="360" w:after="60" w:line="360" w:lineRule="auto"/>
      <w:jc w:val="center"/>
    </w:pPr>
    <w:rPr>
      <w:rFonts w:ascii="宋体" w:hAnsi="宋体"/>
      <w:b/>
      <w:bCs/>
      <w:kern w:val="0"/>
      <w:sz w:val="24"/>
      <w:szCs w:val="20"/>
    </w:rPr>
  </w:style>
  <w:style w:type="character" w:customStyle="1" w:styleId="240">
    <w:name w:val="正文（首行缩进两字） Char Char Char Char Char Char Char Char1"/>
    <w:qFormat/>
    <w:uiPriority w:val="0"/>
    <w:rPr>
      <w:rFonts w:ascii="Calibri" w:hAnsi="宋体"/>
      <w:kern w:val="2"/>
      <w:sz w:val="28"/>
    </w:rPr>
  </w:style>
  <w:style w:type="character" w:customStyle="1" w:styleId="241">
    <w:name w:val="hb2 Char1"/>
    <w:qFormat/>
    <w:uiPriority w:val="0"/>
    <w:rPr>
      <w:rFonts w:ascii="Arial Narrow" w:hAnsi="Arial Narrow" w:eastAsia="汉鼎简书宋" w:cs="Arial"/>
      <w:b/>
      <w:bCs/>
      <w:sz w:val="28"/>
      <w:szCs w:val="28"/>
      <w:lang w:val="en-US" w:eastAsia="zh-CN" w:bidi="ar-SA"/>
    </w:rPr>
  </w:style>
  <w:style w:type="character" w:customStyle="1" w:styleId="242">
    <w:name w:val="Char Char8"/>
    <w:qFormat/>
    <w:locked/>
    <w:uiPriority w:val="0"/>
  </w:style>
  <w:style w:type="character" w:customStyle="1" w:styleId="243">
    <w:name w:val="Body Text Indent 2 Char"/>
    <w:qFormat/>
    <w:uiPriority w:val="0"/>
    <w:rPr>
      <w:rFonts w:eastAsia="宋体"/>
      <w:color w:val="000000"/>
      <w:kern w:val="2"/>
      <w:sz w:val="24"/>
      <w:lang w:val="en-US" w:eastAsia="zh-CN" w:bidi="ar-SA"/>
    </w:rPr>
  </w:style>
  <w:style w:type="character" w:customStyle="1" w:styleId="244">
    <w:name w:val="标题 1 Char Char Char"/>
    <w:qFormat/>
    <w:uiPriority w:val="0"/>
    <w:rPr>
      <w:rFonts w:hint="eastAsia" w:ascii="仿宋_GB2312" w:eastAsia="仿宋_GB2312"/>
      <w:b/>
      <w:kern w:val="28"/>
      <w:sz w:val="30"/>
      <w:lang w:val="en-US" w:eastAsia="zh-CN" w:bidi="ar-SA"/>
    </w:rPr>
  </w:style>
  <w:style w:type="character" w:customStyle="1" w:styleId="245">
    <w:name w:val="样式98 Char"/>
    <w:link w:val="246"/>
    <w:qFormat/>
    <w:locked/>
    <w:uiPriority w:val="0"/>
    <w:rPr>
      <w:rFonts w:ascii="仿宋_GB2312" w:eastAsia="仿宋_GB2312"/>
      <w:bCs/>
      <w:color w:val="000000"/>
      <w:szCs w:val="21"/>
      <w:lang w:val="en-US" w:eastAsia="zh-CN" w:bidi="ar-SA"/>
    </w:rPr>
  </w:style>
  <w:style w:type="paragraph" w:customStyle="1" w:styleId="246">
    <w:name w:val="样式98"/>
    <w:basedOn w:val="1"/>
    <w:link w:val="245"/>
    <w:qFormat/>
    <w:uiPriority w:val="0"/>
    <w:pPr>
      <w:adjustRightInd w:val="0"/>
      <w:spacing w:line="300" w:lineRule="exact"/>
      <w:jc w:val="center"/>
    </w:pPr>
    <w:rPr>
      <w:rFonts w:ascii="仿宋_GB2312" w:eastAsia="仿宋_GB2312"/>
      <w:bCs/>
      <w:color w:val="000000"/>
      <w:kern w:val="0"/>
      <w:sz w:val="20"/>
      <w:szCs w:val="21"/>
    </w:rPr>
  </w:style>
  <w:style w:type="character" w:customStyle="1" w:styleId="247">
    <w:name w:val="样式43 Char"/>
    <w:link w:val="248"/>
    <w:qFormat/>
    <w:locked/>
    <w:uiPriority w:val="0"/>
    <w:rPr>
      <w:rFonts w:ascii="楷体_GB2312" w:eastAsia="楷体_GB2312"/>
      <w:b/>
      <w:bCs/>
      <w:snapToGrid w:val="0"/>
      <w:color w:val="000000"/>
      <w:spacing w:val="8"/>
      <w:sz w:val="24"/>
      <w:szCs w:val="24"/>
      <w:lang w:val="en-US" w:eastAsia="zh-CN" w:bidi="ar-SA"/>
    </w:rPr>
  </w:style>
  <w:style w:type="paragraph" w:customStyle="1" w:styleId="248">
    <w:name w:val="样式43"/>
    <w:basedOn w:val="249"/>
    <w:link w:val="247"/>
    <w:qFormat/>
    <w:uiPriority w:val="0"/>
    <w:pPr>
      <w:keepNext w:val="0"/>
      <w:keepLines w:val="0"/>
      <w:spacing w:line="460" w:lineRule="exact"/>
      <w:ind w:firstLine="482" w:firstLineChars="200"/>
      <w:outlineLvl w:val="9"/>
    </w:pPr>
    <w:rPr>
      <w:szCs w:val="24"/>
    </w:rPr>
  </w:style>
  <w:style w:type="paragraph" w:customStyle="1" w:styleId="249">
    <w:name w:val="样式17"/>
    <w:basedOn w:val="250"/>
    <w:link w:val="618"/>
    <w:qFormat/>
    <w:uiPriority w:val="0"/>
    <w:pPr>
      <w:keepNext/>
      <w:keepLines/>
      <w:snapToGrid w:val="0"/>
      <w:outlineLvl w:val="2"/>
    </w:pPr>
    <w:rPr>
      <w:rFonts w:ascii="楷体_GB2312" w:eastAsia="楷体_GB2312"/>
      <w:b/>
      <w:bCs/>
      <w:snapToGrid w:val="0"/>
      <w:color w:val="000000"/>
      <w:spacing w:val="8"/>
      <w:kern w:val="0"/>
      <w:sz w:val="24"/>
      <w:szCs w:val="28"/>
    </w:rPr>
  </w:style>
  <w:style w:type="paragraph" w:customStyle="1" w:styleId="250">
    <w:name w:val="0正文"/>
    <w:basedOn w:val="1"/>
    <w:link w:val="1935"/>
    <w:qFormat/>
    <w:uiPriority w:val="0"/>
    <w:pPr>
      <w:spacing w:line="300" w:lineRule="auto"/>
      <w:ind w:firstLine="480" w:firstLineChars="200"/>
    </w:pPr>
    <w:rPr>
      <w:rFonts w:cs="宋体"/>
      <w:sz w:val="24"/>
    </w:rPr>
  </w:style>
  <w:style w:type="character" w:customStyle="1" w:styleId="251">
    <w:name w:val="标题3 Char"/>
    <w:qFormat/>
    <w:uiPriority w:val="0"/>
    <w:rPr>
      <w:rFonts w:hint="eastAsia" w:ascii="宋体" w:hAnsi="宋体" w:eastAsia="宋体"/>
      <w:b/>
      <w:bCs/>
      <w:kern w:val="2"/>
      <w:sz w:val="28"/>
      <w:szCs w:val="32"/>
      <w:lang w:val="en-US" w:eastAsia="zh-CN" w:bidi="ar-SA"/>
    </w:rPr>
  </w:style>
  <w:style w:type="character" w:customStyle="1" w:styleId="252">
    <w:name w:val="样式115 Char"/>
    <w:link w:val="253"/>
    <w:qFormat/>
    <w:locked/>
    <w:uiPriority w:val="0"/>
    <w:rPr>
      <w:rFonts w:ascii="黑体" w:hAnsi="黑体" w:eastAsia="宋体"/>
      <w:b/>
      <w:bCs/>
      <w:color w:val="000000"/>
      <w:kern w:val="44"/>
      <w:sz w:val="44"/>
      <w:szCs w:val="44"/>
      <w:lang w:val="en-US" w:eastAsia="zh-CN" w:bidi="ar-SA"/>
    </w:rPr>
  </w:style>
  <w:style w:type="paragraph" w:customStyle="1" w:styleId="253">
    <w:name w:val="样式115"/>
    <w:basedOn w:val="254"/>
    <w:link w:val="252"/>
    <w:qFormat/>
    <w:uiPriority w:val="0"/>
  </w:style>
  <w:style w:type="paragraph" w:customStyle="1" w:styleId="254">
    <w:name w:val="样式106"/>
    <w:basedOn w:val="255"/>
    <w:link w:val="708"/>
    <w:qFormat/>
    <w:uiPriority w:val="0"/>
  </w:style>
  <w:style w:type="paragraph" w:customStyle="1" w:styleId="255">
    <w:name w:val="样式95"/>
    <w:basedOn w:val="256"/>
    <w:link w:val="541"/>
    <w:qFormat/>
    <w:uiPriority w:val="0"/>
    <w:pPr>
      <w:spacing w:before="1200"/>
    </w:pPr>
  </w:style>
  <w:style w:type="paragraph" w:customStyle="1" w:styleId="256">
    <w:name w:val="样式86"/>
    <w:basedOn w:val="257"/>
    <w:link w:val="342"/>
    <w:qFormat/>
    <w:uiPriority w:val="0"/>
    <w:pPr>
      <w:spacing w:before="960" w:after="600"/>
    </w:pPr>
  </w:style>
  <w:style w:type="paragraph" w:customStyle="1" w:styleId="257">
    <w:name w:val="样式 标题 1标题 111一、Head 1wsa文章标题b1章标题 1H1PIM 1标书1h1标题 11..."/>
    <w:basedOn w:val="3"/>
    <w:link w:val="657"/>
    <w:qFormat/>
    <w:uiPriority w:val="0"/>
    <w:pPr>
      <w:spacing w:before="1200" w:after="480" w:line="440" w:lineRule="exact"/>
      <w:ind w:left="-76" w:hanging="284"/>
      <w:jc w:val="center"/>
    </w:pPr>
    <w:rPr>
      <w:rFonts w:ascii="黑体" w:hAnsi="黑体"/>
      <w:color w:val="000000"/>
    </w:rPr>
  </w:style>
  <w:style w:type="character" w:customStyle="1" w:styleId="258">
    <w:name w:val="正文首行缩进 字符"/>
    <w:link w:val="74"/>
    <w:qFormat/>
    <w:uiPriority w:val="0"/>
    <w:rPr>
      <w:rFonts w:ascii="Times New Roman" w:hAnsi="Times New Roman"/>
      <w:kern w:val="2"/>
      <w:sz w:val="28"/>
      <w:szCs w:val="24"/>
      <w:lang w:eastAsia="en-US"/>
    </w:rPr>
  </w:style>
  <w:style w:type="character" w:customStyle="1" w:styleId="259">
    <w:name w:val="t1"/>
    <w:qFormat/>
    <w:uiPriority w:val="0"/>
  </w:style>
  <w:style w:type="character" w:customStyle="1" w:styleId="260">
    <w:name w:val="Char15"/>
    <w:qFormat/>
    <w:uiPriority w:val="0"/>
    <w:rPr>
      <w:rFonts w:hint="eastAsia" w:ascii="宋体" w:hAnsi="宋体" w:eastAsia="宋体"/>
      <w:b/>
      <w:bCs/>
      <w:kern w:val="44"/>
      <w:sz w:val="44"/>
      <w:szCs w:val="44"/>
      <w:lang w:val="en-US" w:eastAsia="zh-CN" w:bidi="ar-SA"/>
    </w:rPr>
  </w:style>
  <w:style w:type="character" w:customStyle="1" w:styleId="261">
    <w:name w:val="Char1 Char Char"/>
    <w:qFormat/>
    <w:uiPriority w:val="0"/>
    <w:rPr>
      <w:rFonts w:hint="eastAsia" w:ascii="宋体" w:hAnsi="宋体" w:eastAsia="宋体"/>
      <w:b/>
      <w:bCs/>
      <w:kern w:val="2"/>
      <w:sz w:val="32"/>
      <w:szCs w:val="32"/>
      <w:lang w:val="en-US" w:eastAsia="zh-CN" w:bidi="ar-SA"/>
    </w:rPr>
  </w:style>
  <w:style w:type="character" w:customStyle="1" w:styleId="262">
    <w:name w:val="haha Char"/>
    <w:link w:val="263"/>
    <w:qFormat/>
    <w:locked/>
    <w:uiPriority w:val="0"/>
    <w:rPr>
      <w:rFonts w:ascii="仿宋_GB2312" w:eastAsia="仿宋_GB2312"/>
      <w:sz w:val="24"/>
      <w:szCs w:val="24"/>
      <w:lang w:val="en-US" w:eastAsia="zh-CN" w:bidi="ar-SA"/>
    </w:rPr>
  </w:style>
  <w:style w:type="paragraph" w:customStyle="1" w:styleId="263">
    <w:name w:val="haha"/>
    <w:basedOn w:val="74"/>
    <w:link w:val="262"/>
    <w:qFormat/>
    <w:uiPriority w:val="0"/>
    <w:pPr>
      <w:tabs>
        <w:tab w:val="left" w:pos="1701"/>
      </w:tabs>
      <w:spacing w:after="0" w:line="360" w:lineRule="auto"/>
      <w:ind w:firstLine="480" w:firstLineChars="200"/>
    </w:pPr>
    <w:rPr>
      <w:rFonts w:ascii="仿宋_GB2312" w:eastAsia="仿宋_GB2312"/>
      <w:kern w:val="0"/>
      <w:sz w:val="24"/>
    </w:rPr>
  </w:style>
  <w:style w:type="character" w:customStyle="1" w:styleId="264">
    <w:name w:val="样式40 Char"/>
    <w:qFormat/>
    <w:uiPriority w:val="0"/>
    <w:rPr>
      <w:rFonts w:hint="eastAsia" w:ascii="宋体" w:hAnsi="宋体" w:eastAsia="宋体"/>
      <w:b/>
      <w:color w:val="000000"/>
      <w:sz w:val="21"/>
      <w:szCs w:val="28"/>
      <w:lang w:val="en-US" w:eastAsia="zh-CN" w:bidi="ar-SA"/>
    </w:rPr>
  </w:style>
  <w:style w:type="character" w:customStyle="1" w:styleId="265">
    <w:name w:val="样式 正文缩进正文（首行缩进两字）1s4正文（首行缩进两字） Char正文缩进 Char表正文正文非缩进ALT+Z... Char"/>
    <w:link w:val="266"/>
    <w:qFormat/>
    <w:locked/>
    <w:uiPriority w:val="0"/>
    <w:rPr>
      <w:rFonts w:ascii="仿宋_GB2312" w:eastAsia="仿宋_GB2312"/>
      <w:color w:val="000000"/>
      <w:sz w:val="24"/>
      <w:szCs w:val="24"/>
      <w:lang w:val="zh-CN" w:bidi="ar-SA"/>
    </w:rPr>
  </w:style>
  <w:style w:type="paragraph" w:customStyle="1" w:styleId="266">
    <w:name w:val="样式 正文缩进正文（首行缩进两字）1s4正文（首行缩进两字） Char正文缩进 Char表正文正文非缩进ALT+Z..."/>
    <w:basedOn w:val="19"/>
    <w:link w:val="265"/>
    <w:qFormat/>
    <w:uiPriority w:val="0"/>
    <w:pPr>
      <w:widowControl/>
      <w:tabs>
        <w:tab w:val="left" w:pos="3600"/>
        <w:tab w:val="left" w:pos="6845"/>
      </w:tabs>
      <w:adjustRightInd w:val="0"/>
      <w:snapToGrid w:val="0"/>
      <w:spacing w:line="360" w:lineRule="auto"/>
      <w:ind w:firstLine="480"/>
    </w:pPr>
    <w:rPr>
      <w:rFonts w:ascii="仿宋_GB2312" w:eastAsia="仿宋_GB2312"/>
      <w:color w:val="000000"/>
      <w:szCs w:val="24"/>
      <w:lang w:val="zh-CN"/>
    </w:rPr>
  </w:style>
  <w:style w:type="character" w:customStyle="1" w:styleId="267">
    <w:name w:val="结束语 字符1"/>
    <w:link w:val="29"/>
    <w:semiHidden/>
    <w:qFormat/>
    <w:locked/>
    <w:uiPriority w:val="0"/>
    <w:rPr>
      <w:rFonts w:eastAsia="宋体"/>
      <w:b/>
      <w:bCs/>
      <w:kern w:val="2"/>
      <w:sz w:val="28"/>
      <w:szCs w:val="28"/>
      <w:lang w:val="en-US" w:eastAsia="zh-CN" w:bidi="ar-SA"/>
    </w:rPr>
  </w:style>
  <w:style w:type="character" w:customStyle="1" w:styleId="268">
    <w:name w:val="正文文字缩进 3 Char Char"/>
    <w:qFormat/>
    <w:uiPriority w:val="0"/>
    <w:rPr>
      <w:rFonts w:hint="eastAsia" w:ascii="宋体" w:hAnsi="宋体" w:eastAsia="宋体"/>
      <w:kern w:val="2"/>
      <w:sz w:val="24"/>
      <w:szCs w:val="24"/>
      <w:lang w:val="en-US" w:eastAsia="zh-CN" w:bidi="ar-SA"/>
    </w:rPr>
  </w:style>
  <w:style w:type="character" w:customStyle="1" w:styleId="269">
    <w:name w:val="样式 宋体 黑色"/>
    <w:qFormat/>
    <w:uiPriority w:val="0"/>
    <w:rPr>
      <w:rFonts w:hint="eastAsia" w:ascii="宋体" w:hAnsi="宋体" w:eastAsia="宋体"/>
      <w:color w:val="000000"/>
      <w:kern w:val="0"/>
      <w:sz w:val="28"/>
      <w:szCs w:val="28"/>
      <w:lang w:val="en-US" w:eastAsia="en-US" w:bidi="ar-SA"/>
    </w:rPr>
  </w:style>
  <w:style w:type="character" w:customStyle="1" w:styleId="270">
    <w:name w:val="Char Char31"/>
    <w:semiHidden/>
    <w:qFormat/>
    <w:uiPriority w:val="0"/>
    <w:rPr>
      <w:rFonts w:hint="eastAsia" w:ascii="宋体" w:hAnsi="宋体" w:eastAsia="宋体"/>
      <w:sz w:val="18"/>
      <w:lang w:val="en-US" w:eastAsia="zh-CN" w:bidi="ar-SA"/>
    </w:rPr>
  </w:style>
  <w:style w:type="character" w:customStyle="1" w:styleId="271">
    <w:name w:val="Char Char33"/>
    <w:semiHidden/>
    <w:qFormat/>
    <w:uiPriority w:val="0"/>
    <w:rPr>
      <w:rFonts w:hint="eastAsia" w:ascii="宋体" w:hAnsi="宋体" w:eastAsia="宋体"/>
      <w:sz w:val="18"/>
      <w:lang w:val="en-US" w:eastAsia="zh-CN" w:bidi="ar-SA"/>
    </w:rPr>
  </w:style>
  <w:style w:type="character" w:customStyle="1" w:styleId="272">
    <w:name w:val="样式 样式 样式 标题 2 + (西文) Times New Roman (中文) 仿宋_GB2312 四号 非加粗 + Ari... Char"/>
    <w:qFormat/>
    <w:uiPriority w:val="0"/>
    <w:rPr>
      <w:rFonts w:hint="eastAsia" w:ascii="仿宋_GB2312" w:eastAsia="仿宋_GB2312"/>
      <w:bCs/>
      <w:kern w:val="2"/>
      <w:sz w:val="28"/>
      <w:szCs w:val="28"/>
      <w:lang w:val="en-US" w:eastAsia="zh-CN" w:bidi="ar-SA"/>
    </w:rPr>
  </w:style>
  <w:style w:type="character" w:customStyle="1" w:styleId="273">
    <w:name w:val="样式 样式 样式 宋体 段前: 0.5 行 行距: 固定值 18 磅 + 首行缩进:  2 字符 + (西文) 宋体 Char"/>
    <w:link w:val="274"/>
    <w:qFormat/>
    <w:uiPriority w:val="0"/>
    <w:rPr>
      <w:rFonts w:ascii="Times New Roman" w:hAnsi="Times New Roman"/>
      <w:kern w:val="2"/>
      <w:sz w:val="24"/>
      <w:szCs w:val="18"/>
    </w:rPr>
  </w:style>
  <w:style w:type="paragraph" w:customStyle="1" w:styleId="274">
    <w:name w:val="样式 样式 样式 宋体 段前: 0.5 行 行距: 固定值 18 磅 + 首行缩进:  2 字符 + (西文) 宋体"/>
    <w:basedOn w:val="1"/>
    <w:link w:val="273"/>
    <w:qFormat/>
    <w:uiPriority w:val="0"/>
    <w:pPr>
      <w:adjustRightInd w:val="0"/>
      <w:snapToGrid w:val="0"/>
      <w:spacing w:line="480" w:lineRule="exact"/>
      <w:ind w:firstLine="459" w:firstLineChars="200"/>
    </w:pPr>
    <w:rPr>
      <w:sz w:val="24"/>
      <w:szCs w:val="18"/>
    </w:rPr>
  </w:style>
  <w:style w:type="character" w:customStyle="1" w:styleId="275">
    <w:name w:val="unnamed11"/>
    <w:qFormat/>
    <w:uiPriority w:val="0"/>
    <w:rPr>
      <w:rFonts w:hint="default" w:ascii="ˎ̥" w:hAnsi="ˎ̥"/>
      <w:sz w:val="21"/>
      <w:szCs w:val="21"/>
      <w:u w:val="none"/>
    </w:rPr>
  </w:style>
  <w:style w:type="character" w:customStyle="1" w:styleId="276">
    <w:name w:val="样式139 Char"/>
    <w:link w:val="277"/>
    <w:qFormat/>
    <w:locked/>
    <w:uiPriority w:val="0"/>
    <w:rPr>
      <w:rFonts w:ascii="黑体" w:hAnsi="黑体" w:eastAsia="黑体"/>
      <w:b/>
      <w:bCs/>
      <w:color w:val="000000"/>
      <w:sz w:val="24"/>
      <w:szCs w:val="24"/>
      <w:lang w:val="en-US" w:eastAsia="zh-CN" w:bidi="ar-SA"/>
    </w:rPr>
  </w:style>
  <w:style w:type="paragraph" w:customStyle="1" w:styleId="277">
    <w:name w:val="样式139"/>
    <w:basedOn w:val="278"/>
    <w:link w:val="276"/>
    <w:qFormat/>
    <w:uiPriority w:val="0"/>
    <w:rPr>
      <w:b/>
    </w:rPr>
  </w:style>
  <w:style w:type="paragraph" w:customStyle="1" w:styleId="278">
    <w:name w:val="样式114"/>
    <w:basedOn w:val="199"/>
    <w:link w:val="322"/>
    <w:qFormat/>
    <w:uiPriority w:val="0"/>
    <w:rPr>
      <w:b w:val="0"/>
    </w:rPr>
  </w:style>
  <w:style w:type="character" w:customStyle="1" w:styleId="279">
    <w:name w:val="样式 标题 4H4PIM 4h4blbbTitre44th levelsect 1.2.3.4Ref Head... Char"/>
    <w:link w:val="203"/>
    <w:qFormat/>
    <w:locked/>
    <w:uiPriority w:val="0"/>
    <w:rPr>
      <w:rFonts w:ascii="Arial" w:hAnsi="Arial" w:eastAsia="宋体" w:cs="Arial"/>
      <w:b/>
      <w:color w:val="000000"/>
      <w:sz w:val="24"/>
      <w:szCs w:val="24"/>
      <w:lang w:val="en-US" w:eastAsia="zh-CN" w:bidi="ar-SA"/>
    </w:rPr>
  </w:style>
  <w:style w:type="character" w:customStyle="1" w:styleId="280">
    <w:name w:val="样式113 Char"/>
    <w:link w:val="281"/>
    <w:qFormat/>
    <w:locked/>
    <w:uiPriority w:val="0"/>
    <w:rPr>
      <w:rFonts w:ascii="黑体" w:hAnsi="黑体" w:eastAsia="黑体"/>
      <w:bCs/>
      <w:color w:val="000000"/>
      <w:szCs w:val="21"/>
      <w:lang w:val="en-US" w:eastAsia="zh-CN" w:bidi="ar-SA"/>
    </w:rPr>
  </w:style>
  <w:style w:type="paragraph" w:customStyle="1" w:styleId="281">
    <w:name w:val="样式113"/>
    <w:basedOn w:val="1"/>
    <w:link w:val="280"/>
    <w:qFormat/>
    <w:uiPriority w:val="0"/>
    <w:pPr>
      <w:adjustRightInd w:val="0"/>
      <w:spacing w:before="60" w:line="500" w:lineRule="exact"/>
      <w:jc w:val="center"/>
    </w:pPr>
    <w:rPr>
      <w:rFonts w:ascii="黑体" w:hAnsi="黑体" w:eastAsia="黑体"/>
      <w:bCs/>
      <w:color w:val="000000"/>
      <w:kern w:val="0"/>
      <w:sz w:val="20"/>
      <w:szCs w:val="21"/>
    </w:rPr>
  </w:style>
  <w:style w:type="character" w:customStyle="1" w:styleId="282">
    <w:name w:val="正文内容 Char"/>
    <w:link w:val="283"/>
    <w:qFormat/>
    <w:locked/>
    <w:uiPriority w:val="0"/>
    <w:rPr>
      <w:rFonts w:ascii="宋体" w:hAnsi="宋体" w:eastAsia="宋体"/>
      <w:sz w:val="24"/>
      <w:lang w:val="en-US" w:eastAsia="zh-CN" w:bidi="ar-SA"/>
    </w:rPr>
  </w:style>
  <w:style w:type="paragraph" w:customStyle="1" w:styleId="283">
    <w:name w:val="正文内容"/>
    <w:basedOn w:val="1"/>
    <w:link w:val="282"/>
    <w:qFormat/>
    <w:uiPriority w:val="0"/>
    <w:pPr>
      <w:spacing w:beforeLines="50" w:line="360" w:lineRule="auto"/>
      <w:ind w:firstLine="480" w:firstLineChars="200"/>
    </w:pPr>
    <w:rPr>
      <w:rFonts w:ascii="宋体" w:hAnsi="宋体"/>
      <w:kern w:val="0"/>
      <w:sz w:val="24"/>
      <w:szCs w:val="20"/>
    </w:rPr>
  </w:style>
  <w:style w:type="character" w:customStyle="1" w:styleId="284">
    <w:name w:val="Char1"/>
    <w:qFormat/>
    <w:uiPriority w:val="0"/>
    <w:rPr>
      <w:rFonts w:hint="eastAsia" w:ascii="宋体" w:hAnsi="宋体" w:eastAsia="宋体"/>
      <w:b/>
      <w:bCs/>
      <w:kern w:val="44"/>
      <w:sz w:val="44"/>
      <w:szCs w:val="44"/>
      <w:lang w:val="en-US" w:eastAsia="zh-CN" w:bidi="ar-SA"/>
    </w:rPr>
  </w:style>
  <w:style w:type="character" w:customStyle="1" w:styleId="285">
    <w:name w:val="正文缩进 字符3"/>
    <w:link w:val="19"/>
    <w:qFormat/>
    <w:uiPriority w:val="0"/>
    <w:rPr>
      <w:rFonts w:ascii="Times New Roman" w:hAnsi="Times New Roman"/>
      <w:sz w:val="24"/>
    </w:rPr>
  </w:style>
  <w:style w:type="character" w:customStyle="1" w:styleId="286">
    <w:name w:val="样式152 Char"/>
    <w:link w:val="287"/>
    <w:qFormat/>
    <w:locked/>
    <w:uiPriority w:val="0"/>
    <w:rPr>
      <w:rFonts w:ascii="宋体" w:hAnsi="宋体" w:eastAsia="宋体"/>
      <w:bCs/>
      <w:color w:val="000000"/>
      <w:szCs w:val="21"/>
      <w:lang w:val="en-US" w:eastAsia="zh-CN" w:bidi="ar-SA"/>
    </w:rPr>
  </w:style>
  <w:style w:type="paragraph" w:customStyle="1" w:styleId="287">
    <w:name w:val="样式152"/>
    <w:basedOn w:val="246"/>
    <w:link w:val="286"/>
    <w:qFormat/>
    <w:uiPriority w:val="0"/>
    <w:pPr>
      <w:jc w:val="both"/>
    </w:pPr>
    <w:rPr>
      <w:rFonts w:ascii="宋体" w:hAnsi="宋体" w:eastAsia="宋体"/>
    </w:rPr>
  </w:style>
  <w:style w:type="character" w:customStyle="1" w:styleId="288">
    <w:name w:val="Char Char24"/>
    <w:qFormat/>
    <w:uiPriority w:val="0"/>
    <w:rPr>
      <w:rFonts w:hint="eastAsia" w:ascii="宋体" w:hAnsi="宋体" w:eastAsia="宋体"/>
      <w:kern w:val="2"/>
      <w:sz w:val="18"/>
      <w:szCs w:val="18"/>
      <w:lang w:val="en-US" w:eastAsia="zh-CN" w:bidi="ar-SA"/>
    </w:rPr>
  </w:style>
  <w:style w:type="character" w:customStyle="1" w:styleId="289">
    <w:name w:val="批注文字 Char1"/>
    <w:semiHidden/>
    <w:qFormat/>
    <w:uiPriority w:val="0"/>
    <w:rPr>
      <w:kern w:val="2"/>
      <w:sz w:val="24"/>
      <w:szCs w:val="24"/>
    </w:rPr>
  </w:style>
  <w:style w:type="character" w:customStyle="1" w:styleId="290">
    <w:name w:val="样式24 Char"/>
    <w:link w:val="291"/>
    <w:qFormat/>
    <w:locked/>
    <w:uiPriority w:val="0"/>
    <w:rPr>
      <w:rFonts w:ascii="Arial" w:hAnsi="Arial" w:eastAsia="宋体" w:cs="Arial"/>
      <w:b/>
      <w:bCs/>
      <w:color w:val="000000"/>
      <w:sz w:val="24"/>
      <w:szCs w:val="24"/>
      <w:lang w:val="en-US" w:eastAsia="zh-CN" w:bidi="ar-SA"/>
    </w:rPr>
  </w:style>
  <w:style w:type="paragraph" w:customStyle="1" w:styleId="291">
    <w:name w:val="样式24"/>
    <w:basedOn w:val="203"/>
    <w:link w:val="290"/>
    <w:qFormat/>
    <w:uiPriority w:val="0"/>
    <w:pPr>
      <w:jc w:val="both"/>
    </w:pPr>
    <w:rPr>
      <w:bCs/>
    </w:rPr>
  </w:style>
  <w:style w:type="character" w:customStyle="1" w:styleId="292">
    <w:name w:val="样式 标题 3 Char"/>
    <w:link w:val="293"/>
    <w:qFormat/>
    <w:locked/>
    <w:uiPriority w:val="0"/>
    <w:rPr>
      <w:rFonts w:ascii="宋体" w:hAnsi="宋体" w:eastAsia="宋体"/>
      <w:snapToGrid w:val="0"/>
      <w:sz w:val="28"/>
      <w:szCs w:val="28"/>
      <w:lang w:val="en-US" w:eastAsia="zh-CN" w:bidi="ar-SA"/>
    </w:rPr>
  </w:style>
  <w:style w:type="paragraph" w:customStyle="1" w:styleId="293">
    <w:name w:val="样式 标题 3"/>
    <w:basedOn w:val="5"/>
    <w:link w:val="292"/>
    <w:qFormat/>
    <w:uiPriority w:val="0"/>
    <w:pPr>
      <w:tabs>
        <w:tab w:val="left" w:pos="1701"/>
      </w:tabs>
      <w:adjustRightInd w:val="0"/>
      <w:jc w:val="left"/>
    </w:pPr>
    <w:rPr>
      <w:rFonts w:ascii="宋体" w:hAnsi="宋体"/>
      <w:bCs/>
      <w:snapToGrid w:val="0"/>
      <w:szCs w:val="28"/>
    </w:rPr>
  </w:style>
  <w:style w:type="character" w:customStyle="1" w:styleId="294">
    <w:name w:val="Char Char25"/>
    <w:qFormat/>
    <w:uiPriority w:val="0"/>
    <w:rPr>
      <w:rFonts w:hint="eastAsia" w:ascii="宋体" w:hAnsi="宋体" w:eastAsia="宋体"/>
      <w:kern w:val="2"/>
      <w:sz w:val="18"/>
      <w:szCs w:val="18"/>
      <w:lang w:val="en-US" w:eastAsia="zh-CN" w:bidi="ar-SA"/>
    </w:rPr>
  </w:style>
  <w:style w:type="character" w:customStyle="1" w:styleId="295">
    <w:name w:val="样式 正文文本缩进 2 + 黑色 行距: 固定值 12 磅 Char"/>
    <w:link w:val="296"/>
    <w:qFormat/>
    <w:locked/>
    <w:uiPriority w:val="0"/>
    <w:rPr>
      <w:rFonts w:ascii="宋体" w:hAnsi="宋体" w:eastAsia="宋体"/>
      <w:color w:val="000000"/>
      <w:szCs w:val="21"/>
      <w:lang w:val="en-US" w:eastAsia="zh-CN" w:bidi="ar-SA"/>
    </w:rPr>
  </w:style>
  <w:style w:type="paragraph" w:customStyle="1" w:styleId="296">
    <w:name w:val="样式 正文文本缩进 2 + 黑色 行距: 固定值 12 磅"/>
    <w:basedOn w:val="1"/>
    <w:link w:val="295"/>
    <w:qFormat/>
    <w:uiPriority w:val="0"/>
    <w:pPr>
      <w:adjustRightInd w:val="0"/>
      <w:spacing w:line="240" w:lineRule="exact"/>
    </w:pPr>
    <w:rPr>
      <w:rFonts w:ascii="宋体" w:hAnsi="宋体"/>
      <w:color w:val="000000"/>
      <w:kern w:val="0"/>
      <w:sz w:val="20"/>
      <w:szCs w:val="21"/>
    </w:rPr>
  </w:style>
  <w:style w:type="character" w:customStyle="1" w:styleId="297">
    <w:name w:val="样式2 Char"/>
    <w:link w:val="298"/>
    <w:qFormat/>
    <w:uiPriority w:val="0"/>
    <w:rPr>
      <w:rFonts w:ascii="Times New Roman" w:hAnsi="Times New Roman"/>
      <w:b/>
      <w:kern w:val="2"/>
      <w:sz w:val="28"/>
      <w:szCs w:val="22"/>
    </w:rPr>
  </w:style>
  <w:style w:type="paragraph" w:customStyle="1" w:styleId="298">
    <w:name w:val="样式2"/>
    <w:basedOn w:val="1"/>
    <w:link w:val="297"/>
    <w:qFormat/>
    <w:uiPriority w:val="0"/>
    <w:pPr>
      <w:adjustRightInd w:val="0"/>
      <w:snapToGrid w:val="0"/>
      <w:spacing w:line="348" w:lineRule="auto"/>
      <w:outlineLvl w:val="1"/>
    </w:pPr>
    <w:rPr>
      <w:b/>
      <w:sz w:val="28"/>
    </w:rPr>
  </w:style>
  <w:style w:type="character" w:customStyle="1" w:styleId="299">
    <w:name w:val="小四 Char"/>
    <w:link w:val="300"/>
    <w:qFormat/>
    <w:locked/>
    <w:uiPriority w:val="0"/>
    <w:rPr>
      <w:rFonts w:ascii="宋体" w:hAnsi="宋体" w:eastAsia="宋体"/>
      <w:color w:val="0000FF"/>
      <w:sz w:val="24"/>
      <w:szCs w:val="24"/>
      <w:lang w:val="en-US" w:eastAsia="zh-CN" w:bidi="ar-SA"/>
    </w:rPr>
  </w:style>
  <w:style w:type="paragraph" w:customStyle="1" w:styleId="300">
    <w:name w:val="小四"/>
    <w:basedOn w:val="1"/>
    <w:link w:val="299"/>
    <w:qFormat/>
    <w:uiPriority w:val="0"/>
    <w:pPr>
      <w:spacing w:line="360" w:lineRule="auto"/>
    </w:pPr>
    <w:rPr>
      <w:rFonts w:ascii="宋体" w:hAnsi="宋体"/>
      <w:color w:val="0000FF"/>
      <w:kern w:val="0"/>
      <w:sz w:val="24"/>
      <w:szCs w:val="24"/>
    </w:rPr>
  </w:style>
  <w:style w:type="character" w:customStyle="1" w:styleId="301">
    <w:name w:val="样式104 Char"/>
    <w:link w:val="302"/>
    <w:qFormat/>
    <w:locked/>
    <w:uiPriority w:val="0"/>
    <w:rPr>
      <w:rFonts w:ascii="仿宋_GB2312" w:eastAsia="仿宋_GB2312"/>
      <w:b/>
      <w:sz w:val="24"/>
      <w:szCs w:val="24"/>
      <w:lang w:val="en-US" w:eastAsia="zh-CN" w:bidi="ar-SA"/>
    </w:rPr>
  </w:style>
  <w:style w:type="paragraph" w:customStyle="1" w:styleId="302">
    <w:name w:val="样式104"/>
    <w:basedOn w:val="303"/>
    <w:link w:val="301"/>
    <w:qFormat/>
    <w:uiPriority w:val="0"/>
    <w:rPr>
      <w:b/>
    </w:rPr>
  </w:style>
  <w:style w:type="paragraph" w:customStyle="1" w:styleId="303">
    <w:name w:val="样式66"/>
    <w:basedOn w:val="1"/>
    <w:link w:val="638"/>
    <w:qFormat/>
    <w:uiPriority w:val="0"/>
    <w:pPr>
      <w:ind w:firstLine="480" w:firstLineChars="200"/>
    </w:pPr>
    <w:rPr>
      <w:rFonts w:ascii="仿宋_GB2312" w:eastAsia="仿宋_GB2312"/>
      <w:kern w:val="0"/>
      <w:sz w:val="24"/>
      <w:szCs w:val="24"/>
    </w:rPr>
  </w:style>
  <w:style w:type="character" w:customStyle="1" w:styleId="304">
    <w:name w:val="样式326 Char"/>
    <w:link w:val="305"/>
    <w:qFormat/>
    <w:locked/>
    <w:uiPriority w:val="0"/>
    <w:rPr>
      <w:rFonts w:ascii="宋体" w:hAnsi="Arial" w:eastAsia="仿宋_GB2312"/>
      <w:b/>
      <w:color w:val="000000"/>
      <w:sz w:val="24"/>
      <w:szCs w:val="24"/>
      <w:lang w:val="en-US" w:eastAsia="zh-CN" w:bidi="ar-SA"/>
    </w:rPr>
  </w:style>
  <w:style w:type="paragraph" w:customStyle="1" w:styleId="305">
    <w:name w:val="样式326"/>
    <w:basedOn w:val="1"/>
    <w:link w:val="304"/>
    <w:qFormat/>
    <w:uiPriority w:val="0"/>
    <w:pPr>
      <w:autoSpaceDE w:val="0"/>
      <w:autoSpaceDN w:val="0"/>
      <w:adjustRightInd w:val="0"/>
      <w:spacing w:line="520" w:lineRule="exact"/>
      <w:ind w:firstLine="475" w:firstLineChars="200"/>
    </w:pPr>
    <w:rPr>
      <w:rFonts w:ascii="宋体" w:hAnsi="Arial" w:eastAsia="仿宋_GB2312"/>
      <w:b/>
      <w:color w:val="000000"/>
      <w:kern w:val="0"/>
      <w:sz w:val="24"/>
      <w:szCs w:val="24"/>
    </w:rPr>
  </w:style>
  <w:style w:type="character" w:customStyle="1" w:styleId="306">
    <w:name w:val="Char3"/>
    <w:qFormat/>
    <w:uiPriority w:val="0"/>
    <w:rPr>
      <w:rFonts w:hint="eastAsia" w:ascii="宋体" w:hAnsi="宋体" w:eastAsia="宋体"/>
      <w:b/>
      <w:bCs/>
      <w:kern w:val="44"/>
      <w:sz w:val="44"/>
      <w:szCs w:val="44"/>
      <w:lang w:val="en-US" w:eastAsia="zh-CN" w:bidi="ar-SA"/>
    </w:rPr>
  </w:style>
  <w:style w:type="character" w:customStyle="1" w:styleId="307">
    <w:name w:val="Char Char15"/>
    <w:qFormat/>
    <w:locked/>
    <w:uiPriority w:val="0"/>
    <w:rPr>
      <w:rFonts w:ascii="Calibri" w:hAnsi="Calibri" w:eastAsia="宋体"/>
      <w:b/>
      <w:bCs/>
      <w:lang w:bidi="ar-SA"/>
    </w:rPr>
  </w:style>
  <w:style w:type="character" w:customStyle="1" w:styleId="308">
    <w:name w:val="cityname1"/>
    <w:qFormat/>
    <w:uiPriority w:val="0"/>
    <w:rPr>
      <w:color w:val="FF0000"/>
      <w:sz w:val="32"/>
      <w:szCs w:val="32"/>
    </w:rPr>
  </w:style>
  <w:style w:type="character" w:customStyle="1" w:styleId="309">
    <w:name w:val="样式46 Char"/>
    <w:link w:val="310"/>
    <w:qFormat/>
    <w:locked/>
    <w:uiPriority w:val="0"/>
    <w:rPr>
      <w:rFonts w:ascii="宋体" w:hAnsi="宋体" w:eastAsia="宋体"/>
      <w:sz w:val="24"/>
      <w:szCs w:val="24"/>
      <w:lang w:val="en-US" w:eastAsia="zh-CN" w:bidi="ar-SA"/>
    </w:rPr>
  </w:style>
  <w:style w:type="paragraph" w:customStyle="1" w:styleId="310">
    <w:name w:val="样式46"/>
    <w:basedOn w:val="182"/>
    <w:link w:val="309"/>
    <w:qFormat/>
    <w:uiPriority w:val="0"/>
  </w:style>
  <w:style w:type="character" w:customStyle="1" w:styleId="311">
    <w:name w:val="!正文(alt+c) Char"/>
    <w:qFormat/>
    <w:uiPriority w:val="0"/>
    <w:rPr>
      <w:rFonts w:eastAsia="宋体"/>
      <w:sz w:val="24"/>
      <w:lang w:val="en-US" w:eastAsia="zh-CN"/>
    </w:rPr>
  </w:style>
  <w:style w:type="character" w:customStyle="1" w:styleId="312">
    <w:name w:val="标题3 Char2"/>
    <w:link w:val="313"/>
    <w:qFormat/>
    <w:locked/>
    <w:uiPriority w:val="0"/>
    <w:rPr>
      <w:rFonts w:eastAsia="黑体"/>
      <w:b/>
      <w:bCs/>
      <w:kern w:val="10"/>
      <w:sz w:val="28"/>
      <w:szCs w:val="28"/>
      <w:lang w:val="en-US" w:eastAsia="zh-CN" w:bidi="ar-SA"/>
    </w:rPr>
  </w:style>
  <w:style w:type="paragraph" w:customStyle="1" w:styleId="313">
    <w:name w:val="标题3"/>
    <w:basedOn w:val="1"/>
    <w:link w:val="312"/>
    <w:qFormat/>
    <w:uiPriority w:val="0"/>
    <w:pPr>
      <w:overflowPunct w:val="0"/>
      <w:topLinePunct/>
      <w:spacing w:before="163" w:beforeLines="50"/>
      <w:outlineLvl w:val="2"/>
    </w:pPr>
    <w:rPr>
      <w:rFonts w:eastAsia="黑体"/>
      <w:b/>
      <w:bCs/>
      <w:kern w:val="10"/>
      <w:sz w:val="28"/>
      <w:szCs w:val="28"/>
    </w:rPr>
  </w:style>
  <w:style w:type="character" w:customStyle="1" w:styleId="314">
    <w:name w:val="普通文字 Char Char Char Char Char Char Char Char Char Char Char Char Char Char Char Char Char Char Char"/>
    <w:qFormat/>
    <w:uiPriority w:val="0"/>
    <w:rPr>
      <w:rFonts w:ascii="宋体" w:hAnsi="Courier New" w:eastAsia="仿宋_GB2312"/>
      <w:kern w:val="2"/>
      <w:sz w:val="28"/>
      <w:lang w:val="en-US" w:eastAsia="zh-CN" w:bidi="ar-SA"/>
    </w:rPr>
  </w:style>
  <w:style w:type="character" w:customStyle="1" w:styleId="315">
    <w:name w:val="样式 !正文 + 首行缩进:  2 字符1 Char"/>
    <w:link w:val="316"/>
    <w:qFormat/>
    <w:uiPriority w:val="0"/>
    <w:rPr>
      <w:rFonts w:ascii="Times New Roman" w:hAnsi="Times New Roman" w:cs="宋体"/>
      <w:color w:val="000000"/>
      <w:sz w:val="24"/>
      <w:u w:color="000000"/>
    </w:rPr>
  </w:style>
  <w:style w:type="paragraph" w:customStyle="1" w:styleId="316">
    <w:name w:val="样式 !正文 + 首行缩进:  2 字符1"/>
    <w:basedOn w:val="317"/>
    <w:link w:val="315"/>
    <w:qFormat/>
    <w:uiPriority w:val="0"/>
    <w:pPr>
      <w:ind w:firstLine="480"/>
    </w:pPr>
    <w:rPr>
      <w:rFonts w:cs="宋体"/>
      <w:szCs w:val="20"/>
    </w:rPr>
  </w:style>
  <w:style w:type="paragraph" w:customStyle="1" w:styleId="317">
    <w:name w:val="!正文"/>
    <w:basedOn w:val="1"/>
    <w:link w:val="459"/>
    <w:qFormat/>
    <w:uiPriority w:val="0"/>
    <w:pPr>
      <w:snapToGrid w:val="0"/>
      <w:spacing w:line="336" w:lineRule="auto"/>
      <w:ind w:firstLine="200" w:firstLineChars="200"/>
      <w:jc w:val="left"/>
      <w:textAlignment w:val="baseline"/>
    </w:pPr>
    <w:rPr>
      <w:color w:val="000000"/>
      <w:kern w:val="0"/>
      <w:sz w:val="24"/>
      <w:szCs w:val="24"/>
      <w:u w:color="000000"/>
    </w:rPr>
  </w:style>
  <w:style w:type="character" w:customStyle="1" w:styleId="318">
    <w:name w:val="样式18 Char1"/>
    <w:link w:val="319"/>
    <w:qFormat/>
    <w:locked/>
    <w:uiPriority w:val="0"/>
    <w:rPr>
      <w:rFonts w:ascii="宋体" w:hAnsi="宋体" w:eastAsia="宋体"/>
      <w:snapToGrid w:val="0"/>
      <w:spacing w:val="8"/>
      <w:szCs w:val="28"/>
      <w:lang w:val="en-US" w:eastAsia="zh-CN" w:bidi="ar-SA"/>
    </w:rPr>
  </w:style>
  <w:style w:type="paragraph" w:customStyle="1" w:styleId="319">
    <w:name w:val="样式18"/>
    <w:basedOn w:val="1"/>
    <w:link w:val="318"/>
    <w:qFormat/>
    <w:uiPriority w:val="0"/>
    <w:pPr>
      <w:snapToGrid w:val="0"/>
      <w:ind w:firstLine="592"/>
    </w:pPr>
    <w:rPr>
      <w:rFonts w:ascii="宋体" w:hAnsi="宋体"/>
      <w:snapToGrid w:val="0"/>
      <w:spacing w:val="8"/>
      <w:kern w:val="0"/>
      <w:sz w:val="20"/>
      <w:szCs w:val="28"/>
    </w:rPr>
  </w:style>
  <w:style w:type="character" w:customStyle="1" w:styleId="320">
    <w:name w:val="title1"/>
    <w:qFormat/>
    <w:uiPriority w:val="0"/>
    <w:rPr>
      <w:b/>
      <w:bCs/>
      <w:vanish/>
      <w:color w:val="FF0000"/>
      <w:sz w:val="39"/>
      <w:szCs w:val="39"/>
    </w:rPr>
  </w:style>
  <w:style w:type="character" w:customStyle="1" w:styleId="321">
    <w:name w:val="正式文本 Char"/>
    <w:qFormat/>
    <w:uiPriority w:val="0"/>
    <w:rPr>
      <w:rFonts w:ascii="Arial Narrow" w:hAnsi="Arial Narrow" w:eastAsia="汉鼎简书宋"/>
      <w:kern w:val="2"/>
      <w:sz w:val="24"/>
      <w:szCs w:val="24"/>
      <w:lang w:val="en-US" w:eastAsia="zh-CN" w:bidi="ar-SA"/>
    </w:rPr>
  </w:style>
  <w:style w:type="character" w:customStyle="1" w:styleId="322">
    <w:name w:val="样式114 Char"/>
    <w:link w:val="278"/>
    <w:qFormat/>
    <w:locked/>
    <w:uiPriority w:val="0"/>
    <w:rPr>
      <w:rFonts w:ascii="黑体" w:hAnsi="黑体" w:eastAsia="黑体"/>
      <w:bCs/>
      <w:color w:val="000000"/>
      <w:sz w:val="24"/>
      <w:szCs w:val="24"/>
      <w:lang w:val="en-US" w:eastAsia="zh-CN" w:bidi="ar-SA"/>
    </w:rPr>
  </w:style>
  <w:style w:type="character" w:customStyle="1" w:styleId="323">
    <w:name w:val="样式116 Char"/>
    <w:link w:val="324"/>
    <w:qFormat/>
    <w:locked/>
    <w:uiPriority w:val="0"/>
    <w:rPr>
      <w:rFonts w:ascii="宋体" w:hAnsi="宋体" w:eastAsia="宋体"/>
      <w:sz w:val="24"/>
      <w:szCs w:val="24"/>
      <w:lang w:val="en-US" w:eastAsia="zh-CN" w:bidi="ar-SA"/>
    </w:rPr>
  </w:style>
  <w:style w:type="paragraph" w:customStyle="1" w:styleId="324">
    <w:name w:val="样式116"/>
    <w:basedOn w:val="236"/>
    <w:link w:val="323"/>
    <w:qFormat/>
    <w:uiPriority w:val="0"/>
    <w:pPr>
      <w:jc w:val="both"/>
    </w:pPr>
  </w:style>
  <w:style w:type="character" w:customStyle="1" w:styleId="325">
    <w:name w:val="样式100 Char"/>
    <w:link w:val="326"/>
    <w:qFormat/>
    <w:locked/>
    <w:uiPriority w:val="0"/>
    <w:rPr>
      <w:rFonts w:ascii="仿宋_GB2312" w:eastAsia="仿宋_GB2312"/>
      <w:sz w:val="24"/>
      <w:szCs w:val="24"/>
      <w:lang w:val="en-US" w:eastAsia="zh-CN" w:bidi="ar-SA"/>
    </w:rPr>
  </w:style>
  <w:style w:type="paragraph" w:customStyle="1" w:styleId="326">
    <w:name w:val="样式100"/>
    <w:basedOn w:val="108"/>
    <w:link w:val="325"/>
    <w:qFormat/>
    <w:uiPriority w:val="0"/>
  </w:style>
  <w:style w:type="character" w:customStyle="1" w:styleId="327">
    <w:name w:val="fontstyle41"/>
    <w:qFormat/>
    <w:uiPriority w:val="0"/>
    <w:rPr>
      <w:rFonts w:hint="default" w:ascii="Times New Roman" w:hAnsi="Times New Roman" w:cs="Times New Roman"/>
      <w:color w:val="000000"/>
      <w:sz w:val="28"/>
      <w:szCs w:val="28"/>
    </w:rPr>
  </w:style>
  <w:style w:type="character" w:customStyle="1" w:styleId="328">
    <w:name w:val="样式 四号 黑色 Char"/>
    <w:link w:val="329"/>
    <w:qFormat/>
    <w:locked/>
    <w:uiPriority w:val="0"/>
    <w:rPr>
      <w:rFonts w:ascii="宋体" w:hAnsi="宋体" w:eastAsia="宋体"/>
      <w:sz w:val="24"/>
      <w:szCs w:val="24"/>
      <w:lang w:val="en-US" w:eastAsia="zh-CN" w:bidi="ar-SA"/>
    </w:rPr>
  </w:style>
  <w:style w:type="paragraph" w:customStyle="1" w:styleId="329">
    <w:name w:val="样式 四号 黑色"/>
    <w:basedOn w:val="1"/>
    <w:link w:val="328"/>
    <w:qFormat/>
    <w:uiPriority w:val="0"/>
    <w:pPr>
      <w:spacing w:line="360" w:lineRule="auto"/>
      <w:ind w:firstLine="560" w:firstLineChars="200"/>
    </w:pPr>
    <w:rPr>
      <w:rFonts w:ascii="宋体" w:hAnsi="宋体"/>
      <w:kern w:val="0"/>
      <w:sz w:val="24"/>
      <w:szCs w:val="24"/>
    </w:rPr>
  </w:style>
  <w:style w:type="character" w:customStyle="1" w:styleId="330">
    <w:name w:val="标题 3 字符"/>
    <w:qFormat/>
    <w:uiPriority w:val="0"/>
    <w:rPr>
      <w:rFonts w:hint="eastAsia" w:ascii="华文楷体" w:hAnsi="华文楷体" w:eastAsia="华文楷体" w:cs="Times New Roman"/>
      <w:b/>
      <w:bCs/>
      <w:kern w:val="2"/>
      <w:sz w:val="32"/>
      <w:szCs w:val="21"/>
    </w:rPr>
  </w:style>
  <w:style w:type="character" w:customStyle="1" w:styleId="331">
    <w:name w:val="(一) Char"/>
    <w:qFormat/>
    <w:uiPriority w:val="0"/>
    <w:rPr>
      <w:rFonts w:ascii="Arial" w:hAnsi="Arial" w:eastAsia="黑体"/>
      <w:b/>
      <w:bCs/>
      <w:kern w:val="2"/>
      <w:sz w:val="28"/>
      <w:szCs w:val="28"/>
      <w:lang w:val="en-US" w:eastAsia="zh-CN" w:bidi="ar-SA"/>
    </w:rPr>
  </w:style>
  <w:style w:type="character" w:customStyle="1" w:styleId="332">
    <w:name w:val="Char Char19"/>
    <w:qFormat/>
    <w:uiPriority w:val="0"/>
    <w:rPr>
      <w:rFonts w:hint="default" w:ascii="Arial Black" w:hAnsi="Arial Black" w:eastAsia="宋体"/>
      <w:b/>
      <w:bCs/>
      <w:kern w:val="44"/>
      <w:sz w:val="44"/>
      <w:szCs w:val="44"/>
      <w:lang w:val="en-US" w:eastAsia="zh-CN" w:bidi="ar-SA"/>
    </w:rPr>
  </w:style>
  <w:style w:type="character" w:customStyle="1" w:styleId="333">
    <w:name w:val="样式36 Char"/>
    <w:link w:val="160"/>
    <w:qFormat/>
    <w:locked/>
    <w:uiPriority w:val="0"/>
    <w:rPr>
      <w:rFonts w:ascii="黑体" w:hAnsi="黑体" w:eastAsia="黑体"/>
      <w:b/>
      <w:color w:val="000000"/>
      <w:sz w:val="30"/>
      <w:szCs w:val="30"/>
      <w:lang w:val="en-US" w:eastAsia="zh-CN" w:bidi="ar-SA"/>
    </w:rPr>
  </w:style>
  <w:style w:type="character" w:customStyle="1" w:styleId="334">
    <w:name w:val="样式12 Char"/>
    <w:link w:val="335"/>
    <w:qFormat/>
    <w:locked/>
    <w:uiPriority w:val="0"/>
    <w:rPr>
      <w:rFonts w:ascii="宋体" w:hAnsi="宋体" w:eastAsia="宋体"/>
      <w:sz w:val="28"/>
      <w:lang w:val="en-US" w:eastAsia="zh-CN" w:bidi="ar-SA"/>
    </w:rPr>
  </w:style>
  <w:style w:type="paragraph" w:customStyle="1" w:styleId="335">
    <w:name w:val="样式12"/>
    <w:basedOn w:val="336"/>
    <w:link w:val="334"/>
    <w:qFormat/>
    <w:uiPriority w:val="0"/>
    <w:pPr>
      <w:tabs>
        <w:tab w:val="left" w:pos="1701"/>
      </w:tabs>
    </w:pPr>
    <w:rPr>
      <w:rFonts w:ascii="宋体" w:hAnsi="宋体" w:cs="Times New Roman"/>
      <w:kern w:val="0"/>
    </w:rPr>
  </w:style>
  <w:style w:type="paragraph" w:customStyle="1" w:styleId="336">
    <w:name w:val="样式 四号 行距: 多倍行距 1.45 字行"/>
    <w:basedOn w:val="1"/>
    <w:qFormat/>
    <w:uiPriority w:val="0"/>
    <w:pPr>
      <w:tabs>
        <w:tab w:val="left" w:pos="1701"/>
      </w:tabs>
      <w:snapToGrid w:val="0"/>
      <w:spacing w:line="348" w:lineRule="auto"/>
    </w:pPr>
    <w:rPr>
      <w:rFonts w:cs="宋体"/>
      <w:sz w:val="28"/>
      <w:szCs w:val="20"/>
    </w:rPr>
  </w:style>
  <w:style w:type="character" w:customStyle="1" w:styleId="337">
    <w:name w:val="列表(L) Char"/>
    <w:link w:val="338"/>
    <w:qFormat/>
    <w:locked/>
    <w:uiPriority w:val="0"/>
    <w:rPr>
      <w:rFonts w:ascii="宋体" w:hAnsi="宋体" w:eastAsia="宋体"/>
      <w:lang w:val="en-US" w:eastAsia="zh-CN" w:bidi="ar-SA"/>
    </w:rPr>
  </w:style>
  <w:style w:type="paragraph" w:customStyle="1" w:styleId="338">
    <w:name w:val="列表(L)"/>
    <w:basedOn w:val="57"/>
    <w:link w:val="337"/>
    <w:qFormat/>
    <w:uiPriority w:val="0"/>
    <w:pPr>
      <w:snapToGrid w:val="0"/>
      <w:ind w:left="0" w:firstLine="0"/>
    </w:pPr>
    <w:rPr>
      <w:rFonts w:ascii="宋体" w:hAnsi="宋体"/>
      <w:kern w:val="0"/>
      <w:sz w:val="20"/>
      <w:szCs w:val="20"/>
    </w:rPr>
  </w:style>
  <w:style w:type="character" w:customStyle="1" w:styleId="339">
    <w:name w:val="样式 正文文本缩进 2 + 黑色 Char"/>
    <w:link w:val="340"/>
    <w:qFormat/>
    <w:locked/>
    <w:uiPriority w:val="0"/>
    <w:rPr>
      <w:rFonts w:ascii="宋体" w:hAnsi="宋体" w:eastAsia="宋体"/>
      <w:color w:val="000000"/>
      <w:szCs w:val="21"/>
      <w:lang w:val="en-US" w:eastAsia="zh-CN" w:bidi="ar-SA"/>
    </w:rPr>
  </w:style>
  <w:style w:type="paragraph" w:customStyle="1" w:styleId="340">
    <w:name w:val="样式 正文文本缩进 2 + 黑色"/>
    <w:basedOn w:val="1"/>
    <w:link w:val="339"/>
    <w:qFormat/>
    <w:uiPriority w:val="0"/>
    <w:pPr>
      <w:adjustRightInd w:val="0"/>
      <w:spacing w:line="320" w:lineRule="exact"/>
      <w:jc w:val="center"/>
    </w:pPr>
    <w:rPr>
      <w:rFonts w:ascii="宋体" w:hAnsi="宋体"/>
      <w:color w:val="000000"/>
      <w:kern w:val="0"/>
      <w:sz w:val="20"/>
      <w:szCs w:val="21"/>
    </w:rPr>
  </w:style>
  <w:style w:type="character" w:customStyle="1" w:styleId="341">
    <w:name w:val="Char Char184"/>
    <w:qFormat/>
    <w:uiPriority w:val="0"/>
    <w:rPr>
      <w:rFonts w:hint="default" w:ascii="Arial" w:hAnsi="Arial" w:eastAsia="宋体" w:cs="Arial"/>
      <w:color w:val="000000"/>
      <w:kern w:val="2"/>
      <w:sz w:val="28"/>
      <w:szCs w:val="36"/>
      <w:lang w:val="en-US" w:eastAsia="zh-CN" w:bidi="ar-SA"/>
    </w:rPr>
  </w:style>
  <w:style w:type="character" w:customStyle="1" w:styleId="342">
    <w:name w:val="样式86 Char"/>
    <w:link w:val="256"/>
    <w:qFormat/>
    <w:locked/>
    <w:uiPriority w:val="0"/>
    <w:rPr>
      <w:rFonts w:ascii="黑体" w:hAnsi="黑体" w:eastAsia="宋体"/>
      <w:b/>
      <w:bCs/>
      <w:color w:val="000000"/>
      <w:kern w:val="44"/>
      <w:sz w:val="44"/>
      <w:szCs w:val="44"/>
      <w:lang w:val="en-US" w:eastAsia="zh-CN" w:bidi="ar-SA"/>
    </w:rPr>
  </w:style>
  <w:style w:type="character" w:customStyle="1" w:styleId="343">
    <w:name w:val="样式 Times New Roman 四号"/>
    <w:qFormat/>
    <w:uiPriority w:val="0"/>
    <w:rPr>
      <w:rFonts w:ascii="Times New Roman" w:hAnsi="Times New Roman" w:eastAsia="宋体"/>
      <w:spacing w:val="0"/>
      <w:kern w:val="0"/>
      <w:sz w:val="24"/>
      <w:lang w:val="en-US" w:eastAsia="zh-CN" w:bidi="ar-SA"/>
    </w:rPr>
  </w:style>
  <w:style w:type="character" w:customStyle="1" w:styleId="344">
    <w:name w:val="Char Char62"/>
    <w:semiHidden/>
    <w:qFormat/>
    <w:uiPriority w:val="0"/>
    <w:rPr>
      <w:rFonts w:hint="eastAsia" w:ascii="宋体" w:hAnsi="宋体" w:eastAsia="宋体"/>
      <w:kern w:val="2"/>
      <w:sz w:val="21"/>
      <w:szCs w:val="24"/>
      <w:lang w:val="en-US" w:eastAsia="zh-CN" w:bidi="ar-SA"/>
    </w:rPr>
  </w:style>
  <w:style w:type="character" w:customStyle="1" w:styleId="345">
    <w:name w:val="章 Char1"/>
    <w:qFormat/>
    <w:uiPriority w:val="0"/>
    <w:rPr>
      <w:rFonts w:ascii="宋体" w:hAnsi="宋体" w:eastAsia="宋体"/>
      <w:b/>
      <w:spacing w:val="-8"/>
      <w:kern w:val="2"/>
      <w:sz w:val="30"/>
      <w:lang w:val="en-US" w:eastAsia="zh-CN" w:bidi="ar-SA"/>
    </w:rPr>
  </w:style>
  <w:style w:type="character" w:customStyle="1" w:styleId="346">
    <w:name w:val="章 Char2"/>
    <w:qFormat/>
    <w:uiPriority w:val="0"/>
    <w:rPr>
      <w:rFonts w:ascii="宋体" w:hAnsi="宋体" w:eastAsia="宋体"/>
      <w:b/>
      <w:spacing w:val="-8"/>
      <w:kern w:val="2"/>
      <w:sz w:val="30"/>
      <w:lang w:val="en-US" w:eastAsia="zh-CN" w:bidi="ar-SA"/>
    </w:rPr>
  </w:style>
  <w:style w:type="character" w:customStyle="1" w:styleId="347">
    <w:name w:val="样式1 Char"/>
    <w:link w:val="348"/>
    <w:qFormat/>
    <w:uiPriority w:val="0"/>
    <w:rPr>
      <w:rFonts w:ascii="Times New Roman"/>
      <w:b/>
      <w:kern w:val="2"/>
      <w:sz w:val="28"/>
      <w:szCs w:val="22"/>
    </w:rPr>
  </w:style>
  <w:style w:type="paragraph" w:customStyle="1" w:styleId="348">
    <w:name w:val="样式1"/>
    <w:basedOn w:val="1"/>
    <w:link w:val="347"/>
    <w:qFormat/>
    <w:uiPriority w:val="0"/>
    <w:pPr>
      <w:adjustRightInd w:val="0"/>
      <w:snapToGrid w:val="0"/>
      <w:spacing w:line="348" w:lineRule="auto"/>
      <w:outlineLvl w:val="0"/>
    </w:pPr>
    <w:rPr>
      <w:b/>
      <w:sz w:val="28"/>
    </w:rPr>
  </w:style>
  <w:style w:type="character" w:customStyle="1" w:styleId="349">
    <w:name w:val="样式 首行缩进:  2 字符 Char"/>
    <w:link w:val="350"/>
    <w:qFormat/>
    <w:uiPriority w:val="0"/>
    <w:rPr>
      <w:rFonts w:ascii="Times New Roman" w:hAnsi="Times New Roman" w:cs="宋体"/>
      <w:kern w:val="2"/>
      <w:sz w:val="28"/>
      <w:szCs w:val="28"/>
    </w:rPr>
  </w:style>
  <w:style w:type="paragraph" w:customStyle="1" w:styleId="350">
    <w:name w:val="样式 首行缩进:  2 字符"/>
    <w:basedOn w:val="1"/>
    <w:link w:val="349"/>
    <w:qFormat/>
    <w:uiPriority w:val="0"/>
    <w:pPr>
      <w:adjustRightInd w:val="0"/>
      <w:snapToGrid w:val="0"/>
      <w:spacing w:line="360" w:lineRule="auto"/>
      <w:ind w:firstLine="560" w:firstLineChars="200"/>
    </w:pPr>
    <w:rPr>
      <w:rFonts w:cs="宋体"/>
      <w:sz w:val="28"/>
      <w:szCs w:val="28"/>
    </w:rPr>
  </w:style>
  <w:style w:type="character" w:customStyle="1" w:styleId="351">
    <w:name w:val="unnamed31"/>
    <w:qFormat/>
    <w:uiPriority w:val="0"/>
    <w:rPr>
      <w:color w:val="000000"/>
      <w:spacing w:val="408"/>
      <w:sz w:val="20"/>
      <w:szCs w:val="20"/>
      <w:u w:val="none"/>
    </w:rPr>
  </w:style>
  <w:style w:type="character" w:customStyle="1" w:styleId="352">
    <w:name w:val="正文文字缩进 31 Char Char"/>
    <w:qFormat/>
    <w:uiPriority w:val="0"/>
    <w:rPr>
      <w:rFonts w:ascii="宋体" w:hAnsi="宋体" w:eastAsia="宋体"/>
      <w:b/>
      <w:color w:val="000000"/>
      <w:sz w:val="28"/>
      <w:lang w:val="en-US" w:eastAsia="zh-CN" w:bidi="ar-SA"/>
    </w:rPr>
  </w:style>
  <w:style w:type="character" w:customStyle="1" w:styleId="353">
    <w:name w:val="标题 9 字符2"/>
    <w:link w:val="11"/>
    <w:qFormat/>
    <w:locked/>
    <w:uiPriority w:val="0"/>
    <w:rPr>
      <w:rFonts w:ascii="Arial" w:hAnsi="Arial" w:eastAsia="黑体"/>
      <w:kern w:val="2"/>
      <w:sz w:val="21"/>
      <w:lang w:val="en-US" w:eastAsia="zh-CN"/>
    </w:rPr>
  </w:style>
  <w:style w:type="character" w:customStyle="1" w:styleId="354">
    <w:name w:val="unnamed1"/>
    <w:qFormat/>
    <w:uiPriority w:val="0"/>
  </w:style>
  <w:style w:type="character" w:customStyle="1" w:styleId="355">
    <w:name w:val="标题 2 字符3"/>
    <w:link w:val="4"/>
    <w:qFormat/>
    <w:uiPriority w:val="9"/>
    <w:rPr>
      <w:b/>
      <w:sz w:val="28"/>
    </w:rPr>
  </w:style>
  <w:style w:type="character" w:customStyle="1" w:styleId="356">
    <w:name w:val="样式 标题 2标题 2 Char Char + 小三 Char Char"/>
    <w:link w:val="357"/>
    <w:qFormat/>
    <w:uiPriority w:val="0"/>
    <w:rPr>
      <w:rFonts w:ascii="Arial" w:hAnsi="Arial"/>
      <w:b/>
      <w:bCs/>
      <w:kern w:val="2"/>
      <w:sz w:val="30"/>
      <w:szCs w:val="32"/>
    </w:rPr>
  </w:style>
  <w:style w:type="paragraph" w:customStyle="1" w:styleId="357">
    <w:name w:val="样式 标题 2标题 2 Char Char + 小三"/>
    <w:basedOn w:val="4"/>
    <w:next w:val="1"/>
    <w:link w:val="356"/>
    <w:qFormat/>
    <w:uiPriority w:val="0"/>
    <w:pPr>
      <w:spacing w:line="288" w:lineRule="auto"/>
    </w:pPr>
    <w:rPr>
      <w:rFonts w:ascii="Arial" w:hAnsi="Arial"/>
      <w:b w:val="0"/>
      <w:sz w:val="30"/>
    </w:rPr>
  </w:style>
  <w:style w:type="character" w:customStyle="1" w:styleId="358">
    <w:name w:val="正文首行缩进2字符 Char"/>
    <w:qFormat/>
    <w:uiPriority w:val="0"/>
    <w:rPr>
      <w:rFonts w:eastAsia="宋体" w:cs="宋体"/>
      <w:sz w:val="28"/>
      <w:lang w:val="en-US" w:eastAsia="zh-CN" w:bidi="ar-SA"/>
    </w:rPr>
  </w:style>
  <w:style w:type="character" w:customStyle="1" w:styleId="359">
    <w:name w:val="Char Char14"/>
    <w:qFormat/>
    <w:locked/>
    <w:uiPriority w:val="0"/>
    <w:rPr>
      <w:kern w:val="2"/>
      <w:sz w:val="24"/>
      <w:szCs w:val="24"/>
      <w:lang w:bidi="ar-SA"/>
    </w:rPr>
  </w:style>
  <w:style w:type="character" w:customStyle="1" w:styleId="360">
    <w:name w:val="表格 Char Char"/>
    <w:link w:val="361"/>
    <w:qFormat/>
    <w:uiPriority w:val="0"/>
    <w:rPr>
      <w:rFonts w:eastAsia="宋体"/>
      <w:lang w:bidi="ar-SA"/>
    </w:rPr>
  </w:style>
  <w:style w:type="paragraph" w:customStyle="1" w:styleId="361">
    <w:name w:val="表格3"/>
    <w:basedOn w:val="1"/>
    <w:link w:val="360"/>
    <w:qFormat/>
    <w:uiPriority w:val="0"/>
    <w:pPr>
      <w:adjustRightInd w:val="0"/>
      <w:snapToGrid w:val="0"/>
      <w:spacing w:before="15" w:beforeLines="5" w:after="15" w:afterLines="5"/>
      <w:jc w:val="center"/>
    </w:pPr>
    <w:rPr>
      <w:kern w:val="0"/>
      <w:sz w:val="20"/>
      <w:szCs w:val="20"/>
    </w:rPr>
  </w:style>
  <w:style w:type="character" w:customStyle="1" w:styleId="362">
    <w:name w:val="宏文本 字符1"/>
    <w:link w:val="2"/>
    <w:semiHidden/>
    <w:qFormat/>
    <w:uiPriority w:val="0"/>
    <w:rPr>
      <w:rFonts w:ascii="Courier New" w:hAnsi="Courier New" w:cs="Courier New"/>
      <w:kern w:val="2"/>
      <w:sz w:val="24"/>
      <w:szCs w:val="24"/>
    </w:rPr>
  </w:style>
  <w:style w:type="character" w:customStyle="1" w:styleId="363">
    <w:name w:val="标题 5 字符2"/>
    <w:link w:val="7"/>
    <w:qFormat/>
    <w:locked/>
    <w:uiPriority w:val="0"/>
    <w:rPr>
      <w:rFonts w:ascii="宋体" w:hAnsi="宋体"/>
      <w:b/>
      <w:kern w:val="2"/>
      <w:sz w:val="28"/>
      <w:lang w:val="en-US" w:eastAsia="zh-CN"/>
    </w:rPr>
  </w:style>
  <w:style w:type="character" w:customStyle="1" w:styleId="364">
    <w:name w:val="t_tag"/>
    <w:qFormat/>
    <w:uiPriority w:val="0"/>
  </w:style>
  <w:style w:type="character" w:customStyle="1" w:styleId="365">
    <w:name w:val="样式 样式 样式 Tahoma 行距: 固定值 29 磅 + + 段前: 0 磅 段后: 0 磅 Char"/>
    <w:link w:val="366"/>
    <w:qFormat/>
    <w:uiPriority w:val="0"/>
    <w:rPr>
      <w:rFonts w:ascii="Times New Roman" w:hAnsi="Times New Roman" w:cs="宋体"/>
      <w:kern w:val="2"/>
      <w:sz w:val="28"/>
    </w:rPr>
  </w:style>
  <w:style w:type="paragraph" w:customStyle="1" w:styleId="366">
    <w:name w:val="样式 样式 样式 Tahoma 行距: 固定值 29 磅 + + 段前: 0 磅 段后: 0 磅"/>
    <w:basedOn w:val="1"/>
    <w:link w:val="365"/>
    <w:qFormat/>
    <w:uiPriority w:val="0"/>
    <w:pPr>
      <w:adjustRightInd w:val="0"/>
      <w:snapToGrid w:val="0"/>
      <w:spacing w:line="500" w:lineRule="atLeast"/>
      <w:ind w:firstLine="561"/>
    </w:pPr>
    <w:rPr>
      <w:rFonts w:cs="宋体"/>
      <w:sz w:val="28"/>
      <w:szCs w:val="20"/>
    </w:rPr>
  </w:style>
  <w:style w:type="character" w:customStyle="1" w:styleId="367">
    <w:name w:val="表格内容 Char"/>
    <w:link w:val="368"/>
    <w:qFormat/>
    <w:uiPriority w:val="0"/>
    <w:rPr>
      <w:rFonts w:ascii="Times New Roman" w:hAnsi="Times New Roman"/>
      <w:snapToGrid/>
      <w:sz w:val="18"/>
      <w:szCs w:val="18"/>
    </w:rPr>
  </w:style>
  <w:style w:type="paragraph" w:customStyle="1" w:styleId="368">
    <w:name w:val="表格内容"/>
    <w:link w:val="367"/>
    <w:qFormat/>
    <w:uiPriority w:val="0"/>
    <w:pPr>
      <w:keepLines/>
      <w:widowControl w:val="0"/>
      <w:adjustRightInd w:val="0"/>
      <w:snapToGrid w:val="0"/>
      <w:jc w:val="center"/>
    </w:pPr>
    <w:rPr>
      <w:rFonts w:ascii="Times New Roman" w:hAnsi="Times New Roman" w:eastAsia="宋体" w:cs="Times New Roman"/>
      <w:snapToGrid w:val="0"/>
      <w:sz w:val="18"/>
      <w:szCs w:val="18"/>
      <w:lang w:val="en-US" w:eastAsia="zh-CN" w:bidi="ar-SA"/>
    </w:rPr>
  </w:style>
  <w:style w:type="character" w:customStyle="1" w:styleId="369">
    <w:name w:val="标题 22"/>
    <w:qFormat/>
    <w:uiPriority w:val="0"/>
    <w:rPr>
      <w:rFonts w:ascii="宋体" w:hAnsi="宋体" w:eastAsia="宋体"/>
      <w:b/>
      <w:spacing w:val="-8"/>
      <w:kern w:val="2"/>
      <w:sz w:val="30"/>
      <w:lang w:val="en-US" w:eastAsia="zh-CN" w:bidi="ar-SA"/>
    </w:rPr>
  </w:style>
  <w:style w:type="character" w:customStyle="1" w:styleId="370">
    <w:name w:val="样式 样式1 Char2 + 宋体 五号 黑色"/>
    <w:qFormat/>
    <w:uiPriority w:val="0"/>
    <w:rPr>
      <w:rFonts w:ascii="宋体" w:hAnsi="宋体" w:eastAsia="宋体"/>
      <w:color w:val="000000"/>
      <w:kern w:val="2"/>
      <w:sz w:val="24"/>
      <w:szCs w:val="24"/>
      <w:lang w:val="en-US" w:eastAsia="zh-CN" w:bidi="ar-SA"/>
    </w:rPr>
  </w:style>
  <w:style w:type="character" w:customStyle="1" w:styleId="371">
    <w:name w:val="正文文本缩进 3 字符1"/>
    <w:link w:val="60"/>
    <w:qFormat/>
    <w:uiPriority w:val="0"/>
    <w:rPr>
      <w:rFonts w:ascii="宋体" w:hAnsi="宋体"/>
      <w:kern w:val="2"/>
      <w:sz w:val="16"/>
      <w:szCs w:val="16"/>
    </w:rPr>
  </w:style>
  <w:style w:type="character" w:customStyle="1" w:styleId="372">
    <w:name w:val="图 Char"/>
    <w:link w:val="373"/>
    <w:qFormat/>
    <w:uiPriority w:val="0"/>
    <w:rPr>
      <w:rFonts w:ascii="宋体" w:hAnsi="宋体"/>
      <w:kern w:val="2"/>
      <w:sz w:val="24"/>
      <w:szCs w:val="24"/>
    </w:rPr>
  </w:style>
  <w:style w:type="paragraph" w:customStyle="1" w:styleId="373">
    <w:name w:val="图"/>
    <w:basedOn w:val="1"/>
    <w:link w:val="372"/>
    <w:qFormat/>
    <w:uiPriority w:val="0"/>
    <w:pPr>
      <w:spacing w:beforeLines="30" w:line="360" w:lineRule="auto"/>
      <w:jc w:val="center"/>
    </w:pPr>
    <w:rPr>
      <w:rFonts w:ascii="宋体" w:hAnsi="宋体"/>
      <w:sz w:val="24"/>
      <w:szCs w:val="24"/>
    </w:rPr>
  </w:style>
  <w:style w:type="character" w:customStyle="1" w:styleId="374">
    <w:name w:val="标题 11"/>
    <w:qFormat/>
    <w:uiPriority w:val="0"/>
    <w:rPr>
      <w:rFonts w:ascii="宋体" w:hAnsi="宋体" w:eastAsia="宋体"/>
      <w:b/>
      <w:bCs/>
      <w:kern w:val="44"/>
      <w:sz w:val="32"/>
      <w:szCs w:val="44"/>
      <w:lang w:val="en-US" w:eastAsia="zh-CN" w:bidi="ar-SA"/>
    </w:rPr>
  </w:style>
  <w:style w:type="character" w:customStyle="1" w:styleId="375">
    <w:name w:val="Char Char12"/>
    <w:qFormat/>
    <w:locked/>
    <w:uiPriority w:val="0"/>
    <w:rPr>
      <w:rFonts w:ascii="宋体" w:hAnsi="宋体" w:eastAsia="宋体"/>
      <w:kern w:val="2"/>
      <w:sz w:val="18"/>
      <w:szCs w:val="18"/>
      <w:lang w:val="en-US" w:eastAsia="zh-CN" w:bidi="ar-SA"/>
    </w:rPr>
  </w:style>
  <w:style w:type="character" w:customStyle="1" w:styleId="376">
    <w:name w:val="样式 标题 2 + 黑体 非加粗1 Char"/>
    <w:link w:val="377"/>
    <w:qFormat/>
    <w:uiPriority w:val="0"/>
    <w:rPr>
      <w:rFonts w:ascii="黑体" w:hAnsi="黑体" w:eastAsia="黑体"/>
      <w:kern w:val="2"/>
      <w:sz w:val="30"/>
      <w:szCs w:val="32"/>
    </w:rPr>
  </w:style>
  <w:style w:type="paragraph" w:customStyle="1" w:styleId="377">
    <w:name w:val="样式 标题 2 + 黑体 非加粗1"/>
    <w:basedOn w:val="4"/>
    <w:link w:val="376"/>
    <w:qFormat/>
    <w:uiPriority w:val="0"/>
    <w:pPr>
      <w:spacing w:before="120" w:after="120" w:line="500" w:lineRule="atLeast"/>
    </w:pPr>
    <w:rPr>
      <w:rFonts w:ascii="黑体" w:hAnsi="黑体" w:eastAsia="黑体"/>
      <w:bCs/>
      <w:sz w:val="30"/>
    </w:rPr>
  </w:style>
  <w:style w:type="character" w:customStyle="1" w:styleId="378">
    <w:name w:val="应用正文 Char Char"/>
    <w:link w:val="379"/>
    <w:qFormat/>
    <w:uiPriority w:val="0"/>
    <w:rPr>
      <w:rFonts w:ascii="仿宋_GB2312" w:eastAsia="仿宋_GB2312" w:cs="宋体"/>
      <w:kern w:val="2"/>
      <w:sz w:val="28"/>
      <w:szCs w:val="24"/>
    </w:rPr>
  </w:style>
  <w:style w:type="paragraph" w:customStyle="1" w:styleId="379">
    <w:name w:val="应用正文 Char"/>
    <w:basedOn w:val="1"/>
    <w:link w:val="378"/>
    <w:qFormat/>
    <w:uiPriority w:val="0"/>
    <w:pPr>
      <w:spacing w:line="360" w:lineRule="auto"/>
      <w:ind w:firstLine="560" w:firstLineChars="200"/>
    </w:pPr>
    <w:rPr>
      <w:rFonts w:ascii="仿宋_GB2312" w:eastAsia="仿宋_GB2312" w:cs="宋体"/>
      <w:sz w:val="28"/>
      <w:szCs w:val="24"/>
    </w:rPr>
  </w:style>
  <w:style w:type="character" w:customStyle="1" w:styleId="380">
    <w:name w:val="文档结构图 字符2"/>
    <w:link w:val="23"/>
    <w:qFormat/>
    <w:uiPriority w:val="0"/>
    <w:rPr>
      <w:rFonts w:ascii="宋体" w:eastAsia="宋体"/>
      <w:sz w:val="18"/>
      <w:szCs w:val="18"/>
    </w:rPr>
  </w:style>
  <w:style w:type="character" w:customStyle="1" w:styleId="381">
    <w:name w:val="a11"/>
    <w:qFormat/>
    <w:uiPriority w:val="0"/>
    <w:rPr>
      <w:spacing w:val="360"/>
      <w:sz w:val="20"/>
      <w:szCs w:val="20"/>
    </w:rPr>
  </w:style>
  <w:style w:type="character" w:customStyle="1" w:styleId="382">
    <w:name w:val="节名 Char Char"/>
    <w:qFormat/>
    <w:uiPriority w:val="0"/>
    <w:rPr>
      <w:rFonts w:ascii="Arial" w:hAnsi="Arial" w:eastAsia="黑体"/>
      <w:bCs/>
      <w:kern w:val="2"/>
      <w:sz w:val="32"/>
      <w:szCs w:val="32"/>
      <w:lang w:val="en-US" w:eastAsia="zh-CN" w:bidi="ar-SA"/>
    </w:rPr>
  </w:style>
  <w:style w:type="character" w:customStyle="1" w:styleId="383">
    <w:name w:val="标题1"/>
    <w:qFormat/>
    <w:uiPriority w:val="0"/>
  </w:style>
  <w:style w:type="character" w:customStyle="1" w:styleId="384">
    <w:name w:val="款名 Char Char"/>
    <w:qFormat/>
    <w:locked/>
    <w:uiPriority w:val="0"/>
    <w:rPr>
      <w:rFonts w:ascii="Arial" w:hAnsi="Arial" w:eastAsia="黑体"/>
      <w:b/>
      <w:bCs/>
      <w:kern w:val="2"/>
      <w:sz w:val="28"/>
      <w:szCs w:val="28"/>
      <w:lang w:val="en-US" w:eastAsia="zh-CN" w:bidi="ar-SA"/>
    </w:rPr>
  </w:style>
  <w:style w:type="character" w:customStyle="1" w:styleId="385">
    <w:name w:val="表格标题 Char"/>
    <w:link w:val="386"/>
    <w:qFormat/>
    <w:uiPriority w:val="0"/>
    <w:rPr>
      <w:rFonts w:ascii="Times New Roman"/>
      <w:b/>
      <w:sz w:val="24"/>
      <w:szCs w:val="24"/>
    </w:rPr>
  </w:style>
  <w:style w:type="paragraph" w:customStyle="1" w:styleId="386">
    <w:name w:val="表格标题"/>
    <w:basedOn w:val="20"/>
    <w:link w:val="385"/>
    <w:qFormat/>
    <w:uiPriority w:val="0"/>
    <w:pPr>
      <w:adjustRightInd w:val="0"/>
      <w:snapToGrid w:val="0"/>
      <w:spacing w:line="348" w:lineRule="auto"/>
      <w:jc w:val="center"/>
    </w:pPr>
    <w:rPr>
      <w:b/>
      <w:kern w:val="0"/>
      <w:sz w:val="24"/>
      <w:szCs w:val="24"/>
    </w:rPr>
  </w:style>
  <w:style w:type="character" w:customStyle="1" w:styleId="387">
    <w:name w:val="表文字 Char"/>
    <w:qFormat/>
    <w:uiPriority w:val="0"/>
    <w:rPr>
      <w:rFonts w:eastAsia="宋体"/>
      <w:sz w:val="21"/>
      <w:szCs w:val="21"/>
      <w:lang w:val="en-US" w:eastAsia="zh-CN" w:bidi="ar-SA"/>
    </w:rPr>
  </w:style>
  <w:style w:type="character" w:customStyle="1" w:styleId="388">
    <w:name w:val="样式 样式 标题 2 + 红色 + 自动设置 Char Char1"/>
    <w:link w:val="389"/>
    <w:qFormat/>
    <w:uiPriority w:val="0"/>
    <w:rPr>
      <w:rFonts w:ascii="Arial" w:hAnsi="Arial" w:eastAsia="新宋体"/>
      <w:b/>
      <w:bCs/>
      <w:color w:val="FF0000"/>
      <w:spacing w:val="-8"/>
      <w:kern w:val="2"/>
      <w:sz w:val="28"/>
      <w:szCs w:val="32"/>
    </w:rPr>
  </w:style>
  <w:style w:type="paragraph" w:customStyle="1" w:styleId="389">
    <w:name w:val="样式 样式 标题 2 + 红色 + 自动设置 Char"/>
    <w:basedOn w:val="390"/>
    <w:link w:val="388"/>
    <w:qFormat/>
    <w:uiPriority w:val="0"/>
    <w:rPr>
      <w:rFonts w:eastAsia="新宋体"/>
      <w:spacing w:val="-8"/>
    </w:rPr>
  </w:style>
  <w:style w:type="paragraph" w:customStyle="1" w:styleId="390">
    <w:name w:val="样式 标题 2 + 红色"/>
    <w:basedOn w:val="4"/>
    <w:qFormat/>
    <w:uiPriority w:val="0"/>
    <w:rPr>
      <w:rFonts w:ascii="Arial" w:hAnsi="Arial" w:eastAsia="黑体"/>
      <w:b w:val="0"/>
      <w:color w:val="FF0000"/>
    </w:rPr>
  </w:style>
  <w:style w:type="character" w:customStyle="1" w:styleId="391">
    <w:name w:val="apple-converted-space"/>
    <w:qFormat/>
    <w:uiPriority w:val="0"/>
  </w:style>
  <w:style w:type="character" w:customStyle="1" w:styleId="392">
    <w:name w:val="正缩1 Char Char Char Char"/>
    <w:link w:val="393"/>
    <w:qFormat/>
    <w:uiPriority w:val="0"/>
    <w:rPr>
      <w:rFonts w:ascii="仿宋_GB2312" w:hAnsi="Arial Narrow" w:eastAsia="仿宋_GB2312"/>
      <w:color w:val="000000"/>
      <w:kern w:val="2"/>
      <w:sz w:val="28"/>
    </w:rPr>
  </w:style>
  <w:style w:type="paragraph" w:customStyle="1" w:styleId="393">
    <w:name w:val="正缩1 Char Char Char"/>
    <w:basedOn w:val="1"/>
    <w:link w:val="392"/>
    <w:qFormat/>
    <w:uiPriority w:val="0"/>
    <w:pPr>
      <w:snapToGrid w:val="0"/>
      <w:spacing w:line="560" w:lineRule="exact"/>
      <w:ind w:firstLine="567"/>
    </w:pPr>
    <w:rPr>
      <w:rFonts w:ascii="仿宋_GB2312" w:hAnsi="Arial Narrow" w:eastAsia="仿宋_GB2312"/>
      <w:color w:val="000000"/>
      <w:sz w:val="28"/>
      <w:szCs w:val="20"/>
    </w:rPr>
  </w:style>
  <w:style w:type="character" w:customStyle="1" w:styleId="394">
    <w:name w:val="标题 21"/>
    <w:qFormat/>
    <w:uiPriority w:val="0"/>
    <w:rPr>
      <w:rFonts w:ascii="宋体" w:hAnsi="宋体" w:eastAsia="宋体"/>
      <w:b/>
      <w:spacing w:val="-8"/>
      <w:kern w:val="2"/>
      <w:sz w:val="30"/>
      <w:lang w:val="en-US" w:eastAsia="zh-CN" w:bidi="ar-SA"/>
    </w:rPr>
  </w:style>
  <w:style w:type="character" w:customStyle="1" w:styleId="395">
    <w:name w:val="!表标题(alt+h) Char"/>
    <w:qFormat/>
    <w:uiPriority w:val="0"/>
    <w:rPr>
      <w:rFonts w:eastAsia="黑体"/>
      <w:sz w:val="24"/>
      <w:lang w:val="en-US" w:eastAsia="zh-CN"/>
    </w:rPr>
  </w:style>
  <w:style w:type="character" w:customStyle="1" w:styleId="396">
    <w:name w:val="!正文(alt+c) Char4"/>
    <w:link w:val="397"/>
    <w:qFormat/>
    <w:uiPriority w:val="0"/>
    <w:rPr>
      <w:rFonts w:ascii="Times New Roman" w:hAnsi="Times New Roman"/>
      <w:sz w:val="24"/>
    </w:rPr>
  </w:style>
  <w:style w:type="paragraph" w:customStyle="1" w:styleId="397">
    <w:name w:val="!正文(alt+c)"/>
    <w:link w:val="396"/>
    <w:qFormat/>
    <w:uiPriority w:val="0"/>
    <w:pPr>
      <w:spacing w:line="420" w:lineRule="exact"/>
      <w:ind w:firstLine="480" w:firstLineChars="200"/>
      <w:jc w:val="both"/>
    </w:pPr>
    <w:rPr>
      <w:rFonts w:ascii="Times New Roman" w:hAnsi="Times New Roman" w:eastAsia="宋体" w:cs="Times New Roman"/>
      <w:sz w:val="24"/>
      <w:lang w:val="en-US" w:eastAsia="zh-CN" w:bidi="ar-SA"/>
    </w:rPr>
  </w:style>
  <w:style w:type="character" w:customStyle="1" w:styleId="398">
    <w:name w:val="注释标题 字符1"/>
    <w:link w:val="16"/>
    <w:qFormat/>
    <w:uiPriority w:val="0"/>
    <w:rPr>
      <w:rFonts w:ascii="Times New Roman" w:hAnsi="Times New Roman" w:eastAsia="楷体_GB2312"/>
      <w:kern w:val="2"/>
      <w:sz w:val="21"/>
    </w:rPr>
  </w:style>
  <w:style w:type="character" w:customStyle="1" w:styleId="399">
    <w:name w:val="!正文(alt+c) Char1"/>
    <w:qFormat/>
    <w:uiPriority w:val="0"/>
    <w:rPr>
      <w:rFonts w:eastAsia="宋体"/>
      <w:sz w:val="24"/>
      <w:lang w:val="en-US" w:eastAsia="zh-CN"/>
    </w:rPr>
  </w:style>
  <w:style w:type="character" w:customStyle="1" w:styleId="400">
    <w:name w:val="gg_body Char"/>
    <w:qFormat/>
    <w:uiPriority w:val="0"/>
    <w:rPr>
      <w:rFonts w:ascii="宋体" w:hAnsi="宋体" w:eastAsia="宋体"/>
      <w:kern w:val="2"/>
      <w:sz w:val="24"/>
      <w:lang w:val="en-US" w:eastAsia="zh-CN"/>
    </w:rPr>
  </w:style>
  <w:style w:type="character" w:customStyle="1" w:styleId="401">
    <w:name w:val="text-s1"/>
    <w:qFormat/>
    <w:uiPriority w:val="0"/>
    <w:rPr>
      <w:sz w:val="20"/>
      <w:szCs w:val="20"/>
    </w:rPr>
  </w:style>
  <w:style w:type="character" w:customStyle="1" w:styleId="402">
    <w:name w:val="样式 !正文(alt+c) + 黑色 Char"/>
    <w:qFormat/>
    <w:uiPriority w:val="0"/>
    <w:rPr>
      <w:rFonts w:eastAsia="宋体"/>
      <w:color w:val="000000"/>
      <w:sz w:val="24"/>
      <w:lang w:val="en-US" w:eastAsia="zh-CN"/>
    </w:rPr>
  </w:style>
  <w:style w:type="character" w:customStyle="1" w:styleId="403">
    <w:name w:val="正文文本缩进 字符3"/>
    <w:link w:val="32"/>
    <w:qFormat/>
    <w:uiPriority w:val="0"/>
    <w:rPr>
      <w:rFonts w:ascii="宋体" w:hAnsi="宋体"/>
      <w:kern w:val="2"/>
      <w:sz w:val="28"/>
      <w:szCs w:val="24"/>
    </w:rPr>
  </w:style>
  <w:style w:type="character" w:customStyle="1" w:styleId="404">
    <w:name w:val="环评正文 Char"/>
    <w:link w:val="405"/>
    <w:qFormat/>
    <w:uiPriority w:val="0"/>
    <w:rPr>
      <w:rFonts w:ascii="Times New Roman" w:hAnsi="Times New Roman" w:eastAsia="仿宋_GB2312"/>
      <w:kern w:val="2"/>
      <w:sz w:val="24"/>
      <w:szCs w:val="24"/>
    </w:rPr>
  </w:style>
  <w:style w:type="paragraph" w:customStyle="1" w:styleId="405">
    <w:name w:val="环评正文"/>
    <w:basedOn w:val="1"/>
    <w:link w:val="404"/>
    <w:qFormat/>
    <w:uiPriority w:val="0"/>
    <w:pPr>
      <w:spacing w:before="60" w:after="60" w:line="400" w:lineRule="exact"/>
      <w:ind w:firstLine="200" w:firstLineChars="200"/>
    </w:pPr>
    <w:rPr>
      <w:rFonts w:eastAsia="仿宋_GB2312"/>
      <w:sz w:val="24"/>
      <w:szCs w:val="24"/>
    </w:rPr>
  </w:style>
  <w:style w:type="character" w:customStyle="1" w:styleId="406">
    <w:name w:val="样式 仿宋_GB2312"/>
    <w:qFormat/>
    <w:uiPriority w:val="0"/>
    <w:rPr>
      <w:rFonts w:ascii="仿宋_GB2312" w:eastAsia="仿宋_GB2312"/>
      <w:kern w:val="0"/>
    </w:rPr>
  </w:style>
  <w:style w:type="character" w:customStyle="1" w:styleId="407">
    <w:name w:val="ss"/>
    <w:qFormat/>
    <w:uiPriority w:val="0"/>
  </w:style>
  <w:style w:type="character" w:customStyle="1" w:styleId="408">
    <w:name w:val="!注_字符(alt+p)"/>
    <w:qFormat/>
    <w:uiPriority w:val="0"/>
    <w:rPr>
      <w:rFonts w:eastAsia="宋体"/>
      <w:sz w:val="21"/>
    </w:rPr>
  </w:style>
  <w:style w:type="character" w:customStyle="1" w:styleId="409">
    <w:name w:val="样式 样式 样式 样式 Tahoma 行距: 固定值 29 磅 + + 段前: 0 磅 段后: 0 磅 + 首行缩进:  0.8... Char"/>
    <w:link w:val="410"/>
    <w:qFormat/>
    <w:uiPriority w:val="0"/>
    <w:rPr>
      <w:rFonts w:ascii="Times New Roman" w:hAnsi="Times New Roman" w:cs="宋体"/>
      <w:kern w:val="2"/>
      <w:sz w:val="28"/>
    </w:rPr>
  </w:style>
  <w:style w:type="paragraph" w:customStyle="1" w:styleId="410">
    <w:name w:val="样式 样式 样式 样式 Tahoma 行距: 固定值 29 磅 + + 段前: 0 磅 段后: 0 磅 + 首行缩进:  0.8..."/>
    <w:basedOn w:val="1"/>
    <w:link w:val="409"/>
    <w:qFormat/>
    <w:uiPriority w:val="0"/>
    <w:pPr>
      <w:adjustRightInd w:val="0"/>
      <w:snapToGrid w:val="0"/>
      <w:spacing w:line="500" w:lineRule="atLeast"/>
      <w:ind w:firstLine="561"/>
    </w:pPr>
    <w:rPr>
      <w:rFonts w:cs="宋体"/>
      <w:sz w:val="28"/>
      <w:szCs w:val="20"/>
    </w:rPr>
  </w:style>
  <w:style w:type="character" w:customStyle="1" w:styleId="411">
    <w:name w:val="表头小四 Char"/>
    <w:link w:val="412"/>
    <w:qFormat/>
    <w:uiPriority w:val="0"/>
    <w:rPr>
      <w:rFonts w:ascii="Times New Roman" w:hAnsi="Times New Roman"/>
      <w:b/>
      <w:kern w:val="2"/>
      <w:sz w:val="24"/>
    </w:rPr>
  </w:style>
  <w:style w:type="paragraph" w:customStyle="1" w:styleId="412">
    <w:name w:val="表头小四"/>
    <w:basedOn w:val="1"/>
    <w:link w:val="411"/>
    <w:qFormat/>
    <w:uiPriority w:val="0"/>
    <w:pPr>
      <w:tabs>
        <w:tab w:val="center" w:pos="4320"/>
        <w:tab w:val="right" w:pos="8460"/>
      </w:tabs>
      <w:adjustRightInd w:val="0"/>
      <w:snapToGrid w:val="0"/>
      <w:spacing w:before="93" w:beforeLines="30" w:line="360" w:lineRule="auto"/>
      <w:jc w:val="left"/>
    </w:pPr>
    <w:rPr>
      <w:b/>
      <w:sz w:val="24"/>
      <w:szCs w:val="20"/>
    </w:rPr>
  </w:style>
  <w:style w:type="character" w:customStyle="1" w:styleId="413">
    <w:name w:val="dectext1"/>
    <w:qFormat/>
    <w:uiPriority w:val="0"/>
    <w:rPr>
      <w:rFonts w:hint="eastAsia" w:ascii="宋体" w:hAnsi="宋体" w:eastAsia="宋体"/>
      <w:color w:val="333333"/>
      <w:sz w:val="28"/>
      <w:szCs w:val="28"/>
      <w:u w:val="none"/>
    </w:rPr>
  </w:style>
  <w:style w:type="character" w:customStyle="1" w:styleId="414">
    <w:name w:val="HP3 Char"/>
    <w:qFormat/>
    <w:locked/>
    <w:uiPriority w:val="0"/>
    <w:rPr>
      <w:rFonts w:ascii="宋体" w:hAnsi="宋体" w:eastAsia="宋体"/>
      <w:b/>
      <w:kern w:val="2"/>
      <w:sz w:val="24"/>
      <w:szCs w:val="24"/>
      <w:lang w:val="en-US" w:eastAsia="zh-CN" w:bidi="ar-SA"/>
    </w:rPr>
  </w:style>
  <w:style w:type="character" w:customStyle="1" w:styleId="415">
    <w:name w:val="批注主题 字符2"/>
    <w:link w:val="73"/>
    <w:semiHidden/>
    <w:qFormat/>
    <w:uiPriority w:val="0"/>
    <w:rPr>
      <w:rFonts w:ascii="Calibri" w:hAnsi="Calibri" w:eastAsia="宋体" w:cs="Times New Roman"/>
      <w:b/>
      <w:bCs/>
    </w:rPr>
  </w:style>
  <w:style w:type="character" w:customStyle="1" w:styleId="416">
    <w:name w:val="普通文字 Char1"/>
    <w:qFormat/>
    <w:uiPriority w:val="0"/>
    <w:rPr>
      <w:rFonts w:ascii="宋体" w:hAnsi="Courier New" w:eastAsia="宋体" w:cs="Courier New"/>
      <w:kern w:val="2"/>
      <w:sz w:val="21"/>
      <w:szCs w:val="21"/>
      <w:lang w:val="en-US" w:eastAsia="zh-CN" w:bidi="ar-SA"/>
    </w:rPr>
  </w:style>
  <w:style w:type="character" w:customStyle="1" w:styleId="417">
    <w:name w:val="表号 Char"/>
    <w:qFormat/>
    <w:uiPriority w:val="0"/>
    <w:rPr>
      <w:rFonts w:eastAsia="宋体"/>
      <w:b/>
      <w:kern w:val="32"/>
      <w:sz w:val="24"/>
      <w:lang w:val="en-US" w:eastAsia="zh-CN" w:bidi="ar-SA"/>
    </w:rPr>
  </w:style>
  <w:style w:type="character" w:customStyle="1" w:styleId="418">
    <w:name w:val="hb3 Char Char"/>
    <w:qFormat/>
    <w:uiPriority w:val="0"/>
    <w:rPr>
      <w:rFonts w:ascii="宋体" w:hAnsi="宋体" w:eastAsia="宋体" w:cs="宋体"/>
      <w:b/>
      <w:bCs/>
      <w:sz w:val="32"/>
      <w:szCs w:val="32"/>
      <w:lang w:val="en-US" w:eastAsia="zh-CN"/>
    </w:rPr>
  </w:style>
  <w:style w:type="character" w:customStyle="1" w:styleId="419">
    <w:name w:val="标题 3 字符3"/>
    <w:link w:val="5"/>
    <w:qFormat/>
    <w:uiPriority w:val="9"/>
    <w:rPr>
      <w:sz w:val="28"/>
      <w:szCs w:val="22"/>
    </w:rPr>
  </w:style>
  <w:style w:type="character" w:customStyle="1" w:styleId="420">
    <w:name w:val="条，(一) Char"/>
    <w:qFormat/>
    <w:locked/>
    <w:uiPriority w:val="0"/>
    <w:rPr>
      <w:rFonts w:ascii="宋体" w:hAnsi="宋体" w:eastAsia="宋体"/>
      <w:bCs/>
      <w:kern w:val="2"/>
      <w:sz w:val="28"/>
      <w:szCs w:val="24"/>
      <w:lang w:val="en-US" w:eastAsia="zh-CN" w:bidi="ar-SA"/>
    </w:rPr>
  </w:style>
  <w:style w:type="character" w:customStyle="1" w:styleId="421">
    <w:name w:val="hb2 Char Char"/>
    <w:qFormat/>
    <w:uiPriority w:val="0"/>
    <w:rPr>
      <w:rFonts w:ascii="宋体" w:hAnsi="宋体" w:eastAsia="宋体" w:cs="Arial"/>
      <w:b/>
      <w:bCs/>
      <w:sz w:val="28"/>
      <w:szCs w:val="28"/>
      <w:lang w:val="en-US" w:eastAsia="zh-CN" w:bidi="ar-SA"/>
    </w:rPr>
  </w:style>
  <w:style w:type="character" w:customStyle="1" w:styleId="422">
    <w:name w:val="普通文字 Char"/>
    <w:qFormat/>
    <w:uiPriority w:val="0"/>
    <w:rPr>
      <w:rFonts w:ascii="宋体" w:hAnsi="Courier New" w:eastAsia="宋体" w:cs="Courier New"/>
      <w:kern w:val="2"/>
      <w:sz w:val="21"/>
      <w:szCs w:val="21"/>
      <w:lang w:val="en-US" w:eastAsia="zh-CN" w:bidi="ar-SA"/>
    </w:rPr>
  </w:style>
  <w:style w:type="character" w:customStyle="1" w:styleId="423">
    <w:name w:val="尾注文本 字符1"/>
    <w:link w:val="47"/>
    <w:semiHidden/>
    <w:qFormat/>
    <w:locked/>
    <w:uiPriority w:val="0"/>
    <w:rPr>
      <w:rFonts w:ascii="Courier New" w:hAnsi="Courier New" w:eastAsia="宋体" w:cs="Courier New"/>
      <w:kern w:val="2"/>
      <w:sz w:val="24"/>
      <w:szCs w:val="24"/>
      <w:lang w:val="en-US" w:eastAsia="zh-CN" w:bidi="ar-SA"/>
    </w:rPr>
  </w:style>
  <w:style w:type="character" w:customStyle="1" w:styleId="424">
    <w:name w:val="正文文本缩进 2 字符1"/>
    <w:link w:val="46"/>
    <w:qFormat/>
    <w:uiPriority w:val="0"/>
    <w:rPr>
      <w:rFonts w:ascii="宋体" w:hAnsi="宋体"/>
      <w:kern w:val="2"/>
      <w:sz w:val="28"/>
      <w:szCs w:val="24"/>
    </w:rPr>
  </w:style>
  <w:style w:type="character" w:customStyle="1" w:styleId="425">
    <w:name w:val="样式 hb3 Char Char + 非加粗"/>
    <w:qFormat/>
    <w:uiPriority w:val="0"/>
    <w:rPr>
      <w:rFonts w:ascii="宋体" w:hAnsi="宋体" w:eastAsia="宋体" w:cs="宋体"/>
      <w:b/>
      <w:bCs/>
      <w:sz w:val="24"/>
      <w:szCs w:val="32"/>
      <w:lang w:val="en-US" w:eastAsia="zh-CN"/>
    </w:rPr>
  </w:style>
  <w:style w:type="character" w:customStyle="1" w:styleId="426">
    <w:name w:val="z-窗体底端 字符1"/>
    <w:link w:val="427"/>
    <w:semiHidden/>
    <w:qFormat/>
    <w:locked/>
    <w:uiPriority w:val="0"/>
    <w:rPr>
      <w:rFonts w:eastAsia="宋体"/>
      <w:kern w:val="2"/>
      <w:sz w:val="18"/>
      <w:szCs w:val="18"/>
      <w:lang w:val="en-US" w:eastAsia="zh-CN" w:bidi="ar-SA"/>
    </w:rPr>
  </w:style>
  <w:style w:type="paragraph" w:customStyle="1" w:styleId="427">
    <w:name w:val="z-窗体底端1"/>
    <w:basedOn w:val="1"/>
    <w:next w:val="1"/>
    <w:link w:val="426"/>
    <w:qFormat/>
    <w:uiPriority w:val="0"/>
    <w:pPr>
      <w:pBdr>
        <w:top w:val="single" w:color="auto" w:sz="6" w:space="1"/>
      </w:pBdr>
      <w:jc w:val="center"/>
    </w:pPr>
    <w:rPr>
      <w:sz w:val="18"/>
      <w:szCs w:val="18"/>
    </w:rPr>
  </w:style>
  <w:style w:type="character" w:customStyle="1" w:styleId="428">
    <w:name w:val="标题 1 字符3"/>
    <w:link w:val="3"/>
    <w:qFormat/>
    <w:uiPriority w:val="9"/>
    <w:rPr>
      <w:b/>
      <w:sz w:val="28"/>
    </w:rPr>
  </w:style>
  <w:style w:type="character" w:customStyle="1" w:styleId="429">
    <w:name w:val="x正文 Char1"/>
    <w:link w:val="430"/>
    <w:qFormat/>
    <w:uiPriority w:val="0"/>
    <w:rPr>
      <w:kern w:val="2"/>
      <w:sz w:val="24"/>
    </w:rPr>
  </w:style>
  <w:style w:type="paragraph" w:customStyle="1" w:styleId="430">
    <w:name w:val="x正文"/>
    <w:basedOn w:val="1"/>
    <w:link w:val="429"/>
    <w:qFormat/>
    <w:uiPriority w:val="0"/>
    <w:pPr>
      <w:spacing w:line="300" w:lineRule="auto"/>
      <w:ind w:firstLine="200" w:firstLineChars="200"/>
    </w:pPr>
    <w:rPr>
      <w:sz w:val="24"/>
      <w:szCs w:val="20"/>
    </w:rPr>
  </w:style>
  <w:style w:type="character" w:customStyle="1" w:styleId="431">
    <w:name w:val="表头 Char2"/>
    <w:qFormat/>
    <w:uiPriority w:val="0"/>
    <w:rPr>
      <w:rFonts w:ascii="宋体" w:hAnsi="宋体" w:eastAsia="宋体" w:cs="宋体"/>
      <w:b/>
      <w:bCs/>
      <w:kern w:val="24"/>
      <w:sz w:val="24"/>
      <w:szCs w:val="28"/>
      <w:lang w:val="en-US" w:eastAsia="zh-CN" w:bidi="ar-SA"/>
    </w:rPr>
  </w:style>
  <w:style w:type="character" w:customStyle="1" w:styleId="432">
    <w:name w:val="hb4 Char"/>
    <w:qFormat/>
    <w:uiPriority w:val="0"/>
    <w:rPr>
      <w:rFonts w:ascii="宋体" w:hAnsi="Arial" w:eastAsia="宋体" w:cs="宋体"/>
      <w:kern w:val="2"/>
      <w:sz w:val="24"/>
      <w:szCs w:val="24"/>
      <w:lang w:val="en-US" w:eastAsia="zh-CN" w:bidi="ar-SA"/>
    </w:rPr>
  </w:style>
  <w:style w:type="character" w:customStyle="1" w:styleId="433">
    <w:name w:val="标题 6 字符2"/>
    <w:link w:val="8"/>
    <w:qFormat/>
    <w:uiPriority w:val="0"/>
    <w:rPr>
      <w:rFonts w:ascii="Arial" w:hAnsi="Arial" w:eastAsia="黑体"/>
      <w:b/>
      <w:kern w:val="2"/>
      <w:sz w:val="28"/>
      <w:lang w:val="en-US" w:eastAsia="zh-CN"/>
    </w:rPr>
  </w:style>
  <w:style w:type="character" w:customStyle="1" w:styleId="434">
    <w:name w:val="表格（10号字） Char Char"/>
    <w:link w:val="435"/>
    <w:qFormat/>
    <w:uiPriority w:val="0"/>
    <w:rPr>
      <w:rFonts w:hAnsi="宋体"/>
      <w:color w:val="000000"/>
    </w:rPr>
  </w:style>
  <w:style w:type="paragraph" w:customStyle="1" w:styleId="435">
    <w:name w:val="表格（10号字）"/>
    <w:basedOn w:val="1"/>
    <w:link w:val="434"/>
    <w:qFormat/>
    <w:uiPriority w:val="0"/>
    <w:pPr>
      <w:adjustRightInd w:val="0"/>
      <w:snapToGrid w:val="0"/>
      <w:spacing w:before="15" w:beforeLines="5" w:after="15" w:afterLines="5"/>
      <w:jc w:val="center"/>
      <w:textAlignment w:val="center"/>
    </w:pPr>
    <w:rPr>
      <w:rFonts w:hAnsi="宋体"/>
      <w:color w:val="000000"/>
      <w:kern w:val="0"/>
      <w:sz w:val="20"/>
      <w:szCs w:val="20"/>
    </w:rPr>
  </w:style>
  <w:style w:type="character" w:customStyle="1" w:styleId="436">
    <w:name w:val="正文文本 字符2"/>
    <w:link w:val="31"/>
    <w:qFormat/>
    <w:uiPriority w:val="0"/>
    <w:rPr>
      <w:rFonts w:ascii="宋体" w:hAnsi="宋体"/>
      <w:sz w:val="24"/>
      <w:szCs w:val="24"/>
      <w:lang w:eastAsia="en-US"/>
    </w:rPr>
  </w:style>
  <w:style w:type="character" w:customStyle="1" w:styleId="437">
    <w:name w:val="页脚 字符2"/>
    <w:link w:val="50"/>
    <w:qFormat/>
    <w:uiPriority w:val="0"/>
    <w:rPr>
      <w:sz w:val="18"/>
      <w:szCs w:val="18"/>
    </w:rPr>
  </w:style>
  <w:style w:type="character" w:customStyle="1" w:styleId="438">
    <w:name w:val="H-4 Char"/>
    <w:qFormat/>
    <w:locked/>
    <w:uiPriority w:val="0"/>
    <w:rPr>
      <w:rFonts w:ascii="宋体" w:hAnsi="宋体" w:eastAsia="宋体"/>
      <w:bCs/>
      <w:kern w:val="2"/>
      <w:sz w:val="28"/>
      <w:szCs w:val="24"/>
      <w:lang w:val="en-US" w:eastAsia="zh-CN" w:bidi="ar-SA"/>
    </w:rPr>
  </w:style>
  <w:style w:type="character" w:customStyle="1" w:styleId="439">
    <w:name w:val="样式3 Char"/>
    <w:link w:val="440"/>
    <w:qFormat/>
    <w:uiPriority w:val="0"/>
    <w:rPr>
      <w:rFonts w:ascii="Times New Roman" w:hAnsi="Times New Roman"/>
      <w:kern w:val="2"/>
      <w:sz w:val="28"/>
      <w:szCs w:val="22"/>
    </w:rPr>
  </w:style>
  <w:style w:type="paragraph" w:customStyle="1" w:styleId="440">
    <w:name w:val="样式3"/>
    <w:basedOn w:val="1"/>
    <w:link w:val="439"/>
    <w:qFormat/>
    <w:uiPriority w:val="0"/>
    <w:pPr>
      <w:adjustRightInd w:val="0"/>
      <w:snapToGrid w:val="0"/>
      <w:spacing w:line="348" w:lineRule="auto"/>
      <w:outlineLvl w:val="2"/>
    </w:pPr>
    <w:rPr>
      <w:sz w:val="28"/>
    </w:rPr>
  </w:style>
  <w:style w:type="character" w:customStyle="1" w:styleId="441">
    <w:name w:val="Char Char6"/>
    <w:qFormat/>
    <w:locked/>
    <w:uiPriority w:val="0"/>
    <w:rPr>
      <w:rFonts w:ascii="宋体" w:eastAsia="宋体"/>
      <w:b/>
      <w:kern w:val="2"/>
      <w:sz w:val="21"/>
      <w:szCs w:val="24"/>
      <w:lang w:val="en-US" w:eastAsia="zh-CN" w:bidi="ar-SA"/>
    </w:rPr>
  </w:style>
  <w:style w:type="character" w:customStyle="1" w:styleId="442">
    <w:name w:val="Q3 Char"/>
    <w:qFormat/>
    <w:uiPriority w:val="0"/>
    <w:rPr>
      <w:rFonts w:eastAsia="黑体"/>
      <w:b/>
      <w:caps/>
      <w:kern w:val="20"/>
      <w:sz w:val="28"/>
      <w:szCs w:val="28"/>
      <w:lang w:val="en-US" w:eastAsia="zh-CN" w:bidi="ar-SA"/>
    </w:rPr>
  </w:style>
  <w:style w:type="character" w:customStyle="1" w:styleId="443">
    <w:name w:val="页眉 字符4"/>
    <w:link w:val="51"/>
    <w:qFormat/>
    <w:uiPriority w:val="99"/>
    <w:rPr>
      <w:sz w:val="18"/>
      <w:szCs w:val="18"/>
    </w:rPr>
  </w:style>
  <w:style w:type="character" w:customStyle="1" w:styleId="444">
    <w:name w:val="批注文字 字符5"/>
    <w:link w:val="25"/>
    <w:qFormat/>
    <w:uiPriority w:val="99"/>
  </w:style>
  <w:style w:type="character" w:customStyle="1" w:styleId="445">
    <w:name w:val="标题 Char1"/>
    <w:qFormat/>
    <w:uiPriority w:val="10"/>
    <w:rPr>
      <w:rFonts w:ascii="Cambria" w:hAnsi="Cambria" w:cs="Times New Roman"/>
      <w:b/>
      <w:bCs/>
      <w:kern w:val="2"/>
      <w:sz w:val="32"/>
      <w:szCs w:val="32"/>
    </w:rPr>
  </w:style>
  <w:style w:type="character" w:customStyle="1" w:styleId="446">
    <w:name w:val="日期 字符2"/>
    <w:link w:val="45"/>
    <w:qFormat/>
    <w:uiPriority w:val="0"/>
    <w:rPr>
      <w:kern w:val="2"/>
      <w:sz w:val="21"/>
      <w:szCs w:val="22"/>
    </w:rPr>
  </w:style>
  <w:style w:type="character" w:customStyle="1" w:styleId="447">
    <w:name w:val="Char Char10"/>
    <w:qFormat/>
    <w:locked/>
    <w:uiPriority w:val="0"/>
    <w:rPr>
      <w:rFonts w:eastAsia="宋体"/>
      <w:spacing w:val="-20"/>
      <w:kern w:val="2"/>
      <w:sz w:val="28"/>
      <w:szCs w:val="24"/>
      <w:lang w:val="en-US" w:eastAsia="zh-CN" w:bidi="ar-SA"/>
    </w:rPr>
  </w:style>
  <w:style w:type="character" w:customStyle="1" w:styleId="448">
    <w:name w:val="标题 9 Char"/>
    <w:qFormat/>
    <w:uiPriority w:val="0"/>
    <w:rPr>
      <w:rFonts w:ascii="Cambria" w:hAnsi="Cambria" w:eastAsia="宋体" w:cs="Times New Roman"/>
      <w:kern w:val="2"/>
      <w:sz w:val="21"/>
      <w:szCs w:val="21"/>
    </w:rPr>
  </w:style>
  <w:style w:type="character" w:customStyle="1" w:styleId="449">
    <w:name w:val="z-窗体顶端 字符1"/>
    <w:link w:val="450"/>
    <w:qFormat/>
    <w:locked/>
    <w:uiPriority w:val="0"/>
    <w:rPr>
      <w:rFonts w:eastAsia="楷体_GB2312"/>
      <w:kern w:val="2"/>
      <w:sz w:val="21"/>
      <w:lang w:val="en-US" w:eastAsia="zh-CN" w:bidi="ar-SA"/>
    </w:rPr>
  </w:style>
  <w:style w:type="paragraph" w:customStyle="1" w:styleId="450">
    <w:name w:val="z-窗体顶端1"/>
    <w:basedOn w:val="1"/>
    <w:next w:val="1"/>
    <w:link w:val="449"/>
    <w:qFormat/>
    <w:uiPriority w:val="0"/>
    <w:pPr>
      <w:pBdr>
        <w:bottom w:val="single" w:color="auto" w:sz="6" w:space="1"/>
      </w:pBdr>
      <w:jc w:val="center"/>
    </w:pPr>
    <w:rPr>
      <w:rFonts w:eastAsia="楷体_GB2312"/>
      <w:szCs w:val="20"/>
    </w:rPr>
  </w:style>
  <w:style w:type="character" w:customStyle="1" w:styleId="451">
    <w:name w:val="!正文(alt+c) Char2"/>
    <w:qFormat/>
    <w:uiPriority w:val="0"/>
    <w:rPr>
      <w:rFonts w:eastAsia="宋体"/>
      <w:sz w:val="24"/>
      <w:szCs w:val="24"/>
      <w:lang w:val="en-US" w:eastAsia="zh-CN" w:bidi="ar-SA"/>
    </w:rPr>
  </w:style>
  <w:style w:type="character" w:customStyle="1" w:styleId="452">
    <w:name w:val="标题 字符1"/>
    <w:link w:val="72"/>
    <w:qFormat/>
    <w:uiPriority w:val="0"/>
    <w:rPr>
      <w:kern w:val="2"/>
      <w:sz w:val="18"/>
      <w:szCs w:val="18"/>
    </w:rPr>
  </w:style>
  <w:style w:type="character" w:customStyle="1" w:styleId="453">
    <w:name w:val="样式1 Char2"/>
    <w:qFormat/>
    <w:uiPriority w:val="0"/>
    <w:rPr>
      <w:rFonts w:ascii="Times New Roman" w:hAnsi="Times New Roman" w:eastAsia="宋体" w:cs="Times New Roman"/>
      <w:sz w:val="24"/>
      <w:szCs w:val="24"/>
    </w:rPr>
  </w:style>
  <w:style w:type="character" w:customStyle="1" w:styleId="454">
    <w:name w:val="表格五号字 + 加粗 Char Char"/>
    <w:link w:val="455"/>
    <w:qFormat/>
    <w:locked/>
    <w:uiPriority w:val="0"/>
    <w:rPr>
      <w:rFonts w:ascii="Times New Roman" w:hAnsi="Times New Roman"/>
      <w:b/>
      <w:bCs/>
      <w:sz w:val="21"/>
    </w:rPr>
  </w:style>
  <w:style w:type="paragraph" w:customStyle="1" w:styleId="455">
    <w:name w:val="表格五号字 + 加粗"/>
    <w:basedOn w:val="456"/>
    <w:link w:val="454"/>
    <w:qFormat/>
    <w:uiPriority w:val="0"/>
    <w:pPr>
      <w:spacing w:before="93" w:after="93"/>
    </w:pPr>
    <w:rPr>
      <w:b/>
      <w:bCs/>
    </w:rPr>
  </w:style>
  <w:style w:type="paragraph" w:customStyle="1" w:styleId="456">
    <w:name w:val="表格五号字"/>
    <w:basedOn w:val="1"/>
    <w:link w:val="554"/>
    <w:qFormat/>
    <w:uiPriority w:val="0"/>
    <w:pPr>
      <w:adjustRightInd w:val="0"/>
      <w:snapToGrid w:val="0"/>
      <w:spacing w:beforeLines="20" w:afterLines="20"/>
      <w:jc w:val="center"/>
    </w:pPr>
    <w:rPr>
      <w:kern w:val="0"/>
      <w:szCs w:val="20"/>
    </w:rPr>
  </w:style>
  <w:style w:type="character" w:customStyle="1" w:styleId="457">
    <w:name w:val="纯文本 Char2"/>
    <w:qFormat/>
    <w:uiPriority w:val="0"/>
    <w:rPr>
      <w:rFonts w:ascii="宋体" w:hAnsi="Courier New" w:eastAsia="宋体"/>
      <w:kern w:val="2"/>
      <w:sz w:val="24"/>
      <w:lang w:val="en-US" w:eastAsia="zh-CN" w:bidi="ar-SA"/>
    </w:rPr>
  </w:style>
  <w:style w:type="character" w:customStyle="1" w:styleId="458">
    <w:name w:val="ca-41"/>
    <w:qFormat/>
    <w:uiPriority w:val="0"/>
    <w:rPr>
      <w:rFonts w:hint="eastAsia" w:ascii="宋体" w:hAnsi="宋体" w:eastAsia="宋体"/>
      <w:color w:val="FF0000"/>
      <w:sz w:val="24"/>
      <w:szCs w:val="24"/>
    </w:rPr>
  </w:style>
  <w:style w:type="character" w:customStyle="1" w:styleId="459">
    <w:name w:val="!正文 Char"/>
    <w:link w:val="317"/>
    <w:qFormat/>
    <w:uiPriority w:val="0"/>
    <w:rPr>
      <w:rFonts w:ascii="Times New Roman" w:hAnsi="Times New Roman"/>
      <w:color w:val="000000"/>
      <w:sz w:val="24"/>
      <w:szCs w:val="24"/>
      <w:u w:color="000000"/>
    </w:rPr>
  </w:style>
  <w:style w:type="character" w:customStyle="1" w:styleId="460">
    <w:name w:val="样式 标题 1 + 红色 Char Char Char"/>
    <w:link w:val="461"/>
    <w:qFormat/>
    <w:uiPriority w:val="0"/>
    <w:rPr>
      <w:rFonts w:ascii="Times New Roman" w:hAnsi="Times New Roman" w:eastAsia="黑体"/>
      <w:bCs/>
      <w:color w:val="FF0000"/>
      <w:kern w:val="44"/>
      <w:sz w:val="32"/>
      <w:szCs w:val="44"/>
    </w:rPr>
  </w:style>
  <w:style w:type="paragraph" w:customStyle="1" w:styleId="461">
    <w:name w:val="样式 标题 1 + 红色 Char Char"/>
    <w:basedOn w:val="3"/>
    <w:link w:val="460"/>
    <w:qFormat/>
    <w:uiPriority w:val="0"/>
    <w:rPr>
      <w:rFonts w:eastAsia="黑体"/>
      <w:b w:val="0"/>
      <w:color w:val="FF0000"/>
      <w:sz w:val="32"/>
    </w:rPr>
  </w:style>
  <w:style w:type="character" w:customStyle="1" w:styleId="462">
    <w:name w:val="!正文(alt+c) Char3"/>
    <w:qFormat/>
    <w:uiPriority w:val="0"/>
    <w:rPr>
      <w:rFonts w:eastAsia="宋体"/>
      <w:sz w:val="24"/>
      <w:lang w:val="en-US" w:eastAsia="zh-CN"/>
    </w:rPr>
  </w:style>
  <w:style w:type="character" w:customStyle="1" w:styleId="463">
    <w:name w:val="正文文本 3 字符1"/>
    <w:link w:val="28"/>
    <w:qFormat/>
    <w:uiPriority w:val="0"/>
    <w:rPr>
      <w:rFonts w:ascii="Times New Roman" w:hAnsi="Times New Roman"/>
      <w:kern w:val="2"/>
      <w:sz w:val="16"/>
      <w:szCs w:val="16"/>
    </w:rPr>
  </w:style>
  <w:style w:type="character" w:customStyle="1" w:styleId="464">
    <w:name w:val="g Char Char"/>
    <w:qFormat/>
    <w:uiPriority w:val="0"/>
    <w:rPr>
      <w:rFonts w:eastAsia="宋体"/>
      <w:kern w:val="2"/>
      <w:sz w:val="18"/>
      <w:szCs w:val="18"/>
      <w:lang w:val="en-US" w:eastAsia="zh-CN" w:bidi="ar-SA"/>
    </w:rPr>
  </w:style>
  <w:style w:type="character" w:customStyle="1" w:styleId="465">
    <w:name w:val="特点标题 Char"/>
    <w:qFormat/>
    <w:uiPriority w:val="0"/>
    <w:rPr>
      <w:rFonts w:ascii="宋体" w:hAnsi="宋体" w:eastAsia="宋体"/>
      <w:kern w:val="2"/>
      <w:sz w:val="28"/>
      <w:szCs w:val="24"/>
      <w:lang w:val="en-US" w:eastAsia="zh-CN" w:bidi="ar-SA"/>
    </w:rPr>
  </w:style>
  <w:style w:type="character" w:customStyle="1" w:styleId="466">
    <w:name w:val="123YJ Char1"/>
    <w:qFormat/>
    <w:locked/>
    <w:uiPriority w:val="0"/>
    <w:rPr>
      <w:rFonts w:ascii="仿宋_GB2312" w:eastAsia="仿宋_GB2312"/>
      <w:kern w:val="2"/>
      <w:sz w:val="18"/>
      <w:szCs w:val="18"/>
      <w:lang w:bidi="ar-SA"/>
    </w:rPr>
  </w:style>
  <w:style w:type="character" w:customStyle="1" w:styleId="467">
    <w:name w:val="表头 Char1"/>
    <w:qFormat/>
    <w:uiPriority w:val="0"/>
    <w:rPr>
      <w:rFonts w:eastAsia="宋体"/>
      <w:b/>
      <w:kern w:val="32"/>
      <w:sz w:val="24"/>
      <w:lang w:val="en-US" w:eastAsia="zh-CN" w:bidi="ar-SA"/>
    </w:rPr>
  </w:style>
  <w:style w:type="character" w:customStyle="1" w:styleId="468">
    <w:name w:val="样式4 Char"/>
    <w:link w:val="469"/>
    <w:qFormat/>
    <w:uiPriority w:val="0"/>
    <w:rPr>
      <w:rFonts w:ascii="Times New Roman" w:hAnsi="Times New Roman"/>
      <w:kern w:val="2"/>
      <w:sz w:val="28"/>
      <w:szCs w:val="22"/>
    </w:rPr>
  </w:style>
  <w:style w:type="paragraph" w:customStyle="1" w:styleId="469">
    <w:name w:val="样式4"/>
    <w:basedOn w:val="76"/>
    <w:link w:val="468"/>
    <w:qFormat/>
    <w:uiPriority w:val="0"/>
    <w:pPr>
      <w:ind w:firstLine="0" w:firstLineChars="0"/>
      <w:outlineLvl w:val="3"/>
    </w:pPr>
  </w:style>
  <w:style w:type="character" w:customStyle="1" w:styleId="470">
    <w:name w:val="纯文本 字符2"/>
    <w:link w:val="41"/>
    <w:qFormat/>
    <w:uiPriority w:val="99"/>
    <w:rPr>
      <w:rFonts w:ascii="宋体" w:hAnsi="Courier New" w:cs="Courier New"/>
      <w:kern w:val="2"/>
      <w:sz w:val="21"/>
      <w:szCs w:val="21"/>
    </w:rPr>
  </w:style>
  <w:style w:type="character" w:customStyle="1" w:styleId="471">
    <w:name w:val="样式 图号 + 宋体 Char"/>
    <w:qFormat/>
    <w:uiPriority w:val="0"/>
    <w:rPr>
      <w:rFonts w:ascii="宋体" w:hAnsi="宋体" w:eastAsia="宋体"/>
      <w:b/>
      <w:bCs/>
      <w:kern w:val="32"/>
      <w:sz w:val="24"/>
      <w:szCs w:val="24"/>
      <w:lang w:val="en-US" w:eastAsia="zh-CN" w:bidi="ar-SA"/>
    </w:rPr>
  </w:style>
  <w:style w:type="character" w:customStyle="1" w:styleId="472">
    <w:name w:val="标题 4 字符2"/>
    <w:link w:val="6"/>
    <w:qFormat/>
    <w:uiPriority w:val="9"/>
    <w:rPr>
      <w:sz w:val="28"/>
    </w:rPr>
  </w:style>
  <w:style w:type="character" w:customStyle="1" w:styleId="473">
    <w:name w:val="Char Char11"/>
    <w:qFormat/>
    <w:locked/>
    <w:uiPriority w:val="0"/>
    <w:rPr>
      <w:rFonts w:eastAsia="宋体"/>
      <w:kern w:val="2"/>
      <w:sz w:val="18"/>
      <w:szCs w:val="18"/>
      <w:lang w:val="en-US" w:eastAsia="zh-CN" w:bidi="ar-SA"/>
    </w:rPr>
  </w:style>
  <w:style w:type="character" w:customStyle="1" w:styleId="474">
    <w:name w:val="标题 5 Char"/>
    <w:semiHidden/>
    <w:qFormat/>
    <w:uiPriority w:val="9"/>
    <w:rPr>
      <w:b/>
      <w:bCs/>
      <w:kern w:val="2"/>
      <w:sz w:val="28"/>
      <w:szCs w:val="28"/>
    </w:rPr>
  </w:style>
  <w:style w:type="character" w:customStyle="1" w:styleId="475">
    <w:name w:val="页脚 Char Char Char"/>
    <w:qFormat/>
    <w:uiPriority w:val="0"/>
    <w:rPr>
      <w:rFonts w:eastAsia="宋体"/>
      <w:kern w:val="2"/>
      <w:sz w:val="18"/>
      <w:szCs w:val="18"/>
      <w:lang w:val="en-US" w:eastAsia="zh-CN" w:bidi="ar-SA"/>
    </w:rPr>
  </w:style>
  <w:style w:type="character" w:customStyle="1" w:styleId="476">
    <w:name w:val="Char Char111"/>
    <w:qFormat/>
    <w:locked/>
    <w:uiPriority w:val="0"/>
    <w:rPr>
      <w:rFonts w:eastAsia="宋体"/>
      <w:kern w:val="2"/>
      <w:sz w:val="18"/>
      <w:szCs w:val="18"/>
      <w:lang w:val="en-US" w:eastAsia="zh-CN" w:bidi="ar-SA"/>
    </w:rPr>
  </w:style>
  <w:style w:type="character" w:customStyle="1" w:styleId="477">
    <w:name w:val="样式5 Char"/>
    <w:link w:val="478"/>
    <w:qFormat/>
    <w:uiPriority w:val="0"/>
    <w:rPr>
      <w:rFonts w:ascii="Times New Roman" w:hAnsi="Times New Roman"/>
      <w:kern w:val="2"/>
      <w:sz w:val="28"/>
      <w:szCs w:val="22"/>
    </w:rPr>
  </w:style>
  <w:style w:type="paragraph" w:customStyle="1" w:styleId="478">
    <w:name w:val="样式5"/>
    <w:basedOn w:val="76"/>
    <w:link w:val="477"/>
    <w:qFormat/>
    <w:uiPriority w:val="0"/>
    <w:pPr>
      <w:outlineLvl w:val="4"/>
    </w:pPr>
  </w:style>
  <w:style w:type="character" w:customStyle="1" w:styleId="479">
    <w:name w:val="defaultfont"/>
    <w:qFormat/>
    <w:uiPriority w:val="0"/>
  </w:style>
  <w:style w:type="character" w:customStyle="1" w:styleId="480">
    <w:name w:val="Char Char141"/>
    <w:semiHidden/>
    <w:qFormat/>
    <w:uiPriority w:val="0"/>
    <w:rPr>
      <w:rFonts w:eastAsia="宋体"/>
      <w:kern w:val="2"/>
      <w:sz w:val="21"/>
      <w:szCs w:val="24"/>
      <w:lang w:val="en-US" w:eastAsia="zh-CN" w:bidi="ar-SA"/>
    </w:rPr>
  </w:style>
  <w:style w:type="character" w:customStyle="1" w:styleId="481">
    <w:name w:val="正文文本缩进 3 Char1"/>
    <w:semiHidden/>
    <w:qFormat/>
    <w:uiPriority w:val="0"/>
    <w:rPr>
      <w:rFonts w:ascii="Times New Roman" w:hAnsi="Times New Roman" w:eastAsia="宋体" w:cs="Times New Roman"/>
      <w:sz w:val="16"/>
      <w:szCs w:val="16"/>
    </w:rPr>
  </w:style>
  <w:style w:type="character" w:customStyle="1" w:styleId="482">
    <w:name w:val="Q3 Char Char"/>
    <w:link w:val="483"/>
    <w:qFormat/>
    <w:uiPriority w:val="0"/>
    <w:rPr>
      <w:rFonts w:eastAsia="黑体"/>
      <w:b/>
      <w:caps/>
      <w:kern w:val="20"/>
      <w:sz w:val="28"/>
      <w:szCs w:val="28"/>
    </w:rPr>
  </w:style>
  <w:style w:type="paragraph" w:customStyle="1" w:styleId="483">
    <w:name w:val="Q3"/>
    <w:basedOn w:val="5"/>
    <w:link w:val="482"/>
    <w:qFormat/>
    <w:uiPriority w:val="0"/>
    <w:pPr>
      <w:widowControl/>
      <w:spacing w:before="156" w:beforeLines="50" w:line="360" w:lineRule="auto"/>
      <w:jc w:val="left"/>
    </w:pPr>
    <w:rPr>
      <w:rFonts w:eastAsia="黑体"/>
      <w:b/>
      <w:bCs/>
      <w:caps/>
      <w:kern w:val="20"/>
      <w:szCs w:val="28"/>
    </w:rPr>
  </w:style>
  <w:style w:type="character" w:customStyle="1" w:styleId="484">
    <w:name w:val="正文文字1 Char"/>
    <w:qFormat/>
    <w:uiPriority w:val="0"/>
    <w:rPr>
      <w:rFonts w:eastAsia="宋体"/>
      <w:kern w:val="2"/>
      <w:sz w:val="24"/>
      <w:lang w:val="en-US" w:eastAsia="zh-CN" w:bidi="ar-SA"/>
    </w:rPr>
  </w:style>
  <w:style w:type="character" w:customStyle="1" w:styleId="485">
    <w:name w:val="Char Char9"/>
    <w:qFormat/>
    <w:locked/>
    <w:uiPriority w:val="0"/>
    <w:rPr>
      <w:rFonts w:ascii="宋体" w:hAnsi="宋体" w:eastAsia="宋体"/>
      <w:kern w:val="2"/>
      <w:sz w:val="28"/>
      <w:lang w:val="en-US" w:eastAsia="zh-CN" w:bidi="ar-SA"/>
    </w:rPr>
  </w:style>
  <w:style w:type="character" w:customStyle="1" w:styleId="486">
    <w:name w:val="图表头 Char1"/>
    <w:qFormat/>
    <w:uiPriority w:val="0"/>
    <w:rPr>
      <w:rFonts w:ascii="宋体" w:hAnsi="宋体" w:eastAsia="宋体"/>
      <w:b/>
      <w:kern w:val="2"/>
      <w:sz w:val="24"/>
      <w:lang w:val="en-US" w:eastAsia="zh-CN"/>
    </w:rPr>
  </w:style>
  <w:style w:type="character" w:customStyle="1" w:styleId="487">
    <w:name w:val="正文首行缩进 2 字符"/>
    <w:link w:val="75"/>
    <w:qFormat/>
    <w:uiPriority w:val="0"/>
    <w:rPr>
      <w:rFonts w:ascii="Times New Roman" w:hAnsi="Times New Roman"/>
      <w:kern w:val="2"/>
      <w:sz w:val="28"/>
      <w:szCs w:val="22"/>
    </w:rPr>
  </w:style>
  <w:style w:type="character" w:customStyle="1" w:styleId="488">
    <w:name w:val="正文(首行缩进) Char"/>
    <w:link w:val="489"/>
    <w:qFormat/>
    <w:uiPriority w:val="0"/>
    <w:rPr>
      <w:rFonts w:ascii="Times New Roman" w:hAnsi="Times New Roman"/>
      <w:snapToGrid/>
      <w:spacing w:val="-4"/>
      <w:sz w:val="24"/>
      <w:szCs w:val="24"/>
    </w:rPr>
  </w:style>
  <w:style w:type="paragraph" w:customStyle="1" w:styleId="489">
    <w:name w:val="正文(首行缩进)"/>
    <w:basedOn w:val="1"/>
    <w:link w:val="488"/>
    <w:qFormat/>
    <w:uiPriority w:val="0"/>
    <w:pPr>
      <w:tabs>
        <w:tab w:val="left" w:pos="5526"/>
      </w:tabs>
      <w:spacing w:line="360" w:lineRule="auto"/>
      <w:ind w:firstLine="455" w:firstLineChars="196"/>
    </w:pPr>
    <w:rPr>
      <w:snapToGrid w:val="0"/>
      <w:spacing w:val="-4"/>
      <w:kern w:val="0"/>
      <w:sz w:val="24"/>
      <w:szCs w:val="24"/>
    </w:rPr>
  </w:style>
  <w:style w:type="character" w:customStyle="1" w:styleId="490">
    <w:name w:val="表号 Char2"/>
    <w:qFormat/>
    <w:uiPriority w:val="0"/>
    <w:rPr>
      <w:rFonts w:ascii="Arial Narrow" w:hAnsi="Arial Narrow" w:eastAsia="汉鼎简书宋"/>
      <w:kern w:val="2"/>
      <w:sz w:val="24"/>
      <w:szCs w:val="24"/>
      <w:lang w:val="en-US" w:eastAsia="zh-CN" w:bidi="ar-SA"/>
    </w:rPr>
  </w:style>
  <w:style w:type="character" w:customStyle="1" w:styleId="491">
    <w:name w:val="批注主题 Char1"/>
    <w:semiHidden/>
    <w:qFormat/>
    <w:uiPriority w:val="99"/>
    <w:rPr>
      <w:rFonts w:ascii="Calibri" w:hAnsi="Calibri" w:eastAsia="宋体" w:cs="Times New Roman"/>
      <w:b/>
      <w:bCs/>
    </w:rPr>
  </w:style>
  <w:style w:type="character" w:customStyle="1" w:styleId="492">
    <w:name w:val="123YJ Char Char"/>
    <w:qFormat/>
    <w:locked/>
    <w:uiPriority w:val="0"/>
    <w:rPr>
      <w:rFonts w:eastAsia="宋体"/>
      <w:kern w:val="2"/>
      <w:sz w:val="18"/>
      <w:szCs w:val="18"/>
      <w:lang w:val="en-US" w:eastAsia="zh-CN" w:bidi="ar-SA"/>
    </w:rPr>
  </w:style>
  <w:style w:type="character" w:customStyle="1" w:styleId="493">
    <w:name w:val="标题 23"/>
    <w:qFormat/>
    <w:uiPriority w:val="0"/>
    <w:rPr>
      <w:rFonts w:ascii="宋体" w:hAnsi="宋体" w:eastAsia="宋体"/>
      <w:b/>
      <w:spacing w:val="-8"/>
      <w:kern w:val="2"/>
      <w:sz w:val="30"/>
      <w:lang w:val="en-US" w:eastAsia="zh-CN" w:bidi="ar-SA"/>
    </w:rPr>
  </w:style>
  <w:style w:type="character" w:customStyle="1" w:styleId="494">
    <w:name w:val="正文文本缩进 Char"/>
    <w:qFormat/>
    <w:uiPriority w:val="0"/>
    <w:rPr>
      <w:kern w:val="2"/>
      <w:sz w:val="21"/>
      <w:szCs w:val="22"/>
    </w:rPr>
  </w:style>
  <w:style w:type="character" w:customStyle="1" w:styleId="495">
    <w:name w:val="表文字 Char Char"/>
    <w:qFormat/>
    <w:uiPriority w:val="0"/>
    <w:rPr>
      <w:rFonts w:eastAsia="宋体"/>
      <w:sz w:val="21"/>
      <w:szCs w:val="21"/>
      <w:lang w:val="en-US" w:eastAsia="zh-CN" w:bidi="ar-SA"/>
    </w:rPr>
  </w:style>
  <w:style w:type="character" w:customStyle="1" w:styleId="496">
    <w:name w:val="表格标题1 Char Char"/>
    <w:link w:val="497"/>
    <w:qFormat/>
    <w:locked/>
    <w:uiPriority w:val="0"/>
    <w:rPr>
      <w:rFonts w:ascii="黑体" w:hAnsi="黑体" w:eastAsia="黑体"/>
      <w:b/>
      <w:sz w:val="24"/>
      <w:szCs w:val="24"/>
      <w:lang w:val="en-US" w:eastAsia="zh-CN" w:bidi="ar-SA"/>
    </w:rPr>
  </w:style>
  <w:style w:type="paragraph" w:customStyle="1" w:styleId="497">
    <w:name w:val="表格标题1 Char"/>
    <w:basedOn w:val="1"/>
    <w:next w:val="1"/>
    <w:link w:val="496"/>
    <w:qFormat/>
    <w:uiPriority w:val="0"/>
    <w:pPr>
      <w:spacing w:line="360" w:lineRule="auto"/>
      <w:jc w:val="center"/>
    </w:pPr>
    <w:rPr>
      <w:rFonts w:ascii="黑体" w:hAnsi="黑体" w:eastAsia="黑体"/>
      <w:b/>
      <w:kern w:val="0"/>
      <w:sz w:val="24"/>
      <w:szCs w:val="24"/>
    </w:rPr>
  </w:style>
  <w:style w:type="character" w:customStyle="1" w:styleId="498">
    <w:name w:val="图名 Char"/>
    <w:link w:val="499"/>
    <w:qFormat/>
    <w:uiPriority w:val="0"/>
    <w:rPr>
      <w:sz w:val="24"/>
      <w:szCs w:val="22"/>
    </w:rPr>
  </w:style>
  <w:style w:type="paragraph" w:customStyle="1" w:styleId="499">
    <w:name w:val="图名"/>
    <w:basedOn w:val="1"/>
    <w:next w:val="1"/>
    <w:link w:val="498"/>
    <w:qFormat/>
    <w:uiPriority w:val="0"/>
    <w:pPr>
      <w:jc w:val="center"/>
    </w:pPr>
    <w:rPr>
      <w:kern w:val="0"/>
      <w:sz w:val="24"/>
    </w:rPr>
  </w:style>
  <w:style w:type="character" w:customStyle="1" w:styleId="500">
    <w:name w:val="cnd1"/>
    <w:qFormat/>
    <w:uiPriority w:val="0"/>
    <w:rPr>
      <w:color w:val="000000"/>
      <w:spacing w:val="260"/>
      <w:sz w:val="18"/>
      <w:szCs w:val="18"/>
    </w:rPr>
  </w:style>
  <w:style w:type="character" w:customStyle="1" w:styleId="501">
    <w:name w:val="样式64 Char"/>
    <w:link w:val="502"/>
    <w:qFormat/>
    <w:locked/>
    <w:uiPriority w:val="0"/>
    <w:rPr>
      <w:rFonts w:ascii="黑体" w:hAnsi="黑体" w:eastAsia="黑体"/>
      <w:b/>
      <w:i/>
      <w:color w:val="000000"/>
      <w:sz w:val="24"/>
      <w:szCs w:val="30"/>
      <w:lang w:val="en-US" w:eastAsia="zh-CN" w:bidi="ar-SA"/>
    </w:rPr>
  </w:style>
  <w:style w:type="paragraph" w:customStyle="1" w:styleId="502">
    <w:name w:val="样式64"/>
    <w:basedOn w:val="503"/>
    <w:link w:val="501"/>
    <w:qFormat/>
    <w:uiPriority w:val="0"/>
    <w:pPr>
      <w:spacing w:line="240" w:lineRule="auto"/>
    </w:pPr>
    <w:rPr>
      <w:rFonts w:ascii="黑体" w:hAnsi="黑体" w:eastAsia="黑体"/>
      <w:i/>
      <w:sz w:val="24"/>
    </w:rPr>
  </w:style>
  <w:style w:type="paragraph" w:customStyle="1" w:styleId="503">
    <w:name w:val="样式41"/>
    <w:basedOn w:val="504"/>
    <w:link w:val="623"/>
    <w:qFormat/>
    <w:uiPriority w:val="0"/>
    <w:rPr>
      <w:sz w:val="28"/>
    </w:rPr>
  </w:style>
  <w:style w:type="paragraph" w:customStyle="1" w:styleId="504">
    <w:name w:val="样式 标题 3B HeadH3标题 33ReHead 3 WSAh3条标题1.1.1三级标题BOD 0sec..."/>
    <w:basedOn w:val="1"/>
    <w:link w:val="555"/>
    <w:qFormat/>
    <w:uiPriority w:val="0"/>
    <w:pPr>
      <w:keepNext/>
      <w:keepLines/>
      <w:adjustRightInd w:val="0"/>
      <w:spacing w:before="120" w:after="120" w:line="520" w:lineRule="exact"/>
      <w:outlineLvl w:val="2"/>
    </w:pPr>
    <w:rPr>
      <w:rFonts w:ascii="宋体" w:hAnsi="宋体"/>
      <w:b/>
      <w:color w:val="000000"/>
      <w:kern w:val="0"/>
      <w:sz w:val="30"/>
      <w:szCs w:val="30"/>
    </w:rPr>
  </w:style>
  <w:style w:type="character" w:customStyle="1" w:styleId="505">
    <w:name w:val="样式 标题 2标题 2 Char Char + 小三 Char"/>
    <w:qFormat/>
    <w:uiPriority w:val="0"/>
    <w:rPr>
      <w:rFonts w:eastAsia="宋体"/>
      <w:b/>
      <w:bCs/>
      <w:kern w:val="2"/>
      <w:sz w:val="30"/>
      <w:lang w:val="en-US" w:eastAsia="zh-CN" w:bidi="ar-SA"/>
    </w:rPr>
  </w:style>
  <w:style w:type="character" w:customStyle="1" w:styleId="506">
    <w:name w:val="标准正文 Char Char Char Char"/>
    <w:link w:val="507"/>
    <w:qFormat/>
    <w:uiPriority w:val="0"/>
    <w:rPr>
      <w:rFonts w:ascii="Times New Roman" w:hAnsi="Times New Roman" w:cs="宋体"/>
      <w:kern w:val="2"/>
      <w:sz w:val="28"/>
      <w:szCs w:val="28"/>
    </w:rPr>
  </w:style>
  <w:style w:type="paragraph" w:customStyle="1" w:styleId="507">
    <w:name w:val="标准正文 Char Char Char"/>
    <w:basedOn w:val="1"/>
    <w:link w:val="506"/>
    <w:semiHidden/>
    <w:qFormat/>
    <w:uiPriority w:val="0"/>
    <w:pPr>
      <w:spacing w:line="360" w:lineRule="auto"/>
      <w:ind w:firstLine="200" w:firstLineChars="200"/>
      <w:jc w:val="left"/>
    </w:pPr>
    <w:rPr>
      <w:rFonts w:cs="宋体"/>
      <w:sz w:val="28"/>
      <w:szCs w:val="28"/>
    </w:rPr>
  </w:style>
  <w:style w:type="character" w:customStyle="1" w:styleId="508">
    <w:name w:val="H212 Char"/>
    <w:qFormat/>
    <w:uiPriority w:val="0"/>
    <w:rPr>
      <w:rFonts w:ascii="宋体" w:hAnsi="宋体" w:eastAsia="宋体"/>
      <w:b/>
      <w:spacing w:val="-8"/>
      <w:kern w:val="2"/>
      <w:sz w:val="30"/>
      <w:lang w:val="en-US" w:eastAsia="zh-CN" w:bidi="ar-SA"/>
    </w:rPr>
  </w:style>
  <w:style w:type="character" w:customStyle="1" w:styleId="509">
    <w:name w:val="正文样式 Char"/>
    <w:link w:val="510"/>
    <w:qFormat/>
    <w:locked/>
    <w:uiPriority w:val="0"/>
    <w:rPr>
      <w:rFonts w:ascii="宋体" w:hAnsi="宋体" w:eastAsia="宋体"/>
      <w:kern w:val="2"/>
      <w:sz w:val="24"/>
      <w:szCs w:val="24"/>
      <w:lang w:val="en-US" w:eastAsia="zh-CN" w:bidi="ar-SA"/>
    </w:rPr>
  </w:style>
  <w:style w:type="paragraph" w:customStyle="1" w:styleId="510">
    <w:name w:val="正文样式"/>
    <w:basedOn w:val="1"/>
    <w:link w:val="509"/>
    <w:qFormat/>
    <w:uiPriority w:val="0"/>
    <w:pPr>
      <w:spacing w:line="360" w:lineRule="auto"/>
      <w:ind w:firstLine="480" w:firstLineChars="200"/>
    </w:pPr>
    <w:rPr>
      <w:rFonts w:ascii="宋体" w:hAnsi="宋体"/>
      <w:sz w:val="24"/>
      <w:szCs w:val="24"/>
    </w:rPr>
  </w:style>
  <w:style w:type="character" w:customStyle="1" w:styleId="511">
    <w:name w:val="表格10号 Char"/>
    <w:link w:val="512"/>
    <w:qFormat/>
    <w:uiPriority w:val="0"/>
    <w:rPr>
      <w:rFonts w:ascii="Times New Roman" w:hAnsi="Times New Roman" w:cs="宋体"/>
      <w:bCs/>
      <w:color w:val="000000"/>
      <w:kern w:val="2"/>
      <w:szCs w:val="28"/>
    </w:rPr>
  </w:style>
  <w:style w:type="paragraph" w:customStyle="1" w:styleId="512">
    <w:name w:val="表格10号"/>
    <w:basedOn w:val="130"/>
    <w:link w:val="511"/>
    <w:qFormat/>
    <w:uiPriority w:val="0"/>
    <w:pPr>
      <w:keepLines/>
      <w:spacing w:beforeLines="0" w:afterLines="0"/>
    </w:pPr>
    <w:rPr>
      <w:rFonts w:cs="宋体"/>
      <w:kern w:val="2"/>
      <w:sz w:val="20"/>
      <w:szCs w:val="28"/>
    </w:rPr>
  </w:style>
  <w:style w:type="character" w:customStyle="1" w:styleId="513">
    <w:name w:val="aspmaker1"/>
    <w:qFormat/>
    <w:uiPriority w:val="0"/>
    <w:rPr>
      <w:rFonts w:hint="default" w:ascii="Verdana" w:hAnsi="Verdana"/>
      <w:sz w:val="20"/>
    </w:rPr>
  </w:style>
  <w:style w:type="character" w:customStyle="1" w:styleId="514">
    <w:name w:val="条，（一） Char"/>
    <w:qFormat/>
    <w:uiPriority w:val="0"/>
    <w:rPr>
      <w:rFonts w:eastAsia="宋体"/>
      <w:b/>
      <w:bCs/>
      <w:kern w:val="2"/>
      <w:sz w:val="32"/>
      <w:szCs w:val="32"/>
      <w:lang w:val="en-US" w:eastAsia="zh-CN" w:bidi="ar-SA"/>
    </w:rPr>
  </w:style>
  <w:style w:type="character" w:customStyle="1" w:styleId="515">
    <w:name w:val="Body Text 2 Char"/>
    <w:qFormat/>
    <w:uiPriority w:val="0"/>
    <w:rPr>
      <w:rFonts w:ascii="宋体" w:hAnsi="Times New Roman" w:eastAsia="宋体" w:cs="Times New Roman"/>
      <w:sz w:val="24"/>
      <w:szCs w:val="20"/>
    </w:rPr>
  </w:style>
  <w:style w:type="character" w:customStyle="1" w:styleId="516">
    <w:name w:val="称呼 字符1"/>
    <w:link w:val="27"/>
    <w:semiHidden/>
    <w:qFormat/>
    <w:locked/>
    <w:uiPriority w:val="0"/>
    <w:rPr>
      <w:rFonts w:eastAsia="宋体"/>
      <w:kern w:val="2"/>
      <w:sz w:val="28"/>
      <w:szCs w:val="24"/>
      <w:lang w:val="en-US" w:eastAsia="zh-CN" w:bidi="ar-SA"/>
    </w:rPr>
  </w:style>
  <w:style w:type="character" w:customStyle="1" w:styleId="517">
    <w:name w:val="标题 8 字符2"/>
    <w:link w:val="10"/>
    <w:qFormat/>
    <w:uiPriority w:val="9"/>
    <w:rPr>
      <w:rFonts w:ascii="Calibri Light" w:hAnsi="Calibri Light"/>
      <w:sz w:val="24"/>
      <w:szCs w:val="24"/>
    </w:rPr>
  </w:style>
  <w:style w:type="character" w:customStyle="1" w:styleId="518">
    <w:name w:val="EmailStyle14431"/>
    <w:semiHidden/>
    <w:qFormat/>
    <w:uiPriority w:val="0"/>
    <w:rPr>
      <w:rFonts w:hint="default" w:ascii="Arial" w:hAnsi="Arial" w:eastAsia="宋体" w:cs="Arial"/>
      <w:color w:val="000080"/>
      <w:sz w:val="18"/>
      <w:szCs w:val="20"/>
    </w:rPr>
  </w:style>
  <w:style w:type="character" w:customStyle="1" w:styleId="519">
    <w:name w:val="highlight1"/>
    <w:qFormat/>
    <w:uiPriority w:val="0"/>
    <w:rPr>
      <w:sz w:val="21"/>
      <w:szCs w:val="21"/>
    </w:rPr>
  </w:style>
  <w:style w:type="character" w:customStyle="1" w:styleId="520">
    <w:name w:val="样式153 Char"/>
    <w:link w:val="521"/>
    <w:qFormat/>
    <w:locked/>
    <w:uiPriority w:val="0"/>
    <w:rPr>
      <w:rFonts w:ascii="宋体" w:hAnsi="宋体" w:eastAsia="宋体"/>
      <w:sz w:val="24"/>
      <w:szCs w:val="24"/>
      <w:lang w:val="en-AU" w:eastAsia="zh-CN" w:bidi="ar-SA"/>
    </w:rPr>
  </w:style>
  <w:style w:type="paragraph" w:customStyle="1" w:styleId="521">
    <w:name w:val="样式153"/>
    <w:basedOn w:val="1"/>
    <w:link w:val="520"/>
    <w:qFormat/>
    <w:uiPriority w:val="0"/>
    <w:pPr>
      <w:spacing w:beforeLines="50" w:line="360" w:lineRule="auto"/>
      <w:ind w:firstLine="480" w:firstLineChars="200"/>
    </w:pPr>
    <w:rPr>
      <w:rFonts w:ascii="宋体" w:hAnsi="宋体"/>
      <w:kern w:val="0"/>
      <w:sz w:val="24"/>
      <w:szCs w:val="24"/>
      <w:lang w:val="en-AU"/>
    </w:rPr>
  </w:style>
  <w:style w:type="character" w:customStyle="1" w:styleId="522">
    <w:name w:val="样式 宋体 小四 行距: 1.5 倍行距 Char"/>
    <w:link w:val="523"/>
    <w:qFormat/>
    <w:uiPriority w:val="0"/>
    <w:rPr>
      <w:rFonts w:ascii="宋体" w:hAnsi="宋体" w:cs="宋体"/>
      <w:kern w:val="2"/>
      <w:sz w:val="28"/>
    </w:rPr>
  </w:style>
  <w:style w:type="paragraph" w:customStyle="1" w:styleId="523">
    <w:name w:val="样式 宋体 小四 行距: 1.5 倍行距"/>
    <w:basedOn w:val="1"/>
    <w:link w:val="522"/>
    <w:qFormat/>
    <w:uiPriority w:val="0"/>
    <w:pPr>
      <w:spacing w:line="500" w:lineRule="atLeast"/>
      <w:ind w:firstLine="200" w:firstLineChars="200"/>
    </w:pPr>
    <w:rPr>
      <w:rFonts w:ascii="宋体" w:hAnsi="宋体" w:cs="宋体"/>
      <w:sz w:val="28"/>
      <w:szCs w:val="20"/>
    </w:rPr>
  </w:style>
  <w:style w:type="character" w:customStyle="1" w:styleId="524">
    <w:name w:val="表格内容 Char1"/>
    <w:qFormat/>
    <w:uiPriority w:val="0"/>
    <w:rPr>
      <w:rFonts w:ascii="宋体" w:hAnsi="宋体" w:eastAsia="宋体"/>
      <w:kern w:val="2"/>
      <w:sz w:val="21"/>
      <w:lang w:val="en-US" w:eastAsia="zh-CN" w:bidi="ar-SA"/>
    </w:rPr>
  </w:style>
  <w:style w:type="character" w:customStyle="1" w:styleId="525">
    <w:name w:val="批注框文本 字符2"/>
    <w:link w:val="49"/>
    <w:qFormat/>
    <w:uiPriority w:val="0"/>
    <w:rPr>
      <w:sz w:val="18"/>
      <w:szCs w:val="18"/>
    </w:rPr>
  </w:style>
  <w:style w:type="character" w:customStyle="1" w:styleId="526">
    <w:name w:val="图号 Char"/>
    <w:qFormat/>
    <w:uiPriority w:val="0"/>
    <w:rPr>
      <w:rFonts w:eastAsia="宋体"/>
      <w:b/>
      <w:bCs/>
      <w:kern w:val="32"/>
      <w:sz w:val="24"/>
      <w:szCs w:val="24"/>
      <w:lang w:val="en-US" w:eastAsia="zh-CN" w:bidi="ar-SA"/>
    </w:rPr>
  </w:style>
  <w:style w:type="character" w:customStyle="1" w:styleId="527">
    <w:name w:val="正文 Char"/>
    <w:link w:val="76"/>
    <w:qFormat/>
    <w:uiPriority w:val="0"/>
    <w:rPr>
      <w:rFonts w:ascii="Times New Roman" w:hAnsi="Times New Roman"/>
      <w:kern w:val="2"/>
      <w:sz w:val="28"/>
      <w:szCs w:val="22"/>
    </w:rPr>
  </w:style>
  <w:style w:type="character" w:customStyle="1" w:styleId="528">
    <w:name w:val="备注 Char"/>
    <w:link w:val="529"/>
    <w:qFormat/>
    <w:uiPriority w:val="0"/>
    <w:rPr>
      <w:rFonts w:ascii="Times New Roman"/>
      <w:kern w:val="2"/>
      <w:sz w:val="18"/>
      <w:szCs w:val="22"/>
    </w:rPr>
  </w:style>
  <w:style w:type="paragraph" w:customStyle="1" w:styleId="529">
    <w:name w:val="备注"/>
    <w:basedOn w:val="1"/>
    <w:link w:val="528"/>
    <w:qFormat/>
    <w:uiPriority w:val="0"/>
    <w:pPr>
      <w:adjustRightInd w:val="0"/>
      <w:snapToGrid w:val="0"/>
      <w:spacing w:line="348" w:lineRule="auto"/>
    </w:pPr>
    <w:rPr>
      <w:sz w:val="18"/>
    </w:rPr>
  </w:style>
  <w:style w:type="character" w:customStyle="1" w:styleId="530">
    <w:name w:val="标题 7 字符2"/>
    <w:link w:val="9"/>
    <w:qFormat/>
    <w:uiPriority w:val="0"/>
    <w:rPr>
      <w:rFonts w:ascii="宋体" w:hAnsi="宋体"/>
      <w:b/>
      <w:kern w:val="2"/>
      <w:sz w:val="28"/>
      <w:lang w:val="en-US" w:eastAsia="zh-CN"/>
    </w:rPr>
  </w:style>
  <w:style w:type="character" w:customStyle="1" w:styleId="531">
    <w:name w:val="页脚 Char1"/>
    <w:qFormat/>
    <w:uiPriority w:val="0"/>
    <w:rPr>
      <w:rFonts w:eastAsia="宋体"/>
      <w:kern w:val="2"/>
      <w:sz w:val="18"/>
      <w:szCs w:val="18"/>
      <w:lang w:val="en-US" w:eastAsia="zh-CN" w:bidi="ar-SA"/>
    </w:rPr>
  </w:style>
  <w:style w:type="character" w:customStyle="1" w:styleId="532">
    <w:name w:val="f9wen1"/>
    <w:qFormat/>
    <w:uiPriority w:val="0"/>
    <w:rPr>
      <w:spacing w:val="12"/>
      <w:sz w:val="18"/>
      <w:szCs w:val="18"/>
      <w:u w:val="none"/>
    </w:rPr>
  </w:style>
  <w:style w:type="character" w:customStyle="1" w:styleId="533">
    <w:name w:val="样式 标题 2 + 红色 Char"/>
    <w:qFormat/>
    <w:uiPriority w:val="0"/>
    <w:rPr>
      <w:rFonts w:ascii="Arial" w:hAnsi="Arial" w:eastAsia="黑体"/>
      <w:b/>
      <w:bCs/>
      <w:color w:val="FF0000"/>
      <w:spacing w:val="-8"/>
      <w:kern w:val="2"/>
      <w:sz w:val="28"/>
      <w:szCs w:val="32"/>
      <w:lang w:val="en-US" w:eastAsia="zh-CN" w:bidi="ar-SA"/>
    </w:rPr>
  </w:style>
  <w:style w:type="character" w:customStyle="1" w:styleId="534">
    <w:name w:val="样式90 Char"/>
    <w:link w:val="155"/>
    <w:qFormat/>
    <w:locked/>
    <w:uiPriority w:val="0"/>
    <w:rPr>
      <w:rFonts w:ascii="黑体" w:hAnsi="黑体" w:eastAsia="黑体"/>
      <w:b/>
      <w:color w:val="000000"/>
      <w:sz w:val="28"/>
      <w:szCs w:val="28"/>
      <w:lang w:val="en-US" w:eastAsia="zh-CN" w:bidi="ar-SA"/>
    </w:rPr>
  </w:style>
  <w:style w:type="character" w:customStyle="1" w:styleId="535">
    <w:name w:val="(use for appendix) Char"/>
    <w:qFormat/>
    <w:locked/>
    <w:uiPriority w:val="0"/>
    <w:rPr>
      <w:rFonts w:ascii="宋体" w:hAnsi="宋体" w:eastAsia="宋体"/>
      <w:b/>
      <w:kern w:val="2"/>
      <w:sz w:val="28"/>
      <w:lang w:val="en-US" w:eastAsia="zh-CN" w:bidi="ar-SA"/>
    </w:rPr>
  </w:style>
  <w:style w:type="character" w:customStyle="1" w:styleId="536">
    <w:name w:val="样式 样式 标题 2 + 红色 + 自动设置 Char Char Char"/>
    <w:link w:val="537"/>
    <w:qFormat/>
    <w:uiPriority w:val="0"/>
    <w:rPr>
      <w:rFonts w:ascii="Arial" w:hAnsi="Arial" w:eastAsia="新宋体"/>
      <w:bCs/>
      <w:color w:val="FF0000"/>
      <w:kern w:val="2"/>
      <w:sz w:val="28"/>
      <w:szCs w:val="32"/>
    </w:rPr>
  </w:style>
  <w:style w:type="paragraph" w:customStyle="1" w:styleId="537">
    <w:name w:val="样式 样式 标题 2 + 红色 + 自动设置 Char Char"/>
    <w:basedOn w:val="390"/>
    <w:link w:val="536"/>
    <w:qFormat/>
    <w:uiPriority w:val="0"/>
    <w:rPr>
      <w:rFonts w:eastAsia="新宋体"/>
      <w:b/>
    </w:rPr>
  </w:style>
  <w:style w:type="character" w:customStyle="1" w:styleId="538">
    <w:name w:val="样式 标题 1 + 红色 Char Char1"/>
    <w:link w:val="539"/>
    <w:qFormat/>
    <w:uiPriority w:val="0"/>
    <w:rPr>
      <w:rFonts w:ascii="宋体" w:hAnsi="宋体" w:eastAsia="黑体"/>
      <w:b/>
      <w:bCs/>
      <w:color w:val="FF0000"/>
      <w:kern w:val="44"/>
      <w:sz w:val="32"/>
      <w:szCs w:val="44"/>
    </w:rPr>
  </w:style>
  <w:style w:type="paragraph" w:customStyle="1" w:styleId="539">
    <w:name w:val="样式 标题 1 + 红色 Char"/>
    <w:basedOn w:val="3"/>
    <w:link w:val="538"/>
    <w:qFormat/>
    <w:uiPriority w:val="0"/>
    <w:rPr>
      <w:rFonts w:ascii="宋体" w:hAnsi="宋体" w:eastAsia="黑体"/>
      <w:color w:val="FF0000"/>
      <w:sz w:val="32"/>
    </w:rPr>
  </w:style>
  <w:style w:type="character" w:customStyle="1" w:styleId="540">
    <w:name w:val="特点 Char"/>
    <w:qFormat/>
    <w:uiPriority w:val="0"/>
    <w:rPr>
      <w:rFonts w:hint="eastAsia" w:ascii="宋体" w:hAnsi="宋体" w:eastAsia="宋体"/>
      <w:sz w:val="28"/>
      <w:lang w:val="en-US" w:eastAsia="zh-CN" w:bidi="ar-SA"/>
    </w:rPr>
  </w:style>
  <w:style w:type="character" w:customStyle="1" w:styleId="541">
    <w:name w:val="样式95 Char"/>
    <w:link w:val="255"/>
    <w:qFormat/>
    <w:locked/>
    <w:uiPriority w:val="0"/>
    <w:rPr>
      <w:rFonts w:ascii="黑体" w:hAnsi="黑体" w:eastAsia="宋体"/>
      <w:b/>
      <w:bCs/>
      <w:color w:val="000000"/>
      <w:kern w:val="44"/>
      <w:sz w:val="44"/>
      <w:szCs w:val="44"/>
      <w:lang w:val="en-US" w:eastAsia="zh-CN" w:bidi="ar-SA"/>
    </w:rPr>
  </w:style>
  <w:style w:type="character" w:customStyle="1" w:styleId="542">
    <w:name w:val="表格-HF 字符"/>
    <w:link w:val="543"/>
    <w:qFormat/>
    <w:locked/>
    <w:uiPriority w:val="2"/>
    <w:rPr>
      <w:rFonts w:ascii="宋体" w:hAnsi="宋体" w:eastAsia="宋体"/>
      <w:szCs w:val="21"/>
      <w:lang w:val="en-US" w:eastAsia="zh-CN" w:bidi="ar-SA"/>
    </w:rPr>
  </w:style>
  <w:style w:type="paragraph" w:customStyle="1" w:styleId="543">
    <w:name w:val="表格-HF"/>
    <w:basedOn w:val="1"/>
    <w:link w:val="542"/>
    <w:qFormat/>
    <w:uiPriority w:val="2"/>
    <w:pPr>
      <w:jc w:val="center"/>
    </w:pPr>
    <w:rPr>
      <w:rFonts w:ascii="宋体" w:hAnsi="宋体"/>
      <w:kern w:val="0"/>
      <w:sz w:val="20"/>
      <w:szCs w:val="21"/>
    </w:rPr>
  </w:style>
  <w:style w:type="character" w:customStyle="1" w:styleId="544">
    <w:name w:val="脚注文本 字符1"/>
    <w:link w:val="58"/>
    <w:semiHidden/>
    <w:qFormat/>
    <w:uiPriority w:val="0"/>
    <w:rPr>
      <w:rFonts w:ascii="Times New Roman" w:hAnsi="Times New Roman"/>
      <w:kern w:val="2"/>
      <w:sz w:val="18"/>
      <w:szCs w:val="18"/>
    </w:rPr>
  </w:style>
  <w:style w:type="character" w:customStyle="1" w:styleId="545">
    <w:name w:val="环评表格文字 Char"/>
    <w:link w:val="546"/>
    <w:qFormat/>
    <w:locked/>
    <w:uiPriority w:val="0"/>
    <w:rPr>
      <w:szCs w:val="24"/>
      <w:lang w:bidi="ar-SA"/>
    </w:rPr>
  </w:style>
  <w:style w:type="paragraph" w:customStyle="1" w:styleId="546">
    <w:name w:val="环评表格文字"/>
    <w:basedOn w:val="1"/>
    <w:next w:val="1"/>
    <w:link w:val="545"/>
    <w:qFormat/>
    <w:uiPriority w:val="0"/>
    <w:rPr>
      <w:rFonts w:eastAsia="Times New Roman"/>
      <w:kern w:val="0"/>
      <w:sz w:val="20"/>
      <w:szCs w:val="24"/>
    </w:rPr>
  </w:style>
  <w:style w:type="character" w:customStyle="1" w:styleId="547">
    <w:name w:val="标准正文 Char Char"/>
    <w:link w:val="548"/>
    <w:qFormat/>
    <w:uiPriority w:val="0"/>
    <w:rPr>
      <w:rFonts w:ascii="Times New Roman" w:hAnsi="Times New Roman"/>
      <w:kern w:val="2"/>
      <w:sz w:val="28"/>
      <w:szCs w:val="28"/>
    </w:rPr>
  </w:style>
  <w:style w:type="paragraph" w:customStyle="1" w:styleId="548">
    <w:name w:val="标准正文 Char"/>
    <w:basedOn w:val="1"/>
    <w:link w:val="547"/>
    <w:semiHidden/>
    <w:qFormat/>
    <w:uiPriority w:val="0"/>
    <w:pPr>
      <w:spacing w:line="360" w:lineRule="auto"/>
      <w:ind w:firstLine="200" w:firstLineChars="200"/>
      <w:jc w:val="left"/>
    </w:pPr>
    <w:rPr>
      <w:sz w:val="28"/>
      <w:szCs w:val="28"/>
    </w:rPr>
  </w:style>
  <w:style w:type="character" w:customStyle="1" w:styleId="549">
    <w:name w:val="Char Char7"/>
    <w:qFormat/>
    <w:locked/>
    <w:uiPriority w:val="0"/>
    <w:rPr>
      <w:rFonts w:ascii="宋体" w:hAnsi="宋体" w:eastAsia="宋体"/>
      <w:kern w:val="2"/>
      <w:sz w:val="16"/>
      <w:szCs w:val="16"/>
      <w:lang w:val="en-US" w:eastAsia="zh-CN" w:bidi="ar-SA"/>
    </w:rPr>
  </w:style>
  <w:style w:type="character" w:customStyle="1" w:styleId="550">
    <w:name w:val="Char Char5"/>
    <w:qFormat/>
    <w:locked/>
    <w:uiPriority w:val="0"/>
    <w:rPr>
      <w:rFonts w:ascii="宋体" w:hAnsi="宋体" w:eastAsia="宋体"/>
      <w:kern w:val="2"/>
      <w:sz w:val="18"/>
      <w:szCs w:val="18"/>
      <w:lang w:val="en-US" w:eastAsia="zh-CN" w:bidi="ar-SA"/>
    </w:rPr>
  </w:style>
  <w:style w:type="character" w:customStyle="1" w:styleId="551">
    <w:name w:val="Char Char132"/>
    <w:qFormat/>
    <w:uiPriority w:val="0"/>
    <w:rPr>
      <w:rFonts w:hint="eastAsia" w:ascii="宋体" w:hAnsi="宋体" w:eastAsia="宋体"/>
      <w:snapToGrid/>
      <w:spacing w:val="8"/>
      <w:kern w:val="2"/>
      <w:sz w:val="18"/>
      <w:szCs w:val="18"/>
      <w:lang w:val="en-US" w:eastAsia="zh-CN" w:bidi="ar-SA"/>
    </w:rPr>
  </w:style>
  <w:style w:type="character" w:customStyle="1" w:styleId="552">
    <w:name w:val="普通文字 Char Char"/>
    <w:qFormat/>
    <w:uiPriority w:val="0"/>
    <w:rPr>
      <w:rFonts w:ascii="宋体" w:hAnsi="Courier New" w:eastAsia="宋体" w:cs="Courier New"/>
      <w:kern w:val="2"/>
      <w:sz w:val="21"/>
      <w:szCs w:val="21"/>
      <w:lang w:val="en-US" w:eastAsia="zh-CN" w:bidi="ar-SA"/>
    </w:rPr>
  </w:style>
  <w:style w:type="character" w:customStyle="1" w:styleId="553">
    <w:name w:val="文本框五号 Char Char Char Char"/>
    <w:qFormat/>
    <w:uiPriority w:val="0"/>
    <w:rPr>
      <w:rFonts w:hint="eastAsia" w:ascii="仿宋_GB2312" w:eastAsia="仿宋_GB2312"/>
      <w:kern w:val="2"/>
      <w:sz w:val="21"/>
      <w:szCs w:val="21"/>
      <w:lang w:val="en-US" w:eastAsia="zh-CN" w:bidi="ar-SA"/>
    </w:rPr>
  </w:style>
  <w:style w:type="character" w:customStyle="1" w:styleId="554">
    <w:name w:val="表格五号字 Char"/>
    <w:link w:val="456"/>
    <w:qFormat/>
    <w:locked/>
    <w:uiPriority w:val="0"/>
    <w:rPr>
      <w:rFonts w:ascii="Times New Roman" w:hAnsi="Times New Roman"/>
      <w:sz w:val="21"/>
    </w:rPr>
  </w:style>
  <w:style w:type="character" w:customStyle="1" w:styleId="555">
    <w:name w:val="样式 标题 3B HeadH3标题 33ReHead 3 WSAh3条标题1.1.1三级标题BOD 0sec... Char"/>
    <w:link w:val="504"/>
    <w:qFormat/>
    <w:locked/>
    <w:uiPriority w:val="0"/>
    <w:rPr>
      <w:rFonts w:ascii="宋体" w:hAnsi="宋体" w:eastAsia="宋体"/>
      <w:b/>
      <w:color w:val="000000"/>
      <w:sz w:val="30"/>
      <w:szCs w:val="30"/>
      <w:lang w:val="en-US" w:eastAsia="zh-CN" w:bidi="ar-SA"/>
    </w:rPr>
  </w:style>
  <w:style w:type="character" w:customStyle="1" w:styleId="556">
    <w:name w:val="!表标题(alt+h) Char2"/>
    <w:qFormat/>
    <w:uiPriority w:val="0"/>
    <w:rPr>
      <w:rFonts w:eastAsia="黑体"/>
      <w:color w:val="000000"/>
      <w:sz w:val="24"/>
      <w:u w:color="3366FF"/>
      <w:lang w:val="en-US" w:eastAsia="zh-CN"/>
    </w:rPr>
  </w:style>
  <w:style w:type="character" w:customStyle="1" w:styleId="557">
    <w:name w:val="！表格 Char"/>
    <w:link w:val="558"/>
    <w:qFormat/>
    <w:uiPriority w:val="0"/>
    <w:rPr>
      <w:rFonts w:ascii="宋体" w:hAnsi="宋体"/>
      <w:color w:val="000000"/>
      <w:sz w:val="21"/>
      <w:szCs w:val="21"/>
      <w:u w:color="000000"/>
    </w:rPr>
  </w:style>
  <w:style w:type="paragraph" w:customStyle="1" w:styleId="558">
    <w:name w:val="！表格"/>
    <w:basedOn w:val="1"/>
    <w:next w:val="317"/>
    <w:link w:val="557"/>
    <w:qFormat/>
    <w:uiPriority w:val="0"/>
    <w:pPr>
      <w:widowControl/>
      <w:spacing w:line="180" w:lineRule="atLeast"/>
      <w:jc w:val="center"/>
      <w:textAlignment w:val="baseline"/>
    </w:pPr>
    <w:rPr>
      <w:rFonts w:ascii="宋体" w:hAnsi="宋体"/>
      <w:color w:val="000000"/>
      <w:kern w:val="0"/>
      <w:szCs w:val="21"/>
      <w:u w:color="000000"/>
    </w:rPr>
  </w:style>
  <w:style w:type="character" w:customStyle="1" w:styleId="559">
    <w:name w:val="HTML 预设格式 字符1"/>
    <w:link w:val="69"/>
    <w:qFormat/>
    <w:uiPriority w:val="0"/>
    <w:rPr>
      <w:rFonts w:ascii="Arial" w:hAnsi="Arial" w:cs="Arial"/>
      <w:sz w:val="21"/>
      <w:szCs w:val="21"/>
    </w:rPr>
  </w:style>
  <w:style w:type="character" w:customStyle="1" w:styleId="560">
    <w:name w:val="表格11 Char Char"/>
    <w:link w:val="561"/>
    <w:qFormat/>
    <w:uiPriority w:val="0"/>
    <w:rPr>
      <w:sz w:val="21"/>
      <w:szCs w:val="21"/>
    </w:rPr>
  </w:style>
  <w:style w:type="paragraph" w:customStyle="1" w:styleId="561">
    <w:name w:val="表格11"/>
    <w:basedOn w:val="1"/>
    <w:link w:val="560"/>
    <w:qFormat/>
    <w:uiPriority w:val="0"/>
    <w:pPr>
      <w:snapToGrid w:val="0"/>
      <w:jc w:val="center"/>
    </w:pPr>
    <w:rPr>
      <w:kern w:val="0"/>
      <w:szCs w:val="21"/>
    </w:rPr>
  </w:style>
  <w:style w:type="character" w:customStyle="1" w:styleId="562">
    <w:name w:val="前言 Char Char"/>
    <w:qFormat/>
    <w:uiPriority w:val="0"/>
    <w:rPr>
      <w:rFonts w:ascii="Arial Narrow" w:hAnsi="宋体" w:eastAsia="宋体"/>
      <w:kern w:val="2"/>
      <w:sz w:val="24"/>
      <w:lang w:val="en-US" w:eastAsia="zh-CN" w:bidi="ar-SA"/>
    </w:rPr>
  </w:style>
  <w:style w:type="character" w:customStyle="1" w:styleId="563">
    <w:name w:val="style91"/>
    <w:qFormat/>
    <w:uiPriority w:val="0"/>
    <w:rPr>
      <w:b/>
      <w:bCs/>
      <w:color w:val="333333"/>
      <w:sz w:val="19"/>
      <w:szCs w:val="19"/>
    </w:rPr>
  </w:style>
  <w:style w:type="character" w:customStyle="1" w:styleId="564">
    <w:name w:val="f91"/>
    <w:qFormat/>
    <w:uiPriority w:val="0"/>
    <w:rPr>
      <w:spacing w:val="280"/>
      <w:sz w:val="18"/>
      <w:szCs w:val="18"/>
      <w:u w:val="none"/>
    </w:rPr>
  </w:style>
  <w:style w:type="character" w:customStyle="1" w:styleId="565">
    <w:name w:val="节标题 1.1 Char1"/>
    <w:qFormat/>
    <w:uiPriority w:val="0"/>
    <w:rPr>
      <w:rFonts w:ascii="Arial" w:hAnsi="Arial" w:eastAsia="黑体"/>
      <w:b/>
      <w:kern w:val="2"/>
      <w:sz w:val="32"/>
      <w:lang w:val="en-US" w:eastAsia="zh-CN" w:bidi="ar-SA"/>
    </w:rPr>
  </w:style>
  <w:style w:type="character" w:customStyle="1" w:styleId="566">
    <w:name w:val="表号 Char1"/>
    <w:qFormat/>
    <w:locked/>
    <w:uiPriority w:val="0"/>
    <w:rPr>
      <w:rFonts w:eastAsia="宋体"/>
      <w:sz w:val="24"/>
      <w:szCs w:val="24"/>
      <w:lang w:val="en-US" w:eastAsia="zh-CN" w:bidi="ar-SA"/>
    </w:rPr>
  </w:style>
  <w:style w:type="character" w:customStyle="1" w:styleId="567">
    <w:name w:val="文本框 Char"/>
    <w:qFormat/>
    <w:uiPriority w:val="0"/>
    <w:rPr>
      <w:rFonts w:hint="eastAsia" w:ascii="宋体" w:hAnsi="宋体" w:eastAsia="宋体"/>
      <w:kern w:val="2"/>
      <w:sz w:val="21"/>
      <w:szCs w:val="21"/>
      <w:lang w:val="en-US" w:eastAsia="zh-CN" w:bidi="ar-SA"/>
    </w:rPr>
  </w:style>
  <w:style w:type="character" w:customStyle="1" w:styleId="568">
    <w:name w:val="hb4 Char1"/>
    <w:link w:val="569"/>
    <w:qFormat/>
    <w:uiPriority w:val="0"/>
    <w:rPr>
      <w:rFonts w:ascii="Arial Narrow" w:hAnsi="Arial" w:eastAsia="汉鼎简书宋" w:cs="宋体"/>
      <w:color w:val="008000"/>
      <w:kern w:val="2"/>
      <w:sz w:val="24"/>
      <w:szCs w:val="24"/>
    </w:rPr>
  </w:style>
  <w:style w:type="paragraph" w:customStyle="1" w:styleId="569">
    <w:name w:val="hb4"/>
    <w:basedOn w:val="6"/>
    <w:link w:val="568"/>
    <w:qFormat/>
    <w:uiPriority w:val="0"/>
    <w:pPr>
      <w:adjustRightInd w:val="0"/>
      <w:snapToGrid w:val="0"/>
      <w:spacing w:before="263" w:beforeLines="50" w:after="263" w:afterLines="50" w:line="240" w:lineRule="auto"/>
      <w:jc w:val="left"/>
    </w:pPr>
    <w:rPr>
      <w:rFonts w:ascii="Arial Narrow" w:hAnsi="Arial" w:eastAsia="汉鼎简书宋" w:cs="宋体"/>
      <w:bCs/>
      <w:color w:val="008000"/>
      <w:sz w:val="24"/>
      <w:szCs w:val="24"/>
    </w:rPr>
  </w:style>
  <w:style w:type="character" w:customStyle="1" w:styleId="570">
    <w:name w:val="项标题(1) Char Char"/>
    <w:qFormat/>
    <w:uiPriority w:val="0"/>
    <w:rPr>
      <w:rFonts w:hint="eastAsia" w:ascii="宋体" w:hAnsi="宋体" w:eastAsia="宋体"/>
      <w:b/>
      <w:sz w:val="24"/>
      <w:lang w:val="en-US" w:eastAsia="zh-CN" w:bidi="ar-SA"/>
    </w:rPr>
  </w:style>
  <w:style w:type="character" w:customStyle="1" w:styleId="571">
    <w:name w:val="j41"/>
    <w:qFormat/>
    <w:uiPriority w:val="0"/>
    <w:rPr>
      <w:color w:val="455654"/>
      <w:sz w:val="21"/>
      <w:szCs w:val="21"/>
    </w:rPr>
  </w:style>
  <w:style w:type="character" w:customStyle="1" w:styleId="572">
    <w:name w:val="样式 样式 样式 样式 样式 样式2 + 首行缩进:  2 字符 + 首行缩进:  2 字符 + Times New Roman... Char"/>
    <w:link w:val="573"/>
    <w:qFormat/>
    <w:uiPriority w:val="0"/>
    <w:rPr>
      <w:rFonts w:ascii="Times New Roman" w:hAnsi="Times New Roman" w:cs="宋体"/>
      <w:kern w:val="2"/>
      <w:sz w:val="28"/>
    </w:rPr>
  </w:style>
  <w:style w:type="paragraph" w:customStyle="1" w:styleId="573">
    <w:name w:val="样式 样式 样式 样式 样式 样式2 + 首行缩进:  2 字符 + 首行缩进:  2 字符 + Times New Roman..."/>
    <w:basedOn w:val="1"/>
    <w:link w:val="572"/>
    <w:qFormat/>
    <w:uiPriority w:val="0"/>
    <w:pPr>
      <w:spacing w:line="500" w:lineRule="atLeast"/>
      <w:ind w:firstLine="200" w:firstLineChars="200"/>
    </w:pPr>
    <w:rPr>
      <w:rFonts w:cs="宋体"/>
      <w:sz w:val="28"/>
      <w:szCs w:val="20"/>
    </w:rPr>
  </w:style>
  <w:style w:type="character" w:customStyle="1" w:styleId="574">
    <w:name w:val="目录 1 Char"/>
    <w:qFormat/>
    <w:uiPriority w:val="0"/>
    <w:rPr>
      <w:rFonts w:hint="eastAsia" w:ascii="宋体" w:hAnsi="宋体" w:eastAsia="宋体"/>
      <w:b/>
      <w:bCs/>
      <w:caps/>
      <w:sz w:val="24"/>
      <w:szCs w:val="24"/>
      <w:lang w:val="en-US" w:eastAsia="zh-CN" w:bidi="ar-SA"/>
    </w:rPr>
  </w:style>
  <w:style w:type="character" w:customStyle="1" w:styleId="575">
    <w:name w:val="样式 样式 正文文本缩进特点标题正文文本缩进 Char + 黑色 + (西文) 楷体_GB2312 Char"/>
    <w:link w:val="576"/>
    <w:qFormat/>
    <w:locked/>
    <w:uiPriority w:val="0"/>
    <w:rPr>
      <w:rFonts w:ascii="楷体_GB2312" w:hAnsi="楷体_GB2312" w:eastAsia="宋体"/>
      <w:b/>
      <w:color w:val="000000"/>
      <w:szCs w:val="21"/>
      <w:lang w:val="en-US" w:eastAsia="zh-CN" w:bidi="ar-SA"/>
    </w:rPr>
  </w:style>
  <w:style w:type="paragraph" w:customStyle="1" w:styleId="576">
    <w:name w:val="样式 样式 正文文本缩进特点标题正文文本缩进 Char + 黑色 + (西文) 楷体_GB2312"/>
    <w:basedOn w:val="1"/>
    <w:link w:val="575"/>
    <w:qFormat/>
    <w:uiPriority w:val="0"/>
    <w:pPr>
      <w:widowControl/>
      <w:spacing w:line="360" w:lineRule="exact"/>
      <w:jc w:val="center"/>
    </w:pPr>
    <w:rPr>
      <w:rFonts w:ascii="楷体_GB2312" w:hAnsi="楷体_GB2312"/>
      <w:b/>
      <w:color w:val="000000"/>
      <w:kern w:val="0"/>
      <w:sz w:val="20"/>
      <w:szCs w:val="21"/>
    </w:rPr>
  </w:style>
  <w:style w:type="character" w:customStyle="1" w:styleId="577">
    <w:name w:val="e01"/>
    <w:qFormat/>
    <w:uiPriority w:val="0"/>
  </w:style>
  <w:style w:type="character" w:customStyle="1" w:styleId="578">
    <w:name w:val="样式6 Char"/>
    <w:qFormat/>
    <w:uiPriority w:val="0"/>
    <w:rPr>
      <w:rFonts w:hint="eastAsia" w:ascii="宋体" w:hAnsi="宋体" w:eastAsia="宋体"/>
      <w:b/>
      <w:color w:val="000000"/>
      <w:kern w:val="2"/>
      <w:sz w:val="24"/>
      <w:szCs w:val="24"/>
      <w:lang w:val="en-US" w:eastAsia="zh-CN" w:bidi="ar-SA"/>
    </w:rPr>
  </w:style>
  <w:style w:type="character" w:customStyle="1" w:styleId="579">
    <w:name w:val="纯文本 Char Ch Char"/>
    <w:qFormat/>
    <w:uiPriority w:val="0"/>
    <w:rPr>
      <w:rFonts w:ascii="宋体" w:hAnsi="Courier New" w:eastAsia="宋体" w:cs="Times New Roman"/>
      <w:sz w:val="24"/>
      <w:szCs w:val="20"/>
    </w:rPr>
  </w:style>
  <w:style w:type="character" w:customStyle="1" w:styleId="580">
    <w:name w:val="表格文字 Char1"/>
    <w:qFormat/>
    <w:uiPriority w:val="0"/>
    <w:rPr>
      <w:rFonts w:eastAsia="宋体"/>
      <w:bCs/>
      <w:color w:val="0000FF"/>
      <w:sz w:val="21"/>
      <w:szCs w:val="21"/>
      <w:lang w:val="en-US" w:eastAsia="zh-CN" w:bidi="ar-SA"/>
    </w:rPr>
  </w:style>
  <w:style w:type="character" w:customStyle="1" w:styleId="581">
    <w:name w:val="Char Char16"/>
    <w:qFormat/>
    <w:locked/>
    <w:uiPriority w:val="0"/>
    <w:rPr>
      <w:sz w:val="18"/>
      <w:szCs w:val="18"/>
      <w:lang w:bidi="ar-SA"/>
    </w:rPr>
  </w:style>
  <w:style w:type="character" w:customStyle="1" w:styleId="582">
    <w:name w:val="正文四号 Char1"/>
    <w:link w:val="583"/>
    <w:qFormat/>
    <w:locked/>
    <w:uiPriority w:val="0"/>
    <w:rPr>
      <w:rFonts w:eastAsia="宋体"/>
      <w:kern w:val="2"/>
      <w:sz w:val="28"/>
      <w:szCs w:val="24"/>
      <w:lang w:val="en-US" w:eastAsia="zh-CN" w:bidi="ar-SA"/>
    </w:rPr>
  </w:style>
  <w:style w:type="paragraph" w:customStyle="1" w:styleId="583">
    <w:name w:val="正文四号"/>
    <w:basedOn w:val="1"/>
    <w:link w:val="582"/>
    <w:qFormat/>
    <w:uiPriority w:val="0"/>
    <w:pPr>
      <w:spacing w:line="360" w:lineRule="auto"/>
      <w:ind w:firstLine="200" w:firstLineChars="200"/>
    </w:pPr>
    <w:rPr>
      <w:sz w:val="28"/>
      <w:szCs w:val="24"/>
    </w:rPr>
  </w:style>
  <w:style w:type="character" w:customStyle="1" w:styleId="584">
    <w:name w:val="表格文字-hao-居中 Char"/>
    <w:link w:val="585"/>
    <w:qFormat/>
    <w:locked/>
    <w:uiPriority w:val="0"/>
    <w:rPr>
      <w:sz w:val="21"/>
      <w:szCs w:val="24"/>
      <w:lang w:val="en-US" w:eastAsia="zh-CN" w:bidi="ar-SA"/>
    </w:rPr>
  </w:style>
  <w:style w:type="paragraph" w:customStyle="1" w:styleId="585">
    <w:name w:val="表格文字-hao-居中"/>
    <w:link w:val="584"/>
    <w:qFormat/>
    <w:uiPriority w:val="0"/>
    <w:pPr>
      <w:adjustRightInd w:val="0"/>
      <w:snapToGrid w:val="0"/>
      <w:spacing w:beforeLines="20" w:line="264" w:lineRule="auto"/>
      <w:jc w:val="center"/>
    </w:pPr>
    <w:rPr>
      <w:rFonts w:ascii="Times New Roman" w:hAnsi="Times New Roman" w:eastAsia="Times New Roman" w:cs="Times New Roman"/>
      <w:sz w:val="21"/>
      <w:szCs w:val="24"/>
      <w:lang w:val="en-US" w:eastAsia="zh-CN" w:bidi="ar-SA"/>
    </w:rPr>
  </w:style>
  <w:style w:type="character" w:customStyle="1" w:styleId="586">
    <w:name w:val="Char Char193"/>
    <w:qFormat/>
    <w:uiPriority w:val="0"/>
    <w:rPr>
      <w:rFonts w:hint="default" w:ascii="Arial Black" w:hAnsi="Arial Black" w:eastAsia="宋体"/>
      <w:b/>
      <w:bCs/>
      <w:kern w:val="44"/>
      <w:sz w:val="44"/>
      <w:szCs w:val="44"/>
      <w:lang w:val="en-US" w:eastAsia="zh-CN" w:bidi="ar-SA"/>
    </w:rPr>
  </w:style>
  <w:style w:type="character" w:customStyle="1" w:styleId="587">
    <w:name w:val="Char Char17"/>
    <w:qFormat/>
    <w:locked/>
    <w:uiPriority w:val="0"/>
    <w:rPr>
      <w:rFonts w:ascii="Calibri" w:hAnsi="Calibri" w:eastAsia="宋体"/>
      <w:lang w:bidi="ar-SA"/>
    </w:rPr>
  </w:style>
  <w:style w:type="character" w:customStyle="1" w:styleId="588">
    <w:name w:val="123YJ Char2"/>
    <w:qFormat/>
    <w:locked/>
    <w:uiPriority w:val="0"/>
    <w:rPr>
      <w:sz w:val="18"/>
      <w:szCs w:val="18"/>
      <w:lang w:bidi="ar-SA"/>
    </w:rPr>
  </w:style>
  <w:style w:type="character" w:customStyle="1" w:styleId="589">
    <w:name w:val="样式 宋体 五号 黑色 居中 行距: 单倍行距 Char"/>
    <w:link w:val="590"/>
    <w:qFormat/>
    <w:locked/>
    <w:uiPriority w:val="0"/>
    <w:rPr>
      <w:rFonts w:ascii="宋体" w:hAnsi="宋体" w:eastAsia="宋体"/>
      <w:color w:val="000000"/>
      <w:lang w:val="en-US" w:eastAsia="zh-CN" w:bidi="ar-SA"/>
    </w:rPr>
  </w:style>
  <w:style w:type="paragraph" w:customStyle="1" w:styleId="590">
    <w:name w:val="样式 宋体 五号 黑色 居中 行距: 单倍行距"/>
    <w:basedOn w:val="1"/>
    <w:link w:val="589"/>
    <w:qFormat/>
    <w:uiPriority w:val="0"/>
    <w:pPr>
      <w:jc w:val="center"/>
    </w:pPr>
    <w:rPr>
      <w:rFonts w:ascii="宋体" w:hAnsi="宋体"/>
      <w:color w:val="000000"/>
      <w:kern w:val="0"/>
      <w:sz w:val="20"/>
      <w:szCs w:val="20"/>
    </w:rPr>
  </w:style>
  <w:style w:type="character" w:customStyle="1" w:styleId="591">
    <w:name w:val="题注 字符1"/>
    <w:link w:val="20"/>
    <w:qFormat/>
    <w:locked/>
    <w:uiPriority w:val="0"/>
    <w:rPr>
      <w:rFonts w:ascii="Arial" w:hAnsi="Arial" w:eastAsia="黑体"/>
      <w:kern w:val="2"/>
      <w:szCs w:val="24"/>
    </w:rPr>
  </w:style>
  <w:style w:type="character" w:customStyle="1" w:styleId="592">
    <w:name w:val="biaoti1"/>
    <w:qFormat/>
    <w:uiPriority w:val="0"/>
    <w:rPr>
      <w:b/>
      <w:bCs/>
      <w:color w:val="000099"/>
      <w:sz w:val="24"/>
      <w:szCs w:val="24"/>
    </w:rPr>
  </w:style>
  <w:style w:type="character" w:customStyle="1" w:styleId="593">
    <w:name w:val="contenttext1"/>
    <w:qFormat/>
    <w:uiPriority w:val="0"/>
  </w:style>
  <w:style w:type="character" w:customStyle="1" w:styleId="594">
    <w:name w:val="Char Char13"/>
    <w:qFormat/>
    <w:uiPriority w:val="0"/>
    <w:rPr>
      <w:rFonts w:hint="eastAsia" w:ascii="宋体" w:hAnsi="宋体" w:eastAsia="宋体"/>
      <w:snapToGrid/>
      <w:spacing w:val="8"/>
      <w:kern w:val="2"/>
      <w:sz w:val="18"/>
      <w:szCs w:val="18"/>
      <w:lang w:val="en-US" w:eastAsia="zh-CN" w:bidi="ar-SA"/>
    </w:rPr>
  </w:style>
  <w:style w:type="character" w:customStyle="1" w:styleId="595">
    <w:name w:val="正文首行缩进 Char Char Char Char2"/>
    <w:qFormat/>
    <w:locked/>
    <w:uiPriority w:val="0"/>
    <w:rPr>
      <w:rFonts w:ascii="宋体" w:hAnsi="宋体" w:eastAsia="宋体"/>
      <w:kern w:val="2"/>
      <w:sz w:val="28"/>
      <w:szCs w:val="24"/>
      <w:lang w:val="en-US" w:eastAsia="zh-CN" w:bidi="ar-SA"/>
    </w:rPr>
  </w:style>
  <w:style w:type="character" w:customStyle="1" w:styleId="596">
    <w:name w:val="正文文字 2 Char Char"/>
    <w:qFormat/>
    <w:locked/>
    <w:uiPriority w:val="0"/>
    <w:rPr>
      <w:rFonts w:ascii="宋体" w:hAnsi="宋体" w:eastAsia="宋体"/>
      <w:b/>
      <w:kern w:val="2"/>
      <w:sz w:val="21"/>
      <w:szCs w:val="24"/>
      <w:lang w:val="en-US" w:eastAsia="zh-CN" w:bidi="ar-SA"/>
    </w:rPr>
  </w:style>
  <w:style w:type="character" w:customStyle="1" w:styleId="597">
    <w:name w:val="正文文字 3 Char Char Char3"/>
    <w:qFormat/>
    <w:locked/>
    <w:uiPriority w:val="0"/>
    <w:rPr>
      <w:rFonts w:ascii="宋体" w:hAnsi="宋体" w:eastAsia="宋体"/>
      <w:kern w:val="2"/>
      <w:sz w:val="16"/>
      <w:szCs w:val="16"/>
      <w:lang w:val="en-US" w:eastAsia="zh-CN" w:bidi="ar-SA"/>
    </w:rPr>
  </w:style>
  <w:style w:type="character" w:customStyle="1" w:styleId="598">
    <w:name w:val="表题-HF 字符"/>
    <w:link w:val="599"/>
    <w:qFormat/>
    <w:locked/>
    <w:uiPriority w:val="1"/>
    <w:rPr>
      <w:rFonts w:ascii="宋体" w:hAnsi="宋体" w:eastAsia="宋体"/>
      <w:b/>
      <w:sz w:val="24"/>
      <w:szCs w:val="21"/>
      <w:lang w:val="en-US" w:eastAsia="zh-CN" w:bidi="ar-SA"/>
    </w:rPr>
  </w:style>
  <w:style w:type="paragraph" w:customStyle="1" w:styleId="599">
    <w:name w:val="表题-HF"/>
    <w:basedOn w:val="1"/>
    <w:link w:val="598"/>
    <w:qFormat/>
    <w:uiPriority w:val="1"/>
    <w:pPr>
      <w:spacing w:line="348" w:lineRule="auto"/>
      <w:jc w:val="center"/>
    </w:pPr>
    <w:rPr>
      <w:rFonts w:ascii="宋体" w:hAnsi="宋体"/>
      <w:b/>
      <w:kern w:val="0"/>
      <w:sz w:val="24"/>
      <w:szCs w:val="21"/>
    </w:rPr>
  </w:style>
  <w:style w:type="character" w:customStyle="1" w:styleId="600">
    <w:name w:val="正 文 Char"/>
    <w:link w:val="601"/>
    <w:qFormat/>
    <w:locked/>
    <w:uiPriority w:val="0"/>
    <w:rPr>
      <w:sz w:val="28"/>
      <w:szCs w:val="21"/>
      <w:lang w:bidi="ar-SA"/>
    </w:rPr>
  </w:style>
  <w:style w:type="paragraph" w:customStyle="1" w:styleId="601">
    <w:name w:val="正 文"/>
    <w:basedOn w:val="1"/>
    <w:link w:val="600"/>
    <w:qFormat/>
    <w:uiPriority w:val="0"/>
    <w:pPr>
      <w:adjustRightInd w:val="0"/>
      <w:snapToGrid w:val="0"/>
      <w:spacing w:line="348" w:lineRule="auto"/>
      <w:ind w:firstLine="200" w:firstLineChars="200"/>
    </w:pPr>
    <w:rPr>
      <w:rFonts w:eastAsia="Times New Roman"/>
      <w:kern w:val="0"/>
      <w:sz w:val="28"/>
      <w:szCs w:val="21"/>
    </w:rPr>
  </w:style>
  <w:style w:type="character" w:customStyle="1" w:styleId="602">
    <w:name w:val="表格文字错 Char"/>
    <w:link w:val="603"/>
    <w:qFormat/>
    <w:locked/>
    <w:uiPriority w:val="0"/>
    <w:rPr>
      <w:rFonts w:ascii="宋体" w:hAnsi="宋体" w:eastAsia="宋体"/>
      <w:snapToGrid w:val="0"/>
      <w:color w:val="000000"/>
      <w:sz w:val="21"/>
      <w:szCs w:val="18"/>
      <w:u w:color="000000"/>
      <w:lang w:val="en-US" w:eastAsia="zh-CN" w:bidi="ar-SA"/>
    </w:rPr>
  </w:style>
  <w:style w:type="paragraph" w:customStyle="1" w:styleId="603">
    <w:name w:val="表格文字错"/>
    <w:basedOn w:val="1"/>
    <w:link w:val="602"/>
    <w:qFormat/>
    <w:uiPriority w:val="0"/>
    <w:pPr>
      <w:framePr w:wrap="around" w:vAnchor="text" w:hAnchor="text" w:y="1"/>
      <w:widowControl/>
      <w:tabs>
        <w:tab w:val="left" w:pos="1701"/>
        <w:tab w:val="left" w:pos="2263"/>
        <w:tab w:val="left" w:pos="2443"/>
      </w:tabs>
      <w:overflowPunct w:val="0"/>
      <w:autoSpaceDE w:val="0"/>
      <w:autoSpaceDN w:val="0"/>
      <w:adjustRightInd w:val="0"/>
      <w:snapToGrid w:val="0"/>
      <w:jc w:val="center"/>
    </w:pPr>
    <w:rPr>
      <w:rFonts w:ascii="宋体" w:hAnsi="宋体"/>
      <w:snapToGrid w:val="0"/>
      <w:color w:val="000000"/>
      <w:kern w:val="0"/>
      <w:szCs w:val="18"/>
      <w:u w:color="000000"/>
    </w:rPr>
  </w:style>
  <w:style w:type="character" w:customStyle="1" w:styleId="604">
    <w:name w:val="报告 Char"/>
    <w:link w:val="605"/>
    <w:qFormat/>
    <w:locked/>
    <w:uiPriority w:val="0"/>
    <w:rPr>
      <w:rFonts w:ascii="宋体" w:hAnsi="宋体" w:eastAsia="宋体"/>
      <w:sz w:val="24"/>
      <w:lang w:val="en-US" w:eastAsia="zh-CN" w:bidi="ar-SA"/>
    </w:rPr>
  </w:style>
  <w:style w:type="paragraph" w:customStyle="1" w:styleId="605">
    <w:name w:val="报告"/>
    <w:basedOn w:val="1"/>
    <w:link w:val="604"/>
    <w:qFormat/>
    <w:uiPriority w:val="0"/>
    <w:pPr>
      <w:tabs>
        <w:tab w:val="left" w:pos="1701"/>
      </w:tabs>
      <w:autoSpaceDE w:val="0"/>
      <w:autoSpaceDN w:val="0"/>
      <w:adjustRightInd w:val="0"/>
      <w:spacing w:line="360" w:lineRule="auto"/>
      <w:ind w:firstLine="505"/>
      <w:jc w:val="left"/>
    </w:pPr>
    <w:rPr>
      <w:rFonts w:ascii="宋体" w:hAnsi="宋体"/>
      <w:kern w:val="0"/>
      <w:sz w:val="24"/>
      <w:szCs w:val="20"/>
    </w:rPr>
  </w:style>
  <w:style w:type="character" w:customStyle="1" w:styleId="606">
    <w:name w:val="Char1 Char Char2"/>
    <w:qFormat/>
    <w:uiPriority w:val="0"/>
    <w:rPr>
      <w:rFonts w:hint="eastAsia" w:ascii="宋体" w:hAnsi="宋体" w:eastAsia="宋体"/>
      <w:b/>
      <w:bCs/>
      <w:kern w:val="2"/>
      <w:sz w:val="32"/>
      <w:szCs w:val="32"/>
      <w:lang w:val="en-US" w:eastAsia="zh-CN" w:bidi="ar-SA"/>
    </w:rPr>
  </w:style>
  <w:style w:type="character" w:customStyle="1" w:styleId="607">
    <w:name w:val="湛江钢铁表 Char"/>
    <w:link w:val="178"/>
    <w:qFormat/>
    <w:locked/>
    <w:uiPriority w:val="0"/>
    <w:rPr>
      <w:rFonts w:ascii="仿宋_GB2312" w:eastAsia="仿宋_GB2312"/>
      <w:szCs w:val="21"/>
      <w:lang w:bidi="ar-SA"/>
    </w:rPr>
  </w:style>
  <w:style w:type="character" w:customStyle="1" w:styleId="608">
    <w:name w:val="样式13 Char"/>
    <w:link w:val="609"/>
    <w:qFormat/>
    <w:locked/>
    <w:uiPriority w:val="0"/>
    <w:rPr>
      <w:rFonts w:ascii="宋体" w:hAnsi="宋体" w:eastAsia="宋体"/>
      <w:sz w:val="28"/>
      <w:szCs w:val="24"/>
      <w:lang w:val="en-US" w:eastAsia="zh-CN" w:bidi="ar-SA"/>
    </w:rPr>
  </w:style>
  <w:style w:type="paragraph" w:customStyle="1" w:styleId="609">
    <w:name w:val="样式13"/>
    <w:basedOn w:val="1"/>
    <w:link w:val="608"/>
    <w:qFormat/>
    <w:uiPriority w:val="0"/>
    <w:pPr>
      <w:tabs>
        <w:tab w:val="left" w:pos="1701"/>
      </w:tabs>
      <w:snapToGrid w:val="0"/>
      <w:spacing w:line="348" w:lineRule="auto"/>
    </w:pPr>
    <w:rPr>
      <w:rFonts w:ascii="宋体" w:hAnsi="宋体"/>
      <w:kern w:val="0"/>
      <w:sz w:val="28"/>
      <w:szCs w:val="24"/>
    </w:rPr>
  </w:style>
  <w:style w:type="character" w:customStyle="1" w:styleId="610">
    <w:name w:val="正文1-1 Char"/>
    <w:link w:val="611"/>
    <w:qFormat/>
    <w:locked/>
    <w:uiPriority w:val="0"/>
    <w:rPr>
      <w:rFonts w:ascii="宋体" w:hAnsi="宋体" w:eastAsia="仿宋_GB2312"/>
      <w:sz w:val="28"/>
      <w:szCs w:val="24"/>
      <w:lang w:val="en-US" w:eastAsia="zh-CN" w:bidi="ar-SA"/>
    </w:rPr>
  </w:style>
  <w:style w:type="paragraph" w:customStyle="1" w:styleId="611">
    <w:name w:val="正文1-1"/>
    <w:basedOn w:val="1"/>
    <w:link w:val="610"/>
    <w:qFormat/>
    <w:uiPriority w:val="0"/>
    <w:pPr>
      <w:widowControl/>
      <w:snapToGrid w:val="0"/>
      <w:spacing w:line="360" w:lineRule="auto"/>
      <w:ind w:firstLine="200" w:firstLineChars="200"/>
      <w:jc w:val="left"/>
    </w:pPr>
    <w:rPr>
      <w:rFonts w:ascii="宋体" w:hAnsi="宋体" w:eastAsia="仿宋_GB2312"/>
      <w:kern w:val="0"/>
      <w:sz w:val="28"/>
      <w:szCs w:val="24"/>
    </w:rPr>
  </w:style>
  <w:style w:type="character" w:customStyle="1" w:styleId="612">
    <w:name w:val="样式14 Char"/>
    <w:link w:val="613"/>
    <w:qFormat/>
    <w:locked/>
    <w:uiPriority w:val="0"/>
    <w:rPr>
      <w:rFonts w:ascii="宋体" w:hAnsi="宋体" w:eastAsia="宋体"/>
      <w:sz w:val="28"/>
      <w:szCs w:val="24"/>
      <w:lang w:val="en-US" w:eastAsia="zh-CN" w:bidi="ar-SA"/>
    </w:rPr>
  </w:style>
  <w:style w:type="paragraph" w:customStyle="1" w:styleId="613">
    <w:name w:val="样式14"/>
    <w:basedOn w:val="1"/>
    <w:link w:val="612"/>
    <w:qFormat/>
    <w:uiPriority w:val="0"/>
    <w:pPr>
      <w:tabs>
        <w:tab w:val="left" w:pos="1701"/>
      </w:tabs>
      <w:snapToGrid w:val="0"/>
      <w:spacing w:line="348" w:lineRule="auto"/>
    </w:pPr>
    <w:rPr>
      <w:rFonts w:ascii="宋体" w:hAnsi="宋体"/>
      <w:kern w:val="0"/>
      <w:sz w:val="28"/>
      <w:szCs w:val="24"/>
    </w:rPr>
  </w:style>
  <w:style w:type="character" w:customStyle="1" w:styleId="614">
    <w:name w:val="一级条标题 Char"/>
    <w:link w:val="615"/>
    <w:qFormat/>
    <w:locked/>
    <w:uiPriority w:val="0"/>
    <w:rPr>
      <w:rFonts w:ascii="黑体" w:hAnsi="黑体" w:eastAsia="黑体"/>
      <w:sz w:val="21"/>
      <w:lang w:val="en-US" w:eastAsia="zh-CN" w:bidi="ar-SA"/>
    </w:rPr>
  </w:style>
  <w:style w:type="paragraph" w:customStyle="1" w:styleId="615">
    <w:name w:val="一级条标题"/>
    <w:next w:val="1"/>
    <w:link w:val="614"/>
    <w:qFormat/>
    <w:uiPriority w:val="0"/>
    <w:pPr>
      <w:outlineLvl w:val="2"/>
    </w:pPr>
    <w:rPr>
      <w:rFonts w:ascii="黑体" w:hAnsi="黑体" w:eastAsia="黑体" w:cs="Times New Roman"/>
      <w:sz w:val="21"/>
      <w:lang w:val="en-US" w:eastAsia="zh-CN" w:bidi="ar-SA"/>
    </w:rPr>
  </w:style>
  <w:style w:type="character" w:customStyle="1" w:styleId="616">
    <w:name w:val="样式15 Char"/>
    <w:link w:val="617"/>
    <w:qFormat/>
    <w:locked/>
    <w:uiPriority w:val="0"/>
    <w:rPr>
      <w:rFonts w:ascii="宋体" w:hAnsi="宋体" w:eastAsia="宋体"/>
      <w:b/>
      <w:snapToGrid w:val="0"/>
      <w:color w:val="000000"/>
      <w:sz w:val="28"/>
      <w:szCs w:val="28"/>
      <w:lang w:val="en-US" w:eastAsia="zh-CN" w:bidi="ar-SA"/>
    </w:rPr>
  </w:style>
  <w:style w:type="paragraph" w:customStyle="1" w:styleId="617">
    <w:name w:val="样式15"/>
    <w:basedOn w:val="1"/>
    <w:link w:val="616"/>
    <w:qFormat/>
    <w:uiPriority w:val="0"/>
    <w:pPr>
      <w:keepNext/>
      <w:keepLines/>
      <w:adjustRightInd w:val="0"/>
      <w:snapToGrid w:val="0"/>
      <w:spacing w:line="348" w:lineRule="auto"/>
      <w:outlineLvl w:val="0"/>
    </w:pPr>
    <w:rPr>
      <w:rFonts w:ascii="宋体" w:hAnsi="宋体"/>
      <w:b/>
      <w:snapToGrid w:val="0"/>
      <w:color w:val="000000"/>
      <w:kern w:val="0"/>
      <w:sz w:val="28"/>
      <w:szCs w:val="28"/>
    </w:rPr>
  </w:style>
  <w:style w:type="character" w:customStyle="1" w:styleId="618">
    <w:name w:val="样式17 Char"/>
    <w:link w:val="249"/>
    <w:qFormat/>
    <w:locked/>
    <w:uiPriority w:val="0"/>
    <w:rPr>
      <w:rFonts w:ascii="楷体_GB2312" w:eastAsia="楷体_GB2312"/>
      <w:b/>
      <w:bCs/>
      <w:snapToGrid w:val="0"/>
      <w:color w:val="000000"/>
      <w:spacing w:val="8"/>
      <w:sz w:val="24"/>
      <w:szCs w:val="28"/>
      <w:lang w:val="en-US" w:eastAsia="zh-CN" w:bidi="ar-SA"/>
    </w:rPr>
  </w:style>
  <w:style w:type="character" w:customStyle="1" w:styleId="619">
    <w:name w:val="B Char"/>
    <w:link w:val="620"/>
    <w:qFormat/>
    <w:locked/>
    <w:uiPriority w:val="0"/>
    <w:rPr>
      <w:rFonts w:ascii="宋体" w:hAnsi="宋体" w:eastAsia="宋体"/>
      <w:bCs/>
      <w:snapToGrid w:val="0"/>
      <w:kern w:val="11"/>
      <w:sz w:val="24"/>
      <w:szCs w:val="24"/>
      <w:lang w:val="en-US" w:eastAsia="zh-CN" w:bidi="ar-SA"/>
    </w:rPr>
  </w:style>
  <w:style w:type="paragraph" w:customStyle="1" w:styleId="620">
    <w:name w:val="B"/>
    <w:basedOn w:val="1"/>
    <w:link w:val="619"/>
    <w:qFormat/>
    <w:uiPriority w:val="0"/>
    <w:pPr>
      <w:snapToGrid w:val="0"/>
      <w:spacing w:line="360" w:lineRule="auto"/>
      <w:ind w:firstLine="487" w:firstLineChars="200"/>
    </w:pPr>
    <w:rPr>
      <w:rFonts w:ascii="宋体" w:hAnsi="宋体"/>
      <w:bCs/>
      <w:snapToGrid w:val="0"/>
      <w:kern w:val="11"/>
      <w:sz w:val="24"/>
      <w:szCs w:val="24"/>
    </w:rPr>
  </w:style>
  <w:style w:type="character" w:customStyle="1" w:styleId="621">
    <w:name w:val="A3 Char"/>
    <w:link w:val="622"/>
    <w:qFormat/>
    <w:locked/>
    <w:uiPriority w:val="0"/>
    <w:rPr>
      <w:rFonts w:ascii="宋体" w:hAnsi="宋体" w:eastAsia="宋体"/>
      <w:bCs/>
      <w:sz w:val="28"/>
      <w:szCs w:val="28"/>
      <w:lang w:val="en-US" w:eastAsia="zh-CN" w:bidi="ar-SA"/>
    </w:rPr>
  </w:style>
  <w:style w:type="paragraph" w:customStyle="1" w:styleId="622">
    <w:name w:val="A3"/>
    <w:basedOn w:val="1"/>
    <w:link w:val="621"/>
    <w:qFormat/>
    <w:uiPriority w:val="0"/>
    <w:pPr>
      <w:keepNext/>
      <w:keepLines/>
      <w:spacing w:before="260" w:after="260" w:line="415" w:lineRule="auto"/>
      <w:outlineLvl w:val="2"/>
    </w:pPr>
    <w:rPr>
      <w:rFonts w:ascii="宋体" w:hAnsi="宋体"/>
      <w:bCs/>
      <w:kern w:val="0"/>
      <w:sz w:val="28"/>
      <w:szCs w:val="28"/>
    </w:rPr>
  </w:style>
  <w:style w:type="character" w:customStyle="1" w:styleId="623">
    <w:name w:val="样式41 Char"/>
    <w:link w:val="503"/>
    <w:qFormat/>
    <w:locked/>
    <w:uiPriority w:val="0"/>
    <w:rPr>
      <w:rFonts w:ascii="宋体" w:hAnsi="宋体" w:eastAsia="宋体"/>
      <w:b/>
      <w:color w:val="000000"/>
      <w:sz w:val="28"/>
      <w:szCs w:val="30"/>
      <w:lang w:val="en-US" w:eastAsia="zh-CN" w:bidi="ar-SA"/>
    </w:rPr>
  </w:style>
  <w:style w:type="character" w:customStyle="1" w:styleId="624">
    <w:name w:val="样式120 Char"/>
    <w:link w:val="625"/>
    <w:qFormat/>
    <w:locked/>
    <w:uiPriority w:val="0"/>
    <w:rPr>
      <w:rFonts w:ascii="黑体" w:hAnsi="黑体" w:eastAsia="黑体"/>
      <w:b/>
      <w:szCs w:val="21"/>
      <w:lang w:val="en-US" w:eastAsia="zh-CN" w:bidi="ar-SA"/>
    </w:rPr>
  </w:style>
  <w:style w:type="paragraph" w:customStyle="1" w:styleId="625">
    <w:name w:val="样式120"/>
    <w:basedOn w:val="1"/>
    <w:link w:val="624"/>
    <w:qFormat/>
    <w:uiPriority w:val="0"/>
    <w:pPr>
      <w:spacing w:line="520" w:lineRule="exact"/>
      <w:jc w:val="center"/>
    </w:pPr>
    <w:rPr>
      <w:rFonts w:ascii="黑体" w:hAnsi="黑体" w:eastAsia="黑体"/>
      <w:b/>
      <w:kern w:val="0"/>
      <w:sz w:val="20"/>
      <w:szCs w:val="21"/>
    </w:rPr>
  </w:style>
  <w:style w:type="character" w:customStyle="1" w:styleId="626">
    <w:name w:val="样式45 Char"/>
    <w:link w:val="627"/>
    <w:qFormat/>
    <w:locked/>
    <w:uiPriority w:val="0"/>
    <w:rPr>
      <w:rFonts w:ascii="宋体" w:hAnsi="宋体" w:eastAsia="宋体"/>
      <w:color w:val="000000"/>
      <w:lang w:val="en-US" w:eastAsia="zh-CN" w:bidi="ar-SA"/>
    </w:rPr>
  </w:style>
  <w:style w:type="paragraph" w:customStyle="1" w:styleId="627">
    <w:name w:val="样式45"/>
    <w:basedOn w:val="1"/>
    <w:link w:val="626"/>
    <w:qFormat/>
    <w:uiPriority w:val="0"/>
    <w:pPr>
      <w:adjustRightInd w:val="0"/>
      <w:spacing w:line="320" w:lineRule="exact"/>
      <w:jc w:val="center"/>
    </w:pPr>
    <w:rPr>
      <w:rFonts w:ascii="宋体" w:hAnsi="宋体"/>
      <w:color w:val="000000"/>
      <w:kern w:val="0"/>
      <w:sz w:val="20"/>
      <w:szCs w:val="20"/>
    </w:rPr>
  </w:style>
  <w:style w:type="character" w:customStyle="1" w:styleId="628">
    <w:name w:val="样式117 Char"/>
    <w:link w:val="629"/>
    <w:qFormat/>
    <w:locked/>
    <w:uiPriority w:val="0"/>
    <w:rPr>
      <w:rFonts w:ascii="黑体" w:hAnsi="黑体" w:eastAsia="黑体"/>
      <w:bCs/>
      <w:snapToGrid w:val="0"/>
      <w:color w:val="000000"/>
      <w:szCs w:val="21"/>
      <w:lang w:val="en-US" w:eastAsia="zh-CN" w:bidi="ar-SA"/>
    </w:rPr>
  </w:style>
  <w:style w:type="paragraph" w:customStyle="1" w:styleId="629">
    <w:name w:val="样式117"/>
    <w:basedOn w:val="1"/>
    <w:link w:val="628"/>
    <w:qFormat/>
    <w:uiPriority w:val="0"/>
    <w:pPr>
      <w:adjustRightInd w:val="0"/>
      <w:snapToGrid w:val="0"/>
      <w:spacing w:line="280" w:lineRule="exact"/>
      <w:jc w:val="center"/>
    </w:pPr>
    <w:rPr>
      <w:rFonts w:ascii="黑体" w:hAnsi="黑体" w:eastAsia="黑体"/>
      <w:bCs/>
      <w:snapToGrid w:val="0"/>
      <w:color w:val="000000"/>
      <w:kern w:val="0"/>
      <w:sz w:val="20"/>
      <w:szCs w:val="21"/>
    </w:rPr>
  </w:style>
  <w:style w:type="character" w:customStyle="1" w:styleId="630">
    <w:name w:val="样式136 Char"/>
    <w:link w:val="631"/>
    <w:qFormat/>
    <w:locked/>
    <w:uiPriority w:val="0"/>
    <w:rPr>
      <w:rFonts w:ascii="仿宋_GB2312" w:eastAsia="仿宋_GB2312"/>
      <w:sz w:val="24"/>
      <w:szCs w:val="24"/>
      <w:lang w:val="en-US" w:eastAsia="zh-CN" w:bidi="ar-SA"/>
    </w:rPr>
  </w:style>
  <w:style w:type="paragraph" w:customStyle="1" w:styleId="631">
    <w:name w:val="样式136"/>
    <w:basedOn w:val="1"/>
    <w:link w:val="630"/>
    <w:qFormat/>
    <w:uiPriority w:val="0"/>
    <w:pPr>
      <w:spacing w:beforeLines="50" w:line="360" w:lineRule="auto"/>
      <w:ind w:firstLine="480" w:firstLineChars="200"/>
    </w:pPr>
    <w:rPr>
      <w:rFonts w:ascii="仿宋_GB2312" w:eastAsia="仿宋_GB2312"/>
      <w:kern w:val="0"/>
      <w:sz w:val="24"/>
      <w:szCs w:val="24"/>
    </w:rPr>
  </w:style>
  <w:style w:type="character" w:customStyle="1" w:styleId="632">
    <w:name w:val="样式173 Char"/>
    <w:link w:val="633"/>
    <w:qFormat/>
    <w:locked/>
    <w:uiPriority w:val="0"/>
    <w:rPr>
      <w:rFonts w:ascii="黑体" w:hAnsi="黑体" w:eastAsia="黑体"/>
      <w:bCs/>
      <w:color w:val="000000"/>
      <w:sz w:val="24"/>
      <w:szCs w:val="24"/>
      <w:lang w:val="en-US" w:eastAsia="zh-CN" w:bidi="ar-SA"/>
    </w:rPr>
  </w:style>
  <w:style w:type="paragraph" w:customStyle="1" w:styleId="633">
    <w:name w:val="样式173"/>
    <w:basedOn w:val="1"/>
    <w:link w:val="632"/>
    <w:qFormat/>
    <w:uiPriority w:val="0"/>
    <w:pPr>
      <w:keepNext/>
      <w:keepLines/>
      <w:widowControl/>
      <w:spacing w:before="60" w:after="60"/>
      <w:outlineLvl w:val="3"/>
    </w:pPr>
    <w:rPr>
      <w:rFonts w:ascii="黑体" w:hAnsi="黑体" w:eastAsia="黑体"/>
      <w:bCs/>
      <w:color w:val="000000"/>
      <w:kern w:val="0"/>
      <w:sz w:val="24"/>
      <w:szCs w:val="24"/>
    </w:rPr>
  </w:style>
  <w:style w:type="character" w:customStyle="1" w:styleId="634">
    <w:name w:val="EmailStyle21331"/>
    <w:qFormat/>
    <w:uiPriority w:val="0"/>
    <w:rPr>
      <w:rFonts w:hint="default" w:ascii="Arial" w:hAnsi="Arial" w:eastAsia="PMingLiU" w:cs="Arial"/>
      <w:color w:val="000000"/>
      <w:sz w:val="18"/>
    </w:rPr>
  </w:style>
  <w:style w:type="character" w:customStyle="1" w:styleId="635">
    <w:name w:val="样式171 Char"/>
    <w:link w:val="636"/>
    <w:qFormat/>
    <w:locked/>
    <w:uiPriority w:val="0"/>
    <w:rPr>
      <w:rFonts w:ascii="黑体" w:hAnsi="黑体" w:eastAsia="黑体"/>
      <w:b/>
      <w:bCs/>
      <w:color w:val="000000"/>
      <w:sz w:val="24"/>
      <w:szCs w:val="24"/>
      <w:lang w:val="en-US" w:eastAsia="zh-CN" w:bidi="ar-SA"/>
    </w:rPr>
  </w:style>
  <w:style w:type="paragraph" w:customStyle="1" w:styleId="636">
    <w:name w:val="样式171"/>
    <w:basedOn w:val="1"/>
    <w:link w:val="635"/>
    <w:qFormat/>
    <w:uiPriority w:val="0"/>
    <w:pPr>
      <w:keepNext/>
      <w:keepLines/>
      <w:widowControl/>
      <w:spacing w:before="60" w:after="60"/>
      <w:outlineLvl w:val="2"/>
    </w:pPr>
    <w:rPr>
      <w:rFonts w:ascii="黑体" w:hAnsi="黑体" w:eastAsia="黑体"/>
      <w:b/>
      <w:bCs/>
      <w:color w:val="000000"/>
      <w:kern w:val="0"/>
      <w:sz w:val="24"/>
      <w:szCs w:val="24"/>
    </w:rPr>
  </w:style>
  <w:style w:type="character" w:customStyle="1" w:styleId="637">
    <w:name w:val="样式 样式 标题 3 + 小四 非加粗 + Char"/>
    <w:qFormat/>
    <w:uiPriority w:val="0"/>
    <w:rPr>
      <w:rFonts w:hint="eastAsia" w:ascii="仿宋_GB2312" w:eastAsia="仿宋_GB2312"/>
      <w:b/>
      <w:bCs/>
      <w:kern w:val="2"/>
      <w:sz w:val="24"/>
      <w:szCs w:val="24"/>
      <w:lang w:val="en-US" w:eastAsia="zh-CN" w:bidi="ar-SA"/>
    </w:rPr>
  </w:style>
  <w:style w:type="character" w:customStyle="1" w:styleId="638">
    <w:name w:val="样式66 Char"/>
    <w:link w:val="303"/>
    <w:qFormat/>
    <w:locked/>
    <w:uiPriority w:val="0"/>
    <w:rPr>
      <w:rFonts w:ascii="仿宋_GB2312" w:eastAsia="仿宋_GB2312"/>
      <w:sz w:val="24"/>
      <w:szCs w:val="24"/>
      <w:lang w:val="en-US" w:eastAsia="zh-CN" w:bidi="ar-SA"/>
    </w:rPr>
  </w:style>
  <w:style w:type="character" w:customStyle="1" w:styleId="639">
    <w:name w:val="EmailStyle21991"/>
    <w:qFormat/>
    <w:uiPriority w:val="0"/>
    <w:rPr>
      <w:rFonts w:hint="default" w:ascii="Arial" w:hAnsi="Arial" w:eastAsia="PMingLiU" w:cs="Arial"/>
      <w:color w:val="000000"/>
      <w:sz w:val="18"/>
    </w:rPr>
  </w:style>
  <w:style w:type="character" w:customStyle="1" w:styleId="640">
    <w:name w:val="B Char Char"/>
    <w:qFormat/>
    <w:uiPriority w:val="0"/>
    <w:rPr>
      <w:rFonts w:hint="eastAsia" w:ascii="宋体" w:hAnsi="宋体" w:eastAsia="宋体"/>
      <w:bCs/>
      <w:snapToGrid/>
      <w:kern w:val="11"/>
      <w:sz w:val="24"/>
      <w:szCs w:val="24"/>
      <w:lang w:val="en-US" w:eastAsia="zh-CN" w:bidi="ar-SA"/>
    </w:rPr>
  </w:style>
  <w:style w:type="character" w:customStyle="1" w:styleId="641">
    <w:name w:val="样式 正文文本缩进 3 + 黑色1 Char"/>
    <w:link w:val="642"/>
    <w:qFormat/>
    <w:locked/>
    <w:uiPriority w:val="0"/>
    <w:rPr>
      <w:rFonts w:ascii="宋体" w:hAnsi="宋体" w:eastAsia="宋体"/>
      <w:b/>
      <w:bCs/>
      <w:color w:val="000000"/>
      <w:lang w:val="en-US" w:eastAsia="zh-CN" w:bidi="ar-SA"/>
    </w:rPr>
  </w:style>
  <w:style w:type="paragraph" w:customStyle="1" w:styleId="642">
    <w:name w:val="样式 正文文本缩进 3 + 黑色1"/>
    <w:basedOn w:val="1"/>
    <w:link w:val="641"/>
    <w:qFormat/>
    <w:uiPriority w:val="0"/>
    <w:pPr>
      <w:adjustRightInd w:val="0"/>
      <w:spacing w:before="60" w:line="440" w:lineRule="atLeast"/>
      <w:jc w:val="center"/>
    </w:pPr>
    <w:rPr>
      <w:rFonts w:ascii="宋体" w:hAnsi="宋体"/>
      <w:b/>
      <w:bCs/>
      <w:color w:val="000000"/>
      <w:kern w:val="0"/>
      <w:sz w:val="20"/>
      <w:szCs w:val="20"/>
    </w:rPr>
  </w:style>
  <w:style w:type="character" w:customStyle="1" w:styleId="643">
    <w:name w:val="样式 正文文本缩进 3 + 黑色 Char1"/>
    <w:link w:val="644"/>
    <w:qFormat/>
    <w:locked/>
    <w:uiPriority w:val="0"/>
    <w:rPr>
      <w:rFonts w:ascii="宋体" w:hAnsi="宋体" w:eastAsia="宋体"/>
      <w:b/>
      <w:bCs/>
      <w:sz w:val="24"/>
      <w:szCs w:val="24"/>
      <w:lang w:val="en-US" w:eastAsia="zh-CN" w:bidi="ar-SA"/>
    </w:rPr>
  </w:style>
  <w:style w:type="paragraph" w:customStyle="1" w:styleId="644">
    <w:name w:val="样式 正文文本缩进 3 + 黑色"/>
    <w:basedOn w:val="1"/>
    <w:link w:val="643"/>
    <w:qFormat/>
    <w:uiPriority w:val="0"/>
    <w:pPr>
      <w:adjustRightInd w:val="0"/>
      <w:spacing w:before="60" w:line="500" w:lineRule="exact"/>
      <w:jc w:val="center"/>
    </w:pPr>
    <w:rPr>
      <w:rFonts w:ascii="宋体" w:hAnsi="宋体"/>
      <w:b/>
      <w:bCs/>
      <w:kern w:val="0"/>
      <w:sz w:val="24"/>
      <w:szCs w:val="24"/>
    </w:rPr>
  </w:style>
  <w:style w:type="character" w:customStyle="1" w:styleId="645">
    <w:name w:val="样式 正文文本缩进特点标题正文文本缩进 Char + 黑色 Char"/>
    <w:link w:val="646"/>
    <w:qFormat/>
    <w:locked/>
    <w:uiPriority w:val="0"/>
    <w:rPr>
      <w:rFonts w:ascii="宋体" w:hAnsi="宋体" w:eastAsia="宋体"/>
      <w:color w:val="000000"/>
      <w:sz w:val="24"/>
      <w:szCs w:val="28"/>
      <w:lang w:val="en-US" w:eastAsia="zh-CN" w:bidi="ar-SA"/>
    </w:rPr>
  </w:style>
  <w:style w:type="paragraph" w:customStyle="1" w:styleId="646">
    <w:name w:val="样式 正文文本缩进特点标题正文文本缩进 Char + 黑色"/>
    <w:basedOn w:val="1"/>
    <w:link w:val="645"/>
    <w:qFormat/>
    <w:uiPriority w:val="0"/>
    <w:pPr>
      <w:spacing w:line="460" w:lineRule="exact"/>
      <w:ind w:firstLine="200" w:firstLineChars="200"/>
    </w:pPr>
    <w:rPr>
      <w:rFonts w:ascii="宋体" w:hAnsi="宋体"/>
      <w:color w:val="000000"/>
      <w:kern w:val="0"/>
      <w:sz w:val="24"/>
      <w:szCs w:val="28"/>
    </w:rPr>
  </w:style>
  <w:style w:type="character" w:customStyle="1" w:styleId="647">
    <w:name w:val="g Char Char1"/>
    <w:semiHidden/>
    <w:qFormat/>
    <w:uiPriority w:val="0"/>
    <w:rPr>
      <w:rFonts w:hint="eastAsia" w:ascii="宋体" w:hAnsi="宋体" w:eastAsia="宋体"/>
      <w:snapToGrid/>
      <w:spacing w:val="8"/>
      <w:kern w:val="2"/>
      <w:sz w:val="18"/>
      <w:szCs w:val="18"/>
      <w:lang w:val="en-US" w:eastAsia="zh-CN" w:bidi="ar-SA"/>
    </w:rPr>
  </w:style>
  <w:style w:type="character" w:customStyle="1" w:styleId="648">
    <w:name w:val="热电厂正文 Char"/>
    <w:link w:val="649"/>
    <w:qFormat/>
    <w:locked/>
    <w:uiPriority w:val="0"/>
    <w:rPr>
      <w:rFonts w:ascii="宋体" w:hAnsi="宋体" w:eastAsia="宋体"/>
      <w:color w:val="000000"/>
      <w:sz w:val="24"/>
      <w:szCs w:val="24"/>
      <w:lang w:val="en-US" w:eastAsia="zh-CN" w:bidi="ar-SA"/>
    </w:rPr>
  </w:style>
  <w:style w:type="paragraph" w:customStyle="1" w:styleId="649">
    <w:name w:val="热电厂正文"/>
    <w:basedOn w:val="1"/>
    <w:link w:val="648"/>
    <w:qFormat/>
    <w:uiPriority w:val="0"/>
    <w:pPr>
      <w:spacing w:line="440" w:lineRule="exact"/>
      <w:ind w:firstLine="480" w:firstLineChars="200"/>
    </w:pPr>
    <w:rPr>
      <w:rFonts w:ascii="宋体" w:hAnsi="宋体"/>
      <w:color w:val="000000"/>
      <w:kern w:val="0"/>
      <w:sz w:val="24"/>
      <w:szCs w:val="24"/>
    </w:rPr>
  </w:style>
  <w:style w:type="character" w:customStyle="1" w:styleId="650">
    <w:name w:val="样式 黑色 首行缩进:  2 字符 Char"/>
    <w:link w:val="651"/>
    <w:qFormat/>
    <w:locked/>
    <w:uiPriority w:val="0"/>
    <w:rPr>
      <w:rFonts w:ascii="宋体" w:hAnsi="宋体" w:eastAsia="宋体"/>
      <w:color w:val="000000"/>
      <w:lang w:val="en-US" w:eastAsia="zh-CN" w:bidi="ar-SA"/>
    </w:rPr>
  </w:style>
  <w:style w:type="paragraph" w:customStyle="1" w:styleId="651">
    <w:name w:val="样式 黑色 首行缩进:  2 字符"/>
    <w:basedOn w:val="1"/>
    <w:link w:val="650"/>
    <w:qFormat/>
    <w:uiPriority w:val="0"/>
    <w:pPr>
      <w:spacing w:line="320" w:lineRule="exact"/>
      <w:jc w:val="center"/>
    </w:pPr>
    <w:rPr>
      <w:rFonts w:ascii="宋体" w:hAnsi="宋体"/>
      <w:color w:val="000000"/>
      <w:kern w:val="0"/>
      <w:sz w:val="20"/>
      <w:szCs w:val="20"/>
    </w:rPr>
  </w:style>
  <w:style w:type="character" w:customStyle="1" w:styleId="652">
    <w:name w:val="样式 标题 2H2标题 2 Char1SeHead wsa2Chapter标题 1.1Chapter Title... Char"/>
    <w:link w:val="161"/>
    <w:qFormat/>
    <w:locked/>
    <w:uiPriority w:val="0"/>
    <w:rPr>
      <w:rFonts w:ascii="黑体" w:hAnsi="黑体" w:eastAsia="黑体"/>
      <w:b/>
      <w:sz w:val="30"/>
      <w:lang w:val="en-US" w:eastAsia="zh-CN" w:bidi="ar-SA"/>
    </w:rPr>
  </w:style>
  <w:style w:type="character" w:customStyle="1" w:styleId="653">
    <w:name w:val="样式 正文文本缩进 2正文文本缩进 2 Char Char Char Char正文文本缩进 2 Char Char + 黑色2 Char"/>
    <w:link w:val="654"/>
    <w:qFormat/>
    <w:locked/>
    <w:uiPriority w:val="0"/>
    <w:rPr>
      <w:rFonts w:ascii="宋体" w:hAnsi="宋体" w:eastAsia="宋体"/>
      <w:color w:val="000000"/>
      <w:szCs w:val="21"/>
      <w:lang w:val="en-US" w:eastAsia="zh-CN" w:bidi="ar-SA"/>
    </w:rPr>
  </w:style>
  <w:style w:type="paragraph" w:customStyle="1" w:styleId="654">
    <w:name w:val="样式 正文文本缩进 2正文文本缩进 2 Char Char Char Char正文文本缩进 2 Char Char + 黑色2"/>
    <w:basedOn w:val="46"/>
    <w:link w:val="653"/>
    <w:qFormat/>
    <w:uiPriority w:val="0"/>
    <w:pPr>
      <w:adjustRightInd w:val="0"/>
      <w:snapToGrid/>
      <w:spacing w:after="0" w:line="320" w:lineRule="exact"/>
      <w:ind w:left="0" w:leftChars="0" w:firstLine="0" w:firstLineChars="0"/>
      <w:jc w:val="center"/>
    </w:pPr>
    <w:rPr>
      <w:color w:val="000000"/>
      <w:kern w:val="0"/>
      <w:sz w:val="20"/>
      <w:szCs w:val="21"/>
    </w:rPr>
  </w:style>
  <w:style w:type="character" w:customStyle="1" w:styleId="655">
    <w:name w:val="Char1 Char Char3"/>
    <w:qFormat/>
    <w:uiPriority w:val="0"/>
    <w:rPr>
      <w:rFonts w:hint="eastAsia" w:ascii="宋体" w:hAnsi="宋体" w:eastAsia="宋体"/>
      <w:b/>
      <w:bCs/>
      <w:kern w:val="2"/>
      <w:sz w:val="32"/>
      <w:szCs w:val="32"/>
      <w:lang w:val="en-US" w:eastAsia="zh-CN" w:bidi="ar-SA"/>
    </w:rPr>
  </w:style>
  <w:style w:type="character" w:customStyle="1" w:styleId="656">
    <w:name w:val="lanmu_title1"/>
    <w:qFormat/>
    <w:uiPriority w:val="0"/>
    <w:rPr>
      <w:b/>
      <w:bCs/>
      <w:color w:val="000000"/>
      <w:sz w:val="24"/>
      <w:szCs w:val="24"/>
    </w:rPr>
  </w:style>
  <w:style w:type="character" w:customStyle="1" w:styleId="657">
    <w:name w:val="样式 标题 1标题 111一、Head 1wsa文章标题b1章标题 1H1PIM 1标书1h1标题 11... Char"/>
    <w:link w:val="257"/>
    <w:qFormat/>
    <w:locked/>
    <w:uiPriority w:val="0"/>
    <w:rPr>
      <w:rFonts w:ascii="黑体" w:hAnsi="黑体" w:eastAsia="宋体"/>
      <w:b/>
      <w:bCs/>
      <w:color w:val="000000"/>
      <w:kern w:val="44"/>
      <w:sz w:val="44"/>
      <w:szCs w:val="44"/>
      <w:lang w:val="en-US" w:eastAsia="zh-CN" w:bidi="ar-SA"/>
    </w:rPr>
  </w:style>
  <w:style w:type="character" w:customStyle="1" w:styleId="658">
    <w:name w:val="样式21 Char"/>
    <w:link w:val="659"/>
    <w:qFormat/>
    <w:locked/>
    <w:uiPriority w:val="0"/>
    <w:rPr>
      <w:rFonts w:ascii="宋体" w:hAnsi="宋体" w:eastAsia="宋体"/>
      <w:b/>
      <w:color w:val="000000"/>
      <w:sz w:val="24"/>
      <w:szCs w:val="24"/>
      <w:lang w:val="en-US" w:eastAsia="zh-CN" w:bidi="ar-SA"/>
    </w:rPr>
  </w:style>
  <w:style w:type="paragraph" w:customStyle="1" w:styleId="659">
    <w:name w:val="样式21"/>
    <w:basedOn w:val="319"/>
    <w:link w:val="658"/>
    <w:qFormat/>
    <w:uiPriority w:val="0"/>
    <w:pPr>
      <w:snapToGrid/>
      <w:spacing w:line="460" w:lineRule="exact"/>
      <w:ind w:firstLine="560" w:firstLineChars="200"/>
    </w:pPr>
    <w:rPr>
      <w:b/>
      <w:snapToGrid/>
      <w:color w:val="000000"/>
      <w:spacing w:val="0"/>
      <w:sz w:val="24"/>
      <w:szCs w:val="24"/>
    </w:rPr>
  </w:style>
  <w:style w:type="character" w:customStyle="1" w:styleId="660">
    <w:name w:val="Char Char23"/>
    <w:qFormat/>
    <w:uiPriority w:val="0"/>
    <w:rPr>
      <w:rFonts w:hint="eastAsia" w:ascii="宋体" w:hAnsi="宋体" w:eastAsia="宋体"/>
      <w:kern w:val="2"/>
      <w:sz w:val="18"/>
      <w:szCs w:val="18"/>
      <w:lang w:val="en-US" w:eastAsia="zh-CN" w:bidi="ar-SA"/>
    </w:rPr>
  </w:style>
  <w:style w:type="character" w:customStyle="1" w:styleId="661">
    <w:name w:val="样式37 Char"/>
    <w:link w:val="202"/>
    <w:qFormat/>
    <w:locked/>
    <w:uiPriority w:val="0"/>
    <w:rPr>
      <w:rFonts w:ascii="Arial" w:hAnsi="Arial" w:eastAsia="宋体" w:cs="Arial"/>
      <w:b/>
      <w:bCs/>
      <w:color w:val="000000"/>
      <w:sz w:val="24"/>
      <w:szCs w:val="24"/>
      <w:lang w:val="en-US" w:eastAsia="zh-CN" w:bidi="ar-SA"/>
    </w:rPr>
  </w:style>
  <w:style w:type="character" w:customStyle="1" w:styleId="662">
    <w:name w:val="报告 Char Char"/>
    <w:qFormat/>
    <w:uiPriority w:val="0"/>
    <w:rPr>
      <w:rFonts w:hint="eastAsia" w:ascii="宋体" w:hAnsi="宋体" w:eastAsia="宋体"/>
      <w:kern w:val="2"/>
      <w:sz w:val="24"/>
      <w:szCs w:val="24"/>
      <w:lang w:val="en-US" w:eastAsia="zh-CN" w:bidi="ar-SA"/>
    </w:rPr>
  </w:style>
  <w:style w:type="character" w:customStyle="1" w:styleId="663">
    <w:name w:val="样式 宋体 四号 黑色"/>
    <w:qFormat/>
    <w:uiPriority w:val="0"/>
    <w:rPr>
      <w:rFonts w:hint="eastAsia" w:ascii="宋体" w:hAnsi="宋体" w:eastAsia="宋体"/>
      <w:color w:val="000000"/>
      <w:sz w:val="28"/>
      <w:szCs w:val="28"/>
      <w:lang w:val="en-US" w:eastAsia="en-US" w:bidi="ar-SA"/>
    </w:rPr>
  </w:style>
  <w:style w:type="character" w:customStyle="1" w:styleId="664">
    <w:name w:val="样式39 Char1"/>
    <w:link w:val="665"/>
    <w:qFormat/>
    <w:locked/>
    <w:uiPriority w:val="0"/>
    <w:rPr>
      <w:rFonts w:ascii="宋体" w:hAnsi="宋体" w:eastAsia="宋体"/>
      <w:b/>
      <w:bCs/>
      <w:color w:val="000000"/>
      <w:sz w:val="24"/>
      <w:szCs w:val="24"/>
      <w:lang w:val="en-US" w:eastAsia="zh-CN" w:bidi="ar-SA"/>
    </w:rPr>
  </w:style>
  <w:style w:type="paragraph" w:customStyle="1" w:styleId="665">
    <w:name w:val="样式39"/>
    <w:basedOn w:val="644"/>
    <w:link w:val="664"/>
    <w:qFormat/>
    <w:uiPriority w:val="0"/>
    <w:rPr>
      <w:color w:val="000000"/>
    </w:rPr>
  </w:style>
  <w:style w:type="character" w:customStyle="1" w:styleId="666">
    <w:name w:val="样式 标题 2 + 仿宋_GB2312 四号 非加粗 Char"/>
    <w:qFormat/>
    <w:uiPriority w:val="0"/>
    <w:rPr>
      <w:rFonts w:hint="eastAsia" w:ascii="仿宋_GB2312" w:eastAsia="仿宋_GB2312"/>
      <w:bCs/>
      <w:kern w:val="2"/>
      <w:sz w:val="28"/>
      <w:szCs w:val="28"/>
      <w:lang w:val="en-US" w:eastAsia="zh-CN" w:bidi="ar-SA"/>
    </w:rPr>
  </w:style>
  <w:style w:type="character" w:customStyle="1" w:styleId="667">
    <w:name w:val="样式40 Char1"/>
    <w:link w:val="213"/>
    <w:qFormat/>
    <w:locked/>
    <w:uiPriority w:val="0"/>
    <w:rPr>
      <w:rFonts w:ascii="宋体" w:hAnsi="宋体" w:eastAsia="宋体"/>
      <w:color w:val="000000"/>
      <w:lang w:val="en-US" w:eastAsia="zh-CN" w:bidi="ar-SA"/>
    </w:rPr>
  </w:style>
  <w:style w:type="character" w:customStyle="1" w:styleId="668">
    <w:name w:val="样式 标题 3 + 小四 非加粗 Char"/>
    <w:qFormat/>
    <w:uiPriority w:val="0"/>
    <w:rPr>
      <w:rFonts w:hint="eastAsia" w:ascii="仿宋_GB2312" w:eastAsia="仿宋_GB2312"/>
      <w:b/>
      <w:bCs/>
      <w:kern w:val="2"/>
      <w:sz w:val="24"/>
      <w:szCs w:val="24"/>
      <w:lang w:val="en-US" w:eastAsia="zh-CN" w:bidi="ar-SA"/>
    </w:rPr>
  </w:style>
  <w:style w:type="character" w:customStyle="1" w:styleId="669">
    <w:name w:val="样式42 Char"/>
    <w:link w:val="670"/>
    <w:qFormat/>
    <w:locked/>
    <w:uiPriority w:val="0"/>
    <w:rPr>
      <w:rFonts w:ascii="楷体_GB2312" w:eastAsia="楷体_GB2312"/>
      <w:b/>
      <w:color w:val="000000"/>
      <w:sz w:val="24"/>
      <w:szCs w:val="24"/>
      <w:lang w:val="en-US" w:eastAsia="zh-CN" w:bidi="ar-SA"/>
    </w:rPr>
  </w:style>
  <w:style w:type="paragraph" w:customStyle="1" w:styleId="670">
    <w:name w:val="样式42"/>
    <w:basedOn w:val="1"/>
    <w:link w:val="669"/>
    <w:qFormat/>
    <w:uiPriority w:val="0"/>
    <w:pPr>
      <w:spacing w:line="460" w:lineRule="exact"/>
      <w:ind w:firstLine="562" w:firstLineChars="200"/>
    </w:pPr>
    <w:rPr>
      <w:rFonts w:ascii="楷体_GB2312" w:eastAsia="楷体_GB2312"/>
      <w:b/>
      <w:color w:val="000000"/>
      <w:kern w:val="0"/>
      <w:sz w:val="24"/>
      <w:szCs w:val="24"/>
    </w:rPr>
  </w:style>
  <w:style w:type="character" w:customStyle="1" w:styleId="671">
    <w:name w:val="样式26 Char"/>
    <w:link w:val="672"/>
    <w:qFormat/>
    <w:locked/>
    <w:uiPriority w:val="0"/>
    <w:rPr>
      <w:rFonts w:ascii="宋体" w:hAnsi="宋体" w:eastAsia="宋体"/>
      <w:color w:val="FF0000"/>
      <w:sz w:val="24"/>
      <w:szCs w:val="24"/>
      <w:lang w:val="en-US" w:eastAsia="zh-CN" w:bidi="ar-SA"/>
    </w:rPr>
  </w:style>
  <w:style w:type="paragraph" w:customStyle="1" w:styleId="672">
    <w:name w:val="样式26"/>
    <w:basedOn w:val="673"/>
    <w:link w:val="671"/>
    <w:qFormat/>
    <w:uiPriority w:val="0"/>
    <w:pPr>
      <w:spacing w:line="240" w:lineRule="atLeast"/>
      <w:ind w:firstLine="200" w:firstLineChars="200"/>
      <w:jc w:val="center"/>
    </w:pPr>
    <w:rPr>
      <w:rFonts w:ascii="宋体" w:hAnsi="宋体"/>
      <w:color w:val="FF0000"/>
      <w:kern w:val="0"/>
      <w:sz w:val="24"/>
      <w:szCs w:val="24"/>
    </w:rPr>
  </w:style>
  <w:style w:type="paragraph" w:customStyle="1" w:styleId="673">
    <w:name w:val="样式6"/>
    <w:basedOn w:val="1"/>
    <w:qFormat/>
    <w:uiPriority w:val="0"/>
    <w:pPr>
      <w:spacing w:line="480" w:lineRule="exact"/>
    </w:pPr>
    <w:rPr>
      <w:sz w:val="28"/>
      <w:szCs w:val="20"/>
    </w:rPr>
  </w:style>
  <w:style w:type="character" w:customStyle="1" w:styleId="674">
    <w:name w:val="样式47 Char"/>
    <w:link w:val="675"/>
    <w:qFormat/>
    <w:locked/>
    <w:uiPriority w:val="0"/>
    <w:rPr>
      <w:rFonts w:ascii="宋体" w:hAnsi="宋体" w:eastAsia="宋体"/>
      <w:sz w:val="24"/>
      <w:szCs w:val="24"/>
      <w:lang w:val="en-US" w:eastAsia="zh-CN" w:bidi="ar-SA"/>
    </w:rPr>
  </w:style>
  <w:style w:type="paragraph" w:customStyle="1" w:styleId="675">
    <w:name w:val="样式47"/>
    <w:basedOn w:val="310"/>
    <w:link w:val="674"/>
    <w:qFormat/>
    <w:uiPriority w:val="0"/>
  </w:style>
  <w:style w:type="character" w:customStyle="1" w:styleId="676">
    <w:name w:val="px14"/>
    <w:qFormat/>
    <w:uiPriority w:val="0"/>
  </w:style>
  <w:style w:type="character" w:customStyle="1" w:styleId="677">
    <w:name w:val="样式 正文文本 2 + 黑色 Char"/>
    <w:link w:val="678"/>
    <w:qFormat/>
    <w:locked/>
    <w:uiPriority w:val="0"/>
    <w:rPr>
      <w:rFonts w:ascii="楷体_GB2312" w:eastAsia="楷体_GB2312"/>
      <w:color w:val="000000"/>
      <w:sz w:val="28"/>
      <w:lang w:val="en-US" w:eastAsia="zh-CN" w:bidi="ar-SA"/>
    </w:rPr>
  </w:style>
  <w:style w:type="paragraph" w:customStyle="1" w:styleId="678">
    <w:name w:val="样式 正文文本 2 + 黑色"/>
    <w:basedOn w:val="66"/>
    <w:link w:val="677"/>
    <w:qFormat/>
    <w:uiPriority w:val="0"/>
    <w:pPr>
      <w:widowControl w:val="0"/>
      <w:shd w:val="clear" w:color="auto" w:fill="auto"/>
      <w:adjustRightInd w:val="0"/>
      <w:spacing w:before="60" w:after="60" w:line="500" w:lineRule="exact"/>
      <w:ind w:firstLine="520" w:firstLineChars="200"/>
      <w:textAlignment w:val="auto"/>
    </w:pPr>
    <w:rPr>
      <w:rFonts w:ascii="楷体_GB2312" w:eastAsia="楷体_GB2312"/>
      <w:b w:val="0"/>
      <w:color w:val="000000"/>
      <w:kern w:val="0"/>
      <w:sz w:val="28"/>
      <w:szCs w:val="20"/>
    </w:rPr>
  </w:style>
  <w:style w:type="character" w:customStyle="1" w:styleId="679">
    <w:name w:val="样式61 Char"/>
    <w:link w:val="159"/>
    <w:qFormat/>
    <w:locked/>
    <w:uiPriority w:val="0"/>
    <w:rPr>
      <w:rFonts w:ascii="黑体" w:hAnsi="黑体" w:eastAsia="黑体"/>
      <w:color w:val="000000"/>
      <w:sz w:val="28"/>
      <w:szCs w:val="28"/>
      <w:lang w:val="en-US" w:eastAsia="zh-CN" w:bidi="ar-SA"/>
    </w:rPr>
  </w:style>
  <w:style w:type="character" w:customStyle="1" w:styleId="680">
    <w:name w:val="样式62 Char"/>
    <w:link w:val="158"/>
    <w:qFormat/>
    <w:locked/>
    <w:uiPriority w:val="0"/>
    <w:rPr>
      <w:rFonts w:ascii="黑体" w:hAnsi="黑体" w:eastAsia="黑体"/>
      <w:b/>
      <w:color w:val="000000"/>
      <w:sz w:val="28"/>
      <w:szCs w:val="28"/>
      <w:lang w:val="en-US" w:eastAsia="zh-CN" w:bidi="ar-SA"/>
    </w:rPr>
  </w:style>
  <w:style w:type="character" w:customStyle="1" w:styleId="681">
    <w:name w:val="EmailStyle21721"/>
    <w:qFormat/>
    <w:uiPriority w:val="0"/>
    <w:rPr>
      <w:rFonts w:hint="default" w:ascii="Arial" w:hAnsi="Arial" w:eastAsia="PMingLiU" w:cs="Arial"/>
      <w:color w:val="000000"/>
      <w:sz w:val="18"/>
    </w:rPr>
  </w:style>
  <w:style w:type="character" w:customStyle="1" w:styleId="682">
    <w:name w:val="样式65 Char"/>
    <w:link w:val="683"/>
    <w:qFormat/>
    <w:locked/>
    <w:uiPriority w:val="0"/>
    <w:rPr>
      <w:rFonts w:ascii="仿宋_GB2312" w:eastAsia="仿宋_GB2312"/>
      <w:sz w:val="24"/>
      <w:szCs w:val="24"/>
      <w:lang w:val="en-US" w:eastAsia="zh-CN" w:bidi="ar-SA"/>
    </w:rPr>
  </w:style>
  <w:style w:type="paragraph" w:customStyle="1" w:styleId="683">
    <w:name w:val="样式65"/>
    <w:basedOn w:val="1"/>
    <w:link w:val="682"/>
    <w:qFormat/>
    <w:uiPriority w:val="0"/>
    <w:pPr>
      <w:spacing w:line="360" w:lineRule="auto"/>
      <w:ind w:firstLine="567" w:firstLineChars="200"/>
    </w:pPr>
    <w:rPr>
      <w:rFonts w:ascii="仿宋_GB2312" w:eastAsia="仿宋_GB2312"/>
      <w:kern w:val="0"/>
      <w:sz w:val="24"/>
      <w:szCs w:val="24"/>
    </w:rPr>
  </w:style>
  <w:style w:type="character" w:customStyle="1" w:styleId="684">
    <w:name w:val="Char Char191"/>
    <w:qFormat/>
    <w:uiPriority w:val="0"/>
    <w:rPr>
      <w:rFonts w:hint="default" w:ascii="Arial Black" w:hAnsi="Arial Black" w:eastAsia="宋体"/>
      <w:b/>
      <w:bCs/>
      <w:kern w:val="44"/>
      <w:sz w:val="44"/>
      <w:szCs w:val="44"/>
      <w:lang w:val="en-US" w:eastAsia="zh-CN" w:bidi="ar-SA"/>
    </w:rPr>
  </w:style>
  <w:style w:type="character" w:customStyle="1" w:styleId="685">
    <w:name w:val="样式175 Char"/>
    <w:link w:val="686"/>
    <w:qFormat/>
    <w:locked/>
    <w:uiPriority w:val="0"/>
    <w:rPr>
      <w:rFonts w:ascii="宋体" w:hAnsi="宋体" w:eastAsia="宋体"/>
      <w:sz w:val="24"/>
      <w:szCs w:val="24"/>
      <w:lang w:val="en-AU" w:eastAsia="zh-CN" w:bidi="ar-SA"/>
    </w:rPr>
  </w:style>
  <w:style w:type="paragraph" w:customStyle="1" w:styleId="686">
    <w:name w:val="样式175"/>
    <w:basedOn w:val="631"/>
    <w:link w:val="685"/>
    <w:qFormat/>
    <w:uiPriority w:val="0"/>
    <w:pPr>
      <w:spacing w:beforeLines="0" w:line="240" w:lineRule="auto"/>
      <w:ind w:firstLine="200"/>
    </w:pPr>
    <w:rPr>
      <w:rFonts w:ascii="宋体" w:hAnsi="宋体" w:eastAsia="宋体"/>
      <w:lang w:val="en-AU"/>
    </w:rPr>
  </w:style>
  <w:style w:type="character" w:customStyle="1" w:styleId="687">
    <w:name w:val="样式73 Char"/>
    <w:link w:val="157"/>
    <w:qFormat/>
    <w:locked/>
    <w:uiPriority w:val="0"/>
    <w:rPr>
      <w:rFonts w:ascii="黑体" w:hAnsi="黑体" w:eastAsia="黑体"/>
      <w:color w:val="000000"/>
      <w:sz w:val="28"/>
      <w:szCs w:val="28"/>
      <w:lang w:val="en-US" w:eastAsia="zh-CN" w:bidi="ar-SA"/>
    </w:rPr>
  </w:style>
  <w:style w:type="character" w:customStyle="1" w:styleId="688">
    <w:name w:val="样式 标题 3 + 宋体1 Char"/>
    <w:qFormat/>
    <w:uiPriority w:val="0"/>
    <w:rPr>
      <w:rFonts w:hint="eastAsia" w:ascii="宋体" w:hAnsi="宋体" w:eastAsia="宋体"/>
      <w:kern w:val="28"/>
      <w:sz w:val="28"/>
      <w:lang w:val="en-US" w:eastAsia="zh-CN" w:bidi="ar-SA"/>
    </w:rPr>
  </w:style>
  <w:style w:type="character" w:customStyle="1" w:styleId="689">
    <w:name w:val="样式77 Char"/>
    <w:link w:val="690"/>
    <w:qFormat/>
    <w:locked/>
    <w:uiPriority w:val="0"/>
    <w:rPr>
      <w:rFonts w:ascii="黑体" w:hAnsi="黑体" w:eastAsia="黑体"/>
      <w:b/>
      <w:bCs/>
      <w:color w:val="000000"/>
      <w:sz w:val="24"/>
      <w:szCs w:val="21"/>
      <w:lang w:val="en-US" w:eastAsia="zh-CN" w:bidi="ar-SA"/>
    </w:rPr>
  </w:style>
  <w:style w:type="paragraph" w:customStyle="1" w:styleId="690">
    <w:name w:val="样式77"/>
    <w:basedOn w:val="665"/>
    <w:link w:val="689"/>
    <w:qFormat/>
    <w:uiPriority w:val="0"/>
    <w:rPr>
      <w:rFonts w:ascii="黑体" w:hAnsi="黑体" w:eastAsia="黑体"/>
      <w:szCs w:val="21"/>
    </w:rPr>
  </w:style>
  <w:style w:type="character" w:customStyle="1" w:styleId="691">
    <w:name w:val="Char Char18"/>
    <w:qFormat/>
    <w:uiPriority w:val="0"/>
    <w:rPr>
      <w:rFonts w:hint="eastAsia" w:ascii="宋体" w:hAnsi="宋体" w:eastAsia="宋体"/>
      <w:bCs/>
      <w:kern w:val="2"/>
      <w:sz w:val="28"/>
      <w:szCs w:val="32"/>
      <w:lang w:val="en-US" w:eastAsia="zh-CN" w:bidi="ar-SA"/>
    </w:rPr>
  </w:style>
  <w:style w:type="character" w:customStyle="1" w:styleId="692">
    <w:name w:val="样式79 Char"/>
    <w:link w:val="693"/>
    <w:qFormat/>
    <w:locked/>
    <w:uiPriority w:val="0"/>
    <w:rPr>
      <w:rFonts w:ascii="黑体" w:hAnsi="黑体" w:eastAsia="黑体"/>
      <w:b/>
      <w:i/>
      <w:color w:val="FF0000"/>
      <w:kern w:val="44"/>
      <w:sz w:val="30"/>
      <w:szCs w:val="30"/>
      <w:lang w:val="en-US" w:eastAsia="zh-CN" w:bidi="ar-SA"/>
    </w:rPr>
  </w:style>
  <w:style w:type="paragraph" w:customStyle="1" w:styleId="693">
    <w:name w:val="样式79"/>
    <w:basedOn w:val="3"/>
    <w:link w:val="692"/>
    <w:qFormat/>
    <w:uiPriority w:val="0"/>
    <w:pPr>
      <w:adjustRightInd w:val="0"/>
      <w:spacing w:before="960" w:after="600" w:line="240" w:lineRule="auto"/>
      <w:ind w:left="-76" w:hanging="284"/>
      <w:jc w:val="center"/>
    </w:pPr>
    <w:rPr>
      <w:rFonts w:ascii="黑体" w:hAnsi="黑体" w:eastAsia="黑体"/>
      <w:bCs/>
      <w:i/>
      <w:color w:val="FF0000"/>
      <w:sz w:val="30"/>
      <w:szCs w:val="30"/>
    </w:rPr>
  </w:style>
  <w:style w:type="character" w:customStyle="1" w:styleId="694">
    <w:name w:val="样式80 Char"/>
    <w:link w:val="695"/>
    <w:qFormat/>
    <w:locked/>
    <w:uiPriority w:val="0"/>
    <w:rPr>
      <w:rFonts w:ascii="黑体" w:hAnsi="黑体" w:eastAsia="黑体"/>
      <w:i/>
      <w:color w:val="000000"/>
      <w:kern w:val="44"/>
      <w:sz w:val="30"/>
      <w:szCs w:val="30"/>
      <w:lang w:val="en-US" w:eastAsia="zh-CN" w:bidi="ar-SA"/>
    </w:rPr>
  </w:style>
  <w:style w:type="paragraph" w:customStyle="1" w:styleId="695">
    <w:name w:val="样式80"/>
    <w:basedOn w:val="693"/>
    <w:link w:val="694"/>
    <w:qFormat/>
    <w:uiPriority w:val="0"/>
    <w:pPr>
      <w:spacing w:after="240" w:line="400" w:lineRule="exact"/>
    </w:pPr>
    <w:rPr>
      <w:b w:val="0"/>
      <w:color w:val="000000"/>
    </w:rPr>
  </w:style>
  <w:style w:type="character" w:customStyle="1" w:styleId="696">
    <w:name w:val="样式81 Char"/>
    <w:link w:val="156"/>
    <w:qFormat/>
    <w:locked/>
    <w:uiPriority w:val="0"/>
    <w:rPr>
      <w:rFonts w:ascii="黑体" w:hAnsi="黑体" w:eastAsia="黑体"/>
      <w:b/>
      <w:color w:val="000000"/>
      <w:sz w:val="28"/>
      <w:szCs w:val="28"/>
      <w:lang w:val="en-US" w:eastAsia="zh-CN" w:bidi="ar-SA"/>
    </w:rPr>
  </w:style>
  <w:style w:type="character" w:customStyle="1" w:styleId="697">
    <w:name w:val="EmailStyle22121"/>
    <w:semiHidden/>
    <w:qFormat/>
    <w:uiPriority w:val="0"/>
    <w:rPr>
      <w:rFonts w:hint="default" w:ascii="Arial" w:hAnsi="Arial" w:eastAsia="宋体" w:cs="Arial"/>
      <w:color w:val="000080"/>
      <w:sz w:val="18"/>
      <w:szCs w:val="20"/>
    </w:rPr>
  </w:style>
  <w:style w:type="character" w:customStyle="1" w:styleId="698">
    <w:name w:val="样式84 Char"/>
    <w:link w:val="201"/>
    <w:qFormat/>
    <w:locked/>
    <w:uiPriority w:val="0"/>
    <w:rPr>
      <w:rFonts w:ascii="Arial" w:hAnsi="Arial" w:eastAsia="黑体" w:cs="Arial"/>
      <w:b/>
      <w:bCs/>
      <w:color w:val="000000"/>
      <w:sz w:val="24"/>
      <w:szCs w:val="24"/>
      <w:lang w:val="en-US" w:eastAsia="zh-CN" w:bidi="ar-SA"/>
    </w:rPr>
  </w:style>
  <w:style w:type="character" w:customStyle="1" w:styleId="699">
    <w:name w:val="Char Char63"/>
    <w:semiHidden/>
    <w:qFormat/>
    <w:uiPriority w:val="0"/>
    <w:rPr>
      <w:rFonts w:hint="eastAsia" w:ascii="宋体" w:hAnsi="宋体" w:eastAsia="宋体"/>
      <w:kern w:val="2"/>
      <w:sz w:val="21"/>
      <w:szCs w:val="24"/>
      <w:lang w:val="en-US" w:eastAsia="zh-CN" w:bidi="ar-SA"/>
    </w:rPr>
  </w:style>
  <w:style w:type="character" w:customStyle="1" w:styleId="700">
    <w:name w:val="小标题 Char"/>
    <w:link w:val="701"/>
    <w:qFormat/>
    <w:locked/>
    <w:uiPriority w:val="0"/>
    <w:rPr>
      <w:rFonts w:ascii="Arial" w:hAnsi="宋体" w:cs="Arial"/>
      <w:b/>
      <w:sz w:val="24"/>
      <w:lang w:bidi="ar-SA"/>
    </w:rPr>
  </w:style>
  <w:style w:type="paragraph" w:customStyle="1" w:styleId="701">
    <w:name w:val="小标题"/>
    <w:basedOn w:val="1"/>
    <w:next w:val="1"/>
    <w:link w:val="700"/>
    <w:semiHidden/>
    <w:qFormat/>
    <w:uiPriority w:val="0"/>
    <w:pPr>
      <w:spacing w:before="120" w:after="120"/>
      <w:ind w:left="425"/>
    </w:pPr>
    <w:rPr>
      <w:rFonts w:ascii="Arial" w:hAnsi="宋体" w:eastAsia="Times New Roman" w:cs="Arial"/>
      <w:b/>
      <w:kern w:val="0"/>
      <w:sz w:val="24"/>
      <w:szCs w:val="20"/>
    </w:rPr>
  </w:style>
  <w:style w:type="character" w:customStyle="1" w:styleId="702">
    <w:name w:val="样式85 Char"/>
    <w:link w:val="703"/>
    <w:qFormat/>
    <w:locked/>
    <w:uiPriority w:val="0"/>
    <w:rPr>
      <w:rFonts w:ascii="黑体" w:hAnsi="黑体" w:eastAsia="黑体"/>
      <w:b/>
      <w:color w:val="000000"/>
      <w:sz w:val="24"/>
      <w:szCs w:val="24"/>
      <w:lang w:val="en-US" w:eastAsia="zh-CN" w:bidi="ar-SA"/>
    </w:rPr>
  </w:style>
  <w:style w:type="paragraph" w:customStyle="1" w:styleId="703">
    <w:name w:val="样式85"/>
    <w:basedOn w:val="503"/>
    <w:link w:val="702"/>
    <w:qFormat/>
    <w:uiPriority w:val="0"/>
    <w:rPr>
      <w:rFonts w:ascii="黑体" w:hAnsi="黑体" w:eastAsia="黑体"/>
      <w:sz w:val="24"/>
      <w:szCs w:val="24"/>
    </w:rPr>
  </w:style>
  <w:style w:type="character" w:customStyle="1" w:styleId="704">
    <w:name w:val="样式88 Char"/>
    <w:link w:val="705"/>
    <w:qFormat/>
    <w:locked/>
    <w:uiPriority w:val="0"/>
    <w:rPr>
      <w:rFonts w:ascii="黑体" w:hAnsi="黑体" w:eastAsia="黑体"/>
      <w:b/>
      <w:color w:val="000000"/>
      <w:sz w:val="28"/>
      <w:szCs w:val="28"/>
      <w:lang w:val="en-US" w:eastAsia="zh-CN" w:bidi="ar-SA"/>
    </w:rPr>
  </w:style>
  <w:style w:type="paragraph" w:customStyle="1" w:styleId="705">
    <w:name w:val="样式88"/>
    <w:basedOn w:val="156"/>
    <w:link w:val="704"/>
    <w:qFormat/>
    <w:uiPriority w:val="0"/>
  </w:style>
  <w:style w:type="character" w:customStyle="1" w:styleId="706">
    <w:name w:val="样式89 Char"/>
    <w:link w:val="707"/>
    <w:qFormat/>
    <w:locked/>
    <w:uiPriority w:val="0"/>
    <w:rPr>
      <w:rFonts w:ascii="黑体" w:hAnsi="黑体" w:eastAsia="黑体"/>
      <w:b/>
      <w:color w:val="000000"/>
      <w:sz w:val="24"/>
      <w:szCs w:val="24"/>
      <w:lang w:val="en-AU" w:eastAsia="zh-CN" w:bidi="ar-SA"/>
    </w:rPr>
  </w:style>
  <w:style w:type="paragraph" w:customStyle="1" w:styleId="707">
    <w:name w:val="样式89"/>
    <w:basedOn w:val="703"/>
    <w:link w:val="706"/>
    <w:qFormat/>
    <w:uiPriority w:val="0"/>
    <w:rPr>
      <w:lang w:val="en-AU"/>
    </w:rPr>
  </w:style>
  <w:style w:type="character" w:customStyle="1" w:styleId="708">
    <w:name w:val="样式106 Char"/>
    <w:link w:val="254"/>
    <w:qFormat/>
    <w:locked/>
    <w:uiPriority w:val="0"/>
    <w:rPr>
      <w:rFonts w:ascii="黑体" w:hAnsi="黑体" w:eastAsia="宋体"/>
      <w:b/>
      <w:bCs/>
      <w:color w:val="000000"/>
      <w:kern w:val="44"/>
      <w:sz w:val="44"/>
      <w:szCs w:val="44"/>
      <w:lang w:val="en-US" w:eastAsia="zh-CN" w:bidi="ar-SA"/>
    </w:rPr>
  </w:style>
  <w:style w:type="character" w:customStyle="1" w:styleId="709">
    <w:name w:val="样式112 Char"/>
    <w:link w:val="710"/>
    <w:qFormat/>
    <w:locked/>
    <w:uiPriority w:val="0"/>
    <w:rPr>
      <w:rFonts w:ascii="仿宋_GB2312" w:eastAsia="仿宋_GB2312"/>
      <w:sz w:val="24"/>
      <w:szCs w:val="24"/>
      <w:lang w:val="en-US" w:eastAsia="zh-CN" w:bidi="ar-SA"/>
    </w:rPr>
  </w:style>
  <w:style w:type="paragraph" w:customStyle="1" w:styleId="710">
    <w:name w:val="样式112"/>
    <w:basedOn w:val="108"/>
    <w:link w:val="709"/>
    <w:qFormat/>
    <w:uiPriority w:val="0"/>
  </w:style>
  <w:style w:type="character" w:customStyle="1" w:styleId="711">
    <w:name w:val="样式118 Char"/>
    <w:link w:val="712"/>
    <w:qFormat/>
    <w:locked/>
    <w:uiPriority w:val="0"/>
    <w:rPr>
      <w:rFonts w:ascii="黑体" w:hAnsi="黑体" w:eastAsia="黑体"/>
      <w:bCs/>
      <w:color w:val="000000"/>
      <w:sz w:val="24"/>
      <w:szCs w:val="24"/>
      <w:lang w:val="en-US" w:eastAsia="zh-CN" w:bidi="ar-SA"/>
    </w:rPr>
  </w:style>
  <w:style w:type="paragraph" w:customStyle="1" w:styleId="712">
    <w:name w:val="样式118"/>
    <w:basedOn w:val="1"/>
    <w:link w:val="711"/>
    <w:qFormat/>
    <w:uiPriority w:val="0"/>
    <w:pPr>
      <w:spacing w:line="520" w:lineRule="exact"/>
    </w:pPr>
    <w:rPr>
      <w:rFonts w:ascii="黑体" w:hAnsi="黑体" w:eastAsia="黑体"/>
      <w:bCs/>
      <w:color w:val="000000"/>
      <w:kern w:val="0"/>
      <w:sz w:val="24"/>
      <w:szCs w:val="24"/>
    </w:rPr>
  </w:style>
  <w:style w:type="character" w:customStyle="1" w:styleId="713">
    <w:name w:val="样式119 Char"/>
    <w:link w:val="714"/>
    <w:qFormat/>
    <w:locked/>
    <w:uiPriority w:val="0"/>
    <w:rPr>
      <w:rFonts w:ascii="仿宋_GB2312" w:eastAsia="仿宋_GB2312"/>
      <w:sz w:val="24"/>
      <w:szCs w:val="24"/>
      <w:lang w:val="en-US" w:eastAsia="zh-CN" w:bidi="ar-SA"/>
    </w:rPr>
  </w:style>
  <w:style w:type="paragraph" w:customStyle="1" w:styleId="714">
    <w:name w:val="样式119"/>
    <w:basedOn w:val="710"/>
    <w:link w:val="713"/>
    <w:qFormat/>
    <w:uiPriority w:val="0"/>
    <w:pPr>
      <w:spacing w:line="520" w:lineRule="exact"/>
    </w:pPr>
  </w:style>
  <w:style w:type="character" w:customStyle="1" w:styleId="715">
    <w:name w:val="td11"/>
    <w:qFormat/>
    <w:uiPriority w:val="0"/>
    <w:rPr>
      <w:rFonts w:hint="default" w:ascii="ˎ̥" w:hAnsi="ˎ̥"/>
      <w:color w:val="000000"/>
      <w:sz w:val="18"/>
      <w:szCs w:val="18"/>
    </w:rPr>
  </w:style>
  <w:style w:type="character" w:customStyle="1" w:styleId="716">
    <w:name w:val="样式124 Char"/>
    <w:link w:val="717"/>
    <w:qFormat/>
    <w:locked/>
    <w:uiPriority w:val="0"/>
    <w:rPr>
      <w:rFonts w:ascii="仿宋_GB2312" w:eastAsia="仿宋_GB2312"/>
      <w:sz w:val="24"/>
      <w:szCs w:val="24"/>
      <w:lang w:val="en-US" w:eastAsia="zh-CN" w:bidi="ar-SA"/>
    </w:rPr>
  </w:style>
  <w:style w:type="paragraph" w:customStyle="1" w:styleId="717">
    <w:name w:val="样式124"/>
    <w:basedOn w:val="303"/>
    <w:link w:val="716"/>
    <w:qFormat/>
    <w:uiPriority w:val="0"/>
  </w:style>
  <w:style w:type="character" w:customStyle="1" w:styleId="718">
    <w:name w:val="copyright1"/>
    <w:qFormat/>
    <w:uiPriority w:val="0"/>
    <w:rPr>
      <w:color w:val="000000"/>
      <w:spacing w:val="360"/>
    </w:rPr>
  </w:style>
  <w:style w:type="character" w:customStyle="1" w:styleId="719">
    <w:name w:val="样式 黑色 首行缩进:  2 字符2 Char"/>
    <w:link w:val="720"/>
    <w:qFormat/>
    <w:locked/>
    <w:uiPriority w:val="0"/>
    <w:rPr>
      <w:rFonts w:ascii="宋体" w:hAnsi="宋体" w:eastAsia="宋体"/>
      <w:color w:val="000000"/>
      <w:sz w:val="28"/>
      <w:lang w:val="en-US" w:eastAsia="zh-CN" w:bidi="ar-SA"/>
    </w:rPr>
  </w:style>
  <w:style w:type="paragraph" w:customStyle="1" w:styleId="720">
    <w:name w:val="样式 黑色 首行缩进:  2 字符2"/>
    <w:basedOn w:val="1"/>
    <w:link w:val="719"/>
    <w:qFormat/>
    <w:uiPriority w:val="0"/>
    <w:pPr>
      <w:spacing w:line="520" w:lineRule="exact"/>
      <w:ind w:firstLine="527" w:firstLineChars="200"/>
    </w:pPr>
    <w:rPr>
      <w:rFonts w:ascii="宋体" w:hAnsi="宋体"/>
      <w:color w:val="000000"/>
      <w:kern w:val="0"/>
      <w:sz w:val="28"/>
      <w:szCs w:val="20"/>
    </w:rPr>
  </w:style>
  <w:style w:type="character" w:customStyle="1" w:styleId="721">
    <w:name w:val="样式 宋体 首行缩进:  2 字符1 Char"/>
    <w:link w:val="722"/>
    <w:qFormat/>
    <w:locked/>
    <w:uiPriority w:val="0"/>
    <w:rPr>
      <w:rFonts w:ascii="宋体" w:hAnsi="宋体" w:eastAsia="宋体"/>
      <w:sz w:val="28"/>
      <w:szCs w:val="28"/>
      <w:lang w:val="en-US" w:eastAsia="zh-CN" w:bidi="ar-SA"/>
    </w:rPr>
  </w:style>
  <w:style w:type="paragraph" w:customStyle="1" w:styleId="722">
    <w:name w:val="样式 宋体 首行缩进:  2 字符1"/>
    <w:basedOn w:val="1"/>
    <w:link w:val="721"/>
    <w:qFormat/>
    <w:uiPriority w:val="0"/>
    <w:pPr>
      <w:spacing w:line="520" w:lineRule="exact"/>
      <w:ind w:firstLine="560" w:firstLineChars="200"/>
    </w:pPr>
    <w:rPr>
      <w:rFonts w:ascii="宋体" w:hAnsi="宋体"/>
      <w:kern w:val="0"/>
      <w:sz w:val="28"/>
      <w:szCs w:val="28"/>
    </w:rPr>
  </w:style>
  <w:style w:type="character" w:customStyle="1" w:styleId="723">
    <w:name w:val="样式 宋体"/>
    <w:qFormat/>
    <w:uiPriority w:val="0"/>
    <w:rPr>
      <w:rFonts w:hint="eastAsia" w:ascii="宋体" w:hAnsi="宋体" w:eastAsia="宋体"/>
      <w:sz w:val="28"/>
    </w:rPr>
  </w:style>
  <w:style w:type="character" w:customStyle="1" w:styleId="724">
    <w:name w:val="样式134 Char"/>
    <w:link w:val="725"/>
    <w:qFormat/>
    <w:locked/>
    <w:uiPriority w:val="0"/>
    <w:rPr>
      <w:rFonts w:ascii="黑体" w:hAnsi="黑体" w:eastAsia="黑体"/>
      <w:b/>
      <w:bCs/>
      <w:color w:val="000000"/>
      <w:sz w:val="24"/>
      <w:szCs w:val="24"/>
      <w:lang w:val="en-US" w:eastAsia="zh-CN" w:bidi="ar-SA"/>
    </w:rPr>
  </w:style>
  <w:style w:type="paragraph" w:customStyle="1" w:styleId="725">
    <w:name w:val="样式134"/>
    <w:basedOn w:val="278"/>
    <w:link w:val="724"/>
    <w:qFormat/>
    <w:uiPriority w:val="0"/>
    <w:rPr>
      <w:b/>
    </w:rPr>
  </w:style>
  <w:style w:type="character" w:customStyle="1" w:styleId="726">
    <w:name w:val="Char Char4"/>
    <w:qFormat/>
    <w:locked/>
    <w:uiPriority w:val="0"/>
    <w:rPr>
      <w:rFonts w:eastAsia="宋体"/>
      <w:kern w:val="2"/>
      <w:sz w:val="28"/>
      <w:szCs w:val="24"/>
      <w:lang w:val="en-US" w:eastAsia="zh-CN" w:bidi="ar-SA"/>
    </w:rPr>
  </w:style>
  <w:style w:type="character" w:customStyle="1" w:styleId="727">
    <w:name w:val="样式142 Char"/>
    <w:link w:val="728"/>
    <w:qFormat/>
    <w:locked/>
    <w:uiPriority w:val="0"/>
    <w:rPr>
      <w:rFonts w:ascii="黑体" w:hAnsi="黑体" w:eastAsia="黑体"/>
      <w:b/>
      <w:bCs/>
      <w:color w:val="000000"/>
      <w:sz w:val="24"/>
      <w:szCs w:val="24"/>
      <w:lang w:val="en-US" w:eastAsia="zh-CN" w:bidi="ar-SA"/>
    </w:rPr>
  </w:style>
  <w:style w:type="paragraph" w:customStyle="1" w:styleId="728">
    <w:name w:val="样式142"/>
    <w:basedOn w:val="277"/>
    <w:link w:val="727"/>
    <w:qFormat/>
    <w:uiPriority w:val="0"/>
    <w:pPr>
      <w:outlineLvl w:val="2"/>
    </w:pPr>
  </w:style>
  <w:style w:type="character" w:customStyle="1" w:styleId="729">
    <w:name w:val="Char Char181"/>
    <w:qFormat/>
    <w:uiPriority w:val="0"/>
    <w:rPr>
      <w:rFonts w:hint="default" w:ascii="Arial" w:hAnsi="Arial" w:eastAsia="宋体" w:cs="Arial"/>
      <w:color w:val="000000"/>
      <w:kern w:val="2"/>
      <w:sz w:val="28"/>
      <w:szCs w:val="36"/>
      <w:lang w:val="en-US" w:eastAsia="zh-CN" w:bidi="ar-SA"/>
    </w:rPr>
  </w:style>
  <w:style w:type="character" w:customStyle="1" w:styleId="730">
    <w:name w:val="宗兴正文 Char"/>
    <w:link w:val="731"/>
    <w:qFormat/>
    <w:locked/>
    <w:uiPriority w:val="0"/>
    <w:rPr>
      <w:rFonts w:ascii="宋体" w:hAnsi="宋体" w:eastAsia="宋体"/>
      <w:sz w:val="24"/>
      <w:szCs w:val="24"/>
      <w:lang w:val="en-US" w:eastAsia="zh-CN" w:bidi="ar-SA"/>
    </w:rPr>
  </w:style>
  <w:style w:type="paragraph" w:customStyle="1" w:styleId="731">
    <w:name w:val="宗兴正文"/>
    <w:basedOn w:val="1"/>
    <w:link w:val="730"/>
    <w:qFormat/>
    <w:uiPriority w:val="0"/>
    <w:pPr>
      <w:spacing w:before="93" w:after="93" w:line="360" w:lineRule="auto"/>
      <w:ind w:firstLine="480" w:firstLineChars="200"/>
      <w:jc w:val="left"/>
    </w:pPr>
    <w:rPr>
      <w:rFonts w:ascii="宋体" w:hAnsi="宋体"/>
      <w:kern w:val="0"/>
      <w:sz w:val="24"/>
      <w:szCs w:val="24"/>
    </w:rPr>
  </w:style>
  <w:style w:type="character" w:customStyle="1" w:styleId="732">
    <w:name w:val="EmailStyle22291"/>
    <w:qFormat/>
    <w:uiPriority w:val="0"/>
    <w:rPr>
      <w:rFonts w:hint="default" w:ascii="Arial" w:hAnsi="Arial" w:eastAsia="PMingLiU" w:cs="Arial"/>
      <w:color w:val="000000"/>
      <w:sz w:val="18"/>
    </w:rPr>
  </w:style>
  <w:style w:type="character" w:customStyle="1" w:styleId="733">
    <w:name w:val="样式321 Char"/>
    <w:link w:val="734"/>
    <w:qFormat/>
    <w:locked/>
    <w:uiPriority w:val="0"/>
    <w:rPr>
      <w:rFonts w:ascii="仿宋_GB2312" w:eastAsia="仿宋_GB2312"/>
      <w:bCs/>
      <w:sz w:val="24"/>
      <w:szCs w:val="24"/>
      <w:lang w:val="en-US" w:eastAsia="zh-CN" w:bidi="ar-SA"/>
    </w:rPr>
  </w:style>
  <w:style w:type="paragraph" w:customStyle="1" w:styleId="734">
    <w:name w:val="样式321"/>
    <w:basedOn w:val="1"/>
    <w:link w:val="733"/>
    <w:qFormat/>
    <w:uiPriority w:val="0"/>
    <w:pPr>
      <w:spacing w:line="520" w:lineRule="exact"/>
      <w:ind w:firstLine="482" w:firstLineChars="200"/>
    </w:pPr>
    <w:rPr>
      <w:rFonts w:ascii="仿宋_GB2312" w:eastAsia="仿宋_GB2312"/>
      <w:bCs/>
      <w:kern w:val="0"/>
      <w:sz w:val="24"/>
      <w:szCs w:val="24"/>
    </w:rPr>
  </w:style>
  <w:style w:type="character" w:customStyle="1" w:styleId="735">
    <w:name w:val="三级标题 Char Char"/>
    <w:qFormat/>
    <w:uiPriority w:val="0"/>
    <w:rPr>
      <w:rFonts w:hint="eastAsia" w:ascii="宋体" w:hAnsi="宋体" w:eastAsia="宋体"/>
      <w:b/>
      <w:bCs/>
      <w:kern w:val="2"/>
      <w:sz w:val="32"/>
      <w:szCs w:val="32"/>
      <w:lang w:val="zh-CN" w:eastAsia="zh-CN" w:bidi="ar-SA"/>
    </w:rPr>
  </w:style>
  <w:style w:type="character" w:customStyle="1" w:styleId="736">
    <w:name w:val="样式 仿宋_GB2312 小四2"/>
    <w:qFormat/>
    <w:uiPriority w:val="0"/>
    <w:rPr>
      <w:rFonts w:hint="default" w:ascii="Times New Roman" w:hAnsi="Times New Roman" w:eastAsia="仿宋_GB2312" w:cs="Times New Roman"/>
      <w:sz w:val="24"/>
      <w:szCs w:val="24"/>
    </w:rPr>
  </w:style>
  <w:style w:type="character" w:customStyle="1" w:styleId="737">
    <w:name w:val="表格 32 Char"/>
    <w:link w:val="738"/>
    <w:qFormat/>
    <w:locked/>
    <w:uiPriority w:val="0"/>
    <w:rPr>
      <w:rFonts w:ascii="宋体" w:hAnsi="宋体" w:eastAsia="宋体"/>
      <w:lang w:val="en-US" w:eastAsia="zh-CN" w:bidi="ar-SA"/>
    </w:rPr>
  </w:style>
  <w:style w:type="paragraph" w:customStyle="1" w:styleId="738">
    <w:name w:val="表格 32"/>
    <w:basedOn w:val="1"/>
    <w:link w:val="737"/>
    <w:qFormat/>
    <w:uiPriority w:val="0"/>
    <w:pPr>
      <w:autoSpaceDE w:val="0"/>
      <w:autoSpaceDN w:val="0"/>
      <w:adjustRightInd w:val="0"/>
      <w:snapToGrid w:val="0"/>
      <w:jc w:val="center"/>
    </w:pPr>
    <w:rPr>
      <w:rFonts w:ascii="宋体" w:hAnsi="宋体"/>
      <w:kern w:val="0"/>
      <w:sz w:val="20"/>
      <w:szCs w:val="20"/>
    </w:rPr>
  </w:style>
  <w:style w:type="character" w:customStyle="1" w:styleId="739">
    <w:name w:val="样式 标题 4标题4款标题款标题1.1.1.1PIM 4H4h4blbbTitre44th levelse... Char"/>
    <w:link w:val="740"/>
    <w:qFormat/>
    <w:locked/>
    <w:uiPriority w:val="0"/>
    <w:rPr>
      <w:rFonts w:ascii="黑体" w:hAnsi="黑体" w:eastAsia="黑体"/>
      <w:bCs/>
      <w:sz w:val="24"/>
      <w:szCs w:val="24"/>
      <w:lang w:val="en-US" w:eastAsia="zh-CN" w:bidi="ar-SA"/>
    </w:rPr>
  </w:style>
  <w:style w:type="paragraph" w:customStyle="1" w:styleId="740">
    <w:name w:val="样式 标题 4标题4款标题款标题1.1.1.1PIM 4H4h4blbbTitre44th levelse..."/>
    <w:basedOn w:val="6"/>
    <w:link w:val="739"/>
    <w:semiHidden/>
    <w:qFormat/>
    <w:uiPriority w:val="0"/>
    <w:pPr>
      <w:widowControl/>
      <w:spacing w:beforeLines="50" w:afterLines="50" w:line="240" w:lineRule="auto"/>
      <w:jc w:val="left"/>
    </w:pPr>
    <w:rPr>
      <w:rFonts w:ascii="黑体" w:hAnsi="黑体" w:eastAsia="黑体"/>
      <w:sz w:val="24"/>
      <w:szCs w:val="24"/>
    </w:rPr>
  </w:style>
  <w:style w:type="character" w:customStyle="1" w:styleId="741">
    <w:name w:val="样式 题注 + 楷体_GB2312 Char"/>
    <w:link w:val="742"/>
    <w:qFormat/>
    <w:locked/>
    <w:uiPriority w:val="0"/>
    <w:rPr>
      <w:rFonts w:ascii="楷体_GB2312" w:hAnsi="楷体_GB2312" w:eastAsia="黑体"/>
      <w:szCs w:val="21"/>
      <w:lang w:val="en-US" w:eastAsia="zh-CN" w:bidi="ar-SA"/>
    </w:rPr>
  </w:style>
  <w:style w:type="paragraph" w:customStyle="1" w:styleId="742">
    <w:name w:val="样式 题注 + 楷体_GB2312"/>
    <w:basedOn w:val="20"/>
    <w:link w:val="741"/>
    <w:semiHidden/>
    <w:qFormat/>
    <w:uiPriority w:val="0"/>
    <w:pPr>
      <w:widowControl/>
      <w:jc w:val="center"/>
    </w:pPr>
    <w:rPr>
      <w:rFonts w:ascii="楷体_GB2312" w:hAnsi="楷体_GB2312"/>
      <w:kern w:val="0"/>
      <w:szCs w:val="21"/>
    </w:rPr>
  </w:style>
  <w:style w:type="character" w:customStyle="1" w:styleId="743">
    <w:name w:val="样式 首行缩进:  2 字符1 Char Char"/>
    <w:link w:val="744"/>
    <w:qFormat/>
    <w:locked/>
    <w:uiPriority w:val="0"/>
    <w:rPr>
      <w:rFonts w:ascii="宋体" w:hAnsi="宋体" w:eastAsia="宋体"/>
      <w:sz w:val="24"/>
      <w:szCs w:val="24"/>
      <w:lang w:val="en-US" w:eastAsia="zh-CN" w:bidi="ar-SA"/>
    </w:rPr>
  </w:style>
  <w:style w:type="paragraph" w:customStyle="1" w:styleId="744">
    <w:name w:val="样式 首行缩进:  2 字符1 Char"/>
    <w:basedOn w:val="1"/>
    <w:link w:val="743"/>
    <w:qFormat/>
    <w:uiPriority w:val="0"/>
    <w:pPr>
      <w:tabs>
        <w:tab w:val="left" w:pos="1094"/>
        <w:tab w:val="left" w:pos="1244"/>
      </w:tabs>
      <w:snapToGrid w:val="0"/>
      <w:spacing w:line="360" w:lineRule="auto"/>
      <w:ind w:firstLine="480" w:firstLineChars="200"/>
    </w:pPr>
    <w:rPr>
      <w:rFonts w:ascii="宋体" w:hAnsi="宋体"/>
      <w:kern w:val="0"/>
      <w:sz w:val="24"/>
      <w:szCs w:val="24"/>
    </w:rPr>
  </w:style>
  <w:style w:type="character" w:customStyle="1" w:styleId="745">
    <w:name w:val="纯文本 Char21"/>
    <w:qFormat/>
    <w:uiPriority w:val="0"/>
    <w:rPr>
      <w:rFonts w:hint="eastAsia" w:ascii="宋体" w:hAnsi="Courier New" w:eastAsia="宋体"/>
      <w:kern w:val="2"/>
      <w:sz w:val="24"/>
      <w:lang w:val="en-US" w:eastAsia="zh-CN" w:bidi="ar-SA"/>
    </w:rPr>
  </w:style>
  <w:style w:type="character" w:customStyle="1" w:styleId="746">
    <w:name w:val="样式 样式 样式 标题 3 + 小四 非加粗 + + Char"/>
    <w:qFormat/>
    <w:uiPriority w:val="0"/>
    <w:rPr>
      <w:rFonts w:hint="eastAsia" w:ascii="仿宋_GB2312" w:eastAsia="仿宋_GB2312"/>
      <w:b/>
      <w:bCs/>
      <w:kern w:val="2"/>
      <w:sz w:val="24"/>
      <w:szCs w:val="24"/>
      <w:lang w:val="en-US" w:eastAsia="zh-CN" w:bidi="ar-SA"/>
    </w:rPr>
  </w:style>
  <w:style w:type="character" w:customStyle="1" w:styleId="747">
    <w:name w:val="f9"/>
    <w:qFormat/>
    <w:uiPriority w:val="0"/>
    <w:rPr>
      <w:rFonts w:hint="default" w:ascii="Times New Roman" w:hAnsi="Times New Roman" w:eastAsia="仿宋_GB2312" w:cs="Times New Roman"/>
      <w:sz w:val="24"/>
    </w:rPr>
  </w:style>
  <w:style w:type="character" w:customStyle="1" w:styleId="748">
    <w:name w:val="Char Char22"/>
    <w:qFormat/>
    <w:uiPriority w:val="0"/>
    <w:rPr>
      <w:rFonts w:hint="eastAsia" w:ascii="宋体" w:hAnsi="宋体" w:eastAsia="宋体"/>
      <w:kern w:val="2"/>
      <w:sz w:val="18"/>
      <w:szCs w:val="18"/>
      <w:lang w:val="en-US" w:eastAsia="zh-CN" w:bidi="ar-SA"/>
    </w:rPr>
  </w:style>
  <w:style w:type="character" w:customStyle="1" w:styleId="749">
    <w:name w:val="标题 4 Char Char Char Char Char Char Char Char Char Char Char Char Char Char Char Char Char Char Char"/>
    <w:qFormat/>
    <w:uiPriority w:val="0"/>
    <w:rPr>
      <w:rFonts w:hint="default" w:ascii="Arial" w:hAnsi="Arial" w:eastAsia="黑体" w:cs="Arial"/>
      <w:b/>
      <w:bCs/>
      <w:snapToGrid/>
      <w:sz w:val="24"/>
      <w:szCs w:val="28"/>
      <w:lang w:val="en-US" w:eastAsia="zh-CN" w:bidi="ar-SA"/>
    </w:rPr>
  </w:style>
  <w:style w:type="character" w:customStyle="1" w:styleId="750">
    <w:name w:val="lff Char"/>
    <w:qFormat/>
    <w:uiPriority w:val="0"/>
    <w:rPr>
      <w:rFonts w:hint="eastAsia" w:ascii="仿宋_GB2312" w:eastAsia="仿宋_GB2312"/>
      <w:color w:val="000000"/>
      <w:kern w:val="2"/>
      <w:sz w:val="21"/>
      <w:szCs w:val="21"/>
      <w:lang w:val="en-US" w:eastAsia="zh-CN" w:bidi="ar-SA"/>
    </w:rPr>
  </w:style>
  <w:style w:type="character" w:customStyle="1" w:styleId="751">
    <w:name w:val="da"/>
    <w:qFormat/>
    <w:uiPriority w:val="0"/>
  </w:style>
  <w:style w:type="character" w:customStyle="1" w:styleId="752">
    <w:name w:val="wenzi"/>
    <w:qFormat/>
    <w:uiPriority w:val="0"/>
  </w:style>
  <w:style w:type="character" w:customStyle="1" w:styleId="753">
    <w:name w:val="样式 仿宋_GB2312 小四 黑色"/>
    <w:qFormat/>
    <w:uiPriority w:val="0"/>
    <w:rPr>
      <w:rFonts w:hint="default" w:ascii="Times New Roman" w:hAnsi="Times New Roman" w:eastAsia="仿宋_GB2312" w:cs="Times New Roman"/>
      <w:color w:val="000000"/>
      <w:sz w:val="24"/>
      <w:szCs w:val="24"/>
    </w:rPr>
  </w:style>
  <w:style w:type="character" w:customStyle="1" w:styleId="754">
    <w:name w:val="iyz5991"/>
    <w:qFormat/>
    <w:uiPriority w:val="0"/>
  </w:style>
  <w:style w:type="character" w:customStyle="1" w:styleId="755">
    <w:name w:val="unnamed21"/>
    <w:qFormat/>
    <w:uiPriority w:val="0"/>
    <w:rPr>
      <w:spacing w:val="330"/>
    </w:rPr>
  </w:style>
  <w:style w:type="character" w:customStyle="1" w:styleId="756">
    <w:name w:val="ch1"/>
    <w:qFormat/>
    <w:uiPriority w:val="0"/>
    <w:rPr>
      <w:sz w:val="18"/>
    </w:rPr>
  </w:style>
  <w:style w:type="character" w:customStyle="1" w:styleId="757">
    <w:name w:val="正文1 Char"/>
    <w:qFormat/>
    <w:uiPriority w:val="0"/>
    <w:rPr>
      <w:rFonts w:hint="eastAsia" w:ascii="宋体" w:hAnsi="Times New Roman" w:eastAsia="宋体" w:cs="Times New Roman"/>
      <w:kern w:val="0"/>
      <w:sz w:val="28"/>
      <w:szCs w:val="20"/>
    </w:rPr>
  </w:style>
  <w:style w:type="character" w:customStyle="1" w:styleId="758">
    <w:name w:val="标题 3 Char Char Char Char Char Char Char Char Char Char Char Char Char Char Char Char"/>
    <w:qFormat/>
    <w:uiPriority w:val="0"/>
    <w:rPr>
      <w:rFonts w:hint="default" w:ascii="Times New Roman" w:hAnsi="Times New Roman" w:eastAsia="仿宋_GB2312" w:cs="Times New Roman"/>
      <w:sz w:val="24"/>
      <w:szCs w:val="32"/>
    </w:rPr>
  </w:style>
  <w:style w:type="character" w:customStyle="1" w:styleId="759">
    <w:name w:val="tit2"/>
    <w:qFormat/>
    <w:uiPriority w:val="0"/>
    <w:rPr>
      <w:b/>
      <w:bCs/>
      <w:sz w:val="48"/>
      <w:szCs w:val="48"/>
    </w:rPr>
  </w:style>
  <w:style w:type="character" w:customStyle="1" w:styleId="760">
    <w:name w:val="1首行缩进 Char"/>
    <w:qFormat/>
    <w:uiPriority w:val="0"/>
    <w:rPr>
      <w:rFonts w:hint="default" w:ascii="Arial" w:hAnsi="Arial" w:eastAsia="宋体" w:cs="Arial"/>
      <w:snapToGrid/>
      <w:sz w:val="28"/>
      <w:szCs w:val="28"/>
      <w:lang w:val="en-US" w:eastAsia="zh-CN" w:bidi="ar-SA"/>
    </w:rPr>
  </w:style>
  <w:style w:type="character" w:customStyle="1" w:styleId="761">
    <w:name w:val="Char Char173"/>
    <w:qFormat/>
    <w:uiPriority w:val="0"/>
    <w:rPr>
      <w:kern w:val="2"/>
      <w:sz w:val="28"/>
      <w:szCs w:val="24"/>
    </w:rPr>
  </w:style>
  <w:style w:type="character" w:customStyle="1" w:styleId="762">
    <w:name w:val="Char4"/>
    <w:qFormat/>
    <w:uiPriority w:val="0"/>
    <w:rPr>
      <w:rFonts w:hint="eastAsia" w:ascii="宋体" w:hAnsi="宋体" w:eastAsia="宋体"/>
      <w:b/>
      <w:bCs/>
      <w:kern w:val="44"/>
      <w:sz w:val="44"/>
      <w:szCs w:val="44"/>
      <w:lang w:val="en-US" w:eastAsia="zh-CN" w:bidi="ar-SA"/>
    </w:rPr>
  </w:style>
  <w:style w:type="character" w:customStyle="1" w:styleId="763">
    <w:name w:val="正文首行缩进 Char1"/>
    <w:qFormat/>
    <w:uiPriority w:val="0"/>
    <w:rPr>
      <w:rFonts w:hint="eastAsia" w:ascii="宋体" w:hAnsi="宋体" w:eastAsia="宋体"/>
      <w:snapToGrid/>
      <w:sz w:val="28"/>
      <w:szCs w:val="24"/>
      <w:lang w:val="en-US" w:eastAsia="zh-CN" w:bidi="ar-SA"/>
    </w:rPr>
  </w:style>
  <w:style w:type="character" w:styleId="764">
    <w:name w:val="Placeholder Text"/>
    <w:semiHidden/>
    <w:qFormat/>
    <w:uiPriority w:val="99"/>
    <w:rPr>
      <w:color w:val="808080"/>
    </w:rPr>
  </w:style>
  <w:style w:type="character" w:customStyle="1" w:styleId="765">
    <w:name w:val="list_title"/>
    <w:qFormat/>
    <w:uiPriority w:val="0"/>
  </w:style>
  <w:style w:type="character" w:customStyle="1" w:styleId="766">
    <w:name w:val="size9"/>
    <w:qFormat/>
    <w:uiPriority w:val="0"/>
  </w:style>
  <w:style w:type="character" w:customStyle="1" w:styleId="767">
    <w:name w:val="list_link"/>
    <w:qFormat/>
    <w:uiPriority w:val="0"/>
  </w:style>
  <w:style w:type="character" w:customStyle="1" w:styleId="768">
    <w:name w:val="Char Char21"/>
    <w:qFormat/>
    <w:uiPriority w:val="0"/>
    <w:rPr>
      <w:rFonts w:hint="eastAsia" w:ascii="宋体" w:hAnsi="宋体" w:eastAsia="宋体"/>
      <w:sz w:val="28"/>
      <w:lang w:val="en-US" w:eastAsia="zh-CN" w:bidi="ar-SA"/>
    </w:rPr>
  </w:style>
  <w:style w:type="character" w:customStyle="1" w:styleId="769">
    <w:name w:val="Char Char171"/>
    <w:qFormat/>
    <w:uiPriority w:val="0"/>
    <w:rPr>
      <w:kern w:val="2"/>
      <w:sz w:val="28"/>
      <w:szCs w:val="24"/>
    </w:rPr>
  </w:style>
  <w:style w:type="character" w:customStyle="1" w:styleId="770">
    <w:name w:val="textindent"/>
    <w:qFormat/>
    <w:uiPriority w:val="0"/>
  </w:style>
  <w:style w:type="character" w:customStyle="1" w:styleId="771">
    <w:name w:val="Char Char133"/>
    <w:qFormat/>
    <w:uiPriority w:val="0"/>
    <w:rPr>
      <w:rFonts w:hint="eastAsia" w:ascii="宋体" w:hAnsi="宋体" w:eastAsia="宋体"/>
      <w:snapToGrid/>
      <w:spacing w:val="8"/>
      <w:kern w:val="2"/>
      <w:sz w:val="18"/>
      <w:szCs w:val="18"/>
      <w:lang w:val="en-US" w:eastAsia="zh-CN" w:bidi="ar-SA"/>
    </w:rPr>
  </w:style>
  <w:style w:type="character" w:customStyle="1" w:styleId="772">
    <w:name w:val="正文四号 Char"/>
    <w:qFormat/>
    <w:uiPriority w:val="0"/>
    <w:rPr>
      <w:rFonts w:hint="eastAsia" w:ascii="宋体" w:hAnsi="宋体" w:eastAsia="宋体" w:cs="宋体"/>
      <w:kern w:val="2"/>
      <w:sz w:val="24"/>
      <w:szCs w:val="24"/>
      <w:lang w:val="en-US" w:eastAsia="zh-CN" w:bidi="ar-SA"/>
    </w:rPr>
  </w:style>
  <w:style w:type="character" w:customStyle="1" w:styleId="773">
    <w:name w:val="正文文本 2 Char1"/>
    <w:qFormat/>
    <w:uiPriority w:val="0"/>
    <w:rPr>
      <w:rFonts w:hint="eastAsia" w:ascii="宋体" w:hAnsi="宋体" w:eastAsia="宋体"/>
      <w:kern w:val="2"/>
      <w:sz w:val="21"/>
      <w:szCs w:val="24"/>
      <w:lang w:val="en-US" w:eastAsia="zh-CN" w:bidi="ar-SA"/>
    </w:rPr>
  </w:style>
  <w:style w:type="character" w:customStyle="1" w:styleId="774">
    <w:name w:val="标题 7 Char1"/>
    <w:qFormat/>
    <w:uiPriority w:val="0"/>
    <w:rPr>
      <w:rFonts w:hint="eastAsia" w:ascii="宋体" w:hAnsi="宋体" w:eastAsia="宋体"/>
      <w:b/>
      <w:sz w:val="24"/>
      <w:lang w:val="en-US" w:eastAsia="zh-CN" w:bidi="ar-SA"/>
    </w:rPr>
  </w:style>
  <w:style w:type="character" w:customStyle="1" w:styleId="775">
    <w:name w:val="listcontents1"/>
    <w:qFormat/>
    <w:uiPriority w:val="0"/>
    <w:rPr>
      <w:color w:val="000000"/>
      <w:spacing w:val="480"/>
      <w:sz w:val="14"/>
      <w:szCs w:val="14"/>
    </w:rPr>
  </w:style>
  <w:style w:type="character" w:customStyle="1" w:styleId="776">
    <w:name w:val="Char Char2"/>
    <w:qFormat/>
    <w:locked/>
    <w:uiPriority w:val="0"/>
    <w:rPr>
      <w:rFonts w:eastAsia="宋体"/>
      <w:kern w:val="2"/>
      <w:sz w:val="18"/>
      <w:szCs w:val="18"/>
      <w:lang w:val="en-US" w:eastAsia="zh-CN" w:bidi="ar-SA"/>
    </w:rPr>
  </w:style>
  <w:style w:type="character" w:customStyle="1" w:styleId="777">
    <w:name w:val="pdf1"/>
    <w:qFormat/>
    <w:uiPriority w:val="0"/>
    <w:rPr>
      <w:vanish/>
    </w:rPr>
  </w:style>
  <w:style w:type="character" w:customStyle="1" w:styleId="778">
    <w:name w:val="zi"/>
    <w:qFormat/>
    <w:uiPriority w:val="0"/>
  </w:style>
  <w:style w:type="character" w:customStyle="1" w:styleId="779">
    <w:name w:val="classification1"/>
    <w:qFormat/>
    <w:uiPriority w:val="0"/>
    <w:rPr>
      <w:vanish/>
    </w:rPr>
  </w:style>
  <w:style w:type="character" w:customStyle="1" w:styleId="780">
    <w:name w:val="keyword1"/>
    <w:qFormat/>
    <w:uiPriority w:val="0"/>
    <w:rPr>
      <w:vanish/>
    </w:rPr>
  </w:style>
  <w:style w:type="character" w:customStyle="1" w:styleId="781">
    <w:name w:val="idnub1"/>
    <w:qFormat/>
    <w:uiPriority w:val="0"/>
    <w:rPr>
      <w:vanish/>
    </w:rPr>
  </w:style>
  <w:style w:type="character" w:customStyle="1" w:styleId="782">
    <w:name w:val="样式34 Char"/>
    <w:qFormat/>
    <w:uiPriority w:val="0"/>
    <w:rPr>
      <w:rFonts w:hint="eastAsia" w:ascii="宋体" w:hAnsi="宋体" w:eastAsia="宋体"/>
      <w:b/>
      <w:i/>
      <w:color w:val="FF0000"/>
      <w:kern w:val="2"/>
      <w:sz w:val="24"/>
      <w:szCs w:val="24"/>
      <w:lang w:val="en-US" w:eastAsia="zh-CN" w:bidi="ar-SA"/>
    </w:rPr>
  </w:style>
  <w:style w:type="character" w:customStyle="1" w:styleId="783">
    <w:name w:val="标题 32 Char"/>
    <w:qFormat/>
    <w:uiPriority w:val="0"/>
    <w:rPr>
      <w:rFonts w:hint="eastAsia" w:ascii="宋体" w:hAnsi="宋体" w:eastAsia="宋体"/>
      <w:b/>
      <w:bCs/>
      <w:kern w:val="2"/>
      <w:sz w:val="32"/>
      <w:szCs w:val="32"/>
      <w:lang w:val="en-US" w:eastAsia="zh-CN" w:bidi="ar-SA"/>
    </w:rPr>
  </w:style>
  <w:style w:type="character" w:customStyle="1" w:styleId="784">
    <w:name w:val="题注 Char Char Char Char Char"/>
    <w:qFormat/>
    <w:uiPriority w:val="0"/>
    <w:rPr>
      <w:rFonts w:hint="default" w:ascii="Arial" w:hAnsi="Arial" w:eastAsia="黑体" w:cs="Arial"/>
      <w:kern w:val="2"/>
      <w:lang w:val="en-US" w:eastAsia="zh-CN" w:bidi="ar-SA"/>
    </w:rPr>
  </w:style>
  <w:style w:type="character" w:customStyle="1" w:styleId="785">
    <w:name w:val="f10wentitle"/>
    <w:qFormat/>
    <w:uiPriority w:val="0"/>
  </w:style>
  <w:style w:type="character" w:customStyle="1" w:styleId="786">
    <w:name w:val="标准 Char"/>
    <w:qFormat/>
    <w:uiPriority w:val="0"/>
    <w:rPr>
      <w:rFonts w:hint="eastAsia" w:ascii="宋体" w:hAnsi="宋体" w:eastAsia="宋体"/>
      <w:snapToGrid/>
      <w:sz w:val="28"/>
      <w:lang w:val="en-US" w:eastAsia="zh-CN" w:bidi="ar-SA"/>
    </w:rPr>
  </w:style>
  <w:style w:type="character" w:customStyle="1" w:styleId="787">
    <w:name w:val="keyword"/>
    <w:qFormat/>
    <w:uiPriority w:val="0"/>
  </w:style>
  <w:style w:type="character" w:customStyle="1" w:styleId="788">
    <w:name w:val="表格正文 Char1"/>
    <w:qFormat/>
    <w:uiPriority w:val="0"/>
    <w:rPr>
      <w:rFonts w:hint="eastAsia" w:ascii="宋体" w:hAnsi="宋体" w:eastAsia="宋体"/>
      <w:snapToGrid/>
      <w:spacing w:val="4"/>
      <w:w w:val="90"/>
      <w:sz w:val="24"/>
      <w:szCs w:val="24"/>
      <w:lang w:val="en-US" w:eastAsia="zh-CN" w:bidi="ar-SA"/>
    </w:rPr>
  </w:style>
  <w:style w:type="character" w:customStyle="1" w:styleId="789">
    <w:name w:val="hangju"/>
    <w:qFormat/>
    <w:uiPriority w:val="0"/>
  </w:style>
  <w:style w:type="character" w:customStyle="1" w:styleId="790">
    <w:name w:val="样式 宋体 四号2"/>
    <w:qFormat/>
    <w:uiPriority w:val="0"/>
    <w:rPr>
      <w:rFonts w:hint="eastAsia" w:ascii="宋体" w:hAnsi="宋体" w:eastAsia="宋体"/>
      <w:sz w:val="26"/>
    </w:rPr>
  </w:style>
  <w:style w:type="character" w:customStyle="1" w:styleId="791">
    <w:name w:val="样式 样式 宋体 四号1 + 四号"/>
    <w:qFormat/>
    <w:uiPriority w:val="0"/>
    <w:rPr>
      <w:rFonts w:hint="eastAsia" w:ascii="宋体" w:hAnsi="宋体" w:eastAsia="宋体"/>
      <w:kern w:val="0"/>
      <w:sz w:val="26"/>
    </w:rPr>
  </w:style>
  <w:style w:type="character" w:customStyle="1" w:styleId="792">
    <w:name w:val="文本框 Char Char"/>
    <w:qFormat/>
    <w:uiPriority w:val="0"/>
    <w:rPr>
      <w:rFonts w:hint="eastAsia" w:ascii="宋体" w:hAnsi="宋体" w:eastAsia="宋体"/>
      <w:kern w:val="2"/>
      <w:sz w:val="21"/>
      <w:szCs w:val="21"/>
      <w:lang w:val="en-US" w:eastAsia="zh-CN" w:bidi="ar-SA"/>
    </w:rPr>
  </w:style>
  <w:style w:type="character" w:customStyle="1" w:styleId="793">
    <w:name w:val="flname7"/>
    <w:qFormat/>
    <w:uiPriority w:val="0"/>
  </w:style>
  <w:style w:type="character" w:customStyle="1" w:styleId="794">
    <w:name w:val="pt91"/>
    <w:qFormat/>
    <w:uiPriority w:val="0"/>
    <w:rPr>
      <w:sz w:val="18"/>
      <w:szCs w:val="18"/>
    </w:rPr>
  </w:style>
  <w:style w:type="character" w:customStyle="1" w:styleId="795">
    <w:name w:val="newsbody"/>
    <w:qFormat/>
    <w:uiPriority w:val="0"/>
  </w:style>
  <w:style w:type="character" w:customStyle="1" w:styleId="796">
    <w:name w:val="articlebody"/>
    <w:qFormat/>
    <w:uiPriority w:val="0"/>
  </w:style>
  <w:style w:type="character" w:customStyle="1" w:styleId="797">
    <w:name w:val="纯文本 Char Char Char1"/>
    <w:qFormat/>
    <w:uiPriority w:val="0"/>
    <w:rPr>
      <w:rFonts w:hint="eastAsia" w:ascii="宋体" w:hAnsi="Courier New" w:eastAsia="宋体"/>
      <w:sz w:val="21"/>
      <w:lang w:val="en-US" w:eastAsia="zh-CN" w:bidi="ar-SA"/>
    </w:rPr>
  </w:style>
  <w:style w:type="character" w:customStyle="1" w:styleId="798">
    <w:name w:val="正文文字 3 Char Char Char1"/>
    <w:qFormat/>
    <w:uiPriority w:val="0"/>
    <w:rPr>
      <w:rFonts w:hint="eastAsia" w:ascii="宋体" w:hAnsi="宋体" w:eastAsia="宋体"/>
      <w:sz w:val="18"/>
      <w:lang w:val="en-US" w:eastAsia="zh-CN" w:bidi="ar-SA"/>
    </w:rPr>
  </w:style>
  <w:style w:type="character" w:customStyle="1" w:styleId="799">
    <w:name w:val="n正文 Char"/>
    <w:link w:val="800"/>
    <w:qFormat/>
    <w:locked/>
    <w:uiPriority w:val="0"/>
    <w:rPr>
      <w:rFonts w:ascii="宋体" w:hAnsi="宋体" w:eastAsia="宋体"/>
      <w:kern w:val="2"/>
      <w:sz w:val="26"/>
      <w:szCs w:val="24"/>
      <w:lang w:bidi="ar-SA"/>
    </w:rPr>
  </w:style>
  <w:style w:type="paragraph" w:customStyle="1" w:styleId="800">
    <w:name w:val="n正文"/>
    <w:basedOn w:val="1"/>
    <w:link w:val="799"/>
    <w:qFormat/>
    <w:uiPriority w:val="0"/>
    <w:pPr>
      <w:spacing w:line="460" w:lineRule="exact"/>
      <w:ind w:firstLine="520" w:firstLineChars="200"/>
    </w:pPr>
    <w:rPr>
      <w:rFonts w:ascii="宋体" w:hAnsi="宋体"/>
      <w:sz w:val="26"/>
      <w:szCs w:val="24"/>
    </w:rPr>
  </w:style>
  <w:style w:type="character" w:customStyle="1" w:styleId="801">
    <w:name w:val="font141"/>
    <w:qFormat/>
    <w:uiPriority w:val="0"/>
    <w:rPr>
      <w:color w:val="000000"/>
      <w:sz w:val="21"/>
      <w:szCs w:val="21"/>
    </w:rPr>
  </w:style>
  <w:style w:type="character" w:customStyle="1" w:styleId="802">
    <w:name w:val="正文文字 3 Char Char Char2"/>
    <w:qFormat/>
    <w:uiPriority w:val="0"/>
    <w:rPr>
      <w:rFonts w:hint="eastAsia" w:ascii="宋体" w:hAnsi="宋体" w:eastAsia="宋体"/>
      <w:kern w:val="2"/>
      <w:sz w:val="16"/>
      <w:szCs w:val="16"/>
      <w:lang w:val="en-US" w:eastAsia="zh-CN" w:bidi="ar-SA"/>
    </w:rPr>
  </w:style>
  <w:style w:type="character" w:customStyle="1" w:styleId="803">
    <w:name w:val="Char Char192"/>
    <w:qFormat/>
    <w:uiPriority w:val="0"/>
    <w:rPr>
      <w:rFonts w:hint="default" w:ascii="Arial Black" w:hAnsi="Arial Black" w:eastAsia="宋体"/>
      <w:b/>
      <w:bCs/>
      <w:kern w:val="44"/>
      <w:sz w:val="44"/>
      <w:szCs w:val="44"/>
      <w:lang w:val="en-US" w:eastAsia="zh-CN" w:bidi="ar-SA"/>
    </w:rPr>
  </w:style>
  <w:style w:type="character" w:customStyle="1" w:styleId="804">
    <w:name w:val="Char Char183"/>
    <w:qFormat/>
    <w:uiPriority w:val="0"/>
    <w:rPr>
      <w:rFonts w:hint="default" w:ascii="Arial" w:hAnsi="Arial" w:eastAsia="宋体" w:cs="Arial"/>
      <w:color w:val="000000"/>
      <w:kern w:val="2"/>
      <w:sz w:val="28"/>
      <w:szCs w:val="36"/>
      <w:lang w:val="en-US" w:eastAsia="zh-CN" w:bidi="ar-SA"/>
    </w:rPr>
  </w:style>
  <w:style w:type="character" w:customStyle="1" w:styleId="805">
    <w:name w:val="Char Char131"/>
    <w:qFormat/>
    <w:uiPriority w:val="0"/>
    <w:rPr>
      <w:rFonts w:hint="eastAsia" w:ascii="宋体" w:hAnsi="宋体" w:eastAsia="宋体"/>
      <w:snapToGrid/>
      <w:spacing w:val="8"/>
      <w:kern w:val="2"/>
      <w:sz w:val="18"/>
      <w:szCs w:val="18"/>
      <w:lang w:val="en-US" w:eastAsia="zh-CN" w:bidi="ar-SA"/>
    </w:rPr>
  </w:style>
  <w:style w:type="character" w:customStyle="1" w:styleId="806">
    <w:name w:val="Char Char32"/>
    <w:semiHidden/>
    <w:qFormat/>
    <w:uiPriority w:val="0"/>
    <w:rPr>
      <w:rFonts w:hint="eastAsia" w:ascii="宋体" w:hAnsi="宋体" w:eastAsia="宋体"/>
      <w:sz w:val="18"/>
      <w:lang w:val="en-US" w:eastAsia="zh-CN" w:bidi="ar-SA"/>
    </w:rPr>
  </w:style>
  <w:style w:type="character" w:customStyle="1" w:styleId="807">
    <w:name w:val="Char Char61"/>
    <w:semiHidden/>
    <w:qFormat/>
    <w:uiPriority w:val="0"/>
    <w:rPr>
      <w:rFonts w:hint="eastAsia" w:ascii="宋体" w:hAnsi="宋体" w:eastAsia="宋体"/>
      <w:kern w:val="2"/>
      <w:sz w:val="21"/>
      <w:szCs w:val="24"/>
      <w:lang w:val="en-US" w:eastAsia="zh-CN" w:bidi="ar-SA"/>
    </w:rPr>
  </w:style>
  <w:style w:type="character" w:customStyle="1" w:styleId="808">
    <w:name w:val="Char Char182"/>
    <w:qFormat/>
    <w:uiPriority w:val="0"/>
    <w:rPr>
      <w:rFonts w:hint="default" w:ascii="Arial" w:hAnsi="Arial" w:eastAsia="宋体" w:cs="Arial"/>
      <w:color w:val="000000"/>
      <w:kern w:val="2"/>
      <w:sz w:val="28"/>
      <w:szCs w:val="36"/>
      <w:lang w:val="en-US" w:eastAsia="zh-CN" w:bidi="ar-SA"/>
    </w:rPr>
  </w:style>
  <w:style w:type="character" w:customStyle="1" w:styleId="809">
    <w:name w:val="Char Char123"/>
    <w:qFormat/>
    <w:uiPriority w:val="0"/>
    <w:rPr>
      <w:rFonts w:hint="eastAsia" w:ascii="仿宋_GB2312" w:hAnsi="宋体" w:eastAsia="仿宋_GB2312"/>
      <w:color w:val="000000"/>
      <w:kern w:val="2"/>
      <w:sz w:val="21"/>
    </w:rPr>
  </w:style>
  <w:style w:type="character" w:customStyle="1" w:styleId="810">
    <w:name w:val="插图标题 Char"/>
    <w:link w:val="811"/>
    <w:qFormat/>
    <w:locked/>
    <w:uiPriority w:val="0"/>
    <w:rPr>
      <w:rFonts w:ascii="宋体" w:hAnsi="宋体" w:eastAsia="宋体"/>
      <w:kern w:val="2"/>
      <w:sz w:val="24"/>
      <w:szCs w:val="24"/>
      <w:lang w:val="en-US" w:eastAsia="zh-CN" w:bidi="ar-SA"/>
    </w:rPr>
  </w:style>
  <w:style w:type="paragraph" w:customStyle="1" w:styleId="811">
    <w:name w:val="插图标题"/>
    <w:basedOn w:val="1"/>
    <w:link w:val="810"/>
    <w:qFormat/>
    <w:uiPriority w:val="0"/>
    <w:pPr>
      <w:adjustRightInd w:val="0"/>
      <w:snapToGrid w:val="0"/>
      <w:spacing w:line="348" w:lineRule="auto"/>
      <w:jc w:val="center"/>
    </w:pPr>
    <w:rPr>
      <w:rFonts w:ascii="宋体" w:hAnsi="宋体"/>
      <w:sz w:val="24"/>
      <w:szCs w:val="24"/>
    </w:rPr>
  </w:style>
  <w:style w:type="character" w:customStyle="1" w:styleId="812">
    <w:name w:val="正文标准 Char"/>
    <w:link w:val="813"/>
    <w:qFormat/>
    <w:locked/>
    <w:uiPriority w:val="0"/>
    <w:rPr>
      <w:rFonts w:ascii="宋体" w:hAnsi="宋体" w:eastAsia="宋体"/>
      <w:spacing w:val="-5"/>
      <w:sz w:val="24"/>
      <w:lang w:val="en-US" w:eastAsia="zh-CN" w:bidi="ar-SA"/>
    </w:rPr>
  </w:style>
  <w:style w:type="paragraph" w:customStyle="1" w:styleId="813">
    <w:name w:val="正文标准"/>
    <w:basedOn w:val="1"/>
    <w:link w:val="812"/>
    <w:qFormat/>
    <w:uiPriority w:val="0"/>
    <w:pPr>
      <w:spacing w:line="360" w:lineRule="auto"/>
      <w:ind w:firstLine="200" w:firstLineChars="200"/>
    </w:pPr>
    <w:rPr>
      <w:rFonts w:ascii="宋体" w:hAnsi="宋体"/>
      <w:spacing w:val="-5"/>
      <w:kern w:val="0"/>
      <w:sz w:val="24"/>
      <w:szCs w:val="20"/>
    </w:rPr>
  </w:style>
  <w:style w:type="character" w:customStyle="1" w:styleId="814">
    <w:name w:val="fontstyle01"/>
    <w:qFormat/>
    <w:uiPriority w:val="0"/>
    <w:rPr>
      <w:rFonts w:hint="eastAsia" w:ascii="黑体" w:hAnsi="黑体" w:eastAsia="黑体"/>
      <w:color w:val="000000"/>
      <w:sz w:val="24"/>
      <w:szCs w:val="24"/>
    </w:rPr>
  </w:style>
  <w:style w:type="character" w:customStyle="1" w:styleId="815">
    <w:name w:val="fontstyle31"/>
    <w:qFormat/>
    <w:uiPriority w:val="0"/>
    <w:rPr>
      <w:rFonts w:hint="default" w:ascii="Times New Roman" w:hAnsi="Times New Roman" w:cs="Times New Roman"/>
      <w:b/>
      <w:bCs/>
      <w:color w:val="000000"/>
      <w:sz w:val="24"/>
      <w:szCs w:val="24"/>
    </w:rPr>
  </w:style>
  <w:style w:type="character" w:customStyle="1" w:styleId="816">
    <w:name w:val="fontstyle11"/>
    <w:qFormat/>
    <w:uiPriority w:val="0"/>
    <w:rPr>
      <w:rFonts w:hint="default" w:ascii="Times New Roman" w:hAnsi="Times New Roman" w:cs="Times New Roman"/>
      <w:color w:val="000000"/>
      <w:sz w:val="28"/>
      <w:szCs w:val="28"/>
    </w:rPr>
  </w:style>
  <w:style w:type="character" w:customStyle="1" w:styleId="817">
    <w:name w:val="Char Char3"/>
    <w:qFormat/>
    <w:locked/>
    <w:uiPriority w:val="0"/>
    <w:rPr>
      <w:rFonts w:eastAsia="宋体"/>
      <w:b/>
      <w:bCs/>
      <w:kern w:val="2"/>
      <w:sz w:val="28"/>
      <w:szCs w:val="28"/>
      <w:lang w:val="en-US" w:eastAsia="zh-CN" w:bidi="ar-SA"/>
    </w:rPr>
  </w:style>
  <w:style w:type="paragraph" w:customStyle="1" w:styleId="818">
    <w:name w:val="日期1"/>
    <w:basedOn w:val="1"/>
    <w:next w:val="1"/>
    <w:qFormat/>
    <w:uiPriority w:val="0"/>
    <w:pPr>
      <w:tabs>
        <w:tab w:val="left" w:pos="1701"/>
      </w:tabs>
      <w:adjustRightInd w:val="0"/>
      <w:spacing w:line="360" w:lineRule="atLeast"/>
    </w:pPr>
    <w:rPr>
      <w:rFonts w:ascii="宋体"/>
      <w:spacing w:val="20"/>
      <w:kern w:val="0"/>
      <w:sz w:val="28"/>
      <w:szCs w:val="20"/>
    </w:rPr>
  </w:style>
  <w:style w:type="paragraph" w:customStyle="1" w:styleId="819">
    <w:name w:val="xl9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820">
    <w:name w:val="Char Char1 Char Char Char"/>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821">
    <w:name w:val="Char Char Char Char Char Char Char Char Char Char Char Char Char Char Char Char"/>
    <w:basedOn w:val="1"/>
    <w:qFormat/>
    <w:uiPriority w:val="0"/>
    <w:rPr>
      <w:szCs w:val="21"/>
    </w:rPr>
  </w:style>
  <w:style w:type="paragraph" w:customStyle="1" w:styleId="822">
    <w:name w:val="s1"/>
    <w:basedOn w:val="1"/>
    <w:qFormat/>
    <w:uiPriority w:val="0"/>
    <w:pPr>
      <w:widowControl/>
      <w:spacing w:before="100" w:beforeAutospacing="1" w:after="100" w:afterAutospacing="1"/>
      <w:jc w:val="left"/>
    </w:pPr>
    <w:rPr>
      <w:color w:val="000000"/>
      <w:kern w:val="0"/>
      <w:szCs w:val="21"/>
    </w:rPr>
  </w:style>
  <w:style w:type="paragraph" w:customStyle="1" w:styleId="8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kern w:val="0"/>
      <w:sz w:val="16"/>
      <w:szCs w:val="16"/>
    </w:rPr>
  </w:style>
  <w:style w:type="paragraph" w:customStyle="1" w:styleId="824">
    <w:name w:val="reader-word-layer reader-word-s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25">
    <w:name w:val="Q4"/>
    <w:basedOn w:val="6"/>
    <w:qFormat/>
    <w:uiPriority w:val="0"/>
    <w:pPr>
      <w:spacing w:line="360" w:lineRule="auto"/>
      <w:ind w:left="242" w:hanging="242" w:hangingChars="242"/>
    </w:pPr>
    <w:rPr>
      <w:b/>
    </w:rPr>
  </w:style>
  <w:style w:type="paragraph" w:customStyle="1" w:styleId="826">
    <w:name w:val="样式 kk5 + 段前: 0.4 行 段后: 0.4 行"/>
    <w:basedOn w:val="827"/>
    <w:qFormat/>
    <w:uiPriority w:val="0"/>
    <w:pPr>
      <w:tabs>
        <w:tab w:val="left" w:pos="1008"/>
      </w:tabs>
      <w:spacing w:before="0" w:beforeLines="0" w:after="0" w:afterLines="0"/>
      <w:ind w:firstLine="200" w:firstLineChars="200"/>
    </w:pPr>
    <w:rPr>
      <w:rFonts w:cs="宋体"/>
      <w:szCs w:val="20"/>
    </w:rPr>
  </w:style>
  <w:style w:type="paragraph" w:customStyle="1" w:styleId="827">
    <w:name w:val="kk5"/>
    <w:basedOn w:val="7"/>
    <w:qFormat/>
    <w:uiPriority w:val="0"/>
    <w:pPr>
      <w:tabs>
        <w:tab w:val="clear" w:pos="-108"/>
      </w:tabs>
      <w:snapToGrid/>
      <w:spacing w:before="214" w:beforeLines="40" w:after="214" w:afterLines="40" w:line="500" w:lineRule="exact"/>
      <w:ind w:left="0" w:firstLine="0" w:firstLineChars="0"/>
    </w:pPr>
    <w:rPr>
      <w:rFonts w:ascii="Arial Narrow"/>
      <w:b w:val="0"/>
      <w:sz w:val="24"/>
      <w:szCs w:val="28"/>
    </w:rPr>
  </w:style>
  <w:style w:type="paragraph" w:customStyle="1" w:styleId="828">
    <w:name w:val="Char Char Char Char Char Char1 Char7"/>
    <w:basedOn w:val="1"/>
    <w:qFormat/>
    <w:uiPriority w:val="0"/>
    <w:rPr>
      <w:rFonts w:eastAsia="仿宋_GB2312"/>
      <w:b/>
      <w:sz w:val="24"/>
      <w:szCs w:val="24"/>
    </w:rPr>
  </w:style>
  <w:style w:type="paragraph" w:customStyle="1" w:styleId="829">
    <w:name w:val="xl12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830">
    <w:name w:val="xl126"/>
    <w:basedOn w:val="1"/>
    <w:qFormat/>
    <w:uiPriority w:val="0"/>
    <w:pPr>
      <w:widowControl/>
      <w:pBdr>
        <w:top w:val="single" w:color="auto" w:sz="4" w:space="0"/>
        <w:bottom w:val="single" w:color="auto" w:sz="8" w:space="0"/>
      </w:pBdr>
      <w:spacing w:before="100" w:beforeAutospacing="1" w:after="100" w:afterAutospacing="1"/>
      <w:jc w:val="center"/>
    </w:pPr>
    <w:rPr>
      <w:rFonts w:ascii="Arial Unicode MS" w:hAnsi="Arial Unicode MS"/>
      <w:kern w:val="0"/>
      <w:sz w:val="20"/>
      <w:szCs w:val="20"/>
    </w:rPr>
  </w:style>
  <w:style w:type="paragraph" w:customStyle="1" w:styleId="831">
    <w:name w:val="样式 标题 1 + 宋体1"/>
    <w:basedOn w:val="3"/>
    <w:qFormat/>
    <w:uiPriority w:val="0"/>
    <w:pPr>
      <w:widowControl/>
      <w:tabs>
        <w:tab w:val="left" w:pos="425"/>
        <w:tab w:val="left" w:pos="1740"/>
        <w:tab w:val="right" w:pos="8640"/>
      </w:tabs>
      <w:overflowPunct w:val="0"/>
      <w:autoSpaceDE w:val="0"/>
      <w:autoSpaceDN w:val="0"/>
      <w:adjustRightInd w:val="0"/>
      <w:spacing w:before="120" w:after="120" w:line="440" w:lineRule="exact"/>
      <w:ind w:left="-76" w:hanging="284"/>
      <w:jc w:val="left"/>
    </w:pPr>
    <w:rPr>
      <w:rFonts w:ascii="宋体" w:hAnsi="宋体"/>
      <w:kern w:val="28"/>
      <w:sz w:val="30"/>
    </w:rPr>
  </w:style>
  <w:style w:type="paragraph" w:customStyle="1" w:styleId="832">
    <w:name w:val="！标题4 Alt+4"/>
    <w:basedOn w:val="833"/>
    <w:next w:val="834"/>
    <w:qFormat/>
    <w:uiPriority w:val="0"/>
    <w:pPr>
      <w:tabs>
        <w:tab w:val="left" w:pos="0"/>
      </w:tabs>
      <w:ind w:firstLine="100" w:firstLineChars="100"/>
      <w:outlineLvl w:val="3"/>
    </w:pPr>
  </w:style>
  <w:style w:type="paragraph" w:customStyle="1" w:styleId="833">
    <w:name w:val="！标题3 Alt+3"/>
    <w:basedOn w:val="1"/>
    <w:next w:val="834"/>
    <w:qFormat/>
    <w:uiPriority w:val="0"/>
    <w:pPr>
      <w:tabs>
        <w:tab w:val="left" w:pos="0"/>
      </w:tabs>
      <w:spacing w:beforeLines="50" w:line="360" w:lineRule="auto"/>
      <w:outlineLvl w:val="2"/>
    </w:pPr>
    <w:rPr>
      <w:rFonts w:eastAsia="黑体"/>
      <w:sz w:val="28"/>
      <w:szCs w:val="28"/>
    </w:rPr>
  </w:style>
  <w:style w:type="paragraph" w:customStyle="1" w:styleId="834">
    <w:name w:val="！正文 Alt+0"/>
    <w:basedOn w:val="1"/>
    <w:qFormat/>
    <w:uiPriority w:val="0"/>
    <w:pPr>
      <w:spacing w:beforeLines="50" w:line="360" w:lineRule="auto"/>
      <w:ind w:firstLine="200" w:firstLineChars="200"/>
    </w:pPr>
    <w:rPr>
      <w:sz w:val="28"/>
      <w:szCs w:val="28"/>
    </w:rPr>
  </w:style>
  <w:style w:type="paragraph" w:customStyle="1" w:styleId="835">
    <w:name w:val="Char Char Char4"/>
    <w:basedOn w:val="1"/>
    <w:qFormat/>
    <w:uiPriority w:val="0"/>
    <w:pPr>
      <w:widowControl/>
      <w:spacing w:after="160" w:line="240" w:lineRule="exact"/>
      <w:jc w:val="left"/>
    </w:pPr>
    <w:rPr>
      <w:rFonts w:ascii="Verdana" w:hAnsi="Verdana"/>
      <w:kern w:val="0"/>
      <w:szCs w:val="20"/>
      <w:lang w:eastAsia="en-US"/>
    </w:rPr>
  </w:style>
  <w:style w:type="paragraph" w:customStyle="1" w:styleId="836">
    <w:name w:val="Char Char Char1 Char Char Char Char Char Char Char Char Char Char5"/>
    <w:basedOn w:val="1"/>
    <w:qFormat/>
    <w:uiPriority w:val="0"/>
    <w:rPr>
      <w:szCs w:val="24"/>
    </w:rPr>
  </w:style>
  <w:style w:type="paragraph" w:customStyle="1" w:styleId="837">
    <w:name w:val="正文缩进2"/>
    <w:basedOn w:val="1"/>
    <w:next w:val="41"/>
    <w:qFormat/>
    <w:uiPriority w:val="0"/>
    <w:pPr>
      <w:snapToGrid w:val="0"/>
      <w:spacing w:line="360" w:lineRule="auto"/>
      <w:ind w:left="280" w:firstLine="590" w:firstLineChars="200"/>
      <w:jc w:val="right"/>
    </w:pPr>
    <w:rPr>
      <w:rFonts w:ascii="宋体" w:hAnsi="Courier New"/>
      <w:sz w:val="28"/>
      <w:szCs w:val="20"/>
    </w:rPr>
  </w:style>
  <w:style w:type="paragraph" w:customStyle="1" w:styleId="838">
    <w:name w:val="正文首行缩进5"/>
    <w:basedOn w:val="31"/>
    <w:qFormat/>
    <w:uiPriority w:val="0"/>
    <w:pPr>
      <w:adjustRightInd w:val="0"/>
      <w:spacing w:before="0" w:line="312" w:lineRule="auto"/>
      <w:ind w:left="0" w:firstLine="567"/>
    </w:pPr>
    <w:rPr>
      <w:rFonts w:hint="eastAsia" w:ascii="Times New Roman" w:hAnsi="Times New Roman"/>
      <w:sz w:val="28"/>
      <w:szCs w:val="20"/>
      <w:lang w:eastAsia="zh-CN"/>
    </w:rPr>
  </w:style>
  <w:style w:type="paragraph" w:customStyle="1" w:styleId="839">
    <w:name w:val="font1"/>
    <w:basedOn w:val="1"/>
    <w:qFormat/>
    <w:uiPriority w:val="0"/>
    <w:pPr>
      <w:widowControl/>
      <w:spacing w:before="100" w:beforeAutospacing="1" w:after="100" w:afterAutospacing="1"/>
      <w:jc w:val="left"/>
    </w:pPr>
    <w:rPr>
      <w:rFonts w:hint="eastAsia" w:ascii="宋体" w:hAnsi="宋体"/>
      <w:kern w:val="0"/>
      <w:sz w:val="24"/>
      <w:szCs w:val="20"/>
    </w:rPr>
  </w:style>
  <w:style w:type="paragraph" w:customStyle="1" w:styleId="840">
    <w:name w:val="Char Char Char Char Char Char Char"/>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841">
    <w:name w:val="样式 标题 3 + 段前: 6 磅 段后: 0 磅2"/>
    <w:basedOn w:val="5"/>
    <w:qFormat/>
    <w:uiPriority w:val="0"/>
    <w:pPr>
      <w:tabs>
        <w:tab w:val="left" w:pos="180"/>
        <w:tab w:val="left" w:pos="1742"/>
      </w:tabs>
      <w:autoSpaceDE w:val="0"/>
      <w:autoSpaceDN w:val="0"/>
      <w:adjustRightInd w:val="0"/>
      <w:spacing w:line="300" w:lineRule="auto"/>
      <w:ind w:left="714" w:right="240" w:rightChars="100" w:hanging="357"/>
    </w:pPr>
    <w:rPr>
      <w:rFonts w:ascii="宋体" w:hAnsi="宋体" w:cs="宋体"/>
      <w:b/>
      <w:spacing w:val="8"/>
      <w:szCs w:val="20"/>
    </w:rPr>
  </w:style>
  <w:style w:type="paragraph" w:customStyle="1" w:styleId="842">
    <w:name w:val="表格，内容"/>
    <w:basedOn w:val="1"/>
    <w:qFormat/>
    <w:uiPriority w:val="0"/>
    <w:pPr>
      <w:jc w:val="center"/>
    </w:pPr>
    <w:rPr>
      <w:spacing w:val="10"/>
      <w:kern w:val="44"/>
      <w:szCs w:val="24"/>
    </w:rPr>
  </w:style>
  <w:style w:type="paragraph" w:customStyle="1" w:styleId="843">
    <w:name w:val="字元 字元 Char Char 字元 字元11"/>
    <w:basedOn w:val="1"/>
    <w:qFormat/>
    <w:uiPriority w:val="0"/>
    <w:rPr>
      <w:sz w:val="24"/>
      <w:szCs w:val="24"/>
    </w:rPr>
  </w:style>
  <w:style w:type="paragraph" w:customStyle="1" w:styleId="844">
    <w:name w:val="文档结构图4"/>
    <w:basedOn w:val="1"/>
    <w:qFormat/>
    <w:uiPriority w:val="0"/>
    <w:pPr>
      <w:shd w:val="clear" w:color="auto" w:fill="000080"/>
      <w:adjustRightInd w:val="0"/>
      <w:spacing w:line="360" w:lineRule="atLeast"/>
      <w:jc w:val="left"/>
    </w:pPr>
    <w:rPr>
      <w:rFonts w:eastAsia="Wingdings"/>
      <w:kern w:val="0"/>
      <w:sz w:val="24"/>
      <w:szCs w:val="20"/>
    </w:rPr>
  </w:style>
  <w:style w:type="paragraph" w:customStyle="1" w:styleId="845">
    <w:name w:val="样式34"/>
    <w:basedOn w:val="673"/>
    <w:qFormat/>
    <w:uiPriority w:val="0"/>
    <w:pPr>
      <w:spacing w:line="240" w:lineRule="atLeast"/>
      <w:jc w:val="center"/>
    </w:pPr>
    <w:rPr>
      <w:i/>
      <w:color w:val="FF0000"/>
      <w:kern w:val="0"/>
      <w:sz w:val="24"/>
      <w:szCs w:val="24"/>
    </w:rPr>
  </w:style>
  <w:style w:type="paragraph" w:customStyle="1" w:styleId="846">
    <w:name w:val="Char Char Char Char Char Char Char Char Char2 Char1"/>
    <w:basedOn w:val="1"/>
    <w:next w:val="1"/>
    <w:qFormat/>
    <w:uiPriority w:val="0"/>
    <w:pPr>
      <w:pBdr>
        <w:right w:val="single" w:color="auto" w:sz="12" w:space="4"/>
      </w:pBdr>
      <w:spacing w:line="360" w:lineRule="auto"/>
      <w:ind w:firstLine="200" w:firstLineChars="200"/>
    </w:pPr>
    <w:rPr>
      <w:rFonts w:ascii="宋体" w:hAnsi="宋体" w:cs="宋体"/>
      <w:sz w:val="24"/>
      <w:szCs w:val="24"/>
    </w:rPr>
  </w:style>
  <w:style w:type="paragraph" w:customStyle="1" w:styleId="847">
    <w:name w:val="reader-word-layer reader-word-s53-1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48">
    <w:name w:val="xl67"/>
    <w:basedOn w:val="1"/>
    <w:qFormat/>
    <w:uiPriority w:val="0"/>
    <w:pPr>
      <w:widowControl/>
      <w:pBdr>
        <w:left w:val="single" w:color="auto" w:sz="4" w:space="0"/>
        <w:bottom w:val="single" w:color="auto" w:sz="4" w:space="0"/>
      </w:pBdr>
      <w:spacing w:before="100" w:beforeAutospacing="1" w:after="100" w:afterAutospacing="1"/>
      <w:jc w:val="right"/>
    </w:pPr>
    <w:rPr>
      <w:rFonts w:ascii="宋体" w:hAnsi="宋体"/>
      <w:b/>
      <w:bCs/>
      <w:kern w:val="0"/>
      <w:sz w:val="16"/>
      <w:szCs w:val="16"/>
    </w:rPr>
  </w:style>
  <w:style w:type="paragraph" w:customStyle="1" w:styleId="849">
    <w:name w:val="Char"/>
    <w:basedOn w:val="23"/>
    <w:qFormat/>
    <w:uiPriority w:val="0"/>
    <w:pPr>
      <w:shd w:val="clear" w:color="auto" w:fill="000080"/>
      <w:adjustRightInd w:val="0"/>
      <w:spacing w:line="436" w:lineRule="exact"/>
      <w:ind w:left="357"/>
      <w:jc w:val="left"/>
      <w:outlineLvl w:val="3"/>
    </w:pPr>
    <w:rPr>
      <w:rFonts w:ascii="Tahoma" w:hAnsi="Tahoma"/>
      <w:b/>
      <w:sz w:val="24"/>
      <w:szCs w:val="28"/>
    </w:rPr>
  </w:style>
  <w:style w:type="paragraph" w:customStyle="1" w:styleId="850">
    <w:name w:val="字元 字元1"/>
    <w:basedOn w:val="1"/>
    <w:qFormat/>
    <w:uiPriority w:val="0"/>
    <w:rPr>
      <w:szCs w:val="24"/>
    </w:rPr>
  </w:style>
  <w:style w:type="paragraph" w:customStyle="1" w:styleId="851">
    <w:name w:val="样式 Times New Roman 四号 段前: 0 磅 段后: 0 磅"/>
    <w:basedOn w:val="1"/>
    <w:qFormat/>
    <w:uiPriority w:val="0"/>
    <w:pPr>
      <w:adjustRightInd w:val="0"/>
      <w:snapToGrid w:val="0"/>
      <w:spacing w:line="500" w:lineRule="atLeast"/>
      <w:ind w:firstLine="560" w:firstLineChars="200"/>
    </w:pPr>
    <w:rPr>
      <w:rFonts w:hAnsi="宋体"/>
      <w:bCs/>
      <w:sz w:val="28"/>
      <w:szCs w:val="24"/>
    </w:rPr>
  </w:style>
  <w:style w:type="paragraph" w:customStyle="1" w:styleId="852">
    <w:name w:val="列出段落4"/>
    <w:basedOn w:val="1"/>
    <w:qFormat/>
    <w:uiPriority w:val="0"/>
    <w:pPr>
      <w:spacing w:line="460" w:lineRule="atLeast"/>
      <w:ind w:firstLine="420" w:firstLineChars="200"/>
    </w:pPr>
    <w:rPr>
      <w:rFonts w:ascii="宋体"/>
      <w:bCs/>
      <w:kern w:val="44"/>
      <w:szCs w:val="44"/>
    </w:rPr>
  </w:style>
  <w:style w:type="paragraph" w:customStyle="1" w:styleId="853">
    <w:name w:val="样式75"/>
    <w:basedOn w:val="854"/>
    <w:qFormat/>
    <w:uiPriority w:val="0"/>
  </w:style>
  <w:style w:type="paragraph" w:customStyle="1" w:styleId="854">
    <w:name w:val="样式74"/>
    <w:basedOn w:val="257"/>
    <w:qFormat/>
    <w:uiPriority w:val="0"/>
  </w:style>
  <w:style w:type="paragraph" w:customStyle="1" w:styleId="855">
    <w:name w:val="xl91"/>
    <w:basedOn w:val="1"/>
    <w:qFormat/>
    <w:uiPriority w:val="0"/>
    <w:pPr>
      <w:widowControl/>
      <w:pBdr>
        <w:left w:val="single" w:color="auto" w:sz="4" w:space="0"/>
        <w:bottom w:val="single" w:color="auto" w:sz="4" w:space="0"/>
      </w:pBdr>
      <w:spacing w:before="100" w:beforeAutospacing="1" w:after="100" w:afterAutospacing="1"/>
      <w:jc w:val="right"/>
    </w:pPr>
    <w:rPr>
      <w:rFonts w:ascii="Arial Unicode MS" w:hAnsi="Arial Unicode MS"/>
      <w:kern w:val="0"/>
      <w:sz w:val="20"/>
      <w:szCs w:val="20"/>
    </w:rPr>
  </w:style>
  <w:style w:type="paragraph" w:customStyle="1" w:styleId="856">
    <w:name w:val="Char Char Char Char Char2 Char3"/>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857">
    <w:name w:val="批注主题1"/>
    <w:basedOn w:val="25"/>
    <w:next w:val="25"/>
    <w:qFormat/>
    <w:uiPriority w:val="0"/>
    <w:rPr>
      <w:rFonts w:eastAsia="Times New Roman"/>
      <w:b/>
      <w:bCs/>
      <w:sz w:val="24"/>
      <w:szCs w:val="24"/>
    </w:rPr>
  </w:style>
  <w:style w:type="paragraph" w:customStyle="1" w:styleId="858">
    <w:name w:val="样式69"/>
    <w:basedOn w:val="859"/>
    <w:qFormat/>
    <w:uiPriority w:val="0"/>
    <w:rPr>
      <w:b w:val="0"/>
      <w:szCs w:val="24"/>
    </w:rPr>
  </w:style>
  <w:style w:type="paragraph" w:customStyle="1" w:styleId="859">
    <w:name w:val="样式67"/>
    <w:basedOn w:val="502"/>
    <w:qFormat/>
    <w:uiPriority w:val="0"/>
  </w:style>
  <w:style w:type="paragraph" w:customStyle="1" w:styleId="860">
    <w:name w:val="wdjh"/>
    <w:basedOn w:val="1"/>
    <w:qFormat/>
    <w:uiPriority w:val="0"/>
    <w:pPr>
      <w:widowControl/>
      <w:spacing w:before="100" w:beforeAutospacing="1" w:after="100" w:afterAutospacing="1" w:line="360" w:lineRule="atLeast"/>
      <w:ind w:firstLine="480" w:firstLineChars="200"/>
      <w:jc w:val="left"/>
    </w:pPr>
    <w:rPr>
      <w:rFonts w:eastAsia="Arial Unicode MS"/>
      <w:color w:val="333333"/>
      <w:kern w:val="0"/>
      <w:sz w:val="24"/>
      <w:szCs w:val="20"/>
    </w:rPr>
  </w:style>
  <w:style w:type="paragraph" w:customStyle="1" w:styleId="861">
    <w:name w:val="样式 文章1 + 首行缩进:  6 字符"/>
    <w:basedOn w:val="1"/>
    <w:qFormat/>
    <w:uiPriority w:val="0"/>
    <w:pPr>
      <w:spacing w:line="600" w:lineRule="exact"/>
      <w:ind w:firstLine="200" w:firstLineChars="200"/>
    </w:pPr>
    <w:rPr>
      <w:sz w:val="28"/>
      <w:szCs w:val="20"/>
    </w:rPr>
  </w:style>
  <w:style w:type="paragraph" w:customStyle="1" w:styleId="862">
    <w:name w:val="样式 标题 3 + 段前: 6 磅 段后: 0 磅"/>
    <w:basedOn w:val="5"/>
    <w:qFormat/>
    <w:uiPriority w:val="0"/>
    <w:pPr>
      <w:tabs>
        <w:tab w:val="left" w:pos="1742"/>
      </w:tabs>
      <w:autoSpaceDE w:val="0"/>
      <w:autoSpaceDN w:val="0"/>
      <w:adjustRightInd w:val="0"/>
      <w:spacing w:line="300" w:lineRule="auto"/>
      <w:ind w:right="240" w:rightChars="100"/>
    </w:pPr>
    <w:rPr>
      <w:rFonts w:ascii="宋体" w:hAnsi="宋体" w:cs="宋体"/>
      <w:b/>
      <w:spacing w:val="8"/>
      <w:szCs w:val="20"/>
    </w:rPr>
  </w:style>
  <w:style w:type="paragraph" w:customStyle="1" w:styleId="863">
    <w:name w:val="二级无标题条"/>
    <w:basedOn w:val="1"/>
    <w:qFormat/>
    <w:uiPriority w:val="0"/>
    <w:rPr>
      <w:szCs w:val="24"/>
    </w:rPr>
  </w:style>
  <w:style w:type="paragraph" w:customStyle="1" w:styleId="864">
    <w:name w:val="样式 标题 4 + 宋体 段前: 6 磅 段后: 6 磅 行距: 1.5 倍行距"/>
    <w:basedOn w:val="6"/>
    <w:qFormat/>
    <w:uiPriority w:val="0"/>
    <w:pPr>
      <w:tabs>
        <w:tab w:val="left" w:pos="864"/>
      </w:tabs>
      <w:snapToGrid w:val="0"/>
      <w:spacing w:before="120" w:after="120"/>
      <w:ind w:left="864" w:hanging="864"/>
    </w:pPr>
    <w:rPr>
      <w:rFonts w:ascii="宋体" w:hAnsi="宋体" w:cs="宋体"/>
      <w:bCs/>
      <w:sz w:val="24"/>
      <w:lang w:val="zh-CN"/>
    </w:rPr>
  </w:style>
  <w:style w:type="paragraph" w:customStyle="1" w:styleId="865">
    <w:name w:val="Char Char Char Char Char Char Char Char Char Char Char Char Char4"/>
    <w:basedOn w:val="1"/>
    <w:qFormat/>
    <w:uiPriority w:val="0"/>
    <w:pPr>
      <w:tabs>
        <w:tab w:val="left" w:pos="1701"/>
      </w:tabs>
      <w:snapToGrid w:val="0"/>
      <w:spacing w:line="360" w:lineRule="auto"/>
      <w:ind w:firstLine="200" w:firstLineChars="200"/>
    </w:pPr>
    <w:rPr>
      <w:rFonts w:eastAsia="仿宋_GB2312"/>
      <w:sz w:val="24"/>
      <w:szCs w:val="24"/>
    </w:rPr>
  </w:style>
  <w:style w:type="paragraph" w:customStyle="1" w:styleId="866">
    <w:name w:val="正文文本 22"/>
    <w:basedOn w:val="1"/>
    <w:qFormat/>
    <w:uiPriority w:val="0"/>
    <w:pPr>
      <w:tabs>
        <w:tab w:val="left" w:pos="1701"/>
      </w:tabs>
      <w:autoSpaceDE w:val="0"/>
      <w:autoSpaceDN w:val="0"/>
      <w:adjustRightInd w:val="0"/>
      <w:spacing w:line="364" w:lineRule="auto"/>
      <w:jc w:val="center"/>
    </w:pPr>
    <w:rPr>
      <w:spacing w:val="10"/>
      <w:kern w:val="10"/>
      <w:sz w:val="24"/>
      <w:szCs w:val="20"/>
    </w:rPr>
  </w:style>
  <w:style w:type="paragraph" w:customStyle="1" w:styleId="867">
    <w:name w:val="Char Char18 Char Char Char 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868">
    <w:name w:val="表格 33"/>
    <w:basedOn w:val="869"/>
    <w:qFormat/>
    <w:uiPriority w:val="0"/>
    <w:rPr>
      <w:sz w:val="21"/>
    </w:rPr>
  </w:style>
  <w:style w:type="paragraph" w:customStyle="1" w:styleId="869">
    <w:name w:val="表格 31"/>
    <w:qFormat/>
    <w:uiPriority w:val="0"/>
    <w:pPr>
      <w:widowControl w:val="0"/>
      <w:autoSpaceDE w:val="0"/>
      <w:autoSpaceDN w:val="0"/>
      <w:adjustRightInd w:val="0"/>
      <w:jc w:val="center"/>
    </w:pPr>
    <w:rPr>
      <w:rFonts w:ascii="Times New Roman" w:hAnsi="Times New Roman" w:eastAsia="楷体" w:cs="Times New Roman"/>
      <w:sz w:val="28"/>
      <w:lang w:val="en-US" w:eastAsia="zh-CN" w:bidi="ar-SA"/>
    </w:rPr>
  </w:style>
  <w:style w:type="paragraph" w:customStyle="1" w:styleId="870">
    <w:name w:val="font16"/>
    <w:basedOn w:val="1"/>
    <w:qFormat/>
    <w:uiPriority w:val="0"/>
    <w:pPr>
      <w:widowControl/>
      <w:spacing w:before="100" w:beforeAutospacing="1" w:after="100" w:afterAutospacing="1"/>
      <w:jc w:val="left"/>
    </w:pPr>
    <w:rPr>
      <w:b/>
      <w:bCs/>
      <w:kern w:val="0"/>
      <w:sz w:val="16"/>
      <w:szCs w:val="16"/>
    </w:rPr>
  </w:style>
  <w:style w:type="paragraph" w:customStyle="1" w:styleId="871">
    <w:name w:val="标题4"/>
    <w:basedOn w:val="1"/>
    <w:link w:val="1972"/>
    <w:qFormat/>
    <w:uiPriority w:val="0"/>
    <w:pPr>
      <w:widowControl/>
      <w:autoSpaceDE w:val="0"/>
      <w:autoSpaceDN w:val="0"/>
      <w:adjustRightInd w:val="0"/>
      <w:snapToGrid w:val="0"/>
      <w:spacing w:beforeLines="50" w:afterLines="50" w:line="360" w:lineRule="auto"/>
      <w:ind w:firstLine="480" w:firstLineChars="295"/>
      <w:textAlignment w:val="baseline"/>
    </w:pPr>
    <w:rPr>
      <w:rFonts w:ascii="宋体" w:hAnsi="宋体"/>
      <w:kern w:val="0"/>
      <w:sz w:val="28"/>
      <w:szCs w:val="20"/>
    </w:rPr>
  </w:style>
  <w:style w:type="paragraph" w:customStyle="1" w:styleId="872">
    <w:name w:val="title3"/>
    <w:basedOn w:val="1"/>
    <w:qFormat/>
    <w:uiPriority w:val="0"/>
    <w:pPr>
      <w:spacing w:before="50" w:beforeLines="50" w:line="480" w:lineRule="atLeast"/>
    </w:pPr>
    <w:rPr>
      <w:b/>
      <w:sz w:val="28"/>
      <w:szCs w:val="24"/>
    </w:rPr>
  </w:style>
  <w:style w:type="paragraph" w:customStyle="1" w:styleId="873">
    <w:name w:val="样式 标题 4H4PIM 4h4blbbTitre44th levelsect 1.2.3.4Ref Head...3"/>
    <w:basedOn w:val="1"/>
    <w:qFormat/>
    <w:uiPriority w:val="0"/>
    <w:pPr>
      <w:keepNext/>
      <w:keepLines/>
      <w:widowControl/>
      <w:spacing w:before="60" w:after="60" w:line="520" w:lineRule="exact"/>
      <w:ind w:firstLine="510" w:firstLineChars="200"/>
      <w:jc w:val="left"/>
      <w:outlineLvl w:val="3"/>
    </w:pPr>
    <w:rPr>
      <w:rFonts w:ascii="Arial" w:hAnsi="Arial"/>
      <w:b/>
      <w:color w:val="000000"/>
      <w:kern w:val="0"/>
      <w:sz w:val="24"/>
      <w:szCs w:val="20"/>
    </w:rPr>
  </w:style>
  <w:style w:type="paragraph" w:customStyle="1" w:styleId="874">
    <w:name w:val="!标题2"/>
    <w:basedOn w:val="1"/>
    <w:next w:val="1"/>
    <w:qFormat/>
    <w:uiPriority w:val="0"/>
    <w:pPr>
      <w:widowControl/>
      <w:spacing w:before="25" w:beforeLines="25" w:line="360" w:lineRule="auto"/>
      <w:jc w:val="left"/>
      <w:textAlignment w:val="baseline"/>
      <w:outlineLvl w:val="1"/>
    </w:pPr>
    <w:rPr>
      <w:rFonts w:ascii="Arial" w:hAnsi="Arial" w:eastAsia="黑体"/>
      <w:b/>
      <w:color w:val="000000"/>
      <w:kern w:val="0"/>
      <w:sz w:val="32"/>
      <w:szCs w:val="32"/>
      <w:u w:color="000000"/>
    </w:rPr>
  </w:style>
  <w:style w:type="paragraph" w:customStyle="1" w:styleId="875">
    <w:name w:val="pic-info"/>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76">
    <w:name w:val="环保节标题"/>
    <w:basedOn w:val="1"/>
    <w:qFormat/>
    <w:uiPriority w:val="0"/>
    <w:pPr>
      <w:keepNext/>
      <w:keepLines/>
      <w:adjustRightInd w:val="0"/>
      <w:spacing w:before="260" w:after="260" w:line="416" w:lineRule="atLeast"/>
      <w:ind w:firstLine="200" w:firstLineChars="200"/>
      <w:jc w:val="left"/>
      <w:textAlignment w:val="baseline"/>
      <w:outlineLvl w:val="2"/>
    </w:pPr>
    <w:rPr>
      <w:kern w:val="0"/>
      <w:sz w:val="24"/>
      <w:szCs w:val="24"/>
    </w:rPr>
  </w:style>
  <w:style w:type="paragraph" w:customStyle="1" w:styleId="877">
    <w:name w:val="列表延续 5"/>
    <w:basedOn w:val="1"/>
    <w:qFormat/>
    <w:uiPriority w:val="0"/>
    <w:pPr>
      <w:autoSpaceDE w:val="0"/>
      <w:autoSpaceDN w:val="0"/>
      <w:adjustRightInd w:val="0"/>
      <w:spacing w:after="120" w:line="400" w:lineRule="exact"/>
      <w:ind w:left="1260"/>
      <w:jc w:val="left"/>
    </w:pPr>
    <w:rPr>
      <w:rFonts w:ascii="宋体" w:hAnsi="Tms Rmn"/>
      <w:spacing w:val="-5"/>
      <w:kern w:val="0"/>
      <w:sz w:val="26"/>
      <w:szCs w:val="20"/>
    </w:rPr>
  </w:style>
  <w:style w:type="paragraph" w:customStyle="1" w:styleId="878">
    <w:name w:val="xl68"/>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kern w:val="0"/>
      <w:sz w:val="24"/>
      <w:szCs w:val="24"/>
    </w:rPr>
  </w:style>
  <w:style w:type="paragraph" w:customStyle="1" w:styleId="879">
    <w:name w:val="表后空行"/>
    <w:basedOn w:val="1"/>
    <w:qFormat/>
    <w:uiPriority w:val="0"/>
    <w:pPr>
      <w:overflowPunct w:val="0"/>
      <w:adjustRightInd w:val="0"/>
      <w:textAlignment w:val="baseline"/>
    </w:pPr>
    <w:rPr>
      <w:kern w:val="28"/>
      <w:sz w:val="10"/>
      <w:szCs w:val="20"/>
    </w:rPr>
  </w:style>
  <w:style w:type="paragraph" w:customStyle="1" w:styleId="880">
    <w:name w:val="xl87"/>
    <w:basedOn w:val="1"/>
    <w:qFormat/>
    <w:uiPriority w:val="0"/>
    <w:pPr>
      <w:widowControl/>
      <w:pBdr>
        <w:top w:val="single" w:color="auto" w:sz="4" w:space="0"/>
        <w:right w:val="single" w:color="auto" w:sz="4" w:space="0"/>
      </w:pBdr>
      <w:spacing w:before="100" w:beforeAutospacing="1" w:after="100" w:afterAutospacing="1"/>
      <w:jc w:val="center"/>
    </w:pPr>
    <w:rPr>
      <w:rFonts w:ascii="Arial Unicode MS" w:hAnsi="Arial Unicode MS"/>
      <w:kern w:val="0"/>
      <w:sz w:val="22"/>
      <w:szCs w:val="20"/>
    </w:rPr>
  </w:style>
  <w:style w:type="paragraph" w:customStyle="1" w:styleId="881">
    <w:name w:val="样式 标题 2 + 四号 非加粗"/>
    <w:basedOn w:val="4"/>
    <w:qFormat/>
    <w:uiPriority w:val="0"/>
    <w:rPr>
      <w:rFonts w:ascii="Arial" w:hAnsi="Arial" w:eastAsia="黑体"/>
      <w:bCs/>
    </w:rPr>
  </w:style>
  <w:style w:type="paragraph" w:customStyle="1" w:styleId="882">
    <w:name w:val="font12"/>
    <w:basedOn w:val="1"/>
    <w:qFormat/>
    <w:uiPriority w:val="0"/>
    <w:pPr>
      <w:widowControl/>
      <w:spacing w:before="100" w:beforeAutospacing="1" w:after="100" w:afterAutospacing="1"/>
      <w:jc w:val="left"/>
    </w:pPr>
    <w:rPr>
      <w:rFonts w:ascii="宋体" w:hAnsi="宋体"/>
      <w:b/>
      <w:bCs/>
      <w:kern w:val="0"/>
      <w:sz w:val="16"/>
      <w:szCs w:val="16"/>
    </w:rPr>
  </w:style>
  <w:style w:type="paragraph" w:customStyle="1" w:styleId="883">
    <w:name w:val="reader-word-layer reader-word-s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84">
    <w:name w:val="表格名称"/>
    <w:basedOn w:val="885"/>
    <w:qFormat/>
    <w:uiPriority w:val="0"/>
    <w:pPr>
      <w:widowControl w:val="0"/>
      <w:pBdr>
        <w:left w:val="none" w:color="auto" w:sz="0" w:space="0"/>
        <w:bottom w:val="none" w:color="auto" w:sz="0" w:space="0"/>
        <w:right w:val="none" w:color="auto" w:sz="0" w:space="0"/>
      </w:pBdr>
      <w:tabs>
        <w:tab w:val="left" w:pos="-24"/>
      </w:tabs>
      <w:snapToGrid w:val="0"/>
      <w:spacing w:before="0" w:beforeAutospacing="0" w:after="0" w:afterAutospacing="0" w:line="460" w:lineRule="exact"/>
      <w:ind w:firstLine="480" w:firstLineChars="200"/>
      <w:textAlignment w:val="baseline"/>
      <w:outlineLvl w:val="4"/>
    </w:pPr>
    <w:rPr>
      <w:rFonts w:ascii="宋体" w:hAnsi="宋体"/>
      <w:b/>
      <w:bCs/>
      <w:color w:val="3366FF"/>
      <w:sz w:val="24"/>
      <w:szCs w:val="20"/>
      <w:u w:color="000000"/>
    </w:rPr>
  </w:style>
  <w:style w:type="paragraph" w:customStyle="1" w:styleId="885">
    <w:name w:val="xl5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886">
    <w:name w:val="01"/>
    <w:basedOn w:val="41"/>
    <w:qFormat/>
    <w:uiPriority w:val="0"/>
    <w:pPr>
      <w:spacing w:line="480" w:lineRule="auto"/>
    </w:pPr>
    <w:rPr>
      <w:rFonts w:ascii="Times New Roman" w:hAnsi="Times New Roman" w:eastAsia="黑体" w:cs="Times New Roman"/>
      <w:b/>
      <w:sz w:val="28"/>
      <w:szCs w:val="24"/>
    </w:rPr>
  </w:style>
  <w:style w:type="paragraph" w:customStyle="1" w:styleId="887">
    <w:name w:val="右齐"/>
    <w:basedOn w:val="888"/>
    <w:qFormat/>
    <w:uiPriority w:val="0"/>
    <w:pPr>
      <w:jc w:val="right"/>
    </w:pPr>
    <w:rPr>
      <w:rFonts w:ascii="仿宋_GB2312" w:eastAsia="仿宋_GB2312"/>
    </w:rPr>
  </w:style>
  <w:style w:type="paragraph" w:customStyle="1" w:styleId="888">
    <w:name w:val="表格中"/>
    <w:basedOn w:val="1"/>
    <w:qFormat/>
    <w:uiPriority w:val="0"/>
    <w:pPr>
      <w:spacing w:line="280" w:lineRule="exact"/>
      <w:jc w:val="center"/>
    </w:pPr>
    <w:rPr>
      <w:rFonts w:ascii="宋体"/>
      <w:color w:val="000000"/>
      <w:sz w:val="18"/>
      <w:szCs w:val="30"/>
      <w:lang w:bidi="he-IL"/>
    </w:rPr>
  </w:style>
  <w:style w:type="paragraph" w:customStyle="1" w:styleId="889">
    <w:name w:val="Char2 Char Char Char Char Char Char Char Char Char"/>
    <w:basedOn w:val="1"/>
    <w:next w:val="1"/>
    <w:qFormat/>
    <w:uiPriority w:val="0"/>
    <w:pPr>
      <w:spacing w:line="360" w:lineRule="auto"/>
      <w:ind w:firstLine="200" w:firstLineChars="200"/>
    </w:pPr>
    <w:rPr>
      <w:rFonts w:ascii="宋体" w:hAnsi="宋体" w:cs="宋体"/>
      <w:sz w:val="24"/>
      <w:szCs w:val="24"/>
    </w:rPr>
  </w:style>
  <w:style w:type="paragraph" w:customStyle="1" w:styleId="89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16"/>
      <w:szCs w:val="16"/>
    </w:rPr>
  </w:style>
  <w:style w:type="paragraph" w:customStyle="1" w:styleId="891">
    <w:name w:val="Char Char Char Char Char Char Char Char Char"/>
    <w:basedOn w:val="1"/>
    <w:next w:val="2"/>
    <w:qFormat/>
    <w:uiPriority w:val="0"/>
    <w:rPr>
      <w:sz w:val="28"/>
      <w:szCs w:val="28"/>
    </w:rPr>
  </w:style>
  <w:style w:type="paragraph" w:customStyle="1" w:styleId="892">
    <w:name w:val="6表格"/>
    <w:basedOn w:val="1"/>
    <w:qFormat/>
    <w:uiPriority w:val="0"/>
    <w:pPr>
      <w:adjustRightInd w:val="0"/>
      <w:snapToGrid w:val="0"/>
      <w:spacing w:before="60" w:line="240" w:lineRule="atLeast"/>
      <w:jc w:val="center"/>
    </w:pPr>
    <w:rPr>
      <w:snapToGrid w:val="0"/>
      <w:kern w:val="0"/>
      <w:szCs w:val="20"/>
    </w:rPr>
  </w:style>
  <w:style w:type="paragraph" w:customStyle="1" w:styleId="893">
    <w:name w:val="reader-word-layer reader-word-s58-2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94">
    <w:name w:val="xl4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895">
    <w:name w:val="title4"/>
    <w:basedOn w:val="1"/>
    <w:qFormat/>
    <w:uiPriority w:val="0"/>
    <w:pPr>
      <w:tabs>
        <w:tab w:val="left" w:pos="1287"/>
      </w:tabs>
      <w:spacing w:before="50" w:beforeLines="50" w:line="480" w:lineRule="atLeast"/>
      <w:ind w:firstLine="567"/>
    </w:pPr>
    <w:rPr>
      <w:b/>
      <w:sz w:val="28"/>
      <w:szCs w:val="24"/>
    </w:rPr>
  </w:style>
  <w:style w:type="paragraph" w:customStyle="1" w:styleId="896">
    <w:name w:val="wtext"/>
    <w:basedOn w:val="1"/>
    <w:qFormat/>
    <w:uiPriority w:val="0"/>
    <w:pPr>
      <w:widowControl/>
      <w:snapToGrid w:val="0"/>
      <w:spacing w:before="100" w:beforeAutospacing="1" w:after="100" w:afterAutospacing="1" w:line="360" w:lineRule="auto"/>
      <w:jc w:val="left"/>
    </w:pPr>
    <w:rPr>
      <w:rFonts w:ascii="Arial Unicode MS" w:hAnsi="Arial Unicode MS" w:eastAsia="Arial Unicode MS"/>
      <w:kern w:val="0"/>
      <w:sz w:val="28"/>
      <w:szCs w:val="24"/>
    </w:rPr>
  </w:style>
  <w:style w:type="paragraph" w:customStyle="1" w:styleId="897">
    <w:name w:val="样式 小四 行距: 2 倍行距 首行缩进:  2 字符"/>
    <w:basedOn w:val="1"/>
    <w:qFormat/>
    <w:uiPriority w:val="0"/>
    <w:pPr>
      <w:spacing w:line="360" w:lineRule="auto"/>
      <w:ind w:firstLine="480" w:firstLineChars="200"/>
      <w:jc w:val="left"/>
    </w:pPr>
    <w:rPr>
      <w:color w:val="0000FF"/>
      <w:sz w:val="24"/>
      <w:szCs w:val="21"/>
    </w:rPr>
  </w:style>
  <w:style w:type="paragraph" w:customStyle="1" w:styleId="898">
    <w:name w:val="表格1粗"/>
    <w:basedOn w:val="899"/>
    <w:qFormat/>
    <w:uiPriority w:val="0"/>
    <w:pPr>
      <w:ind w:left="210" w:leftChars="100" w:right="210" w:rightChars="100"/>
    </w:pPr>
    <w:rPr>
      <w:b/>
      <w:iCs/>
      <w:color w:val="000000"/>
      <w:kern w:val="2"/>
    </w:rPr>
  </w:style>
  <w:style w:type="paragraph" w:customStyle="1" w:styleId="899">
    <w:name w:val="表格1"/>
    <w:basedOn w:val="1"/>
    <w:qFormat/>
    <w:uiPriority w:val="0"/>
    <w:pPr>
      <w:jc w:val="center"/>
    </w:pPr>
    <w:rPr>
      <w:rFonts w:ascii="宋体" w:hAnsi="宋体"/>
      <w:kern w:val="0"/>
      <w:szCs w:val="21"/>
    </w:rPr>
  </w:style>
  <w:style w:type="paragraph" w:customStyle="1" w:styleId="900">
    <w:name w:val="正文11"/>
    <w:basedOn w:val="1"/>
    <w:qFormat/>
    <w:uiPriority w:val="0"/>
    <w:pPr>
      <w:adjustRightInd w:val="0"/>
      <w:spacing w:line="500" w:lineRule="exact"/>
      <w:ind w:firstLine="540" w:firstLineChars="225"/>
    </w:pPr>
    <w:rPr>
      <w:kern w:val="0"/>
      <w:sz w:val="24"/>
      <w:szCs w:val="20"/>
    </w:rPr>
  </w:style>
  <w:style w:type="paragraph" w:customStyle="1" w:styleId="901">
    <w:name w:val="样式1-1级项目编号"/>
    <w:basedOn w:val="1"/>
    <w:qFormat/>
    <w:uiPriority w:val="0"/>
    <w:pPr>
      <w:tabs>
        <w:tab w:val="left" w:pos="482"/>
      </w:tabs>
      <w:adjustRightInd w:val="0"/>
      <w:snapToGrid w:val="0"/>
      <w:spacing w:line="380" w:lineRule="exact"/>
      <w:ind w:left="482"/>
      <w:textAlignment w:val="center"/>
    </w:pPr>
    <w:rPr>
      <w:snapToGrid w:val="0"/>
      <w:kern w:val="0"/>
      <w:sz w:val="24"/>
      <w:szCs w:val="20"/>
    </w:rPr>
  </w:style>
  <w:style w:type="paragraph" w:customStyle="1" w:styleId="902">
    <w:name w:val="Char Char Char"/>
    <w:basedOn w:val="1"/>
    <w:qFormat/>
    <w:uiPriority w:val="0"/>
    <w:rPr>
      <w:rFonts w:ascii="Tahoma" w:hAnsi="Tahoma"/>
      <w:sz w:val="24"/>
      <w:szCs w:val="20"/>
    </w:rPr>
  </w:style>
  <w:style w:type="paragraph" w:customStyle="1" w:styleId="903">
    <w:name w:val="xl28"/>
    <w:basedOn w:val="1"/>
    <w:qFormat/>
    <w:uiPriority w:val="0"/>
    <w:pPr>
      <w:widowControl/>
      <w:pBdr>
        <w:left w:val="single" w:color="auto" w:sz="4" w:space="0"/>
        <w:bottom w:val="single" w:color="auto" w:sz="4" w:space="0"/>
        <w:right w:val="single" w:color="auto" w:sz="4" w:space="0"/>
      </w:pBdr>
      <w:snapToGrid w:val="0"/>
      <w:spacing w:before="100" w:beforeAutospacing="1" w:after="100" w:afterAutospacing="1" w:line="360" w:lineRule="auto"/>
      <w:jc w:val="center"/>
      <w:textAlignment w:val="center"/>
    </w:pPr>
    <w:rPr>
      <w:rFonts w:ascii="宋体" w:hAnsi="宋体"/>
      <w:kern w:val="0"/>
      <w:szCs w:val="21"/>
    </w:rPr>
  </w:style>
  <w:style w:type="paragraph" w:customStyle="1" w:styleId="904">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05">
    <w:name w:val="字元 字元11"/>
    <w:basedOn w:val="1"/>
    <w:qFormat/>
    <w:uiPriority w:val="0"/>
    <w:rPr>
      <w:szCs w:val="24"/>
    </w:rPr>
  </w:style>
  <w:style w:type="paragraph" w:customStyle="1" w:styleId="906">
    <w:name w:val="目录3"/>
    <w:basedOn w:val="1"/>
    <w:next w:val="1"/>
    <w:qFormat/>
    <w:uiPriority w:val="0"/>
    <w:pPr>
      <w:widowControl/>
      <w:tabs>
        <w:tab w:val="left" w:leader="dot" w:pos="8503"/>
      </w:tabs>
      <w:spacing w:line="317" w:lineRule="atLeast"/>
      <w:ind w:left="419" w:firstLine="419"/>
      <w:textAlignment w:val="baseline"/>
    </w:pPr>
    <w:rPr>
      <w:color w:val="000000"/>
      <w:kern w:val="0"/>
      <w:szCs w:val="20"/>
      <w:u w:color="000000"/>
    </w:rPr>
  </w:style>
  <w:style w:type="paragraph" w:customStyle="1" w:styleId="907">
    <w:name w:val="hp2"/>
    <w:basedOn w:val="4"/>
    <w:qFormat/>
    <w:uiPriority w:val="0"/>
    <w:pPr>
      <w:spacing w:line="500" w:lineRule="exact"/>
    </w:pPr>
    <w:rPr>
      <w:rFonts w:ascii="Arial Narrow" w:hAnsi="Arial Narrow" w:eastAsia="汉鼎简书宋"/>
      <w:b w:val="0"/>
    </w:rPr>
  </w:style>
  <w:style w:type="paragraph" w:customStyle="1" w:styleId="908">
    <w:name w:val="xl92"/>
    <w:basedOn w:val="1"/>
    <w:qFormat/>
    <w:uiPriority w:val="0"/>
    <w:pPr>
      <w:widowControl/>
      <w:pBdr>
        <w:bottom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909">
    <w:name w:val="样式 标题 2节标题 1.11.1标题2Se + 黑体 四号 非加粗 黑色"/>
    <w:basedOn w:val="5"/>
    <w:qFormat/>
    <w:uiPriority w:val="0"/>
    <w:pPr>
      <w:spacing w:line="360" w:lineRule="auto"/>
    </w:pPr>
    <w:rPr>
      <w:rFonts w:ascii="黑体" w:hAnsi="黑体"/>
      <w:bCs/>
      <w:color w:val="000000"/>
      <w:sz w:val="24"/>
      <w:szCs w:val="24"/>
    </w:rPr>
  </w:style>
  <w:style w:type="paragraph" w:customStyle="1" w:styleId="910">
    <w:name w:val="Char2 Char Char Char"/>
    <w:basedOn w:val="1"/>
    <w:qFormat/>
    <w:uiPriority w:val="0"/>
    <w:rPr>
      <w:sz w:val="30"/>
      <w:szCs w:val="30"/>
    </w:rPr>
  </w:style>
  <w:style w:type="paragraph" w:customStyle="1" w:styleId="911">
    <w:name w:val="reader-word-layer reader-word-s53-1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12">
    <w:name w:val="表头 Char Char Char"/>
    <w:basedOn w:val="8"/>
    <w:next w:val="1"/>
    <w:qFormat/>
    <w:uiPriority w:val="0"/>
    <w:pPr>
      <w:keepNext w:val="0"/>
      <w:tabs>
        <w:tab w:val="left" w:pos="780"/>
        <w:tab w:val="clear" w:pos="-108"/>
      </w:tabs>
      <w:adjustRightInd w:val="0"/>
      <w:spacing w:before="120" w:after="156" w:afterLines="50" w:line="400" w:lineRule="exact"/>
      <w:ind w:left="780" w:hanging="360" w:firstLineChars="0"/>
      <w:jc w:val="center"/>
    </w:pPr>
    <w:rPr>
      <w:rFonts w:ascii="楷体_GB2312" w:hAnsi="宋体" w:eastAsia="楷体_GB2312"/>
      <w:snapToGrid w:val="0"/>
      <w:sz w:val="24"/>
    </w:rPr>
  </w:style>
  <w:style w:type="paragraph" w:customStyle="1" w:styleId="913">
    <w:name w:val="xl71"/>
    <w:basedOn w:val="1"/>
    <w:qFormat/>
    <w:uiPriority w:val="0"/>
    <w:pPr>
      <w:widowControl/>
      <w:spacing w:before="100" w:beforeAutospacing="1" w:after="100" w:afterAutospacing="1"/>
      <w:jc w:val="right"/>
    </w:pPr>
    <w:rPr>
      <w:rFonts w:ascii="宋体" w:hAnsi="宋体"/>
      <w:b/>
      <w:bCs/>
      <w:kern w:val="0"/>
      <w:sz w:val="24"/>
      <w:szCs w:val="24"/>
    </w:rPr>
  </w:style>
  <w:style w:type="paragraph" w:customStyle="1" w:styleId="914">
    <w:name w:val="b1"/>
    <w:basedOn w:val="1"/>
    <w:qFormat/>
    <w:uiPriority w:val="0"/>
    <w:pPr>
      <w:widowControl/>
      <w:spacing w:before="100" w:beforeAutospacing="1" w:after="100" w:afterAutospacing="1" w:line="270" w:lineRule="atLeast"/>
      <w:jc w:val="left"/>
    </w:pPr>
    <w:rPr>
      <w:rFonts w:hint="eastAsia" w:ascii="宋体" w:hAnsi="宋体"/>
      <w:color w:val="000000"/>
      <w:kern w:val="0"/>
      <w:sz w:val="18"/>
      <w:szCs w:val="20"/>
    </w:rPr>
  </w:style>
  <w:style w:type="paragraph" w:customStyle="1" w:styleId="915">
    <w:name w:val="日期2"/>
    <w:basedOn w:val="1"/>
    <w:next w:val="1"/>
    <w:qFormat/>
    <w:uiPriority w:val="0"/>
    <w:pPr>
      <w:adjustRightInd w:val="0"/>
      <w:textAlignment w:val="baseline"/>
    </w:pPr>
    <w:rPr>
      <w:szCs w:val="20"/>
    </w:rPr>
  </w:style>
  <w:style w:type="paragraph" w:customStyle="1" w:styleId="916">
    <w:name w:val="xl6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b/>
      <w:bCs/>
      <w:kern w:val="0"/>
      <w:sz w:val="16"/>
      <w:szCs w:val="16"/>
    </w:r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16"/>
      <w:szCs w:val="16"/>
    </w:rPr>
  </w:style>
  <w:style w:type="paragraph" w:customStyle="1" w:styleId="918">
    <w:name w:val="自定义正文"/>
    <w:basedOn w:val="1"/>
    <w:qFormat/>
    <w:uiPriority w:val="0"/>
    <w:pPr>
      <w:adjustRightInd w:val="0"/>
      <w:snapToGrid w:val="0"/>
      <w:spacing w:line="360" w:lineRule="auto"/>
      <w:ind w:firstLine="560" w:firstLineChars="200"/>
      <w:textAlignment w:val="baseline"/>
    </w:pPr>
    <w:rPr>
      <w:rFonts w:ascii="宋体" w:hAnsi="宋体"/>
      <w:kern w:val="0"/>
      <w:sz w:val="28"/>
      <w:szCs w:val="20"/>
    </w:rPr>
  </w:style>
  <w:style w:type="paragraph" w:customStyle="1" w:styleId="919">
    <w:name w:val="样式 样式 样式 样式 左侧:  0.99 厘米 + 首行缩进:  2 字符 + 首行缩进:  2 字符 + 首行缩进:  2...."/>
    <w:basedOn w:val="1"/>
    <w:qFormat/>
    <w:uiPriority w:val="0"/>
    <w:pPr>
      <w:spacing w:line="360" w:lineRule="auto"/>
      <w:ind w:firstLine="200" w:firstLineChars="200"/>
    </w:pPr>
    <w:rPr>
      <w:sz w:val="28"/>
      <w:szCs w:val="20"/>
    </w:rPr>
  </w:style>
  <w:style w:type="paragraph" w:customStyle="1" w:styleId="920">
    <w:name w:val="目录标题"/>
    <w:basedOn w:val="1"/>
    <w:next w:val="1"/>
    <w:qFormat/>
    <w:uiPriority w:val="0"/>
    <w:pPr>
      <w:widowControl/>
      <w:spacing w:before="215" w:after="419" w:line="436" w:lineRule="atLeast"/>
      <w:ind w:firstLine="419"/>
      <w:jc w:val="center"/>
      <w:textAlignment w:val="baseline"/>
    </w:pPr>
    <w:rPr>
      <w:rFonts w:ascii="Arial" w:eastAsia="黑体"/>
      <w:color w:val="000000"/>
      <w:spacing w:val="283"/>
      <w:kern w:val="0"/>
      <w:sz w:val="42"/>
      <w:szCs w:val="20"/>
      <w:u w:color="000000"/>
    </w:rPr>
  </w:style>
  <w:style w:type="paragraph" w:customStyle="1" w:styleId="921">
    <w:name w:val="樣式3"/>
    <w:basedOn w:val="1"/>
    <w:qFormat/>
    <w:uiPriority w:val="0"/>
    <w:pPr>
      <w:adjustRightInd w:val="0"/>
      <w:snapToGrid w:val="0"/>
      <w:spacing w:line="240" w:lineRule="exact"/>
    </w:pPr>
    <w:rPr>
      <w:spacing w:val="-20"/>
      <w:sz w:val="28"/>
      <w:szCs w:val="28"/>
    </w:rPr>
  </w:style>
  <w:style w:type="paragraph" w:customStyle="1" w:styleId="922">
    <w:name w:val="章标题"/>
    <w:basedOn w:val="1"/>
    <w:next w:val="923"/>
    <w:qFormat/>
    <w:uiPriority w:val="0"/>
    <w:pPr>
      <w:widowControl/>
      <w:spacing w:before="158" w:after="153" w:line="323" w:lineRule="atLeast"/>
      <w:jc w:val="center"/>
      <w:textAlignment w:val="baseline"/>
    </w:pPr>
    <w:rPr>
      <w:rFonts w:ascii="Arial" w:eastAsia="黑体"/>
      <w:color w:val="000000"/>
      <w:kern w:val="0"/>
      <w:sz w:val="31"/>
      <w:szCs w:val="20"/>
      <w:u w:color="000000"/>
    </w:rPr>
  </w:style>
  <w:style w:type="paragraph" w:customStyle="1" w:styleId="923">
    <w:name w:val="节标题"/>
    <w:basedOn w:val="1"/>
    <w:next w:val="924"/>
    <w:qFormat/>
    <w:uiPriority w:val="0"/>
    <w:pPr>
      <w:widowControl/>
      <w:spacing w:line="289" w:lineRule="atLeast"/>
      <w:jc w:val="center"/>
      <w:textAlignment w:val="baseline"/>
    </w:pPr>
    <w:rPr>
      <w:color w:val="000000"/>
      <w:kern w:val="0"/>
      <w:sz w:val="28"/>
      <w:szCs w:val="20"/>
      <w:u w:color="000000"/>
    </w:rPr>
  </w:style>
  <w:style w:type="paragraph" w:customStyle="1" w:styleId="924">
    <w:name w:val="小节标题"/>
    <w:basedOn w:val="1"/>
    <w:next w:val="1"/>
    <w:qFormat/>
    <w:uiPriority w:val="0"/>
    <w:pPr>
      <w:widowControl/>
      <w:spacing w:before="175" w:after="102" w:line="351" w:lineRule="atLeast"/>
      <w:textAlignment w:val="baseline"/>
    </w:pPr>
    <w:rPr>
      <w:rFonts w:eastAsia="黑体"/>
      <w:color w:val="000000"/>
      <w:kern w:val="0"/>
      <w:szCs w:val="20"/>
      <w:u w:color="000000"/>
    </w:rPr>
  </w:style>
  <w:style w:type="paragraph" w:customStyle="1" w:styleId="925">
    <w:name w:val="xl31"/>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926">
    <w:name w:val="表格数字"/>
    <w:basedOn w:val="1"/>
    <w:qFormat/>
    <w:uiPriority w:val="0"/>
    <w:pPr>
      <w:jc w:val="right"/>
    </w:pPr>
    <w:rPr>
      <w:snapToGrid w:val="0"/>
      <w:kern w:val="0"/>
      <w:szCs w:val="21"/>
    </w:rPr>
  </w:style>
  <w:style w:type="paragraph" w:customStyle="1" w:styleId="927">
    <w:name w:val="图号"/>
    <w:basedOn w:val="56"/>
    <w:qFormat/>
    <w:uiPriority w:val="0"/>
    <w:pPr>
      <w:snapToGrid/>
      <w:spacing w:line="529" w:lineRule="exact"/>
      <w:ind w:left="198"/>
      <w:jc w:val="both"/>
      <w:textAlignment w:val="baseline"/>
    </w:pPr>
    <w:rPr>
      <w:rFonts w:ascii="Times New Roman" w:hAnsi="Times New Roman"/>
      <w:b/>
      <w:bCs/>
      <w:color w:val="auto"/>
      <w:kern w:val="32"/>
      <w:sz w:val="24"/>
    </w:rPr>
  </w:style>
  <w:style w:type="paragraph" w:customStyle="1" w:styleId="928">
    <w:name w:val="标准"/>
    <w:basedOn w:val="1"/>
    <w:qFormat/>
    <w:uiPriority w:val="0"/>
    <w:pPr>
      <w:adjustRightInd w:val="0"/>
      <w:spacing w:line="360" w:lineRule="auto"/>
      <w:jc w:val="center"/>
      <w:textAlignment w:val="baseline"/>
    </w:pPr>
    <w:rPr>
      <w:kern w:val="0"/>
      <w:szCs w:val="20"/>
    </w:rPr>
  </w:style>
  <w:style w:type="paragraph" w:customStyle="1" w:styleId="929">
    <w:name w:val="样式157"/>
    <w:basedOn w:val="1"/>
    <w:qFormat/>
    <w:uiPriority w:val="0"/>
    <w:pPr>
      <w:adjustRightInd w:val="0"/>
      <w:spacing w:line="300" w:lineRule="exact"/>
      <w:jc w:val="center"/>
    </w:pPr>
    <w:rPr>
      <w:bCs/>
      <w:color w:val="000000"/>
      <w:kern w:val="0"/>
      <w:szCs w:val="21"/>
    </w:rPr>
  </w:style>
  <w:style w:type="paragraph" w:customStyle="1" w:styleId="930">
    <w:name w:val="正文文本 21"/>
    <w:basedOn w:val="1"/>
    <w:qFormat/>
    <w:uiPriority w:val="0"/>
    <w:pPr>
      <w:adjustRightInd w:val="0"/>
      <w:spacing w:line="360" w:lineRule="auto"/>
      <w:ind w:firstLine="567"/>
      <w:jc w:val="left"/>
      <w:textAlignment w:val="baseline"/>
    </w:pPr>
    <w:rPr>
      <w:sz w:val="28"/>
      <w:szCs w:val="20"/>
    </w:rPr>
  </w:style>
  <w:style w:type="paragraph" w:customStyle="1" w:styleId="931">
    <w:name w:val="表"/>
    <w:basedOn w:val="1"/>
    <w:next w:val="1"/>
    <w:qFormat/>
    <w:uiPriority w:val="0"/>
    <w:pPr>
      <w:adjustRightInd w:val="0"/>
      <w:spacing w:before="120"/>
      <w:jc w:val="center"/>
      <w:textAlignment w:val="baseline"/>
    </w:pPr>
    <w:rPr>
      <w:kern w:val="0"/>
      <w:szCs w:val="20"/>
    </w:rPr>
  </w:style>
  <w:style w:type="paragraph" w:customStyle="1" w:styleId="932">
    <w:name w:val="样式 图号 + 宋体"/>
    <w:basedOn w:val="927"/>
    <w:qFormat/>
    <w:uiPriority w:val="0"/>
    <w:pPr>
      <w:ind w:firstLine="200" w:firstLineChars="200"/>
    </w:pPr>
    <w:rPr>
      <w:rFonts w:ascii="宋体" w:hAnsi="宋体"/>
    </w:rPr>
  </w:style>
  <w:style w:type="paragraph" w:customStyle="1" w:styleId="933">
    <w:name w:val="reader-word-layer reader-word-s58-7 reader-word-s58-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34">
    <w:name w:val="xl98"/>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935">
    <w:name w:val="Char Char Char Char Char Char Char Char Char Char Char Char Char Char Char Char1"/>
    <w:basedOn w:val="1"/>
    <w:qFormat/>
    <w:uiPriority w:val="0"/>
    <w:rPr>
      <w:szCs w:val="21"/>
    </w:rPr>
  </w:style>
  <w:style w:type="paragraph" w:customStyle="1" w:styleId="936">
    <w:name w:val="Char6"/>
    <w:basedOn w:val="1"/>
    <w:qFormat/>
    <w:uiPriority w:val="0"/>
    <w:pPr>
      <w:spacing w:line="360" w:lineRule="auto"/>
      <w:ind w:firstLine="200" w:firstLineChars="200"/>
    </w:pPr>
    <w:rPr>
      <w:rFonts w:ascii="宋体" w:hAnsi="宋体" w:cs="宋体"/>
      <w:sz w:val="28"/>
      <w:szCs w:val="24"/>
    </w:rPr>
  </w:style>
  <w:style w:type="paragraph" w:customStyle="1" w:styleId="937">
    <w:name w:val="!表格(alt+t)"/>
    <w:next w:val="1"/>
    <w:qFormat/>
    <w:uiPriority w:val="0"/>
    <w:pPr>
      <w:adjustRightInd w:val="0"/>
      <w:spacing w:line="280" w:lineRule="atLeast"/>
      <w:jc w:val="center"/>
      <w:textAlignment w:val="center"/>
    </w:pPr>
    <w:rPr>
      <w:rFonts w:ascii="Times New Roman" w:hAnsi="Times New Roman" w:eastAsia="宋体" w:cs="Times New Roman"/>
      <w:sz w:val="21"/>
      <w:szCs w:val="18"/>
      <w:lang w:val="en-US" w:eastAsia="zh-CN" w:bidi="ar-SA"/>
    </w:rPr>
  </w:style>
  <w:style w:type="paragraph" w:customStyle="1" w:styleId="938">
    <w:name w:val="xl23"/>
    <w:basedOn w:val="1"/>
    <w:qFormat/>
    <w:uiPriority w:val="0"/>
    <w:pPr>
      <w:widowControl/>
      <w:spacing w:before="100" w:beforeAutospacing="1" w:after="100" w:afterAutospacing="1"/>
      <w:jc w:val="left"/>
    </w:pPr>
    <w:rPr>
      <w:rFonts w:eastAsia="Arial Unicode MS"/>
      <w:kern w:val="0"/>
      <w:sz w:val="24"/>
      <w:szCs w:val="24"/>
    </w:rPr>
  </w:style>
  <w:style w:type="paragraph" w:customStyle="1" w:styleId="939">
    <w:name w:val="样式83"/>
    <w:basedOn w:val="1"/>
    <w:qFormat/>
    <w:uiPriority w:val="0"/>
    <w:pPr>
      <w:adjustRightInd w:val="0"/>
      <w:spacing w:line="320" w:lineRule="exact"/>
      <w:jc w:val="center"/>
    </w:pPr>
    <w:rPr>
      <w:rFonts w:eastAsia="仿宋_GB2312"/>
      <w:color w:val="000000"/>
      <w:kern w:val="0"/>
      <w:szCs w:val="20"/>
    </w:rPr>
  </w:style>
  <w:style w:type="paragraph" w:customStyle="1" w:styleId="940">
    <w:name w:val="表目录"/>
    <w:basedOn w:val="1"/>
    <w:qFormat/>
    <w:uiPriority w:val="0"/>
    <w:pPr>
      <w:adjustRightInd w:val="0"/>
      <w:snapToGrid w:val="0"/>
      <w:spacing w:line="360" w:lineRule="auto"/>
    </w:pPr>
    <w:rPr>
      <w:rFonts w:ascii="黑体" w:hAnsi="宋体" w:eastAsia="黑体"/>
      <w:szCs w:val="21"/>
    </w:rPr>
  </w:style>
  <w:style w:type="paragraph" w:customStyle="1" w:styleId="941">
    <w:name w:val="样式 样式 四号 行距: 1.5 倍行距 首行缩进:  2 字符1 + 首行缩进:  2 字符"/>
    <w:basedOn w:val="1"/>
    <w:qFormat/>
    <w:uiPriority w:val="0"/>
    <w:pPr>
      <w:spacing w:line="360" w:lineRule="auto"/>
      <w:ind w:firstLine="480" w:firstLineChars="200"/>
    </w:pPr>
    <w:rPr>
      <w:kern w:val="0"/>
      <w:sz w:val="28"/>
      <w:szCs w:val="20"/>
    </w:rPr>
  </w:style>
  <w:style w:type="paragraph" w:customStyle="1" w:styleId="942">
    <w:name w:val="font9"/>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943">
    <w:name w:val="表芯"/>
    <w:basedOn w:val="1"/>
    <w:next w:val="1"/>
    <w:qFormat/>
    <w:uiPriority w:val="0"/>
    <w:pPr>
      <w:keepNext/>
      <w:adjustRightInd w:val="0"/>
      <w:spacing w:before="20" w:line="0" w:lineRule="atLeast"/>
      <w:jc w:val="center"/>
      <w:textAlignment w:val="baseline"/>
    </w:pPr>
    <w:rPr>
      <w:rFonts w:ascii="宋体" w:hAnsi="宋体"/>
      <w:bCs/>
      <w:kern w:val="21"/>
      <w:szCs w:val="20"/>
    </w:rPr>
  </w:style>
  <w:style w:type="paragraph" w:customStyle="1" w:styleId="944">
    <w:name w:val="xl12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945">
    <w:name w:val="font7"/>
    <w:basedOn w:val="1"/>
    <w:qFormat/>
    <w:uiPriority w:val="0"/>
    <w:pPr>
      <w:widowControl/>
      <w:spacing w:before="100" w:beforeAutospacing="1" w:after="100" w:afterAutospacing="1"/>
      <w:jc w:val="left"/>
    </w:pPr>
    <w:rPr>
      <w:rFonts w:hint="eastAsia" w:ascii="宋体" w:hAnsi="宋体"/>
      <w:b/>
      <w:bCs/>
      <w:color w:val="000000"/>
      <w:kern w:val="0"/>
      <w:sz w:val="18"/>
      <w:szCs w:val="18"/>
    </w:rPr>
  </w:style>
  <w:style w:type="paragraph" w:customStyle="1" w:styleId="946">
    <w:name w:val="表中文字"/>
    <w:basedOn w:val="1"/>
    <w:qFormat/>
    <w:uiPriority w:val="0"/>
    <w:pPr>
      <w:adjustRightInd w:val="0"/>
      <w:snapToGrid w:val="0"/>
      <w:jc w:val="center"/>
    </w:pPr>
    <w:rPr>
      <w:szCs w:val="24"/>
    </w:rPr>
  </w:style>
  <w:style w:type="paragraph" w:customStyle="1" w:styleId="947">
    <w:name w:val="环评"/>
    <w:basedOn w:val="1"/>
    <w:qFormat/>
    <w:uiPriority w:val="0"/>
    <w:pPr>
      <w:spacing w:before="60" w:after="60" w:line="360" w:lineRule="exact"/>
    </w:pPr>
    <w:rPr>
      <w:rFonts w:eastAsia="仿宋_GB2312"/>
      <w:bCs/>
      <w:sz w:val="24"/>
      <w:szCs w:val="24"/>
    </w:rPr>
  </w:style>
  <w:style w:type="paragraph" w:customStyle="1" w:styleId="948">
    <w:name w:val="默认段落字体 Para Char Char Char Char"/>
    <w:basedOn w:val="1"/>
    <w:qFormat/>
    <w:uiPriority w:val="0"/>
    <w:rPr>
      <w:szCs w:val="21"/>
    </w:rPr>
  </w:style>
  <w:style w:type="paragraph" w:customStyle="1" w:styleId="949">
    <w:name w:val="Char17"/>
    <w:basedOn w:val="1"/>
    <w:qFormat/>
    <w:uiPriority w:val="0"/>
    <w:rPr>
      <w:rFonts w:ascii="仿宋_GB2312" w:eastAsia="仿宋_GB2312"/>
      <w:b/>
      <w:sz w:val="32"/>
      <w:szCs w:val="32"/>
    </w:rPr>
  </w:style>
  <w:style w:type="paragraph" w:customStyle="1" w:styleId="950">
    <w:name w:val="图名表名"/>
    <w:basedOn w:val="1"/>
    <w:qFormat/>
    <w:uiPriority w:val="0"/>
    <w:pPr>
      <w:tabs>
        <w:tab w:val="left" w:pos="900"/>
      </w:tabs>
      <w:adjustRightInd w:val="0"/>
      <w:snapToGrid w:val="0"/>
      <w:spacing w:line="348" w:lineRule="auto"/>
      <w:jc w:val="center"/>
      <w:textAlignment w:val="baseline"/>
    </w:pPr>
    <w:rPr>
      <w:b/>
      <w:spacing w:val="10"/>
      <w:kern w:val="0"/>
      <w:sz w:val="24"/>
      <w:szCs w:val="20"/>
    </w:rPr>
  </w:style>
  <w:style w:type="paragraph" w:customStyle="1" w:styleId="951">
    <w:name w:val="表、图名"/>
    <w:basedOn w:val="1"/>
    <w:qFormat/>
    <w:uiPriority w:val="0"/>
    <w:pPr>
      <w:adjustRightInd w:val="0"/>
      <w:snapToGrid w:val="0"/>
      <w:ind w:left="-6" w:firstLine="370" w:firstLineChars="154"/>
    </w:pPr>
    <w:rPr>
      <w:rFonts w:hAnsi="宋体"/>
      <w:sz w:val="24"/>
      <w:szCs w:val="24"/>
    </w:rPr>
  </w:style>
  <w:style w:type="paragraph" w:customStyle="1" w:styleId="952">
    <w:name w:val="图表说明"/>
    <w:basedOn w:val="953"/>
    <w:qFormat/>
    <w:uiPriority w:val="0"/>
    <w:pPr>
      <w:keepNext/>
      <w:tabs>
        <w:tab w:val="left" w:pos="0"/>
        <w:tab w:val="left" w:pos="142"/>
        <w:tab w:val="left" w:pos="5670"/>
      </w:tabs>
      <w:spacing w:line="400" w:lineRule="exact"/>
      <w:ind w:firstLine="3600" w:firstLineChars="1500"/>
    </w:pPr>
    <w:rPr>
      <w:rFonts w:hAnsi="Times New Roman"/>
      <w:b/>
    </w:rPr>
  </w:style>
  <w:style w:type="paragraph" w:customStyle="1" w:styleId="953">
    <w:name w:val="自正文1"/>
    <w:basedOn w:val="1"/>
    <w:qFormat/>
    <w:uiPriority w:val="0"/>
    <w:pPr>
      <w:tabs>
        <w:tab w:val="left" w:pos="5670"/>
      </w:tabs>
      <w:adjustRightInd w:val="0"/>
      <w:snapToGrid w:val="0"/>
      <w:textAlignment w:val="baseline"/>
    </w:pPr>
    <w:rPr>
      <w:rFonts w:hAnsi="宋体"/>
      <w:kern w:val="24"/>
      <w:sz w:val="18"/>
      <w:szCs w:val="18"/>
    </w:rPr>
  </w:style>
  <w:style w:type="paragraph" w:customStyle="1" w:styleId="954">
    <w:name w:val="reader-word-layer reader-word-s1-3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55">
    <w:name w:val="已访问的超级链接"/>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56">
    <w:name w:val="样式 小四 段前: 7.8 磅 段后: 7.8 磅 行距: 1.5 倍行距"/>
    <w:basedOn w:val="1"/>
    <w:qFormat/>
    <w:uiPriority w:val="0"/>
    <w:pPr>
      <w:spacing w:before="156" w:after="156" w:line="360" w:lineRule="auto"/>
      <w:ind w:firstLine="536" w:firstLineChars="200"/>
    </w:pPr>
    <w:rPr>
      <w:rFonts w:cs="宋体"/>
      <w:color w:val="FF0000"/>
      <w:spacing w:val="15"/>
      <w:sz w:val="24"/>
      <w:szCs w:val="24"/>
    </w:rPr>
  </w:style>
  <w:style w:type="paragraph" w:customStyle="1" w:styleId="957">
    <w:name w:val="样式 标题 2 + 段前: 0.5 行 段后: 0.5 行"/>
    <w:basedOn w:val="4"/>
    <w:qFormat/>
    <w:uiPriority w:val="0"/>
    <w:pPr>
      <w:autoSpaceDE w:val="0"/>
      <w:autoSpaceDN w:val="0"/>
      <w:adjustRightInd w:val="0"/>
      <w:spacing w:before="120" w:after="120" w:line="560" w:lineRule="exact"/>
      <w:jc w:val="left"/>
    </w:pPr>
    <w:rPr>
      <w:rFonts w:eastAsia="黑体"/>
      <w:bCs/>
      <w:sz w:val="30"/>
    </w:rPr>
  </w:style>
  <w:style w:type="paragraph" w:customStyle="1" w:styleId="958">
    <w:name w:val="段落"/>
    <w:basedOn w:val="1"/>
    <w:qFormat/>
    <w:uiPriority w:val="0"/>
    <w:pPr>
      <w:spacing w:line="360" w:lineRule="auto"/>
      <w:ind w:firstLine="200" w:firstLineChars="200"/>
    </w:pPr>
    <w:rPr>
      <w:sz w:val="24"/>
      <w:szCs w:val="24"/>
    </w:rPr>
  </w:style>
  <w:style w:type="paragraph" w:customStyle="1" w:styleId="959">
    <w:name w:val="02"/>
    <w:basedOn w:val="4"/>
    <w:qFormat/>
    <w:uiPriority w:val="0"/>
    <w:pPr>
      <w:spacing w:line="480" w:lineRule="auto"/>
    </w:pPr>
    <w:rPr>
      <w:b w:val="0"/>
      <w:color w:val="333333"/>
      <w:sz w:val="24"/>
    </w:rPr>
  </w:style>
  <w:style w:type="paragraph" w:customStyle="1" w:styleId="960">
    <w:name w:val="TOC 标题1"/>
    <w:basedOn w:val="3"/>
    <w:next w:val="1"/>
    <w:qFormat/>
    <w:uiPriority w:val="0"/>
    <w:pPr>
      <w:widowControl/>
      <w:spacing w:before="480" w:line="276" w:lineRule="auto"/>
      <w:jc w:val="left"/>
      <w:outlineLvl w:val="9"/>
    </w:pPr>
    <w:rPr>
      <w:rFonts w:ascii="Cambria" w:hAnsi="Cambria"/>
      <w:color w:val="365F91"/>
      <w:szCs w:val="28"/>
    </w:rPr>
  </w:style>
  <w:style w:type="paragraph" w:customStyle="1" w:styleId="961">
    <w:name w:val="reader-word-layer reader-word-s53-3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62">
    <w:name w:val="文章副标题"/>
    <w:basedOn w:val="1"/>
    <w:next w:val="922"/>
    <w:qFormat/>
    <w:uiPriority w:val="0"/>
    <w:pPr>
      <w:widowControl/>
      <w:spacing w:before="187" w:after="175" w:line="374" w:lineRule="atLeast"/>
      <w:jc w:val="center"/>
      <w:textAlignment w:val="baseline"/>
    </w:pPr>
    <w:rPr>
      <w:color w:val="000000"/>
      <w:kern w:val="0"/>
      <w:sz w:val="36"/>
      <w:szCs w:val="20"/>
      <w:u w:color="000000"/>
    </w:rPr>
  </w:style>
  <w:style w:type="paragraph" w:customStyle="1" w:styleId="963">
    <w:name w:val="样式 首行缩进:  2 字符 段前: 0.3 行"/>
    <w:basedOn w:val="1"/>
    <w:qFormat/>
    <w:uiPriority w:val="0"/>
    <w:pPr>
      <w:autoSpaceDE w:val="0"/>
      <w:autoSpaceDN w:val="0"/>
      <w:adjustRightInd w:val="0"/>
      <w:snapToGrid w:val="0"/>
      <w:spacing w:line="360" w:lineRule="auto"/>
      <w:ind w:firstLine="480" w:firstLineChars="200"/>
    </w:pPr>
    <w:rPr>
      <w:rFonts w:cs="宋体"/>
      <w:bCs/>
      <w:color w:val="000000"/>
      <w:sz w:val="24"/>
      <w:szCs w:val="24"/>
    </w:rPr>
  </w:style>
  <w:style w:type="paragraph" w:customStyle="1" w:styleId="964">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kern w:val="0"/>
      <w:sz w:val="16"/>
      <w:szCs w:val="16"/>
    </w:rPr>
  </w:style>
  <w:style w:type="paragraph" w:customStyle="1" w:styleId="965">
    <w:name w:val="！标题2 Alt+2"/>
    <w:basedOn w:val="1"/>
    <w:next w:val="834"/>
    <w:qFormat/>
    <w:uiPriority w:val="0"/>
    <w:pPr>
      <w:tabs>
        <w:tab w:val="left" w:pos="0"/>
      </w:tabs>
      <w:spacing w:beforeLines="100" w:line="360" w:lineRule="auto"/>
      <w:outlineLvl w:val="1"/>
    </w:pPr>
    <w:rPr>
      <w:rFonts w:eastAsia="黑体"/>
      <w:sz w:val="30"/>
      <w:szCs w:val="30"/>
    </w:rPr>
  </w:style>
  <w:style w:type="paragraph" w:customStyle="1" w:styleId="966">
    <w:name w:val="表格题目"/>
    <w:basedOn w:val="1"/>
    <w:qFormat/>
    <w:uiPriority w:val="0"/>
    <w:pPr>
      <w:adjustRightInd w:val="0"/>
      <w:spacing w:before="156" w:beforeLines="50" w:after="156" w:afterLines="50"/>
      <w:ind w:left="470" w:leftChars="224" w:firstLine="1878" w:firstLineChars="797"/>
    </w:pPr>
    <w:rPr>
      <w:rFonts w:ascii="宋体"/>
      <w:b/>
      <w:bCs/>
      <w:sz w:val="24"/>
      <w:szCs w:val="20"/>
    </w:rPr>
  </w:style>
  <w:style w:type="paragraph" w:customStyle="1" w:styleId="967">
    <w:name w:val="标题2"/>
    <w:basedOn w:val="968"/>
    <w:link w:val="1971"/>
    <w:qFormat/>
    <w:uiPriority w:val="0"/>
  </w:style>
  <w:style w:type="paragraph" w:customStyle="1" w:styleId="968">
    <w:name w:val="样式 样式 标题 2节标题 1.11.1标题2Se + 黑体 四号 非加粗 黑色 段前: 0 磅 段后: 0 磅 行... + ..."/>
    <w:basedOn w:val="969"/>
    <w:qFormat/>
    <w:uiPriority w:val="0"/>
  </w:style>
  <w:style w:type="paragraph" w:customStyle="1" w:styleId="969">
    <w:name w:val="样式 标题 2节标题 1.11.1标题2Se + 黑体 四号 非加粗 黑色 段前: 0 磅 段后: 0 磅 行..."/>
    <w:basedOn w:val="4"/>
    <w:qFormat/>
    <w:uiPriority w:val="0"/>
    <w:pPr>
      <w:spacing w:line="360" w:lineRule="auto"/>
    </w:pPr>
    <w:rPr>
      <w:rFonts w:ascii="宋体" w:hAnsi="Arial" w:cs="宋体"/>
      <w:b w:val="0"/>
      <w:bCs/>
      <w:color w:val="000000"/>
      <w:szCs w:val="28"/>
    </w:rPr>
  </w:style>
  <w:style w:type="paragraph" w:customStyle="1" w:styleId="970">
    <w:name w:val="Char Char Char Char"/>
    <w:basedOn w:val="1"/>
    <w:qFormat/>
    <w:uiPriority w:val="0"/>
    <w:rPr>
      <w:rFonts w:ascii="仿宋_GB2312" w:eastAsia="仿宋_GB2312"/>
      <w:b/>
      <w:sz w:val="32"/>
      <w:szCs w:val="32"/>
    </w:rPr>
  </w:style>
  <w:style w:type="paragraph" w:customStyle="1" w:styleId="971">
    <w:name w:val="hb1"/>
    <w:basedOn w:val="3"/>
    <w:qFormat/>
    <w:uiPriority w:val="0"/>
    <w:pPr>
      <w:adjustRightInd w:val="0"/>
      <w:spacing w:line="578" w:lineRule="atLeast"/>
      <w:jc w:val="center"/>
      <w:textAlignment w:val="baseline"/>
    </w:pPr>
    <w:rPr>
      <w:rFonts w:ascii="黑体" w:hAnsi="宋体" w:eastAsia="黑体" w:cs="黑体"/>
      <w:sz w:val="32"/>
      <w:szCs w:val="32"/>
    </w:rPr>
  </w:style>
  <w:style w:type="paragraph" w:customStyle="1" w:styleId="972">
    <w:name w:val="reader-word-layer reader-word-s1-1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73">
    <w:name w:val="xl93"/>
    <w:basedOn w:val="1"/>
    <w:qFormat/>
    <w:uiPriority w:val="0"/>
    <w:pPr>
      <w:widowControl/>
      <w:pBdr>
        <w:bottom w:val="single" w:color="auto" w:sz="4" w:space="0"/>
        <w:right w:val="single" w:color="auto" w:sz="4" w:space="0"/>
      </w:pBdr>
      <w:shd w:val="clear" w:color="auto" w:fill="FFFF00"/>
      <w:spacing w:before="100" w:beforeAutospacing="1" w:after="100" w:afterAutospacing="1"/>
      <w:jc w:val="left"/>
    </w:pPr>
    <w:rPr>
      <w:rFonts w:ascii="Arial Unicode MS" w:hAnsi="Arial Unicode MS"/>
      <w:kern w:val="0"/>
      <w:sz w:val="20"/>
      <w:szCs w:val="20"/>
    </w:rPr>
  </w:style>
  <w:style w:type="paragraph" w:customStyle="1" w:styleId="974">
    <w:name w:val="默认段落字体 Para Char"/>
    <w:basedOn w:val="1"/>
    <w:next w:val="1"/>
    <w:qFormat/>
    <w:uiPriority w:val="0"/>
    <w:pPr>
      <w:spacing w:line="360" w:lineRule="auto"/>
      <w:ind w:firstLine="200" w:firstLineChars="200"/>
    </w:pPr>
    <w:rPr>
      <w:rFonts w:ascii="宋体" w:hAnsi="宋体" w:cs="宋体"/>
      <w:sz w:val="24"/>
      <w:szCs w:val="24"/>
    </w:rPr>
  </w:style>
  <w:style w:type="paragraph" w:customStyle="1" w:styleId="975">
    <w:name w:val="font15"/>
    <w:basedOn w:val="1"/>
    <w:qFormat/>
    <w:uiPriority w:val="0"/>
    <w:pPr>
      <w:widowControl/>
      <w:spacing w:before="100" w:beforeAutospacing="1" w:after="100" w:afterAutospacing="1"/>
      <w:jc w:val="left"/>
    </w:pPr>
    <w:rPr>
      <w:kern w:val="0"/>
      <w:sz w:val="12"/>
      <w:szCs w:val="12"/>
    </w:rPr>
  </w:style>
  <w:style w:type="paragraph" w:customStyle="1" w:styleId="976">
    <w:name w:val="xl114"/>
    <w:basedOn w:val="1"/>
    <w:qFormat/>
    <w:uiPriority w:val="0"/>
    <w:pPr>
      <w:widowControl/>
      <w:pBdr>
        <w:top w:val="single" w:color="auto" w:sz="4" w:space="0"/>
        <w:bottom w:val="single" w:color="auto" w:sz="8" w:space="0"/>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977">
    <w:name w:val="二级标题 Char Char Char"/>
    <w:basedOn w:val="1"/>
    <w:next w:val="1"/>
    <w:qFormat/>
    <w:uiPriority w:val="0"/>
    <w:pPr>
      <w:spacing w:line="529" w:lineRule="exact"/>
      <w:ind w:firstLine="200" w:firstLineChars="200"/>
    </w:pPr>
    <w:rPr>
      <w:rFonts w:ascii="宋体" w:hAnsi="宋体" w:cs="宋体"/>
      <w:sz w:val="24"/>
      <w:szCs w:val="24"/>
    </w:rPr>
  </w:style>
  <w:style w:type="paragraph" w:customStyle="1" w:styleId="978">
    <w:name w:val="样式 正文格式 + 首行缩进:  2 字符 右侧:  0.15 厘米 行距: 固定值 22 磅"/>
    <w:basedOn w:val="1"/>
    <w:qFormat/>
    <w:uiPriority w:val="0"/>
    <w:pPr>
      <w:spacing w:line="440" w:lineRule="exact"/>
      <w:ind w:right="85" w:firstLine="560" w:firstLineChars="200"/>
    </w:pPr>
    <w:rPr>
      <w:rFonts w:cs="宋体"/>
      <w:sz w:val="24"/>
      <w:szCs w:val="20"/>
    </w:rPr>
  </w:style>
  <w:style w:type="paragraph" w:customStyle="1" w:styleId="979">
    <w:name w:val="alt+2 节"/>
    <w:basedOn w:val="4"/>
    <w:next w:val="1"/>
    <w:qFormat/>
    <w:uiPriority w:val="0"/>
    <w:pPr>
      <w:widowControl/>
      <w:spacing w:beforeLines="50" w:after="50" w:afterLines="50" w:line="500" w:lineRule="exact"/>
      <w:jc w:val="left"/>
      <w:textAlignment w:val="baseline"/>
    </w:pPr>
    <w:rPr>
      <w:rFonts w:ascii="黑体" w:hAnsi="Arial"/>
      <w:b w:val="0"/>
      <w:szCs w:val="28"/>
      <w:u w:color="000000"/>
    </w:rPr>
  </w:style>
  <w:style w:type="paragraph" w:customStyle="1" w:styleId="980">
    <w:name w:val="Char4 Char Char 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981">
    <w:name w:val="xl117"/>
    <w:basedOn w:val="1"/>
    <w:qFormat/>
    <w:uiPriority w:val="0"/>
    <w:pPr>
      <w:widowControl/>
      <w:spacing w:before="100" w:beforeAutospacing="1" w:after="100" w:afterAutospacing="1"/>
      <w:jc w:val="left"/>
    </w:pPr>
    <w:rPr>
      <w:rFonts w:ascii="Arial Unicode MS" w:hAnsi="Arial Unicode MS"/>
      <w:kern w:val="0"/>
      <w:sz w:val="20"/>
      <w:szCs w:val="20"/>
    </w:rPr>
  </w:style>
  <w:style w:type="paragraph" w:customStyle="1" w:styleId="982">
    <w:name w:val="reader-word-layer reader-word-s58-8 reader-word-s58-2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83">
    <w:name w:val="表头文字"/>
    <w:basedOn w:val="1"/>
    <w:qFormat/>
    <w:uiPriority w:val="0"/>
    <w:pPr>
      <w:tabs>
        <w:tab w:val="left" w:pos="1260"/>
      </w:tabs>
      <w:adjustRightInd w:val="0"/>
      <w:snapToGrid w:val="0"/>
      <w:spacing w:line="360" w:lineRule="auto"/>
      <w:jc w:val="center"/>
    </w:pPr>
    <w:rPr>
      <w:rFonts w:ascii="宋体" w:hAnsi="宋体" w:eastAsia="黑体"/>
      <w:position w:val="-6"/>
      <w:sz w:val="24"/>
      <w:szCs w:val="28"/>
    </w:rPr>
  </w:style>
  <w:style w:type="paragraph" w:customStyle="1" w:styleId="984">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985">
    <w:name w:val="xl52"/>
    <w:basedOn w:val="1"/>
    <w:qFormat/>
    <w:uiPriority w:val="0"/>
    <w:pPr>
      <w:widowControl/>
      <w:pBdr>
        <w:left w:val="single" w:color="auto" w:sz="8" w:space="0"/>
        <w:bottom w:val="single" w:color="auto" w:sz="8" w:space="0"/>
      </w:pBdr>
      <w:snapToGrid w:val="0"/>
      <w:spacing w:before="100" w:beforeAutospacing="1" w:after="100" w:afterAutospacing="1" w:line="360" w:lineRule="auto"/>
      <w:textAlignment w:val="top"/>
    </w:pPr>
    <w:rPr>
      <w:rFonts w:ascii="宋体" w:hAnsi="宋体"/>
      <w:kern w:val="0"/>
      <w:szCs w:val="21"/>
    </w:rPr>
  </w:style>
  <w:style w:type="paragraph" w:customStyle="1" w:styleId="986">
    <w:name w:val="自制正文1"/>
    <w:basedOn w:val="1"/>
    <w:next w:val="1"/>
    <w:qFormat/>
    <w:uiPriority w:val="0"/>
    <w:pPr>
      <w:adjustRightInd w:val="0"/>
      <w:snapToGrid w:val="0"/>
      <w:spacing w:line="360" w:lineRule="auto"/>
      <w:ind w:firstLine="480" w:firstLineChars="200"/>
    </w:pPr>
    <w:rPr>
      <w:sz w:val="24"/>
      <w:szCs w:val="24"/>
    </w:rPr>
  </w:style>
  <w:style w:type="paragraph" w:customStyle="1" w:styleId="987">
    <w:name w:val="样式 表文字 +"/>
    <w:basedOn w:val="988"/>
    <w:next w:val="988"/>
    <w:qFormat/>
    <w:uiPriority w:val="0"/>
    <w:pPr>
      <w:topLinePunct/>
      <w:spacing w:line="240" w:lineRule="exact"/>
      <w:ind w:firstLine="0" w:firstLineChars="0"/>
      <w:jc w:val="center"/>
      <w:textAlignment w:val="baseline"/>
    </w:pPr>
    <w:rPr>
      <w:rFonts w:ascii="Times New Roman" w:hAnsi="Times New Roman" w:cs="宋体"/>
      <w:kern w:val="2"/>
      <w:sz w:val="21"/>
    </w:rPr>
  </w:style>
  <w:style w:type="paragraph" w:customStyle="1" w:styleId="988">
    <w:name w:val="表文字"/>
    <w:basedOn w:val="1"/>
    <w:next w:val="1"/>
    <w:qFormat/>
    <w:uiPriority w:val="0"/>
    <w:pPr>
      <w:adjustRightInd w:val="0"/>
      <w:spacing w:line="0" w:lineRule="atLeast"/>
      <w:ind w:firstLine="200" w:firstLineChars="200"/>
      <w:jc w:val="left"/>
    </w:pPr>
    <w:rPr>
      <w:rFonts w:ascii="宋体" w:hAnsi="宋体"/>
      <w:kern w:val="0"/>
      <w:sz w:val="18"/>
      <w:szCs w:val="20"/>
    </w:rPr>
  </w:style>
  <w:style w:type="paragraph" w:customStyle="1" w:styleId="989">
    <w:name w:val="纯文本1"/>
    <w:basedOn w:val="1"/>
    <w:qFormat/>
    <w:uiPriority w:val="0"/>
    <w:pPr>
      <w:adjustRightInd w:val="0"/>
      <w:textAlignment w:val="baseline"/>
    </w:pPr>
    <w:rPr>
      <w:rFonts w:ascii="宋体"/>
      <w:kern w:val="0"/>
      <w:szCs w:val="20"/>
    </w:rPr>
  </w:style>
  <w:style w:type="paragraph" w:customStyle="1" w:styleId="990">
    <w:name w:val="Char Char Char Char Char Char Char Char Char2 Char"/>
    <w:basedOn w:val="1"/>
    <w:next w:val="1"/>
    <w:qFormat/>
    <w:uiPriority w:val="0"/>
    <w:pPr>
      <w:pBdr>
        <w:right w:val="single" w:color="auto" w:sz="12" w:space="4"/>
      </w:pBdr>
      <w:spacing w:line="360" w:lineRule="auto"/>
      <w:ind w:firstLine="200" w:firstLineChars="200"/>
    </w:pPr>
    <w:rPr>
      <w:rFonts w:ascii="宋体" w:hAnsi="宋体" w:cs="宋体"/>
      <w:sz w:val="24"/>
      <w:szCs w:val="24"/>
    </w:rPr>
  </w:style>
  <w:style w:type="paragraph" w:customStyle="1" w:styleId="99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12"/>
      <w:szCs w:val="12"/>
    </w:rPr>
  </w:style>
  <w:style w:type="paragraph" w:customStyle="1" w:styleId="992">
    <w:name w:val="样式 标题 4 +"/>
    <w:basedOn w:val="1"/>
    <w:qFormat/>
    <w:uiPriority w:val="0"/>
    <w:pPr>
      <w:keepNext/>
      <w:keepLines/>
      <w:tabs>
        <w:tab w:val="left" w:pos="964"/>
      </w:tabs>
      <w:adjustRightInd w:val="0"/>
      <w:snapToGrid w:val="0"/>
      <w:spacing w:before="120" w:after="120" w:line="360" w:lineRule="auto"/>
      <w:ind w:left="964" w:hanging="964" w:firstLineChars="200"/>
      <w:outlineLvl w:val="3"/>
    </w:pPr>
    <w:rPr>
      <w:rFonts w:ascii="Arial" w:hAnsi="Arial" w:eastAsia="黑体"/>
      <w:b/>
      <w:bCs/>
      <w:kern w:val="0"/>
      <w:sz w:val="28"/>
      <w:szCs w:val="28"/>
    </w:rPr>
  </w:style>
  <w:style w:type="paragraph" w:customStyle="1" w:styleId="993">
    <w:name w:val="reader-word-layer reader-word-s53-2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94">
    <w:name w:val="b2"/>
    <w:basedOn w:val="1"/>
    <w:qFormat/>
    <w:uiPriority w:val="0"/>
    <w:pPr>
      <w:widowControl/>
      <w:spacing w:before="100" w:beforeAutospacing="1" w:after="100" w:afterAutospacing="1" w:line="315" w:lineRule="atLeast"/>
      <w:jc w:val="left"/>
    </w:pPr>
    <w:rPr>
      <w:rFonts w:hint="eastAsia" w:ascii="宋体" w:hAnsi="宋体"/>
      <w:color w:val="000000"/>
      <w:kern w:val="0"/>
      <w:szCs w:val="20"/>
    </w:rPr>
  </w:style>
  <w:style w:type="paragraph" w:customStyle="1" w:styleId="995">
    <w:name w:val="reader-word-layer reader-word-s1-3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96">
    <w:name w:val="reader-word-layer reader-word-s58-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97">
    <w:name w:val="样式 标题 1 + 行距: 多倍行距 2.5 字行"/>
    <w:basedOn w:val="3"/>
    <w:qFormat/>
    <w:uiPriority w:val="0"/>
    <w:pPr>
      <w:spacing w:before="400" w:line="600" w:lineRule="auto"/>
      <w:jc w:val="center"/>
    </w:pPr>
    <w:rPr>
      <w:rFonts w:eastAsia="黑体"/>
      <w:bCs/>
      <w:sz w:val="32"/>
    </w:rPr>
  </w:style>
  <w:style w:type="paragraph" w:customStyle="1" w:styleId="998">
    <w:name w:val="xl120"/>
    <w:basedOn w:val="1"/>
    <w:qFormat/>
    <w:uiPriority w:val="0"/>
    <w:pPr>
      <w:widowControl/>
      <w:pBdr>
        <w:bottom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999">
    <w:name w:val="xl104"/>
    <w:basedOn w:val="1"/>
    <w:qFormat/>
    <w:uiPriority w:val="0"/>
    <w:pPr>
      <w:widowControl/>
      <w:pBdr>
        <w:top w:val="single" w:color="auto" w:sz="4" w:space="0"/>
        <w:bottom w:val="single" w:color="auto" w:sz="8"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000">
    <w:name w:val="xl11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1001">
    <w:name w:val="font14"/>
    <w:basedOn w:val="1"/>
    <w:qFormat/>
    <w:uiPriority w:val="0"/>
    <w:pPr>
      <w:widowControl/>
      <w:spacing w:before="100" w:beforeAutospacing="1" w:after="100" w:afterAutospacing="1"/>
      <w:jc w:val="left"/>
    </w:pPr>
    <w:rPr>
      <w:rFonts w:ascii="Arial Narrow" w:hAnsi="Arial Narrow"/>
      <w:kern w:val="0"/>
      <w:sz w:val="16"/>
      <w:szCs w:val="16"/>
    </w:rPr>
  </w:style>
  <w:style w:type="paragraph" w:customStyle="1" w:styleId="1002">
    <w:name w:val="xl8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16"/>
      <w:szCs w:val="16"/>
    </w:rPr>
  </w:style>
  <w:style w:type="paragraph" w:customStyle="1" w:styleId="1003">
    <w:name w:val="样式7"/>
    <w:basedOn w:val="72"/>
    <w:qFormat/>
    <w:uiPriority w:val="0"/>
    <w:pPr>
      <w:spacing w:before="120" w:after="120" w:line="500" w:lineRule="exact"/>
      <w:jc w:val="left"/>
    </w:pPr>
    <w:rPr>
      <w:rFonts w:ascii="黑体" w:hAnsi="宋体" w:eastAsia="黑体" w:cs="Arial"/>
      <w:bCs/>
    </w:rPr>
  </w:style>
  <w:style w:type="paragraph" w:customStyle="1" w:styleId="1004">
    <w:name w:val="Table Paragraph"/>
    <w:basedOn w:val="1"/>
    <w:qFormat/>
    <w:uiPriority w:val="1"/>
    <w:pPr>
      <w:autoSpaceDE w:val="0"/>
      <w:autoSpaceDN w:val="0"/>
      <w:jc w:val="center"/>
    </w:pPr>
    <w:rPr>
      <w:rFonts w:ascii="宋体" w:hAnsi="宋体" w:cs="宋体"/>
      <w:kern w:val="0"/>
      <w:sz w:val="22"/>
      <w:lang w:eastAsia="en-US"/>
    </w:rPr>
  </w:style>
  <w:style w:type="paragraph" w:customStyle="1" w:styleId="1005">
    <w:name w:val="xl60"/>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kern w:val="0"/>
      <w:sz w:val="16"/>
      <w:szCs w:val="16"/>
    </w:rPr>
  </w:style>
  <w:style w:type="paragraph" w:customStyle="1" w:styleId="1006">
    <w:name w:val="xl75"/>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宋体" w:hAnsi="宋体"/>
      <w:kern w:val="0"/>
      <w:sz w:val="16"/>
      <w:szCs w:val="16"/>
    </w:rPr>
  </w:style>
  <w:style w:type="paragraph" w:customStyle="1" w:styleId="1007">
    <w:name w:val="reader-word-layer reader-word-s53-3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08">
    <w:name w:val="xl3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009">
    <w:name w:val="样式 标题 2 + 行距: 单倍行距"/>
    <w:basedOn w:val="4"/>
    <w:qFormat/>
    <w:uiPriority w:val="0"/>
    <w:rPr>
      <w:rFonts w:ascii="Arial" w:hAnsi="Arial" w:eastAsia="黑体" w:cs="宋体"/>
    </w:rPr>
  </w:style>
  <w:style w:type="paragraph" w:customStyle="1" w:styleId="1010">
    <w:name w:val="xl8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16"/>
      <w:szCs w:val="16"/>
    </w:rPr>
  </w:style>
  <w:style w:type="paragraph" w:customStyle="1" w:styleId="1011">
    <w:name w:val="xl76"/>
    <w:basedOn w:val="1"/>
    <w:qFormat/>
    <w:uiPriority w:val="0"/>
    <w:pPr>
      <w:widowControl/>
      <w:pBdr>
        <w:top w:val="single" w:color="auto" w:sz="4" w:space="0"/>
        <w:left w:val="single" w:color="auto" w:sz="4" w:space="0"/>
      </w:pBdr>
      <w:spacing w:before="100" w:beforeAutospacing="1" w:after="100" w:afterAutospacing="1"/>
      <w:jc w:val="right"/>
    </w:pPr>
    <w:rPr>
      <w:rFonts w:ascii="宋体" w:hAnsi="宋体"/>
      <w:kern w:val="0"/>
      <w:sz w:val="16"/>
      <w:szCs w:val="16"/>
    </w:rPr>
  </w:style>
  <w:style w:type="paragraph" w:customStyle="1" w:styleId="1012">
    <w:name w:val="表文字（小行距）"/>
    <w:basedOn w:val="988"/>
    <w:qFormat/>
    <w:uiPriority w:val="0"/>
    <w:pPr>
      <w:widowControl/>
      <w:adjustRightInd/>
      <w:spacing w:line="240" w:lineRule="exact"/>
      <w:ind w:firstLine="0" w:firstLineChars="0"/>
    </w:pPr>
    <w:rPr>
      <w:rFonts w:ascii="Times New Roman" w:hAnsi="Times New Roman"/>
      <w:sz w:val="21"/>
      <w:szCs w:val="21"/>
    </w:rPr>
  </w:style>
  <w:style w:type="paragraph" w:customStyle="1" w:styleId="1013">
    <w:name w:val="二级目录"/>
    <w:basedOn w:val="1"/>
    <w:qFormat/>
    <w:uiPriority w:val="0"/>
    <w:pPr>
      <w:jc w:val="left"/>
      <w:outlineLvl w:val="1"/>
    </w:pPr>
    <w:rPr>
      <w:kern w:val="0"/>
      <w:sz w:val="28"/>
      <w:szCs w:val="24"/>
    </w:rPr>
  </w:style>
  <w:style w:type="paragraph" w:customStyle="1" w:styleId="1014">
    <w:name w:val="xl48"/>
    <w:basedOn w:val="1"/>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01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016">
    <w:name w:val="reader-word-layer reader-word-s58-2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17">
    <w:name w:val="Normal_0"/>
    <w:qFormat/>
    <w:uiPriority w:val="0"/>
    <w:rPr>
      <w:rFonts w:ascii="Times New Roman" w:hAnsi="Times New Roman" w:eastAsia="宋体" w:cs="Times New Roman"/>
      <w:sz w:val="24"/>
      <w:szCs w:val="24"/>
      <w:lang w:val="en-US" w:eastAsia="zh-CN" w:bidi="ar-SA"/>
    </w:rPr>
  </w:style>
  <w:style w:type="paragraph" w:customStyle="1" w:styleId="1018">
    <w:name w:val="reader-word-layer reader-word-s53-2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19">
    <w:name w:val="xl81"/>
    <w:basedOn w:val="1"/>
    <w:qFormat/>
    <w:uiPriority w:val="0"/>
    <w:pPr>
      <w:widowControl/>
      <w:spacing w:before="100" w:beforeAutospacing="1" w:after="100" w:afterAutospacing="1"/>
      <w:jc w:val="left"/>
    </w:pPr>
    <w:rPr>
      <w:rFonts w:ascii="宋体" w:hAnsi="宋体"/>
      <w:b/>
      <w:bCs/>
      <w:kern w:val="0"/>
      <w:sz w:val="16"/>
      <w:szCs w:val="16"/>
    </w:rPr>
  </w:style>
  <w:style w:type="paragraph" w:customStyle="1" w:styleId="1020">
    <w:name w:val="reader-word-layer reader-word-s55-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21">
    <w:name w:val="样式170"/>
    <w:basedOn w:val="1"/>
    <w:qFormat/>
    <w:uiPriority w:val="0"/>
    <w:pPr>
      <w:keepNext/>
      <w:keepLines/>
      <w:spacing w:before="120" w:after="120"/>
      <w:outlineLvl w:val="1"/>
    </w:pPr>
    <w:rPr>
      <w:rFonts w:eastAsia="黑体"/>
      <w:color w:val="000000"/>
      <w:sz w:val="28"/>
      <w:szCs w:val="28"/>
    </w:rPr>
  </w:style>
  <w:style w:type="paragraph" w:customStyle="1" w:styleId="1022">
    <w:name w:val="!标题4(alt+4)"/>
    <w:basedOn w:val="1"/>
    <w:qFormat/>
    <w:uiPriority w:val="0"/>
    <w:pPr>
      <w:spacing w:line="420" w:lineRule="exact"/>
      <w:outlineLvl w:val="3"/>
    </w:pPr>
    <w:rPr>
      <w:sz w:val="24"/>
      <w:szCs w:val="20"/>
    </w:rPr>
  </w:style>
  <w:style w:type="paragraph" w:customStyle="1" w:styleId="1023">
    <w:name w:val="样式 首行缩进:  2.01 字符"/>
    <w:basedOn w:val="1"/>
    <w:qFormat/>
    <w:uiPriority w:val="0"/>
    <w:pPr>
      <w:spacing w:line="440" w:lineRule="exact"/>
      <w:ind w:firstLine="200" w:firstLineChars="200"/>
    </w:pPr>
    <w:rPr>
      <w:sz w:val="24"/>
      <w:szCs w:val="20"/>
    </w:rPr>
  </w:style>
  <w:style w:type="paragraph" w:customStyle="1" w:styleId="1024">
    <w:name w:val="样式 标题 1 + 黑体 三号 非加粗 段前: 0 磅 段后: 0 磅 行距: 1.5 倍行距"/>
    <w:basedOn w:val="3"/>
    <w:qFormat/>
    <w:uiPriority w:val="0"/>
    <w:pPr>
      <w:spacing w:line="360" w:lineRule="auto"/>
    </w:pPr>
    <w:rPr>
      <w:rFonts w:ascii="宋体" w:cs="宋体"/>
      <w:bCs/>
      <w:sz w:val="30"/>
      <w:szCs w:val="30"/>
    </w:rPr>
  </w:style>
  <w:style w:type="paragraph" w:customStyle="1" w:styleId="1025">
    <w:name w:val="xl50"/>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1026">
    <w:name w:val="样式 表头小四 + 段前: 0.3 行"/>
    <w:basedOn w:val="1"/>
    <w:qFormat/>
    <w:uiPriority w:val="0"/>
    <w:pPr>
      <w:tabs>
        <w:tab w:val="center" w:pos="4320"/>
        <w:tab w:val="right" w:pos="8460"/>
      </w:tabs>
      <w:adjustRightInd w:val="0"/>
      <w:snapToGrid w:val="0"/>
    </w:pPr>
    <w:rPr>
      <w:rFonts w:cs="宋体"/>
      <w:b/>
      <w:bCs/>
      <w:sz w:val="24"/>
      <w:szCs w:val="20"/>
    </w:rPr>
  </w:style>
  <w:style w:type="paragraph" w:customStyle="1" w:styleId="1027">
    <w:name w:val="!章名(alt+m)"/>
    <w:next w:val="1"/>
    <w:qFormat/>
    <w:uiPriority w:val="0"/>
    <w:pPr>
      <w:spacing w:line="500" w:lineRule="exact"/>
      <w:jc w:val="center"/>
      <w:outlineLvl w:val="0"/>
    </w:pPr>
    <w:rPr>
      <w:rFonts w:ascii="Arial" w:hAnsi="Arial" w:eastAsia="黑体" w:cs="Times New Roman"/>
      <w:spacing w:val="-5"/>
      <w:sz w:val="32"/>
      <w:lang w:val="en-US" w:eastAsia="zh-CN" w:bidi="ar-SA"/>
    </w:rPr>
  </w:style>
  <w:style w:type="paragraph" w:customStyle="1" w:styleId="1028">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kern w:val="0"/>
      <w:sz w:val="16"/>
      <w:szCs w:val="16"/>
    </w:rPr>
  </w:style>
  <w:style w:type="paragraph" w:customStyle="1" w:styleId="1029">
    <w:name w:val="样式 宋体 12 磅 首行缩进:  2 字符"/>
    <w:basedOn w:val="1"/>
    <w:qFormat/>
    <w:uiPriority w:val="0"/>
    <w:pPr>
      <w:spacing w:line="500" w:lineRule="exact"/>
      <w:ind w:firstLine="200" w:firstLineChars="200"/>
    </w:pPr>
    <w:rPr>
      <w:rFonts w:ascii="宋体" w:hAnsi="宋体"/>
      <w:sz w:val="26"/>
      <w:szCs w:val="20"/>
    </w:rPr>
  </w:style>
  <w:style w:type="paragraph" w:customStyle="1" w:styleId="1030">
    <w:name w:val="正文1 Char Char Char"/>
    <w:basedOn w:val="1"/>
    <w:qFormat/>
    <w:uiPriority w:val="0"/>
    <w:pPr>
      <w:spacing w:line="560" w:lineRule="exact"/>
      <w:ind w:firstLine="200" w:firstLineChars="200"/>
    </w:pPr>
    <w:rPr>
      <w:rFonts w:ascii="宋体" w:hAnsi="宋体" w:cs="宋体"/>
      <w:sz w:val="24"/>
      <w:szCs w:val="24"/>
    </w:rPr>
  </w:style>
  <w:style w:type="paragraph" w:customStyle="1" w:styleId="1031">
    <w:name w:val="Char Char Char Char Char Char1 Char Char Char Char Char Char Char Char Char1 Char Char Char Char Char Char Char Char Char Char Char Char Char"/>
    <w:basedOn w:val="1"/>
    <w:qFormat/>
    <w:uiPriority w:val="0"/>
    <w:pPr>
      <w:widowControl/>
      <w:jc w:val="left"/>
    </w:pPr>
    <w:rPr>
      <w:rFonts w:ascii="宋体" w:hAnsi="宋体" w:cs="宋体"/>
      <w:kern w:val="0"/>
      <w:sz w:val="24"/>
      <w:szCs w:val="24"/>
    </w:rPr>
  </w:style>
  <w:style w:type="paragraph" w:customStyle="1" w:styleId="1032">
    <w:name w:val="二章正文"/>
    <w:basedOn w:val="1"/>
    <w:qFormat/>
    <w:uiPriority w:val="0"/>
    <w:pPr>
      <w:spacing w:line="0" w:lineRule="atLeast"/>
      <w:jc w:val="right"/>
    </w:pPr>
    <w:rPr>
      <w:rFonts w:ascii="宋体" w:hAnsi="宋体"/>
      <w:szCs w:val="20"/>
    </w:rPr>
  </w:style>
  <w:style w:type="paragraph" w:customStyle="1" w:styleId="1033">
    <w:name w:val="样式 首行缩进:  2 字符 行距: 1.5 倍行距"/>
    <w:basedOn w:val="1"/>
    <w:qFormat/>
    <w:uiPriority w:val="0"/>
    <w:pPr>
      <w:spacing w:line="400" w:lineRule="exact"/>
      <w:ind w:firstLine="200" w:firstLineChars="200"/>
    </w:pPr>
    <w:rPr>
      <w:sz w:val="28"/>
      <w:szCs w:val="20"/>
    </w:rPr>
  </w:style>
  <w:style w:type="paragraph" w:customStyle="1" w:styleId="1034">
    <w:name w:val="Char Char Char Char Char Char Char Char Char Char"/>
    <w:basedOn w:val="1"/>
    <w:qFormat/>
    <w:uiPriority w:val="0"/>
    <w:rPr>
      <w:szCs w:val="24"/>
    </w:rPr>
  </w:style>
  <w:style w:type="paragraph" w:customStyle="1" w:styleId="1035">
    <w:name w:val="Char2 Char Char Char Char Char Char Char Char Char1"/>
    <w:basedOn w:val="1"/>
    <w:next w:val="1"/>
    <w:qFormat/>
    <w:uiPriority w:val="0"/>
    <w:pPr>
      <w:spacing w:line="360" w:lineRule="auto"/>
      <w:ind w:firstLine="200" w:firstLineChars="200"/>
    </w:pPr>
    <w:rPr>
      <w:rFonts w:ascii="宋体" w:hAnsi="宋体" w:cs="宋体"/>
      <w:sz w:val="24"/>
      <w:szCs w:val="24"/>
    </w:rPr>
  </w:style>
  <w:style w:type="paragraph" w:customStyle="1" w:styleId="1036">
    <w:name w:val="样式 标题 3 + 段前: 0.25 行 段后: 0.25 行"/>
    <w:basedOn w:val="5"/>
    <w:qFormat/>
    <w:uiPriority w:val="0"/>
    <w:pPr>
      <w:spacing w:before="60" w:after="60" w:line="500" w:lineRule="exact"/>
    </w:pPr>
    <w:rPr>
      <w:rFonts w:ascii="黑体" w:eastAsia="黑体"/>
      <w:bCs/>
      <w:sz w:val="24"/>
      <w:szCs w:val="20"/>
    </w:rPr>
  </w:style>
  <w:style w:type="paragraph" w:customStyle="1" w:styleId="1037">
    <w:name w:val="xl44"/>
    <w:basedOn w:val="1"/>
    <w:qFormat/>
    <w:uiPriority w:val="0"/>
    <w:pPr>
      <w:widowControl/>
      <w:pBdr>
        <w:right w:val="single" w:color="auto" w:sz="4" w:space="0"/>
      </w:pBdr>
      <w:snapToGrid w:val="0"/>
      <w:spacing w:before="100" w:after="100" w:line="360" w:lineRule="auto"/>
      <w:jc w:val="center"/>
    </w:pPr>
    <w:rPr>
      <w:rFonts w:ascii="宋体" w:hAnsi="宋体"/>
      <w:kern w:val="0"/>
      <w:sz w:val="28"/>
      <w:szCs w:val="20"/>
    </w:rPr>
  </w:style>
  <w:style w:type="paragraph" w:customStyle="1" w:styleId="1038">
    <w:name w:val="目录2"/>
    <w:basedOn w:val="1"/>
    <w:next w:val="1"/>
    <w:qFormat/>
    <w:uiPriority w:val="0"/>
    <w:pPr>
      <w:widowControl/>
      <w:tabs>
        <w:tab w:val="left" w:leader="dot" w:pos="8503"/>
      </w:tabs>
      <w:spacing w:line="317" w:lineRule="atLeast"/>
      <w:ind w:left="419" w:firstLine="419"/>
      <w:textAlignment w:val="baseline"/>
    </w:pPr>
    <w:rPr>
      <w:color w:val="000000"/>
      <w:kern w:val="0"/>
      <w:szCs w:val="20"/>
      <w:u w:color="000000"/>
    </w:rPr>
  </w:style>
  <w:style w:type="paragraph" w:customStyle="1" w:styleId="1039">
    <w:name w:val="xl10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104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b/>
      <w:bCs/>
      <w:kern w:val="0"/>
      <w:sz w:val="24"/>
      <w:szCs w:val="24"/>
    </w:rPr>
  </w:style>
  <w:style w:type="paragraph" w:customStyle="1" w:styleId="1041">
    <w:name w:val="表格2"/>
    <w:basedOn w:val="1"/>
    <w:link w:val="1934"/>
    <w:qFormat/>
    <w:uiPriority w:val="0"/>
    <w:pPr>
      <w:jc w:val="center"/>
    </w:pPr>
    <w:rPr>
      <w:color w:val="000000"/>
      <w:szCs w:val="20"/>
    </w:rPr>
  </w:style>
  <w:style w:type="paragraph" w:customStyle="1" w:styleId="1042">
    <w:name w:val="xl4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043">
    <w:name w:val="样式 正文文本缩进 3 + 黑色 首行缩进:  0.72 厘米 段前: 9 磅"/>
    <w:basedOn w:val="1"/>
    <w:qFormat/>
    <w:uiPriority w:val="0"/>
    <w:pPr>
      <w:adjustRightInd w:val="0"/>
      <w:spacing w:before="120" w:line="360" w:lineRule="exact"/>
      <w:jc w:val="center"/>
    </w:pPr>
    <w:rPr>
      <w:rFonts w:cs="宋体"/>
      <w:b/>
      <w:bCs/>
      <w:color w:val="000000"/>
      <w:kern w:val="0"/>
      <w:sz w:val="24"/>
      <w:szCs w:val="24"/>
    </w:rPr>
  </w:style>
  <w:style w:type="paragraph" w:customStyle="1" w:styleId="1044">
    <w:name w:val="环保章标题"/>
    <w:basedOn w:val="5"/>
    <w:qFormat/>
    <w:uiPriority w:val="0"/>
    <w:pPr>
      <w:adjustRightInd w:val="0"/>
      <w:spacing w:line="416" w:lineRule="atLeast"/>
      <w:ind w:firstLine="200" w:firstLineChars="200"/>
      <w:jc w:val="left"/>
      <w:textAlignment w:val="baseline"/>
    </w:pPr>
    <w:rPr>
      <w:b/>
      <w:szCs w:val="28"/>
    </w:rPr>
  </w:style>
  <w:style w:type="paragraph" w:customStyle="1" w:styleId="1045">
    <w:name w:val="图表名称"/>
    <w:basedOn w:val="1"/>
    <w:qFormat/>
    <w:uiPriority w:val="0"/>
    <w:pPr>
      <w:autoSpaceDE w:val="0"/>
      <w:autoSpaceDN w:val="0"/>
      <w:adjustRightInd w:val="0"/>
      <w:snapToGrid w:val="0"/>
      <w:spacing w:beforeLines="50" w:afterLines="50" w:line="360" w:lineRule="auto"/>
      <w:ind w:firstLine="2933" w:firstLineChars="1490"/>
      <w:jc w:val="left"/>
      <w:textAlignment w:val="baseline"/>
    </w:pPr>
    <w:rPr>
      <w:rFonts w:ascii="宋体" w:hAnsi="宋体"/>
      <w:b/>
      <w:bCs/>
      <w:kern w:val="0"/>
      <w:szCs w:val="20"/>
    </w:rPr>
  </w:style>
  <w:style w:type="paragraph" w:customStyle="1" w:styleId="1046">
    <w:name w:val="xl99"/>
    <w:basedOn w:val="1"/>
    <w:qFormat/>
    <w:uiPriority w:val="0"/>
    <w:pPr>
      <w:widowControl/>
      <w:pBdr>
        <w:top w:val="single" w:color="auto" w:sz="4" w:space="0"/>
        <w:bottom w:val="single" w:color="auto" w:sz="8" w:space="0"/>
      </w:pBdr>
      <w:shd w:val="clear" w:color="auto" w:fill="FFCC99"/>
      <w:spacing w:before="100" w:beforeAutospacing="1" w:after="100" w:afterAutospacing="1"/>
      <w:jc w:val="center"/>
    </w:pPr>
    <w:rPr>
      <w:rFonts w:ascii="Arial Unicode MS" w:hAnsi="Arial Unicode MS"/>
      <w:kern w:val="0"/>
      <w:sz w:val="20"/>
      <w:szCs w:val="20"/>
    </w:rPr>
  </w:style>
  <w:style w:type="paragraph" w:customStyle="1" w:styleId="1047">
    <w:name w:val="正文 + 宋体"/>
    <w:basedOn w:val="1"/>
    <w:qFormat/>
    <w:uiPriority w:val="0"/>
    <w:pPr>
      <w:adjustRightInd w:val="0"/>
      <w:spacing w:line="520" w:lineRule="exact"/>
      <w:ind w:firstLine="200" w:firstLineChars="200"/>
      <w:jc w:val="left"/>
      <w:textAlignment w:val="baseline"/>
    </w:pPr>
    <w:rPr>
      <w:rFonts w:ascii="宋体" w:hAnsi="宋体" w:cs="宋体"/>
      <w:kern w:val="0"/>
      <w:sz w:val="24"/>
      <w:szCs w:val="24"/>
    </w:rPr>
  </w:style>
  <w:style w:type="paragraph" w:customStyle="1" w:styleId="1048">
    <w:name w:val="xl340"/>
    <w:basedOn w:val="1"/>
    <w:qFormat/>
    <w:uiPriority w:val="0"/>
    <w:pPr>
      <w:widowControl/>
      <w:snapToGrid w:val="0"/>
      <w:spacing w:before="100" w:after="100" w:line="360" w:lineRule="auto"/>
      <w:ind w:firstLine="590" w:firstLineChars="200"/>
      <w:textAlignment w:val="center"/>
    </w:pPr>
    <w:rPr>
      <w:rFonts w:ascii="宋体" w:hAnsi="宋体"/>
      <w:kern w:val="0"/>
      <w:sz w:val="28"/>
      <w:szCs w:val="20"/>
    </w:rPr>
  </w:style>
  <w:style w:type="paragraph" w:customStyle="1" w:styleId="1049">
    <w:name w:val="reader-word-layer reader-word-s55-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50">
    <w:name w:val="5"/>
    <w:basedOn w:val="1"/>
    <w:next w:val="19"/>
    <w:qFormat/>
    <w:uiPriority w:val="0"/>
    <w:pPr>
      <w:spacing w:line="360" w:lineRule="auto"/>
      <w:ind w:firstLine="200" w:firstLineChars="200"/>
    </w:pPr>
    <w:rPr>
      <w:sz w:val="24"/>
      <w:szCs w:val="20"/>
    </w:rPr>
  </w:style>
  <w:style w:type="paragraph" w:customStyle="1" w:styleId="1051">
    <w:name w:val="xl11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1052">
    <w:name w:val="xl40"/>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053">
    <w:name w:val="xl129"/>
    <w:basedOn w:val="1"/>
    <w:qFormat/>
    <w:uiPriority w:val="0"/>
    <w:pPr>
      <w:widowControl/>
      <w:pBdr>
        <w:top w:val="single" w:color="auto" w:sz="8" w:space="0"/>
        <w:bottom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1054">
    <w:name w:val="样式 正文缩进正文（首行缩进两字） + 段后: 0.1 行"/>
    <w:basedOn w:val="1"/>
    <w:semiHidden/>
    <w:qFormat/>
    <w:uiPriority w:val="0"/>
    <w:pPr>
      <w:widowControl/>
      <w:spacing w:beforeLines="50" w:line="400" w:lineRule="exact"/>
      <w:ind w:firstLine="480" w:firstLineChars="200"/>
    </w:pPr>
    <w:rPr>
      <w:rFonts w:ascii="仿宋_GB2312" w:hAnsi="宋体" w:eastAsia="仿宋_GB2312" w:cs="Arial"/>
      <w:color w:val="000000"/>
      <w:kern w:val="0"/>
      <w:sz w:val="24"/>
      <w:szCs w:val="20"/>
      <w:lang w:val="zh-CN"/>
    </w:rPr>
  </w:style>
  <w:style w:type="paragraph" w:customStyle="1" w:styleId="1055">
    <w:name w:val="BBT"/>
    <w:basedOn w:val="1"/>
    <w:qFormat/>
    <w:uiPriority w:val="0"/>
    <w:pPr>
      <w:adjustRightInd w:val="0"/>
      <w:snapToGrid w:val="0"/>
      <w:spacing w:before="50" w:beforeLines="50" w:after="50" w:afterLines="50"/>
      <w:jc w:val="center"/>
    </w:pPr>
    <w:rPr>
      <w:rFonts w:ascii="宋体" w:hAnsi="宋体" w:eastAsia="黑体"/>
      <w:spacing w:val="6"/>
      <w:sz w:val="24"/>
      <w:szCs w:val="20"/>
    </w:rPr>
  </w:style>
  <w:style w:type="paragraph" w:customStyle="1" w:styleId="1056">
    <w:name w:val="7"/>
    <w:basedOn w:val="1"/>
    <w:next w:val="19"/>
    <w:qFormat/>
    <w:uiPriority w:val="0"/>
    <w:pPr>
      <w:ind w:firstLine="420"/>
    </w:pPr>
    <w:rPr>
      <w:szCs w:val="20"/>
    </w:rPr>
  </w:style>
  <w:style w:type="paragraph" w:customStyle="1" w:styleId="1057">
    <w:name w:val="xl113"/>
    <w:basedOn w:val="1"/>
    <w:qFormat/>
    <w:uiPriority w:val="0"/>
    <w:pPr>
      <w:widowControl/>
      <w:pBdr>
        <w:top w:val="single" w:color="auto" w:sz="4" w:space="0"/>
        <w:left w:val="single" w:color="auto" w:sz="4" w:space="0"/>
        <w:bottom w:val="single" w:color="auto" w:sz="8" w:space="0"/>
      </w:pBdr>
      <w:spacing w:before="100" w:beforeAutospacing="1" w:after="100" w:afterAutospacing="1"/>
      <w:jc w:val="right"/>
    </w:pPr>
    <w:rPr>
      <w:rFonts w:ascii="Arial Unicode MS" w:hAnsi="Arial Unicode MS"/>
      <w:kern w:val="0"/>
      <w:sz w:val="20"/>
      <w:szCs w:val="20"/>
    </w:rPr>
  </w:style>
  <w:style w:type="paragraph" w:customStyle="1" w:styleId="1058">
    <w:name w:val="表5号字"/>
    <w:qFormat/>
    <w:uiPriority w:val="0"/>
    <w:pPr>
      <w:keepNext/>
      <w:widowControl w:val="0"/>
      <w:adjustRightInd w:val="0"/>
      <w:spacing w:before="120" w:line="60" w:lineRule="atLeast"/>
      <w:jc w:val="center"/>
    </w:pPr>
    <w:rPr>
      <w:rFonts w:ascii="Times New Roman" w:hAnsi="Times New Roman" w:eastAsia="宋体" w:cs="Times New Roman"/>
      <w:sz w:val="21"/>
      <w:lang w:val="en-US" w:eastAsia="zh-CN" w:bidi="ar-SA"/>
    </w:rPr>
  </w:style>
  <w:style w:type="paragraph" w:customStyle="1" w:styleId="1059">
    <w:name w:val="xl3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kern w:val="0"/>
      <w:sz w:val="18"/>
      <w:szCs w:val="18"/>
    </w:rPr>
  </w:style>
  <w:style w:type="paragraph" w:customStyle="1" w:styleId="1060">
    <w:name w:val="wg"/>
    <w:basedOn w:val="1"/>
    <w:qFormat/>
    <w:uiPriority w:val="0"/>
    <w:rPr>
      <w:sz w:val="28"/>
      <w:szCs w:val="20"/>
    </w:rPr>
  </w:style>
  <w:style w:type="paragraph" w:customStyle="1" w:styleId="1061">
    <w:name w:val="样式 首行缩进:  2 字符1"/>
    <w:basedOn w:val="1"/>
    <w:qFormat/>
    <w:uiPriority w:val="0"/>
    <w:pPr>
      <w:spacing w:before="120" w:line="400" w:lineRule="exact"/>
      <w:ind w:firstLine="200" w:firstLineChars="200"/>
    </w:pPr>
    <w:rPr>
      <w:sz w:val="28"/>
      <w:szCs w:val="20"/>
    </w:rPr>
  </w:style>
  <w:style w:type="paragraph" w:customStyle="1" w:styleId="1062">
    <w:name w:val="表格_dg"/>
    <w:basedOn w:val="1"/>
    <w:qFormat/>
    <w:uiPriority w:val="0"/>
    <w:pPr>
      <w:adjustRightInd w:val="0"/>
      <w:spacing w:line="360" w:lineRule="exact"/>
      <w:jc w:val="center"/>
      <w:textAlignment w:val="center"/>
    </w:pPr>
    <w:rPr>
      <w:kern w:val="0"/>
      <w:szCs w:val="20"/>
    </w:rPr>
  </w:style>
  <w:style w:type="paragraph" w:customStyle="1" w:styleId="1063">
    <w:name w:val="正文2000"/>
    <w:basedOn w:val="1"/>
    <w:qFormat/>
    <w:uiPriority w:val="0"/>
    <w:pPr>
      <w:snapToGrid w:val="0"/>
      <w:spacing w:line="360" w:lineRule="auto"/>
      <w:ind w:firstLine="480" w:firstLineChars="200"/>
    </w:pPr>
    <w:rPr>
      <w:kern w:val="0"/>
      <w:sz w:val="24"/>
      <w:szCs w:val="20"/>
    </w:rPr>
  </w:style>
  <w:style w:type="paragraph" w:customStyle="1" w:styleId="1064">
    <w:name w:val="样式 首行缩进:  2 字符 行距: 固定值 15 磅"/>
    <w:basedOn w:val="1"/>
    <w:qFormat/>
    <w:uiPriority w:val="0"/>
    <w:pPr>
      <w:spacing w:line="400" w:lineRule="exact"/>
      <w:ind w:firstLine="560" w:firstLineChars="200"/>
    </w:pPr>
    <w:rPr>
      <w:sz w:val="28"/>
      <w:szCs w:val="28"/>
    </w:rPr>
  </w:style>
  <w:style w:type="paragraph" w:customStyle="1" w:styleId="1065">
    <w:name w:val="普通(网站)1"/>
    <w:basedOn w:val="1"/>
    <w:qFormat/>
    <w:uiPriority w:val="0"/>
    <w:pPr>
      <w:widowControl/>
      <w:spacing w:before="100" w:beforeAutospacing="1" w:after="100" w:afterAutospacing="1"/>
      <w:jc w:val="left"/>
    </w:pPr>
    <w:rPr>
      <w:rFonts w:ascii="宋体" w:hAnsi="宋体"/>
      <w:sz w:val="24"/>
      <w:szCs w:val="20"/>
    </w:rPr>
  </w:style>
  <w:style w:type="paragraph" w:customStyle="1" w:styleId="1066">
    <w:name w:val="样式 五号 居中 行距: 单倍行距"/>
    <w:basedOn w:val="1"/>
    <w:qFormat/>
    <w:uiPriority w:val="0"/>
    <w:pPr>
      <w:adjustRightInd w:val="0"/>
      <w:snapToGrid w:val="0"/>
      <w:jc w:val="center"/>
    </w:pPr>
    <w:rPr>
      <w:rFonts w:cs="宋体"/>
      <w:kern w:val="0"/>
      <w:szCs w:val="21"/>
    </w:rPr>
  </w:style>
  <w:style w:type="paragraph" w:customStyle="1" w:styleId="1067">
    <w:name w:val="标题 3 + 行距: 正文"/>
    <w:basedOn w:val="5"/>
    <w:qFormat/>
    <w:uiPriority w:val="0"/>
    <w:pPr>
      <w:spacing w:line="360" w:lineRule="auto"/>
    </w:pPr>
    <w:rPr>
      <w:b/>
    </w:rPr>
  </w:style>
  <w:style w:type="paragraph" w:customStyle="1" w:styleId="1068">
    <w:name w:val="图表"/>
    <w:basedOn w:val="1"/>
    <w:qFormat/>
    <w:uiPriority w:val="0"/>
    <w:pPr>
      <w:spacing w:line="400" w:lineRule="exact"/>
      <w:jc w:val="center"/>
    </w:pPr>
    <w:rPr>
      <w:kern w:val="0"/>
      <w:szCs w:val="24"/>
    </w:rPr>
  </w:style>
  <w:style w:type="paragraph" w:customStyle="1" w:styleId="1069">
    <w:name w:val="样式110"/>
    <w:basedOn w:val="1"/>
    <w:qFormat/>
    <w:uiPriority w:val="0"/>
    <w:pPr>
      <w:adjustRightInd w:val="0"/>
      <w:spacing w:line="300" w:lineRule="exact"/>
      <w:jc w:val="center"/>
    </w:pPr>
    <w:rPr>
      <w:rFonts w:eastAsia="仿宋_GB2312"/>
      <w:bCs/>
      <w:color w:val="000000"/>
      <w:kern w:val="0"/>
      <w:szCs w:val="21"/>
    </w:rPr>
  </w:style>
  <w:style w:type="paragraph" w:customStyle="1" w:styleId="1070">
    <w:name w:val="xl11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071">
    <w:name w:val="Char Char Char Char Char Char Char Char Char Char Char Char Char Char Char2 Char"/>
    <w:basedOn w:val="1"/>
    <w:qFormat/>
    <w:uiPriority w:val="0"/>
    <w:rPr>
      <w:rFonts w:ascii="仿宋_GB2312" w:eastAsia="仿宋_GB2312"/>
      <w:b/>
      <w:sz w:val="32"/>
      <w:szCs w:val="32"/>
    </w:rPr>
  </w:style>
  <w:style w:type="paragraph" w:customStyle="1" w:styleId="1072">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073">
    <w:name w:val="样式 样式 正文文本缩进 2 + 黑色 + 宋体"/>
    <w:basedOn w:val="340"/>
    <w:qFormat/>
    <w:uiPriority w:val="0"/>
  </w:style>
  <w:style w:type="paragraph" w:customStyle="1" w:styleId="1074">
    <w:name w:val="xl103"/>
    <w:basedOn w:val="1"/>
    <w:qFormat/>
    <w:uiPriority w:val="0"/>
    <w:pPr>
      <w:widowControl/>
      <w:pBdr>
        <w:top w:val="single" w:color="auto" w:sz="4" w:space="0"/>
        <w:bottom w:val="single" w:color="auto" w:sz="8" w:space="0"/>
        <w:right w:val="single" w:color="auto" w:sz="4" w:space="0"/>
      </w:pBdr>
      <w:shd w:val="clear" w:color="auto" w:fill="FFFF00"/>
      <w:spacing w:before="100" w:beforeAutospacing="1" w:after="100" w:afterAutospacing="1"/>
      <w:jc w:val="left"/>
    </w:pPr>
    <w:rPr>
      <w:rFonts w:ascii="Arial Unicode MS" w:hAnsi="Arial Unicode MS"/>
      <w:kern w:val="0"/>
      <w:sz w:val="20"/>
      <w:szCs w:val="20"/>
    </w:rPr>
  </w:style>
  <w:style w:type="paragraph" w:customStyle="1" w:styleId="1075">
    <w:name w:val="表格字"/>
    <w:basedOn w:val="1"/>
    <w:qFormat/>
    <w:uiPriority w:val="0"/>
    <w:pPr>
      <w:spacing w:line="300" w:lineRule="atLeast"/>
      <w:jc w:val="center"/>
    </w:pPr>
    <w:rPr>
      <w:rFonts w:ascii="宋体" w:hAnsi="宋体"/>
      <w:szCs w:val="24"/>
    </w:rPr>
  </w:style>
  <w:style w:type="paragraph" w:customStyle="1" w:styleId="1076">
    <w:name w:val="表格1 Char"/>
    <w:basedOn w:val="1"/>
    <w:qFormat/>
    <w:uiPriority w:val="0"/>
    <w:pPr>
      <w:adjustRightInd w:val="0"/>
      <w:spacing w:line="360" w:lineRule="atLeast"/>
      <w:jc w:val="center"/>
    </w:pPr>
    <w:rPr>
      <w:rFonts w:ascii="CG Times (WN)"/>
      <w:b/>
      <w:kern w:val="0"/>
      <w:sz w:val="24"/>
      <w:szCs w:val="20"/>
    </w:rPr>
  </w:style>
  <w:style w:type="paragraph" w:customStyle="1" w:styleId="1077">
    <w:name w:val="font0"/>
    <w:basedOn w:val="1"/>
    <w:qFormat/>
    <w:uiPriority w:val="0"/>
    <w:pPr>
      <w:widowControl/>
      <w:spacing w:before="100" w:beforeAutospacing="1" w:after="100" w:afterAutospacing="1"/>
      <w:jc w:val="left"/>
    </w:pPr>
    <w:rPr>
      <w:rFonts w:hint="eastAsia" w:ascii="宋体" w:hAnsi="宋体"/>
      <w:kern w:val="0"/>
      <w:sz w:val="24"/>
      <w:szCs w:val="20"/>
    </w:rPr>
  </w:style>
  <w:style w:type="paragraph" w:customStyle="1" w:styleId="1078">
    <w:name w:val="xl88"/>
    <w:basedOn w:val="1"/>
    <w:qFormat/>
    <w:uiPriority w:val="0"/>
    <w:pPr>
      <w:widowControl/>
      <w:pBdr>
        <w:bottom w:val="single" w:color="000000" w:sz="4" w:space="0"/>
        <w:right w:val="single" w:color="auto" w:sz="4" w:space="0"/>
      </w:pBdr>
      <w:spacing w:before="100" w:beforeAutospacing="1" w:after="100" w:afterAutospacing="1"/>
      <w:jc w:val="center"/>
    </w:pPr>
    <w:rPr>
      <w:rFonts w:ascii="Arial Unicode MS" w:hAnsi="Arial Unicode MS"/>
      <w:kern w:val="0"/>
      <w:sz w:val="22"/>
      <w:szCs w:val="20"/>
    </w:rPr>
  </w:style>
  <w:style w:type="paragraph" w:customStyle="1" w:styleId="1079">
    <w:name w:val="表号"/>
    <w:basedOn w:val="1"/>
    <w:qFormat/>
    <w:uiPriority w:val="0"/>
    <w:pPr>
      <w:ind w:firstLine="420" w:firstLineChars="200"/>
    </w:pPr>
    <w:rPr>
      <w:rFonts w:ascii="黑体"/>
      <w:snapToGrid w:val="0"/>
      <w:kern w:val="0"/>
      <w:szCs w:val="24"/>
    </w:rPr>
  </w:style>
  <w:style w:type="paragraph" w:customStyle="1" w:styleId="1080">
    <w:name w:val="样式 样式 01 + 三号 灰色-80% 居中 行距: 单倍行距 + 段前: 1 行"/>
    <w:basedOn w:val="1"/>
    <w:qFormat/>
    <w:uiPriority w:val="0"/>
    <w:pPr>
      <w:spacing w:before="100" w:beforeLines="100"/>
      <w:jc w:val="center"/>
    </w:pPr>
    <w:rPr>
      <w:rFonts w:eastAsia="黑体" w:cs="宋体"/>
      <w:b/>
      <w:bCs/>
      <w:color w:val="333333"/>
      <w:sz w:val="32"/>
      <w:szCs w:val="20"/>
    </w:rPr>
  </w:style>
  <w:style w:type="paragraph" w:customStyle="1" w:styleId="1081">
    <w:name w:val="font8"/>
    <w:basedOn w:val="1"/>
    <w:qFormat/>
    <w:uiPriority w:val="0"/>
    <w:pPr>
      <w:widowControl/>
      <w:spacing w:before="100" w:beforeAutospacing="1" w:after="100" w:afterAutospacing="1"/>
      <w:jc w:val="left"/>
    </w:pPr>
    <w:rPr>
      <w:rFonts w:hint="eastAsia" w:ascii="宋体" w:hAnsi="宋体"/>
      <w:color w:val="000000"/>
      <w:kern w:val="0"/>
      <w:sz w:val="18"/>
      <w:szCs w:val="18"/>
    </w:rPr>
  </w:style>
  <w:style w:type="paragraph" w:customStyle="1" w:styleId="1082">
    <w:name w:val="Char2"/>
    <w:basedOn w:val="1"/>
    <w:qFormat/>
    <w:uiPriority w:val="0"/>
    <w:pPr>
      <w:spacing w:line="360" w:lineRule="auto"/>
      <w:ind w:firstLine="200" w:firstLineChars="200"/>
    </w:pPr>
    <w:rPr>
      <w:rFonts w:ascii="宋体" w:hAnsi="宋体" w:cs="宋体"/>
      <w:sz w:val="28"/>
      <w:szCs w:val="24"/>
    </w:rPr>
  </w:style>
  <w:style w:type="paragraph" w:customStyle="1" w:styleId="1083">
    <w:name w:val="xl53"/>
    <w:basedOn w:val="1"/>
    <w:qFormat/>
    <w:uiPriority w:val="0"/>
    <w:pPr>
      <w:widowControl/>
      <w:spacing w:before="100" w:beforeAutospacing="1" w:after="100" w:afterAutospacing="1"/>
      <w:jc w:val="center"/>
    </w:pPr>
    <w:rPr>
      <w:kern w:val="0"/>
      <w:sz w:val="16"/>
      <w:szCs w:val="16"/>
    </w:rPr>
  </w:style>
  <w:style w:type="paragraph" w:customStyle="1" w:styleId="1084">
    <w:name w:val="!标题1(alt+1)"/>
    <w:basedOn w:val="1027"/>
    <w:next w:val="1"/>
    <w:qFormat/>
    <w:uiPriority w:val="0"/>
    <w:pPr>
      <w:spacing w:before="100" w:after="300" w:line="600" w:lineRule="exact"/>
      <w:ind w:left="482"/>
    </w:pPr>
  </w:style>
  <w:style w:type="paragraph" w:customStyle="1" w:styleId="1085">
    <w:name w:val="表题"/>
    <w:basedOn w:val="1"/>
    <w:next w:val="1"/>
    <w:link w:val="2081"/>
    <w:qFormat/>
    <w:uiPriority w:val="0"/>
    <w:pPr>
      <w:snapToGrid w:val="0"/>
      <w:jc w:val="center"/>
    </w:pPr>
    <w:rPr>
      <w:b/>
      <w:kern w:val="0"/>
      <w:sz w:val="24"/>
    </w:rPr>
  </w:style>
  <w:style w:type="paragraph" w:customStyle="1" w:styleId="1086">
    <w:name w:val="框图文字1"/>
    <w:basedOn w:val="1"/>
    <w:qFormat/>
    <w:uiPriority w:val="0"/>
    <w:pPr>
      <w:adjustRightInd w:val="0"/>
      <w:snapToGrid w:val="0"/>
      <w:spacing w:before="78"/>
      <w:jc w:val="center"/>
    </w:pPr>
    <w:rPr>
      <w:sz w:val="18"/>
      <w:szCs w:val="20"/>
    </w:rPr>
  </w:style>
  <w:style w:type="paragraph" w:customStyle="1" w:styleId="1087">
    <w:name w:val="xl69"/>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b/>
      <w:bCs/>
      <w:kern w:val="0"/>
      <w:sz w:val="16"/>
      <w:szCs w:val="16"/>
    </w:rPr>
  </w:style>
  <w:style w:type="paragraph" w:customStyle="1" w:styleId="1088">
    <w:name w:val="font6"/>
    <w:basedOn w:val="1"/>
    <w:qFormat/>
    <w:uiPriority w:val="0"/>
    <w:pPr>
      <w:widowControl/>
      <w:spacing w:before="100" w:beforeAutospacing="1" w:after="100" w:afterAutospacing="1"/>
      <w:jc w:val="left"/>
    </w:pPr>
    <w:rPr>
      <w:kern w:val="0"/>
      <w:sz w:val="18"/>
      <w:szCs w:val="18"/>
    </w:rPr>
  </w:style>
  <w:style w:type="paragraph" w:customStyle="1" w:styleId="1089">
    <w:name w:val="xl94"/>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090">
    <w:name w:val="表格文字块"/>
    <w:basedOn w:val="36"/>
    <w:qFormat/>
    <w:uiPriority w:val="0"/>
    <w:pPr>
      <w:keepNext/>
      <w:snapToGrid w:val="0"/>
      <w:spacing w:after="0"/>
      <w:ind w:left="0" w:leftChars="0" w:right="0" w:rightChars="0" w:firstLine="200" w:firstLineChars="200"/>
      <w:jc w:val="center"/>
    </w:pPr>
    <w:rPr>
      <w:rFonts w:eastAsia="楷体_GB2312"/>
      <w:snapToGrid w:val="0"/>
      <w:kern w:val="0"/>
      <w:sz w:val="24"/>
      <w:szCs w:val="20"/>
    </w:rPr>
  </w:style>
  <w:style w:type="paragraph" w:customStyle="1" w:styleId="1091">
    <w:name w:val="表内字"/>
    <w:basedOn w:val="130"/>
    <w:semiHidden/>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1092">
    <w:name w:val="样式 !正文(alt+c) + 首行缩进:  2 字符"/>
    <w:basedOn w:val="397"/>
    <w:qFormat/>
    <w:uiPriority w:val="0"/>
    <w:pPr>
      <w:spacing w:line="440" w:lineRule="exact"/>
      <w:jc w:val="left"/>
    </w:pPr>
    <w:rPr>
      <w:color w:val="000000"/>
    </w:rPr>
  </w:style>
  <w:style w:type="paragraph" w:customStyle="1" w:styleId="1093">
    <w:name w:val="xl110"/>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094">
    <w:name w:val="xl54"/>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eastAsia="Arial Unicode MS"/>
      <w:kern w:val="0"/>
      <w:sz w:val="28"/>
      <w:szCs w:val="20"/>
    </w:rPr>
  </w:style>
  <w:style w:type="paragraph" w:customStyle="1" w:styleId="1095">
    <w:name w:val="xl89"/>
    <w:basedOn w:val="1"/>
    <w:qFormat/>
    <w:uiPriority w:val="0"/>
    <w:pPr>
      <w:widowControl/>
      <w:pBdr>
        <w:bottom w:val="single" w:color="auto" w:sz="4" w:space="0"/>
      </w:pBdr>
      <w:shd w:val="clear" w:color="auto" w:fill="FFCC99"/>
      <w:spacing w:before="100" w:beforeAutospacing="1" w:after="100" w:afterAutospacing="1"/>
      <w:jc w:val="center"/>
    </w:pPr>
    <w:rPr>
      <w:rFonts w:ascii="Arial Unicode MS" w:hAnsi="Arial Unicode MS"/>
      <w:kern w:val="0"/>
      <w:sz w:val="20"/>
      <w:szCs w:val="20"/>
    </w:rPr>
  </w:style>
  <w:style w:type="paragraph" w:customStyle="1" w:styleId="1096">
    <w:name w:val="xl86"/>
    <w:basedOn w:val="1"/>
    <w:qFormat/>
    <w:uiPriority w:val="0"/>
    <w:pPr>
      <w:widowControl/>
      <w:pBdr>
        <w:top w:val="single" w:color="auto" w:sz="4" w:space="0"/>
        <w:left w:val="single" w:color="000000" w:sz="4" w:space="0"/>
        <w:bottom w:val="single" w:color="auto" w:sz="4" w:space="0"/>
      </w:pBdr>
      <w:spacing w:before="100" w:beforeAutospacing="1" w:after="100" w:afterAutospacing="1"/>
      <w:jc w:val="center"/>
    </w:pPr>
    <w:rPr>
      <w:rFonts w:ascii="Arial Unicode MS" w:hAnsi="Arial Unicode MS"/>
      <w:kern w:val="0"/>
      <w:sz w:val="22"/>
      <w:szCs w:val="20"/>
    </w:rPr>
  </w:style>
  <w:style w:type="paragraph" w:customStyle="1" w:styleId="1097">
    <w:name w:val="xl22"/>
    <w:basedOn w:val="1"/>
    <w:qFormat/>
    <w:uiPriority w:val="0"/>
    <w:pPr>
      <w:widowControl/>
      <w:pBdr>
        <w:bottom w:val="single" w:color="auto" w:sz="4" w:space="0"/>
        <w:right w:val="single" w:color="auto" w:sz="4" w:space="0"/>
      </w:pBdr>
      <w:spacing w:before="100" w:beforeAutospacing="1" w:after="100" w:afterAutospacing="1" w:line="440" w:lineRule="exact"/>
      <w:ind w:firstLine="200" w:firstLineChars="200"/>
    </w:pPr>
    <w:rPr>
      <w:rFonts w:eastAsia="Times New Roman"/>
      <w:kern w:val="0"/>
      <w:sz w:val="24"/>
      <w:szCs w:val="20"/>
    </w:rPr>
  </w:style>
  <w:style w:type="paragraph" w:customStyle="1" w:styleId="1098">
    <w:name w:val="大足正文"/>
    <w:basedOn w:val="1"/>
    <w:qFormat/>
    <w:uiPriority w:val="0"/>
    <w:pPr>
      <w:widowControl/>
      <w:wordWrap w:val="0"/>
      <w:spacing w:after="100" w:line="288" w:lineRule="auto"/>
      <w:ind w:left="350" w:leftChars="350" w:firstLine="200" w:firstLineChars="200"/>
      <w:jc w:val="left"/>
    </w:pPr>
    <w:rPr>
      <w:rFonts w:eastAsia="方正仿宋简体"/>
      <w:kern w:val="0"/>
      <w:sz w:val="24"/>
      <w:szCs w:val="24"/>
    </w:rPr>
  </w:style>
  <w:style w:type="paragraph" w:customStyle="1" w:styleId="1099">
    <w:name w:val="样式 标题 4(一)条，(一) + (西文) Arial Narrow (中文) 汉鼎简书宋"/>
    <w:basedOn w:val="6"/>
    <w:qFormat/>
    <w:uiPriority w:val="0"/>
    <w:pPr>
      <w:spacing w:line="500" w:lineRule="exact"/>
    </w:pPr>
    <w:rPr>
      <w:rFonts w:ascii="Arial Narrow" w:hAnsi="Arial Narrow" w:eastAsia="汉鼎简书宋"/>
      <w:bCs/>
      <w:color w:val="008000"/>
      <w:sz w:val="24"/>
    </w:rPr>
  </w:style>
  <w:style w:type="paragraph" w:customStyle="1" w:styleId="1100">
    <w:name w:val="Char16"/>
    <w:basedOn w:val="1"/>
    <w:next w:val="1"/>
    <w:qFormat/>
    <w:uiPriority w:val="0"/>
    <w:pPr>
      <w:spacing w:line="529" w:lineRule="exact"/>
      <w:ind w:firstLine="200" w:firstLineChars="200"/>
    </w:pPr>
    <w:rPr>
      <w:rFonts w:ascii="宋体" w:hAnsi="宋体" w:cs="宋体"/>
      <w:sz w:val="24"/>
      <w:szCs w:val="24"/>
    </w:rPr>
  </w:style>
  <w:style w:type="paragraph" w:customStyle="1" w:styleId="1101">
    <w:name w:val="Text1"/>
    <w:basedOn w:val="1"/>
    <w:qFormat/>
    <w:uiPriority w:val="0"/>
    <w:pPr>
      <w:widowControl/>
      <w:spacing w:before="240"/>
      <w:jc w:val="left"/>
    </w:pPr>
    <w:rPr>
      <w:rFonts w:ascii="L Helvetica Light" w:hAnsi="L Helvetica Light"/>
      <w:kern w:val="0"/>
      <w:szCs w:val="24"/>
      <w:lang w:val="en-AU"/>
    </w:rPr>
  </w:style>
  <w:style w:type="paragraph" w:customStyle="1" w:styleId="1102">
    <w:name w:val="分标题"/>
    <w:basedOn w:val="1"/>
    <w:next w:val="1"/>
    <w:qFormat/>
    <w:uiPriority w:val="0"/>
    <w:pPr>
      <w:widowControl/>
      <w:tabs>
        <w:tab w:val="left" w:pos="793"/>
      </w:tabs>
      <w:spacing w:before="50" w:beforeLines="50" w:line="480" w:lineRule="atLeast"/>
      <w:ind w:firstLine="560" w:firstLineChars="200"/>
    </w:pPr>
    <w:rPr>
      <w:rFonts w:ascii="宋体"/>
      <w:color w:val="000000"/>
      <w:sz w:val="28"/>
      <w:szCs w:val="20"/>
    </w:rPr>
  </w:style>
  <w:style w:type="paragraph" w:customStyle="1" w:styleId="1103">
    <w:name w:val="样式 标题 5前言 + (中文) 汉鼎简书宋"/>
    <w:basedOn w:val="7"/>
    <w:qFormat/>
    <w:uiPriority w:val="0"/>
    <w:pPr>
      <w:tabs>
        <w:tab w:val="clear" w:pos="-108"/>
      </w:tabs>
      <w:snapToGrid/>
      <w:spacing w:before="0" w:after="0" w:line="500" w:lineRule="exact"/>
      <w:ind w:left="0" w:firstLine="0" w:firstLineChars="0"/>
    </w:pPr>
    <w:rPr>
      <w:rFonts w:ascii="Arial Narrow" w:hAnsi="Arial Narrow" w:eastAsia="汉鼎简书宋"/>
      <w:b w:val="0"/>
      <w:sz w:val="24"/>
    </w:rPr>
  </w:style>
  <w:style w:type="paragraph" w:customStyle="1" w:styleId="1104">
    <w:name w:val="xl33"/>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105">
    <w:name w:val="标题1q"/>
    <w:basedOn w:val="3"/>
    <w:qFormat/>
    <w:uiPriority w:val="0"/>
    <w:pPr>
      <w:tabs>
        <w:tab w:val="left" w:pos="2322"/>
      </w:tabs>
      <w:spacing w:line="360" w:lineRule="auto"/>
      <w:ind w:left="431" w:firstLine="200" w:firstLineChars="200"/>
      <w:jc w:val="center"/>
    </w:pPr>
    <w:rPr>
      <w:rFonts w:ascii="Tahoma" w:hAnsi="Tahoma"/>
      <w:b w:val="0"/>
      <w:bCs/>
      <w:kern w:val="2"/>
      <w:sz w:val="24"/>
    </w:rPr>
  </w:style>
  <w:style w:type="paragraph" w:customStyle="1" w:styleId="1106">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107">
    <w:name w:val="表体"/>
    <w:basedOn w:val="41"/>
    <w:qFormat/>
    <w:uiPriority w:val="0"/>
    <w:pPr>
      <w:overflowPunct w:val="0"/>
      <w:adjustRightInd w:val="0"/>
      <w:spacing w:line="360" w:lineRule="auto"/>
      <w:ind w:left="-80" w:leftChars="-38" w:right="-71" w:rightChars="-34" w:firstLine="480" w:firstLineChars="200"/>
      <w:textAlignment w:val="baseline"/>
    </w:pPr>
    <w:rPr>
      <w:rFonts w:ascii="Times New Roman" w:hAnsi="Times New Roman" w:cs="Times New Roman"/>
      <w:bCs/>
      <w:kern w:val="24"/>
      <w:sz w:val="24"/>
      <w:szCs w:val="24"/>
      <w:lang w:val="en-AU"/>
    </w:rPr>
  </w:style>
  <w:style w:type="paragraph" w:customStyle="1" w:styleId="1108">
    <w:name w:val="注角"/>
    <w:basedOn w:val="1"/>
    <w:next w:val="1"/>
    <w:qFormat/>
    <w:uiPriority w:val="0"/>
    <w:pPr>
      <w:spacing w:line="340" w:lineRule="exact"/>
      <w:jc w:val="left"/>
    </w:pPr>
    <w:rPr>
      <w:szCs w:val="20"/>
    </w:rPr>
  </w:style>
  <w:style w:type="paragraph" w:customStyle="1" w:styleId="1109">
    <w:name w:val="xl125"/>
    <w:basedOn w:val="1"/>
    <w:qFormat/>
    <w:uiPriority w:val="0"/>
    <w:pPr>
      <w:widowControl/>
      <w:pBdr>
        <w:top w:val="single" w:color="auto" w:sz="4" w:space="0"/>
        <w:left w:val="single" w:color="auto" w:sz="4" w:space="0"/>
        <w:bottom w:val="single" w:color="auto" w:sz="8" w:space="0"/>
      </w:pBdr>
      <w:spacing w:before="100" w:beforeAutospacing="1" w:after="100" w:afterAutospacing="1"/>
      <w:jc w:val="center"/>
    </w:pPr>
    <w:rPr>
      <w:rFonts w:ascii="Arial Unicode MS" w:hAnsi="Arial Unicode MS"/>
      <w:kern w:val="0"/>
      <w:sz w:val="20"/>
      <w:szCs w:val="20"/>
    </w:rPr>
  </w:style>
  <w:style w:type="paragraph" w:customStyle="1" w:styleId="1110">
    <w:name w:val="xl11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111">
    <w:name w:val="正文 + Times New Roman"/>
    <w:basedOn w:val="1"/>
    <w:qFormat/>
    <w:uiPriority w:val="0"/>
    <w:pPr>
      <w:adjustRightInd w:val="0"/>
      <w:snapToGrid w:val="0"/>
      <w:spacing w:line="500" w:lineRule="exact"/>
      <w:ind w:firstLine="480" w:firstLineChars="200"/>
    </w:pPr>
    <w:rPr>
      <w:kern w:val="0"/>
      <w:sz w:val="24"/>
      <w:szCs w:val="20"/>
    </w:rPr>
  </w:style>
  <w:style w:type="paragraph" w:customStyle="1" w:styleId="1112">
    <w:name w:val="reader-word-layer reader-word-s1-2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13">
    <w:name w:val="样式 四号 行距: 1.5 倍行距 首行缩进:  2 字符1"/>
    <w:basedOn w:val="1"/>
    <w:qFormat/>
    <w:uiPriority w:val="0"/>
    <w:pPr>
      <w:spacing w:line="360" w:lineRule="auto"/>
      <w:ind w:firstLine="560" w:firstLineChars="200"/>
    </w:pPr>
    <w:rPr>
      <w:rFonts w:cs="宋体"/>
      <w:kern w:val="0"/>
      <w:sz w:val="24"/>
      <w:szCs w:val="20"/>
    </w:rPr>
  </w:style>
  <w:style w:type="paragraph" w:customStyle="1" w:styleId="1114">
    <w:name w:val="xl124"/>
    <w:basedOn w:val="1"/>
    <w:qFormat/>
    <w:uiPriority w:val="0"/>
    <w:pPr>
      <w:widowControl/>
      <w:pBdr>
        <w:top w:val="single" w:color="auto" w:sz="4" w:space="0"/>
        <w:bottom w:val="single" w:color="auto" w:sz="8" w:space="0"/>
      </w:pBdr>
      <w:spacing w:before="100" w:beforeAutospacing="1" w:after="100" w:afterAutospacing="1"/>
      <w:jc w:val="left"/>
    </w:pPr>
    <w:rPr>
      <w:rFonts w:ascii="Arial Unicode MS" w:hAnsi="Arial Unicode MS"/>
      <w:kern w:val="0"/>
      <w:sz w:val="20"/>
      <w:szCs w:val="20"/>
    </w:rPr>
  </w:style>
  <w:style w:type="paragraph" w:customStyle="1" w:styleId="1115">
    <w:name w:val="!标题3(alt+3)"/>
    <w:next w:val="1"/>
    <w:qFormat/>
    <w:uiPriority w:val="0"/>
    <w:pPr>
      <w:spacing w:before="93" w:beforeLines="30" w:after="62" w:afterLines="20" w:line="500" w:lineRule="exact"/>
      <w:outlineLvl w:val="2"/>
    </w:pPr>
    <w:rPr>
      <w:rFonts w:ascii="Times New Roman" w:hAnsi="Times New Roman" w:eastAsia="黑体" w:cs="Times New Roman"/>
      <w:kern w:val="2"/>
      <w:sz w:val="24"/>
      <w:lang w:val="en-US" w:eastAsia="zh-CN" w:bidi="ar-SA"/>
    </w:rPr>
  </w:style>
  <w:style w:type="paragraph" w:customStyle="1" w:styleId="1116">
    <w:name w:val="xl102"/>
    <w:basedOn w:val="1"/>
    <w:qFormat/>
    <w:uiPriority w:val="0"/>
    <w:pPr>
      <w:widowControl/>
      <w:pBdr>
        <w:top w:val="single" w:color="auto" w:sz="4" w:space="0"/>
        <w:bottom w:val="single" w:color="auto" w:sz="8" w:space="0"/>
      </w:pBdr>
      <w:spacing w:before="100" w:beforeAutospacing="1" w:after="100" w:afterAutospacing="1"/>
      <w:jc w:val="center"/>
    </w:pPr>
    <w:rPr>
      <w:rFonts w:ascii="Arial Unicode MS" w:hAnsi="Arial Unicode MS"/>
      <w:kern w:val="0"/>
      <w:sz w:val="20"/>
      <w:szCs w:val="20"/>
    </w:rPr>
  </w:style>
  <w:style w:type="paragraph" w:customStyle="1" w:styleId="1117">
    <w:name w:val="font"/>
    <w:basedOn w:val="1"/>
    <w:qFormat/>
    <w:uiPriority w:val="0"/>
    <w:pPr>
      <w:widowControl/>
      <w:spacing w:before="100" w:beforeAutospacing="1" w:after="100" w:afterAutospacing="1" w:line="270" w:lineRule="atLeast"/>
      <w:jc w:val="left"/>
    </w:pPr>
    <w:rPr>
      <w:rFonts w:hint="eastAsia" w:ascii="宋体" w:hAnsi="宋体"/>
      <w:kern w:val="0"/>
      <w:sz w:val="24"/>
      <w:szCs w:val="20"/>
    </w:rPr>
  </w:style>
  <w:style w:type="paragraph" w:customStyle="1" w:styleId="1118">
    <w:name w:val="xl49"/>
    <w:basedOn w:val="1"/>
    <w:qFormat/>
    <w:uiPriority w:val="0"/>
    <w:pPr>
      <w:widowControl/>
      <w:pBdr>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119">
    <w:name w:val="样式 样式 小四 段前: 7.8 磅 段后: 7.8 磅 行距: 1.5 倍行距 + 首行缩进:  2 字符"/>
    <w:basedOn w:val="1"/>
    <w:qFormat/>
    <w:uiPriority w:val="0"/>
    <w:pPr>
      <w:tabs>
        <w:tab w:val="left" w:pos="3720"/>
      </w:tabs>
      <w:autoSpaceDE w:val="0"/>
      <w:autoSpaceDN w:val="0"/>
      <w:adjustRightInd w:val="0"/>
      <w:snapToGrid w:val="0"/>
      <w:spacing w:line="360" w:lineRule="auto"/>
      <w:textAlignment w:val="bottom"/>
    </w:pPr>
    <w:rPr>
      <w:sz w:val="24"/>
      <w:szCs w:val="24"/>
    </w:rPr>
  </w:style>
  <w:style w:type="paragraph" w:customStyle="1" w:styleId="1120">
    <w:name w:val="xl38"/>
    <w:basedOn w:val="1"/>
    <w:qFormat/>
    <w:uiPriority w:val="0"/>
    <w:pPr>
      <w:widowControl/>
      <w:pBdr>
        <w:top w:val="single" w:color="auto" w:sz="4" w:space="0"/>
        <w:left w:val="single" w:color="auto" w:sz="4" w:space="0"/>
        <w:bottom w:val="single" w:color="auto" w:sz="4" w:space="0"/>
        <w:right w:val="single" w:color="auto" w:sz="8" w:space="0"/>
      </w:pBdr>
      <w:shd w:val="clear" w:color="auto" w:fill="FFFF00"/>
      <w:spacing w:before="100" w:beforeAutospacing="1" w:after="100" w:afterAutospacing="1"/>
      <w:jc w:val="center"/>
      <w:textAlignment w:val="center"/>
    </w:pPr>
    <w:rPr>
      <w:rFonts w:ascii="Arial Unicode MS" w:hAnsi="Arial Unicode MS"/>
      <w:kern w:val="0"/>
      <w:sz w:val="18"/>
      <w:szCs w:val="18"/>
    </w:rPr>
  </w:style>
  <w:style w:type="paragraph" w:customStyle="1" w:styleId="1121">
    <w:name w:val="Char5"/>
    <w:basedOn w:val="23"/>
    <w:qFormat/>
    <w:uiPriority w:val="0"/>
    <w:pPr>
      <w:shd w:val="clear" w:color="auto" w:fill="000080"/>
      <w:adjustRightInd w:val="0"/>
      <w:jc w:val="left"/>
      <w:outlineLvl w:val="3"/>
    </w:pPr>
    <w:rPr>
      <w:rFonts w:ascii="Tahoma" w:hAnsi="Tahoma"/>
      <w:b/>
      <w:szCs w:val="28"/>
    </w:rPr>
  </w:style>
  <w:style w:type="paragraph" w:customStyle="1" w:styleId="1122">
    <w:name w:val="!标题2(alt+2)"/>
    <w:next w:val="1"/>
    <w:qFormat/>
    <w:uiPriority w:val="0"/>
    <w:pPr>
      <w:spacing w:before="40" w:after="120" w:line="500" w:lineRule="exact"/>
      <w:outlineLvl w:val="1"/>
    </w:pPr>
    <w:rPr>
      <w:rFonts w:ascii="Times New Roman" w:hAnsi="Times New Roman" w:eastAsia="宋体" w:cs="Times New Roman"/>
      <w:kern w:val="2"/>
      <w:sz w:val="30"/>
      <w:lang w:val="en-US" w:eastAsia="zh-CN" w:bidi="ar-SA"/>
    </w:rPr>
  </w:style>
  <w:style w:type="paragraph" w:customStyle="1" w:styleId="1123">
    <w:name w:val="xl10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124">
    <w:name w:val="xl3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kern w:val="0"/>
      <w:szCs w:val="21"/>
    </w:rPr>
  </w:style>
  <w:style w:type="paragraph" w:customStyle="1" w:styleId="1125">
    <w:name w:val="表头样式"/>
    <w:basedOn w:val="1"/>
    <w:qFormat/>
    <w:uiPriority w:val="0"/>
    <w:pPr>
      <w:spacing w:beforeLines="30" w:afterLines="20"/>
      <w:jc w:val="center"/>
    </w:pPr>
    <w:rPr>
      <w:rFonts w:eastAsia="黑体"/>
      <w:sz w:val="28"/>
      <w:szCs w:val="24"/>
    </w:rPr>
  </w:style>
  <w:style w:type="paragraph" w:customStyle="1" w:styleId="1126">
    <w:name w:val="Char Char Char Char1"/>
    <w:basedOn w:val="1"/>
    <w:qFormat/>
    <w:uiPriority w:val="0"/>
    <w:pPr>
      <w:adjustRightInd w:val="0"/>
      <w:snapToGrid w:val="0"/>
      <w:spacing w:line="360" w:lineRule="auto"/>
      <w:ind w:firstLine="200" w:firstLineChars="200"/>
      <w:jc w:val="left"/>
    </w:pPr>
    <w:rPr>
      <w:rFonts w:ascii="仿宋_GB2312" w:hAnsi="仿宋_GB2312" w:eastAsia="仿宋_GB2312"/>
      <w:sz w:val="24"/>
      <w:szCs w:val="20"/>
    </w:rPr>
  </w:style>
  <w:style w:type="paragraph" w:customStyle="1" w:styleId="1127">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ascii="Arial Unicode MS" w:hAnsi="Arial Unicode MS"/>
      <w:kern w:val="0"/>
      <w:sz w:val="18"/>
      <w:szCs w:val="18"/>
    </w:rPr>
  </w:style>
  <w:style w:type="paragraph" w:customStyle="1" w:styleId="1128">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16"/>
      <w:szCs w:val="16"/>
    </w:rPr>
  </w:style>
  <w:style w:type="paragraph" w:customStyle="1" w:styleId="1129">
    <w:name w:val="正式文本"/>
    <w:basedOn w:val="1"/>
    <w:qFormat/>
    <w:uiPriority w:val="0"/>
    <w:pPr>
      <w:spacing w:line="500" w:lineRule="exact"/>
      <w:ind w:firstLine="200" w:firstLineChars="200"/>
    </w:pPr>
    <w:rPr>
      <w:rFonts w:ascii="Arial Narrow" w:hAnsi="Arial Narrow" w:eastAsia="汉鼎简书宋"/>
      <w:sz w:val="24"/>
      <w:szCs w:val="24"/>
    </w:rPr>
  </w:style>
  <w:style w:type="paragraph" w:customStyle="1" w:styleId="1130">
    <w:name w:val="Char51"/>
    <w:basedOn w:val="23"/>
    <w:qFormat/>
    <w:uiPriority w:val="0"/>
    <w:pPr>
      <w:shd w:val="clear" w:color="auto" w:fill="000080"/>
      <w:adjustRightInd w:val="0"/>
      <w:spacing w:line="436" w:lineRule="exact"/>
      <w:ind w:left="357"/>
      <w:jc w:val="left"/>
      <w:outlineLvl w:val="3"/>
    </w:pPr>
    <w:rPr>
      <w:rFonts w:ascii="Tahoma" w:hAnsi="Tahoma"/>
      <w:b/>
      <w:sz w:val="24"/>
      <w:szCs w:val="28"/>
    </w:rPr>
  </w:style>
  <w:style w:type="paragraph" w:customStyle="1" w:styleId="1131">
    <w:name w:val="Char Char Char Char Char Char Char Char Char Char6"/>
    <w:basedOn w:val="1"/>
    <w:qFormat/>
    <w:uiPriority w:val="0"/>
    <w:pPr>
      <w:tabs>
        <w:tab w:val="left" w:pos="1701"/>
      </w:tabs>
    </w:pPr>
    <w:rPr>
      <w:rFonts w:ascii="宋体" w:hAnsi="宋体" w:cs="宋体"/>
      <w:color w:val="000000"/>
      <w:szCs w:val="21"/>
    </w:rPr>
  </w:style>
  <w:style w:type="paragraph" w:customStyle="1" w:styleId="1132">
    <w:name w:val="默认段落"/>
    <w:basedOn w:val="1"/>
    <w:qFormat/>
    <w:uiPriority w:val="0"/>
    <w:pPr>
      <w:spacing w:line="460" w:lineRule="exact"/>
      <w:ind w:firstLine="480" w:firstLineChars="200"/>
      <w:jc w:val="left"/>
    </w:pPr>
    <w:rPr>
      <w:rFonts w:ascii="宋体" w:hAnsi="宋体" w:cs="宋体"/>
      <w:kern w:val="0"/>
      <w:sz w:val="24"/>
      <w:szCs w:val="20"/>
    </w:rPr>
  </w:style>
  <w:style w:type="paragraph" w:customStyle="1" w:styleId="1133">
    <w:name w:val="xl100"/>
    <w:basedOn w:val="1"/>
    <w:qFormat/>
    <w:uiPriority w:val="0"/>
    <w:pPr>
      <w:widowControl/>
      <w:pBdr>
        <w:top w:val="single" w:color="auto" w:sz="4" w:space="0"/>
        <w:left w:val="single" w:color="auto" w:sz="4" w:space="0"/>
        <w:bottom w:val="single" w:color="auto" w:sz="8" w:space="0"/>
      </w:pBdr>
      <w:shd w:val="clear" w:color="auto" w:fill="FFFF00"/>
      <w:spacing w:before="100" w:beforeAutospacing="1" w:after="100" w:afterAutospacing="1"/>
      <w:jc w:val="right"/>
    </w:pPr>
    <w:rPr>
      <w:rFonts w:ascii="Arial Unicode MS" w:hAnsi="Arial Unicode MS"/>
      <w:kern w:val="0"/>
      <w:sz w:val="20"/>
      <w:szCs w:val="20"/>
    </w:rPr>
  </w:style>
  <w:style w:type="paragraph" w:customStyle="1" w:styleId="1134">
    <w:name w:val="!表标题(alt+h)"/>
    <w:next w:val="1"/>
    <w:qFormat/>
    <w:uiPriority w:val="0"/>
    <w:pPr>
      <w:spacing w:before="120" w:after="80" w:line="360" w:lineRule="exact"/>
      <w:jc w:val="center"/>
      <w:outlineLvl w:val="4"/>
    </w:pPr>
    <w:rPr>
      <w:rFonts w:ascii="Times New Roman" w:hAnsi="Times New Roman" w:eastAsia="黑体" w:cs="Times New Roman"/>
      <w:sz w:val="24"/>
      <w:lang w:val="en-US" w:eastAsia="zh-CN" w:bidi="ar-SA"/>
    </w:rPr>
  </w:style>
  <w:style w:type="paragraph" w:customStyle="1" w:styleId="1135">
    <w:name w:val="reader-word-layer reader-word-s1-1 reader-word-s1-5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36">
    <w:name w:val="_Style 527"/>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37">
    <w:name w:val="xl101"/>
    <w:basedOn w:val="1"/>
    <w:qFormat/>
    <w:uiPriority w:val="0"/>
    <w:pPr>
      <w:widowControl/>
      <w:pBdr>
        <w:top w:val="single" w:color="auto" w:sz="4" w:space="0"/>
        <w:left w:val="single" w:color="auto" w:sz="4" w:space="0"/>
        <w:bottom w:val="single" w:color="auto" w:sz="8" w:space="0"/>
      </w:pBdr>
      <w:spacing w:before="100" w:beforeAutospacing="1" w:after="100" w:afterAutospacing="1"/>
      <w:jc w:val="right"/>
    </w:pPr>
    <w:rPr>
      <w:rFonts w:ascii="Arial Unicode MS" w:hAnsi="Arial Unicode MS"/>
      <w:kern w:val="0"/>
      <w:sz w:val="20"/>
      <w:szCs w:val="20"/>
    </w:rPr>
  </w:style>
  <w:style w:type="paragraph" w:customStyle="1" w:styleId="1138">
    <w:name w:val="xl39"/>
    <w:basedOn w:val="1"/>
    <w:qFormat/>
    <w:uiPriority w:val="0"/>
    <w:pPr>
      <w:widowControl/>
      <w:pBdr>
        <w:top w:val="single" w:color="auto" w:sz="4" w:space="0"/>
        <w:left w:val="single" w:color="auto" w:sz="8" w:space="0"/>
        <w:bottom w:val="single" w:color="auto" w:sz="4" w:space="0"/>
        <w:right w:val="single" w:color="auto" w:sz="4" w:space="0"/>
      </w:pBdr>
      <w:shd w:val="clear" w:color="auto" w:fill="FFFF00"/>
      <w:spacing w:before="100" w:beforeAutospacing="1" w:after="100" w:afterAutospacing="1"/>
      <w:jc w:val="center"/>
      <w:textAlignment w:val="center"/>
    </w:pPr>
    <w:rPr>
      <w:rFonts w:ascii="Arial Unicode MS" w:hAnsi="Arial Unicode MS"/>
      <w:kern w:val="0"/>
      <w:sz w:val="18"/>
      <w:szCs w:val="18"/>
    </w:rPr>
  </w:style>
  <w:style w:type="paragraph" w:customStyle="1" w:styleId="1139">
    <w:name w:val="目录4"/>
    <w:basedOn w:val="1"/>
    <w:next w:val="1"/>
    <w:qFormat/>
    <w:uiPriority w:val="0"/>
    <w:pPr>
      <w:widowControl/>
      <w:tabs>
        <w:tab w:val="left" w:leader="dot" w:pos="8503"/>
      </w:tabs>
      <w:spacing w:line="317" w:lineRule="atLeast"/>
      <w:ind w:left="419" w:firstLine="629"/>
      <w:textAlignment w:val="baseline"/>
    </w:pPr>
    <w:rPr>
      <w:color w:val="000000"/>
      <w:kern w:val="0"/>
      <w:szCs w:val="20"/>
      <w:u w:color="000000"/>
    </w:rPr>
  </w:style>
  <w:style w:type="paragraph" w:customStyle="1" w:styleId="1140">
    <w:name w:val="reader-word-layer reader-word-s55-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41">
    <w:name w:val="reader-word-layer reader-word-s58-2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42">
    <w:name w:val="xl47"/>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143">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kern w:val="0"/>
      <w:sz w:val="16"/>
      <w:szCs w:val="16"/>
    </w:rPr>
  </w:style>
  <w:style w:type="paragraph" w:customStyle="1" w:styleId="1144">
    <w:name w:val="table1"/>
    <w:basedOn w:val="1"/>
    <w:qFormat/>
    <w:uiPriority w:val="0"/>
    <w:pPr>
      <w:adjustRightInd w:val="0"/>
      <w:spacing w:line="240" w:lineRule="atLeast"/>
      <w:jc w:val="center"/>
      <w:textAlignment w:val="baseline"/>
    </w:pPr>
    <w:rPr>
      <w:rFonts w:eastAsia="黑体"/>
      <w:kern w:val="0"/>
      <w:sz w:val="24"/>
      <w:szCs w:val="20"/>
    </w:rPr>
  </w:style>
  <w:style w:type="paragraph" w:customStyle="1" w:styleId="1145">
    <w:name w:val="Char61"/>
    <w:basedOn w:val="1"/>
    <w:qFormat/>
    <w:uiPriority w:val="0"/>
    <w:pPr>
      <w:spacing w:line="360" w:lineRule="auto"/>
      <w:ind w:firstLine="200" w:firstLineChars="200"/>
    </w:pPr>
    <w:rPr>
      <w:rFonts w:ascii="宋体" w:hAnsi="宋体" w:cs="宋体"/>
      <w:sz w:val="28"/>
      <w:szCs w:val="24"/>
    </w:rPr>
  </w:style>
  <w:style w:type="paragraph" w:customStyle="1" w:styleId="1146">
    <w:name w:val="表文"/>
    <w:basedOn w:val="1"/>
    <w:qFormat/>
    <w:uiPriority w:val="0"/>
    <w:pPr>
      <w:overflowPunct w:val="0"/>
      <w:jc w:val="center"/>
      <w:textAlignment w:val="baseline"/>
    </w:pPr>
    <w:rPr>
      <w:sz w:val="28"/>
      <w:szCs w:val="20"/>
    </w:rPr>
  </w:style>
  <w:style w:type="paragraph" w:customStyle="1" w:styleId="1147">
    <w:name w:val="正文 首行缩进:  2 字符"/>
    <w:basedOn w:val="1"/>
    <w:qFormat/>
    <w:uiPriority w:val="0"/>
    <w:pPr>
      <w:ind w:firstLine="579" w:firstLineChars="200"/>
    </w:pPr>
    <w:rPr>
      <w:rFonts w:cs="Arial"/>
      <w:sz w:val="28"/>
      <w:szCs w:val="28"/>
    </w:rPr>
  </w:style>
  <w:style w:type="paragraph" w:customStyle="1" w:styleId="1148">
    <w:name w:val="xl108"/>
    <w:basedOn w:val="1"/>
    <w:qFormat/>
    <w:uiPriority w:val="0"/>
    <w:pPr>
      <w:widowControl/>
      <w:pBdr>
        <w:left w:val="single" w:color="auto" w:sz="4" w:space="0"/>
        <w:bottom w:val="single" w:color="auto" w:sz="4" w:space="0"/>
      </w:pBdr>
      <w:spacing w:before="100" w:beforeAutospacing="1" w:after="100" w:afterAutospacing="1"/>
      <w:jc w:val="right"/>
    </w:pPr>
    <w:rPr>
      <w:rFonts w:ascii="Arial Unicode MS" w:hAnsi="Arial Unicode MS"/>
      <w:kern w:val="0"/>
      <w:sz w:val="20"/>
      <w:szCs w:val="20"/>
    </w:rPr>
  </w:style>
  <w:style w:type="paragraph" w:customStyle="1" w:styleId="1149">
    <w:name w:val="3"/>
    <w:basedOn w:val="1"/>
    <w:next w:val="31"/>
    <w:qFormat/>
    <w:uiPriority w:val="0"/>
    <w:pPr>
      <w:snapToGrid w:val="0"/>
      <w:spacing w:after="120" w:line="360" w:lineRule="auto"/>
      <w:ind w:firstLine="752" w:firstLineChars="295"/>
    </w:pPr>
    <w:rPr>
      <w:rFonts w:ascii="宋体" w:hAnsi="宋体"/>
      <w:sz w:val="28"/>
      <w:szCs w:val="24"/>
    </w:rPr>
  </w:style>
  <w:style w:type="paragraph" w:customStyle="1" w:styleId="1150">
    <w:name w:val="xl119"/>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151">
    <w:name w:val="+正文"/>
    <w:basedOn w:val="1"/>
    <w:qFormat/>
    <w:uiPriority w:val="0"/>
    <w:pPr>
      <w:spacing w:beforeLines="30" w:line="360" w:lineRule="auto"/>
      <w:ind w:firstLine="202" w:firstLineChars="202"/>
    </w:pPr>
    <w:rPr>
      <w:sz w:val="28"/>
      <w:szCs w:val="28"/>
    </w:rPr>
  </w:style>
  <w:style w:type="paragraph" w:customStyle="1" w:styleId="1152">
    <w:name w:val="reader-word-layer reader-word-s1-1 reader-word-s1-6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53">
    <w:name w:val="Char2 Char Char Char Char Char Char Char Char Char Char Char Char"/>
    <w:basedOn w:val="1"/>
    <w:next w:val="1"/>
    <w:qFormat/>
    <w:uiPriority w:val="0"/>
    <w:pPr>
      <w:spacing w:line="360" w:lineRule="auto"/>
      <w:ind w:firstLine="200" w:firstLineChars="200"/>
    </w:pPr>
    <w:rPr>
      <w:rFonts w:ascii="宋体" w:hAnsi="宋体" w:cs="宋体"/>
      <w:sz w:val="24"/>
      <w:szCs w:val="24"/>
    </w:rPr>
  </w:style>
  <w:style w:type="paragraph" w:customStyle="1" w:styleId="1154">
    <w:name w:val="文章总标题"/>
    <w:basedOn w:val="1"/>
    <w:next w:val="962"/>
    <w:qFormat/>
    <w:uiPriority w:val="0"/>
    <w:pPr>
      <w:widowControl/>
      <w:spacing w:before="566" w:after="544" w:line="566" w:lineRule="atLeast"/>
      <w:jc w:val="center"/>
      <w:textAlignment w:val="baseline"/>
    </w:pPr>
    <w:rPr>
      <w:rFonts w:ascii="Arial" w:eastAsia="黑体"/>
      <w:color w:val="000000"/>
      <w:kern w:val="0"/>
      <w:sz w:val="54"/>
      <w:szCs w:val="20"/>
      <w:u w:color="000000"/>
    </w:rPr>
  </w:style>
  <w:style w:type="paragraph" w:customStyle="1" w:styleId="1155">
    <w:name w:val="reader-word-layer reader-word-s1-7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56">
    <w:name w:val="reader-word-layer reader-word-s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57">
    <w:name w:val="文本"/>
    <w:basedOn w:val="1"/>
    <w:qFormat/>
    <w:uiPriority w:val="0"/>
    <w:pPr>
      <w:adjustRightInd w:val="0"/>
      <w:snapToGrid w:val="0"/>
      <w:spacing w:line="500" w:lineRule="exact"/>
      <w:ind w:firstLine="560" w:firstLineChars="200"/>
      <w:jc w:val="left"/>
    </w:pPr>
    <w:rPr>
      <w:rFonts w:ascii="宋体" w:hAnsi="宋体" w:cs="宋体"/>
      <w:sz w:val="28"/>
      <w:szCs w:val="28"/>
    </w:rPr>
  </w:style>
  <w:style w:type="paragraph" w:customStyle="1" w:styleId="1158">
    <w:name w:val="简单回函地址"/>
    <w:basedOn w:val="1"/>
    <w:qFormat/>
    <w:uiPriority w:val="0"/>
    <w:rPr>
      <w:sz w:val="28"/>
      <w:szCs w:val="28"/>
    </w:rPr>
  </w:style>
  <w:style w:type="paragraph" w:customStyle="1" w:styleId="1159">
    <w:name w:val="1"/>
    <w:basedOn w:val="1"/>
    <w:next w:val="41"/>
    <w:qFormat/>
    <w:uiPriority w:val="0"/>
    <w:rPr>
      <w:rFonts w:ascii="宋体" w:hAnsi="Courier New" w:cs="Courier New"/>
      <w:szCs w:val="21"/>
    </w:rPr>
  </w:style>
  <w:style w:type="paragraph" w:customStyle="1" w:styleId="1160">
    <w:name w:val="正文2"/>
    <w:basedOn w:val="1"/>
    <w:qFormat/>
    <w:uiPriority w:val="0"/>
    <w:pPr>
      <w:spacing w:line="360" w:lineRule="auto"/>
      <w:jc w:val="center"/>
    </w:pPr>
    <w:rPr>
      <w:rFonts w:ascii="黑体" w:eastAsia="黑体"/>
      <w:bCs/>
      <w:color w:val="000000"/>
      <w:sz w:val="24"/>
      <w:szCs w:val="20"/>
      <w:lang w:bidi="he-IL"/>
    </w:rPr>
  </w:style>
  <w:style w:type="paragraph" w:customStyle="1" w:styleId="1161">
    <w:name w:val="正文段落"/>
    <w:basedOn w:val="1"/>
    <w:qFormat/>
    <w:uiPriority w:val="0"/>
    <w:pPr>
      <w:topLinePunct/>
      <w:autoSpaceDN w:val="0"/>
      <w:adjustRightInd w:val="0"/>
      <w:spacing w:line="500" w:lineRule="exact"/>
      <w:ind w:right="210" w:rightChars="100" w:firstLine="480" w:firstLineChars="200"/>
      <w:textAlignment w:val="baseline"/>
    </w:pPr>
    <w:rPr>
      <w:rFonts w:ascii="宋体" w:hAnsi="宋体" w:eastAsia="汉鼎简书宋"/>
      <w:kern w:val="0"/>
      <w:sz w:val="24"/>
      <w:szCs w:val="24"/>
    </w:rPr>
  </w:style>
  <w:style w:type="paragraph" w:customStyle="1" w:styleId="1162">
    <w:name w:val="样式 样式 标题 3 + 黑体 小三 非加粗 + Times New Roman"/>
    <w:basedOn w:val="1"/>
    <w:qFormat/>
    <w:uiPriority w:val="0"/>
    <w:pPr>
      <w:keepNext/>
      <w:keepLines/>
      <w:spacing w:before="60" w:after="60" w:line="500" w:lineRule="atLeast"/>
      <w:outlineLvl w:val="2"/>
    </w:pPr>
    <w:rPr>
      <w:rFonts w:eastAsia="黑体"/>
      <w:sz w:val="28"/>
      <w:szCs w:val="32"/>
    </w:rPr>
  </w:style>
  <w:style w:type="paragraph" w:customStyle="1" w:styleId="1163">
    <w:name w:val="Char Char Char Char Char Char Char8"/>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1164">
    <w:name w:val="a"/>
    <w:basedOn w:val="3"/>
    <w:qFormat/>
    <w:uiPriority w:val="0"/>
    <w:pPr>
      <w:adjustRightInd w:val="0"/>
      <w:spacing w:before="100" w:beforeLines="100" w:after="100" w:afterLines="100" w:line="240" w:lineRule="auto"/>
      <w:textAlignment w:val="baseline"/>
    </w:pPr>
    <w:rPr>
      <w:rFonts w:eastAsia="黑体"/>
      <w:bCs/>
      <w:sz w:val="36"/>
    </w:rPr>
  </w:style>
  <w:style w:type="paragraph" w:customStyle="1" w:styleId="1165">
    <w:name w:val="表文 Char Char"/>
    <w:basedOn w:val="1"/>
    <w:qFormat/>
    <w:uiPriority w:val="0"/>
    <w:pPr>
      <w:overflowPunct w:val="0"/>
      <w:adjustRightInd w:val="0"/>
      <w:snapToGrid w:val="0"/>
      <w:jc w:val="center"/>
      <w:textAlignment w:val="baseline"/>
    </w:pPr>
    <w:rPr>
      <w:szCs w:val="20"/>
    </w:rPr>
  </w:style>
  <w:style w:type="paragraph" w:customStyle="1" w:styleId="1166">
    <w:name w:val="xl42"/>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167">
    <w:name w:val="Char5 Char Char Char"/>
    <w:basedOn w:val="23"/>
    <w:qFormat/>
    <w:uiPriority w:val="0"/>
    <w:pPr>
      <w:shd w:val="clear" w:color="auto" w:fill="000080"/>
      <w:adjustRightInd w:val="0"/>
      <w:spacing w:line="436" w:lineRule="exact"/>
      <w:ind w:left="357"/>
      <w:jc w:val="left"/>
      <w:outlineLvl w:val="3"/>
    </w:pPr>
    <w:rPr>
      <w:rFonts w:ascii="Tahoma" w:hAnsi="Tahoma"/>
      <w:b/>
      <w:sz w:val="24"/>
      <w:szCs w:val="28"/>
    </w:rPr>
  </w:style>
  <w:style w:type="paragraph" w:customStyle="1" w:styleId="1168">
    <w:name w:val="样式10"/>
    <w:basedOn w:val="41"/>
    <w:qFormat/>
    <w:uiPriority w:val="0"/>
    <w:pPr>
      <w:spacing w:after="120" w:line="500" w:lineRule="exact"/>
      <w:ind w:firstLine="200" w:firstLineChars="200"/>
    </w:pPr>
    <w:rPr>
      <w:rFonts w:ascii="黑体" w:eastAsia="黑体" w:cs="黑体"/>
      <w:b/>
      <w:bCs/>
      <w:sz w:val="32"/>
      <w:szCs w:val="32"/>
    </w:rPr>
  </w:style>
  <w:style w:type="paragraph" w:customStyle="1" w:styleId="1169">
    <w:name w:val="页脚1"/>
    <w:basedOn w:val="1"/>
    <w:qFormat/>
    <w:uiPriority w:val="0"/>
    <w:pPr>
      <w:tabs>
        <w:tab w:val="center" w:pos="4153"/>
        <w:tab w:val="right" w:pos="8306"/>
      </w:tabs>
      <w:snapToGrid w:val="0"/>
      <w:spacing w:line="360" w:lineRule="auto"/>
      <w:jc w:val="left"/>
    </w:pPr>
    <w:rPr>
      <w:rFonts w:cs="Calibri"/>
      <w:sz w:val="18"/>
      <w:szCs w:val="18"/>
    </w:rPr>
  </w:style>
  <w:style w:type="paragraph" w:customStyle="1" w:styleId="1170">
    <w:name w:val="Char Char1 Char Char Char1"/>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1171">
    <w:name w:val="xl59"/>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b/>
      <w:bCs/>
      <w:kern w:val="0"/>
      <w:sz w:val="16"/>
      <w:szCs w:val="16"/>
    </w:rPr>
  </w:style>
  <w:style w:type="paragraph" w:customStyle="1" w:styleId="1172">
    <w:name w:val="表中"/>
    <w:basedOn w:val="1"/>
    <w:qFormat/>
    <w:uiPriority w:val="0"/>
    <w:pPr>
      <w:spacing w:line="280" w:lineRule="exact"/>
      <w:jc w:val="center"/>
    </w:pPr>
    <w:rPr>
      <w:rFonts w:ascii="仿宋_GB2312" w:eastAsia="仿宋_GB2312"/>
      <w:color w:val="000000"/>
      <w:sz w:val="18"/>
      <w:szCs w:val="20"/>
      <w:lang w:bidi="he-IL"/>
    </w:rPr>
  </w:style>
  <w:style w:type="paragraph" w:customStyle="1" w:styleId="1173">
    <w:name w:val="indent"/>
    <w:basedOn w:val="1"/>
    <w:qFormat/>
    <w:uiPriority w:val="0"/>
    <w:pPr>
      <w:widowControl/>
      <w:spacing w:before="100" w:beforeAutospacing="1" w:after="100" w:afterAutospacing="1"/>
      <w:ind w:firstLine="525"/>
      <w:jc w:val="left"/>
    </w:pPr>
    <w:rPr>
      <w:rFonts w:ascii="宋体" w:hAnsi="宋体" w:cs="宋体"/>
      <w:kern w:val="0"/>
      <w:sz w:val="24"/>
      <w:szCs w:val="24"/>
    </w:rPr>
  </w:style>
  <w:style w:type="paragraph" w:customStyle="1" w:styleId="1174">
    <w:name w:val="1正文段落"/>
    <w:basedOn w:val="1"/>
    <w:qFormat/>
    <w:uiPriority w:val="0"/>
    <w:pPr>
      <w:spacing w:line="360" w:lineRule="auto"/>
      <w:ind w:firstLine="480" w:firstLineChars="200"/>
      <w:jc w:val="left"/>
    </w:pPr>
    <w:rPr>
      <w:snapToGrid w:val="0"/>
      <w:kern w:val="0"/>
      <w:sz w:val="24"/>
      <w:szCs w:val="24"/>
    </w:rPr>
  </w:style>
  <w:style w:type="paragraph" w:customStyle="1" w:styleId="1175">
    <w:name w:val="reader-word-layer reader-word-s58-2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76">
    <w:name w:val="xl2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177">
    <w:name w:val="xl62"/>
    <w:basedOn w:val="1"/>
    <w:qFormat/>
    <w:uiPriority w:val="0"/>
    <w:pPr>
      <w:widowControl/>
      <w:pBdr>
        <w:left w:val="single" w:color="auto" w:sz="8" w:space="0"/>
        <w:right w:val="single" w:color="auto" w:sz="4" w:space="0"/>
      </w:pBdr>
      <w:spacing w:before="100" w:after="100"/>
      <w:jc w:val="center"/>
    </w:pPr>
    <w:rPr>
      <w:rFonts w:ascii="Arial Unicode MS" w:hAnsi="Arial Unicode MS" w:cs="Arial Unicode MS"/>
      <w:color w:val="000000"/>
      <w:kern w:val="0"/>
      <w:sz w:val="28"/>
      <w:szCs w:val="24"/>
    </w:rPr>
  </w:style>
  <w:style w:type="paragraph" w:customStyle="1" w:styleId="1178">
    <w:name w:val="reader-word-layer reader-word-s53-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79">
    <w:name w:val="NOTE"/>
    <w:basedOn w:val="1"/>
    <w:qFormat/>
    <w:uiPriority w:val="0"/>
    <w:pPr>
      <w:adjustRightInd w:val="0"/>
      <w:spacing w:line="420" w:lineRule="atLeast"/>
      <w:ind w:left="567" w:hanging="567"/>
      <w:textAlignment w:val="baseline"/>
    </w:pPr>
    <w:rPr>
      <w:rFonts w:ascii="宋体"/>
      <w:spacing w:val="30"/>
      <w:kern w:val="0"/>
      <w:szCs w:val="20"/>
    </w:rPr>
  </w:style>
  <w:style w:type="paragraph" w:customStyle="1" w:styleId="1180">
    <w:name w:val="表格，五宋"/>
    <w:qFormat/>
    <w:uiPriority w:val="0"/>
    <w:pPr>
      <w:adjustRightInd w:val="0"/>
      <w:spacing w:line="360" w:lineRule="exact"/>
      <w:jc w:val="center"/>
    </w:pPr>
    <w:rPr>
      <w:rFonts w:ascii="Times New Roman" w:hAnsi="Times New Roman" w:eastAsia="宋体" w:cs="Times New Roman"/>
      <w:sz w:val="21"/>
      <w:lang w:val="en-US" w:eastAsia="zh-CN" w:bidi="ar-SA"/>
    </w:rPr>
  </w:style>
  <w:style w:type="paragraph" w:customStyle="1" w:styleId="1181">
    <w:name w:val="报告书正文"/>
    <w:basedOn w:val="46"/>
    <w:qFormat/>
    <w:uiPriority w:val="0"/>
    <w:pPr>
      <w:snapToGrid w:val="0"/>
      <w:spacing w:line="460" w:lineRule="exact"/>
      <w:ind w:firstLine="480" w:firstLineChars="200"/>
      <w:textAlignment w:val="baseline"/>
    </w:pPr>
    <w:rPr>
      <w:kern w:val="0"/>
      <w:sz w:val="24"/>
      <w:szCs w:val="20"/>
    </w:rPr>
  </w:style>
  <w:style w:type="paragraph" w:customStyle="1" w:styleId="1182">
    <w:name w:val="font13"/>
    <w:basedOn w:val="1"/>
    <w:qFormat/>
    <w:uiPriority w:val="0"/>
    <w:pPr>
      <w:widowControl/>
      <w:spacing w:before="100" w:beforeAutospacing="1" w:after="100" w:afterAutospacing="1"/>
      <w:jc w:val="left"/>
    </w:pPr>
    <w:rPr>
      <w:rFonts w:ascii="Arial Narrow" w:hAnsi="Arial Narrow"/>
      <w:kern w:val="0"/>
      <w:sz w:val="16"/>
      <w:szCs w:val="16"/>
    </w:rPr>
  </w:style>
  <w:style w:type="paragraph" w:customStyle="1" w:styleId="1183">
    <w:name w:val="公司使用模版"/>
    <w:basedOn w:val="1184"/>
    <w:qFormat/>
    <w:uiPriority w:val="0"/>
  </w:style>
  <w:style w:type="paragraph" w:customStyle="1" w:styleId="1184">
    <w:name w:val="hp1"/>
    <w:basedOn w:val="3"/>
    <w:qFormat/>
    <w:uiPriority w:val="0"/>
    <w:pPr>
      <w:adjustRightInd w:val="0"/>
      <w:spacing w:line="578" w:lineRule="atLeast"/>
      <w:jc w:val="center"/>
      <w:textAlignment w:val="baseline"/>
    </w:pPr>
    <w:rPr>
      <w:rFonts w:ascii="黑体" w:hAnsi="宋体" w:eastAsia="黑体"/>
      <w:bCs/>
      <w:sz w:val="32"/>
      <w:szCs w:val="28"/>
    </w:rPr>
  </w:style>
  <w:style w:type="paragraph" w:customStyle="1" w:styleId="1185">
    <w:name w:val="xl46"/>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186">
    <w:name w:val="向喜琼表格文字"/>
    <w:basedOn w:val="1"/>
    <w:next w:val="1"/>
    <w:qFormat/>
    <w:uiPriority w:val="0"/>
    <w:pPr>
      <w:adjustRightInd w:val="0"/>
      <w:snapToGrid w:val="0"/>
      <w:jc w:val="center"/>
    </w:pPr>
    <w:rPr>
      <w:bCs/>
      <w:sz w:val="24"/>
      <w:szCs w:val="24"/>
    </w:rPr>
  </w:style>
  <w:style w:type="paragraph" w:customStyle="1" w:styleId="1187">
    <w:name w:val="表注"/>
    <w:basedOn w:val="1"/>
    <w:qFormat/>
    <w:uiPriority w:val="0"/>
    <w:pPr>
      <w:keepLines/>
      <w:overflowPunct w:val="0"/>
      <w:adjustRightInd w:val="0"/>
      <w:spacing w:before="60" w:line="288" w:lineRule="auto"/>
      <w:ind w:left="737" w:hanging="397" w:firstLineChars="200"/>
      <w:textAlignment w:val="baseline"/>
    </w:pPr>
    <w:rPr>
      <w:rFonts w:ascii="宋体"/>
      <w:color w:val="FF0000"/>
      <w:kern w:val="28"/>
      <w:szCs w:val="20"/>
    </w:rPr>
  </w:style>
  <w:style w:type="paragraph" w:customStyle="1" w:styleId="1188">
    <w:name w:val="xl90"/>
    <w:basedOn w:val="1"/>
    <w:qFormat/>
    <w:uiPriority w:val="0"/>
    <w:pPr>
      <w:widowControl/>
      <w:pBdr>
        <w:left w:val="single" w:color="auto" w:sz="4" w:space="0"/>
        <w:bottom w:val="single" w:color="auto" w:sz="4" w:space="0"/>
      </w:pBdr>
      <w:shd w:val="clear" w:color="auto" w:fill="FFFF00"/>
      <w:spacing w:before="100" w:beforeAutospacing="1" w:after="100" w:afterAutospacing="1"/>
      <w:jc w:val="right"/>
    </w:pPr>
    <w:rPr>
      <w:rFonts w:ascii="Arial Unicode MS" w:hAnsi="Arial Unicode MS"/>
      <w:kern w:val="0"/>
      <w:sz w:val="20"/>
      <w:szCs w:val="20"/>
    </w:rPr>
  </w:style>
  <w:style w:type="paragraph" w:customStyle="1" w:styleId="1189">
    <w:name w:val="表格表头"/>
    <w:basedOn w:val="1"/>
    <w:qFormat/>
    <w:uiPriority w:val="0"/>
    <w:pPr>
      <w:tabs>
        <w:tab w:val="left" w:pos="1701"/>
      </w:tabs>
      <w:adjustRightInd w:val="0"/>
      <w:snapToGrid w:val="0"/>
      <w:spacing w:line="348" w:lineRule="auto"/>
      <w:ind w:firstLine="560" w:firstLineChars="200"/>
      <w:jc w:val="center"/>
    </w:pPr>
    <w:rPr>
      <w:rFonts w:ascii="宋体"/>
      <w:b/>
      <w:kern w:val="0"/>
      <w:sz w:val="24"/>
      <w:szCs w:val="20"/>
    </w:rPr>
  </w:style>
  <w:style w:type="paragraph" w:customStyle="1" w:styleId="1190">
    <w:name w:val="正文3"/>
    <w:basedOn w:val="1"/>
    <w:qFormat/>
    <w:uiPriority w:val="0"/>
    <w:pPr>
      <w:spacing w:line="360" w:lineRule="auto"/>
      <w:jc w:val="center"/>
    </w:pPr>
    <w:rPr>
      <w:rFonts w:ascii="黑体" w:eastAsia="黑体"/>
      <w:bCs/>
      <w:color w:val="000000"/>
      <w:sz w:val="28"/>
      <w:szCs w:val="20"/>
      <w:lang w:bidi="he-IL"/>
    </w:rPr>
  </w:style>
  <w:style w:type="paragraph" w:customStyle="1" w:styleId="1191">
    <w:name w:val="Para 0 bullet"/>
    <w:basedOn w:val="1"/>
    <w:qFormat/>
    <w:uiPriority w:val="0"/>
    <w:pPr>
      <w:widowControl/>
      <w:tabs>
        <w:tab w:val="left" w:pos="397"/>
      </w:tabs>
      <w:spacing w:after="60" w:line="300" w:lineRule="auto"/>
      <w:ind w:left="397" w:hanging="397"/>
      <w:jc w:val="left"/>
    </w:pPr>
    <w:rPr>
      <w:color w:val="000000"/>
      <w:kern w:val="0"/>
      <w:sz w:val="22"/>
      <w:lang w:val="en-GB" w:eastAsia="en-US"/>
    </w:rPr>
  </w:style>
  <w:style w:type="table" w:customStyle="1" w:styleId="1192">
    <w:name w:val="1 武两表格"/>
    <w:basedOn w:val="77"/>
    <w:qFormat/>
    <w:uiPriority w:val="99"/>
    <w:pPr>
      <w:adjustRightInd w:val="0"/>
      <w:snapToGrid w:val="0"/>
      <w:jc w:val="center"/>
    </w:pPr>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paragraph" w:customStyle="1" w:styleId="1193">
    <w:name w:val="Char Char Char Char Char Char Char Char Char Char Char Char Char Char Char Char Char Char Char Char Char Char"/>
    <w:basedOn w:val="1"/>
    <w:qFormat/>
    <w:uiPriority w:val="0"/>
    <w:rPr>
      <w:rFonts w:ascii="宋体" w:hAnsi="宋体" w:eastAsia="仿宋_GB2312" w:cs="Courier New"/>
      <w:sz w:val="32"/>
      <w:szCs w:val="32"/>
    </w:rPr>
  </w:style>
  <w:style w:type="paragraph" w:customStyle="1" w:styleId="1194">
    <w:name w:val="reader-word-layer reader-word-s1-7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95">
    <w:name w:val="签字页"/>
    <w:basedOn w:val="1"/>
    <w:qFormat/>
    <w:uiPriority w:val="0"/>
    <w:pPr>
      <w:widowControl/>
      <w:tabs>
        <w:tab w:val="left" w:pos="-24"/>
      </w:tabs>
      <w:spacing w:line="0" w:lineRule="atLeast"/>
      <w:jc w:val="center"/>
      <w:textAlignment w:val="baseline"/>
    </w:pPr>
    <w:rPr>
      <w:rFonts w:ascii="宋体" w:hAnsi="宋体"/>
      <w:b/>
      <w:bCs/>
      <w:color w:val="000000"/>
      <w:kern w:val="0"/>
      <w:szCs w:val="20"/>
      <w:u w:color="000000"/>
    </w:rPr>
  </w:style>
  <w:style w:type="paragraph" w:customStyle="1" w:styleId="1196">
    <w:name w:val="xl6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b/>
      <w:bCs/>
      <w:kern w:val="0"/>
      <w:sz w:val="16"/>
      <w:szCs w:val="16"/>
    </w:rPr>
  </w:style>
  <w:style w:type="paragraph" w:customStyle="1" w:styleId="1197">
    <w:name w:val="hb2"/>
    <w:basedOn w:val="4"/>
    <w:qFormat/>
    <w:uiPriority w:val="0"/>
    <w:pPr>
      <w:adjustRightInd w:val="0"/>
      <w:spacing w:line="500" w:lineRule="exact"/>
      <w:ind w:firstLine="490"/>
      <w:jc w:val="left"/>
      <w:textAlignment w:val="baseline"/>
    </w:pPr>
    <w:rPr>
      <w:rFonts w:ascii="Arial Narrow" w:hAnsi="Arial Narrow" w:eastAsia="汉鼎简书宋"/>
      <w:bCs/>
      <w:szCs w:val="28"/>
    </w:rPr>
  </w:style>
  <w:style w:type="paragraph" w:customStyle="1" w:styleId="1198">
    <w:name w:val="Char Char Char2 Char Char"/>
    <w:basedOn w:val="1"/>
    <w:qFormat/>
    <w:uiPriority w:val="0"/>
    <w:pPr>
      <w:spacing w:line="360" w:lineRule="auto"/>
      <w:ind w:firstLine="200" w:firstLineChars="200"/>
    </w:pPr>
    <w:rPr>
      <w:rFonts w:ascii="宋体" w:hAnsi="宋体" w:cs="宋体"/>
      <w:sz w:val="24"/>
      <w:szCs w:val="24"/>
    </w:rPr>
  </w:style>
  <w:style w:type="paragraph" w:customStyle="1" w:styleId="1199">
    <w:name w:val="gg_body"/>
    <w:basedOn w:val="1"/>
    <w:qFormat/>
    <w:uiPriority w:val="0"/>
    <w:pPr>
      <w:spacing w:line="440" w:lineRule="exact"/>
      <w:ind w:firstLine="200" w:firstLineChars="200"/>
    </w:pPr>
    <w:rPr>
      <w:rFonts w:ascii="宋体" w:hAnsi="宋体"/>
      <w:sz w:val="24"/>
      <w:szCs w:val="20"/>
    </w:rPr>
  </w:style>
  <w:style w:type="paragraph" w:customStyle="1" w:styleId="1200">
    <w:name w:val="xl29"/>
    <w:basedOn w:val="1"/>
    <w:qFormat/>
    <w:uiPriority w:val="0"/>
    <w:pPr>
      <w:widowControl/>
      <w:pBdr>
        <w:left w:val="single" w:color="auto" w:sz="8" w:space="0"/>
        <w:bottom w:val="single" w:color="auto" w:sz="8" w:space="0"/>
        <w:right w:val="single" w:color="auto" w:sz="4" w:space="0"/>
      </w:pBdr>
      <w:spacing w:before="100" w:after="100"/>
      <w:jc w:val="center"/>
    </w:pPr>
    <w:rPr>
      <w:rFonts w:ascii="Arial Unicode MS" w:hAnsi="Arial Unicode MS" w:eastAsia="Arial Unicode MS"/>
      <w:color w:val="000000"/>
      <w:kern w:val="0"/>
      <w:szCs w:val="20"/>
    </w:rPr>
  </w:style>
  <w:style w:type="paragraph" w:customStyle="1" w:styleId="1201">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ascii="Arial Unicode MS" w:hAnsi="Arial Unicode MS"/>
      <w:kern w:val="0"/>
      <w:sz w:val="18"/>
      <w:szCs w:val="18"/>
    </w:rPr>
  </w:style>
  <w:style w:type="paragraph" w:customStyle="1" w:styleId="1202">
    <w:name w:val="Char5 Char Char Char1"/>
    <w:basedOn w:val="23"/>
    <w:qFormat/>
    <w:uiPriority w:val="0"/>
    <w:pPr>
      <w:shd w:val="clear" w:color="auto" w:fill="000080"/>
      <w:adjustRightInd w:val="0"/>
      <w:spacing w:line="436" w:lineRule="exact"/>
      <w:ind w:left="357"/>
      <w:jc w:val="left"/>
      <w:outlineLvl w:val="3"/>
    </w:pPr>
    <w:rPr>
      <w:rFonts w:hint="eastAsia" w:ascii="Tahoma" w:hAnsi="Tahoma"/>
      <w:b/>
      <w:sz w:val="24"/>
      <w:szCs w:val="28"/>
    </w:rPr>
  </w:style>
  <w:style w:type="paragraph" w:customStyle="1" w:styleId="1203">
    <w:name w:val="正文文字2"/>
    <w:basedOn w:val="1"/>
    <w:qFormat/>
    <w:uiPriority w:val="0"/>
    <w:pPr>
      <w:spacing w:line="360" w:lineRule="auto"/>
      <w:ind w:firstLine="480" w:firstLineChars="200"/>
    </w:pPr>
    <w:rPr>
      <w:sz w:val="24"/>
      <w:szCs w:val="24"/>
    </w:rPr>
  </w:style>
  <w:style w:type="paragraph" w:customStyle="1" w:styleId="1204">
    <w:name w:val="HP3"/>
    <w:qFormat/>
    <w:uiPriority w:val="0"/>
    <w:rPr>
      <w:rFonts w:ascii="宋体" w:hAnsi="宋体" w:eastAsia="宋体" w:cs="Times New Roman"/>
      <w:b/>
      <w:kern w:val="2"/>
      <w:sz w:val="24"/>
      <w:szCs w:val="24"/>
      <w:lang w:val="en-US" w:eastAsia="zh-CN" w:bidi="ar-SA"/>
    </w:rPr>
  </w:style>
  <w:style w:type="paragraph" w:customStyle="1" w:styleId="1205">
    <w:name w:val="xl34"/>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206">
    <w:name w:val="图中文字"/>
    <w:basedOn w:val="1"/>
    <w:qFormat/>
    <w:uiPriority w:val="0"/>
    <w:pPr>
      <w:tabs>
        <w:tab w:val="left" w:pos="1701"/>
      </w:tabs>
      <w:adjustRightInd w:val="0"/>
      <w:snapToGrid w:val="0"/>
      <w:ind w:firstLine="420" w:firstLineChars="200"/>
      <w:jc w:val="left"/>
    </w:pPr>
    <w:rPr>
      <w:szCs w:val="24"/>
    </w:rPr>
  </w:style>
  <w:style w:type="paragraph" w:customStyle="1" w:styleId="1207">
    <w:name w:val="reader-word-layer reader-word-s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08">
    <w:name w:val="样式 左侧:  0.85 厘米 首行缩进:  0 字符"/>
    <w:basedOn w:val="1"/>
    <w:qFormat/>
    <w:uiPriority w:val="0"/>
    <w:pPr>
      <w:topLinePunct/>
      <w:spacing w:line="529" w:lineRule="exact"/>
      <w:ind w:left="480"/>
    </w:pPr>
    <w:rPr>
      <w:rFonts w:eastAsia="汉鼎简书宋" w:cs="宋体"/>
      <w:sz w:val="24"/>
      <w:szCs w:val="20"/>
    </w:rPr>
  </w:style>
  <w:style w:type="paragraph" w:customStyle="1" w:styleId="1209">
    <w:name w:val="表内文字"/>
    <w:basedOn w:val="1"/>
    <w:qFormat/>
    <w:uiPriority w:val="0"/>
    <w:pPr>
      <w:widowControl/>
      <w:autoSpaceDE w:val="0"/>
      <w:autoSpaceDN w:val="0"/>
      <w:adjustRightInd w:val="0"/>
      <w:snapToGrid w:val="0"/>
      <w:spacing w:line="360" w:lineRule="auto"/>
      <w:jc w:val="center"/>
      <w:textAlignment w:val="baseline"/>
    </w:pPr>
    <w:rPr>
      <w:rFonts w:ascii="宋体" w:hAnsi="宋体"/>
      <w:kern w:val="0"/>
      <w:szCs w:val="20"/>
    </w:rPr>
  </w:style>
  <w:style w:type="paragraph" w:customStyle="1" w:styleId="1210">
    <w:name w:val="xl24"/>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211">
    <w:name w:val="正文01"/>
    <w:basedOn w:val="1"/>
    <w:link w:val="2084"/>
    <w:qFormat/>
    <w:uiPriority w:val="0"/>
    <w:pPr>
      <w:spacing w:before="60" w:line="460" w:lineRule="exact"/>
      <w:ind w:firstLine="200" w:firstLineChars="200"/>
    </w:pPr>
    <w:rPr>
      <w:bCs/>
      <w:sz w:val="24"/>
      <w:szCs w:val="24"/>
    </w:rPr>
  </w:style>
  <w:style w:type="paragraph" w:customStyle="1" w:styleId="1212">
    <w:name w:val="表标题"/>
    <w:basedOn w:val="74"/>
    <w:qFormat/>
    <w:uiPriority w:val="0"/>
    <w:pPr>
      <w:spacing w:after="0"/>
      <w:ind w:firstLine="0" w:firstLineChars="0"/>
      <w:jc w:val="center"/>
    </w:pPr>
    <w:rPr>
      <w:rFonts w:ascii="宋体" w:hAnsi="宋体"/>
    </w:rPr>
  </w:style>
  <w:style w:type="paragraph" w:customStyle="1" w:styleId="1213">
    <w:name w:val="hb3"/>
    <w:basedOn w:val="5"/>
    <w:qFormat/>
    <w:uiPriority w:val="0"/>
    <w:pPr>
      <w:adjustRightInd w:val="0"/>
      <w:spacing w:before="60" w:after="60" w:line="500" w:lineRule="exact"/>
      <w:textAlignment w:val="baseline"/>
      <w:outlineLvl w:val="9"/>
    </w:pPr>
    <w:rPr>
      <w:rFonts w:ascii="宋体" w:hAnsi="宋体"/>
      <w:sz w:val="24"/>
    </w:rPr>
  </w:style>
  <w:style w:type="paragraph" w:customStyle="1" w:styleId="1214">
    <w:name w:val="页眉3"/>
    <w:basedOn w:val="1"/>
    <w:qFormat/>
    <w:uiPriority w:val="0"/>
    <w:pPr>
      <w:pBdr>
        <w:bottom w:val="single" w:color="auto" w:sz="6" w:space="1"/>
      </w:pBdr>
      <w:tabs>
        <w:tab w:val="center" w:pos="4153"/>
        <w:tab w:val="right" w:pos="8306"/>
      </w:tabs>
      <w:snapToGrid w:val="0"/>
      <w:jc w:val="center"/>
    </w:pPr>
    <w:rPr>
      <w:rFonts w:cs="Calibri"/>
      <w:sz w:val="18"/>
      <w:szCs w:val="18"/>
    </w:rPr>
  </w:style>
  <w:style w:type="paragraph" w:customStyle="1" w:styleId="1215">
    <w:name w:val="xl5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kern w:val="0"/>
      <w:sz w:val="16"/>
      <w:szCs w:val="16"/>
    </w:rPr>
  </w:style>
  <w:style w:type="paragraph" w:customStyle="1" w:styleId="1216">
    <w:name w:val="CM2"/>
    <w:basedOn w:val="1"/>
    <w:next w:val="1"/>
    <w:qFormat/>
    <w:uiPriority w:val="0"/>
    <w:pPr>
      <w:autoSpaceDE w:val="0"/>
      <w:autoSpaceDN w:val="0"/>
      <w:adjustRightInd w:val="0"/>
      <w:spacing w:line="468" w:lineRule="atLeast"/>
      <w:jc w:val="left"/>
    </w:pPr>
    <w:rPr>
      <w:kern w:val="0"/>
      <w:sz w:val="24"/>
      <w:szCs w:val="24"/>
    </w:rPr>
  </w:style>
  <w:style w:type="paragraph" w:customStyle="1" w:styleId="1217">
    <w:name w:val="xl109"/>
    <w:basedOn w:val="1"/>
    <w:qFormat/>
    <w:uiPriority w:val="0"/>
    <w:pPr>
      <w:widowControl/>
      <w:pBdr>
        <w:bottom w:val="single" w:color="auto" w:sz="4" w:space="0"/>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1218">
    <w:name w:val="8"/>
    <w:basedOn w:val="1"/>
    <w:next w:val="19"/>
    <w:qFormat/>
    <w:uiPriority w:val="0"/>
    <w:pPr>
      <w:spacing w:line="500" w:lineRule="exact"/>
      <w:ind w:firstLine="200" w:firstLineChars="200"/>
    </w:pPr>
    <w:rPr>
      <w:sz w:val="24"/>
      <w:szCs w:val="20"/>
    </w:rPr>
  </w:style>
  <w:style w:type="paragraph" w:customStyle="1" w:styleId="1219">
    <w:name w:val="样式22"/>
    <w:basedOn w:val="1"/>
    <w:qFormat/>
    <w:uiPriority w:val="0"/>
    <w:pPr>
      <w:adjustRightInd w:val="0"/>
      <w:snapToGrid w:val="0"/>
      <w:spacing w:line="348" w:lineRule="auto"/>
      <w:ind w:firstLine="520" w:firstLineChars="200"/>
    </w:pPr>
    <w:rPr>
      <w:sz w:val="28"/>
      <w:szCs w:val="28"/>
    </w:rPr>
  </w:style>
  <w:style w:type="paragraph" w:customStyle="1" w:styleId="1220">
    <w:name w:val="reader-word-layer reader-word-s58-2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21">
    <w:name w:val="Char Char Char Char Char Char1 Char"/>
    <w:basedOn w:val="1"/>
    <w:qFormat/>
    <w:uiPriority w:val="0"/>
    <w:rPr>
      <w:szCs w:val="21"/>
    </w:rPr>
  </w:style>
  <w:style w:type="paragraph" w:customStyle="1" w:styleId="122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223">
    <w:name w:val="样式 样式 宋体 小四 行距: 1.5 倍行距 + Times New Roman 黑色 首行缩进:  2 字符"/>
    <w:basedOn w:val="523"/>
    <w:qFormat/>
    <w:uiPriority w:val="0"/>
    <w:rPr>
      <w:rFonts w:ascii="Times New Roman" w:hAnsi="Times New Roman"/>
      <w:color w:val="000000"/>
    </w:rPr>
  </w:style>
  <w:style w:type="paragraph" w:customStyle="1" w:styleId="1224">
    <w:name w:val="样式 行距: 最小值 20 磅"/>
    <w:basedOn w:val="1"/>
    <w:next w:val="31"/>
    <w:qFormat/>
    <w:uiPriority w:val="0"/>
    <w:pPr>
      <w:adjustRightInd w:val="0"/>
      <w:spacing w:line="400" w:lineRule="atLeast"/>
      <w:ind w:firstLine="200" w:firstLineChars="200"/>
      <w:jc w:val="left"/>
      <w:textAlignment w:val="baseline"/>
    </w:pPr>
    <w:rPr>
      <w:kern w:val="0"/>
      <w:sz w:val="24"/>
      <w:szCs w:val="24"/>
    </w:rPr>
  </w:style>
  <w:style w:type="paragraph" w:customStyle="1" w:styleId="1225">
    <w:name w:val="目录1"/>
    <w:basedOn w:val="1"/>
    <w:next w:val="1"/>
    <w:qFormat/>
    <w:uiPriority w:val="0"/>
    <w:pPr>
      <w:widowControl/>
      <w:tabs>
        <w:tab w:val="left" w:leader="dot" w:pos="8503"/>
      </w:tabs>
      <w:spacing w:after="102" w:line="215" w:lineRule="atLeast"/>
      <w:ind w:firstLine="419"/>
      <w:jc w:val="left"/>
      <w:textAlignment w:val="baseline"/>
    </w:pPr>
    <w:rPr>
      <w:color w:val="000000"/>
      <w:kern w:val="0"/>
      <w:szCs w:val="20"/>
      <w:u w:color="000000"/>
    </w:rPr>
  </w:style>
  <w:style w:type="paragraph" w:customStyle="1" w:styleId="1226">
    <w:name w:val="Char1 Char Char Char"/>
    <w:basedOn w:val="23"/>
    <w:qFormat/>
    <w:uiPriority w:val="0"/>
    <w:pPr>
      <w:shd w:val="clear" w:color="auto" w:fill="000080"/>
      <w:adjustRightInd w:val="0"/>
      <w:spacing w:line="436" w:lineRule="exact"/>
      <w:ind w:left="357"/>
      <w:jc w:val="left"/>
      <w:outlineLvl w:val="3"/>
    </w:pPr>
    <w:rPr>
      <w:rFonts w:ascii="Tahoma" w:hAnsi="Tahoma"/>
      <w:b/>
      <w:sz w:val="24"/>
      <w:szCs w:val="24"/>
    </w:rPr>
  </w:style>
  <w:style w:type="paragraph" w:customStyle="1" w:styleId="1227">
    <w:name w:val="纯文本2"/>
    <w:basedOn w:val="1"/>
    <w:qFormat/>
    <w:uiPriority w:val="0"/>
    <w:pPr>
      <w:adjustRightInd w:val="0"/>
      <w:textAlignment w:val="baseline"/>
    </w:pPr>
    <w:rPr>
      <w:rFonts w:ascii="宋体"/>
      <w:kern w:val="0"/>
      <w:szCs w:val="20"/>
    </w:rPr>
  </w:style>
  <w:style w:type="paragraph" w:customStyle="1" w:styleId="1228">
    <w:name w:val="xl5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kern w:val="0"/>
      <w:sz w:val="24"/>
      <w:szCs w:val="24"/>
    </w:rPr>
  </w:style>
  <w:style w:type="paragraph" w:customStyle="1" w:styleId="1229">
    <w:name w:val="xl139"/>
    <w:basedOn w:val="1"/>
    <w:qFormat/>
    <w:uiPriority w:val="0"/>
    <w:pPr>
      <w:widowControl/>
      <w:pBdr>
        <w:top w:val="single" w:color="auto" w:sz="4" w:space="0"/>
        <w:left w:val="single" w:color="auto" w:sz="4" w:space="0"/>
        <w:bottom w:val="single" w:color="auto" w:sz="4" w:space="0"/>
        <w:right w:val="single" w:color="auto" w:sz="8" w:space="0"/>
      </w:pBdr>
      <w:shd w:val="clear" w:color="auto" w:fill="FFFF00"/>
      <w:spacing w:before="100" w:beforeAutospacing="1" w:after="100" w:afterAutospacing="1"/>
      <w:jc w:val="center"/>
    </w:pPr>
    <w:rPr>
      <w:rFonts w:ascii="Arial Unicode MS" w:hAnsi="Arial Unicode MS" w:cs="Arial Unicode MS"/>
      <w:color w:val="FF0000"/>
      <w:kern w:val="0"/>
      <w:sz w:val="20"/>
      <w:szCs w:val="20"/>
    </w:rPr>
  </w:style>
  <w:style w:type="paragraph" w:customStyle="1" w:styleId="1230">
    <w:name w:val="xl10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1231">
    <w:name w:val="reader-word-layer reader-word-s58-2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32">
    <w:name w:val="正文文本 23"/>
    <w:basedOn w:val="1"/>
    <w:qFormat/>
    <w:uiPriority w:val="0"/>
    <w:pPr>
      <w:adjustRightInd w:val="0"/>
      <w:spacing w:line="360" w:lineRule="auto"/>
      <w:ind w:firstLine="567"/>
      <w:jc w:val="left"/>
      <w:textAlignment w:val="baseline"/>
    </w:pPr>
    <w:rPr>
      <w:sz w:val="28"/>
      <w:szCs w:val="20"/>
    </w:rPr>
  </w:style>
  <w:style w:type="paragraph" w:customStyle="1" w:styleId="1233">
    <w:name w:val="text"/>
    <w:basedOn w:val="1"/>
    <w:qFormat/>
    <w:uiPriority w:val="0"/>
    <w:pPr>
      <w:widowControl/>
      <w:pBdr>
        <w:top w:val="single" w:color="9CDB73" w:sz="6" w:space="0"/>
        <w:left w:val="single" w:color="9CDB73" w:sz="6" w:space="0"/>
        <w:bottom w:val="single" w:color="9CDB73" w:sz="6" w:space="0"/>
        <w:right w:val="single" w:color="9CDB73" w:sz="6" w:space="0"/>
      </w:pBdr>
      <w:shd w:val="clear" w:color="auto" w:fill="F8FFE8"/>
      <w:spacing w:before="100" w:beforeAutospacing="1" w:after="100" w:afterAutospacing="1" w:line="320" w:lineRule="atLeast"/>
      <w:jc w:val="left"/>
    </w:pPr>
    <w:rPr>
      <w:rFonts w:hint="eastAsia" w:ascii="宋体" w:hAnsi="宋体"/>
      <w:kern w:val="0"/>
      <w:sz w:val="18"/>
      <w:szCs w:val="20"/>
    </w:rPr>
  </w:style>
  <w:style w:type="paragraph" w:customStyle="1" w:styleId="1234">
    <w:name w:val="b"/>
    <w:basedOn w:val="4"/>
    <w:qFormat/>
    <w:uiPriority w:val="0"/>
    <w:pPr>
      <w:widowControl/>
      <w:adjustRightInd w:val="0"/>
      <w:spacing w:before="50" w:beforeLines="50" w:after="50" w:afterLines="50"/>
      <w:textAlignment w:val="baseline"/>
    </w:pPr>
    <w:rPr>
      <w:rFonts w:eastAsia="仿宋_GB2312"/>
      <w:b w:val="0"/>
      <w:color w:val="000000"/>
    </w:rPr>
  </w:style>
  <w:style w:type="paragraph" w:customStyle="1" w:styleId="1235">
    <w:name w:val="Char2 Char Char Char Char Char Char Char Char Char Char Char Char1"/>
    <w:basedOn w:val="1"/>
    <w:next w:val="1"/>
    <w:qFormat/>
    <w:uiPriority w:val="0"/>
    <w:pPr>
      <w:spacing w:line="360" w:lineRule="auto"/>
      <w:ind w:firstLine="200" w:firstLineChars="200"/>
    </w:pPr>
    <w:rPr>
      <w:rFonts w:ascii="宋体" w:hAnsi="宋体" w:cs="宋体"/>
      <w:sz w:val="24"/>
      <w:szCs w:val="24"/>
    </w:rPr>
  </w:style>
  <w:style w:type="paragraph" w:customStyle="1" w:styleId="1236">
    <w:name w:val="font10"/>
    <w:basedOn w:val="1"/>
    <w:qFormat/>
    <w:uiPriority w:val="0"/>
    <w:pPr>
      <w:widowControl/>
      <w:spacing w:before="100" w:beforeAutospacing="1" w:after="100" w:afterAutospacing="1"/>
      <w:jc w:val="left"/>
    </w:pPr>
    <w:rPr>
      <w:rFonts w:ascii="宋体" w:hAnsi="宋体"/>
      <w:kern w:val="0"/>
      <w:sz w:val="16"/>
      <w:szCs w:val="16"/>
    </w:rPr>
  </w:style>
  <w:style w:type="paragraph" w:customStyle="1" w:styleId="1237">
    <w:name w:val="xl45"/>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Arial Unicode MS" w:hAnsi="Arial Unicode MS"/>
      <w:kern w:val="0"/>
      <w:sz w:val="18"/>
      <w:szCs w:val="18"/>
    </w:rPr>
  </w:style>
  <w:style w:type="paragraph" w:customStyle="1" w:styleId="1238">
    <w:name w:val="正文首行缩进2字符"/>
    <w:qFormat/>
    <w:uiPriority w:val="0"/>
    <w:pPr>
      <w:widowControl w:val="0"/>
      <w:tabs>
        <w:tab w:val="left" w:pos="2910"/>
      </w:tabs>
      <w:spacing w:line="360" w:lineRule="auto"/>
      <w:ind w:firstLine="420" w:firstLineChars="150"/>
      <w:jc w:val="both"/>
    </w:pPr>
    <w:rPr>
      <w:rFonts w:ascii="Times New Roman" w:hAnsi="Times New Roman" w:eastAsia="宋体" w:cs="Times New Roman"/>
      <w:sz w:val="28"/>
      <w:szCs w:val="28"/>
      <w:lang w:val="en-US" w:eastAsia="zh-CN" w:bidi="ar-SA"/>
    </w:rPr>
  </w:style>
  <w:style w:type="paragraph" w:customStyle="1" w:styleId="1239">
    <w:name w:val="xl122"/>
    <w:basedOn w:val="1"/>
    <w:qFormat/>
    <w:uiPriority w:val="0"/>
    <w:pPr>
      <w:widowControl/>
      <w:pBdr>
        <w:top w:val="single" w:color="auto" w:sz="4" w:space="0"/>
        <w:bottom w:val="single" w:color="auto" w:sz="4" w:space="0"/>
      </w:pBdr>
      <w:spacing w:before="100" w:beforeAutospacing="1" w:after="100" w:afterAutospacing="1"/>
      <w:jc w:val="right"/>
    </w:pPr>
    <w:rPr>
      <w:rFonts w:ascii="Arial Unicode MS" w:hAnsi="Arial Unicode MS"/>
      <w:kern w:val="0"/>
      <w:sz w:val="20"/>
      <w:szCs w:val="20"/>
    </w:rPr>
  </w:style>
  <w:style w:type="paragraph" w:customStyle="1" w:styleId="1240">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12"/>
      <w:szCs w:val="12"/>
    </w:rPr>
  </w:style>
  <w:style w:type="paragraph" w:customStyle="1" w:styleId="1241">
    <w:name w:val="xl56"/>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b/>
      <w:bCs/>
      <w:kern w:val="0"/>
      <w:sz w:val="16"/>
      <w:szCs w:val="16"/>
    </w:rPr>
  </w:style>
  <w:style w:type="paragraph" w:customStyle="1" w:styleId="1242">
    <w:name w:val="批注框文本 Char Char"/>
    <w:basedOn w:val="1"/>
    <w:qFormat/>
    <w:uiPriority w:val="0"/>
    <w:pPr>
      <w:spacing w:line="440" w:lineRule="exact"/>
      <w:ind w:firstLine="200" w:firstLineChars="200"/>
    </w:pPr>
    <w:rPr>
      <w:sz w:val="18"/>
      <w:szCs w:val="20"/>
    </w:rPr>
  </w:style>
  <w:style w:type="paragraph" w:customStyle="1" w:styleId="1243">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4"/>
      <w:szCs w:val="24"/>
    </w:rPr>
  </w:style>
  <w:style w:type="paragraph" w:customStyle="1" w:styleId="1244">
    <w:name w:val="表样式"/>
    <w:basedOn w:val="1"/>
    <w:qFormat/>
    <w:uiPriority w:val="0"/>
    <w:pPr>
      <w:jc w:val="center"/>
    </w:pPr>
    <w:rPr>
      <w:rFonts w:ascii="仿宋_GB2312" w:eastAsia="黑体"/>
      <w:szCs w:val="24"/>
    </w:rPr>
  </w:style>
  <w:style w:type="paragraph" w:customStyle="1" w:styleId="1245">
    <w:name w:val="xl66"/>
    <w:basedOn w:val="1"/>
    <w:qFormat/>
    <w:uiPriority w:val="0"/>
    <w:pPr>
      <w:widowControl/>
      <w:pBdr>
        <w:top w:val="single" w:color="auto" w:sz="4" w:space="0"/>
        <w:left w:val="single" w:color="auto" w:sz="4" w:space="0"/>
      </w:pBdr>
      <w:spacing w:before="100" w:beforeAutospacing="1" w:after="100" w:afterAutospacing="1"/>
      <w:jc w:val="right"/>
    </w:pPr>
    <w:rPr>
      <w:rFonts w:ascii="宋体" w:hAnsi="宋体"/>
      <w:b/>
      <w:bCs/>
      <w:kern w:val="0"/>
      <w:sz w:val="16"/>
      <w:szCs w:val="16"/>
    </w:rPr>
  </w:style>
  <w:style w:type="paragraph" w:customStyle="1" w:styleId="1246">
    <w:name w:val="！标题1 Alt+1"/>
    <w:basedOn w:val="1"/>
    <w:next w:val="834"/>
    <w:qFormat/>
    <w:uiPriority w:val="0"/>
    <w:pPr>
      <w:shd w:val="pct10" w:color="auto" w:fill="auto"/>
      <w:tabs>
        <w:tab w:val="left" w:pos="0"/>
      </w:tabs>
      <w:spacing w:beforeLines="100"/>
      <w:jc w:val="center"/>
      <w:outlineLvl w:val="0"/>
    </w:pPr>
    <w:rPr>
      <w:rFonts w:eastAsia="黑体"/>
      <w:spacing w:val="20"/>
      <w:w w:val="110"/>
      <w:sz w:val="32"/>
      <w:szCs w:val="32"/>
    </w:rPr>
  </w:style>
  <w:style w:type="paragraph" w:customStyle="1" w:styleId="1247">
    <w:name w:val="投标表格五号"/>
    <w:basedOn w:val="1"/>
    <w:qFormat/>
    <w:uiPriority w:val="0"/>
    <w:pPr>
      <w:jc w:val="left"/>
    </w:pPr>
    <w:rPr>
      <w:rFonts w:ascii="Verdana" w:hAnsi="Verdana"/>
      <w:szCs w:val="28"/>
    </w:rPr>
  </w:style>
  <w:style w:type="paragraph" w:customStyle="1" w:styleId="1248">
    <w:name w:val="图形中文字"/>
    <w:basedOn w:val="1"/>
    <w:qFormat/>
    <w:uiPriority w:val="0"/>
    <w:pPr>
      <w:autoSpaceDE w:val="0"/>
      <w:autoSpaceDN w:val="0"/>
      <w:adjustRightInd w:val="0"/>
      <w:jc w:val="center"/>
    </w:pPr>
    <w:rPr>
      <w:rFonts w:ascii="宋体" w:hAnsi="Tms Rmn"/>
      <w:kern w:val="0"/>
      <w:sz w:val="24"/>
      <w:szCs w:val="20"/>
    </w:rPr>
  </w:style>
  <w:style w:type="paragraph" w:customStyle="1" w:styleId="1249">
    <w:name w:val="样式9"/>
    <w:basedOn w:val="1"/>
    <w:qFormat/>
    <w:uiPriority w:val="0"/>
    <w:pPr>
      <w:spacing w:before="120" w:after="120" w:line="500" w:lineRule="exact"/>
    </w:pPr>
    <w:rPr>
      <w:rFonts w:ascii="黑体" w:hAnsi="宋体" w:eastAsia="黑体"/>
      <w:b/>
      <w:bCs/>
      <w:sz w:val="44"/>
      <w:szCs w:val="24"/>
    </w:rPr>
  </w:style>
  <w:style w:type="paragraph" w:customStyle="1" w:styleId="1250">
    <w:name w:val="pra"/>
    <w:basedOn w:val="1"/>
    <w:qFormat/>
    <w:uiPriority w:val="0"/>
    <w:pPr>
      <w:widowControl/>
      <w:spacing w:before="100" w:beforeAutospacing="1" w:after="100" w:afterAutospacing="1" w:line="440" w:lineRule="exact"/>
      <w:ind w:firstLine="480" w:firstLineChars="200"/>
      <w:jc w:val="left"/>
    </w:pPr>
    <w:rPr>
      <w:rFonts w:ascii="Arial Unicode MS" w:hAnsi="Arial Unicode MS" w:eastAsia="Arial Unicode MS"/>
      <w:kern w:val="0"/>
      <w:sz w:val="24"/>
      <w:szCs w:val="20"/>
    </w:rPr>
  </w:style>
  <w:style w:type="paragraph" w:customStyle="1" w:styleId="1251">
    <w:name w:val="reader-word-layer reader-word-s58-2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52">
    <w:name w:val="xl78"/>
    <w:basedOn w:val="1"/>
    <w:qFormat/>
    <w:uiPriority w:val="0"/>
    <w:pPr>
      <w:widowControl/>
      <w:spacing w:before="100" w:beforeAutospacing="1" w:after="100" w:afterAutospacing="1"/>
      <w:jc w:val="left"/>
    </w:pPr>
    <w:rPr>
      <w:rFonts w:ascii="宋体" w:hAnsi="宋体"/>
      <w:kern w:val="0"/>
      <w:sz w:val="16"/>
      <w:szCs w:val="16"/>
    </w:rPr>
  </w:style>
  <w:style w:type="paragraph" w:customStyle="1" w:styleId="1253">
    <w:name w:val="Para 2 bullet"/>
    <w:basedOn w:val="1"/>
    <w:qFormat/>
    <w:uiPriority w:val="0"/>
    <w:pPr>
      <w:widowControl/>
      <w:spacing w:after="60" w:line="300" w:lineRule="auto"/>
      <w:jc w:val="left"/>
    </w:pPr>
    <w:rPr>
      <w:color w:val="000000"/>
      <w:kern w:val="0"/>
      <w:sz w:val="22"/>
      <w:lang w:val="en-GB" w:eastAsia="en-US"/>
    </w:rPr>
  </w:style>
  <w:style w:type="paragraph" w:customStyle="1" w:styleId="1254">
    <w:name w:val="reader-word-layer reader-word-s2-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55">
    <w:name w:val="Char Char Char1 Char"/>
    <w:basedOn w:val="1"/>
    <w:next w:val="1"/>
    <w:qFormat/>
    <w:uiPriority w:val="0"/>
    <w:pPr>
      <w:spacing w:line="360" w:lineRule="auto"/>
      <w:ind w:firstLine="200" w:firstLineChars="200"/>
    </w:pPr>
    <w:rPr>
      <w:rFonts w:ascii="宋体" w:hAnsi="宋体" w:cs="宋体"/>
      <w:sz w:val="24"/>
      <w:szCs w:val="24"/>
    </w:rPr>
  </w:style>
  <w:style w:type="paragraph" w:customStyle="1" w:styleId="1256">
    <w:name w:val="reader-word-layer reader-word-s1-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57">
    <w:name w:val="xl6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b/>
      <w:bCs/>
      <w:kern w:val="0"/>
      <w:sz w:val="16"/>
      <w:szCs w:val="16"/>
    </w:rPr>
  </w:style>
  <w:style w:type="paragraph" w:customStyle="1" w:styleId="1258">
    <w:name w:val="表格项目名称(五号)"/>
    <w:basedOn w:val="1"/>
    <w:qFormat/>
    <w:uiPriority w:val="0"/>
    <w:pPr>
      <w:jc w:val="center"/>
    </w:pPr>
    <w:rPr>
      <w:snapToGrid w:val="0"/>
      <w:kern w:val="0"/>
      <w:szCs w:val="28"/>
    </w:rPr>
  </w:style>
  <w:style w:type="paragraph" w:customStyle="1" w:styleId="1259">
    <w:name w:val="表格居中"/>
    <w:qFormat/>
    <w:uiPriority w:val="0"/>
    <w:pPr>
      <w:widowControl w:val="0"/>
      <w:jc w:val="center"/>
    </w:pPr>
    <w:rPr>
      <w:rFonts w:ascii="宋体" w:hAnsi="Arial" w:eastAsia="宋体" w:cs="Times New Roman"/>
      <w:kern w:val="2"/>
      <w:sz w:val="21"/>
      <w:lang w:val="en-US" w:eastAsia="zh-CN" w:bidi="ar-SA"/>
    </w:rPr>
  </w:style>
  <w:style w:type="paragraph" w:customStyle="1" w:styleId="1260">
    <w:name w:val="reader-word-layer reader-word-s2-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61">
    <w:name w:val="4"/>
    <w:basedOn w:val="1"/>
    <w:next w:val="19"/>
    <w:qFormat/>
    <w:uiPriority w:val="0"/>
    <w:pPr>
      <w:ind w:firstLine="420"/>
    </w:pPr>
    <w:rPr>
      <w:szCs w:val="20"/>
    </w:rPr>
  </w:style>
  <w:style w:type="paragraph" w:customStyle="1" w:styleId="1262">
    <w:name w:val="图片格式"/>
    <w:basedOn w:val="1"/>
    <w:next w:val="1"/>
    <w:qFormat/>
    <w:uiPriority w:val="0"/>
    <w:pPr>
      <w:spacing w:line="348" w:lineRule="auto"/>
      <w:jc w:val="center"/>
    </w:pPr>
    <w:rPr>
      <w:sz w:val="24"/>
      <w:szCs w:val="24"/>
    </w:rPr>
  </w:style>
  <w:style w:type="paragraph" w:customStyle="1" w:styleId="1263">
    <w:name w:val="Char Char Char1 Char1"/>
    <w:basedOn w:val="1"/>
    <w:next w:val="1"/>
    <w:qFormat/>
    <w:uiPriority w:val="0"/>
    <w:pPr>
      <w:spacing w:line="360" w:lineRule="auto"/>
      <w:ind w:firstLine="200" w:firstLineChars="200"/>
    </w:pPr>
    <w:rPr>
      <w:rFonts w:ascii="宋体" w:hAnsi="宋体" w:cs="宋体"/>
      <w:sz w:val="24"/>
      <w:szCs w:val="24"/>
    </w:rPr>
  </w:style>
  <w:style w:type="paragraph" w:customStyle="1" w:styleId="1264">
    <w:name w:val="font11"/>
    <w:basedOn w:val="1"/>
    <w:qFormat/>
    <w:uiPriority w:val="0"/>
    <w:pPr>
      <w:widowControl/>
      <w:spacing w:before="100" w:beforeAutospacing="1" w:after="100" w:afterAutospacing="1"/>
      <w:jc w:val="left"/>
    </w:pPr>
    <w:rPr>
      <w:b/>
      <w:bCs/>
      <w:kern w:val="0"/>
      <w:sz w:val="16"/>
      <w:szCs w:val="16"/>
    </w:rPr>
  </w:style>
  <w:style w:type="paragraph" w:customStyle="1" w:styleId="1265">
    <w:name w:val="图表头"/>
    <w:basedOn w:val="1"/>
    <w:next w:val="1"/>
    <w:qFormat/>
    <w:uiPriority w:val="0"/>
    <w:pPr>
      <w:tabs>
        <w:tab w:val="left" w:pos="360"/>
      </w:tabs>
      <w:spacing w:before="234" w:beforeLines="75" w:after="78" w:afterLines="25" w:line="460" w:lineRule="exact"/>
      <w:jc w:val="center"/>
    </w:pPr>
    <w:rPr>
      <w:rFonts w:ascii="宋体" w:hAnsi="宋体" w:eastAsia="黑体"/>
      <w:sz w:val="24"/>
      <w:szCs w:val="20"/>
    </w:rPr>
  </w:style>
  <w:style w:type="paragraph" w:customStyle="1" w:styleId="1266">
    <w:name w:val="Char Char Char Char8"/>
    <w:basedOn w:val="1"/>
    <w:qFormat/>
    <w:uiPriority w:val="0"/>
    <w:rPr>
      <w:szCs w:val="24"/>
    </w:rPr>
  </w:style>
  <w:style w:type="paragraph" w:customStyle="1" w:styleId="1267">
    <w:name w:val="表1"/>
    <w:basedOn w:val="31"/>
    <w:qFormat/>
    <w:uiPriority w:val="0"/>
    <w:pPr>
      <w:autoSpaceDE w:val="0"/>
      <w:autoSpaceDN w:val="0"/>
      <w:adjustRightInd w:val="0"/>
      <w:spacing w:before="60" w:line="288" w:lineRule="auto"/>
      <w:ind w:left="0"/>
      <w:jc w:val="center"/>
    </w:pPr>
    <w:rPr>
      <w:rFonts w:ascii="Times New Roman" w:hAnsi="Times New Roman"/>
      <w:color w:val="000000"/>
      <w:kern w:val="2"/>
      <w:szCs w:val="20"/>
      <w:lang w:eastAsia="zh-CN"/>
    </w:rPr>
  </w:style>
  <w:style w:type="paragraph" w:customStyle="1" w:styleId="1268">
    <w:name w:val="xl127"/>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1269">
    <w:name w:val="xl115"/>
    <w:basedOn w:val="1"/>
    <w:qFormat/>
    <w:uiPriority w:val="0"/>
    <w:pPr>
      <w:widowControl/>
      <w:pBdr>
        <w:top w:val="single" w:color="auto" w:sz="4" w:space="0"/>
        <w:bottom w:val="single" w:color="auto" w:sz="8"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270">
    <w:name w:val="reader-word-layer reader-word-s58-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1">
    <w:name w:val="流程图"/>
    <w:basedOn w:val="1"/>
    <w:qFormat/>
    <w:uiPriority w:val="0"/>
    <w:pPr>
      <w:tabs>
        <w:tab w:val="left" w:pos="0"/>
      </w:tabs>
      <w:autoSpaceDE w:val="0"/>
      <w:autoSpaceDN w:val="0"/>
      <w:adjustRightInd w:val="0"/>
      <w:spacing w:line="240" w:lineRule="atLeast"/>
      <w:jc w:val="center"/>
      <w:textAlignment w:val="bottom"/>
    </w:pPr>
    <w:rPr>
      <w:rFonts w:ascii="宋体"/>
      <w:szCs w:val="20"/>
    </w:rPr>
  </w:style>
  <w:style w:type="paragraph" w:customStyle="1" w:styleId="1272">
    <w:name w:val="xl9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1273">
    <w:name w:val="reader-word-layer reader-word-s55-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4">
    <w:name w:val="reader-word-layer reader-word-s53-2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5">
    <w:name w:val="reader-word-layer reader-word-s53-3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6">
    <w:name w:val="reader-word-layer reader-word-s53-3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7">
    <w:name w:val="reader-word-layer reader-word-s53-2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8">
    <w:name w:val="reader-word-layer reader-word-s16-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9">
    <w:name w:val="reader-word-layer reader-word-s16-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0">
    <w:name w:val="reader-word-layer reader-word-s16-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1">
    <w:name w:val="reader-word-layer reader-word-s1-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2">
    <w:name w:val="reader-word-layer reader-word-s1-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3">
    <w:name w:val="吴用表格"/>
    <w:basedOn w:val="1"/>
    <w:qFormat/>
    <w:uiPriority w:val="0"/>
    <w:pPr>
      <w:spacing w:line="320" w:lineRule="exact"/>
      <w:jc w:val="center"/>
    </w:pPr>
    <w:rPr>
      <w:rFonts w:ascii="Arial" w:hAnsi="Arial" w:cs="Arial"/>
      <w:szCs w:val="21"/>
    </w:rPr>
  </w:style>
  <w:style w:type="paragraph" w:customStyle="1" w:styleId="1284">
    <w:name w:val="Char1 Char Char Char1"/>
    <w:basedOn w:val="1"/>
    <w:qFormat/>
    <w:uiPriority w:val="0"/>
    <w:pPr>
      <w:widowControl/>
      <w:spacing w:after="160" w:line="240" w:lineRule="exact"/>
      <w:jc w:val="left"/>
    </w:pPr>
    <w:rPr>
      <w:szCs w:val="24"/>
    </w:rPr>
  </w:style>
  <w:style w:type="paragraph" w:customStyle="1" w:styleId="1285">
    <w:name w:val="标准样式"/>
    <w:link w:val="2087"/>
    <w:qFormat/>
    <w:uiPriority w:val="0"/>
    <w:pPr>
      <w:widowControl w:val="0"/>
      <w:spacing w:line="600" w:lineRule="exact"/>
      <w:ind w:firstLine="200" w:firstLineChars="200"/>
      <w:jc w:val="both"/>
    </w:pPr>
    <w:rPr>
      <w:rFonts w:ascii="Times New Roman" w:hAnsi="Times New Roman" w:eastAsia="宋体" w:cs="Times New Roman"/>
      <w:sz w:val="28"/>
      <w:lang w:val="en-US" w:eastAsia="zh-CN" w:bidi="ar-SA"/>
    </w:rPr>
  </w:style>
  <w:style w:type="paragraph" w:customStyle="1" w:styleId="1286">
    <w:name w:val="标准样式1"/>
    <w:basedOn w:val="1"/>
    <w:qFormat/>
    <w:uiPriority w:val="0"/>
    <w:pPr>
      <w:spacing w:line="600" w:lineRule="exact"/>
      <w:ind w:firstLine="567"/>
    </w:pPr>
    <w:rPr>
      <w:rFonts w:ascii="宋体"/>
      <w:sz w:val="28"/>
      <w:szCs w:val="20"/>
    </w:rPr>
  </w:style>
  <w:style w:type="paragraph" w:customStyle="1" w:styleId="1287">
    <w:name w:val="Char1 Char Char Char2"/>
    <w:basedOn w:val="1"/>
    <w:qFormat/>
    <w:uiPriority w:val="0"/>
    <w:rPr>
      <w:rFonts w:ascii="Tahoma" w:hAnsi="Tahoma"/>
      <w:sz w:val="24"/>
      <w:szCs w:val="20"/>
    </w:rPr>
  </w:style>
  <w:style w:type="paragraph" w:customStyle="1" w:styleId="1288">
    <w:name w:val="默认段落字体 Para Char Char Char Char Char Char Char Char Char Char Char Char Char Char Char Char Char"/>
    <w:basedOn w:val="1"/>
    <w:qFormat/>
    <w:uiPriority w:val="0"/>
    <w:rPr>
      <w:szCs w:val="24"/>
    </w:rPr>
  </w:style>
  <w:style w:type="paragraph" w:customStyle="1" w:styleId="1289">
    <w:name w:val="Char Char Char Char Char Char Char Char Char Char Char Char Char Char Char Char Char Char Char Char Char Char1"/>
    <w:basedOn w:val="1"/>
    <w:qFormat/>
    <w:uiPriority w:val="0"/>
    <w:rPr>
      <w:rFonts w:ascii="宋体" w:hAnsi="宋体" w:eastAsia="仿宋_GB2312" w:cs="Courier New"/>
      <w:sz w:val="32"/>
      <w:szCs w:val="32"/>
    </w:rPr>
  </w:style>
  <w:style w:type="paragraph" w:customStyle="1" w:styleId="1290">
    <w:name w:val="修订1"/>
    <w:semiHidden/>
    <w:qFormat/>
    <w:uiPriority w:val="0"/>
    <w:rPr>
      <w:rFonts w:ascii="Times New Roman" w:hAnsi="Times New Roman" w:eastAsia="宋体" w:cs="Times New Roman"/>
      <w:kern w:val="2"/>
      <w:sz w:val="21"/>
      <w:szCs w:val="22"/>
      <w:lang w:val="en-US" w:eastAsia="zh-CN" w:bidi="ar-SA"/>
    </w:rPr>
  </w:style>
  <w:style w:type="paragraph" w:customStyle="1" w:styleId="1291">
    <w:name w:val="标题2-hao"/>
    <w:qFormat/>
    <w:uiPriority w:val="0"/>
    <w:pPr>
      <w:adjustRightInd w:val="0"/>
      <w:snapToGrid w:val="0"/>
      <w:spacing w:line="348" w:lineRule="auto"/>
      <w:outlineLvl w:val="1"/>
    </w:pPr>
    <w:rPr>
      <w:rFonts w:ascii="Times New Roman" w:hAnsi="Times New Roman" w:eastAsia="宋体" w:cs="Times New Roman"/>
      <w:b/>
      <w:sz w:val="28"/>
      <w:szCs w:val="28"/>
      <w:lang w:val="en-US" w:eastAsia="zh-CN" w:bidi="ar-SA"/>
    </w:rPr>
  </w:style>
  <w:style w:type="paragraph" w:customStyle="1" w:styleId="1292">
    <w:name w:val="表头-hao"/>
    <w:qFormat/>
    <w:uiPriority w:val="0"/>
    <w:pPr>
      <w:widowControl w:val="0"/>
      <w:adjustRightInd w:val="0"/>
      <w:snapToGrid w:val="0"/>
      <w:jc w:val="center"/>
    </w:pPr>
    <w:rPr>
      <w:rFonts w:ascii="Times New Roman" w:hAnsi="Times New Roman" w:eastAsia="宋体" w:cs="Times New Roman"/>
      <w:b/>
      <w:color w:val="000000"/>
      <w:kern w:val="2"/>
      <w:sz w:val="24"/>
      <w:szCs w:val="24"/>
      <w:lang w:val="en-US" w:eastAsia="zh-CN" w:bidi="ar-SA"/>
    </w:rPr>
  </w:style>
  <w:style w:type="paragraph" w:customStyle="1" w:styleId="1293">
    <w:name w:val="Char Char Char Char Char Char Char Char Char Char Char Char Char Char Char2 Char1"/>
    <w:basedOn w:val="1"/>
    <w:qFormat/>
    <w:uiPriority w:val="0"/>
    <w:rPr>
      <w:rFonts w:ascii="仿宋_GB2312" w:eastAsia="仿宋_GB2312"/>
      <w:b/>
      <w:sz w:val="32"/>
      <w:szCs w:val="32"/>
    </w:rPr>
  </w:style>
  <w:style w:type="paragraph" w:customStyle="1" w:styleId="1294">
    <w:name w:val="Char4 Char Char Char1"/>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295">
    <w:name w:val="Char Char Char Char11"/>
    <w:basedOn w:val="1"/>
    <w:qFormat/>
    <w:uiPriority w:val="0"/>
    <w:pPr>
      <w:widowControl/>
      <w:tabs>
        <w:tab w:val="left" w:pos="1701"/>
      </w:tabs>
      <w:spacing w:after="160" w:line="240" w:lineRule="exact"/>
      <w:jc w:val="left"/>
    </w:pPr>
    <w:rPr>
      <w:rFonts w:ascii="Arial" w:hAnsi="Arial" w:eastAsia="Times New Roman" w:cs="Verdana"/>
      <w:b/>
      <w:kern w:val="0"/>
      <w:sz w:val="24"/>
      <w:szCs w:val="20"/>
      <w:lang w:eastAsia="en-US"/>
    </w:rPr>
  </w:style>
  <w:style w:type="paragraph" w:customStyle="1" w:styleId="1296">
    <w:name w:val="Char Char Char2 Char Char1"/>
    <w:basedOn w:val="1"/>
    <w:qFormat/>
    <w:uiPriority w:val="0"/>
    <w:pPr>
      <w:spacing w:line="360" w:lineRule="auto"/>
      <w:ind w:firstLine="200" w:firstLineChars="200"/>
    </w:pPr>
    <w:rPr>
      <w:rFonts w:ascii="宋体" w:hAnsi="宋体" w:cs="宋体"/>
      <w:sz w:val="24"/>
      <w:szCs w:val="24"/>
    </w:rPr>
  </w:style>
  <w:style w:type="paragraph" w:customStyle="1" w:styleId="1297">
    <w:name w:val="Char2 Char Char Char1"/>
    <w:basedOn w:val="1"/>
    <w:qFormat/>
    <w:uiPriority w:val="0"/>
    <w:rPr>
      <w:sz w:val="30"/>
      <w:szCs w:val="30"/>
    </w:rPr>
  </w:style>
  <w:style w:type="paragraph" w:customStyle="1" w:styleId="1298">
    <w:name w:val="表格头"/>
    <w:qFormat/>
    <w:uiPriority w:val="0"/>
    <w:pPr>
      <w:adjustRightInd w:val="0"/>
      <w:snapToGrid w:val="0"/>
      <w:spacing w:line="348" w:lineRule="auto"/>
      <w:jc w:val="center"/>
    </w:pPr>
    <w:rPr>
      <w:rFonts w:ascii="Times New Roman" w:hAnsi="Times New Roman" w:eastAsia="宋体" w:cs="Times New Roman"/>
      <w:sz w:val="24"/>
      <w:szCs w:val="24"/>
      <w:lang w:val="en-US" w:eastAsia="zh-CN" w:bidi="ar-SA"/>
    </w:rPr>
  </w:style>
  <w:style w:type="paragraph" w:customStyle="1" w:styleId="1299">
    <w:name w:val="Char Char Char Char Char Char1 Char Char Char Char Char Char Char Char Char1 Char Char Char Char Char Char Char Char Char Char Char Char Char1"/>
    <w:basedOn w:val="1"/>
    <w:qFormat/>
    <w:uiPriority w:val="0"/>
    <w:pPr>
      <w:widowControl/>
      <w:jc w:val="left"/>
    </w:pPr>
    <w:rPr>
      <w:rFonts w:ascii="宋体" w:hAnsi="宋体" w:cs="宋体"/>
      <w:kern w:val="0"/>
      <w:sz w:val="24"/>
      <w:szCs w:val="24"/>
    </w:rPr>
  </w:style>
  <w:style w:type="paragraph" w:customStyle="1" w:styleId="1300">
    <w:name w:val="Char1 Char Char Char11"/>
    <w:basedOn w:val="1"/>
    <w:qFormat/>
    <w:uiPriority w:val="0"/>
    <w:pPr>
      <w:widowControl/>
      <w:spacing w:after="160" w:line="240" w:lineRule="exact"/>
      <w:jc w:val="left"/>
    </w:pPr>
    <w:rPr>
      <w:szCs w:val="24"/>
    </w:rPr>
  </w:style>
  <w:style w:type="paragraph" w:customStyle="1" w:styleId="1301">
    <w:name w:val="样式 列表 Char + 居中"/>
    <w:basedOn w:val="57"/>
    <w:qFormat/>
    <w:uiPriority w:val="0"/>
    <w:pPr>
      <w:tabs>
        <w:tab w:val="left" w:pos="780"/>
      </w:tabs>
      <w:snapToGrid w:val="0"/>
      <w:ind w:left="0" w:firstLine="0"/>
      <w:jc w:val="center"/>
    </w:pPr>
    <w:rPr>
      <w:kern w:val="0"/>
      <w:sz w:val="21"/>
      <w:szCs w:val="21"/>
    </w:rPr>
  </w:style>
  <w:style w:type="paragraph" w:customStyle="1" w:styleId="1302">
    <w:name w:val="样式 列表 + 首行缩进:  0.74 厘米"/>
    <w:basedOn w:val="57"/>
    <w:qFormat/>
    <w:uiPriority w:val="0"/>
    <w:pPr>
      <w:adjustRightInd w:val="0"/>
      <w:snapToGrid w:val="0"/>
      <w:ind w:left="0" w:firstLine="0"/>
    </w:pPr>
    <w:rPr>
      <w:sz w:val="21"/>
      <w:szCs w:val="20"/>
    </w:rPr>
  </w:style>
  <w:style w:type="paragraph" w:customStyle="1" w:styleId="1303">
    <w:name w:val="正文图小五"/>
    <w:basedOn w:val="1"/>
    <w:qFormat/>
    <w:uiPriority w:val="0"/>
    <w:pPr>
      <w:snapToGrid w:val="0"/>
      <w:spacing w:line="240" w:lineRule="atLeast"/>
      <w:jc w:val="center"/>
    </w:pPr>
    <w:rPr>
      <w:rFonts w:ascii="Arial" w:hAnsi="Arial" w:cs="Arial"/>
      <w:spacing w:val="6"/>
      <w:sz w:val="18"/>
      <w:szCs w:val="20"/>
    </w:rPr>
  </w:style>
  <w:style w:type="paragraph" w:customStyle="1" w:styleId="1304">
    <w:name w:val="_Style 1"/>
    <w:basedOn w:val="1"/>
    <w:qFormat/>
    <w:uiPriority w:val="0"/>
    <w:pPr>
      <w:ind w:firstLine="420" w:firstLineChars="200"/>
    </w:pPr>
    <w:rPr>
      <w:szCs w:val="24"/>
    </w:rPr>
  </w:style>
  <w:style w:type="paragraph" w:customStyle="1" w:styleId="1305">
    <w:name w:val="p0"/>
    <w:basedOn w:val="1"/>
    <w:qFormat/>
    <w:uiPriority w:val="0"/>
    <w:pPr>
      <w:widowControl/>
      <w:spacing w:line="590" w:lineRule="atLeast"/>
      <w:ind w:left="1" w:firstLine="200" w:firstLineChars="200"/>
    </w:pPr>
    <w:rPr>
      <w:color w:val="000000"/>
      <w:kern w:val="0"/>
      <w:sz w:val="24"/>
      <w:szCs w:val="21"/>
    </w:rPr>
  </w:style>
  <w:style w:type="paragraph" w:customStyle="1" w:styleId="1306">
    <w:name w:val="CC Char Char Char Char Char Char"/>
    <w:basedOn w:val="46"/>
    <w:next w:val="46"/>
    <w:semiHidden/>
    <w:qFormat/>
    <w:uiPriority w:val="0"/>
    <w:pPr>
      <w:snapToGrid/>
      <w:ind w:left="630" w:leftChars="100" w:right="100" w:rightChars="100" w:firstLine="0" w:firstLineChars="0"/>
    </w:pPr>
    <w:rPr>
      <w:rFonts w:hint="eastAsia" w:ascii="Times New Roman" w:hAnsi="Times New Roman"/>
      <w:szCs w:val="28"/>
    </w:rPr>
  </w:style>
  <w:style w:type="paragraph" w:customStyle="1" w:styleId="1307">
    <w:name w:val="表格尾格式"/>
    <w:basedOn w:val="1"/>
    <w:qFormat/>
    <w:uiPriority w:val="0"/>
    <w:pPr>
      <w:tabs>
        <w:tab w:val="left" w:pos="1701"/>
      </w:tabs>
      <w:adjustRightInd w:val="0"/>
      <w:snapToGrid w:val="0"/>
      <w:spacing w:line="240" w:lineRule="exact"/>
      <w:ind w:left="561"/>
      <w:jc w:val="left"/>
    </w:pPr>
    <w:rPr>
      <w:sz w:val="10"/>
      <w:szCs w:val="24"/>
    </w:rPr>
  </w:style>
  <w:style w:type="paragraph" w:customStyle="1" w:styleId="1308">
    <w:name w:val="列项——"/>
    <w:qFormat/>
    <w:uiPriority w:val="0"/>
    <w:pPr>
      <w:widowControl w:val="0"/>
      <w:tabs>
        <w:tab w:val="left" w:pos="630"/>
      </w:tabs>
      <w:ind w:left="630" w:hanging="630"/>
      <w:jc w:val="both"/>
    </w:pPr>
    <w:rPr>
      <w:rFonts w:ascii="宋体" w:hAnsi="Times New Roman" w:eastAsia="宋体" w:cs="Times New Roman"/>
      <w:sz w:val="21"/>
      <w:lang w:val="en-US" w:eastAsia="zh-CN" w:bidi="ar-SA"/>
    </w:rPr>
  </w:style>
  <w:style w:type="paragraph" w:customStyle="1" w:styleId="1309">
    <w:name w:val="AFTERTITLE"/>
    <w:basedOn w:val="1"/>
    <w:qFormat/>
    <w:uiPriority w:val="0"/>
    <w:pPr>
      <w:widowControl/>
      <w:tabs>
        <w:tab w:val="left" w:pos="1701"/>
      </w:tabs>
      <w:spacing w:line="360" w:lineRule="atLeast"/>
      <w:ind w:firstLine="200" w:firstLineChars="200"/>
      <w:jc w:val="center"/>
    </w:pPr>
    <w:rPr>
      <w:b/>
      <w:caps/>
      <w:kern w:val="0"/>
      <w:sz w:val="24"/>
      <w:szCs w:val="20"/>
      <w:lang w:val="fr-FR"/>
    </w:rPr>
  </w:style>
  <w:style w:type="paragraph" w:customStyle="1" w:styleId="1310">
    <w:name w:val="表格文字居中"/>
    <w:basedOn w:val="1"/>
    <w:link w:val="1982"/>
    <w:qFormat/>
    <w:uiPriority w:val="0"/>
    <w:pPr>
      <w:tabs>
        <w:tab w:val="left" w:pos="1701"/>
      </w:tabs>
      <w:snapToGrid w:val="0"/>
      <w:spacing w:beforeLines="20" w:line="288" w:lineRule="auto"/>
      <w:jc w:val="center"/>
    </w:pPr>
    <w:rPr>
      <w:szCs w:val="20"/>
    </w:rPr>
  </w:style>
  <w:style w:type="paragraph" w:customStyle="1" w:styleId="1311">
    <w:name w:val="正文表格"/>
    <w:basedOn w:val="1"/>
    <w:qFormat/>
    <w:uiPriority w:val="0"/>
    <w:pPr>
      <w:keepNext/>
      <w:keepLines/>
      <w:tabs>
        <w:tab w:val="left" w:pos="1701"/>
      </w:tabs>
      <w:overflowPunct w:val="0"/>
      <w:adjustRightInd w:val="0"/>
      <w:spacing w:before="80"/>
      <w:jc w:val="center"/>
    </w:pPr>
    <w:rPr>
      <w:kern w:val="0"/>
      <w:sz w:val="28"/>
      <w:szCs w:val="20"/>
    </w:rPr>
  </w:style>
  <w:style w:type="paragraph" w:customStyle="1" w:styleId="1312">
    <w:name w:val="表头格式"/>
    <w:basedOn w:val="1"/>
    <w:next w:val="222"/>
    <w:qFormat/>
    <w:uiPriority w:val="0"/>
    <w:pPr>
      <w:tabs>
        <w:tab w:val="left" w:pos="1701"/>
      </w:tabs>
      <w:autoSpaceDE w:val="0"/>
      <w:autoSpaceDN w:val="0"/>
      <w:adjustRightInd w:val="0"/>
      <w:snapToGrid w:val="0"/>
      <w:spacing w:line="348" w:lineRule="auto"/>
      <w:jc w:val="center"/>
    </w:pPr>
    <w:rPr>
      <w:b/>
      <w:kern w:val="0"/>
      <w:sz w:val="24"/>
      <w:szCs w:val="20"/>
    </w:rPr>
  </w:style>
  <w:style w:type="paragraph" w:customStyle="1" w:styleId="1313">
    <w:name w:val="报告书"/>
    <w:basedOn w:val="1"/>
    <w:qFormat/>
    <w:uiPriority w:val="0"/>
    <w:pPr>
      <w:tabs>
        <w:tab w:val="left" w:pos="1701"/>
      </w:tabs>
      <w:autoSpaceDE w:val="0"/>
      <w:autoSpaceDN w:val="0"/>
      <w:adjustRightInd w:val="0"/>
      <w:spacing w:line="360" w:lineRule="auto"/>
      <w:ind w:firstLine="505"/>
      <w:jc w:val="left"/>
    </w:pPr>
    <w:rPr>
      <w:kern w:val="0"/>
      <w:sz w:val="24"/>
      <w:szCs w:val="20"/>
    </w:rPr>
  </w:style>
  <w:style w:type="paragraph" w:customStyle="1" w:styleId="1314">
    <w:name w:val="表格文字2"/>
    <w:basedOn w:val="1"/>
    <w:qFormat/>
    <w:uiPriority w:val="0"/>
    <w:pPr>
      <w:tabs>
        <w:tab w:val="left" w:pos="1701"/>
      </w:tabs>
      <w:adjustRightInd w:val="0"/>
      <w:snapToGrid w:val="0"/>
      <w:ind w:left="-105" w:leftChars="-50" w:right="-105" w:rightChars="-50"/>
      <w:jc w:val="center"/>
    </w:pPr>
    <w:rPr>
      <w:rFonts w:eastAsia="仿宋_GB2312"/>
      <w:szCs w:val="21"/>
    </w:rPr>
  </w:style>
  <w:style w:type="paragraph" w:customStyle="1" w:styleId="1315">
    <w:name w:val="样式 题注 + 首行缩进:  2 字符1"/>
    <w:basedOn w:val="20"/>
    <w:qFormat/>
    <w:uiPriority w:val="0"/>
    <w:pPr>
      <w:keepNext/>
      <w:tabs>
        <w:tab w:val="left" w:pos="1701"/>
      </w:tabs>
      <w:spacing w:after="160"/>
      <w:ind w:firstLine="200" w:firstLineChars="200"/>
    </w:pPr>
    <w:rPr>
      <w:rFonts w:cs="Arial"/>
      <w:kern w:val="0"/>
      <w:sz w:val="21"/>
      <w:szCs w:val="20"/>
    </w:rPr>
  </w:style>
  <w:style w:type="paragraph" w:customStyle="1" w:styleId="1316">
    <w:name w:val="样式 标题 2 + 宋体 小四"/>
    <w:basedOn w:val="4"/>
    <w:qFormat/>
    <w:uiPriority w:val="0"/>
    <w:pPr>
      <w:tabs>
        <w:tab w:val="left" w:pos="567"/>
        <w:tab w:val="left" w:pos="1701"/>
      </w:tabs>
      <w:spacing w:line="288" w:lineRule="auto"/>
      <w:ind w:firstLine="200" w:firstLineChars="200"/>
    </w:pPr>
    <w:rPr>
      <w:rFonts w:ascii="宋体" w:hAnsi="宋体"/>
      <w:sz w:val="24"/>
      <w:szCs w:val="24"/>
    </w:rPr>
  </w:style>
  <w:style w:type="paragraph" w:customStyle="1" w:styleId="1317">
    <w:name w:val="样式 正文缩进正文（首行缩进两字）正文（首行缩进两字） Char Char Char Char Char Char Char..."/>
    <w:basedOn w:val="19"/>
    <w:qFormat/>
    <w:uiPriority w:val="0"/>
    <w:pPr>
      <w:tabs>
        <w:tab w:val="left" w:pos="1701"/>
        <w:tab w:val="left" w:pos="3360"/>
      </w:tabs>
      <w:adjustRightInd w:val="0"/>
      <w:snapToGrid w:val="0"/>
      <w:spacing w:line="360" w:lineRule="auto"/>
      <w:ind w:firstLine="560"/>
      <w:jc w:val="center"/>
    </w:pPr>
    <w:rPr>
      <w:rFonts w:eastAsia="Times New Roman"/>
      <w:color w:val="FF0000"/>
      <w:sz w:val="28"/>
      <w:szCs w:val="28"/>
    </w:rPr>
  </w:style>
  <w:style w:type="paragraph" w:customStyle="1" w:styleId="1318">
    <w:name w:val="正文图"/>
    <w:basedOn w:val="1"/>
    <w:qFormat/>
    <w:uiPriority w:val="0"/>
    <w:pPr>
      <w:tabs>
        <w:tab w:val="left" w:pos="1701"/>
      </w:tabs>
      <w:adjustRightInd w:val="0"/>
      <w:snapToGrid w:val="0"/>
      <w:spacing w:before="40"/>
      <w:jc w:val="center"/>
    </w:pPr>
    <w:rPr>
      <w:rFonts w:ascii="宋体"/>
      <w:kern w:val="0"/>
      <w:sz w:val="24"/>
      <w:szCs w:val="20"/>
    </w:rPr>
  </w:style>
  <w:style w:type="paragraph" w:customStyle="1" w:styleId="1319">
    <w:name w:val="正文图小四"/>
    <w:basedOn w:val="1"/>
    <w:qFormat/>
    <w:uiPriority w:val="0"/>
    <w:pPr>
      <w:tabs>
        <w:tab w:val="left" w:pos="1701"/>
      </w:tabs>
      <w:adjustRightInd w:val="0"/>
      <w:snapToGrid w:val="0"/>
      <w:jc w:val="center"/>
    </w:pPr>
    <w:rPr>
      <w:rFonts w:ascii="宋体"/>
      <w:kern w:val="0"/>
      <w:sz w:val="24"/>
      <w:szCs w:val="24"/>
    </w:rPr>
  </w:style>
  <w:style w:type="paragraph" w:customStyle="1" w:styleId="1320">
    <w:name w:val="样式 小四 首行缩进:  2.5 字符"/>
    <w:basedOn w:val="1"/>
    <w:qFormat/>
    <w:uiPriority w:val="0"/>
    <w:pPr>
      <w:tabs>
        <w:tab w:val="left" w:pos="1701"/>
      </w:tabs>
      <w:ind w:firstLine="200" w:firstLineChars="200"/>
    </w:pPr>
    <w:rPr>
      <w:sz w:val="24"/>
      <w:szCs w:val="20"/>
    </w:rPr>
  </w:style>
  <w:style w:type="paragraph" w:customStyle="1" w:styleId="1321">
    <w:name w:val="样式2 Char Char"/>
    <w:basedOn w:val="19"/>
    <w:qFormat/>
    <w:uiPriority w:val="0"/>
    <w:pPr>
      <w:widowControl/>
      <w:tabs>
        <w:tab w:val="left" w:pos="1701"/>
        <w:tab w:val="left" w:pos="3360"/>
      </w:tabs>
      <w:adjustRightInd w:val="0"/>
      <w:snapToGrid w:val="0"/>
      <w:spacing w:line="360" w:lineRule="auto"/>
      <w:ind w:left="-2" w:leftChars="-1" w:firstLine="567" w:firstLineChars="0"/>
    </w:pPr>
    <w:rPr>
      <w:rFonts w:ascii="Arial" w:hAnsi="Arial" w:eastAsia="Times New Roman" w:cs="Arial"/>
      <w:bCs/>
      <w:spacing w:val="6"/>
      <w:szCs w:val="24"/>
    </w:rPr>
  </w:style>
  <w:style w:type="paragraph" w:customStyle="1" w:styleId="1322">
    <w:name w:val="正文仿宋"/>
    <w:basedOn w:val="1"/>
    <w:qFormat/>
    <w:uiPriority w:val="0"/>
    <w:pPr>
      <w:tabs>
        <w:tab w:val="left" w:pos="1701"/>
      </w:tabs>
      <w:adjustRightInd w:val="0"/>
      <w:snapToGrid w:val="0"/>
      <w:spacing w:line="360" w:lineRule="auto"/>
      <w:ind w:firstLine="567"/>
    </w:pPr>
    <w:rPr>
      <w:rFonts w:eastAsia="仿宋_GB2312"/>
      <w:kern w:val="0"/>
      <w:sz w:val="24"/>
      <w:szCs w:val="20"/>
    </w:rPr>
  </w:style>
  <w:style w:type="paragraph" w:customStyle="1" w:styleId="1323">
    <w:name w:val=".."/>
    <w:basedOn w:val="101"/>
    <w:next w:val="101"/>
    <w:qFormat/>
    <w:uiPriority w:val="0"/>
    <w:rPr>
      <w:rFonts w:cs="Times New Roman"/>
      <w:color w:val="auto"/>
      <w:sz w:val="20"/>
    </w:rPr>
  </w:style>
  <w:style w:type="paragraph" w:customStyle="1" w:styleId="1324">
    <w:name w:val="正文图五左"/>
    <w:basedOn w:val="1"/>
    <w:qFormat/>
    <w:uiPriority w:val="0"/>
    <w:pPr>
      <w:tabs>
        <w:tab w:val="left" w:pos="1701"/>
      </w:tabs>
      <w:adjustRightInd w:val="0"/>
      <w:snapToGrid w:val="0"/>
      <w:jc w:val="center"/>
    </w:pPr>
    <w:rPr>
      <w:rFonts w:ascii="仿宋_GB2312" w:hAnsi="华文宋体" w:eastAsia="仿宋_GB2312"/>
      <w:spacing w:val="6"/>
      <w:sz w:val="18"/>
      <w:szCs w:val="18"/>
    </w:rPr>
  </w:style>
  <w:style w:type="paragraph" w:customStyle="1" w:styleId="1325">
    <w:name w:val="正文图五"/>
    <w:basedOn w:val="1"/>
    <w:qFormat/>
    <w:uiPriority w:val="0"/>
    <w:pPr>
      <w:tabs>
        <w:tab w:val="left" w:pos="1701"/>
      </w:tabs>
      <w:adjustRightInd w:val="0"/>
      <w:snapToGrid w:val="0"/>
      <w:jc w:val="center"/>
    </w:pPr>
    <w:rPr>
      <w:rFonts w:ascii="仿宋_GB2312" w:hAnsi="华文宋体" w:eastAsia="仿宋_GB2312"/>
      <w:spacing w:val="6"/>
      <w:sz w:val="18"/>
      <w:szCs w:val="18"/>
    </w:rPr>
  </w:style>
  <w:style w:type="paragraph" w:customStyle="1" w:styleId="1326">
    <w:name w:val="生物附录"/>
    <w:qFormat/>
    <w:uiPriority w:val="0"/>
    <w:pPr>
      <w:jc w:val="both"/>
    </w:pPr>
    <w:rPr>
      <w:rFonts w:ascii="Times New Roman" w:hAnsi="Times New Roman" w:eastAsia="宋体" w:cs="Times New Roman"/>
      <w:b/>
      <w:spacing w:val="20"/>
      <w:sz w:val="28"/>
      <w:lang w:val="en-US" w:eastAsia="zh-CN" w:bidi="ar-SA"/>
    </w:rPr>
  </w:style>
  <w:style w:type="paragraph" w:customStyle="1" w:styleId="1327">
    <w:name w:val="正文（首行缩进两字） Char Char Char Char Char"/>
    <w:basedOn w:val="1"/>
    <w:next w:val="19"/>
    <w:qFormat/>
    <w:uiPriority w:val="0"/>
    <w:pPr>
      <w:tabs>
        <w:tab w:val="left" w:pos="1701"/>
      </w:tabs>
      <w:ind w:firstLine="420" w:firstLineChars="200"/>
    </w:pPr>
    <w:rPr>
      <w:sz w:val="24"/>
      <w:szCs w:val="24"/>
    </w:rPr>
  </w:style>
  <w:style w:type="paragraph" w:customStyle="1" w:styleId="1328">
    <w:name w:val="样式 正文文本缩进特点标题表内左齐 + 首行缩进:  2 字符"/>
    <w:basedOn w:val="32"/>
    <w:qFormat/>
    <w:uiPriority w:val="0"/>
    <w:pPr>
      <w:tabs>
        <w:tab w:val="left" w:pos="1701"/>
      </w:tabs>
      <w:spacing w:after="0"/>
      <w:ind w:left="0" w:leftChars="0" w:firstLine="200" w:firstLineChars="200"/>
    </w:pPr>
    <w:rPr>
      <w:rFonts w:hint="eastAsia" w:ascii="Times New Roman" w:hAnsi="Times New Roman" w:eastAsia="仿宋_GB2312"/>
      <w:color w:val="000000"/>
      <w:spacing w:val="4"/>
      <w:kern w:val="0"/>
      <w:sz w:val="24"/>
    </w:rPr>
  </w:style>
  <w:style w:type="paragraph" w:customStyle="1" w:styleId="1329">
    <w:name w:val="样式 标题 2 + 加粗 行距: 1.5 倍行距"/>
    <w:basedOn w:val="4"/>
    <w:qFormat/>
    <w:uiPriority w:val="0"/>
    <w:pPr>
      <w:tabs>
        <w:tab w:val="left" w:pos="567"/>
        <w:tab w:val="left" w:pos="1701"/>
      </w:tabs>
      <w:spacing w:line="360" w:lineRule="auto"/>
    </w:pPr>
    <w:rPr>
      <w:rFonts w:eastAsia="仿宋_GB2312"/>
      <w:sz w:val="24"/>
    </w:rPr>
  </w:style>
  <w:style w:type="paragraph" w:customStyle="1" w:styleId="1330">
    <w:name w:val="框图sq"/>
    <w:basedOn w:val="1"/>
    <w:qFormat/>
    <w:uiPriority w:val="0"/>
    <w:pPr>
      <w:tabs>
        <w:tab w:val="left" w:pos="1701"/>
      </w:tabs>
      <w:adjustRightInd w:val="0"/>
      <w:spacing w:line="0" w:lineRule="atLeast"/>
    </w:pPr>
    <w:rPr>
      <w:rFonts w:ascii="宋体"/>
      <w:kern w:val="0"/>
      <w:szCs w:val="20"/>
    </w:rPr>
  </w:style>
  <w:style w:type="paragraph" w:customStyle="1" w:styleId="1331">
    <w:name w:val="样式 正文文本缩进正文文字缩进特点标题表内左齐 + (中文) 仿宋_GB2312 11 磅 两端对齐 行距: 1.5..."/>
    <w:basedOn w:val="32"/>
    <w:qFormat/>
    <w:uiPriority w:val="0"/>
    <w:pPr>
      <w:tabs>
        <w:tab w:val="left" w:pos="1701"/>
      </w:tabs>
      <w:autoSpaceDE w:val="0"/>
      <w:autoSpaceDN w:val="0"/>
      <w:spacing w:after="0"/>
      <w:ind w:left="0" w:leftChars="0" w:firstLine="440" w:firstLineChars="200"/>
    </w:pPr>
    <w:rPr>
      <w:rFonts w:hint="eastAsia" w:ascii="Times New Roman" w:hAnsi="Times New Roman" w:eastAsia="仿宋_GB2312"/>
      <w:kern w:val="0"/>
      <w:sz w:val="22"/>
    </w:rPr>
  </w:style>
  <w:style w:type="paragraph" w:customStyle="1" w:styleId="1332">
    <w:name w:val="样式 正文文本缩进正文文字缩进特点标题表内左齐 + (中文) 仿宋_GB2312 11 磅 两端对齐 行距: 1.5...1"/>
    <w:basedOn w:val="32"/>
    <w:qFormat/>
    <w:uiPriority w:val="0"/>
    <w:pPr>
      <w:tabs>
        <w:tab w:val="left" w:pos="1701"/>
      </w:tabs>
      <w:autoSpaceDE w:val="0"/>
      <w:autoSpaceDN w:val="0"/>
      <w:spacing w:after="0"/>
      <w:ind w:left="0" w:leftChars="0" w:firstLine="440" w:firstLineChars="200"/>
    </w:pPr>
    <w:rPr>
      <w:rFonts w:hint="eastAsia" w:ascii="Times New Roman" w:hAnsi="Times New Roman" w:eastAsia="仿宋_GB2312"/>
      <w:kern w:val="0"/>
      <w:sz w:val="22"/>
    </w:rPr>
  </w:style>
  <w:style w:type="paragraph" w:customStyle="1" w:styleId="1333">
    <w:name w:val="样式 正文文字缩进 3 + (西文) Times New Roman (中文) 仿宋_GB2312 11 磅"/>
    <w:basedOn w:val="75"/>
    <w:next w:val="1332"/>
    <w:qFormat/>
    <w:uiPriority w:val="0"/>
    <w:pPr>
      <w:tabs>
        <w:tab w:val="left" w:pos="1701"/>
      </w:tabs>
      <w:snapToGrid w:val="0"/>
      <w:spacing w:after="0" w:line="312" w:lineRule="auto"/>
      <w:ind w:left="0" w:leftChars="0" w:firstLine="330" w:firstLineChars="150"/>
    </w:pPr>
    <w:rPr>
      <w:rFonts w:hint="eastAsia" w:hAnsi="Arial" w:eastAsia="仿宋_GB2312"/>
      <w:spacing w:val="6"/>
      <w:kern w:val="0"/>
      <w:sz w:val="22"/>
      <w:szCs w:val="24"/>
    </w:rPr>
  </w:style>
  <w:style w:type="paragraph" w:customStyle="1" w:styleId="1334">
    <w:name w:val="样式 正文文本缩进正文文字缩进特点标题表内左齐 + (中文) 仿宋_GB2312 11.5 磅 两端对齐 行距: 1..."/>
    <w:basedOn w:val="1"/>
    <w:qFormat/>
    <w:uiPriority w:val="0"/>
    <w:pPr>
      <w:widowControl/>
      <w:tabs>
        <w:tab w:val="left" w:pos="1701"/>
      </w:tabs>
      <w:spacing w:line="360" w:lineRule="auto"/>
      <w:ind w:firstLine="460" w:firstLineChars="200"/>
    </w:pPr>
    <w:rPr>
      <w:rFonts w:eastAsia="仿宋_GB2312"/>
      <w:kern w:val="0"/>
      <w:sz w:val="23"/>
      <w:szCs w:val="20"/>
    </w:rPr>
  </w:style>
  <w:style w:type="paragraph" w:customStyle="1" w:styleId="1335">
    <w:name w:val="标题正文"/>
    <w:basedOn w:val="1"/>
    <w:qFormat/>
    <w:uiPriority w:val="0"/>
    <w:pPr>
      <w:tabs>
        <w:tab w:val="left" w:pos="1701"/>
      </w:tabs>
      <w:spacing w:line="360" w:lineRule="auto"/>
      <w:ind w:firstLine="480" w:firstLineChars="200"/>
    </w:pPr>
    <w:rPr>
      <w:rFonts w:eastAsia="仿宋_GB2312"/>
      <w:sz w:val="24"/>
      <w:szCs w:val="20"/>
    </w:rPr>
  </w:style>
  <w:style w:type="paragraph" w:customStyle="1" w:styleId="1336">
    <w:name w:val="表 头"/>
    <w:basedOn w:val="1"/>
    <w:qFormat/>
    <w:uiPriority w:val="0"/>
    <w:pPr>
      <w:tabs>
        <w:tab w:val="left" w:pos="7245"/>
      </w:tabs>
      <w:adjustRightInd w:val="0"/>
      <w:spacing w:before="100" w:after="100" w:line="240" w:lineRule="atLeast"/>
      <w:jc w:val="center"/>
    </w:pPr>
    <w:rPr>
      <w:rFonts w:ascii="Arial" w:eastAsia="黑体" w:cs="Arial"/>
      <w:sz w:val="24"/>
      <w:szCs w:val="21"/>
    </w:rPr>
  </w:style>
  <w:style w:type="paragraph" w:customStyle="1" w:styleId="1337">
    <w:name w:val="样式 表头 + 两端对齐"/>
    <w:basedOn w:val="1"/>
    <w:qFormat/>
    <w:uiPriority w:val="0"/>
    <w:pPr>
      <w:keepNext/>
      <w:keepLines/>
      <w:tabs>
        <w:tab w:val="left" w:pos="1701"/>
      </w:tabs>
      <w:adjustRightInd w:val="0"/>
      <w:snapToGrid w:val="0"/>
      <w:spacing w:before="60" w:line="360" w:lineRule="auto"/>
      <w:ind w:firstLine="200" w:firstLineChars="200"/>
    </w:pPr>
    <w:rPr>
      <w:rFonts w:eastAsia="仿宋_GB2312"/>
      <w:kern w:val="0"/>
      <w:sz w:val="24"/>
      <w:szCs w:val="20"/>
    </w:rPr>
  </w:style>
  <w:style w:type="paragraph" w:customStyle="1" w:styleId="1338">
    <w:name w:val="样式 表格文字 + 五号 黑色"/>
    <w:basedOn w:val="603"/>
    <w:qFormat/>
    <w:uiPriority w:val="0"/>
    <w:pPr>
      <w:framePr w:wrap="around"/>
      <w:widowControl w:val="0"/>
      <w:overflowPunct/>
      <w:autoSpaceDE/>
      <w:autoSpaceDN/>
      <w:spacing w:beforeLines="20" w:line="240" w:lineRule="atLeast"/>
    </w:pPr>
    <w:rPr>
      <w:szCs w:val="21"/>
    </w:rPr>
  </w:style>
  <w:style w:type="paragraph" w:customStyle="1" w:styleId="1339">
    <w:name w:val="bw1"/>
    <w:basedOn w:val="1"/>
    <w:qFormat/>
    <w:uiPriority w:val="0"/>
    <w:pPr>
      <w:tabs>
        <w:tab w:val="left" w:pos="1701"/>
      </w:tabs>
      <w:adjustRightInd w:val="0"/>
      <w:snapToGrid w:val="0"/>
      <w:spacing w:line="240" w:lineRule="atLeast"/>
      <w:ind w:left="-57" w:right="-57"/>
      <w:jc w:val="center"/>
    </w:pPr>
    <w:rPr>
      <w:rFonts w:ascii="Arial Narrow" w:hAnsi="Arial Narrow" w:eastAsia="楷体_GB2312"/>
      <w:w w:val="90"/>
      <w:sz w:val="18"/>
      <w:szCs w:val="20"/>
    </w:rPr>
  </w:style>
  <w:style w:type="paragraph" w:customStyle="1" w:styleId="1340">
    <w:name w:val="Date1"/>
    <w:basedOn w:val="1"/>
    <w:next w:val="1"/>
    <w:qFormat/>
    <w:uiPriority w:val="0"/>
    <w:pPr>
      <w:tabs>
        <w:tab w:val="left" w:pos="1701"/>
      </w:tabs>
      <w:adjustRightInd w:val="0"/>
      <w:spacing w:line="360" w:lineRule="atLeast"/>
    </w:pPr>
    <w:rPr>
      <w:rFonts w:ascii="宋体" w:eastAsia="Wingdings"/>
      <w:spacing w:val="20"/>
      <w:kern w:val="0"/>
      <w:sz w:val="28"/>
      <w:szCs w:val="20"/>
    </w:rPr>
  </w:style>
  <w:style w:type="paragraph" w:customStyle="1" w:styleId="1341">
    <w:name w:val="图表标题"/>
    <w:basedOn w:val="1"/>
    <w:link w:val="2020"/>
    <w:qFormat/>
    <w:uiPriority w:val="0"/>
    <w:pPr>
      <w:tabs>
        <w:tab w:val="left" w:pos="1701"/>
      </w:tabs>
      <w:adjustRightInd w:val="0"/>
      <w:snapToGrid w:val="0"/>
      <w:spacing w:before="60" w:line="348" w:lineRule="auto"/>
      <w:jc w:val="center"/>
    </w:pPr>
    <w:rPr>
      <w:kern w:val="0"/>
      <w:sz w:val="24"/>
      <w:szCs w:val="20"/>
    </w:rPr>
  </w:style>
  <w:style w:type="paragraph" w:customStyle="1" w:styleId="1342">
    <w:name w:val="样式 表标题 + 段前: 0.5 行"/>
    <w:basedOn w:val="1212"/>
    <w:qFormat/>
    <w:uiPriority w:val="0"/>
    <w:pPr>
      <w:keepNext/>
      <w:keepLines/>
      <w:tabs>
        <w:tab w:val="left" w:pos="1701"/>
      </w:tabs>
      <w:adjustRightInd w:val="0"/>
      <w:snapToGrid w:val="0"/>
      <w:spacing w:beforeLines="50" w:line="348" w:lineRule="auto"/>
    </w:pPr>
    <w:rPr>
      <w:rFonts w:hint="eastAsia" w:ascii="Times New Roman" w:hAnsi="Times New Roman"/>
      <w:kern w:val="0"/>
      <w:sz w:val="24"/>
    </w:rPr>
  </w:style>
  <w:style w:type="paragraph" w:customStyle="1" w:styleId="1343">
    <w:name w:val="bt1"/>
    <w:basedOn w:val="1"/>
    <w:qFormat/>
    <w:uiPriority w:val="0"/>
    <w:pPr>
      <w:tabs>
        <w:tab w:val="left" w:pos="1701"/>
      </w:tabs>
      <w:snapToGrid w:val="0"/>
      <w:spacing w:before="240" w:line="380" w:lineRule="atLeast"/>
      <w:ind w:firstLine="1201" w:firstLineChars="491"/>
    </w:pPr>
    <w:rPr>
      <w:rFonts w:ascii="Arial Narrow" w:hAnsi="Arial Narrow" w:eastAsia="黑体"/>
      <w:spacing w:val="-4"/>
      <w:w w:val="90"/>
      <w:sz w:val="28"/>
      <w:szCs w:val="28"/>
    </w:rPr>
  </w:style>
  <w:style w:type="paragraph" w:customStyle="1" w:styleId="1344">
    <w:name w:val="样式 标题 1 + 仿宋_GB2312 加粗 首行缩进:  2 字符"/>
    <w:basedOn w:val="3"/>
    <w:qFormat/>
    <w:uiPriority w:val="0"/>
    <w:pPr>
      <w:tabs>
        <w:tab w:val="left" w:pos="1701"/>
      </w:tabs>
      <w:adjustRightInd w:val="0"/>
      <w:spacing w:line="360" w:lineRule="auto"/>
      <w:ind w:firstLine="562" w:firstLineChars="200"/>
    </w:pPr>
    <w:rPr>
      <w:rFonts w:ascii="仿宋_GB2312" w:eastAsia="Times New Roman"/>
    </w:rPr>
  </w:style>
  <w:style w:type="paragraph" w:customStyle="1" w:styleId="1345">
    <w:name w:val="文本框五号 Char"/>
    <w:qFormat/>
    <w:uiPriority w:val="0"/>
    <w:pPr>
      <w:jc w:val="center"/>
    </w:pPr>
    <w:rPr>
      <w:rFonts w:ascii="Times New Roman" w:hAnsi="Times New Roman" w:eastAsia="仿宋_GB2312" w:cs="Times New Roman"/>
      <w:kern w:val="2"/>
      <w:sz w:val="21"/>
      <w:szCs w:val="21"/>
      <w:lang w:val="en-US" w:eastAsia="zh-CN" w:bidi="ar-SA"/>
    </w:rPr>
  </w:style>
  <w:style w:type="paragraph" w:customStyle="1" w:styleId="1346">
    <w:name w:val="文本框5号两端齐"/>
    <w:basedOn w:val="1345"/>
    <w:qFormat/>
    <w:uiPriority w:val="0"/>
    <w:pPr>
      <w:jc w:val="both"/>
    </w:pPr>
    <w:rPr>
      <w:sz w:val="15"/>
      <w:szCs w:val="15"/>
    </w:rPr>
  </w:style>
  <w:style w:type="paragraph" w:customStyle="1" w:styleId="1347">
    <w:name w:val="正文单倍行距"/>
    <w:basedOn w:val="1"/>
    <w:qFormat/>
    <w:uiPriority w:val="0"/>
    <w:pPr>
      <w:tabs>
        <w:tab w:val="left" w:pos="1701"/>
        <w:tab w:val="left" w:pos="8640"/>
      </w:tabs>
      <w:adjustRightInd w:val="0"/>
      <w:snapToGrid w:val="0"/>
      <w:spacing w:line="360" w:lineRule="auto"/>
      <w:jc w:val="center"/>
    </w:pPr>
    <w:rPr>
      <w:rFonts w:eastAsia="仿宋_GB2312"/>
      <w:sz w:val="18"/>
      <w:szCs w:val="18"/>
    </w:rPr>
  </w:style>
  <w:style w:type="paragraph" w:customStyle="1" w:styleId="1348">
    <w:name w:val="正文文字 3"/>
    <w:basedOn w:val="1"/>
    <w:next w:val="101"/>
    <w:qFormat/>
    <w:uiPriority w:val="0"/>
    <w:pPr>
      <w:autoSpaceDE w:val="0"/>
      <w:autoSpaceDN w:val="0"/>
      <w:adjustRightInd w:val="0"/>
      <w:jc w:val="left"/>
    </w:pPr>
    <w:rPr>
      <w:rFonts w:ascii="宋体"/>
      <w:kern w:val="0"/>
      <w:sz w:val="24"/>
      <w:szCs w:val="20"/>
    </w:rPr>
  </w:style>
  <w:style w:type="paragraph" w:customStyle="1" w:styleId="1349">
    <w:name w:val="纯文本12"/>
    <w:basedOn w:val="1"/>
    <w:qFormat/>
    <w:uiPriority w:val="0"/>
    <w:rPr>
      <w:rFonts w:ascii="宋体" w:hAnsi="Courier New"/>
      <w:szCs w:val="20"/>
    </w:rPr>
  </w:style>
  <w:style w:type="paragraph" w:customStyle="1" w:styleId="1350">
    <w:name w:val="码头表"/>
    <w:basedOn w:val="1"/>
    <w:qFormat/>
    <w:uiPriority w:val="0"/>
    <w:pPr>
      <w:tabs>
        <w:tab w:val="left" w:pos="1701"/>
      </w:tabs>
      <w:jc w:val="center"/>
    </w:pPr>
    <w:rPr>
      <w:rFonts w:eastAsia="仿宋_GB2312"/>
      <w:color w:val="FF6600"/>
      <w:szCs w:val="24"/>
    </w:rPr>
  </w:style>
  <w:style w:type="paragraph" w:customStyle="1" w:styleId="1351">
    <w:name w:val="湛江码头表"/>
    <w:basedOn w:val="1"/>
    <w:qFormat/>
    <w:uiPriority w:val="0"/>
    <w:pPr>
      <w:tabs>
        <w:tab w:val="left" w:pos="1701"/>
      </w:tabs>
      <w:jc w:val="center"/>
    </w:pPr>
    <w:rPr>
      <w:rFonts w:eastAsia="仿宋_GB2312"/>
      <w:kern w:val="0"/>
      <w:szCs w:val="24"/>
      <w:lang w:eastAsia="zh-TW"/>
    </w:rPr>
  </w:style>
  <w:style w:type="paragraph" w:customStyle="1" w:styleId="1352">
    <w:name w:val="注："/>
    <w:next w:val="1"/>
    <w:qFormat/>
    <w:uiPriority w:val="0"/>
    <w:pPr>
      <w:widowControl w:val="0"/>
      <w:tabs>
        <w:tab w:val="left" w:pos="360"/>
      </w:tabs>
      <w:autoSpaceDE w:val="0"/>
      <w:autoSpaceDN w:val="0"/>
      <w:ind w:left="360" w:hanging="360"/>
      <w:jc w:val="both"/>
    </w:pPr>
    <w:rPr>
      <w:rFonts w:ascii="宋体" w:hAnsi="Times New Roman" w:eastAsia="宋体" w:cs="Times New Roman"/>
      <w:sz w:val="18"/>
      <w:lang w:val="en-US" w:eastAsia="zh-CN" w:bidi="ar-SA"/>
    </w:rPr>
  </w:style>
  <w:style w:type="paragraph" w:customStyle="1" w:styleId="1353">
    <w:name w:val="文本框五号1.5倍行距"/>
    <w:basedOn w:val="1345"/>
    <w:qFormat/>
    <w:uiPriority w:val="0"/>
    <w:pPr>
      <w:spacing w:line="360" w:lineRule="auto"/>
    </w:pPr>
  </w:style>
  <w:style w:type="paragraph" w:customStyle="1" w:styleId="1354">
    <w:name w:val="表格文字五"/>
    <w:basedOn w:val="1"/>
    <w:qFormat/>
    <w:uiPriority w:val="0"/>
    <w:pPr>
      <w:tabs>
        <w:tab w:val="left" w:pos="1701"/>
      </w:tabs>
      <w:adjustRightInd w:val="0"/>
      <w:snapToGrid w:val="0"/>
      <w:spacing w:beforeLines="20" w:line="312" w:lineRule="auto"/>
    </w:pPr>
    <w:rPr>
      <w:rFonts w:eastAsia="仿宋_GB2312"/>
      <w:szCs w:val="21"/>
    </w:rPr>
  </w:style>
  <w:style w:type="paragraph" w:customStyle="1" w:styleId="1355">
    <w:name w:val="样式 图表 + 首行缩进:  2 字符1"/>
    <w:basedOn w:val="1"/>
    <w:qFormat/>
    <w:uiPriority w:val="0"/>
    <w:pPr>
      <w:tabs>
        <w:tab w:val="left" w:pos="1701"/>
      </w:tabs>
      <w:adjustRightInd w:val="0"/>
      <w:snapToGrid w:val="0"/>
      <w:spacing w:beforeLines="20"/>
      <w:ind w:left="-105" w:leftChars="-50" w:right="-105" w:rightChars="-50"/>
      <w:jc w:val="center"/>
    </w:pPr>
    <w:rPr>
      <w:rFonts w:eastAsia="仿宋_GB2312"/>
      <w:color w:val="000000"/>
      <w:szCs w:val="24"/>
    </w:rPr>
  </w:style>
  <w:style w:type="paragraph" w:customStyle="1" w:styleId="1356">
    <w:name w:val="表名称"/>
    <w:basedOn w:val="1"/>
    <w:qFormat/>
    <w:uiPriority w:val="0"/>
    <w:pPr>
      <w:tabs>
        <w:tab w:val="left" w:pos="-120"/>
        <w:tab w:val="left" w:pos="1701"/>
      </w:tabs>
      <w:overflowPunct w:val="0"/>
      <w:topLinePunct/>
      <w:autoSpaceDE w:val="0"/>
      <w:adjustRightInd w:val="0"/>
      <w:snapToGrid w:val="0"/>
      <w:spacing w:before="240" w:after="120" w:line="240" w:lineRule="atLeast"/>
      <w:jc w:val="left"/>
    </w:pPr>
    <w:rPr>
      <w:rFonts w:eastAsia="仿宋_GB2312"/>
      <w:spacing w:val="16"/>
      <w:kern w:val="0"/>
      <w:sz w:val="24"/>
      <w:szCs w:val="24"/>
    </w:rPr>
  </w:style>
  <w:style w:type="paragraph" w:customStyle="1" w:styleId="1357">
    <w:name w:val="样式 样式4 + 字距调整小四"/>
    <w:basedOn w:val="1"/>
    <w:qFormat/>
    <w:uiPriority w:val="0"/>
    <w:pPr>
      <w:tabs>
        <w:tab w:val="left" w:pos="1701"/>
      </w:tabs>
    </w:pPr>
    <w:rPr>
      <w:rFonts w:ascii="Arial" w:hAnsi="Arial" w:eastAsia="楷体_GB2312" w:cs="Arial"/>
      <w:kern w:val="24"/>
      <w:sz w:val="24"/>
      <w:szCs w:val="24"/>
    </w:rPr>
  </w:style>
  <w:style w:type="paragraph" w:customStyle="1" w:styleId="1358">
    <w:name w:val="表格五中"/>
    <w:qFormat/>
    <w:uiPriority w:val="0"/>
    <w:pPr>
      <w:adjustRightInd w:val="0"/>
      <w:snapToGrid w:val="0"/>
      <w:spacing w:line="240" w:lineRule="atLeast"/>
      <w:jc w:val="center"/>
    </w:pPr>
    <w:rPr>
      <w:rFonts w:ascii="Times New Roman" w:hAnsi="Times New Roman" w:eastAsia="宋体" w:cs="Times New Roman"/>
      <w:sz w:val="21"/>
      <w:lang w:val="en-US" w:eastAsia="zh-CN" w:bidi="ar-SA"/>
    </w:rPr>
  </w:style>
  <w:style w:type="paragraph" w:customStyle="1" w:styleId="1359">
    <w:name w:val="lff"/>
    <w:basedOn w:val="74"/>
    <w:qFormat/>
    <w:uiPriority w:val="0"/>
    <w:pPr>
      <w:tabs>
        <w:tab w:val="left" w:pos="1701"/>
      </w:tabs>
      <w:adjustRightInd w:val="0"/>
      <w:snapToGrid w:val="0"/>
      <w:spacing w:after="0" w:line="360" w:lineRule="auto"/>
      <w:ind w:firstLine="200" w:firstLineChars="200"/>
    </w:pPr>
    <w:rPr>
      <w:rFonts w:hint="eastAsia" w:ascii="宋体" w:hAnsi="宋体" w:eastAsia="仿宋_GB2312"/>
      <w:color w:val="000000"/>
      <w:sz w:val="21"/>
      <w:szCs w:val="21"/>
    </w:rPr>
  </w:style>
  <w:style w:type="paragraph" w:customStyle="1" w:styleId="1360">
    <w:name w:val="编号4号"/>
    <w:basedOn w:val="1"/>
    <w:qFormat/>
    <w:uiPriority w:val="0"/>
    <w:pPr>
      <w:widowControl/>
      <w:tabs>
        <w:tab w:val="left" w:pos="1701"/>
      </w:tabs>
      <w:snapToGrid w:val="0"/>
      <w:spacing w:line="312" w:lineRule="auto"/>
    </w:pPr>
    <w:rPr>
      <w:rFonts w:ascii="Arial" w:hAnsi="Arial" w:cs="Arial"/>
      <w:szCs w:val="24"/>
    </w:rPr>
  </w:style>
  <w:style w:type="paragraph" w:customStyle="1" w:styleId="1361">
    <w:name w:val="表内"/>
    <w:basedOn w:val="1"/>
    <w:next w:val="1"/>
    <w:qFormat/>
    <w:uiPriority w:val="0"/>
    <w:pPr>
      <w:tabs>
        <w:tab w:val="left" w:pos="1701"/>
      </w:tabs>
      <w:adjustRightInd w:val="0"/>
      <w:snapToGrid w:val="0"/>
      <w:spacing w:before="120" w:after="120" w:line="288" w:lineRule="auto"/>
      <w:jc w:val="center"/>
    </w:pPr>
    <w:rPr>
      <w:szCs w:val="20"/>
    </w:rPr>
  </w:style>
  <w:style w:type="paragraph" w:customStyle="1" w:styleId="1362">
    <w:name w:val="9"/>
    <w:basedOn w:val="1"/>
    <w:next w:val="46"/>
    <w:qFormat/>
    <w:uiPriority w:val="0"/>
    <w:pPr>
      <w:tabs>
        <w:tab w:val="left" w:pos="1701"/>
      </w:tabs>
      <w:adjustRightInd w:val="0"/>
      <w:spacing w:line="520" w:lineRule="exact"/>
      <w:ind w:firstLine="200" w:firstLineChars="200"/>
    </w:pPr>
    <w:rPr>
      <w:sz w:val="28"/>
      <w:szCs w:val="24"/>
    </w:rPr>
  </w:style>
  <w:style w:type="paragraph" w:customStyle="1" w:styleId="1363">
    <w:name w:val="tit"/>
    <w:basedOn w:val="1"/>
    <w:qFormat/>
    <w:uiPriority w:val="0"/>
    <w:pPr>
      <w:tabs>
        <w:tab w:val="left" w:pos="1701"/>
      </w:tabs>
      <w:adjustRightInd w:val="0"/>
      <w:snapToGrid w:val="0"/>
      <w:jc w:val="center"/>
    </w:pPr>
    <w:rPr>
      <w:kern w:val="0"/>
      <w:szCs w:val="20"/>
    </w:rPr>
  </w:style>
  <w:style w:type="paragraph" w:customStyle="1" w:styleId="1364">
    <w:name w:val="Body Text 21"/>
    <w:basedOn w:val="1"/>
    <w:qFormat/>
    <w:uiPriority w:val="0"/>
    <w:pPr>
      <w:tabs>
        <w:tab w:val="left" w:pos="1701"/>
      </w:tabs>
      <w:adjustRightInd w:val="0"/>
      <w:spacing w:line="312" w:lineRule="auto"/>
    </w:pPr>
    <w:rPr>
      <w:kern w:val="0"/>
      <w:szCs w:val="20"/>
    </w:rPr>
  </w:style>
  <w:style w:type="paragraph" w:customStyle="1" w:styleId="1365">
    <w:name w:val="样式 标题 2节标题 1.1b21.1标题2h2l22nd levelTitre2Header 2标题2b2..."/>
    <w:basedOn w:val="4"/>
    <w:qFormat/>
    <w:uiPriority w:val="0"/>
    <w:pPr>
      <w:widowControl/>
      <w:tabs>
        <w:tab w:val="left" w:pos="567"/>
        <w:tab w:val="left" w:pos="1701"/>
      </w:tabs>
      <w:adjustRightInd w:val="0"/>
      <w:spacing w:line="360" w:lineRule="auto"/>
    </w:pPr>
    <w:rPr>
      <w:rFonts w:eastAsia="仿宋_GB2312" w:cs="宋体"/>
      <w:sz w:val="24"/>
    </w:rPr>
  </w:style>
  <w:style w:type="paragraph" w:customStyle="1" w:styleId="1366">
    <w:name w:val="样式 样式 正文 楷体_GB2312 四号 行距: 固定值 30 磅 + 首行缩进:  2 字符1 + 首行缩进:  2 字符"/>
    <w:basedOn w:val="1"/>
    <w:qFormat/>
    <w:uiPriority w:val="0"/>
    <w:pPr>
      <w:tabs>
        <w:tab w:val="left" w:pos="1701"/>
      </w:tabs>
      <w:adjustRightInd w:val="0"/>
      <w:snapToGrid w:val="0"/>
      <w:spacing w:line="348" w:lineRule="auto"/>
      <w:ind w:firstLine="560" w:firstLineChars="200"/>
      <w:jc w:val="center"/>
    </w:pPr>
    <w:rPr>
      <w:rFonts w:hAnsi="宋体"/>
      <w:color w:val="000000"/>
      <w:kern w:val="0"/>
      <w:sz w:val="28"/>
      <w:szCs w:val="20"/>
    </w:rPr>
  </w:style>
  <w:style w:type="paragraph" w:customStyle="1" w:styleId="1367">
    <w:name w:val="样式 正文首行缩进 + 段后: 0 磅"/>
    <w:basedOn w:val="74"/>
    <w:qFormat/>
    <w:uiPriority w:val="0"/>
    <w:pPr>
      <w:tabs>
        <w:tab w:val="left" w:pos="1701"/>
      </w:tabs>
      <w:adjustRightInd w:val="0"/>
      <w:snapToGrid w:val="0"/>
      <w:spacing w:after="0" w:line="348" w:lineRule="auto"/>
      <w:ind w:firstLine="200" w:firstLineChars="200"/>
      <w:jc w:val="left"/>
    </w:pPr>
    <w:rPr>
      <w:rFonts w:hint="eastAsia" w:ascii="宋体" w:hAnsi="宋体" w:cs="宋体"/>
      <w:kern w:val="0"/>
      <w:szCs w:val="20"/>
    </w:rPr>
  </w:style>
  <w:style w:type="paragraph" w:customStyle="1" w:styleId="1368">
    <w:name w:val="Char9"/>
    <w:basedOn w:val="1"/>
    <w:qFormat/>
    <w:uiPriority w:val="0"/>
    <w:pPr>
      <w:tabs>
        <w:tab w:val="left" w:pos="1701"/>
      </w:tabs>
    </w:pPr>
    <w:rPr>
      <w:rFonts w:ascii="Tahoma" w:hAnsi="Tahoma"/>
      <w:sz w:val="24"/>
      <w:szCs w:val="20"/>
    </w:rPr>
  </w:style>
  <w:style w:type="paragraph" w:customStyle="1" w:styleId="1369">
    <w:name w:val="Char Char Char1 Char Char Char Char Char Char Char Char Char Char"/>
    <w:basedOn w:val="1"/>
    <w:qFormat/>
    <w:uiPriority w:val="0"/>
    <w:pPr>
      <w:tabs>
        <w:tab w:val="left" w:pos="1701"/>
      </w:tabs>
      <w:adjustRightInd w:val="0"/>
      <w:snapToGrid w:val="0"/>
      <w:spacing w:line="360" w:lineRule="auto"/>
      <w:ind w:firstLine="200" w:firstLineChars="200"/>
    </w:pPr>
    <w:rPr>
      <w:rFonts w:ascii="宋体" w:hAnsi="宋体" w:cs="宋体"/>
      <w:sz w:val="24"/>
      <w:szCs w:val="26"/>
    </w:rPr>
  </w:style>
  <w:style w:type="paragraph" w:customStyle="1" w:styleId="1370">
    <w:name w:val="Char Char Char1 Char Char Char Char Char Char Char"/>
    <w:basedOn w:val="1"/>
    <w:qFormat/>
    <w:uiPriority w:val="0"/>
    <w:pPr>
      <w:tabs>
        <w:tab w:val="left" w:pos="1701"/>
      </w:tabs>
    </w:pPr>
    <w:rPr>
      <w:rFonts w:ascii="Tahoma" w:hAnsi="Tahoma"/>
      <w:sz w:val="24"/>
      <w:szCs w:val="20"/>
    </w:rPr>
  </w:style>
  <w:style w:type="paragraph" w:customStyle="1" w:styleId="1371">
    <w:name w:val="样式8"/>
    <w:basedOn w:val="1"/>
    <w:qFormat/>
    <w:uiPriority w:val="0"/>
    <w:pPr>
      <w:tabs>
        <w:tab w:val="left" w:pos="1701"/>
      </w:tabs>
      <w:autoSpaceDE w:val="0"/>
      <w:autoSpaceDN w:val="0"/>
      <w:adjustRightInd w:val="0"/>
      <w:spacing w:line="348" w:lineRule="auto"/>
    </w:pPr>
    <w:rPr>
      <w:rFonts w:ascii="AdobeSongStd-Light" w:eastAsia="Times New Roman" w:cs="AdobeSongStd-Light"/>
      <w:kern w:val="0"/>
      <w:szCs w:val="18"/>
    </w:rPr>
  </w:style>
  <w:style w:type="paragraph" w:customStyle="1" w:styleId="1372">
    <w:name w:val="二级标题"/>
    <w:basedOn w:val="1"/>
    <w:next w:val="3"/>
    <w:qFormat/>
    <w:uiPriority w:val="0"/>
    <w:pPr>
      <w:tabs>
        <w:tab w:val="left" w:pos="1701"/>
      </w:tabs>
      <w:adjustRightInd w:val="0"/>
      <w:snapToGrid w:val="0"/>
      <w:spacing w:line="348" w:lineRule="auto"/>
    </w:pPr>
    <w:rPr>
      <w:kern w:val="0"/>
      <w:sz w:val="28"/>
      <w:szCs w:val="28"/>
    </w:rPr>
  </w:style>
  <w:style w:type="paragraph" w:customStyle="1" w:styleId="1373">
    <w:name w:val="正文首行缩进 2 + Times New Roman"/>
    <w:basedOn w:val="1"/>
    <w:qFormat/>
    <w:uiPriority w:val="0"/>
    <w:pPr>
      <w:tabs>
        <w:tab w:val="left" w:pos="0"/>
        <w:tab w:val="left" w:pos="870"/>
        <w:tab w:val="left" w:pos="1701"/>
        <w:tab w:val="left" w:pos="3150"/>
      </w:tabs>
      <w:autoSpaceDE w:val="0"/>
      <w:autoSpaceDN w:val="0"/>
      <w:snapToGrid w:val="0"/>
      <w:spacing w:line="312" w:lineRule="auto"/>
      <w:ind w:firstLine="480" w:firstLineChars="200"/>
    </w:pPr>
    <w:rPr>
      <w:kern w:val="0"/>
      <w:sz w:val="24"/>
      <w:szCs w:val="24"/>
    </w:rPr>
  </w:style>
  <w:style w:type="paragraph" w:customStyle="1" w:styleId="1374">
    <w:name w:val="正文首行缩进1"/>
    <w:basedOn w:val="1"/>
    <w:qFormat/>
    <w:uiPriority w:val="0"/>
    <w:pPr>
      <w:tabs>
        <w:tab w:val="left" w:pos="1701"/>
      </w:tabs>
      <w:adjustRightInd w:val="0"/>
      <w:spacing w:line="312" w:lineRule="auto"/>
      <w:ind w:firstLine="567"/>
      <w:jc w:val="left"/>
    </w:pPr>
    <w:rPr>
      <w:kern w:val="0"/>
      <w:sz w:val="28"/>
      <w:szCs w:val="20"/>
    </w:rPr>
  </w:style>
  <w:style w:type="paragraph" w:customStyle="1" w:styleId="1375">
    <w:name w:val="Body Text First Indent2"/>
    <w:basedOn w:val="1"/>
    <w:qFormat/>
    <w:uiPriority w:val="0"/>
    <w:pPr>
      <w:tabs>
        <w:tab w:val="left" w:pos="1701"/>
      </w:tabs>
      <w:adjustRightInd w:val="0"/>
      <w:spacing w:line="312" w:lineRule="auto"/>
      <w:ind w:firstLine="567"/>
    </w:pPr>
    <w:rPr>
      <w:rFonts w:eastAsia="Wingdings"/>
      <w:kern w:val="0"/>
      <w:sz w:val="28"/>
      <w:szCs w:val="20"/>
    </w:rPr>
  </w:style>
  <w:style w:type="paragraph" w:customStyle="1" w:styleId="1376">
    <w:name w:val="Body Text First Indent1"/>
    <w:basedOn w:val="1"/>
    <w:qFormat/>
    <w:uiPriority w:val="0"/>
    <w:pPr>
      <w:tabs>
        <w:tab w:val="left" w:pos="1701"/>
      </w:tabs>
      <w:adjustRightInd w:val="0"/>
      <w:spacing w:line="480" w:lineRule="exact"/>
      <w:ind w:firstLine="567"/>
    </w:pPr>
    <w:rPr>
      <w:rFonts w:eastAsia="Wingdings"/>
      <w:kern w:val="0"/>
      <w:sz w:val="28"/>
      <w:szCs w:val="20"/>
    </w:rPr>
  </w:style>
  <w:style w:type="paragraph" w:customStyle="1" w:styleId="1377">
    <w:name w:val="标题样式"/>
    <w:basedOn w:val="510"/>
    <w:qFormat/>
    <w:uiPriority w:val="0"/>
    <w:pPr>
      <w:tabs>
        <w:tab w:val="left" w:pos="1701"/>
      </w:tabs>
      <w:autoSpaceDE w:val="0"/>
      <w:autoSpaceDN w:val="0"/>
      <w:adjustRightInd w:val="0"/>
      <w:spacing w:line="288" w:lineRule="auto"/>
      <w:ind w:firstLine="0" w:firstLineChars="0"/>
      <w:jc w:val="left"/>
    </w:pPr>
    <w:rPr>
      <w:rFonts w:hint="eastAsia" w:ascii="Times New Roman" w:hAnsi="Times New Roman" w:eastAsia="Wingdings"/>
      <w:spacing w:val="10"/>
      <w:kern w:val="0"/>
      <w:sz w:val="28"/>
      <w:szCs w:val="20"/>
    </w:rPr>
  </w:style>
  <w:style w:type="paragraph" w:customStyle="1" w:styleId="1378">
    <w:name w:val="文档结构图1"/>
    <w:basedOn w:val="1"/>
    <w:qFormat/>
    <w:uiPriority w:val="0"/>
    <w:pPr>
      <w:shd w:val="clear" w:color="auto" w:fill="000080"/>
      <w:tabs>
        <w:tab w:val="left" w:pos="1701"/>
      </w:tabs>
      <w:adjustRightInd w:val="0"/>
      <w:spacing w:line="360" w:lineRule="atLeast"/>
      <w:jc w:val="left"/>
    </w:pPr>
    <w:rPr>
      <w:rFonts w:eastAsia="Wingdings"/>
      <w:kern w:val="0"/>
      <w:sz w:val="24"/>
      <w:szCs w:val="20"/>
    </w:rPr>
  </w:style>
  <w:style w:type="paragraph" w:customStyle="1" w:styleId="1379">
    <w:name w:val="样式 正文文本1 + 首行缩进:  2 字符2"/>
    <w:basedOn w:val="1"/>
    <w:qFormat/>
    <w:uiPriority w:val="0"/>
    <w:pPr>
      <w:tabs>
        <w:tab w:val="left" w:pos="1701"/>
      </w:tabs>
      <w:adjustRightInd w:val="0"/>
      <w:snapToGrid w:val="0"/>
      <w:spacing w:line="348" w:lineRule="auto"/>
    </w:pPr>
    <w:rPr>
      <w:sz w:val="28"/>
      <w:szCs w:val="20"/>
    </w:rPr>
  </w:style>
  <w:style w:type="paragraph" w:customStyle="1" w:styleId="1380">
    <w:name w:val="正文首行缩进:  2 字符"/>
    <w:basedOn w:val="1367"/>
    <w:qFormat/>
    <w:uiPriority w:val="0"/>
    <w:pPr>
      <w:ind w:firstLine="560"/>
    </w:pPr>
  </w:style>
  <w:style w:type="paragraph" w:customStyle="1" w:styleId="1381">
    <w:name w:val="正文 楷体_GB2312 四号 行距: 固定值 30 磅"/>
    <w:basedOn w:val="1"/>
    <w:qFormat/>
    <w:uiPriority w:val="0"/>
    <w:pPr>
      <w:tabs>
        <w:tab w:val="left" w:pos="1701"/>
      </w:tabs>
      <w:spacing w:line="400" w:lineRule="exact"/>
      <w:jc w:val="center"/>
    </w:pPr>
    <w:rPr>
      <w:rFonts w:ascii="Arial" w:hAnsi="Arial" w:cs="Arial"/>
      <w:szCs w:val="21"/>
    </w:rPr>
  </w:style>
  <w:style w:type="paragraph" w:customStyle="1" w:styleId="1382">
    <w:name w:val="表格文字独行"/>
    <w:next w:val="1"/>
    <w:qFormat/>
    <w:uiPriority w:val="0"/>
    <w:pPr>
      <w:spacing w:beforeLines="20" w:line="264" w:lineRule="auto"/>
      <w:jc w:val="center"/>
    </w:pPr>
    <w:rPr>
      <w:rFonts w:ascii="Times New Roman" w:hAnsi="Times New Roman" w:eastAsia="仿宋_GB2312" w:cs="Times New Roman"/>
      <w:sz w:val="21"/>
      <w:szCs w:val="24"/>
      <w:lang w:val="en-US" w:eastAsia="zh-CN" w:bidi="ar-SA"/>
    </w:rPr>
  </w:style>
  <w:style w:type="paragraph" w:customStyle="1" w:styleId="1383">
    <w:name w:val="正文文本缩进 21"/>
    <w:basedOn w:val="1"/>
    <w:qFormat/>
    <w:uiPriority w:val="0"/>
    <w:pPr>
      <w:tabs>
        <w:tab w:val="left" w:pos="1701"/>
      </w:tabs>
      <w:adjustRightInd w:val="0"/>
      <w:spacing w:line="348" w:lineRule="auto"/>
      <w:ind w:firstLine="573"/>
    </w:pPr>
    <w:rPr>
      <w:rFonts w:eastAsia="Wingdings"/>
      <w:sz w:val="28"/>
      <w:szCs w:val="20"/>
    </w:rPr>
  </w:style>
  <w:style w:type="paragraph" w:customStyle="1" w:styleId="1384">
    <w:name w:val="正文文本1"/>
    <w:basedOn w:val="1"/>
    <w:qFormat/>
    <w:uiPriority w:val="0"/>
    <w:pPr>
      <w:tabs>
        <w:tab w:val="left" w:pos="1701"/>
      </w:tabs>
      <w:adjustRightInd w:val="0"/>
      <w:snapToGrid w:val="0"/>
      <w:spacing w:line="348" w:lineRule="auto"/>
      <w:ind w:firstLine="200" w:firstLineChars="200"/>
      <w:jc w:val="center"/>
    </w:pPr>
    <w:rPr>
      <w:rFonts w:ascii="宋体" w:hAnsi="华文宋体" w:cs="宋体"/>
      <w:w w:val="80"/>
      <w:sz w:val="28"/>
      <w:szCs w:val="20"/>
    </w:rPr>
  </w:style>
  <w:style w:type="paragraph" w:customStyle="1" w:styleId="1385">
    <w:name w:val="样式 正文文字 + 首行缩进:  2 字符"/>
    <w:basedOn w:val="1"/>
    <w:qFormat/>
    <w:uiPriority w:val="0"/>
    <w:pPr>
      <w:tabs>
        <w:tab w:val="left" w:pos="1701"/>
      </w:tabs>
      <w:snapToGrid w:val="0"/>
      <w:spacing w:before="20" w:line="348" w:lineRule="auto"/>
      <w:ind w:firstLine="200" w:firstLineChars="200"/>
    </w:pPr>
    <w:rPr>
      <w:color w:val="000000"/>
      <w:kern w:val="0"/>
      <w:sz w:val="28"/>
      <w:szCs w:val="20"/>
    </w:rPr>
  </w:style>
  <w:style w:type="paragraph" w:customStyle="1" w:styleId="1386">
    <w:name w:val="样式 样式 正文文字 + 首行缩进:  2 字符 + 首行缩进:  2 字符"/>
    <w:basedOn w:val="1385"/>
    <w:qFormat/>
    <w:uiPriority w:val="0"/>
    <w:pPr>
      <w:spacing w:before="0"/>
    </w:pPr>
    <w:rPr>
      <w:rFonts w:cs="宋体"/>
      <w:szCs w:val="28"/>
    </w:rPr>
  </w:style>
  <w:style w:type="paragraph" w:customStyle="1" w:styleId="1387">
    <w:name w:val="正文缩进（首行缩进两字）"/>
    <w:basedOn w:val="1"/>
    <w:qFormat/>
    <w:uiPriority w:val="0"/>
    <w:pPr>
      <w:tabs>
        <w:tab w:val="left" w:pos="1701"/>
      </w:tabs>
      <w:adjustRightInd w:val="0"/>
      <w:snapToGrid w:val="0"/>
      <w:spacing w:line="348" w:lineRule="auto"/>
      <w:ind w:firstLine="560" w:firstLineChars="200"/>
    </w:pPr>
    <w:rPr>
      <w:rFonts w:cs="宋体"/>
      <w:color w:val="000000"/>
      <w:kern w:val="16"/>
      <w:sz w:val="28"/>
      <w:szCs w:val="20"/>
    </w:rPr>
  </w:style>
  <w:style w:type="paragraph" w:customStyle="1" w:styleId="1388">
    <w:name w:val="样式 正文缩进正文（首行缩进两字）."/>
    <w:basedOn w:val="19"/>
    <w:qFormat/>
    <w:uiPriority w:val="0"/>
    <w:pPr>
      <w:tabs>
        <w:tab w:val="left" w:pos="1701"/>
      </w:tabs>
      <w:adjustRightInd w:val="0"/>
      <w:snapToGrid w:val="0"/>
      <w:spacing w:line="348" w:lineRule="auto"/>
      <w:ind w:firstLine="200"/>
    </w:pPr>
    <w:rPr>
      <w:rFonts w:eastAsia="Times New Roman" w:cs="宋体"/>
      <w:sz w:val="28"/>
      <w:szCs w:val="28"/>
    </w:rPr>
  </w:style>
  <w:style w:type="paragraph" w:customStyle="1" w:styleId="1389">
    <w:name w:val="样式 正文文字 + 宋体"/>
    <w:basedOn w:val="31"/>
    <w:qFormat/>
    <w:uiPriority w:val="0"/>
    <w:pPr>
      <w:tabs>
        <w:tab w:val="left" w:pos="1701"/>
      </w:tabs>
      <w:snapToGrid w:val="0"/>
      <w:spacing w:before="20" w:line="348" w:lineRule="auto"/>
      <w:ind w:left="0" w:firstLine="200" w:firstLineChars="200"/>
      <w:jc w:val="both"/>
    </w:pPr>
    <w:rPr>
      <w:rFonts w:hint="eastAsia" w:ascii="Times New Roman" w:hAnsi="Times New Roman"/>
      <w:color w:val="000000"/>
      <w:sz w:val="28"/>
      <w:szCs w:val="28"/>
      <w:lang w:eastAsia="zh-CN"/>
    </w:rPr>
  </w:style>
  <w:style w:type="paragraph" w:customStyle="1" w:styleId="1390">
    <w:name w:val="样式 正文文字 + 宋体 首行缩进:  2 字符"/>
    <w:basedOn w:val="31"/>
    <w:qFormat/>
    <w:uiPriority w:val="0"/>
    <w:pPr>
      <w:tabs>
        <w:tab w:val="left" w:pos="1701"/>
      </w:tabs>
      <w:snapToGrid w:val="0"/>
      <w:spacing w:before="20" w:line="348" w:lineRule="auto"/>
      <w:ind w:left="0" w:firstLine="560" w:firstLineChars="200"/>
      <w:jc w:val="both"/>
    </w:pPr>
    <w:rPr>
      <w:rFonts w:hint="eastAsia" w:ascii="Times New Roman" w:hAnsi="Times New Roman" w:cs="宋体"/>
      <w:color w:val="000000"/>
      <w:sz w:val="28"/>
      <w:szCs w:val="28"/>
      <w:lang w:eastAsia="zh-CN"/>
    </w:rPr>
  </w:style>
  <w:style w:type="paragraph" w:customStyle="1" w:styleId="1391">
    <w:name w:val="样式 正文首行缩进 + 首行缩进:  0.99 厘米"/>
    <w:basedOn w:val="74"/>
    <w:qFormat/>
    <w:uiPriority w:val="0"/>
    <w:pPr>
      <w:tabs>
        <w:tab w:val="left" w:pos="1701"/>
      </w:tabs>
      <w:adjustRightInd w:val="0"/>
      <w:snapToGrid w:val="0"/>
      <w:spacing w:after="0" w:line="348" w:lineRule="auto"/>
      <w:ind w:firstLine="200" w:firstLineChars="200"/>
      <w:jc w:val="left"/>
    </w:pPr>
    <w:rPr>
      <w:rFonts w:hint="eastAsia" w:ascii="宋体" w:hAnsi="宋体" w:cs="宋体"/>
      <w:kern w:val="0"/>
      <w:szCs w:val="28"/>
    </w:rPr>
  </w:style>
  <w:style w:type="paragraph" w:customStyle="1" w:styleId="1392">
    <w:name w:val="初设段落"/>
    <w:basedOn w:val="1"/>
    <w:qFormat/>
    <w:uiPriority w:val="0"/>
    <w:pPr>
      <w:tabs>
        <w:tab w:val="left" w:pos="1701"/>
      </w:tabs>
      <w:adjustRightInd w:val="0"/>
      <w:snapToGrid w:val="0"/>
      <w:spacing w:line="348" w:lineRule="auto"/>
    </w:pPr>
    <w:rPr>
      <w:sz w:val="28"/>
      <w:szCs w:val="24"/>
    </w:rPr>
  </w:style>
  <w:style w:type="paragraph" w:customStyle="1" w:styleId="1393">
    <w:name w:val="样式 正文缩进 + 首行缩进:  2 字符"/>
    <w:basedOn w:val="19"/>
    <w:qFormat/>
    <w:uiPriority w:val="0"/>
    <w:pPr>
      <w:tabs>
        <w:tab w:val="left" w:pos="1701"/>
      </w:tabs>
      <w:adjustRightInd w:val="0"/>
      <w:snapToGrid w:val="0"/>
      <w:spacing w:line="348" w:lineRule="auto"/>
      <w:ind w:firstLine="200"/>
    </w:pPr>
    <w:rPr>
      <w:rFonts w:eastAsia="Times New Roman"/>
      <w:sz w:val="28"/>
    </w:rPr>
  </w:style>
  <w:style w:type="paragraph" w:customStyle="1" w:styleId="1394">
    <w:name w:val="封面标准名称"/>
    <w:qFormat/>
    <w:uiPriority w:val="0"/>
    <w:pPr>
      <w:framePr w:w="9638" w:h="6917" w:wrap="around" w:vAnchor="margin" w:hAnchor="margin" w:xAlign="center" w:y="5955" w:anchorLock="1"/>
      <w:widowControl w:val="0"/>
      <w:spacing w:line="680" w:lineRule="exact"/>
      <w:jc w:val="center"/>
    </w:pPr>
    <w:rPr>
      <w:rFonts w:ascii="黑体" w:hAnsi="Times New Roman" w:eastAsia="黑体" w:cs="Times New Roman"/>
      <w:sz w:val="52"/>
      <w:lang w:val="en-US" w:eastAsia="zh-CN" w:bidi="ar-SA"/>
    </w:rPr>
  </w:style>
  <w:style w:type="paragraph" w:customStyle="1" w:styleId="1395">
    <w:name w:val="Char Char Char Char Char Char Char6"/>
    <w:basedOn w:val="1"/>
    <w:qFormat/>
    <w:uiPriority w:val="0"/>
    <w:pPr>
      <w:tabs>
        <w:tab w:val="left" w:pos="1701"/>
      </w:tabs>
    </w:pPr>
    <w:rPr>
      <w:szCs w:val="24"/>
    </w:rPr>
  </w:style>
  <w:style w:type="paragraph" w:customStyle="1" w:styleId="1396">
    <w:name w:val="Char Char Char1 Char Char Char Char Char Char Char5"/>
    <w:basedOn w:val="1"/>
    <w:qFormat/>
    <w:uiPriority w:val="0"/>
    <w:pPr>
      <w:tabs>
        <w:tab w:val="left" w:pos="1701"/>
      </w:tabs>
    </w:pPr>
    <w:rPr>
      <w:rFonts w:ascii="Tahoma" w:hAnsi="Tahoma"/>
      <w:sz w:val="24"/>
      <w:szCs w:val="20"/>
    </w:rPr>
  </w:style>
  <w:style w:type="paragraph" w:customStyle="1" w:styleId="1397">
    <w:name w:val="Char Char Char Char6"/>
    <w:basedOn w:val="1"/>
    <w:qFormat/>
    <w:uiPriority w:val="0"/>
    <w:pPr>
      <w:widowControl/>
      <w:tabs>
        <w:tab w:val="left" w:pos="1701"/>
      </w:tabs>
      <w:spacing w:after="160" w:line="240" w:lineRule="exact"/>
      <w:jc w:val="left"/>
    </w:pPr>
    <w:rPr>
      <w:rFonts w:ascii="Arial" w:hAnsi="Arial" w:eastAsia="Times New Roman" w:cs="Verdana"/>
      <w:b/>
      <w:kern w:val="0"/>
      <w:sz w:val="24"/>
      <w:szCs w:val="20"/>
      <w:lang w:eastAsia="en-US"/>
    </w:rPr>
  </w:style>
  <w:style w:type="paragraph" w:customStyle="1" w:styleId="1398">
    <w:name w:val="Char Char Char1 Char Char Char Char Char Char Char Char Char Char6"/>
    <w:basedOn w:val="1"/>
    <w:qFormat/>
    <w:uiPriority w:val="0"/>
    <w:pPr>
      <w:tabs>
        <w:tab w:val="left" w:pos="1701"/>
      </w:tabs>
      <w:adjustRightInd w:val="0"/>
      <w:snapToGrid w:val="0"/>
      <w:spacing w:line="360" w:lineRule="auto"/>
      <w:ind w:firstLine="200" w:firstLineChars="200"/>
    </w:pPr>
    <w:rPr>
      <w:rFonts w:ascii="宋体" w:hAnsi="宋体" w:cs="宋体"/>
      <w:sz w:val="24"/>
      <w:szCs w:val="26"/>
    </w:rPr>
  </w:style>
  <w:style w:type="paragraph" w:customStyle="1" w:styleId="1399">
    <w:name w:val="Char Char Char Char Char Char Char Char Char Char Char Char Char"/>
    <w:basedOn w:val="1"/>
    <w:qFormat/>
    <w:uiPriority w:val="0"/>
    <w:pPr>
      <w:tabs>
        <w:tab w:val="left" w:pos="1701"/>
      </w:tabs>
      <w:snapToGrid w:val="0"/>
      <w:spacing w:line="360" w:lineRule="auto"/>
      <w:ind w:firstLine="200" w:firstLineChars="200"/>
    </w:pPr>
    <w:rPr>
      <w:rFonts w:eastAsia="仿宋_GB2312"/>
      <w:sz w:val="24"/>
      <w:szCs w:val="24"/>
    </w:rPr>
  </w:style>
  <w:style w:type="paragraph" w:customStyle="1" w:styleId="1400">
    <w:name w:val="Char Char Char Char Char Char1 Char6"/>
    <w:basedOn w:val="1"/>
    <w:qFormat/>
    <w:uiPriority w:val="0"/>
    <w:pPr>
      <w:tabs>
        <w:tab w:val="left" w:pos="1701"/>
      </w:tabs>
    </w:pPr>
    <w:rPr>
      <w:szCs w:val="24"/>
    </w:rPr>
  </w:style>
  <w:style w:type="paragraph" w:customStyle="1" w:styleId="1401">
    <w:name w:val="小标题a)"/>
    <w:basedOn w:val="1"/>
    <w:qFormat/>
    <w:uiPriority w:val="0"/>
    <w:pPr>
      <w:tabs>
        <w:tab w:val="left" w:pos="1701"/>
      </w:tabs>
      <w:overflowPunct w:val="0"/>
      <w:topLinePunct/>
      <w:spacing w:line="348" w:lineRule="auto"/>
    </w:pPr>
    <w:rPr>
      <w:kern w:val="0"/>
      <w:sz w:val="28"/>
      <w:szCs w:val="20"/>
    </w:rPr>
  </w:style>
  <w:style w:type="paragraph" w:customStyle="1" w:styleId="1402">
    <w:name w:val="样式 四号 行距: 多倍行距 1.45 字行1"/>
    <w:basedOn w:val="1"/>
    <w:qFormat/>
    <w:uiPriority w:val="0"/>
    <w:pPr>
      <w:tabs>
        <w:tab w:val="left" w:pos="1701"/>
      </w:tabs>
      <w:snapToGrid w:val="0"/>
      <w:spacing w:line="348" w:lineRule="auto"/>
    </w:pPr>
    <w:rPr>
      <w:rFonts w:cs="宋体"/>
      <w:sz w:val="28"/>
      <w:szCs w:val="20"/>
    </w:rPr>
  </w:style>
  <w:style w:type="paragraph" w:customStyle="1" w:styleId="1403">
    <w:name w:val="表头王"/>
    <w:basedOn w:val="1"/>
    <w:qFormat/>
    <w:uiPriority w:val="0"/>
    <w:pPr>
      <w:tabs>
        <w:tab w:val="left" w:pos="1701"/>
      </w:tabs>
      <w:adjustRightInd w:val="0"/>
      <w:snapToGrid w:val="0"/>
      <w:spacing w:line="360" w:lineRule="auto"/>
      <w:jc w:val="center"/>
    </w:pPr>
    <w:rPr>
      <w:rFonts w:ascii="黑体" w:eastAsia="黑体"/>
      <w:b/>
      <w:bCs/>
      <w:color w:val="000000"/>
      <w:sz w:val="24"/>
      <w:szCs w:val="24"/>
    </w:rPr>
  </w:style>
  <w:style w:type="paragraph" w:customStyle="1" w:styleId="1404">
    <w:name w:val="Char Char Char Char Char Char Char Char Char Char5"/>
    <w:basedOn w:val="1"/>
    <w:qFormat/>
    <w:uiPriority w:val="0"/>
    <w:pPr>
      <w:tabs>
        <w:tab w:val="left" w:pos="1701"/>
      </w:tabs>
    </w:pPr>
    <w:rPr>
      <w:rFonts w:ascii="宋体" w:hAnsi="宋体" w:cs="宋体"/>
      <w:color w:val="000000"/>
      <w:szCs w:val="21"/>
    </w:rPr>
  </w:style>
  <w:style w:type="paragraph" w:customStyle="1" w:styleId="1405">
    <w:name w:val="湛江钢铁表标题"/>
    <w:basedOn w:val="1"/>
    <w:qFormat/>
    <w:uiPriority w:val="0"/>
    <w:pPr>
      <w:tabs>
        <w:tab w:val="left" w:pos="1701"/>
      </w:tabs>
      <w:snapToGrid w:val="0"/>
      <w:spacing w:line="360" w:lineRule="auto"/>
      <w:ind w:firstLine="480" w:firstLineChars="200"/>
      <w:jc w:val="center"/>
    </w:pPr>
    <w:rPr>
      <w:rFonts w:eastAsia="仿宋_GB2312"/>
      <w:color w:val="000000"/>
      <w:kern w:val="0"/>
      <w:sz w:val="24"/>
      <w:szCs w:val="24"/>
    </w:rPr>
  </w:style>
  <w:style w:type="paragraph" w:customStyle="1" w:styleId="1406">
    <w:name w:val="new"/>
    <w:basedOn w:val="1"/>
    <w:qFormat/>
    <w:uiPriority w:val="0"/>
    <w:pPr>
      <w:tabs>
        <w:tab w:val="left" w:pos="1701"/>
      </w:tabs>
      <w:snapToGrid w:val="0"/>
      <w:spacing w:line="360" w:lineRule="auto"/>
      <w:ind w:firstLine="480" w:firstLineChars="200"/>
    </w:pPr>
    <w:rPr>
      <w:rFonts w:eastAsia="仿宋_GB2312"/>
      <w:sz w:val="24"/>
      <w:szCs w:val="24"/>
    </w:rPr>
  </w:style>
  <w:style w:type="paragraph" w:customStyle="1" w:styleId="1407">
    <w:name w:val="样式 湛江钢铁正文 +"/>
    <w:basedOn w:val="1"/>
    <w:qFormat/>
    <w:uiPriority w:val="0"/>
    <w:pPr>
      <w:tabs>
        <w:tab w:val="left" w:pos="1701"/>
      </w:tabs>
      <w:adjustRightInd w:val="0"/>
      <w:snapToGrid w:val="0"/>
      <w:spacing w:line="360" w:lineRule="auto"/>
      <w:ind w:firstLine="480" w:firstLineChars="200"/>
      <w:jc w:val="left"/>
    </w:pPr>
    <w:rPr>
      <w:rFonts w:eastAsia="仿宋_GB2312"/>
      <w:color w:val="000000"/>
      <w:kern w:val="0"/>
      <w:sz w:val="24"/>
      <w:szCs w:val="24"/>
    </w:rPr>
  </w:style>
  <w:style w:type="paragraph" w:customStyle="1" w:styleId="1408">
    <w:name w:val="大表内容"/>
    <w:qFormat/>
    <w:uiPriority w:val="0"/>
    <w:pPr>
      <w:snapToGrid w:val="0"/>
      <w:jc w:val="center"/>
    </w:pPr>
    <w:rPr>
      <w:rFonts w:ascii="Times New Roman" w:hAnsi="Times New Roman" w:eastAsia="宋体" w:cs="Times New Roman"/>
      <w:sz w:val="21"/>
      <w:lang w:val="en-US" w:eastAsia="zh-CN" w:bidi="ar-SA"/>
    </w:rPr>
  </w:style>
  <w:style w:type="paragraph" w:customStyle="1" w:styleId="1409">
    <w:name w:val="佛表"/>
    <w:basedOn w:val="57"/>
    <w:qFormat/>
    <w:uiPriority w:val="0"/>
    <w:pPr>
      <w:tabs>
        <w:tab w:val="left" w:pos="1701"/>
      </w:tabs>
      <w:adjustRightInd w:val="0"/>
      <w:snapToGrid w:val="0"/>
      <w:spacing w:line="348" w:lineRule="auto"/>
      <w:ind w:left="0" w:firstLine="0"/>
      <w:jc w:val="center"/>
    </w:pPr>
    <w:rPr>
      <w:color w:val="000000"/>
    </w:rPr>
  </w:style>
  <w:style w:type="paragraph" w:customStyle="1" w:styleId="1410">
    <w:name w:val="湛江钢铁正文"/>
    <w:basedOn w:val="1"/>
    <w:qFormat/>
    <w:uiPriority w:val="0"/>
    <w:pPr>
      <w:tabs>
        <w:tab w:val="left" w:pos="1701"/>
      </w:tabs>
      <w:adjustRightInd w:val="0"/>
      <w:snapToGrid w:val="0"/>
      <w:spacing w:line="360" w:lineRule="auto"/>
      <w:ind w:firstLine="420" w:firstLineChars="200"/>
      <w:jc w:val="left"/>
    </w:pPr>
    <w:rPr>
      <w:rFonts w:eastAsia="仿宋_GB2312"/>
      <w:color w:val="000000"/>
      <w:kern w:val="0"/>
      <w:sz w:val="28"/>
      <w:szCs w:val="21"/>
    </w:rPr>
  </w:style>
  <w:style w:type="paragraph" w:customStyle="1" w:styleId="1411">
    <w:name w:val="样式 湛江钢铁表 + 段前: 0.2 行 段后: 0.2 行"/>
    <w:basedOn w:val="178"/>
    <w:qFormat/>
    <w:uiPriority w:val="0"/>
    <w:rPr>
      <w:rFonts w:cs="宋体"/>
      <w:kern w:val="2"/>
    </w:rPr>
  </w:style>
  <w:style w:type="paragraph" w:customStyle="1" w:styleId="1412">
    <w:name w:val="湛江沥青表"/>
    <w:basedOn w:val="1"/>
    <w:qFormat/>
    <w:uiPriority w:val="0"/>
    <w:pPr>
      <w:framePr w:hSpace="180" w:wrap="around" w:vAnchor="text" w:hAnchor="margin" w:y="524"/>
      <w:tabs>
        <w:tab w:val="left" w:pos="1701"/>
      </w:tabs>
      <w:autoSpaceDE w:val="0"/>
      <w:autoSpaceDN w:val="0"/>
      <w:snapToGrid w:val="0"/>
      <w:spacing w:before="100" w:line="0" w:lineRule="atLeast"/>
      <w:ind w:left="102" w:hanging="102"/>
      <w:jc w:val="center"/>
    </w:pPr>
    <w:rPr>
      <w:bCs/>
      <w:sz w:val="28"/>
      <w:szCs w:val="21"/>
      <w:u w:color="000000"/>
    </w:rPr>
  </w:style>
  <w:style w:type="paragraph" w:customStyle="1" w:styleId="1413">
    <w:name w:val="图标题"/>
    <w:basedOn w:val="1"/>
    <w:next w:val="1"/>
    <w:qFormat/>
    <w:uiPriority w:val="0"/>
    <w:pPr>
      <w:tabs>
        <w:tab w:val="left" w:pos="1701"/>
      </w:tabs>
      <w:autoSpaceDE w:val="0"/>
      <w:autoSpaceDN w:val="0"/>
      <w:adjustRightInd w:val="0"/>
      <w:snapToGrid w:val="0"/>
      <w:spacing w:before="60" w:after="120" w:line="400" w:lineRule="atLeast"/>
      <w:jc w:val="center"/>
    </w:pPr>
    <w:rPr>
      <w:rFonts w:eastAsia="仿宋_GB2312"/>
      <w:b/>
      <w:spacing w:val="2"/>
      <w:kern w:val="0"/>
      <w:sz w:val="24"/>
      <w:szCs w:val="20"/>
    </w:rPr>
  </w:style>
  <w:style w:type="paragraph" w:customStyle="1" w:styleId="1414">
    <w:name w:val="表格文字小四"/>
    <w:basedOn w:val="1"/>
    <w:qFormat/>
    <w:uiPriority w:val="0"/>
    <w:pPr>
      <w:tabs>
        <w:tab w:val="left" w:pos="1701"/>
      </w:tabs>
      <w:adjustRightInd w:val="0"/>
      <w:snapToGrid w:val="0"/>
      <w:spacing w:beforeLines="20"/>
      <w:jc w:val="center"/>
    </w:pPr>
    <w:rPr>
      <w:rFonts w:ascii="Arial" w:hAnsi="Arial" w:cs="Arial"/>
      <w:color w:val="000000"/>
      <w:kern w:val="0"/>
      <w:sz w:val="24"/>
      <w:szCs w:val="24"/>
    </w:rPr>
  </w:style>
  <w:style w:type="paragraph" w:customStyle="1" w:styleId="1415">
    <w:name w:val="样式 (符号) 宋体"/>
    <w:basedOn w:val="1"/>
    <w:qFormat/>
    <w:uiPriority w:val="0"/>
    <w:pPr>
      <w:tabs>
        <w:tab w:val="left" w:pos="1701"/>
      </w:tabs>
      <w:snapToGrid w:val="0"/>
      <w:spacing w:line="348" w:lineRule="auto"/>
      <w:ind w:firstLine="560" w:firstLineChars="200"/>
    </w:pPr>
    <w:rPr>
      <w:rFonts w:hAnsi="宋体" w:eastAsia="Times New Roman" w:cs="宋体"/>
      <w:sz w:val="28"/>
      <w:szCs w:val="20"/>
    </w:rPr>
  </w:style>
  <w:style w:type="paragraph" w:customStyle="1" w:styleId="1416">
    <w:name w:val="正文缩"/>
    <w:basedOn w:val="1"/>
    <w:qFormat/>
    <w:uiPriority w:val="0"/>
    <w:pPr>
      <w:tabs>
        <w:tab w:val="left" w:pos="1701"/>
      </w:tabs>
      <w:adjustRightInd w:val="0"/>
      <w:spacing w:line="480" w:lineRule="atLeast"/>
      <w:ind w:firstLine="567"/>
    </w:pPr>
    <w:rPr>
      <w:rFonts w:ascii="宋体"/>
      <w:spacing w:val="6"/>
      <w:kern w:val="0"/>
      <w:sz w:val="28"/>
      <w:szCs w:val="20"/>
    </w:rPr>
  </w:style>
  <w:style w:type="paragraph" w:customStyle="1" w:styleId="1417">
    <w:name w:val="大表紧缩"/>
    <w:basedOn w:val="1418"/>
    <w:qFormat/>
    <w:uiPriority w:val="0"/>
    <w:pPr>
      <w:tabs>
        <w:tab w:val="left" w:pos="1701"/>
      </w:tabs>
      <w:spacing w:line="252" w:lineRule="auto"/>
    </w:pPr>
  </w:style>
  <w:style w:type="paragraph" w:customStyle="1" w:styleId="1418">
    <w:name w:val="大表左紧"/>
    <w:basedOn w:val="1419"/>
    <w:qFormat/>
    <w:uiPriority w:val="0"/>
    <w:pPr>
      <w:tabs>
        <w:tab w:val="left" w:pos="1701"/>
      </w:tabs>
      <w:spacing w:line="276" w:lineRule="auto"/>
    </w:pPr>
    <w:rPr>
      <w:spacing w:val="-6"/>
    </w:rPr>
  </w:style>
  <w:style w:type="paragraph" w:customStyle="1" w:styleId="1419">
    <w:name w:val="大表文左对"/>
    <w:basedOn w:val="1420"/>
    <w:qFormat/>
    <w:uiPriority w:val="0"/>
    <w:pPr>
      <w:tabs>
        <w:tab w:val="left" w:pos="1701"/>
      </w:tabs>
      <w:jc w:val="left"/>
    </w:pPr>
  </w:style>
  <w:style w:type="paragraph" w:customStyle="1" w:styleId="1420">
    <w:name w:val="大表格文字"/>
    <w:basedOn w:val="1"/>
    <w:qFormat/>
    <w:uiPriority w:val="0"/>
    <w:pPr>
      <w:tabs>
        <w:tab w:val="left" w:pos="1701"/>
      </w:tabs>
      <w:adjustRightInd w:val="0"/>
      <w:snapToGrid w:val="0"/>
      <w:spacing w:line="300" w:lineRule="auto"/>
      <w:jc w:val="center"/>
    </w:pPr>
    <w:rPr>
      <w:rFonts w:cs="宋体"/>
      <w:color w:val="000000"/>
      <w:sz w:val="18"/>
      <w:szCs w:val="20"/>
    </w:rPr>
  </w:style>
  <w:style w:type="paragraph" w:customStyle="1" w:styleId="1421">
    <w:name w:val="样式 样式1 + 宋体 首行缩进:  2 字符"/>
    <w:basedOn w:val="1"/>
    <w:qFormat/>
    <w:uiPriority w:val="0"/>
    <w:pPr>
      <w:tabs>
        <w:tab w:val="left" w:pos="1701"/>
      </w:tabs>
      <w:spacing w:line="180" w:lineRule="atLeast"/>
      <w:ind w:firstLine="520" w:firstLineChars="200"/>
    </w:pPr>
    <w:rPr>
      <w:rFonts w:ascii="宋体" w:hAnsi="宋体"/>
      <w:sz w:val="28"/>
      <w:szCs w:val="28"/>
    </w:rPr>
  </w:style>
  <w:style w:type="paragraph" w:customStyle="1" w:styleId="1422">
    <w:name w:val="news"/>
    <w:basedOn w:val="1"/>
    <w:qFormat/>
    <w:uiPriority w:val="0"/>
    <w:pPr>
      <w:widowControl/>
      <w:tabs>
        <w:tab w:val="left" w:pos="1701"/>
      </w:tabs>
      <w:spacing w:before="100" w:beforeAutospacing="1" w:after="100" w:afterAutospacing="1"/>
      <w:jc w:val="left"/>
    </w:pPr>
    <w:rPr>
      <w:rFonts w:ascii="宋体" w:hAnsi="宋体"/>
      <w:kern w:val="0"/>
      <w:sz w:val="20"/>
      <w:szCs w:val="20"/>
    </w:rPr>
  </w:style>
  <w:style w:type="paragraph" w:customStyle="1" w:styleId="1423">
    <w:name w:val="正文居中"/>
    <w:basedOn w:val="74"/>
    <w:qFormat/>
    <w:uiPriority w:val="0"/>
    <w:pPr>
      <w:tabs>
        <w:tab w:val="left" w:pos="1701"/>
      </w:tabs>
      <w:adjustRightInd w:val="0"/>
      <w:snapToGrid w:val="0"/>
      <w:spacing w:after="0" w:line="312" w:lineRule="auto"/>
      <w:ind w:firstLine="0" w:firstLineChars="0"/>
      <w:jc w:val="center"/>
    </w:pPr>
    <w:rPr>
      <w:rFonts w:hint="eastAsia" w:ascii="Arial" w:hAnsi="Arial" w:eastAsia="黑体" w:cs="Arial"/>
      <w:spacing w:val="6"/>
      <w:kern w:val="0"/>
      <w:szCs w:val="28"/>
      <w:u w:val="double"/>
      <w:lang w:val="zh-CN"/>
    </w:rPr>
  </w:style>
  <w:style w:type="paragraph" w:customStyle="1" w:styleId="1424">
    <w:name w:val="表格小四"/>
    <w:basedOn w:val="1"/>
    <w:qFormat/>
    <w:uiPriority w:val="0"/>
    <w:pPr>
      <w:tabs>
        <w:tab w:val="left" w:pos="1701"/>
      </w:tabs>
      <w:snapToGrid w:val="0"/>
      <w:spacing w:before="40" w:after="40"/>
      <w:jc w:val="center"/>
    </w:pPr>
    <w:rPr>
      <w:rFonts w:ascii="Arial" w:hAnsi="Arial" w:cs="Arial"/>
      <w:spacing w:val="6"/>
      <w:sz w:val="24"/>
      <w:szCs w:val="24"/>
    </w:rPr>
  </w:style>
  <w:style w:type="paragraph" w:customStyle="1" w:styleId="1425">
    <w:name w:val="表格文字左"/>
    <w:basedOn w:val="1"/>
    <w:qFormat/>
    <w:uiPriority w:val="0"/>
    <w:pPr>
      <w:tabs>
        <w:tab w:val="left" w:pos="1701"/>
      </w:tabs>
      <w:adjustRightInd w:val="0"/>
      <w:snapToGrid w:val="0"/>
      <w:jc w:val="left"/>
    </w:pPr>
    <w:rPr>
      <w:rFonts w:ascii="Arial" w:hAnsi="Arial"/>
      <w:spacing w:val="6"/>
      <w:kern w:val="0"/>
      <w:sz w:val="24"/>
      <w:szCs w:val="26"/>
      <w:lang w:eastAsia="zh-TW"/>
    </w:rPr>
  </w:style>
  <w:style w:type="paragraph" w:customStyle="1" w:styleId="1426">
    <w:name w:val="水平衡"/>
    <w:basedOn w:val="41"/>
    <w:qFormat/>
    <w:uiPriority w:val="0"/>
    <w:pPr>
      <w:tabs>
        <w:tab w:val="left" w:pos="1701"/>
      </w:tabs>
      <w:autoSpaceDE w:val="0"/>
      <w:autoSpaceDN w:val="0"/>
      <w:adjustRightInd w:val="0"/>
      <w:snapToGrid w:val="0"/>
    </w:pPr>
    <w:rPr>
      <w:rFonts w:hint="eastAsia" w:ascii="Arial" w:hAnsi="Arial" w:cs="Arial"/>
      <w:spacing w:val="-10"/>
      <w:kern w:val="0"/>
      <w:sz w:val="20"/>
      <w:szCs w:val="20"/>
    </w:rPr>
  </w:style>
  <w:style w:type="paragraph" w:customStyle="1" w:styleId="1427">
    <w:name w:val="表格五号"/>
    <w:basedOn w:val="1"/>
    <w:qFormat/>
    <w:uiPriority w:val="0"/>
    <w:pPr>
      <w:tabs>
        <w:tab w:val="left" w:pos="1701"/>
      </w:tabs>
      <w:autoSpaceDE w:val="0"/>
      <w:autoSpaceDN w:val="0"/>
      <w:adjustRightInd w:val="0"/>
      <w:snapToGrid w:val="0"/>
      <w:spacing w:beforeLines="20"/>
      <w:jc w:val="center"/>
    </w:pPr>
    <w:rPr>
      <w:rFonts w:ascii="Arial" w:hAnsi="Arial" w:cs="Arial"/>
      <w:bCs/>
      <w:kern w:val="0"/>
      <w:sz w:val="18"/>
      <w:szCs w:val="21"/>
      <w:lang w:val="zh-CN"/>
    </w:rPr>
  </w:style>
  <w:style w:type="paragraph" w:customStyle="1" w:styleId="1428">
    <w:name w:val="表格下五号"/>
    <w:basedOn w:val="1427"/>
    <w:qFormat/>
    <w:uiPriority w:val="0"/>
    <w:pPr>
      <w:spacing w:beforeLines="50" w:afterLines="20"/>
      <w:ind w:firstLine="420" w:firstLineChars="200"/>
      <w:jc w:val="left"/>
    </w:pPr>
    <w:rPr>
      <w:bCs w:val="0"/>
      <w:sz w:val="21"/>
      <w:szCs w:val="20"/>
      <w:lang w:val="en-US"/>
    </w:rPr>
  </w:style>
  <w:style w:type="paragraph" w:customStyle="1" w:styleId="1429">
    <w:name w:val="正文图废z"/>
    <w:basedOn w:val="1318"/>
    <w:qFormat/>
    <w:uiPriority w:val="0"/>
    <w:pPr>
      <w:spacing w:before="0"/>
      <w:jc w:val="left"/>
    </w:pPr>
    <w:rPr>
      <w:rFonts w:ascii="Arial" w:hAnsi="Arial" w:cs="Arial"/>
      <w:sz w:val="21"/>
    </w:rPr>
  </w:style>
  <w:style w:type="paragraph" w:customStyle="1" w:styleId="1430">
    <w:name w:val="表格下文字5号-1"/>
    <w:basedOn w:val="1431"/>
    <w:qFormat/>
    <w:uiPriority w:val="0"/>
    <w:pPr>
      <w:tabs>
        <w:tab w:val="left" w:pos="1701"/>
      </w:tabs>
      <w:ind w:left="798"/>
    </w:pPr>
  </w:style>
  <w:style w:type="paragraph" w:customStyle="1" w:styleId="1431">
    <w:name w:val="表格下文字5号"/>
    <w:basedOn w:val="1"/>
    <w:qFormat/>
    <w:uiPriority w:val="0"/>
    <w:pPr>
      <w:tabs>
        <w:tab w:val="left" w:pos="1701"/>
      </w:tabs>
      <w:adjustRightInd w:val="0"/>
      <w:snapToGrid w:val="0"/>
      <w:spacing w:beforeLines="50" w:line="264" w:lineRule="auto"/>
      <w:ind w:left="938" w:leftChars="200" w:hanging="378" w:hangingChars="180"/>
    </w:pPr>
    <w:rPr>
      <w:rFonts w:ascii="Arial" w:hAnsi="Arial" w:cs="Arial"/>
      <w:kern w:val="0"/>
      <w:szCs w:val="20"/>
    </w:rPr>
  </w:style>
  <w:style w:type="paragraph" w:customStyle="1" w:styleId="1432">
    <w:name w:val="表格文字1"/>
    <w:basedOn w:val="603"/>
    <w:qFormat/>
    <w:uiPriority w:val="0"/>
    <w:pPr>
      <w:framePr w:wrap="around"/>
      <w:widowControl w:val="0"/>
      <w:overflowPunct/>
      <w:spacing w:beforeLines="20"/>
    </w:pPr>
    <w:rPr>
      <w:rFonts w:ascii="Arial" w:hAnsi="Arial" w:cs="Arial"/>
      <w:bCs/>
      <w:sz w:val="24"/>
    </w:rPr>
  </w:style>
  <w:style w:type="paragraph" w:customStyle="1" w:styleId="1433">
    <w:name w:val="表格文字1左"/>
    <w:basedOn w:val="1432"/>
    <w:qFormat/>
    <w:uiPriority w:val="0"/>
    <w:pPr>
      <w:framePr w:wrap="around"/>
      <w:ind w:firstLine="470" w:firstLineChars="224"/>
    </w:pPr>
    <w:rPr>
      <w:sz w:val="21"/>
    </w:rPr>
  </w:style>
  <w:style w:type="paragraph" w:customStyle="1" w:styleId="1434">
    <w:name w:val="正文图四"/>
    <w:basedOn w:val="1318"/>
    <w:qFormat/>
    <w:uiPriority w:val="0"/>
    <w:pPr>
      <w:spacing w:before="0" w:beforeLines="20"/>
    </w:pPr>
    <w:rPr>
      <w:sz w:val="28"/>
    </w:rPr>
  </w:style>
  <w:style w:type="paragraph" w:customStyle="1" w:styleId="1435">
    <w:name w:val="表格文字小四宽"/>
    <w:basedOn w:val="1414"/>
    <w:qFormat/>
    <w:uiPriority w:val="0"/>
    <w:pPr>
      <w:spacing w:beforeLines="10"/>
    </w:pPr>
    <w:rPr>
      <w:rFonts w:cs="Times New Roman"/>
      <w:color w:val="auto"/>
      <w:spacing w:val="-6"/>
    </w:rPr>
  </w:style>
  <w:style w:type="paragraph" w:customStyle="1" w:styleId="1436">
    <w:name w:val="表格文字小四左"/>
    <w:basedOn w:val="1414"/>
    <w:qFormat/>
    <w:uiPriority w:val="0"/>
    <w:pPr>
      <w:spacing w:beforeLines="0"/>
      <w:jc w:val="left"/>
    </w:pPr>
    <w:rPr>
      <w:color w:val="auto"/>
      <w:szCs w:val="20"/>
    </w:rPr>
  </w:style>
  <w:style w:type="paragraph" w:customStyle="1" w:styleId="1437">
    <w:name w:val="leedl"/>
    <w:basedOn w:val="1"/>
    <w:qFormat/>
    <w:uiPriority w:val="0"/>
    <w:pPr>
      <w:tabs>
        <w:tab w:val="left" w:pos="1701"/>
      </w:tabs>
      <w:spacing w:line="348" w:lineRule="auto"/>
      <w:ind w:firstLine="200" w:firstLineChars="200"/>
    </w:pPr>
    <w:rPr>
      <w:spacing w:val="10"/>
      <w:sz w:val="28"/>
      <w:szCs w:val="28"/>
    </w:rPr>
  </w:style>
  <w:style w:type="paragraph" w:customStyle="1" w:styleId="1438">
    <w:name w:val="表文-左"/>
    <w:basedOn w:val="603"/>
    <w:qFormat/>
    <w:uiPriority w:val="0"/>
    <w:pPr>
      <w:framePr w:wrap="around"/>
      <w:jc w:val="both"/>
    </w:pPr>
    <w:rPr>
      <w:rFonts w:cs="宋体"/>
      <w:szCs w:val="20"/>
    </w:rPr>
  </w:style>
  <w:style w:type="paragraph" w:customStyle="1" w:styleId="1439">
    <w:name w:val="表格头单倍"/>
    <w:basedOn w:val="1"/>
    <w:qFormat/>
    <w:uiPriority w:val="0"/>
    <w:pPr>
      <w:tabs>
        <w:tab w:val="left" w:pos="1701"/>
      </w:tabs>
      <w:adjustRightInd w:val="0"/>
      <w:snapToGrid w:val="0"/>
      <w:jc w:val="center"/>
    </w:pPr>
    <w:rPr>
      <w:rFonts w:cs="宋体"/>
      <w:kern w:val="28"/>
      <w:sz w:val="28"/>
      <w:szCs w:val="20"/>
    </w:rPr>
  </w:style>
  <w:style w:type="paragraph" w:customStyle="1" w:styleId="1440">
    <w:name w:val="正文文本 213"/>
    <w:basedOn w:val="1"/>
    <w:qFormat/>
    <w:uiPriority w:val="0"/>
    <w:pPr>
      <w:tabs>
        <w:tab w:val="left" w:pos="1701"/>
      </w:tabs>
      <w:autoSpaceDE w:val="0"/>
      <w:autoSpaceDN w:val="0"/>
      <w:adjustRightInd w:val="0"/>
      <w:snapToGrid w:val="0"/>
      <w:spacing w:line="364" w:lineRule="auto"/>
      <w:jc w:val="center"/>
    </w:pPr>
    <w:rPr>
      <w:spacing w:val="10"/>
      <w:kern w:val="10"/>
      <w:sz w:val="24"/>
      <w:szCs w:val="20"/>
    </w:rPr>
  </w:style>
  <w:style w:type="paragraph" w:customStyle="1" w:styleId="1441">
    <w:name w:val="日期13"/>
    <w:basedOn w:val="1"/>
    <w:next w:val="1"/>
    <w:qFormat/>
    <w:uiPriority w:val="0"/>
    <w:pPr>
      <w:tabs>
        <w:tab w:val="left" w:pos="1701"/>
      </w:tabs>
      <w:adjustRightInd w:val="0"/>
      <w:snapToGrid w:val="0"/>
      <w:spacing w:line="360" w:lineRule="atLeast"/>
    </w:pPr>
    <w:rPr>
      <w:rFonts w:ascii="宋体"/>
      <w:spacing w:val="20"/>
      <w:kern w:val="0"/>
      <w:sz w:val="28"/>
      <w:szCs w:val="20"/>
    </w:rPr>
  </w:style>
  <w:style w:type="paragraph" w:customStyle="1" w:styleId="1442">
    <w:name w:val="纯文本13"/>
    <w:basedOn w:val="1"/>
    <w:qFormat/>
    <w:uiPriority w:val="0"/>
    <w:pPr>
      <w:tabs>
        <w:tab w:val="left" w:pos="1701"/>
      </w:tabs>
      <w:adjustRightInd w:val="0"/>
      <w:snapToGrid w:val="0"/>
      <w:spacing w:line="348" w:lineRule="auto"/>
    </w:pPr>
    <w:rPr>
      <w:rFonts w:ascii="宋体" w:hAnsi="Courier New"/>
      <w:sz w:val="28"/>
      <w:szCs w:val="20"/>
    </w:rPr>
  </w:style>
  <w:style w:type="paragraph" w:customStyle="1" w:styleId="1443">
    <w:name w:val="正文首行缩进12"/>
    <w:basedOn w:val="31"/>
    <w:qFormat/>
    <w:uiPriority w:val="0"/>
    <w:pPr>
      <w:tabs>
        <w:tab w:val="left" w:pos="1701"/>
      </w:tabs>
      <w:adjustRightInd w:val="0"/>
      <w:snapToGrid w:val="0"/>
      <w:spacing w:before="0" w:line="312" w:lineRule="auto"/>
      <w:ind w:left="0" w:firstLine="567"/>
    </w:pPr>
    <w:rPr>
      <w:rFonts w:hint="eastAsia" w:ascii="Times New Roman" w:hAnsi="Times New Roman"/>
      <w:sz w:val="28"/>
      <w:szCs w:val="20"/>
      <w:lang w:eastAsia="zh-CN"/>
    </w:rPr>
  </w:style>
  <w:style w:type="paragraph" w:customStyle="1" w:styleId="1444">
    <w:name w:val="正文文本缩进 212"/>
    <w:basedOn w:val="1"/>
    <w:qFormat/>
    <w:uiPriority w:val="0"/>
    <w:pPr>
      <w:tabs>
        <w:tab w:val="left" w:pos="1701"/>
      </w:tabs>
      <w:adjustRightInd w:val="0"/>
      <w:snapToGrid w:val="0"/>
      <w:spacing w:line="348" w:lineRule="auto"/>
      <w:ind w:firstLine="573"/>
    </w:pPr>
    <w:rPr>
      <w:rFonts w:eastAsia="Wingdings"/>
      <w:sz w:val="28"/>
      <w:szCs w:val="20"/>
    </w:rPr>
  </w:style>
  <w:style w:type="paragraph" w:customStyle="1" w:styleId="1445">
    <w:name w:val="Char Char Char Char Char Char Char2"/>
    <w:basedOn w:val="1"/>
    <w:qFormat/>
    <w:uiPriority w:val="0"/>
    <w:pPr>
      <w:tabs>
        <w:tab w:val="left" w:pos="1701"/>
      </w:tabs>
    </w:pPr>
    <w:rPr>
      <w:szCs w:val="24"/>
    </w:rPr>
  </w:style>
  <w:style w:type="paragraph" w:customStyle="1" w:styleId="1446">
    <w:name w:val="文档结构图12"/>
    <w:basedOn w:val="1"/>
    <w:qFormat/>
    <w:uiPriority w:val="0"/>
    <w:pPr>
      <w:shd w:val="clear" w:color="auto" w:fill="000080"/>
      <w:tabs>
        <w:tab w:val="left" w:pos="1701"/>
      </w:tabs>
      <w:adjustRightInd w:val="0"/>
      <w:snapToGrid w:val="0"/>
      <w:spacing w:line="360" w:lineRule="atLeast"/>
      <w:jc w:val="left"/>
    </w:pPr>
    <w:rPr>
      <w:rFonts w:eastAsia="Wingdings"/>
      <w:kern w:val="0"/>
      <w:sz w:val="24"/>
      <w:szCs w:val="20"/>
    </w:rPr>
  </w:style>
  <w:style w:type="paragraph" w:customStyle="1" w:styleId="1447">
    <w:name w:val="Char Char Char Char Char Char Char Char Char Char1"/>
    <w:basedOn w:val="1"/>
    <w:qFormat/>
    <w:uiPriority w:val="0"/>
    <w:pPr>
      <w:tabs>
        <w:tab w:val="left" w:pos="1701"/>
      </w:tabs>
    </w:pPr>
    <w:rPr>
      <w:rFonts w:ascii="宋体" w:hAnsi="宋体" w:cs="宋体"/>
      <w:color w:val="000000"/>
      <w:szCs w:val="21"/>
    </w:rPr>
  </w:style>
  <w:style w:type="paragraph" w:customStyle="1" w:styleId="1448">
    <w:name w:val="Char Char Char Char Char Char Char3"/>
    <w:basedOn w:val="1"/>
    <w:qFormat/>
    <w:uiPriority w:val="0"/>
    <w:pPr>
      <w:tabs>
        <w:tab w:val="left" w:pos="1701"/>
      </w:tabs>
      <w:snapToGrid w:val="0"/>
      <w:spacing w:line="348" w:lineRule="auto"/>
    </w:pPr>
    <w:rPr>
      <w:sz w:val="28"/>
      <w:szCs w:val="24"/>
    </w:rPr>
  </w:style>
  <w:style w:type="paragraph" w:customStyle="1" w:styleId="1449">
    <w:name w:val="Char Char Char1 Char Char Char Char Char Char Char3"/>
    <w:basedOn w:val="1"/>
    <w:qFormat/>
    <w:uiPriority w:val="0"/>
    <w:pPr>
      <w:tabs>
        <w:tab w:val="left" w:pos="1701"/>
      </w:tabs>
      <w:snapToGrid w:val="0"/>
      <w:spacing w:line="348" w:lineRule="auto"/>
    </w:pPr>
    <w:rPr>
      <w:rFonts w:ascii="Tahoma" w:hAnsi="Tahoma"/>
      <w:sz w:val="24"/>
      <w:szCs w:val="20"/>
    </w:rPr>
  </w:style>
  <w:style w:type="paragraph" w:customStyle="1" w:styleId="1450">
    <w:name w:val="Char Char Char Char3"/>
    <w:basedOn w:val="1"/>
    <w:qFormat/>
    <w:uiPriority w:val="0"/>
    <w:pPr>
      <w:widowControl/>
      <w:tabs>
        <w:tab w:val="left" w:pos="1701"/>
      </w:tabs>
      <w:snapToGrid w:val="0"/>
      <w:spacing w:after="160" w:line="240" w:lineRule="exact"/>
      <w:jc w:val="left"/>
    </w:pPr>
    <w:rPr>
      <w:rFonts w:ascii="Arial" w:hAnsi="Arial" w:eastAsia="Times New Roman" w:cs="Verdana"/>
      <w:b/>
      <w:kern w:val="0"/>
      <w:sz w:val="24"/>
      <w:szCs w:val="20"/>
      <w:lang w:eastAsia="en-US"/>
    </w:rPr>
  </w:style>
  <w:style w:type="paragraph" w:customStyle="1" w:styleId="1451">
    <w:name w:val="Char Char Char1 Char Char Char Char Char Char Char Char Char Char3"/>
    <w:basedOn w:val="1"/>
    <w:semiHidden/>
    <w:qFormat/>
    <w:uiPriority w:val="0"/>
    <w:pPr>
      <w:tabs>
        <w:tab w:val="left" w:pos="1701"/>
      </w:tabs>
      <w:adjustRightInd w:val="0"/>
      <w:snapToGrid w:val="0"/>
      <w:spacing w:line="360" w:lineRule="auto"/>
      <w:ind w:firstLine="200" w:firstLineChars="200"/>
    </w:pPr>
    <w:rPr>
      <w:rFonts w:ascii="宋体" w:hAnsi="宋体" w:cs="宋体"/>
      <w:sz w:val="24"/>
      <w:szCs w:val="26"/>
    </w:rPr>
  </w:style>
  <w:style w:type="paragraph" w:customStyle="1" w:styleId="1452">
    <w:name w:val="日期3"/>
    <w:basedOn w:val="1"/>
    <w:next w:val="1"/>
    <w:qFormat/>
    <w:uiPriority w:val="0"/>
    <w:pPr>
      <w:tabs>
        <w:tab w:val="left" w:pos="1701"/>
      </w:tabs>
      <w:adjustRightInd w:val="0"/>
      <w:spacing w:line="360" w:lineRule="atLeast"/>
    </w:pPr>
    <w:rPr>
      <w:rFonts w:ascii="宋体"/>
      <w:spacing w:val="20"/>
      <w:kern w:val="0"/>
      <w:sz w:val="28"/>
      <w:szCs w:val="20"/>
    </w:rPr>
  </w:style>
  <w:style w:type="paragraph" w:customStyle="1" w:styleId="1453">
    <w:name w:val="Char Char Char Char Char Char1 Char3"/>
    <w:basedOn w:val="1"/>
    <w:qFormat/>
    <w:uiPriority w:val="0"/>
    <w:pPr>
      <w:tabs>
        <w:tab w:val="left" w:pos="1701"/>
      </w:tabs>
      <w:snapToGrid w:val="0"/>
      <w:spacing w:line="348" w:lineRule="auto"/>
    </w:pPr>
    <w:rPr>
      <w:sz w:val="28"/>
      <w:szCs w:val="24"/>
    </w:rPr>
  </w:style>
  <w:style w:type="paragraph" w:customStyle="1" w:styleId="1454">
    <w:name w:val="Char Char Char Char Char Char Char Char Char Char3"/>
    <w:basedOn w:val="1"/>
    <w:qFormat/>
    <w:uiPriority w:val="0"/>
    <w:pPr>
      <w:tabs>
        <w:tab w:val="left" w:pos="1701"/>
      </w:tabs>
      <w:snapToGrid w:val="0"/>
      <w:spacing w:line="348" w:lineRule="auto"/>
    </w:pPr>
    <w:rPr>
      <w:rFonts w:ascii="宋体" w:hAnsi="宋体" w:cs="宋体"/>
      <w:color w:val="000000"/>
      <w:sz w:val="28"/>
      <w:szCs w:val="21"/>
    </w:rPr>
  </w:style>
  <w:style w:type="paragraph" w:customStyle="1" w:styleId="1455">
    <w:name w:val="样式 标题 4节 + 行距: 1.5 倍行距 + 首行缩进:  2 字符"/>
    <w:basedOn w:val="6"/>
    <w:qFormat/>
    <w:uiPriority w:val="0"/>
    <w:pPr>
      <w:widowControl/>
      <w:tabs>
        <w:tab w:val="left" w:pos="1701"/>
      </w:tabs>
      <w:adjustRightInd w:val="0"/>
      <w:snapToGrid w:val="0"/>
      <w:ind w:firstLine="200" w:firstLineChars="200"/>
    </w:pPr>
    <w:rPr>
      <w:bCs/>
      <w:color w:val="000000"/>
    </w:rPr>
  </w:style>
  <w:style w:type="paragraph" w:customStyle="1" w:styleId="1456">
    <w:name w:val="连续正文文字"/>
    <w:basedOn w:val="31"/>
    <w:qFormat/>
    <w:uiPriority w:val="0"/>
    <w:pPr>
      <w:keepNext/>
      <w:widowControl/>
      <w:tabs>
        <w:tab w:val="left" w:pos="1701"/>
      </w:tabs>
      <w:spacing w:before="0" w:after="220" w:line="280" w:lineRule="exact"/>
      <w:ind w:left="0"/>
      <w:jc w:val="center"/>
    </w:pPr>
    <w:rPr>
      <w:rFonts w:hint="eastAsia" w:ascii="Times New Roman" w:hAnsi="Times New Roman"/>
      <w:sz w:val="30"/>
      <w:szCs w:val="20"/>
      <w:lang w:eastAsia="zh-CN"/>
    </w:rPr>
  </w:style>
  <w:style w:type="paragraph" w:customStyle="1" w:styleId="1457">
    <w:name w:val="TY"/>
    <w:basedOn w:val="1"/>
    <w:qFormat/>
    <w:uiPriority w:val="0"/>
    <w:pPr>
      <w:tabs>
        <w:tab w:val="left" w:pos="1701"/>
      </w:tabs>
      <w:adjustRightInd w:val="0"/>
      <w:snapToGrid w:val="0"/>
      <w:spacing w:before="40" w:after="40"/>
    </w:pPr>
    <w:rPr>
      <w:rFonts w:ascii="宋体" w:hAnsi="宋体"/>
      <w:sz w:val="24"/>
      <w:szCs w:val="20"/>
    </w:rPr>
  </w:style>
  <w:style w:type="paragraph" w:customStyle="1" w:styleId="1458">
    <w:name w:val="日期21"/>
    <w:basedOn w:val="1"/>
    <w:next w:val="1"/>
    <w:qFormat/>
    <w:uiPriority w:val="0"/>
    <w:pPr>
      <w:tabs>
        <w:tab w:val="left" w:pos="1701"/>
      </w:tabs>
      <w:adjustRightInd w:val="0"/>
      <w:spacing w:line="360" w:lineRule="atLeast"/>
    </w:pPr>
    <w:rPr>
      <w:rFonts w:ascii="宋体"/>
      <w:spacing w:val="20"/>
      <w:kern w:val="0"/>
      <w:sz w:val="28"/>
      <w:szCs w:val="20"/>
    </w:rPr>
  </w:style>
  <w:style w:type="paragraph" w:customStyle="1" w:styleId="1459">
    <w:name w:val="纯文本3"/>
    <w:basedOn w:val="1"/>
    <w:qFormat/>
    <w:uiPriority w:val="0"/>
    <w:pPr>
      <w:tabs>
        <w:tab w:val="left" w:pos="1701"/>
      </w:tabs>
      <w:adjustRightInd w:val="0"/>
    </w:pPr>
    <w:rPr>
      <w:rFonts w:ascii="宋体" w:hAnsi="Courier New"/>
      <w:szCs w:val="20"/>
    </w:rPr>
  </w:style>
  <w:style w:type="paragraph" w:customStyle="1" w:styleId="1460">
    <w:name w:val="Char Char Char1 Char Char Char Char Char Char Char2"/>
    <w:basedOn w:val="1"/>
    <w:qFormat/>
    <w:uiPriority w:val="0"/>
    <w:pPr>
      <w:tabs>
        <w:tab w:val="left" w:pos="1701"/>
      </w:tabs>
    </w:pPr>
    <w:rPr>
      <w:rFonts w:ascii="Tahoma" w:hAnsi="Tahoma"/>
      <w:sz w:val="24"/>
      <w:szCs w:val="20"/>
    </w:rPr>
  </w:style>
  <w:style w:type="paragraph" w:customStyle="1" w:styleId="1461">
    <w:name w:val="Char Char Char Char2"/>
    <w:basedOn w:val="1"/>
    <w:qFormat/>
    <w:uiPriority w:val="0"/>
    <w:pPr>
      <w:widowControl/>
      <w:tabs>
        <w:tab w:val="left" w:pos="1701"/>
      </w:tabs>
      <w:spacing w:after="160" w:line="240" w:lineRule="exact"/>
      <w:jc w:val="left"/>
    </w:pPr>
    <w:rPr>
      <w:rFonts w:ascii="Arial" w:hAnsi="Arial" w:eastAsia="Times New Roman" w:cs="Verdana"/>
      <w:b/>
      <w:kern w:val="0"/>
      <w:sz w:val="24"/>
      <w:szCs w:val="20"/>
      <w:lang w:eastAsia="en-US"/>
    </w:rPr>
  </w:style>
  <w:style w:type="paragraph" w:customStyle="1" w:styleId="1462">
    <w:name w:val="正文文本 231"/>
    <w:basedOn w:val="1"/>
    <w:qFormat/>
    <w:uiPriority w:val="0"/>
    <w:pPr>
      <w:tabs>
        <w:tab w:val="left" w:pos="1701"/>
      </w:tabs>
      <w:autoSpaceDE w:val="0"/>
      <w:autoSpaceDN w:val="0"/>
      <w:adjustRightInd w:val="0"/>
      <w:spacing w:line="364" w:lineRule="auto"/>
      <w:jc w:val="center"/>
    </w:pPr>
    <w:rPr>
      <w:spacing w:val="10"/>
      <w:kern w:val="10"/>
      <w:sz w:val="24"/>
      <w:szCs w:val="20"/>
    </w:rPr>
  </w:style>
  <w:style w:type="paragraph" w:customStyle="1" w:styleId="1463">
    <w:name w:val="Char Char Char Char Char Char Char Char Char Char2"/>
    <w:basedOn w:val="1"/>
    <w:qFormat/>
    <w:uiPriority w:val="0"/>
    <w:pPr>
      <w:tabs>
        <w:tab w:val="left" w:pos="1701"/>
      </w:tabs>
    </w:pPr>
    <w:rPr>
      <w:rFonts w:ascii="宋体" w:hAnsi="宋体" w:cs="宋体"/>
      <w:color w:val="000000"/>
      <w:szCs w:val="21"/>
    </w:rPr>
  </w:style>
  <w:style w:type="paragraph" w:customStyle="1" w:styleId="1464">
    <w:name w:val="Char Char Char1 Char Char Char Char Char Char Char Char Char Char2"/>
    <w:basedOn w:val="1"/>
    <w:semiHidden/>
    <w:qFormat/>
    <w:uiPriority w:val="0"/>
    <w:pPr>
      <w:tabs>
        <w:tab w:val="left" w:pos="1701"/>
      </w:tabs>
      <w:adjustRightInd w:val="0"/>
      <w:snapToGrid w:val="0"/>
      <w:spacing w:line="360" w:lineRule="auto"/>
      <w:ind w:firstLine="200" w:firstLineChars="200"/>
    </w:pPr>
    <w:rPr>
      <w:rFonts w:ascii="宋体" w:hAnsi="宋体" w:cs="宋体"/>
      <w:sz w:val="24"/>
      <w:szCs w:val="26"/>
    </w:rPr>
  </w:style>
  <w:style w:type="paragraph" w:customStyle="1" w:styleId="1465">
    <w:name w:val="正文首行缩进2"/>
    <w:basedOn w:val="31"/>
    <w:qFormat/>
    <w:uiPriority w:val="0"/>
    <w:pPr>
      <w:tabs>
        <w:tab w:val="left" w:pos="1701"/>
      </w:tabs>
      <w:adjustRightInd w:val="0"/>
      <w:spacing w:before="0" w:line="312" w:lineRule="auto"/>
      <w:ind w:left="0" w:firstLine="567"/>
    </w:pPr>
    <w:rPr>
      <w:rFonts w:hint="eastAsia" w:ascii="Times New Roman" w:hAnsi="Times New Roman"/>
      <w:sz w:val="28"/>
      <w:szCs w:val="20"/>
      <w:lang w:eastAsia="zh-CN"/>
    </w:rPr>
  </w:style>
  <w:style w:type="paragraph" w:customStyle="1" w:styleId="1466">
    <w:name w:val="正文文本缩进 22"/>
    <w:basedOn w:val="1"/>
    <w:qFormat/>
    <w:uiPriority w:val="0"/>
    <w:pPr>
      <w:tabs>
        <w:tab w:val="left" w:pos="1701"/>
      </w:tabs>
      <w:adjustRightInd w:val="0"/>
      <w:spacing w:line="348" w:lineRule="auto"/>
      <w:ind w:firstLine="573"/>
    </w:pPr>
    <w:rPr>
      <w:rFonts w:eastAsia="Wingdings"/>
      <w:sz w:val="28"/>
      <w:szCs w:val="20"/>
    </w:rPr>
  </w:style>
  <w:style w:type="paragraph" w:customStyle="1" w:styleId="1467">
    <w:name w:val="文档结构图2"/>
    <w:basedOn w:val="1"/>
    <w:qFormat/>
    <w:uiPriority w:val="0"/>
    <w:pPr>
      <w:shd w:val="clear" w:color="auto" w:fill="000080"/>
      <w:tabs>
        <w:tab w:val="left" w:pos="1701"/>
      </w:tabs>
      <w:adjustRightInd w:val="0"/>
      <w:spacing w:line="360" w:lineRule="atLeast"/>
      <w:jc w:val="left"/>
    </w:pPr>
    <w:rPr>
      <w:rFonts w:eastAsia="Wingdings"/>
      <w:kern w:val="0"/>
      <w:sz w:val="24"/>
      <w:szCs w:val="20"/>
    </w:rPr>
  </w:style>
  <w:style w:type="paragraph" w:customStyle="1" w:styleId="1468">
    <w:name w:val="Char Char Char Char Char Char1 Char2"/>
    <w:basedOn w:val="1"/>
    <w:qFormat/>
    <w:uiPriority w:val="0"/>
    <w:pPr>
      <w:tabs>
        <w:tab w:val="left" w:pos="1701"/>
      </w:tabs>
    </w:pPr>
    <w:rPr>
      <w:szCs w:val="24"/>
    </w:rPr>
  </w:style>
  <w:style w:type="paragraph" w:customStyle="1" w:styleId="1469">
    <w:name w:val="Char Char Char Char Char Char Char Char Char Char Char Char Char2"/>
    <w:basedOn w:val="1"/>
    <w:qFormat/>
    <w:uiPriority w:val="0"/>
    <w:pPr>
      <w:tabs>
        <w:tab w:val="left" w:pos="1701"/>
      </w:tabs>
      <w:snapToGrid w:val="0"/>
      <w:spacing w:line="360" w:lineRule="auto"/>
      <w:ind w:firstLine="200" w:firstLineChars="200"/>
    </w:pPr>
    <w:rPr>
      <w:rFonts w:eastAsia="仿宋_GB2312"/>
      <w:sz w:val="24"/>
      <w:szCs w:val="24"/>
    </w:rPr>
  </w:style>
  <w:style w:type="paragraph" w:customStyle="1" w:styleId="1470">
    <w:name w:val="纯文本4"/>
    <w:basedOn w:val="1"/>
    <w:qFormat/>
    <w:uiPriority w:val="0"/>
    <w:pPr>
      <w:tabs>
        <w:tab w:val="left" w:pos="1701"/>
      </w:tabs>
      <w:adjustRightInd w:val="0"/>
    </w:pPr>
    <w:rPr>
      <w:rFonts w:ascii="宋体" w:hAnsi="Courier New"/>
      <w:szCs w:val="20"/>
    </w:rPr>
  </w:style>
  <w:style w:type="paragraph" w:customStyle="1" w:styleId="1471">
    <w:name w:val="Char Char Char Char Char Char Char4"/>
    <w:basedOn w:val="1"/>
    <w:qFormat/>
    <w:uiPriority w:val="0"/>
    <w:pPr>
      <w:tabs>
        <w:tab w:val="left" w:pos="1701"/>
      </w:tabs>
    </w:pPr>
    <w:rPr>
      <w:szCs w:val="24"/>
    </w:rPr>
  </w:style>
  <w:style w:type="paragraph" w:customStyle="1" w:styleId="1472">
    <w:name w:val="Char Char Char Char Char Char Char1"/>
    <w:basedOn w:val="1"/>
    <w:qFormat/>
    <w:uiPriority w:val="0"/>
    <w:pPr>
      <w:tabs>
        <w:tab w:val="left" w:pos="1701"/>
      </w:tabs>
    </w:pPr>
    <w:rPr>
      <w:szCs w:val="24"/>
    </w:rPr>
  </w:style>
  <w:style w:type="paragraph" w:customStyle="1" w:styleId="1473">
    <w:name w:val="Char Char Char1 Char Char Char Char Char Char Char1"/>
    <w:basedOn w:val="1"/>
    <w:qFormat/>
    <w:uiPriority w:val="0"/>
    <w:pPr>
      <w:tabs>
        <w:tab w:val="left" w:pos="1701"/>
      </w:tabs>
    </w:pPr>
    <w:rPr>
      <w:rFonts w:ascii="Tahoma" w:hAnsi="Tahoma"/>
      <w:sz w:val="24"/>
      <w:szCs w:val="20"/>
    </w:rPr>
  </w:style>
  <w:style w:type="paragraph" w:customStyle="1" w:styleId="1474">
    <w:name w:val="Char Char Char1 Char Char Char Char Char Char Char Char Char Char1"/>
    <w:basedOn w:val="1"/>
    <w:semiHidden/>
    <w:qFormat/>
    <w:uiPriority w:val="0"/>
    <w:pPr>
      <w:tabs>
        <w:tab w:val="left" w:pos="1701"/>
      </w:tabs>
      <w:adjustRightInd w:val="0"/>
      <w:snapToGrid w:val="0"/>
      <w:spacing w:line="360" w:lineRule="auto"/>
      <w:ind w:firstLine="200" w:firstLineChars="200"/>
    </w:pPr>
    <w:rPr>
      <w:rFonts w:ascii="宋体" w:hAnsi="宋体" w:cs="宋体"/>
      <w:sz w:val="24"/>
      <w:szCs w:val="26"/>
    </w:rPr>
  </w:style>
  <w:style w:type="paragraph" w:customStyle="1" w:styleId="1475">
    <w:name w:val="正文首行缩进3"/>
    <w:basedOn w:val="31"/>
    <w:qFormat/>
    <w:uiPriority w:val="0"/>
    <w:pPr>
      <w:tabs>
        <w:tab w:val="left" w:pos="1701"/>
      </w:tabs>
      <w:adjustRightInd w:val="0"/>
      <w:spacing w:before="0" w:line="312" w:lineRule="auto"/>
      <w:ind w:left="0" w:firstLine="567"/>
    </w:pPr>
    <w:rPr>
      <w:rFonts w:hint="eastAsia" w:ascii="Times New Roman" w:hAnsi="Times New Roman"/>
      <w:sz w:val="28"/>
      <w:szCs w:val="20"/>
      <w:lang w:eastAsia="zh-CN"/>
    </w:rPr>
  </w:style>
  <w:style w:type="paragraph" w:customStyle="1" w:styleId="1476">
    <w:name w:val="正文文本缩进 23"/>
    <w:basedOn w:val="1"/>
    <w:qFormat/>
    <w:uiPriority w:val="0"/>
    <w:pPr>
      <w:tabs>
        <w:tab w:val="left" w:pos="1701"/>
      </w:tabs>
      <w:adjustRightInd w:val="0"/>
      <w:spacing w:line="348" w:lineRule="auto"/>
      <w:ind w:firstLine="573"/>
    </w:pPr>
    <w:rPr>
      <w:rFonts w:eastAsia="Wingdings"/>
      <w:sz w:val="28"/>
      <w:szCs w:val="20"/>
    </w:rPr>
  </w:style>
  <w:style w:type="paragraph" w:customStyle="1" w:styleId="1477">
    <w:name w:val="文档结构图3"/>
    <w:basedOn w:val="1"/>
    <w:qFormat/>
    <w:uiPriority w:val="0"/>
    <w:pPr>
      <w:shd w:val="clear" w:color="auto" w:fill="000080"/>
      <w:tabs>
        <w:tab w:val="left" w:pos="1701"/>
      </w:tabs>
      <w:adjustRightInd w:val="0"/>
      <w:spacing w:line="360" w:lineRule="atLeast"/>
      <w:jc w:val="left"/>
    </w:pPr>
    <w:rPr>
      <w:rFonts w:eastAsia="Wingdings"/>
      <w:kern w:val="0"/>
      <w:sz w:val="24"/>
      <w:szCs w:val="20"/>
    </w:rPr>
  </w:style>
  <w:style w:type="paragraph" w:customStyle="1" w:styleId="1478">
    <w:name w:val="Char Char Char Char Char Char1 Char1"/>
    <w:basedOn w:val="1"/>
    <w:qFormat/>
    <w:uiPriority w:val="0"/>
    <w:pPr>
      <w:tabs>
        <w:tab w:val="left" w:pos="1701"/>
      </w:tabs>
    </w:pPr>
    <w:rPr>
      <w:szCs w:val="24"/>
    </w:rPr>
  </w:style>
  <w:style w:type="paragraph" w:customStyle="1" w:styleId="1479">
    <w:name w:val="Char Char Char Char Char Char Char Char Char Char Char Char Char1"/>
    <w:basedOn w:val="1"/>
    <w:qFormat/>
    <w:uiPriority w:val="0"/>
    <w:pPr>
      <w:tabs>
        <w:tab w:val="left" w:pos="1701"/>
      </w:tabs>
      <w:snapToGrid w:val="0"/>
      <w:spacing w:line="360" w:lineRule="auto"/>
      <w:ind w:firstLine="200" w:firstLineChars="200"/>
    </w:pPr>
    <w:rPr>
      <w:rFonts w:eastAsia="仿宋_GB2312"/>
      <w:sz w:val="24"/>
      <w:szCs w:val="24"/>
    </w:rPr>
  </w:style>
  <w:style w:type="paragraph" w:customStyle="1" w:styleId="1480">
    <w:name w:val="样式 表格头 + 字距调整二号"/>
    <w:basedOn w:val="1298"/>
    <w:qFormat/>
    <w:uiPriority w:val="0"/>
    <w:rPr>
      <w:kern w:val="44"/>
    </w:rPr>
  </w:style>
  <w:style w:type="paragraph" w:customStyle="1" w:styleId="1481">
    <w:name w:val="Char Char Char1 Char Char Char Char Char Char Char4"/>
    <w:basedOn w:val="1"/>
    <w:qFormat/>
    <w:uiPriority w:val="0"/>
    <w:pPr>
      <w:tabs>
        <w:tab w:val="left" w:pos="1701"/>
      </w:tabs>
    </w:pPr>
    <w:rPr>
      <w:rFonts w:ascii="Tahoma" w:hAnsi="Tahoma"/>
      <w:sz w:val="24"/>
      <w:szCs w:val="20"/>
    </w:rPr>
  </w:style>
  <w:style w:type="paragraph" w:customStyle="1" w:styleId="1482">
    <w:name w:val="Char Char Char Char4"/>
    <w:basedOn w:val="1"/>
    <w:qFormat/>
    <w:uiPriority w:val="0"/>
    <w:pPr>
      <w:widowControl/>
      <w:tabs>
        <w:tab w:val="left" w:pos="1701"/>
      </w:tabs>
      <w:spacing w:after="160" w:line="240" w:lineRule="exact"/>
      <w:jc w:val="left"/>
    </w:pPr>
    <w:rPr>
      <w:rFonts w:ascii="Arial" w:hAnsi="Arial" w:eastAsia="Times New Roman" w:cs="Verdana"/>
      <w:b/>
      <w:kern w:val="0"/>
      <w:sz w:val="24"/>
      <w:szCs w:val="20"/>
      <w:lang w:eastAsia="en-US"/>
    </w:rPr>
  </w:style>
  <w:style w:type="paragraph" w:customStyle="1" w:styleId="1483">
    <w:name w:val="Char Char Char1 Char Char Char Char Char Char Char Char Char Char4"/>
    <w:basedOn w:val="1"/>
    <w:qFormat/>
    <w:uiPriority w:val="0"/>
    <w:pPr>
      <w:tabs>
        <w:tab w:val="left" w:pos="1701"/>
      </w:tabs>
      <w:adjustRightInd w:val="0"/>
      <w:snapToGrid w:val="0"/>
      <w:spacing w:line="360" w:lineRule="auto"/>
      <w:ind w:firstLine="200" w:firstLineChars="200"/>
    </w:pPr>
    <w:rPr>
      <w:rFonts w:ascii="宋体" w:hAnsi="宋体" w:cs="宋体"/>
      <w:sz w:val="24"/>
      <w:szCs w:val="26"/>
    </w:rPr>
  </w:style>
  <w:style w:type="paragraph" w:customStyle="1" w:styleId="1484">
    <w:name w:val="Char Char Char Char Char Char1 Char4"/>
    <w:basedOn w:val="1"/>
    <w:qFormat/>
    <w:uiPriority w:val="0"/>
    <w:pPr>
      <w:tabs>
        <w:tab w:val="left" w:pos="1701"/>
      </w:tabs>
    </w:pPr>
    <w:rPr>
      <w:szCs w:val="24"/>
    </w:rPr>
  </w:style>
  <w:style w:type="paragraph" w:customStyle="1" w:styleId="1485">
    <w:name w:val="Char Char Char Char Char Char Char Char Char Char4"/>
    <w:basedOn w:val="1"/>
    <w:qFormat/>
    <w:uiPriority w:val="0"/>
    <w:pPr>
      <w:tabs>
        <w:tab w:val="left" w:pos="1701"/>
      </w:tabs>
    </w:pPr>
    <w:rPr>
      <w:rFonts w:ascii="宋体" w:hAnsi="宋体" w:cs="宋体"/>
      <w:color w:val="000000"/>
      <w:szCs w:val="21"/>
    </w:rPr>
  </w:style>
  <w:style w:type="paragraph" w:customStyle="1" w:styleId="1486">
    <w:name w:val="正文文本 211"/>
    <w:basedOn w:val="1"/>
    <w:qFormat/>
    <w:uiPriority w:val="0"/>
    <w:pPr>
      <w:tabs>
        <w:tab w:val="left" w:pos="1701"/>
      </w:tabs>
      <w:autoSpaceDE w:val="0"/>
      <w:autoSpaceDN w:val="0"/>
      <w:adjustRightInd w:val="0"/>
      <w:snapToGrid w:val="0"/>
      <w:spacing w:line="364" w:lineRule="auto"/>
      <w:jc w:val="center"/>
    </w:pPr>
    <w:rPr>
      <w:spacing w:val="10"/>
      <w:kern w:val="10"/>
      <w:sz w:val="24"/>
      <w:szCs w:val="20"/>
    </w:rPr>
  </w:style>
  <w:style w:type="paragraph" w:customStyle="1" w:styleId="1487">
    <w:name w:val="日期11"/>
    <w:basedOn w:val="1"/>
    <w:next w:val="1"/>
    <w:qFormat/>
    <w:uiPriority w:val="0"/>
    <w:pPr>
      <w:tabs>
        <w:tab w:val="left" w:pos="1701"/>
      </w:tabs>
      <w:adjustRightInd w:val="0"/>
      <w:snapToGrid w:val="0"/>
      <w:spacing w:line="360" w:lineRule="atLeast"/>
    </w:pPr>
    <w:rPr>
      <w:rFonts w:ascii="宋体"/>
      <w:spacing w:val="20"/>
      <w:kern w:val="0"/>
      <w:sz w:val="28"/>
      <w:szCs w:val="20"/>
    </w:rPr>
  </w:style>
  <w:style w:type="paragraph" w:customStyle="1" w:styleId="1488">
    <w:name w:val="纯文本11"/>
    <w:basedOn w:val="1"/>
    <w:qFormat/>
    <w:uiPriority w:val="0"/>
    <w:pPr>
      <w:tabs>
        <w:tab w:val="left" w:pos="1701"/>
      </w:tabs>
      <w:adjustRightInd w:val="0"/>
      <w:snapToGrid w:val="0"/>
      <w:spacing w:line="348" w:lineRule="auto"/>
    </w:pPr>
    <w:rPr>
      <w:rFonts w:ascii="宋体" w:hAnsi="Courier New"/>
      <w:sz w:val="28"/>
      <w:szCs w:val="20"/>
    </w:rPr>
  </w:style>
  <w:style w:type="paragraph" w:customStyle="1" w:styleId="1489">
    <w:name w:val="正文首行缩进11"/>
    <w:basedOn w:val="31"/>
    <w:qFormat/>
    <w:uiPriority w:val="0"/>
    <w:pPr>
      <w:tabs>
        <w:tab w:val="left" w:pos="1701"/>
      </w:tabs>
      <w:adjustRightInd w:val="0"/>
      <w:snapToGrid w:val="0"/>
      <w:spacing w:before="0" w:line="312" w:lineRule="auto"/>
      <w:ind w:left="0" w:firstLine="567"/>
    </w:pPr>
    <w:rPr>
      <w:rFonts w:hint="eastAsia" w:ascii="Times New Roman" w:hAnsi="Times New Roman"/>
      <w:sz w:val="28"/>
      <w:szCs w:val="20"/>
      <w:lang w:eastAsia="zh-CN"/>
    </w:rPr>
  </w:style>
  <w:style w:type="paragraph" w:customStyle="1" w:styleId="1490">
    <w:name w:val="正文文本缩进 211"/>
    <w:basedOn w:val="1"/>
    <w:qFormat/>
    <w:uiPriority w:val="0"/>
    <w:pPr>
      <w:tabs>
        <w:tab w:val="left" w:pos="1701"/>
      </w:tabs>
      <w:adjustRightInd w:val="0"/>
      <w:snapToGrid w:val="0"/>
      <w:spacing w:line="348" w:lineRule="auto"/>
      <w:ind w:firstLine="573"/>
    </w:pPr>
    <w:rPr>
      <w:rFonts w:eastAsia="Wingdings"/>
      <w:sz w:val="28"/>
      <w:szCs w:val="20"/>
    </w:rPr>
  </w:style>
  <w:style w:type="paragraph" w:customStyle="1" w:styleId="1491">
    <w:name w:val="文档结构图11"/>
    <w:basedOn w:val="1"/>
    <w:qFormat/>
    <w:uiPriority w:val="0"/>
    <w:pPr>
      <w:shd w:val="clear" w:color="auto" w:fill="000080"/>
      <w:tabs>
        <w:tab w:val="left" w:pos="1701"/>
      </w:tabs>
      <w:adjustRightInd w:val="0"/>
      <w:snapToGrid w:val="0"/>
      <w:spacing w:line="360" w:lineRule="atLeast"/>
      <w:jc w:val="left"/>
    </w:pPr>
    <w:rPr>
      <w:rFonts w:eastAsia="Wingdings"/>
      <w:kern w:val="0"/>
      <w:sz w:val="24"/>
      <w:szCs w:val="20"/>
    </w:rPr>
  </w:style>
  <w:style w:type="paragraph" w:customStyle="1" w:styleId="1492">
    <w:name w:val="Char Char Char Char Char Char Char Char Char Char Char Char Char3"/>
    <w:basedOn w:val="1"/>
    <w:qFormat/>
    <w:uiPriority w:val="0"/>
    <w:pPr>
      <w:tabs>
        <w:tab w:val="left" w:pos="1701"/>
      </w:tabs>
      <w:snapToGrid w:val="0"/>
      <w:spacing w:line="360" w:lineRule="auto"/>
      <w:ind w:firstLine="200" w:firstLineChars="200"/>
    </w:pPr>
    <w:rPr>
      <w:rFonts w:eastAsia="仿宋_GB2312"/>
      <w:sz w:val="24"/>
      <w:szCs w:val="24"/>
    </w:rPr>
  </w:style>
  <w:style w:type="paragraph" w:customStyle="1" w:styleId="1493">
    <w:name w:val="样式 宋体 小五 居中 紧缩量  0.25 磅 行距: 单倍行距 首行缩进:  0 字符 右  0.22 字符"/>
    <w:basedOn w:val="1"/>
    <w:qFormat/>
    <w:uiPriority w:val="0"/>
    <w:pPr>
      <w:tabs>
        <w:tab w:val="left" w:pos="1701"/>
      </w:tabs>
      <w:adjustRightInd w:val="0"/>
      <w:snapToGrid w:val="0"/>
      <w:ind w:right="22" w:rightChars="22"/>
      <w:jc w:val="left"/>
    </w:pPr>
    <w:rPr>
      <w:rFonts w:ascii="宋体" w:hAnsi="宋体" w:cs="宋体"/>
      <w:spacing w:val="-5"/>
      <w:sz w:val="18"/>
      <w:szCs w:val="20"/>
    </w:rPr>
  </w:style>
  <w:style w:type="paragraph" w:customStyle="1" w:styleId="1494">
    <w:name w:val="表格（5号）"/>
    <w:basedOn w:val="1"/>
    <w:qFormat/>
    <w:uiPriority w:val="0"/>
    <w:pPr>
      <w:spacing w:line="320" w:lineRule="exact"/>
      <w:ind w:left="-63" w:leftChars="-30" w:right="-63"/>
      <w:jc w:val="center"/>
    </w:pPr>
    <w:rPr>
      <w:rFonts w:ascii="Arial" w:hAnsi="Arial"/>
      <w:color w:val="000000"/>
      <w:szCs w:val="20"/>
    </w:rPr>
  </w:style>
  <w:style w:type="paragraph" w:customStyle="1" w:styleId="1495">
    <w:name w:val="正文5号"/>
    <w:basedOn w:val="1"/>
    <w:qFormat/>
    <w:uiPriority w:val="0"/>
    <w:pPr>
      <w:adjustRightInd w:val="0"/>
      <w:snapToGrid w:val="0"/>
      <w:spacing w:line="324" w:lineRule="auto"/>
      <w:ind w:firstLine="1134"/>
    </w:pPr>
    <w:rPr>
      <w:kern w:val="0"/>
      <w:szCs w:val="20"/>
    </w:rPr>
  </w:style>
  <w:style w:type="paragraph" w:customStyle="1" w:styleId="1496">
    <w:name w:val="样式 样式 环评正文 + (西文) 仿宋_GB2312 (中文) 宋体 10.5 磅 首行缩进:  2 字符 + 首行缩进:  ..."/>
    <w:basedOn w:val="1"/>
    <w:qFormat/>
    <w:uiPriority w:val="0"/>
    <w:pPr>
      <w:spacing w:line="400" w:lineRule="exact"/>
      <w:ind w:firstLine="200" w:firstLineChars="200"/>
    </w:pPr>
    <w:rPr>
      <w:rFonts w:ascii="仿宋_GB2312" w:hAnsi="仿宋_GB2312"/>
      <w:spacing w:val="10"/>
      <w:sz w:val="24"/>
      <w:szCs w:val="20"/>
    </w:rPr>
  </w:style>
  <w:style w:type="paragraph" w:customStyle="1" w:styleId="1497">
    <w:name w:val="前言、引言标题"/>
    <w:next w:val="1"/>
    <w:qFormat/>
    <w:uiPriority w:val="0"/>
    <w:pPr>
      <w:shd w:val="clear" w:color="auto" w:fill="FFFFFF"/>
      <w:spacing w:before="640" w:after="560"/>
      <w:jc w:val="center"/>
      <w:outlineLvl w:val="0"/>
    </w:pPr>
    <w:rPr>
      <w:rFonts w:ascii="黑体" w:hAnsi="Times New Roman" w:eastAsia="黑体" w:cs="Times New Roman"/>
      <w:sz w:val="32"/>
      <w:lang w:val="en-US" w:eastAsia="zh-CN" w:bidi="ar-SA"/>
    </w:rPr>
  </w:style>
  <w:style w:type="paragraph" w:customStyle="1" w:styleId="1498">
    <w:name w:val="二级条标题"/>
    <w:basedOn w:val="1"/>
    <w:next w:val="1"/>
    <w:qFormat/>
    <w:uiPriority w:val="0"/>
    <w:pPr>
      <w:widowControl/>
      <w:tabs>
        <w:tab w:val="left" w:pos="360"/>
        <w:tab w:val="left" w:pos="1680"/>
        <w:tab w:val="left" w:pos="2240"/>
      </w:tabs>
      <w:ind w:left="1680" w:hanging="420"/>
      <w:jc w:val="left"/>
      <w:outlineLvl w:val="3"/>
    </w:pPr>
    <w:rPr>
      <w:rFonts w:eastAsia="黑体"/>
      <w:kern w:val="0"/>
      <w:szCs w:val="20"/>
    </w:rPr>
  </w:style>
  <w:style w:type="paragraph" w:customStyle="1" w:styleId="1499">
    <w:name w:val="三级条标题"/>
    <w:basedOn w:val="1"/>
    <w:next w:val="1"/>
    <w:qFormat/>
    <w:uiPriority w:val="0"/>
    <w:pPr>
      <w:widowControl/>
      <w:tabs>
        <w:tab w:val="left" w:pos="360"/>
        <w:tab w:val="left" w:pos="1680"/>
        <w:tab w:val="left" w:pos="2100"/>
        <w:tab w:val="left" w:pos="2240"/>
        <w:tab w:val="left" w:pos="2660"/>
      </w:tabs>
      <w:ind w:left="2100" w:hanging="420"/>
      <w:jc w:val="left"/>
      <w:outlineLvl w:val="4"/>
    </w:pPr>
    <w:rPr>
      <w:rFonts w:eastAsia="黑体"/>
      <w:kern w:val="0"/>
      <w:szCs w:val="20"/>
    </w:rPr>
  </w:style>
  <w:style w:type="paragraph" w:customStyle="1" w:styleId="1500">
    <w:name w:val="四级条标题"/>
    <w:basedOn w:val="1"/>
    <w:next w:val="1"/>
    <w:qFormat/>
    <w:uiPriority w:val="0"/>
    <w:pPr>
      <w:widowControl/>
      <w:tabs>
        <w:tab w:val="left" w:pos="360"/>
        <w:tab w:val="left" w:pos="1680"/>
        <w:tab w:val="left" w:pos="2100"/>
        <w:tab w:val="left" w:pos="2240"/>
        <w:tab w:val="left" w:pos="2660"/>
        <w:tab w:val="left" w:pos="3080"/>
      </w:tabs>
      <w:ind w:left="3080" w:hanging="420"/>
      <w:jc w:val="left"/>
      <w:outlineLvl w:val="5"/>
    </w:pPr>
    <w:rPr>
      <w:rFonts w:eastAsia="黑体"/>
      <w:kern w:val="0"/>
      <w:szCs w:val="20"/>
    </w:rPr>
  </w:style>
  <w:style w:type="paragraph" w:customStyle="1" w:styleId="1501">
    <w:name w:val="p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02">
    <w:name w:val="c201101"/>
    <w:basedOn w:val="1"/>
    <w:qFormat/>
    <w:uiPriority w:val="0"/>
    <w:pPr>
      <w:widowControl/>
      <w:spacing w:before="100" w:beforeAutospacing="1" w:after="100" w:afterAutospacing="1" w:line="330" w:lineRule="atLeast"/>
      <w:jc w:val="left"/>
    </w:pPr>
    <w:rPr>
      <w:rFonts w:ascii="宋体" w:hAnsi="宋体" w:cs="宋体"/>
      <w:b/>
      <w:bCs/>
      <w:color w:val="2D5B7D"/>
      <w:kern w:val="0"/>
      <w:szCs w:val="21"/>
    </w:rPr>
  </w:style>
  <w:style w:type="paragraph" w:customStyle="1" w:styleId="1503">
    <w:name w:val="H2——H2"/>
    <w:next w:val="222"/>
    <w:qFormat/>
    <w:uiPriority w:val="0"/>
    <w:pPr>
      <w:adjustRightInd w:val="0"/>
      <w:snapToGrid w:val="0"/>
      <w:spacing w:line="348" w:lineRule="auto"/>
      <w:outlineLvl w:val="1"/>
    </w:pPr>
    <w:rPr>
      <w:rFonts w:ascii="Times New Roman" w:hAnsi="Times New Roman" w:eastAsia="宋体" w:cs="Times New Roman"/>
      <w:b/>
      <w:kern w:val="44"/>
      <w:sz w:val="24"/>
      <w:szCs w:val="24"/>
      <w:lang w:val="en-US" w:eastAsia="zh-CN" w:bidi="ar-SA"/>
    </w:rPr>
  </w:style>
  <w:style w:type="paragraph" w:customStyle="1" w:styleId="1504">
    <w:name w:val="标题3-hao"/>
    <w:qFormat/>
    <w:uiPriority w:val="0"/>
    <w:pPr>
      <w:adjustRightInd w:val="0"/>
      <w:snapToGrid w:val="0"/>
      <w:spacing w:line="348" w:lineRule="auto"/>
      <w:outlineLvl w:val="2"/>
    </w:pPr>
    <w:rPr>
      <w:rFonts w:ascii="Times New Roman" w:hAnsi="Times New Roman" w:eastAsia="宋体" w:cs="Times New Roman"/>
      <w:kern w:val="2"/>
      <w:sz w:val="28"/>
      <w:szCs w:val="24"/>
      <w:lang w:val="en-US" w:eastAsia="zh-CN" w:bidi="ar-SA"/>
    </w:rPr>
  </w:style>
  <w:style w:type="paragraph" w:customStyle="1" w:styleId="1505">
    <w:name w:val="标题4-hao"/>
    <w:qFormat/>
    <w:uiPriority w:val="0"/>
    <w:pPr>
      <w:adjustRightInd w:val="0"/>
      <w:snapToGrid w:val="0"/>
      <w:spacing w:line="348" w:lineRule="auto"/>
      <w:outlineLvl w:val="3"/>
    </w:pPr>
    <w:rPr>
      <w:rFonts w:ascii="Times New Roman" w:hAnsi="Times New Roman" w:eastAsia="宋体" w:cs="Times New Roman"/>
      <w:kern w:val="2"/>
      <w:sz w:val="28"/>
      <w:szCs w:val="24"/>
      <w:lang w:val="en-US" w:eastAsia="zh-CN" w:bidi="ar-SA"/>
    </w:rPr>
  </w:style>
  <w:style w:type="paragraph" w:customStyle="1" w:styleId="1506">
    <w:name w:val="标题5-hao"/>
    <w:qFormat/>
    <w:uiPriority w:val="0"/>
    <w:pPr>
      <w:adjustRightInd w:val="0"/>
      <w:snapToGrid w:val="0"/>
      <w:spacing w:line="348" w:lineRule="auto"/>
      <w:ind w:firstLine="560" w:firstLineChars="200"/>
      <w:outlineLvl w:val="4"/>
    </w:pPr>
    <w:rPr>
      <w:rFonts w:ascii="Times New Roman" w:hAnsi="Times New Roman" w:eastAsia="宋体" w:cs="Times New Roman"/>
      <w:kern w:val="2"/>
      <w:sz w:val="28"/>
      <w:szCs w:val="24"/>
      <w:lang w:val="en-US" w:eastAsia="zh-CN" w:bidi="ar-SA"/>
    </w:rPr>
  </w:style>
  <w:style w:type="paragraph" w:customStyle="1" w:styleId="1507">
    <w:name w:val="标题6-hao"/>
    <w:qFormat/>
    <w:uiPriority w:val="0"/>
    <w:pPr>
      <w:adjustRightInd w:val="0"/>
      <w:snapToGrid w:val="0"/>
      <w:spacing w:line="348" w:lineRule="auto"/>
      <w:ind w:firstLine="200" w:firstLineChars="200"/>
      <w:outlineLvl w:val="5"/>
    </w:pPr>
    <w:rPr>
      <w:rFonts w:ascii="Times New Roman" w:hAnsi="Times New Roman" w:eastAsia="宋体" w:cs="Times New Roman"/>
      <w:kern w:val="2"/>
      <w:sz w:val="28"/>
      <w:szCs w:val="24"/>
      <w:lang w:val="en-US" w:eastAsia="zh-CN" w:bidi="ar-SA"/>
    </w:rPr>
  </w:style>
  <w:style w:type="paragraph" w:customStyle="1" w:styleId="1508">
    <w:name w:val="样式 图表名称 + 段前: 7.8 磅"/>
    <w:basedOn w:val="1"/>
    <w:qFormat/>
    <w:uiPriority w:val="0"/>
    <w:pPr>
      <w:spacing w:beforeLines="50" w:line="360" w:lineRule="auto"/>
      <w:jc w:val="center"/>
    </w:pPr>
    <w:rPr>
      <w:rFonts w:cs="宋体"/>
      <w:sz w:val="24"/>
      <w:szCs w:val="20"/>
    </w:rPr>
  </w:style>
  <w:style w:type="paragraph" w:customStyle="1" w:styleId="1509">
    <w:name w:val="标题7-hao"/>
    <w:qFormat/>
    <w:uiPriority w:val="0"/>
    <w:pPr>
      <w:adjustRightInd w:val="0"/>
      <w:snapToGrid w:val="0"/>
      <w:spacing w:line="348" w:lineRule="auto"/>
      <w:ind w:firstLine="200" w:firstLineChars="200"/>
      <w:outlineLvl w:val="6"/>
    </w:pPr>
    <w:rPr>
      <w:rFonts w:ascii="Times New Roman" w:hAnsi="Times New Roman" w:eastAsia="宋体" w:cs="Times New Roman"/>
      <w:kern w:val="2"/>
      <w:sz w:val="28"/>
      <w:szCs w:val="24"/>
      <w:lang w:val="en-US" w:eastAsia="zh-CN" w:bidi="ar-SA"/>
    </w:rPr>
  </w:style>
  <w:style w:type="paragraph" w:customStyle="1" w:styleId="1510">
    <w:name w:val="表格备注-hao"/>
    <w:qFormat/>
    <w:uiPriority w:val="0"/>
    <w:pPr>
      <w:adjustRightInd w:val="0"/>
      <w:snapToGrid w:val="0"/>
      <w:spacing w:line="288" w:lineRule="auto"/>
    </w:pPr>
    <w:rPr>
      <w:rFonts w:ascii="Times New Roman" w:hAnsi="Times New Roman" w:eastAsia="宋体" w:cs="Times New Roman"/>
      <w:kern w:val="2"/>
      <w:sz w:val="18"/>
      <w:szCs w:val="24"/>
      <w:lang w:val="en-US" w:eastAsia="zh-CN" w:bidi="ar-SA"/>
    </w:rPr>
  </w:style>
  <w:style w:type="paragraph" w:customStyle="1" w:styleId="1511">
    <w:name w:val="页眉-hao"/>
    <w:basedOn w:val="1"/>
    <w:qFormat/>
    <w:uiPriority w:val="0"/>
    <w:pPr>
      <w:pBdr>
        <w:bottom w:val="single" w:color="auto" w:sz="6" w:space="1"/>
      </w:pBdr>
      <w:tabs>
        <w:tab w:val="left" w:pos="3546"/>
      </w:tabs>
      <w:adjustRightInd w:val="0"/>
      <w:snapToGrid w:val="0"/>
      <w:jc w:val="left"/>
    </w:pPr>
    <w:rPr>
      <w:spacing w:val="8"/>
      <w:kern w:val="0"/>
      <w:szCs w:val="21"/>
    </w:rPr>
  </w:style>
  <w:style w:type="paragraph" w:customStyle="1" w:styleId="1512">
    <w:name w:val="目录-hao"/>
    <w:basedOn w:val="1"/>
    <w:qFormat/>
    <w:uiPriority w:val="0"/>
    <w:pPr>
      <w:pBdr>
        <w:top w:val="single" w:color="auto" w:sz="4" w:space="1"/>
      </w:pBdr>
      <w:adjustRightInd w:val="0"/>
      <w:snapToGrid w:val="0"/>
      <w:spacing w:before="120" w:after="120" w:line="300" w:lineRule="auto"/>
      <w:ind w:right="-191" w:rightChars="-91"/>
      <w:jc w:val="left"/>
    </w:pPr>
    <w:rPr>
      <w:b/>
      <w:bCs/>
      <w:caps/>
      <w:color w:val="0000FF"/>
      <w:sz w:val="24"/>
      <w:szCs w:val="21"/>
    </w:rPr>
  </w:style>
  <w:style w:type="paragraph" w:customStyle="1" w:styleId="1513">
    <w:name w:val="页脚-hao"/>
    <w:qFormat/>
    <w:uiPriority w:val="0"/>
    <w:pPr>
      <w:pBdr>
        <w:top w:val="single" w:color="auto" w:sz="4" w:space="1"/>
      </w:pBdr>
      <w:adjustRightInd w:val="0"/>
      <w:snapToGrid w:val="0"/>
      <w:spacing w:line="300" w:lineRule="auto"/>
    </w:pPr>
    <w:rPr>
      <w:rFonts w:ascii="Times New Roman" w:hAnsi="Times New Roman" w:eastAsia="宋体" w:cs="Times New Roman"/>
      <w:bCs/>
      <w:kern w:val="2"/>
      <w:sz w:val="21"/>
      <w:szCs w:val="21"/>
      <w:lang w:val="en-US" w:eastAsia="zh-CN" w:bidi="ar-SA"/>
    </w:rPr>
  </w:style>
  <w:style w:type="paragraph" w:customStyle="1" w:styleId="1514">
    <w:name w:val="日期12"/>
    <w:basedOn w:val="1"/>
    <w:next w:val="1"/>
    <w:qFormat/>
    <w:uiPriority w:val="0"/>
    <w:pPr>
      <w:spacing w:line="360" w:lineRule="atLeast"/>
    </w:pPr>
    <w:rPr>
      <w:rFonts w:ascii="宋体"/>
      <w:spacing w:val="20"/>
      <w:kern w:val="0"/>
      <w:szCs w:val="20"/>
    </w:rPr>
  </w:style>
  <w:style w:type="paragraph" w:customStyle="1" w:styleId="1515">
    <w:name w:val="样式 列表 + 居中"/>
    <w:basedOn w:val="1"/>
    <w:qFormat/>
    <w:uiPriority w:val="0"/>
    <w:pPr>
      <w:snapToGrid w:val="0"/>
      <w:jc w:val="center"/>
    </w:pPr>
    <w:rPr>
      <w:szCs w:val="20"/>
    </w:rPr>
  </w:style>
  <w:style w:type="paragraph" w:customStyle="1" w:styleId="1516">
    <w:name w:val="正文文本 212"/>
    <w:basedOn w:val="1"/>
    <w:qFormat/>
    <w:uiPriority w:val="0"/>
    <w:pPr>
      <w:autoSpaceDE w:val="0"/>
      <w:autoSpaceDN w:val="0"/>
      <w:spacing w:line="364" w:lineRule="auto"/>
      <w:jc w:val="center"/>
    </w:pPr>
    <w:rPr>
      <w:spacing w:val="10"/>
      <w:kern w:val="10"/>
      <w:sz w:val="24"/>
      <w:szCs w:val="20"/>
    </w:rPr>
  </w:style>
  <w:style w:type="paragraph" w:customStyle="1" w:styleId="1517">
    <w:name w:val="Header Base"/>
    <w:basedOn w:val="1"/>
    <w:qFormat/>
    <w:uiPriority w:val="0"/>
    <w:rPr>
      <w:color w:val="FF0000"/>
      <w:szCs w:val="24"/>
    </w:rPr>
  </w:style>
  <w:style w:type="paragraph" w:customStyle="1" w:styleId="1518">
    <w:name w:val="Heading Base"/>
    <w:basedOn w:val="1"/>
    <w:next w:val="31"/>
    <w:qFormat/>
    <w:uiPriority w:val="0"/>
    <w:rPr>
      <w:color w:val="FF0000"/>
      <w:szCs w:val="24"/>
    </w:rPr>
  </w:style>
  <w:style w:type="paragraph" w:customStyle="1" w:styleId="1519">
    <w:name w:val="iyz599"/>
    <w:basedOn w:val="1"/>
    <w:qFormat/>
    <w:uiPriority w:val="0"/>
    <w:pPr>
      <w:spacing w:before="100" w:beforeAutospacing="1" w:after="100" w:afterAutospacing="1"/>
    </w:pPr>
    <w:rPr>
      <w:rFonts w:ascii="宋体" w:hAnsi="宋体" w:cs="宋体"/>
      <w:kern w:val="0"/>
      <w:sz w:val="24"/>
      <w:szCs w:val="20"/>
    </w:rPr>
  </w:style>
  <w:style w:type="paragraph" w:customStyle="1" w:styleId="1520">
    <w:name w:val="样式 表格文字 + 10 磅"/>
    <w:basedOn w:val="1"/>
    <w:qFormat/>
    <w:uiPriority w:val="0"/>
    <w:pPr>
      <w:spacing w:line="315" w:lineRule="atLeast"/>
    </w:pPr>
    <w:rPr>
      <w:rFonts w:ascii="仿宋体" w:eastAsia="宋体繁体"/>
      <w:kern w:val="0"/>
      <w:sz w:val="24"/>
      <w:szCs w:val="20"/>
    </w:rPr>
  </w:style>
  <w:style w:type="paragraph" w:customStyle="1" w:styleId="1521">
    <w:name w:val="样式 表格 + 段前: 2 磅 行距: 最小值 12 磅1"/>
    <w:basedOn w:val="1"/>
    <w:qFormat/>
    <w:uiPriority w:val="0"/>
    <w:pPr>
      <w:jc w:val="center"/>
    </w:pPr>
    <w:rPr>
      <w:spacing w:val="10"/>
      <w:kern w:val="0"/>
      <w:sz w:val="24"/>
      <w:szCs w:val="20"/>
    </w:rPr>
  </w:style>
  <w:style w:type="paragraph" w:customStyle="1" w:styleId="1522">
    <w:name w:val="列表1"/>
    <w:basedOn w:val="1"/>
    <w:qFormat/>
    <w:uiPriority w:val="0"/>
    <w:pPr>
      <w:widowControl/>
      <w:tabs>
        <w:tab w:val="left" w:pos="969"/>
        <w:tab w:val="left" w:pos="3640"/>
      </w:tabs>
      <w:topLinePunct/>
      <w:adjustRightInd w:val="0"/>
      <w:snapToGrid w:val="0"/>
      <w:spacing w:line="324" w:lineRule="auto"/>
      <w:ind w:left="1400" w:leftChars="400" w:hanging="1000" w:hangingChars="1000"/>
    </w:pPr>
    <w:rPr>
      <w:kern w:val="28"/>
      <w:sz w:val="28"/>
      <w:szCs w:val="28"/>
    </w:rPr>
  </w:style>
  <w:style w:type="paragraph" w:customStyle="1" w:styleId="1523">
    <w:name w:val="両ｶｯｺ"/>
    <w:basedOn w:val="1"/>
    <w:qFormat/>
    <w:uiPriority w:val="0"/>
    <w:pPr>
      <w:tabs>
        <w:tab w:val="left" w:pos="1060"/>
      </w:tabs>
      <w:autoSpaceDE w:val="0"/>
      <w:autoSpaceDN w:val="0"/>
      <w:spacing w:after="120" w:line="360" w:lineRule="atLeast"/>
      <w:ind w:left="1418" w:hanging="567"/>
    </w:pPr>
    <w:rPr>
      <w:rFonts w:ascii="Arial" w:hAnsi="Arial" w:eastAsia="?l?r ｨC?｡ｯ?"/>
      <w:kern w:val="0"/>
      <w:sz w:val="24"/>
      <w:szCs w:val="20"/>
      <w:lang w:eastAsia="ja-JP"/>
    </w:rPr>
  </w:style>
  <w:style w:type="paragraph" w:customStyle="1" w:styleId="1524">
    <w:name w:val="样式 标题 3 + 首行缩进:  2 字符"/>
    <w:basedOn w:val="1"/>
    <w:qFormat/>
    <w:uiPriority w:val="0"/>
    <w:pPr>
      <w:keepNext/>
      <w:keepLines/>
      <w:widowControl/>
      <w:adjustRightInd w:val="0"/>
      <w:snapToGrid w:val="0"/>
      <w:spacing w:line="348" w:lineRule="auto"/>
      <w:outlineLvl w:val="2"/>
    </w:pPr>
    <w:rPr>
      <w:color w:val="000000"/>
      <w:kern w:val="0"/>
      <w:sz w:val="28"/>
      <w:szCs w:val="20"/>
    </w:rPr>
  </w:style>
  <w:style w:type="paragraph" w:customStyle="1" w:styleId="1525">
    <w:name w:val="IDC A-Head (2nd Line)"/>
    <w:basedOn w:val="1"/>
    <w:next w:val="1"/>
    <w:qFormat/>
    <w:uiPriority w:val="0"/>
    <w:pPr>
      <w:widowControl/>
      <w:jc w:val="center"/>
    </w:pPr>
    <w:rPr>
      <w:caps/>
      <w:kern w:val="0"/>
      <w:sz w:val="24"/>
      <w:szCs w:val="20"/>
    </w:rPr>
  </w:style>
  <w:style w:type="paragraph" w:customStyle="1" w:styleId="1526">
    <w:name w:val="报告书表格"/>
    <w:basedOn w:val="1"/>
    <w:qFormat/>
    <w:uiPriority w:val="0"/>
    <w:pPr>
      <w:spacing w:before="60" w:after="60" w:line="240" w:lineRule="atLeast"/>
      <w:jc w:val="center"/>
    </w:pPr>
    <w:rPr>
      <w:kern w:val="0"/>
      <w:szCs w:val="20"/>
    </w:rPr>
  </w:style>
  <w:style w:type="paragraph" w:customStyle="1" w:styleId="1527">
    <w:name w:val="Char Char Char1 Char Char Char Char Char Char Char Char Char Char Char Char Char"/>
    <w:basedOn w:val="1"/>
    <w:qFormat/>
    <w:uiPriority w:val="0"/>
    <w:rPr>
      <w:rFonts w:ascii="Tahoma" w:hAnsi="Tahoma"/>
      <w:sz w:val="24"/>
      <w:szCs w:val="20"/>
    </w:rPr>
  </w:style>
  <w:style w:type="paragraph" w:customStyle="1" w:styleId="1528">
    <w:name w:val="样式 小四"/>
    <w:basedOn w:val="1"/>
    <w:qFormat/>
    <w:uiPriority w:val="0"/>
    <w:pPr>
      <w:snapToGrid w:val="0"/>
    </w:pPr>
    <w:rPr>
      <w:color w:val="000000"/>
      <w:sz w:val="24"/>
      <w:szCs w:val="20"/>
    </w:rPr>
  </w:style>
  <w:style w:type="paragraph" w:customStyle="1" w:styleId="1529">
    <w:name w:val="样式 题注 + 首行缩进:  2 字符"/>
    <w:basedOn w:val="1"/>
    <w:qFormat/>
    <w:uiPriority w:val="0"/>
    <w:pPr>
      <w:widowControl/>
      <w:adjustRightInd w:val="0"/>
      <w:snapToGrid w:val="0"/>
      <w:spacing w:line="348" w:lineRule="auto"/>
      <w:ind w:firstLine="400" w:firstLineChars="200"/>
    </w:pPr>
    <w:rPr>
      <w:color w:val="000000"/>
      <w:kern w:val="0"/>
      <w:sz w:val="24"/>
      <w:szCs w:val="20"/>
    </w:rPr>
  </w:style>
  <w:style w:type="paragraph" w:customStyle="1" w:styleId="1530">
    <w:name w:val="content_noindent"/>
    <w:basedOn w:val="1"/>
    <w:qFormat/>
    <w:uiPriority w:val="0"/>
    <w:pPr>
      <w:spacing w:before="100" w:beforeAutospacing="1" w:after="100" w:afterAutospacing="1"/>
    </w:pPr>
    <w:rPr>
      <w:rFonts w:ascii="宋体" w:hAnsi="宋体" w:cs="宋体"/>
      <w:kern w:val="0"/>
      <w:sz w:val="24"/>
      <w:szCs w:val="20"/>
    </w:rPr>
  </w:style>
  <w:style w:type="paragraph" w:customStyle="1" w:styleId="1531">
    <w:name w:val="Char Char Char Char Char Char Char Char Char Char Char Char3"/>
    <w:basedOn w:val="1"/>
    <w:qFormat/>
    <w:uiPriority w:val="0"/>
    <w:pPr>
      <w:adjustRightInd w:val="0"/>
      <w:spacing w:line="360" w:lineRule="auto"/>
    </w:pPr>
    <w:rPr>
      <w:kern w:val="0"/>
      <w:sz w:val="24"/>
      <w:szCs w:val="20"/>
    </w:rPr>
  </w:style>
  <w:style w:type="paragraph" w:customStyle="1" w:styleId="1532">
    <w:name w:val="样式16"/>
    <w:basedOn w:val="1"/>
    <w:qFormat/>
    <w:uiPriority w:val="0"/>
    <w:pPr>
      <w:keepNext/>
      <w:keepLines/>
      <w:snapToGrid w:val="0"/>
      <w:outlineLvl w:val="0"/>
    </w:pPr>
    <w:rPr>
      <w:b/>
      <w:bCs/>
      <w:color w:val="000000"/>
      <w:spacing w:val="8"/>
      <w:kern w:val="44"/>
      <w:szCs w:val="28"/>
    </w:rPr>
  </w:style>
  <w:style w:type="paragraph" w:customStyle="1" w:styleId="1533">
    <w:name w:val="样式19"/>
    <w:basedOn w:val="1"/>
    <w:qFormat/>
    <w:uiPriority w:val="0"/>
    <w:pPr>
      <w:snapToGrid w:val="0"/>
      <w:ind w:firstLine="592"/>
    </w:pPr>
    <w:rPr>
      <w:spacing w:val="8"/>
      <w:szCs w:val="28"/>
    </w:rPr>
  </w:style>
  <w:style w:type="paragraph" w:customStyle="1" w:styleId="1534">
    <w:name w:val="样式"/>
    <w:basedOn w:val="1"/>
    <w:next w:val="41"/>
    <w:qFormat/>
    <w:uiPriority w:val="0"/>
    <w:rPr>
      <w:rFonts w:ascii="宋体" w:hAnsi="Courier New" w:cs="宋体"/>
      <w:szCs w:val="21"/>
    </w:rPr>
  </w:style>
  <w:style w:type="paragraph" w:customStyle="1" w:styleId="1535">
    <w:name w:val="Char Char Char Char Char Char Char Char Char Char Char Char Char Char Char Char Char Char Char"/>
    <w:basedOn w:val="1"/>
    <w:qFormat/>
    <w:uiPriority w:val="0"/>
    <w:rPr>
      <w:szCs w:val="20"/>
    </w:rPr>
  </w:style>
  <w:style w:type="paragraph" w:customStyle="1" w:styleId="1536">
    <w:name w:val="表格式"/>
    <w:basedOn w:val="1"/>
    <w:qFormat/>
    <w:uiPriority w:val="0"/>
    <w:pPr>
      <w:spacing w:beforeLines="50" w:line="200" w:lineRule="exact"/>
      <w:jc w:val="center"/>
    </w:pPr>
    <w:rPr>
      <w:szCs w:val="20"/>
    </w:rPr>
  </w:style>
  <w:style w:type="paragraph" w:customStyle="1" w:styleId="1537">
    <w:name w:val="Char7"/>
    <w:basedOn w:val="1"/>
    <w:qFormat/>
    <w:uiPriority w:val="0"/>
    <w:rPr>
      <w:szCs w:val="24"/>
    </w:rPr>
  </w:style>
  <w:style w:type="paragraph" w:customStyle="1" w:styleId="1538">
    <w:name w:val="Char Char Char Char Char Char Char Char Char1 Char Char Char Char Char Char Char Char Char Char Char Char Char"/>
    <w:basedOn w:val="1"/>
    <w:qFormat/>
    <w:uiPriority w:val="0"/>
    <w:pPr>
      <w:keepNext/>
      <w:keepLines/>
      <w:snapToGrid w:val="0"/>
      <w:spacing w:before="240" w:after="240" w:line="348" w:lineRule="auto"/>
      <w:outlineLvl w:val="0"/>
    </w:pPr>
    <w:rPr>
      <w:rFonts w:ascii="Tahoma" w:hAnsi="Tahoma"/>
      <w:b/>
      <w:sz w:val="24"/>
      <w:szCs w:val="20"/>
    </w:rPr>
  </w:style>
  <w:style w:type="paragraph" w:customStyle="1" w:styleId="1539">
    <w:name w:val="表格标注"/>
    <w:basedOn w:val="1"/>
    <w:qFormat/>
    <w:uiPriority w:val="0"/>
    <w:pPr>
      <w:adjustRightInd w:val="0"/>
      <w:snapToGrid w:val="0"/>
      <w:spacing w:line="348" w:lineRule="auto"/>
      <w:jc w:val="left"/>
    </w:pPr>
    <w:rPr>
      <w:kern w:val="0"/>
      <w:szCs w:val="20"/>
    </w:rPr>
  </w:style>
  <w:style w:type="paragraph" w:customStyle="1" w:styleId="1540">
    <w:name w:val="Body Text 22"/>
    <w:basedOn w:val="1"/>
    <w:qFormat/>
    <w:uiPriority w:val="0"/>
    <w:pPr>
      <w:adjustRightInd w:val="0"/>
      <w:spacing w:line="440" w:lineRule="atLeast"/>
      <w:ind w:firstLine="480"/>
    </w:pPr>
    <w:rPr>
      <w:rFonts w:eastAsia="仿宋_GB2312"/>
      <w:sz w:val="24"/>
      <w:szCs w:val="20"/>
    </w:rPr>
  </w:style>
  <w:style w:type="paragraph" w:customStyle="1" w:styleId="1541">
    <w:name w:val="样式 标题3 + Times New Roman 黑色"/>
    <w:basedOn w:val="1"/>
    <w:qFormat/>
    <w:uiPriority w:val="0"/>
    <w:pPr>
      <w:keepNext/>
      <w:keepLines/>
      <w:widowControl/>
      <w:spacing w:before="80" w:line="360" w:lineRule="auto"/>
      <w:ind w:left="180" w:firstLine="200" w:firstLineChars="200"/>
      <w:jc w:val="left"/>
      <w:outlineLvl w:val="2"/>
    </w:pPr>
    <w:rPr>
      <w:rFonts w:eastAsia="黑体"/>
      <w:color w:val="000000"/>
      <w:sz w:val="24"/>
      <w:szCs w:val="20"/>
      <w:lang w:val="zh-CN"/>
    </w:rPr>
  </w:style>
  <w:style w:type="paragraph" w:customStyle="1" w:styleId="1542">
    <w:name w:val="表格第一行"/>
    <w:basedOn w:val="1"/>
    <w:qFormat/>
    <w:uiPriority w:val="0"/>
    <w:pPr>
      <w:adjustRightInd w:val="0"/>
      <w:jc w:val="center"/>
    </w:pPr>
    <w:rPr>
      <w:rFonts w:eastAsia="仿宋_GB2312"/>
      <w:kern w:val="0"/>
      <w:szCs w:val="21"/>
    </w:rPr>
  </w:style>
  <w:style w:type="paragraph" w:customStyle="1" w:styleId="1543">
    <w:name w:val="表格2（柞行）"/>
    <w:basedOn w:val="1"/>
    <w:qFormat/>
    <w:uiPriority w:val="0"/>
    <w:pPr>
      <w:spacing w:line="320" w:lineRule="exact"/>
      <w:ind w:left="-10" w:leftChars="-20" w:right="-10" w:rightChars="-20"/>
      <w:jc w:val="center"/>
    </w:pPr>
    <w:rPr>
      <w:rFonts w:ascii="Arial" w:hAnsi="Arial"/>
      <w:szCs w:val="21"/>
    </w:rPr>
  </w:style>
  <w:style w:type="paragraph" w:customStyle="1" w:styleId="1544">
    <w:name w:val="4 Char"/>
    <w:basedOn w:val="1"/>
    <w:qFormat/>
    <w:uiPriority w:val="0"/>
    <w:rPr>
      <w:szCs w:val="24"/>
    </w:rPr>
  </w:style>
  <w:style w:type="paragraph" w:customStyle="1" w:styleId="1545">
    <w:name w:val="标1"/>
    <w:basedOn w:val="1"/>
    <w:qFormat/>
    <w:uiPriority w:val="0"/>
    <w:pPr>
      <w:tabs>
        <w:tab w:val="left" w:pos="839"/>
      </w:tabs>
      <w:adjustRightInd w:val="0"/>
      <w:spacing w:line="288" w:lineRule="auto"/>
      <w:ind w:right="-34"/>
    </w:pPr>
    <w:rPr>
      <w:rFonts w:eastAsia="楷体_GB2312"/>
      <w:kern w:val="0"/>
      <w:sz w:val="32"/>
      <w:szCs w:val="20"/>
    </w:rPr>
  </w:style>
  <w:style w:type="paragraph" w:customStyle="1" w:styleId="1546">
    <w:name w:val="正文样式3"/>
    <w:basedOn w:val="1"/>
    <w:qFormat/>
    <w:uiPriority w:val="0"/>
    <w:pPr>
      <w:adjustRightInd w:val="0"/>
      <w:spacing w:line="20" w:lineRule="atLeast"/>
      <w:jc w:val="center"/>
    </w:pPr>
    <w:rPr>
      <w:kern w:val="0"/>
      <w:sz w:val="24"/>
      <w:szCs w:val="20"/>
    </w:rPr>
  </w:style>
  <w:style w:type="paragraph" w:customStyle="1" w:styleId="154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548">
    <w:name w:val="Definition Term"/>
    <w:basedOn w:val="1"/>
    <w:next w:val="1"/>
    <w:qFormat/>
    <w:uiPriority w:val="0"/>
    <w:pPr>
      <w:widowControl/>
      <w:overflowPunct w:val="0"/>
      <w:autoSpaceDE w:val="0"/>
      <w:autoSpaceDN w:val="0"/>
      <w:adjustRightInd w:val="0"/>
      <w:jc w:val="left"/>
    </w:pPr>
    <w:rPr>
      <w:kern w:val="0"/>
      <w:sz w:val="24"/>
      <w:szCs w:val="24"/>
      <w:lang w:val="en-GB"/>
    </w:rPr>
  </w:style>
  <w:style w:type="paragraph" w:customStyle="1" w:styleId="1549">
    <w:name w:val="列出段落1"/>
    <w:basedOn w:val="1"/>
    <w:qFormat/>
    <w:uiPriority w:val="0"/>
    <w:pPr>
      <w:spacing w:line="460" w:lineRule="atLeast"/>
      <w:ind w:firstLine="420" w:firstLineChars="200"/>
    </w:pPr>
    <w:rPr>
      <w:rFonts w:ascii="宋体"/>
      <w:bCs/>
      <w:kern w:val="44"/>
      <w:szCs w:val="44"/>
    </w:rPr>
  </w:style>
  <w:style w:type="paragraph" w:customStyle="1" w:styleId="1550">
    <w:name w:val="电镀表"/>
    <w:basedOn w:val="1"/>
    <w:qFormat/>
    <w:uiPriority w:val="0"/>
    <w:pPr>
      <w:autoSpaceDE w:val="0"/>
      <w:autoSpaceDN w:val="0"/>
      <w:adjustRightInd w:val="0"/>
      <w:snapToGrid w:val="0"/>
    </w:pPr>
    <w:rPr>
      <w:kern w:val="0"/>
      <w:szCs w:val="21"/>
    </w:rPr>
  </w:style>
  <w:style w:type="paragraph" w:customStyle="1" w:styleId="1551">
    <w:name w:val="Char Char Char Char Char Char"/>
    <w:basedOn w:val="1"/>
    <w:qFormat/>
    <w:uiPriority w:val="0"/>
    <w:rPr>
      <w:szCs w:val="24"/>
    </w:rPr>
  </w:style>
  <w:style w:type="paragraph" w:customStyle="1" w:styleId="1552">
    <w:name w:val="样式 宋体 小四 两端对齐 首行缩进:  0.85 厘米 行距: 1.5 倍行距"/>
    <w:basedOn w:val="1"/>
    <w:qFormat/>
    <w:uiPriority w:val="0"/>
    <w:pPr>
      <w:widowControl/>
      <w:spacing w:line="360" w:lineRule="auto"/>
      <w:ind w:firstLine="482"/>
    </w:pPr>
    <w:rPr>
      <w:kern w:val="0"/>
      <w:sz w:val="24"/>
      <w:szCs w:val="20"/>
    </w:rPr>
  </w:style>
  <w:style w:type="paragraph" w:customStyle="1" w:styleId="1553">
    <w:name w:val="样式 表格 + 宋体 居中"/>
    <w:basedOn w:val="1"/>
    <w:qFormat/>
    <w:uiPriority w:val="0"/>
    <w:pPr>
      <w:jc w:val="center"/>
    </w:pPr>
    <w:rPr>
      <w:sz w:val="24"/>
      <w:szCs w:val="20"/>
    </w:rPr>
  </w:style>
  <w:style w:type="paragraph" w:customStyle="1" w:styleId="1554">
    <w:name w:val="標準（日本語）"/>
    <w:basedOn w:val="1"/>
    <w:qFormat/>
    <w:uiPriority w:val="0"/>
    <w:pPr>
      <w:overflowPunct w:val="0"/>
      <w:adjustRightInd w:val="0"/>
      <w:snapToGrid w:val="0"/>
    </w:pPr>
    <w:rPr>
      <w:rFonts w:eastAsia="MS Mincho"/>
      <w:kern w:val="0"/>
      <w:sz w:val="24"/>
      <w:szCs w:val="24"/>
      <w:lang w:eastAsia="ja-JP"/>
    </w:rPr>
  </w:style>
  <w:style w:type="paragraph" w:customStyle="1" w:styleId="1555">
    <w:name w:val="敏感表"/>
    <w:basedOn w:val="1"/>
    <w:next w:val="1"/>
    <w:qFormat/>
    <w:uiPriority w:val="0"/>
    <w:pPr>
      <w:topLinePunct/>
      <w:adjustRightInd w:val="0"/>
      <w:spacing w:line="240" w:lineRule="atLeast"/>
      <w:jc w:val="center"/>
    </w:pPr>
    <w:rPr>
      <w:kern w:val="0"/>
      <w:szCs w:val="20"/>
    </w:rPr>
  </w:style>
  <w:style w:type="paragraph" w:customStyle="1" w:styleId="1556">
    <w:name w:val="流程图文字"/>
    <w:basedOn w:val="1"/>
    <w:qFormat/>
    <w:uiPriority w:val="0"/>
    <w:pPr>
      <w:adjustRightInd w:val="0"/>
      <w:spacing w:line="288" w:lineRule="auto"/>
      <w:jc w:val="center"/>
    </w:pPr>
    <w:rPr>
      <w:rFonts w:ascii="宋体"/>
      <w:szCs w:val="20"/>
    </w:rPr>
  </w:style>
  <w:style w:type="paragraph" w:customStyle="1" w:styleId="1557">
    <w:name w:val="正文文本 31"/>
    <w:basedOn w:val="1"/>
    <w:qFormat/>
    <w:uiPriority w:val="0"/>
    <w:pPr>
      <w:autoSpaceDE w:val="0"/>
      <w:autoSpaceDN w:val="0"/>
      <w:adjustRightInd w:val="0"/>
      <w:spacing w:line="312" w:lineRule="atLeast"/>
      <w:jc w:val="center"/>
    </w:pPr>
    <w:rPr>
      <w:rFonts w:ascii="楷体" w:eastAsia="楷体"/>
      <w:kern w:val="0"/>
      <w:sz w:val="28"/>
      <w:szCs w:val="20"/>
    </w:rPr>
  </w:style>
  <w:style w:type="paragraph" w:customStyle="1" w:styleId="1558">
    <w:name w:val="样式 段前: 0.15 行 段后: 0.15 行 首行缩进:  2 字符"/>
    <w:basedOn w:val="1"/>
    <w:qFormat/>
    <w:uiPriority w:val="0"/>
    <w:pPr>
      <w:spacing w:line="360" w:lineRule="auto"/>
      <w:ind w:firstLine="200" w:firstLineChars="200"/>
    </w:pPr>
    <w:rPr>
      <w:rFonts w:ascii="宋体"/>
      <w:sz w:val="24"/>
      <w:szCs w:val="20"/>
    </w:rPr>
  </w:style>
  <w:style w:type="paragraph" w:customStyle="1" w:styleId="1559">
    <w:name w:val="样式 黑色 首行缩进:  0.85 厘米 段前: 0.15 行 段后: 0.15 行"/>
    <w:basedOn w:val="1"/>
    <w:qFormat/>
    <w:uiPriority w:val="0"/>
    <w:pPr>
      <w:spacing w:line="360" w:lineRule="auto"/>
      <w:ind w:firstLine="482"/>
    </w:pPr>
    <w:rPr>
      <w:rFonts w:ascii="宋体"/>
      <w:color w:val="000000"/>
      <w:sz w:val="24"/>
      <w:szCs w:val="20"/>
    </w:rPr>
  </w:style>
  <w:style w:type="paragraph" w:customStyle="1" w:styleId="1560">
    <w:name w:val="Char14"/>
    <w:basedOn w:val="1"/>
    <w:qFormat/>
    <w:uiPriority w:val="0"/>
    <w:rPr>
      <w:rFonts w:ascii="Tahoma" w:hAnsi="Tahoma"/>
      <w:sz w:val="24"/>
      <w:szCs w:val="20"/>
    </w:rPr>
  </w:style>
  <w:style w:type="paragraph" w:customStyle="1" w:styleId="1561">
    <w:name w:val="样式156"/>
    <w:basedOn w:val="287"/>
    <w:qFormat/>
    <w:uiPriority w:val="0"/>
    <w:pPr>
      <w:jc w:val="center"/>
    </w:pPr>
  </w:style>
  <w:style w:type="paragraph" w:customStyle="1" w:styleId="1562">
    <w:name w:val="heading"/>
    <w:basedOn w:val="1"/>
    <w:next w:val="19"/>
    <w:qFormat/>
    <w:uiPriority w:val="0"/>
    <w:pPr>
      <w:keepNext/>
      <w:keepLines/>
      <w:widowControl/>
      <w:adjustRightInd w:val="0"/>
      <w:snapToGrid w:val="0"/>
      <w:spacing w:before="120" w:line="360" w:lineRule="auto"/>
      <w:jc w:val="left"/>
      <w:outlineLvl w:val="1"/>
    </w:pPr>
    <w:rPr>
      <w:rFonts w:eastAsia="黑体"/>
      <w:b/>
      <w:bCs/>
      <w:color w:val="000000"/>
      <w:kern w:val="0"/>
      <w:sz w:val="28"/>
      <w:szCs w:val="28"/>
    </w:rPr>
  </w:style>
  <w:style w:type="paragraph" w:customStyle="1" w:styleId="1563">
    <w:name w:val="Plain Te"/>
    <w:basedOn w:val="1"/>
    <w:qFormat/>
    <w:uiPriority w:val="0"/>
    <w:pPr>
      <w:widowControl/>
      <w:jc w:val="left"/>
    </w:pPr>
    <w:rPr>
      <w:rFonts w:ascii="宋体" w:hAnsi="Courier New"/>
      <w:kern w:val="0"/>
      <w:szCs w:val="21"/>
    </w:rPr>
  </w:style>
  <w:style w:type="paragraph" w:customStyle="1" w:styleId="1564">
    <w:name w:val="Char Char1 Char Char Char Char"/>
    <w:basedOn w:val="1"/>
    <w:qFormat/>
    <w:uiPriority w:val="0"/>
    <w:rPr>
      <w:szCs w:val="24"/>
    </w:rPr>
  </w:style>
  <w:style w:type="paragraph" w:customStyle="1" w:styleId="1565">
    <w:name w:val="Char11"/>
    <w:basedOn w:val="1"/>
    <w:qFormat/>
    <w:uiPriority w:val="0"/>
    <w:rPr>
      <w:rFonts w:ascii="Tahoma" w:hAnsi="Tahoma"/>
      <w:sz w:val="24"/>
      <w:szCs w:val="20"/>
    </w:rPr>
  </w:style>
  <w:style w:type="paragraph" w:customStyle="1" w:styleId="1566">
    <w:name w:val="A1"/>
    <w:basedOn w:val="1"/>
    <w:qFormat/>
    <w:uiPriority w:val="0"/>
    <w:pPr>
      <w:keepNext/>
      <w:keepLines/>
      <w:ind w:left="-76" w:hanging="284"/>
      <w:outlineLvl w:val="0"/>
    </w:pPr>
    <w:rPr>
      <w:rFonts w:ascii="宋体" w:hAnsi="宋体"/>
      <w:b/>
      <w:bCs/>
      <w:kern w:val="44"/>
      <w:sz w:val="24"/>
      <w:szCs w:val="24"/>
    </w:rPr>
  </w:style>
  <w:style w:type="paragraph" w:customStyle="1" w:styleId="1567">
    <w:name w:val="样式 居中"/>
    <w:basedOn w:val="1"/>
    <w:qFormat/>
    <w:uiPriority w:val="0"/>
    <w:pPr>
      <w:keepNext/>
      <w:keepLines/>
      <w:spacing w:line="360" w:lineRule="auto"/>
      <w:jc w:val="center"/>
    </w:pPr>
    <w:rPr>
      <w:rFonts w:ascii="黑体"/>
      <w:b/>
      <w:color w:val="000000"/>
      <w:sz w:val="24"/>
      <w:szCs w:val="20"/>
    </w:rPr>
  </w:style>
  <w:style w:type="paragraph" w:customStyle="1" w:styleId="1568">
    <w:name w:val="海南化工城正文 Char Char"/>
    <w:basedOn w:val="1"/>
    <w:qFormat/>
    <w:uiPriority w:val="0"/>
    <w:pPr>
      <w:spacing w:line="324" w:lineRule="auto"/>
      <w:ind w:firstLine="480" w:firstLineChars="200"/>
    </w:pPr>
    <w:rPr>
      <w:rFonts w:ascii="宋体" w:hAnsi="宋体" w:cs="宋体"/>
      <w:sz w:val="24"/>
      <w:szCs w:val="24"/>
    </w:rPr>
  </w:style>
  <w:style w:type="paragraph" w:customStyle="1" w:styleId="1569">
    <w:name w:val="文档二级标题"/>
    <w:basedOn w:val="1"/>
    <w:qFormat/>
    <w:uiPriority w:val="0"/>
    <w:rPr>
      <w:rFonts w:ascii="楷体_GB2312" w:hAnsi="华文仿宋" w:eastAsia="楷体_GB2312"/>
      <w:sz w:val="28"/>
      <w:szCs w:val="24"/>
    </w:rPr>
  </w:style>
  <w:style w:type="paragraph" w:customStyle="1" w:styleId="1570">
    <w:name w:val="Char21"/>
    <w:basedOn w:val="1"/>
    <w:qFormat/>
    <w:uiPriority w:val="0"/>
    <w:rPr>
      <w:szCs w:val="24"/>
    </w:rPr>
  </w:style>
  <w:style w:type="paragraph" w:customStyle="1" w:styleId="1571">
    <w:name w:val="union"/>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72">
    <w:name w:val="样式 四号"/>
    <w:basedOn w:val="1"/>
    <w:qFormat/>
    <w:uiPriority w:val="0"/>
    <w:pPr>
      <w:spacing w:line="360" w:lineRule="auto"/>
      <w:ind w:firstLine="560" w:firstLineChars="200"/>
    </w:pPr>
    <w:rPr>
      <w:rFonts w:cs="宋体"/>
      <w:sz w:val="24"/>
      <w:szCs w:val="20"/>
    </w:rPr>
  </w:style>
  <w:style w:type="paragraph" w:customStyle="1" w:styleId="1573">
    <w:name w:val="样式 首行缩进:  0.99 厘米"/>
    <w:basedOn w:val="1"/>
    <w:qFormat/>
    <w:uiPriority w:val="0"/>
    <w:pPr>
      <w:spacing w:line="360" w:lineRule="auto"/>
      <w:ind w:firstLine="560" w:firstLineChars="200"/>
    </w:pPr>
    <w:rPr>
      <w:rFonts w:cs="宋体"/>
      <w:sz w:val="24"/>
      <w:szCs w:val="20"/>
    </w:rPr>
  </w:style>
  <w:style w:type="paragraph" w:customStyle="1" w:styleId="1574">
    <w:name w:val="char"/>
    <w:basedOn w:val="1"/>
    <w:qFormat/>
    <w:uiPriority w:val="0"/>
    <w:pPr>
      <w:widowControl/>
      <w:spacing w:beforeLines="50" w:line="360" w:lineRule="exact"/>
      <w:ind w:firstLine="482" w:firstLineChars="200"/>
    </w:pPr>
    <w:rPr>
      <w:b/>
      <w:color w:val="000000"/>
      <w:kern w:val="0"/>
      <w:sz w:val="24"/>
      <w:szCs w:val="24"/>
    </w:rPr>
  </w:style>
  <w:style w:type="paragraph" w:customStyle="1" w:styleId="1575">
    <w:name w:val="样式149"/>
    <w:basedOn w:val="1"/>
    <w:qFormat/>
    <w:uiPriority w:val="0"/>
    <w:pPr>
      <w:adjustRightInd w:val="0"/>
      <w:snapToGrid w:val="0"/>
      <w:spacing w:line="280" w:lineRule="exact"/>
      <w:jc w:val="center"/>
    </w:pPr>
    <w:rPr>
      <w:rFonts w:ascii="黑体" w:eastAsia="仿宋_GB2312"/>
      <w:bCs/>
      <w:color w:val="000000"/>
      <w:kern w:val="0"/>
      <w:szCs w:val="21"/>
    </w:rPr>
  </w:style>
  <w:style w:type="paragraph" w:customStyle="1" w:styleId="1576">
    <w:name w:val="样式94"/>
    <w:basedOn w:val="1"/>
    <w:qFormat/>
    <w:uiPriority w:val="0"/>
    <w:pPr>
      <w:jc w:val="center"/>
    </w:pPr>
    <w:rPr>
      <w:rFonts w:ascii="仿宋_GB2312" w:eastAsia="仿宋_GB2312"/>
      <w:b/>
      <w:kern w:val="0"/>
      <w:sz w:val="24"/>
      <w:szCs w:val="24"/>
    </w:rPr>
  </w:style>
  <w:style w:type="paragraph" w:customStyle="1" w:styleId="1577">
    <w:name w:val="样式122"/>
    <w:basedOn w:val="1"/>
    <w:qFormat/>
    <w:uiPriority w:val="0"/>
    <w:pPr>
      <w:spacing w:line="520" w:lineRule="exact"/>
      <w:ind w:firstLine="480" w:firstLineChars="200"/>
    </w:pPr>
    <w:rPr>
      <w:rFonts w:eastAsia="仿宋_GB2312"/>
      <w:kern w:val="0"/>
      <w:sz w:val="24"/>
      <w:szCs w:val="28"/>
    </w:rPr>
  </w:style>
  <w:style w:type="paragraph" w:customStyle="1" w:styleId="1578">
    <w:name w:val="样式 标题 4H4PIM 4h4blbbTitre44th levelsect 1.2.3.4Ref Head...4"/>
    <w:basedOn w:val="6"/>
    <w:qFormat/>
    <w:uiPriority w:val="0"/>
    <w:pPr>
      <w:widowControl/>
      <w:snapToGrid w:val="0"/>
      <w:spacing w:before="60" w:after="60" w:line="500" w:lineRule="atLeast"/>
      <w:ind w:firstLine="200" w:firstLineChars="200"/>
    </w:pPr>
    <w:rPr>
      <w:rFonts w:ascii="宋体" w:hAnsi="宋体"/>
      <w:b/>
      <w:sz w:val="24"/>
      <w:szCs w:val="24"/>
      <w:lang w:val="zh-CN"/>
    </w:rPr>
  </w:style>
  <w:style w:type="paragraph" w:customStyle="1" w:styleId="1579">
    <w:name w:val="样式 样式 标题 4H4PIM 4h4blbbTitre44th levelsect 1.2.3.4Ref Head...3 +1"/>
    <w:basedOn w:val="1"/>
    <w:qFormat/>
    <w:uiPriority w:val="0"/>
    <w:pPr>
      <w:keepNext/>
      <w:keepLines/>
      <w:widowControl/>
      <w:spacing w:before="60" w:after="60" w:line="520" w:lineRule="exact"/>
      <w:ind w:firstLine="510" w:firstLineChars="200"/>
      <w:jc w:val="left"/>
      <w:outlineLvl w:val="3"/>
    </w:pPr>
    <w:rPr>
      <w:rFonts w:ascii="Arial" w:hAnsi="Arial"/>
      <w:b/>
      <w:color w:val="000000"/>
      <w:kern w:val="0"/>
      <w:sz w:val="24"/>
      <w:szCs w:val="20"/>
    </w:rPr>
  </w:style>
  <w:style w:type="paragraph" w:customStyle="1" w:styleId="1580">
    <w:name w:val="报告正文"/>
    <w:basedOn w:val="1"/>
    <w:qFormat/>
    <w:uiPriority w:val="0"/>
    <w:pPr>
      <w:spacing w:line="400" w:lineRule="exact"/>
      <w:ind w:firstLine="482"/>
    </w:pPr>
    <w:rPr>
      <w:sz w:val="24"/>
      <w:szCs w:val="20"/>
    </w:rPr>
  </w:style>
  <w:style w:type="paragraph" w:customStyle="1" w:styleId="1581">
    <w:name w:val="样式174"/>
    <w:basedOn w:val="1"/>
    <w:qFormat/>
    <w:uiPriority w:val="0"/>
    <w:pPr>
      <w:spacing w:beforeLines="50" w:line="360" w:lineRule="auto"/>
      <w:ind w:firstLine="480" w:firstLineChars="200"/>
    </w:pPr>
    <w:rPr>
      <w:kern w:val="0"/>
      <w:sz w:val="24"/>
      <w:szCs w:val="24"/>
      <w:lang w:val="en-AU"/>
    </w:rPr>
  </w:style>
  <w:style w:type="paragraph" w:customStyle="1" w:styleId="1582">
    <w:name w:val="样式107"/>
    <w:basedOn w:val="1583"/>
    <w:qFormat/>
    <w:uiPriority w:val="0"/>
    <w:pPr>
      <w:spacing w:line="240" w:lineRule="auto"/>
    </w:pPr>
  </w:style>
  <w:style w:type="paragraph" w:customStyle="1" w:styleId="1583">
    <w:name w:val="样式103"/>
    <w:basedOn w:val="707"/>
    <w:qFormat/>
    <w:uiPriority w:val="0"/>
    <w:rPr>
      <w:b w:val="0"/>
    </w:rPr>
  </w:style>
  <w:style w:type="paragraph" w:customStyle="1" w:styleId="1584">
    <w:name w:val="样式 样式18 +"/>
    <w:basedOn w:val="319"/>
    <w:qFormat/>
    <w:uiPriority w:val="0"/>
    <w:pPr>
      <w:snapToGrid/>
      <w:spacing w:line="460" w:lineRule="exact"/>
      <w:ind w:firstLine="200" w:firstLineChars="200"/>
    </w:pPr>
    <w:rPr>
      <w:color w:val="000000"/>
      <w:spacing w:val="0"/>
      <w:sz w:val="24"/>
      <w:szCs w:val="24"/>
    </w:rPr>
  </w:style>
  <w:style w:type="paragraph" w:customStyle="1" w:styleId="1585">
    <w:name w:val="样式28"/>
    <w:basedOn w:val="609"/>
    <w:qFormat/>
    <w:uiPriority w:val="0"/>
    <w:pPr>
      <w:tabs>
        <w:tab w:val="clear" w:pos="1701"/>
      </w:tabs>
      <w:adjustRightInd w:val="0"/>
      <w:snapToGrid/>
      <w:spacing w:line="300" w:lineRule="exact"/>
      <w:jc w:val="center"/>
    </w:pPr>
    <w:rPr>
      <w:color w:val="000000"/>
      <w:sz w:val="18"/>
      <w:szCs w:val="21"/>
    </w:rPr>
  </w:style>
  <w:style w:type="paragraph" w:customStyle="1" w:styleId="1586">
    <w:name w:val="样式55"/>
    <w:basedOn w:val="257"/>
    <w:qFormat/>
    <w:uiPriority w:val="0"/>
  </w:style>
  <w:style w:type="paragraph" w:customStyle="1" w:styleId="1587">
    <w:name w:val="样式125"/>
    <w:basedOn w:val="158"/>
    <w:qFormat/>
    <w:uiPriority w:val="0"/>
    <w:pPr>
      <w:spacing w:before="0" w:after="0" w:line="240" w:lineRule="atLeast"/>
      <w:jc w:val="center"/>
      <w:outlineLvl w:val="9"/>
    </w:pPr>
  </w:style>
  <w:style w:type="paragraph" w:customStyle="1" w:styleId="1588">
    <w:name w:val="Char24"/>
    <w:basedOn w:val="1"/>
    <w:qFormat/>
    <w:uiPriority w:val="0"/>
    <w:rPr>
      <w:szCs w:val="24"/>
    </w:rPr>
  </w:style>
  <w:style w:type="paragraph" w:customStyle="1" w:styleId="1589">
    <w:name w:val="MM Topic 1"/>
    <w:basedOn w:val="3"/>
    <w:qFormat/>
    <w:uiPriority w:val="0"/>
    <w:pPr>
      <w:spacing w:afterLines="30" w:line="576" w:lineRule="auto"/>
      <w:ind w:left="-76" w:hanging="284"/>
      <w:jc w:val="center"/>
    </w:pPr>
  </w:style>
  <w:style w:type="paragraph" w:customStyle="1" w:styleId="1590">
    <w:name w:val="CM7"/>
    <w:basedOn w:val="101"/>
    <w:next w:val="101"/>
    <w:qFormat/>
    <w:uiPriority w:val="0"/>
    <w:pPr>
      <w:spacing w:line="460" w:lineRule="atLeast"/>
    </w:pPr>
    <w:rPr>
      <w:rFonts w:ascii="黑体" w:eastAsia="黑体" w:cs="Times New Roman"/>
      <w:color w:val="auto"/>
      <w:sz w:val="20"/>
    </w:rPr>
  </w:style>
  <w:style w:type="paragraph" w:customStyle="1" w:styleId="1591">
    <w:name w:val="样式68"/>
    <w:basedOn w:val="502"/>
    <w:qFormat/>
    <w:uiPriority w:val="0"/>
    <w:pPr>
      <w:spacing w:line="560" w:lineRule="exact"/>
    </w:pPr>
  </w:style>
  <w:style w:type="paragraph" w:customStyle="1" w:styleId="1592">
    <w:name w:val="批注主题2"/>
    <w:basedOn w:val="25"/>
    <w:next w:val="25"/>
    <w:qFormat/>
    <w:uiPriority w:val="0"/>
    <w:rPr>
      <w:rFonts w:eastAsia="Times New Roman"/>
      <w:b/>
      <w:bCs/>
      <w:sz w:val="24"/>
      <w:szCs w:val="24"/>
    </w:rPr>
  </w:style>
  <w:style w:type="paragraph" w:customStyle="1" w:styleId="1593">
    <w:name w:val="样式48"/>
    <w:basedOn w:val="202"/>
    <w:qFormat/>
    <w:uiPriority w:val="0"/>
  </w:style>
  <w:style w:type="paragraph" w:customStyle="1" w:styleId="1594">
    <w:name w:val="样式53"/>
    <w:basedOn w:val="675"/>
    <w:qFormat/>
    <w:uiPriority w:val="0"/>
    <w:rPr>
      <w:rFonts w:eastAsia="楷体_GB2312"/>
      <w:b/>
    </w:rPr>
  </w:style>
  <w:style w:type="paragraph" w:customStyle="1" w:styleId="1595">
    <w:name w:val="批注主题3"/>
    <w:basedOn w:val="25"/>
    <w:next w:val="25"/>
    <w:qFormat/>
    <w:uiPriority w:val="0"/>
    <w:rPr>
      <w:rFonts w:eastAsia="Times New Roman"/>
      <w:b/>
      <w:bCs/>
      <w:sz w:val="24"/>
      <w:szCs w:val="24"/>
    </w:rPr>
  </w:style>
  <w:style w:type="paragraph" w:customStyle="1" w:styleId="1596">
    <w:name w:val="样式63"/>
    <w:basedOn w:val="503"/>
    <w:qFormat/>
    <w:uiPriority w:val="0"/>
    <w:rPr>
      <w:rFonts w:ascii="Technic" w:hAnsi="Technic"/>
      <w:szCs w:val="28"/>
    </w:rPr>
  </w:style>
  <w:style w:type="paragraph" w:customStyle="1" w:styleId="1597">
    <w:name w:val="样式70"/>
    <w:basedOn w:val="858"/>
    <w:qFormat/>
    <w:uiPriority w:val="0"/>
    <w:rPr>
      <w:b/>
    </w:rPr>
  </w:style>
  <w:style w:type="paragraph" w:customStyle="1" w:styleId="1598">
    <w:name w:val="样式71"/>
    <w:basedOn w:val="859"/>
    <w:qFormat/>
    <w:uiPriority w:val="0"/>
    <w:rPr>
      <w:szCs w:val="24"/>
    </w:rPr>
  </w:style>
  <w:style w:type="paragraph" w:customStyle="1" w:styleId="1599">
    <w:name w:val="样式72"/>
    <w:basedOn w:val="158"/>
    <w:qFormat/>
    <w:uiPriority w:val="0"/>
  </w:style>
  <w:style w:type="paragraph" w:customStyle="1" w:styleId="1600">
    <w:name w:val="正文 + 8 磅"/>
    <w:basedOn w:val="1"/>
    <w:qFormat/>
    <w:uiPriority w:val="0"/>
    <w:pPr>
      <w:spacing w:line="360" w:lineRule="auto"/>
    </w:pPr>
    <w:rPr>
      <w:b/>
      <w:sz w:val="16"/>
      <w:szCs w:val="16"/>
    </w:rPr>
  </w:style>
  <w:style w:type="paragraph" w:customStyle="1" w:styleId="1601">
    <w:name w:val="样式76"/>
    <w:basedOn w:val="853"/>
    <w:qFormat/>
    <w:uiPriority w:val="0"/>
    <w:pPr>
      <w:autoSpaceDE w:val="0"/>
      <w:autoSpaceDN w:val="0"/>
      <w:adjustRightInd w:val="0"/>
    </w:pPr>
  </w:style>
  <w:style w:type="paragraph" w:customStyle="1" w:styleId="1602">
    <w:name w:val="样式78"/>
    <w:basedOn w:val="665"/>
    <w:qFormat/>
    <w:uiPriority w:val="0"/>
    <w:rPr>
      <w:b w:val="0"/>
      <w:sz w:val="21"/>
      <w:szCs w:val="21"/>
    </w:rPr>
  </w:style>
  <w:style w:type="paragraph" w:customStyle="1" w:styleId="1603">
    <w:name w:val="样式133"/>
    <w:basedOn w:val="199"/>
    <w:qFormat/>
    <w:uiPriority w:val="0"/>
  </w:style>
  <w:style w:type="paragraph" w:customStyle="1" w:styleId="1604">
    <w:name w:val="样式82"/>
    <w:basedOn w:val="665"/>
    <w:qFormat/>
    <w:uiPriority w:val="0"/>
    <w:rPr>
      <w:rFonts w:eastAsia="黑体"/>
      <w:sz w:val="21"/>
    </w:rPr>
  </w:style>
  <w:style w:type="paragraph" w:customStyle="1" w:styleId="1605">
    <w:name w:val="样式59"/>
    <w:basedOn w:val="3"/>
    <w:qFormat/>
    <w:uiPriority w:val="0"/>
    <w:pPr>
      <w:adjustRightInd w:val="0"/>
      <w:spacing w:before="480" w:after="120" w:line="480" w:lineRule="auto"/>
      <w:ind w:left="-76" w:hanging="284"/>
      <w:jc w:val="center"/>
    </w:pPr>
    <w:rPr>
      <w:rFonts w:eastAsia="黑体"/>
      <w:b w:val="0"/>
      <w:bCs/>
      <w:sz w:val="30"/>
      <w:szCs w:val="30"/>
    </w:rPr>
  </w:style>
  <w:style w:type="paragraph" w:customStyle="1" w:styleId="1606">
    <w:name w:val="样式105"/>
    <w:basedOn w:val="703"/>
    <w:qFormat/>
    <w:uiPriority w:val="0"/>
    <w:pPr>
      <w:spacing w:line="240" w:lineRule="auto"/>
    </w:pPr>
  </w:style>
  <w:style w:type="paragraph" w:customStyle="1" w:styleId="1607">
    <w:name w:val="样式109"/>
    <w:basedOn w:val="703"/>
    <w:qFormat/>
    <w:uiPriority w:val="0"/>
  </w:style>
  <w:style w:type="paragraph" w:customStyle="1" w:styleId="1608">
    <w:name w:val="样式111"/>
    <w:basedOn w:val="705"/>
    <w:qFormat/>
    <w:uiPriority w:val="0"/>
  </w:style>
  <w:style w:type="paragraph" w:customStyle="1" w:styleId="1609">
    <w:name w:val="Char Char Char Char Char Char Char Char Char Char Char Char Char Char Char Char Char Char Char3"/>
    <w:basedOn w:val="1"/>
    <w:qFormat/>
    <w:uiPriority w:val="0"/>
    <w:rPr>
      <w:sz w:val="32"/>
      <w:szCs w:val="32"/>
    </w:rPr>
  </w:style>
  <w:style w:type="paragraph" w:customStyle="1" w:styleId="1610">
    <w:name w:val="样式126"/>
    <w:basedOn w:val="156"/>
    <w:qFormat/>
    <w:uiPriority w:val="0"/>
  </w:style>
  <w:style w:type="paragraph" w:customStyle="1" w:styleId="1611">
    <w:name w:val="样式127"/>
    <w:basedOn w:val="199"/>
    <w:qFormat/>
    <w:uiPriority w:val="0"/>
  </w:style>
  <w:style w:type="paragraph" w:customStyle="1" w:styleId="1612">
    <w:name w:val="样式129"/>
    <w:basedOn w:val="208"/>
    <w:qFormat/>
    <w:uiPriority w:val="0"/>
    <w:rPr>
      <w:b/>
    </w:rPr>
  </w:style>
  <w:style w:type="paragraph" w:customStyle="1" w:styleId="1613">
    <w:name w:val="样式130"/>
    <w:basedOn w:val="208"/>
    <w:qFormat/>
    <w:uiPriority w:val="0"/>
    <w:rPr>
      <w:b/>
    </w:rPr>
  </w:style>
  <w:style w:type="paragraph" w:customStyle="1" w:styleId="1614">
    <w:name w:val="CM15"/>
    <w:basedOn w:val="101"/>
    <w:next w:val="101"/>
    <w:qFormat/>
    <w:uiPriority w:val="0"/>
    <w:pPr>
      <w:spacing w:line="460" w:lineRule="atLeast"/>
    </w:pPr>
    <w:rPr>
      <w:rFonts w:ascii="黑体" w:eastAsia="黑体" w:cs="Times New Roman"/>
      <w:color w:val="auto"/>
      <w:sz w:val="20"/>
    </w:rPr>
  </w:style>
  <w:style w:type="paragraph" w:customStyle="1" w:styleId="1615">
    <w:name w:val="样式 (符号) 宋体 小四 行距: 单倍行距"/>
    <w:basedOn w:val="1"/>
    <w:qFormat/>
    <w:uiPriority w:val="0"/>
    <w:pPr>
      <w:ind w:firstLine="480" w:firstLineChars="200"/>
    </w:pPr>
    <w:rPr>
      <w:rFonts w:hAnsi="宋体" w:cs="宋体"/>
      <w:sz w:val="24"/>
      <w:szCs w:val="20"/>
    </w:rPr>
  </w:style>
  <w:style w:type="paragraph" w:customStyle="1" w:styleId="1616">
    <w:name w:val="样式 正文文本缩进 3 +"/>
    <w:basedOn w:val="60"/>
    <w:qFormat/>
    <w:uiPriority w:val="0"/>
    <w:pPr>
      <w:adjustRightInd w:val="0"/>
      <w:snapToGrid/>
      <w:spacing w:after="0" w:line="520" w:lineRule="exact"/>
      <w:ind w:left="0" w:leftChars="0" w:firstLine="200" w:firstLineChars="200"/>
      <w:jc w:val="center"/>
    </w:pPr>
    <w:rPr>
      <w:rFonts w:hint="eastAsia" w:ascii="Times New Roman" w:hAnsi="Times New Roman"/>
      <w:b/>
      <w:bCs/>
      <w:kern w:val="0"/>
      <w:sz w:val="24"/>
      <w:szCs w:val="24"/>
    </w:rPr>
  </w:style>
  <w:style w:type="paragraph" w:customStyle="1" w:styleId="1617">
    <w:name w:val="条目2"/>
    <w:basedOn w:val="1618"/>
    <w:qFormat/>
    <w:uiPriority w:val="0"/>
    <w:pPr>
      <w:tabs>
        <w:tab w:val="left" w:pos="420"/>
      </w:tabs>
      <w:spacing w:before="0" w:beforeLines="10" w:beforeAutospacing="0" w:after="0" w:afterLines="10" w:afterAutospacing="0" w:line="400" w:lineRule="atLeast"/>
      <w:ind w:left="0" w:leftChars="0"/>
    </w:pPr>
    <w:rPr>
      <w:rFonts w:ascii="宋体" w:hAnsi="Tms Rmn"/>
      <w:bCs/>
      <w:position w:val="-12"/>
      <w:sz w:val="21"/>
    </w:rPr>
  </w:style>
  <w:style w:type="paragraph" w:customStyle="1" w:styleId="1618">
    <w:name w:val="条目"/>
    <w:basedOn w:val="1"/>
    <w:qFormat/>
    <w:uiPriority w:val="0"/>
    <w:pPr>
      <w:adjustRightInd w:val="0"/>
      <w:spacing w:before="100" w:beforeAutospacing="1" w:after="100" w:afterAutospacing="1" w:line="160" w:lineRule="atLeast"/>
      <w:ind w:left="400" w:leftChars="400"/>
    </w:pPr>
    <w:rPr>
      <w:kern w:val="0"/>
      <w:sz w:val="24"/>
      <w:szCs w:val="20"/>
    </w:rPr>
  </w:style>
  <w:style w:type="paragraph" w:customStyle="1" w:styleId="1619">
    <w:name w:val="样式58"/>
    <w:basedOn w:val="3"/>
    <w:qFormat/>
    <w:uiPriority w:val="0"/>
    <w:pPr>
      <w:adjustRightInd w:val="0"/>
      <w:spacing w:before="600" w:after="240" w:line="360" w:lineRule="auto"/>
      <w:ind w:left="-76" w:hanging="284"/>
      <w:jc w:val="center"/>
    </w:pPr>
    <w:rPr>
      <w:rFonts w:eastAsia="黑体"/>
      <w:b w:val="0"/>
      <w:bCs/>
      <w:sz w:val="30"/>
      <w:szCs w:val="30"/>
    </w:rPr>
  </w:style>
  <w:style w:type="paragraph" w:customStyle="1" w:styleId="1620">
    <w:name w:val="样式581"/>
    <w:basedOn w:val="845"/>
    <w:next w:val="1619"/>
    <w:qFormat/>
    <w:uiPriority w:val="0"/>
    <w:pPr>
      <w:spacing w:line="520" w:lineRule="exact"/>
      <w:ind w:firstLine="480" w:firstLineChars="200"/>
      <w:jc w:val="both"/>
    </w:pPr>
    <w:rPr>
      <w:rFonts w:eastAsia="仿宋_GB2312"/>
      <w:i w:val="0"/>
      <w:color w:val="000000"/>
      <w:szCs w:val="28"/>
    </w:rPr>
  </w:style>
  <w:style w:type="paragraph" w:customStyle="1" w:styleId="1621">
    <w:name w:val="样式591"/>
    <w:basedOn w:val="845"/>
    <w:next w:val="1605"/>
    <w:qFormat/>
    <w:uiPriority w:val="0"/>
    <w:pPr>
      <w:spacing w:line="520" w:lineRule="exact"/>
      <w:ind w:firstLine="480" w:firstLineChars="200"/>
      <w:jc w:val="both"/>
    </w:pPr>
    <w:rPr>
      <w:rFonts w:eastAsia="仿宋_GB2312"/>
      <w:i w:val="0"/>
      <w:color w:val="000000"/>
      <w:szCs w:val="28"/>
    </w:rPr>
  </w:style>
  <w:style w:type="paragraph" w:customStyle="1" w:styleId="1622">
    <w:name w:val="正文文本缩进 24"/>
    <w:basedOn w:val="1"/>
    <w:qFormat/>
    <w:uiPriority w:val="0"/>
    <w:pPr>
      <w:adjustRightInd w:val="0"/>
      <w:spacing w:line="348" w:lineRule="auto"/>
      <w:ind w:firstLine="573"/>
    </w:pPr>
    <w:rPr>
      <w:rFonts w:eastAsia="Wingdings"/>
      <w:sz w:val="28"/>
      <w:szCs w:val="20"/>
    </w:rPr>
  </w:style>
  <w:style w:type="paragraph" w:customStyle="1" w:styleId="1623">
    <w:name w:val="样式135"/>
    <w:basedOn w:val="1603"/>
    <w:qFormat/>
    <w:uiPriority w:val="0"/>
  </w:style>
  <w:style w:type="paragraph" w:customStyle="1" w:styleId="1624">
    <w:name w:val="样式138"/>
    <w:basedOn w:val="631"/>
    <w:qFormat/>
    <w:uiPriority w:val="0"/>
    <w:rPr>
      <w:b/>
    </w:rPr>
  </w:style>
  <w:style w:type="paragraph" w:customStyle="1" w:styleId="1625">
    <w:name w:val="样式137"/>
    <w:basedOn w:val="278"/>
    <w:next w:val="1624"/>
    <w:qFormat/>
    <w:uiPriority w:val="0"/>
  </w:style>
  <w:style w:type="paragraph" w:customStyle="1" w:styleId="1626">
    <w:name w:val="样式141"/>
    <w:basedOn w:val="277"/>
    <w:qFormat/>
    <w:uiPriority w:val="0"/>
    <w:pPr>
      <w:outlineLvl w:val="2"/>
    </w:pPr>
  </w:style>
  <w:style w:type="paragraph" w:customStyle="1" w:styleId="1627">
    <w:name w:val="样式147"/>
    <w:basedOn w:val="728"/>
    <w:qFormat/>
    <w:uiPriority w:val="0"/>
  </w:style>
  <w:style w:type="paragraph" w:customStyle="1" w:styleId="1628">
    <w:name w:val="样式159"/>
    <w:basedOn w:val="707"/>
    <w:qFormat/>
    <w:uiPriority w:val="0"/>
    <w:rPr>
      <w:b w:val="0"/>
    </w:rPr>
  </w:style>
  <w:style w:type="paragraph" w:customStyle="1" w:styleId="1629">
    <w:name w:val="样式160"/>
    <w:basedOn w:val="254"/>
    <w:qFormat/>
    <w:uiPriority w:val="0"/>
  </w:style>
  <w:style w:type="paragraph" w:customStyle="1" w:styleId="1630">
    <w:name w:val="样式161"/>
    <w:basedOn w:val="705"/>
    <w:qFormat/>
    <w:uiPriority w:val="0"/>
  </w:style>
  <w:style w:type="paragraph" w:customStyle="1" w:styleId="1631">
    <w:name w:val="CM6"/>
    <w:basedOn w:val="101"/>
    <w:next w:val="101"/>
    <w:qFormat/>
    <w:uiPriority w:val="0"/>
    <w:pPr>
      <w:spacing w:line="440" w:lineRule="atLeast"/>
    </w:pPr>
    <w:rPr>
      <w:rFonts w:ascii="黑体" w:eastAsia="黑体" w:cs="Times New Roman"/>
      <w:color w:val="auto"/>
      <w:sz w:val="20"/>
    </w:rPr>
  </w:style>
  <w:style w:type="paragraph" w:customStyle="1" w:styleId="1632">
    <w:name w:val="样式163"/>
    <w:basedOn w:val="728"/>
    <w:qFormat/>
    <w:uiPriority w:val="0"/>
  </w:style>
  <w:style w:type="paragraph" w:customStyle="1" w:styleId="1633">
    <w:name w:val="日期5"/>
    <w:basedOn w:val="1"/>
    <w:next w:val="1"/>
    <w:qFormat/>
    <w:uiPriority w:val="0"/>
    <w:pPr>
      <w:adjustRightInd w:val="0"/>
      <w:jc w:val="left"/>
    </w:pPr>
    <w:rPr>
      <w:sz w:val="32"/>
      <w:szCs w:val="20"/>
    </w:rPr>
  </w:style>
  <w:style w:type="paragraph" w:customStyle="1" w:styleId="1634">
    <w:name w:val="样式166"/>
    <w:basedOn w:val="156"/>
    <w:qFormat/>
    <w:uiPriority w:val="0"/>
  </w:style>
  <w:style w:type="paragraph" w:customStyle="1" w:styleId="1635">
    <w:name w:val="样式167"/>
    <w:basedOn w:val="728"/>
    <w:qFormat/>
    <w:uiPriority w:val="0"/>
  </w:style>
  <w:style w:type="paragraph" w:customStyle="1" w:styleId="1636">
    <w:name w:val="样式168"/>
    <w:basedOn w:val="728"/>
    <w:qFormat/>
    <w:uiPriority w:val="0"/>
    <w:pPr>
      <w:outlineLvl w:val="3"/>
    </w:pPr>
    <w:rPr>
      <w:b w:val="0"/>
    </w:rPr>
  </w:style>
  <w:style w:type="paragraph" w:customStyle="1" w:styleId="1637">
    <w:name w:val="样式169"/>
    <w:basedOn w:val="254"/>
    <w:qFormat/>
    <w:uiPriority w:val="0"/>
  </w:style>
  <w:style w:type="paragraph" w:customStyle="1" w:styleId="1638">
    <w:name w:val="字元 字元3"/>
    <w:basedOn w:val="1"/>
    <w:qFormat/>
    <w:uiPriority w:val="0"/>
    <w:rPr>
      <w:sz w:val="24"/>
      <w:szCs w:val="24"/>
    </w:rPr>
  </w:style>
  <w:style w:type="paragraph" w:customStyle="1" w:styleId="1639">
    <w:name w:val="表中正文居中"/>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1640">
    <w:name w:val="样式165"/>
    <w:basedOn w:val="215"/>
    <w:qFormat/>
    <w:uiPriority w:val="0"/>
  </w:style>
  <w:style w:type="paragraph" w:customStyle="1" w:styleId="1641">
    <w:name w:val="样式145"/>
    <w:basedOn w:val="215"/>
    <w:qFormat/>
    <w:uiPriority w:val="0"/>
    <w:pPr>
      <w:snapToGrid w:val="0"/>
      <w:spacing w:before="0" w:line="520" w:lineRule="exact"/>
    </w:pPr>
  </w:style>
  <w:style w:type="paragraph" w:customStyle="1" w:styleId="1642">
    <w:name w:val="CM26"/>
    <w:basedOn w:val="101"/>
    <w:next w:val="101"/>
    <w:qFormat/>
    <w:uiPriority w:val="0"/>
    <w:pPr>
      <w:spacing w:after="258"/>
    </w:pPr>
    <w:rPr>
      <w:rFonts w:ascii="黑体" w:eastAsia="黑体" w:cs="Times New Roman"/>
      <w:color w:val="auto"/>
      <w:sz w:val="20"/>
    </w:rPr>
  </w:style>
  <w:style w:type="paragraph" w:customStyle="1" w:styleId="1643">
    <w:name w:val="样式131"/>
    <w:basedOn w:val="246"/>
    <w:qFormat/>
    <w:uiPriority w:val="0"/>
  </w:style>
  <w:style w:type="paragraph" w:customStyle="1" w:styleId="1644">
    <w:name w:val="样式143"/>
    <w:basedOn w:val="246"/>
    <w:qFormat/>
    <w:uiPriority w:val="0"/>
    <w:pPr>
      <w:spacing w:line="240" w:lineRule="exact"/>
    </w:pPr>
  </w:style>
  <w:style w:type="paragraph" w:customStyle="1" w:styleId="1645">
    <w:name w:val="样式164"/>
    <w:basedOn w:val="939"/>
    <w:qFormat/>
    <w:uiPriority w:val="0"/>
    <w:rPr>
      <w:rFonts w:eastAsia="宋体"/>
    </w:rPr>
  </w:style>
  <w:style w:type="paragraph" w:customStyle="1" w:styleId="1646">
    <w:name w:val="样式 正文缩进正文（首行缩进两字） + 首行缩进:  2 字符"/>
    <w:qFormat/>
    <w:uiPriority w:val="0"/>
    <w:pPr>
      <w:spacing w:line="360" w:lineRule="auto"/>
      <w:ind w:firstLine="561"/>
    </w:pPr>
    <w:rPr>
      <w:rFonts w:ascii="Times New Roman" w:hAnsi="Times New Roman" w:eastAsia="宋体" w:cs="宋体"/>
      <w:kern w:val="2"/>
      <w:sz w:val="24"/>
      <w:szCs w:val="24"/>
      <w:lang w:val="en-US" w:eastAsia="zh-CN" w:bidi="ar-SA"/>
    </w:rPr>
  </w:style>
  <w:style w:type="paragraph" w:customStyle="1" w:styleId="1647">
    <w:name w:val="正文王"/>
    <w:basedOn w:val="41"/>
    <w:qFormat/>
    <w:uiPriority w:val="0"/>
    <w:pPr>
      <w:snapToGrid w:val="0"/>
      <w:spacing w:line="440" w:lineRule="exact"/>
    </w:pPr>
    <w:rPr>
      <w:rFonts w:hint="eastAsia" w:ascii="Arial" w:hAnsi="Arial" w:cs="Times New Roman"/>
      <w:kern w:val="0"/>
      <w:sz w:val="24"/>
      <w:szCs w:val="20"/>
    </w:rPr>
  </w:style>
  <w:style w:type="paragraph" w:customStyle="1" w:styleId="1648">
    <w:name w:val="样式121"/>
    <w:basedOn w:val="281"/>
    <w:qFormat/>
    <w:uiPriority w:val="0"/>
  </w:style>
  <w:style w:type="paragraph" w:customStyle="1" w:styleId="1649">
    <w:name w:val="CM10"/>
    <w:basedOn w:val="101"/>
    <w:next w:val="101"/>
    <w:qFormat/>
    <w:uiPriority w:val="0"/>
    <w:pPr>
      <w:spacing w:line="460" w:lineRule="atLeast"/>
    </w:pPr>
    <w:rPr>
      <w:rFonts w:ascii="黑体" w:eastAsia="黑体" w:cs="Times New Roman"/>
      <w:color w:val="auto"/>
      <w:sz w:val="20"/>
    </w:rPr>
  </w:style>
  <w:style w:type="paragraph" w:customStyle="1" w:styleId="1650">
    <w:name w:val="样式 行距: 1.5 倍行距"/>
    <w:basedOn w:val="1"/>
    <w:qFormat/>
    <w:uiPriority w:val="0"/>
    <w:pPr>
      <w:topLinePunct/>
      <w:snapToGrid w:val="0"/>
      <w:spacing w:beforeLines="50" w:line="360" w:lineRule="auto"/>
      <w:ind w:left="210" w:leftChars="100" w:right="420" w:firstLine="480" w:firstLineChars="200"/>
      <w:jc w:val="left"/>
    </w:pPr>
    <w:rPr>
      <w:rFonts w:ascii="仿宋_GB2312" w:eastAsia="仿宋_GB2312"/>
      <w:kern w:val="0"/>
      <w:sz w:val="24"/>
      <w:szCs w:val="24"/>
      <w:lang w:val="en-GB"/>
    </w:rPr>
  </w:style>
  <w:style w:type="paragraph" w:customStyle="1" w:styleId="1651">
    <w:name w:val="缺省文本"/>
    <w:basedOn w:val="1"/>
    <w:qFormat/>
    <w:uiPriority w:val="0"/>
    <w:pPr>
      <w:autoSpaceDE w:val="0"/>
      <w:autoSpaceDN w:val="0"/>
      <w:adjustRightInd w:val="0"/>
      <w:jc w:val="left"/>
    </w:pPr>
    <w:rPr>
      <w:kern w:val="0"/>
      <w:sz w:val="24"/>
      <w:szCs w:val="24"/>
    </w:rPr>
  </w:style>
  <w:style w:type="paragraph" w:customStyle="1" w:styleId="1652">
    <w:name w:val="报告 Char Char1"/>
    <w:basedOn w:val="1"/>
    <w:qFormat/>
    <w:uiPriority w:val="0"/>
    <w:pPr>
      <w:widowControl/>
      <w:overflowPunct w:val="0"/>
      <w:autoSpaceDE w:val="0"/>
      <w:autoSpaceDN w:val="0"/>
      <w:adjustRightInd w:val="0"/>
      <w:spacing w:before="120" w:after="120" w:line="400" w:lineRule="atLeast"/>
      <w:ind w:firstLine="200" w:firstLineChars="200"/>
    </w:pPr>
    <w:rPr>
      <w:kern w:val="0"/>
      <w:sz w:val="24"/>
      <w:szCs w:val="20"/>
    </w:rPr>
  </w:style>
  <w:style w:type="paragraph" w:customStyle="1" w:styleId="1653">
    <w:name w:val="Char10"/>
    <w:basedOn w:val="1"/>
    <w:qFormat/>
    <w:uiPriority w:val="0"/>
    <w:rPr>
      <w:rFonts w:ascii="Tahoma" w:hAnsi="Tahoma"/>
      <w:sz w:val="24"/>
      <w:szCs w:val="20"/>
    </w:rPr>
  </w:style>
  <w:style w:type="paragraph" w:customStyle="1" w:styleId="1654">
    <w:name w:val="CM52"/>
    <w:basedOn w:val="101"/>
    <w:next w:val="101"/>
    <w:qFormat/>
    <w:uiPriority w:val="0"/>
    <w:pPr>
      <w:spacing w:line="460" w:lineRule="atLeast"/>
    </w:pPr>
    <w:rPr>
      <w:rFonts w:cs="Times New Roman"/>
      <w:color w:val="auto"/>
    </w:rPr>
  </w:style>
  <w:style w:type="paragraph" w:customStyle="1" w:styleId="1655">
    <w:name w:val="Char Char Char Char Char Char Char Char Char Char Char Char Char Char Char Char Char Char Char2"/>
    <w:basedOn w:val="1"/>
    <w:qFormat/>
    <w:uiPriority w:val="0"/>
    <w:rPr>
      <w:sz w:val="32"/>
      <w:szCs w:val="32"/>
    </w:rPr>
  </w:style>
  <w:style w:type="paragraph" w:customStyle="1" w:styleId="1656">
    <w:name w:val="样式 段前: 7.8 磅 段后: 7.8 磅"/>
    <w:basedOn w:val="1"/>
    <w:qFormat/>
    <w:uiPriority w:val="0"/>
    <w:pPr>
      <w:spacing w:before="156" w:after="156" w:line="460" w:lineRule="exact"/>
      <w:ind w:firstLine="200" w:firstLineChars="200"/>
    </w:pPr>
    <w:rPr>
      <w:rFonts w:cs="宋体"/>
      <w:sz w:val="24"/>
      <w:szCs w:val="24"/>
    </w:rPr>
  </w:style>
  <w:style w:type="paragraph" w:customStyle="1" w:styleId="1657">
    <w:name w:val="样式 样式34 + 黑色"/>
    <w:basedOn w:val="845"/>
    <w:qFormat/>
    <w:uiPriority w:val="0"/>
    <w:pPr>
      <w:spacing w:line="520" w:lineRule="exact"/>
      <w:ind w:firstLine="480" w:firstLineChars="200"/>
      <w:jc w:val="both"/>
    </w:pPr>
    <w:rPr>
      <w:rFonts w:eastAsia="仿宋_GB2312"/>
      <w:bCs/>
      <w:i w:val="0"/>
    </w:rPr>
  </w:style>
  <w:style w:type="paragraph" w:customStyle="1" w:styleId="1658">
    <w:name w:val="Char12"/>
    <w:basedOn w:val="1"/>
    <w:qFormat/>
    <w:uiPriority w:val="0"/>
    <w:rPr>
      <w:rFonts w:ascii="Tahoma" w:hAnsi="Tahoma"/>
      <w:sz w:val="24"/>
      <w:szCs w:val="20"/>
    </w:rPr>
  </w:style>
  <w:style w:type="paragraph" w:customStyle="1" w:styleId="1659">
    <w:name w:val="acee正文"/>
    <w:basedOn w:val="1"/>
    <w:qFormat/>
    <w:uiPriority w:val="0"/>
    <w:pPr>
      <w:spacing w:line="480" w:lineRule="exact"/>
      <w:ind w:firstLine="640" w:firstLineChars="200"/>
    </w:pPr>
    <w:rPr>
      <w:rFonts w:ascii="仿宋_GB2312" w:hAnsi="宋体" w:eastAsia="仿宋_GB2312"/>
      <w:sz w:val="32"/>
      <w:szCs w:val="24"/>
    </w:rPr>
  </w:style>
  <w:style w:type="paragraph" w:customStyle="1" w:styleId="1660">
    <w:name w:val="样式 样式 样式 四号 黑色 + 首行缩进:  2 字符 + 小四 下划线 居中"/>
    <w:basedOn w:val="1"/>
    <w:qFormat/>
    <w:uiPriority w:val="0"/>
    <w:pPr>
      <w:widowControl/>
      <w:spacing w:line="360" w:lineRule="auto"/>
      <w:jc w:val="center"/>
    </w:pPr>
    <w:rPr>
      <w:rFonts w:cs="宋体"/>
      <w:color w:val="000000"/>
      <w:sz w:val="24"/>
      <w:szCs w:val="20"/>
      <w:u w:val="single"/>
    </w:rPr>
  </w:style>
  <w:style w:type="paragraph" w:customStyle="1" w:styleId="1661">
    <w:name w:val="Char Char Char Char Char"/>
    <w:basedOn w:val="1"/>
    <w:qFormat/>
    <w:uiPriority w:val="0"/>
    <w:pPr>
      <w:widowControl/>
      <w:spacing w:after="160" w:line="240" w:lineRule="exact"/>
      <w:jc w:val="left"/>
    </w:pPr>
    <w:rPr>
      <w:rFonts w:ascii="Verdana" w:hAnsi="Verdana"/>
      <w:kern w:val="0"/>
      <w:szCs w:val="20"/>
      <w:lang w:eastAsia="en-US"/>
    </w:rPr>
  </w:style>
  <w:style w:type="paragraph" w:customStyle="1" w:styleId="1662">
    <w:name w:val="正文31"/>
    <w:basedOn w:val="1"/>
    <w:qFormat/>
    <w:uiPriority w:val="0"/>
    <w:pPr>
      <w:spacing w:before="60" w:after="60"/>
      <w:jc w:val="center"/>
    </w:pPr>
    <w:rPr>
      <w:szCs w:val="20"/>
    </w:rPr>
  </w:style>
  <w:style w:type="paragraph" w:customStyle="1" w:styleId="1663">
    <w:name w:val="Char Char Char Char Char Char Char Char Char Char Char Char Char Char Char Char Char Char"/>
    <w:basedOn w:val="1"/>
    <w:qFormat/>
    <w:uiPriority w:val="0"/>
    <w:pPr>
      <w:widowControl/>
      <w:spacing w:after="160" w:line="240" w:lineRule="exact"/>
      <w:jc w:val="left"/>
    </w:pPr>
    <w:rPr>
      <w:rFonts w:ascii="Verdana" w:hAnsi="Verdana"/>
      <w:kern w:val="0"/>
      <w:szCs w:val="20"/>
      <w:lang w:eastAsia="en-US"/>
    </w:rPr>
  </w:style>
  <w:style w:type="paragraph" w:customStyle="1" w:styleId="1664">
    <w:name w:val="表格名和图名"/>
    <w:basedOn w:val="1"/>
    <w:qFormat/>
    <w:uiPriority w:val="0"/>
    <w:pPr>
      <w:spacing w:line="360" w:lineRule="auto"/>
      <w:jc w:val="center"/>
    </w:pPr>
    <w:rPr>
      <w:b/>
      <w:color w:val="000000"/>
      <w:sz w:val="24"/>
      <w:szCs w:val="24"/>
    </w:rPr>
  </w:style>
  <w:style w:type="paragraph" w:customStyle="1" w:styleId="1665">
    <w:name w:val="样式 样式 首行缩进:  2 字符 + 首行缩进:  2 字符"/>
    <w:basedOn w:val="1"/>
    <w:qFormat/>
    <w:uiPriority w:val="0"/>
    <w:pPr>
      <w:snapToGrid w:val="0"/>
      <w:spacing w:line="360" w:lineRule="auto"/>
      <w:ind w:firstLine="502" w:firstLineChars="200"/>
    </w:pPr>
    <w:rPr>
      <w:sz w:val="24"/>
      <w:szCs w:val="20"/>
    </w:rPr>
  </w:style>
  <w:style w:type="paragraph" w:customStyle="1" w:styleId="1666">
    <w:name w:val="样式1.1.1"/>
    <w:basedOn w:val="1"/>
    <w:qFormat/>
    <w:uiPriority w:val="0"/>
    <w:pPr>
      <w:spacing w:line="460" w:lineRule="exact"/>
    </w:pPr>
    <w:rPr>
      <w:bCs/>
      <w:sz w:val="24"/>
      <w:szCs w:val="21"/>
    </w:rPr>
  </w:style>
  <w:style w:type="paragraph" w:customStyle="1" w:styleId="1667">
    <w:name w:val="正文（首行缩进两个字） + 首行缩进:  2 字符"/>
    <w:basedOn w:val="1"/>
    <w:qFormat/>
    <w:uiPriority w:val="0"/>
    <w:pPr>
      <w:widowControl/>
      <w:spacing w:line="440" w:lineRule="exact"/>
      <w:ind w:firstLine="200" w:firstLineChars="200"/>
      <w:jc w:val="left"/>
    </w:pPr>
    <w:rPr>
      <w:rFonts w:eastAsia="仿宋_GB2312" w:cs="宋体"/>
      <w:sz w:val="24"/>
      <w:szCs w:val="20"/>
      <w:lang w:val="zh-CN"/>
    </w:rPr>
  </w:style>
  <w:style w:type="paragraph" w:customStyle="1" w:styleId="1668">
    <w:name w:val="表格正文"/>
    <w:basedOn w:val="1"/>
    <w:next w:val="1"/>
    <w:qFormat/>
    <w:uiPriority w:val="0"/>
    <w:pPr>
      <w:adjustRightInd w:val="0"/>
      <w:snapToGrid w:val="0"/>
      <w:spacing w:line="0" w:lineRule="atLeast"/>
      <w:jc w:val="center"/>
    </w:pPr>
    <w:rPr>
      <w:rFonts w:eastAsia="仿宋_GB2312"/>
      <w:szCs w:val="21"/>
    </w:rPr>
  </w:style>
  <w:style w:type="paragraph" w:customStyle="1" w:styleId="1669">
    <w:name w:val="报告1"/>
    <w:basedOn w:val="605"/>
    <w:qFormat/>
    <w:uiPriority w:val="0"/>
    <w:pPr>
      <w:tabs>
        <w:tab w:val="clear" w:pos="1701"/>
      </w:tabs>
      <w:autoSpaceDE/>
      <w:autoSpaceDN/>
      <w:spacing w:line="240" w:lineRule="auto"/>
      <w:ind w:right="240" w:firstLine="150" w:firstLineChars="150"/>
      <w:jc w:val="both"/>
    </w:pPr>
    <w:rPr>
      <w:rFonts w:ascii="TimesNewRoman" w:hAnsi="TimesNewRoman"/>
      <w:kern w:val="24"/>
    </w:rPr>
  </w:style>
  <w:style w:type="paragraph" w:customStyle="1" w:styleId="1670">
    <w:name w:val="1233"/>
    <w:basedOn w:val="1"/>
    <w:qFormat/>
    <w:uiPriority w:val="0"/>
    <w:pPr>
      <w:spacing w:before="100" w:line="360" w:lineRule="auto"/>
      <w:ind w:firstLine="480"/>
    </w:pPr>
    <w:rPr>
      <w:sz w:val="24"/>
      <w:szCs w:val="20"/>
    </w:rPr>
  </w:style>
  <w:style w:type="paragraph" w:customStyle="1" w:styleId="1671">
    <w:name w:val="表格内文字"/>
    <w:basedOn w:val="31"/>
    <w:qFormat/>
    <w:uiPriority w:val="0"/>
    <w:pPr>
      <w:snapToGrid w:val="0"/>
      <w:spacing w:before="0"/>
      <w:ind w:left="0"/>
      <w:jc w:val="both"/>
    </w:pPr>
    <w:rPr>
      <w:rFonts w:hint="eastAsia" w:ascii="仿宋_GB2312" w:hAnsi="Times New Roman" w:eastAsia="楷体_GB2312"/>
      <w:szCs w:val="20"/>
      <w:lang w:eastAsia="zh-CN"/>
    </w:rPr>
  </w:style>
  <w:style w:type="paragraph" w:customStyle="1" w:styleId="1672">
    <w:name w:val="ST20_1"/>
    <w:basedOn w:val="1"/>
    <w:qFormat/>
    <w:uiPriority w:val="0"/>
    <w:pPr>
      <w:adjustRightInd w:val="0"/>
      <w:jc w:val="center"/>
    </w:pPr>
    <w:rPr>
      <w:rFonts w:ascii="宋体"/>
      <w:kern w:val="0"/>
      <w:szCs w:val="20"/>
    </w:rPr>
  </w:style>
  <w:style w:type="paragraph" w:customStyle="1" w:styleId="1673">
    <w:name w:val="body 1"/>
    <w:basedOn w:val="1"/>
    <w:qFormat/>
    <w:uiPriority w:val="0"/>
    <w:pPr>
      <w:adjustRightInd w:val="0"/>
      <w:spacing w:line="360" w:lineRule="atLeast"/>
    </w:pPr>
    <w:rPr>
      <w:rFonts w:ascii="華康中楷體" w:eastAsia="華康中楷體"/>
      <w:spacing w:val="60"/>
      <w:kern w:val="0"/>
      <w:sz w:val="24"/>
      <w:szCs w:val="20"/>
      <w:lang w:eastAsia="zh-TW"/>
    </w:rPr>
  </w:style>
  <w:style w:type="paragraph" w:customStyle="1" w:styleId="1674">
    <w:name w:val="樣式 左:  0 cm 凸出:  1 字元"/>
    <w:basedOn w:val="1"/>
    <w:qFormat/>
    <w:uiPriority w:val="0"/>
    <w:pPr>
      <w:ind w:left="240" w:hanging="240" w:hangingChars="100"/>
      <w:jc w:val="left"/>
    </w:pPr>
    <w:rPr>
      <w:rFonts w:eastAsia="PMingLiU" w:cs="PMingLiU"/>
      <w:sz w:val="24"/>
      <w:szCs w:val="20"/>
      <w:lang w:eastAsia="zh-TW"/>
    </w:rPr>
  </w:style>
  <w:style w:type="paragraph" w:customStyle="1" w:styleId="1675">
    <w:name w:val="小標"/>
    <w:basedOn w:val="1"/>
    <w:qFormat/>
    <w:uiPriority w:val="0"/>
    <w:pPr>
      <w:tabs>
        <w:tab w:val="right" w:pos="4176"/>
        <w:tab w:val="right" w:pos="6960"/>
      </w:tabs>
      <w:wordWrap w:val="0"/>
      <w:adjustRightInd w:val="0"/>
      <w:snapToGrid w:val="0"/>
      <w:spacing w:after="200" w:line="432" w:lineRule="exact"/>
    </w:pPr>
    <w:rPr>
      <w:rFonts w:ascii="Arial" w:hAnsi="Arial" w:eastAsia="華康粗黑體"/>
      <w:sz w:val="24"/>
      <w:szCs w:val="20"/>
      <w:lang w:eastAsia="zh-TW"/>
    </w:rPr>
  </w:style>
  <w:style w:type="paragraph" w:customStyle="1" w:styleId="1676">
    <w:name w:val="标题6"/>
    <w:basedOn w:val="1"/>
    <w:qFormat/>
    <w:uiPriority w:val="0"/>
    <w:pPr>
      <w:spacing w:line="300" w:lineRule="auto"/>
      <w:jc w:val="center"/>
    </w:pPr>
    <w:rPr>
      <w:rFonts w:ascii="黑体" w:hAnsi="宋体" w:eastAsia="黑体"/>
      <w:b/>
      <w:bCs/>
      <w:sz w:val="24"/>
      <w:szCs w:val="24"/>
    </w:rPr>
  </w:style>
  <w:style w:type="paragraph" w:customStyle="1" w:styleId="1677">
    <w:name w:val="样式 标题 3 + 左侧:  0 厘米 首行缩进:  0 字符"/>
    <w:basedOn w:val="5"/>
    <w:qFormat/>
    <w:uiPriority w:val="0"/>
    <w:pPr>
      <w:spacing w:line="415" w:lineRule="auto"/>
    </w:pPr>
    <w:rPr>
      <w:b/>
      <w:szCs w:val="20"/>
    </w:rPr>
  </w:style>
  <w:style w:type="paragraph" w:customStyle="1" w:styleId="1678">
    <w:name w:val="内容"/>
    <w:basedOn w:val="1"/>
    <w:qFormat/>
    <w:uiPriority w:val="0"/>
    <w:pPr>
      <w:adjustRightInd w:val="0"/>
      <w:spacing w:after="120" w:line="360" w:lineRule="atLeast"/>
      <w:ind w:left="851" w:firstLine="200" w:firstLineChars="200"/>
    </w:pPr>
    <w:rPr>
      <w:kern w:val="0"/>
      <w:sz w:val="24"/>
      <w:szCs w:val="20"/>
    </w:rPr>
  </w:style>
  <w:style w:type="paragraph" w:customStyle="1" w:styleId="1679">
    <w:name w:val="样式 列表 + 加粗 首行缩进:  1 字符"/>
    <w:basedOn w:val="57"/>
    <w:qFormat/>
    <w:uiPriority w:val="0"/>
    <w:pPr>
      <w:widowControl/>
      <w:ind w:left="200" w:firstLine="211" w:firstLineChars="100"/>
      <w:jc w:val="left"/>
    </w:pPr>
    <w:rPr>
      <w:bCs/>
      <w:sz w:val="21"/>
      <w:szCs w:val="20"/>
    </w:rPr>
  </w:style>
  <w:style w:type="paragraph" w:customStyle="1" w:styleId="1680">
    <w:name w:val="CM9"/>
    <w:basedOn w:val="101"/>
    <w:next w:val="101"/>
    <w:qFormat/>
    <w:uiPriority w:val="0"/>
    <w:pPr>
      <w:spacing w:line="460" w:lineRule="atLeast"/>
    </w:pPr>
    <w:rPr>
      <w:rFonts w:ascii="黑体" w:eastAsia="黑体" w:cs="Times New Roman"/>
      <w:color w:val="auto"/>
      <w:sz w:val="20"/>
    </w:rPr>
  </w:style>
  <w:style w:type="paragraph" w:customStyle="1" w:styleId="1681">
    <w:name w:val="小标题2"/>
    <w:basedOn w:val="14"/>
    <w:qFormat/>
    <w:uiPriority w:val="0"/>
    <w:pPr>
      <w:numPr>
        <w:numId w:val="0"/>
      </w:numPr>
      <w:adjustRightInd w:val="0"/>
      <w:snapToGrid w:val="0"/>
      <w:spacing w:before="20" w:after="20" w:line="200" w:lineRule="atLeast"/>
      <w:ind w:left="840" w:leftChars="400"/>
      <w:jc w:val="left"/>
    </w:pPr>
    <w:rPr>
      <w:rFonts w:ascii="宋体"/>
      <w:b/>
      <w:sz w:val="24"/>
      <w:szCs w:val="20"/>
      <w:u w:val="single"/>
    </w:rPr>
  </w:style>
  <w:style w:type="paragraph" w:customStyle="1" w:styleId="1682">
    <w:name w:val="正文样式1"/>
    <w:basedOn w:val="1"/>
    <w:qFormat/>
    <w:uiPriority w:val="0"/>
    <w:pPr>
      <w:adjustRightInd w:val="0"/>
      <w:spacing w:line="360" w:lineRule="auto"/>
      <w:ind w:firstLine="360" w:firstLineChars="150"/>
    </w:pPr>
    <w:rPr>
      <w:rFonts w:ascii="宋体" w:hAnsi="宋体"/>
      <w:color w:val="FF0000"/>
      <w:kern w:val="0"/>
      <w:sz w:val="24"/>
      <w:szCs w:val="20"/>
    </w:rPr>
  </w:style>
  <w:style w:type="paragraph" w:customStyle="1" w:styleId="1683">
    <w:name w:val="Indent1"/>
    <w:basedOn w:val="1"/>
    <w:qFormat/>
    <w:uiPriority w:val="0"/>
    <w:pPr>
      <w:overflowPunct w:val="0"/>
      <w:autoSpaceDE w:val="0"/>
      <w:autoSpaceDN w:val="0"/>
      <w:adjustRightInd w:val="0"/>
      <w:ind w:left="1440" w:hanging="720"/>
      <w:jc w:val="left"/>
    </w:pPr>
    <w:rPr>
      <w:rFonts w:ascii="Arial" w:hAnsi="Arial"/>
      <w:kern w:val="0"/>
      <w:sz w:val="22"/>
      <w:szCs w:val="20"/>
    </w:rPr>
  </w:style>
  <w:style w:type="paragraph" w:customStyle="1" w:styleId="1684">
    <w:name w:val="Document Map1"/>
    <w:basedOn w:val="1"/>
    <w:qFormat/>
    <w:uiPriority w:val="0"/>
    <w:pPr>
      <w:shd w:val="clear" w:color="auto" w:fill="000080"/>
      <w:adjustRightInd w:val="0"/>
    </w:pPr>
    <w:rPr>
      <w:rFonts w:ascii="宋体"/>
      <w:kern w:val="0"/>
      <w:szCs w:val="20"/>
    </w:rPr>
  </w:style>
  <w:style w:type="paragraph" w:customStyle="1" w:styleId="1685">
    <w:name w:val="文章附标题"/>
    <w:basedOn w:val="1"/>
    <w:next w:val="922"/>
    <w:qFormat/>
    <w:uiPriority w:val="0"/>
    <w:pPr>
      <w:widowControl/>
      <w:spacing w:before="187" w:after="175" w:line="374" w:lineRule="atLeast"/>
      <w:jc w:val="center"/>
    </w:pPr>
    <w:rPr>
      <w:color w:val="000000"/>
      <w:kern w:val="0"/>
      <w:sz w:val="36"/>
      <w:szCs w:val="20"/>
    </w:rPr>
  </w:style>
  <w:style w:type="paragraph" w:customStyle="1" w:styleId="1686">
    <w:name w:val="表格01"/>
    <w:basedOn w:val="1"/>
    <w:qFormat/>
    <w:uiPriority w:val="0"/>
    <w:pPr>
      <w:spacing w:before="100" w:line="240" w:lineRule="atLeast"/>
    </w:pPr>
    <w:rPr>
      <w:sz w:val="24"/>
      <w:szCs w:val="20"/>
    </w:rPr>
  </w:style>
  <w:style w:type="paragraph" w:customStyle="1" w:styleId="1687">
    <w:name w:val="姜文清定义的四级标题"/>
    <w:basedOn w:val="41"/>
    <w:qFormat/>
    <w:uiPriority w:val="0"/>
    <w:pPr>
      <w:adjustRightInd w:val="0"/>
      <w:spacing w:before="60" w:after="60" w:line="440" w:lineRule="atLeast"/>
      <w:ind w:firstLine="510"/>
    </w:pPr>
    <w:rPr>
      <w:rFonts w:hint="eastAsia" w:ascii="Times New Roman" w:hAnsi="Times New Roman" w:eastAsia="黑体" w:cs="Times New Roman"/>
      <w:kern w:val="0"/>
      <w:sz w:val="24"/>
      <w:szCs w:val="20"/>
    </w:rPr>
  </w:style>
  <w:style w:type="paragraph" w:customStyle="1" w:styleId="1688">
    <w:name w:val="表头1"/>
    <w:basedOn w:val="41"/>
    <w:qFormat/>
    <w:uiPriority w:val="0"/>
    <w:pPr>
      <w:spacing w:before="120" w:after="120" w:line="360" w:lineRule="atLeast"/>
      <w:ind w:firstLine="482"/>
      <w:jc w:val="center"/>
    </w:pPr>
    <w:rPr>
      <w:rFonts w:hint="eastAsia" w:ascii="Times New Roman" w:hAnsi="Times New Roman" w:cs="Times New Roman"/>
      <w:b/>
      <w:kern w:val="0"/>
      <w:sz w:val="24"/>
      <w:szCs w:val="20"/>
    </w:rPr>
  </w:style>
  <w:style w:type="paragraph" w:customStyle="1" w:styleId="1689">
    <w:name w:val="很复杂的表"/>
    <w:basedOn w:val="1"/>
    <w:qFormat/>
    <w:uiPriority w:val="0"/>
    <w:pPr>
      <w:spacing w:line="340" w:lineRule="atLeast"/>
      <w:jc w:val="center"/>
    </w:pPr>
    <w:rPr>
      <w:sz w:val="18"/>
      <w:szCs w:val="24"/>
    </w:rPr>
  </w:style>
  <w:style w:type="paragraph" w:customStyle="1" w:styleId="1690">
    <w:name w:val="表格头1"/>
    <w:basedOn w:val="1"/>
    <w:qFormat/>
    <w:uiPriority w:val="0"/>
    <w:pPr>
      <w:adjustRightInd w:val="0"/>
      <w:spacing w:before="240" w:line="360" w:lineRule="auto"/>
      <w:jc w:val="center"/>
    </w:pPr>
    <w:rPr>
      <w:rFonts w:ascii="黑体" w:eastAsia="黑体"/>
      <w:b/>
      <w:kern w:val="0"/>
      <w:sz w:val="24"/>
      <w:szCs w:val="20"/>
    </w:rPr>
  </w:style>
  <w:style w:type="paragraph" w:customStyle="1" w:styleId="1691">
    <w:name w:val="样式 标题 2H2título 2h2RN chapter段标题4节标题 1.1b2Chapter Title..."/>
    <w:next w:val="1667"/>
    <w:semiHidden/>
    <w:qFormat/>
    <w:uiPriority w:val="0"/>
    <w:rPr>
      <w:rFonts w:ascii="Arial" w:hAnsi="Arial" w:eastAsia="黑体" w:cs="Times New Roman"/>
      <w:kern w:val="2"/>
      <w:sz w:val="30"/>
      <w:szCs w:val="32"/>
      <w:lang w:val="en-US" w:eastAsia="zh-CN" w:bidi="ar-SA"/>
    </w:rPr>
  </w:style>
  <w:style w:type="paragraph" w:customStyle="1" w:styleId="1692">
    <w:name w:val="k 样式1"/>
    <w:basedOn w:val="1"/>
    <w:qFormat/>
    <w:uiPriority w:val="0"/>
    <w:pPr>
      <w:adjustRightInd w:val="0"/>
      <w:spacing w:line="360" w:lineRule="atLeast"/>
      <w:jc w:val="left"/>
    </w:pPr>
    <w:rPr>
      <w:kern w:val="0"/>
      <w:sz w:val="24"/>
      <w:szCs w:val="20"/>
    </w:rPr>
  </w:style>
  <w:style w:type="paragraph" w:customStyle="1" w:styleId="1693">
    <w:name w:val="公式1"/>
    <w:basedOn w:val="1"/>
    <w:qFormat/>
    <w:uiPriority w:val="0"/>
    <w:pPr>
      <w:spacing w:line="400" w:lineRule="atLeast"/>
      <w:ind w:firstLine="480" w:firstLineChars="200"/>
    </w:pPr>
    <w:rPr>
      <w:rFonts w:ascii="Century Gothic" w:hAnsi="Century Gothic"/>
      <w:sz w:val="24"/>
      <w:szCs w:val="24"/>
    </w:rPr>
  </w:style>
  <w:style w:type="paragraph" w:customStyle="1" w:styleId="1694">
    <w:name w:val="tab1"/>
    <w:basedOn w:val="1"/>
    <w:qFormat/>
    <w:uiPriority w:val="0"/>
    <w:pPr>
      <w:spacing w:line="400" w:lineRule="atLeast"/>
      <w:jc w:val="center"/>
    </w:pPr>
    <w:rPr>
      <w:sz w:val="24"/>
      <w:szCs w:val="24"/>
    </w:rPr>
  </w:style>
  <w:style w:type="paragraph" w:customStyle="1" w:styleId="1695">
    <w:name w:val="c"/>
    <w:qFormat/>
    <w:uiPriority w:val="0"/>
    <w:pPr>
      <w:widowControl w:val="0"/>
      <w:autoSpaceDE w:val="0"/>
      <w:autoSpaceDN w:val="0"/>
      <w:adjustRightInd w:val="0"/>
      <w:jc w:val="both"/>
    </w:pPr>
    <w:rPr>
      <w:rFonts w:ascii="Arial" w:hAnsi="Arial" w:eastAsia="宋体" w:cs="Times New Roman"/>
      <w:sz w:val="21"/>
      <w:szCs w:val="24"/>
      <w:lang w:val="en-US" w:eastAsia="zh-CN" w:bidi="ar-SA"/>
    </w:rPr>
  </w:style>
  <w:style w:type="paragraph" w:customStyle="1" w:styleId="1696">
    <w:name w:val="Paratitre"/>
    <w:basedOn w:val="1"/>
    <w:qFormat/>
    <w:uiPriority w:val="0"/>
    <w:pPr>
      <w:widowControl/>
      <w:spacing w:before="120"/>
      <w:ind w:left="851"/>
    </w:pPr>
    <w:rPr>
      <w:rFonts w:ascii="Arial" w:hAnsi="Arial"/>
      <w:kern w:val="0"/>
      <w:sz w:val="20"/>
      <w:szCs w:val="20"/>
    </w:rPr>
  </w:style>
  <w:style w:type="paragraph" w:customStyle="1" w:styleId="1697">
    <w:name w:val="正文 t"/>
    <w:basedOn w:val="1"/>
    <w:qFormat/>
    <w:uiPriority w:val="0"/>
    <w:pPr>
      <w:spacing w:before="120" w:after="120" w:line="240" w:lineRule="atLeast"/>
    </w:pPr>
    <w:rPr>
      <w:rFonts w:ascii="Arial" w:hAnsi="Arial"/>
      <w:sz w:val="24"/>
      <w:szCs w:val="20"/>
    </w:rPr>
  </w:style>
  <w:style w:type="paragraph" w:customStyle="1" w:styleId="1698">
    <w:name w:val="font9_blackc"/>
    <w:basedOn w:val="1"/>
    <w:qFormat/>
    <w:uiPriority w:val="0"/>
    <w:pPr>
      <w:widowControl/>
      <w:spacing w:before="100" w:beforeAutospacing="1" w:after="100" w:afterAutospacing="1" w:line="255" w:lineRule="atLeast"/>
      <w:jc w:val="left"/>
    </w:pPr>
    <w:rPr>
      <w:rFonts w:ascii="宋体" w:hAnsi="宋体" w:cs="宋体"/>
      <w:color w:val="111111"/>
      <w:kern w:val="0"/>
      <w:sz w:val="18"/>
      <w:szCs w:val="18"/>
    </w:rPr>
  </w:style>
  <w:style w:type="paragraph" w:customStyle="1" w:styleId="1699">
    <w:name w:val="l-正文"/>
    <w:qFormat/>
    <w:uiPriority w:val="0"/>
    <w:pPr>
      <w:spacing w:before="100" w:after="100" w:line="360" w:lineRule="auto"/>
      <w:ind w:firstLine="567"/>
    </w:pPr>
    <w:rPr>
      <w:rFonts w:ascii="宋体" w:hAnsi="宋体" w:eastAsia="宋体" w:cs="Times New Roman"/>
      <w:kern w:val="2"/>
      <w:sz w:val="28"/>
      <w:lang w:val="en-US" w:eastAsia="zh-CN" w:bidi="ar-SA"/>
    </w:rPr>
  </w:style>
  <w:style w:type="paragraph" w:customStyle="1" w:styleId="1700">
    <w:name w:val="1 字元 Char Char 字元"/>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701">
    <w:name w:val="五级条标题"/>
    <w:basedOn w:val="1500"/>
    <w:next w:val="1"/>
    <w:qFormat/>
    <w:uiPriority w:val="0"/>
    <w:pPr>
      <w:tabs>
        <w:tab w:val="clear" w:pos="1680"/>
        <w:tab w:val="clear" w:pos="2100"/>
        <w:tab w:val="clear" w:pos="2240"/>
        <w:tab w:val="clear" w:pos="2660"/>
        <w:tab w:val="clear" w:pos="3080"/>
      </w:tabs>
      <w:ind w:left="0" w:firstLine="0"/>
      <w:jc w:val="both"/>
      <w:outlineLvl w:val="6"/>
    </w:pPr>
    <w:rPr>
      <w:rFonts w:ascii="黑体"/>
    </w:rPr>
  </w:style>
  <w:style w:type="paragraph" w:customStyle="1" w:styleId="1702">
    <w:name w:val="样式 宋体 左侧:  0 厘米 悬挂缩进: 3 字符"/>
    <w:basedOn w:val="1"/>
    <w:qFormat/>
    <w:uiPriority w:val="0"/>
    <w:pPr>
      <w:spacing w:line="360" w:lineRule="auto"/>
      <w:ind w:left="720" w:hanging="720" w:hangingChars="300"/>
    </w:pPr>
    <w:rPr>
      <w:rFonts w:ascii="宋体" w:hAnsi="宋体" w:cs="宋体"/>
      <w:sz w:val="28"/>
      <w:szCs w:val="20"/>
    </w:rPr>
  </w:style>
  <w:style w:type="paragraph" w:customStyle="1" w:styleId="1703">
    <w:name w:val="4 字元"/>
    <w:basedOn w:val="1"/>
    <w:qFormat/>
    <w:uiPriority w:val="0"/>
    <w:pPr>
      <w:adjustRightInd w:val="0"/>
      <w:spacing w:line="360" w:lineRule="atLeast"/>
    </w:pPr>
    <w:rPr>
      <w:szCs w:val="24"/>
    </w:rPr>
  </w:style>
  <w:style w:type="paragraph" w:customStyle="1" w:styleId="1704">
    <w:name w:val="edri-title first"/>
    <w:basedOn w:val="1"/>
    <w:qFormat/>
    <w:uiPriority w:val="0"/>
    <w:pPr>
      <w:tabs>
        <w:tab w:val="left" w:pos="2"/>
        <w:tab w:val="left" w:pos="945"/>
      </w:tabs>
      <w:spacing w:beforeLines="50" w:line="300" w:lineRule="auto"/>
      <w:ind w:left="1932" w:hanging="964"/>
      <w:outlineLvl w:val="0"/>
    </w:pPr>
    <w:rPr>
      <w:rFonts w:ascii="Arial Narrow" w:hAnsi="Arial Narrow" w:cs="CommercialPi BT"/>
      <w:b/>
      <w:bCs/>
      <w:kern w:val="0"/>
      <w:sz w:val="30"/>
      <w:szCs w:val="20"/>
    </w:rPr>
  </w:style>
  <w:style w:type="paragraph" w:customStyle="1" w:styleId="1705">
    <w:name w:val="edri-title secong"/>
    <w:basedOn w:val="1"/>
    <w:qFormat/>
    <w:uiPriority w:val="0"/>
    <w:pPr>
      <w:tabs>
        <w:tab w:val="left" w:pos="2"/>
        <w:tab w:val="left" w:pos="945"/>
      </w:tabs>
      <w:spacing w:beforeLines="50" w:line="300" w:lineRule="auto"/>
      <w:ind w:left="1932" w:hanging="964"/>
      <w:outlineLvl w:val="1"/>
    </w:pPr>
    <w:rPr>
      <w:rFonts w:ascii="Arial Narrow" w:hAnsi="Arial Narrow" w:cs="CommercialPi BT"/>
      <w:b/>
      <w:bCs/>
      <w:kern w:val="0"/>
      <w:sz w:val="28"/>
      <w:szCs w:val="20"/>
    </w:rPr>
  </w:style>
  <w:style w:type="paragraph" w:customStyle="1" w:styleId="1706">
    <w:name w:val="edri-title third Char1"/>
    <w:basedOn w:val="1"/>
    <w:qFormat/>
    <w:uiPriority w:val="0"/>
    <w:pPr>
      <w:tabs>
        <w:tab w:val="left" w:pos="0"/>
        <w:tab w:val="left" w:pos="945"/>
      </w:tabs>
      <w:spacing w:beforeLines="50" w:line="300" w:lineRule="auto"/>
      <w:ind w:left="1928" w:hanging="964"/>
      <w:outlineLvl w:val="2"/>
    </w:pPr>
    <w:rPr>
      <w:rFonts w:cs="CommercialPi BT"/>
      <w:bCs/>
      <w:kern w:val="0"/>
      <w:sz w:val="24"/>
      <w:szCs w:val="24"/>
    </w:rPr>
  </w:style>
  <w:style w:type="paragraph" w:customStyle="1" w:styleId="1707">
    <w:name w:val="edri-A title Char1"/>
    <w:basedOn w:val="1706"/>
    <w:next w:val="1706"/>
    <w:qFormat/>
    <w:uiPriority w:val="0"/>
    <w:pPr>
      <w:tabs>
        <w:tab w:val="left" w:pos="1139"/>
        <w:tab w:val="clear" w:pos="0"/>
        <w:tab w:val="clear" w:pos="945"/>
      </w:tabs>
      <w:ind w:left="2278" w:hanging="419"/>
      <w:outlineLvl w:val="3"/>
    </w:pPr>
  </w:style>
  <w:style w:type="paragraph" w:customStyle="1" w:styleId="1708">
    <w:name w:val="字元"/>
    <w:basedOn w:val="1"/>
    <w:qFormat/>
    <w:uiPriority w:val="0"/>
    <w:pPr>
      <w:adjustRightInd w:val="0"/>
      <w:spacing w:line="360" w:lineRule="atLeast"/>
    </w:pPr>
    <w:rPr>
      <w:szCs w:val="24"/>
    </w:rPr>
  </w:style>
  <w:style w:type="paragraph" w:customStyle="1" w:styleId="1709">
    <w:name w:val="样式 首行缩进:  2.5 字符"/>
    <w:basedOn w:val="74"/>
    <w:qFormat/>
    <w:uiPriority w:val="0"/>
    <w:pPr>
      <w:spacing w:line="360" w:lineRule="auto"/>
      <w:ind w:firstLine="200" w:firstLineChars="200"/>
    </w:pPr>
    <w:rPr>
      <w:rFonts w:hint="eastAsia" w:ascii="宋体" w:hAnsi="宋体" w:cs="宋体"/>
      <w:sz w:val="24"/>
      <w:szCs w:val="20"/>
    </w:rPr>
  </w:style>
  <w:style w:type="paragraph" w:customStyle="1" w:styleId="1710">
    <w:name w:val="样式 首行缩进:  1.92 字符"/>
    <w:basedOn w:val="1"/>
    <w:qFormat/>
    <w:uiPriority w:val="0"/>
    <w:pPr>
      <w:spacing w:line="360" w:lineRule="auto"/>
      <w:ind w:left="11" w:firstLine="540" w:firstLineChars="225"/>
    </w:pPr>
    <w:rPr>
      <w:rFonts w:ascii="仿宋_GB2312" w:hAnsi="华文楷体" w:eastAsia="仿宋_GB2312" w:cs="宋体"/>
      <w:sz w:val="24"/>
      <w:szCs w:val="20"/>
    </w:rPr>
  </w:style>
  <w:style w:type="paragraph" w:customStyle="1" w:styleId="1711">
    <w:name w:val="样式 样式 样式 报告 + 首行缩进:  0.58 字符 Char + 黑色 首行缩进:  2 字符 段前: 0.1 行 段后:...1"/>
    <w:basedOn w:val="1"/>
    <w:qFormat/>
    <w:uiPriority w:val="0"/>
    <w:pPr>
      <w:overflowPunct w:val="0"/>
      <w:autoSpaceDE w:val="0"/>
      <w:autoSpaceDN w:val="0"/>
      <w:adjustRightInd w:val="0"/>
      <w:spacing w:line="360" w:lineRule="auto"/>
      <w:ind w:firstLine="540" w:firstLineChars="225"/>
      <w:jc w:val="left"/>
    </w:pPr>
    <w:rPr>
      <w:rFonts w:ascii="宋体" w:hAnsi="宋体" w:cs="Arial"/>
      <w:color w:val="000000"/>
      <w:kern w:val="0"/>
      <w:sz w:val="24"/>
      <w:szCs w:val="24"/>
    </w:rPr>
  </w:style>
  <w:style w:type="paragraph" w:customStyle="1" w:styleId="1712">
    <w:name w:val="注释"/>
    <w:basedOn w:val="1"/>
    <w:qFormat/>
    <w:uiPriority w:val="0"/>
    <w:pPr>
      <w:spacing w:before="60" w:after="60"/>
      <w:ind w:left="567" w:firstLine="425"/>
    </w:pPr>
    <w:rPr>
      <w:rFonts w:ascii="宋体"/>
      <w:szCs w:val="20"/>
    </w:rPr>
  </w:style>
  <w:style w:type="paragraph" w:customStyle="1" w:styleId="1713">
    <w:name w:val="样式 报告 + 首行缩进:  2 字符 段前: 0.3 行 段后: 0.3 行3"/>
    <w:basedOn w:val="605"/>
    <w:qFormat/>
    <w:uiPriority w:val="0"/>
    <w:pPr>
      <w:tabs>
        <w:tab w:val="clear" w:pos="1701"/>
      </w:tabs>
      <w:autoSpaceDE/>
      <w:autoSpaceDN/>
      <w:adjustRightInd/>
      <w:spacing w:beforeLines="30" w:line="400" w:lineRule="atLeast"/>
      <w:ind w:firstLine="0"/>
      <w:jc w:val="both"/>
    </w:pPr>
    <w:rPr>
      <w:b/>
      <w:bCs/>
      <w:kern w:val="2"/>
      <w:szCs w:val="24"/>
      <w:u w:val="single" w:color="000000"/>
    </w:rPr>
  </w:style>
  <w:style w:type="paragraph" w:customStyle="1" w:styleId="1714">
    <w:name w:val="样式 纯文本表内文字 + 楷体_GB2312 左"/>
    <w:basedOn w:val="1"/>
    <w:semiHidden/>
    <w:qFormat/>
    <w:uiPriority w:val="0"/>
    <w:pPr>
      <w:tabs>
        <w:tab w:val="left" w:pos="1350"/>
      </w:tabs>
      <w:autoSpaceDE w:val="0"/>
      <w:autoSpaceDN w:val="0"/>
      <w:adjustRightInd w:val="0"/>
      <w:snapToGrid w:val="0"/>
      <w:spacing w:line="320" w:lineRule="exact"/>
      <w:jc w:val="left"/>
    </w:pPr>
    <w:rPr>
      <w:rFonts w:ascii="Arial" w:hAnsi="Arial" w:eastAsia="楷体_GB2312" w:cs="宋体"/>
      <w:szCs w:val="21"/>
    </w:rPr>
  </w:style>
  <w:style w:type="paragraph" w:customStyle="1" w:styleId="1715">
    <w:name w:val="表格正文 Char"/>
    <w:basedOn w:val="1"/>
    <w:next w:val="1"/>
    <w:semiHidden/>
    <w:qFormat/>
    <w:uiPriority w:val="0"/>
    <w:pPr>
      <w:adjustRightInd w:val="0"/>
      <w:snapToGrid w:val="0"/>
      <w:ind w:firstLine="476"/>
      <w:jc w:val="center"/>
    </w:pPr>
    <w:rPr>
      <w:rFonts w:ascii="宋体"/>
      <w:spacing w:val="4"/>
      <w:w w:val="90"/>
      <w:kern w:val="0"/>
      <w:sz w:val="24"/>
      <w:szCs w:val="24"/>
    </w:rPr>
  </w:style>
  <w:style w:type="paragraph" w:customStyle="1" w:styleId="1716">
    <w:name w:val="样式 正文文本缩进 2正文文本缩进 2 Char Char Char Char正文文本缩进 2 Char Char + 黑色"/>
    <w:basedOn w:val="1"/>
    <w:semiHidden/>
    <w:qFormat/>
    <w:uiPriority w:val="0"/>
    <w:pPr>
      <w:adjustRightInd w:val="0"/>
      <w:spacing w:line="280" w:lineRule="exact"/>
      <w:jc w:val="center"/>
    </w:pPr>
    <w:rPr>
      <w:color w:val="000000"/>
      <w:kern w:val="0"/>
      <w:szCs w:val="20"/>
    </w:rPr>
  </w:style>
  <w:style w:type="paragraph" w:customStyle="1" w:styleId="1717">
    <w:name w:val="退格正文"/>
    <w:basedOn w:val="1"/>
    <w:semiHidden/>
    <w:qFormat/>
    <w:uiPriority w:val="0"/>
    <w:pPr>
      <w:spacing w:line="360" w:lineRule="auto"/>
      <w:ind w:firstLine="538" w:firstLineChars="192"/>
    </w:pPr>
    <w:rPr>
      <w:sz w:val="28"/>
      <w:szCs w:val="24"/>
    </w:rPr>
  </w:style>
  <w:style w:type="paragraph" w:customStyle="1" w:styleId="1718">
    <w:name w:val="样式 标题 4标题4款标题款标题1.1.1.1PIM 4H4h4blbbTitre44th levelse...1"/>
    <w:basedOn w:val="6"/>
    <w:semiHidden/>
    <w:qFormat/>
    <w:uiPriority w:val="0"/>
    <w:pPr>
      <w:widowControl/>
      <w:snapToGrid w:val="0"/>
      <w:spacing w:beforeLines="50" w:afterLines="50" w:line="240" w:lineRule="auto"/>
      <w:jc w:val="left"/>
    </w:pPr>
    <w:rPr>
      <w:rFonts w:eastAsia="黑体"/>
      <w:sz w:val="24"/>
      <w:szCs w:val="24"/>
      <w:lang w:val="zh-CN"/>
    </w:rPr>
  </w:style>
  <w:style w:type="paragraph" w:customStyle="1" w:styleId="1719">
    <w:name w:val="样式 标题 4标题4款标题款标题1.1.1.1PIM 4H4h4blbbTitre44th levelse...2"/>
    <w:basedOn w:val="6"/>
    <w:semiHidden/>
    <w:qFormat/>
    <w:uiPriority w:val="0"/>
    <w:pPr>
      <w:widowControl/>
      <w:snapToGrid w:val="0"/>
      <w:spacing w:beforeLines="50" w:afterLines="50" w:line="240" w:lineRule="auto"/>
      <w:jc w:val="left"/>
    </w:pPr>
    <w:rPr>
      <w:rFonts w:eastAsia="黑体"/>
      <w:sz w:val="24"/>
      <w:szCs w:val="24"/>
      <w:lang w:val="zh-CN"/>
    </w:rPr>
  </w:style>
  <w:style w:type="paragraph" w:customStyle="1" w:styleId="1720">
    <w:name w:val="样式 标题 4标题4款标题款标题1.1.1.1PIM 4H4h4blbbTitre44th levelse...3"/>
    <w:basedOn w:val="6"/>
    <w:semiHidden/>
    <w:qFormat/>
    <w:uiPriority w:val="0"/>
    <w:pPr>
      <w:widowControl/>
      <w:snapToGrid w:val="0"/>
      <w:spacing w:beforeLines="50" w:afterLines="50" w:line="240" w:lineRule="auto"/>
      <w:jc w:val="left"/>
    </w:pPr>
    <w:rPr>
      <w:rFonts w:eastAsia="黑体"/>
      <w:bCs/>
      <w:sz w:val="24"/>
      <w:szCs w:val="24"/>
      <w:lang w:val="zh-CN"/>
    </w:rPr>
  </w:style>
  <w:style w:type="paragraph" w:customStyle="1" w:styleId="1721">
    <w:name w:val="正文 Char Char"/>
    <w:basedOn w:val="1"/>
    <w:next w:val="1"/>
    <w:semiHidden/>
    <w:qFormat/>
    <w:uiPriority w:val="0"/>
    <w:pPr>
      <w:adjustRightInd w:val="0"/>
      <w:snapToGrid w:val="0"/>
      <w:spacing w:line="360" w:lineRule="auto"/>
      <w:ind w:firstLine="482"/>
      <w:jc w:val="left"/>
    </w:pPr>
    <w:rPr>
      <w:rFonts w:ascii="宋体"/>
      <w:spacing w:val="4"/>
      <w:kern w:val="21"/>
      <w:sz w:val="24"/>
      <w:szCs w:val="24"/>
    </w:rPr>
  </w:style>
  <w:style w:type="paragraph" w:customStyle="1" w:styleId="1722">
    <w:name w:val="样式 四号 黑色 行距: 1.5 倍行距 首行缩进:  2 字符"/>
    <w:basedOn w:val="1"/>
    <w:qFormat/>
    <w:uiPriority w:val="0"/>
    <w:pPr>
      <w:spacing w:line="360" w:lineRule="auto"/>
      <w:ind w:firstLine="560" w:firstLineChars="200"/>
    </w:pPr>
    <w:rPr>
      <w:rFonts w:eastAsia="仿宋_GB2312" w:cs="宋体"/>
      <w:color w:val="000000"/>
      <w:sz w:val="28"/>
      <w:szCs w:val="20"/>
    </w:rPr>
  </w:style>
  <w:style w:type="paragraph" w:customStyle="1" w:styleId="1723">
    <w:name w:val="样式 标题 2标题 2 Char + 红色"/>
    <w:basedOn w:val="4"/>
    <w:qFormat/>
    <w:uiPriority w:val="0"/>
    <w:pPr>
      <w:spacing w:beforeLines="50" w:line="400" w:lineRule="exact"/>
    </w:pPr>
    <w:rPr>
      <w:rFonts w:ascii="宋体" w:hAnsi="宋体"/>
      <w:color w:val="000000"/>
      <w:szCs w:val="24"/>
    </w:rPr>
  </w:style>
  <w:style w:type="paragraph" w:customStyle="1" w:styleId="1724">
    <w:name w:val="表内式样"/>
    <w:qFormat/>
    <w:uiPriority w:val="0"/>
    <w:pPr>
      <w:widowControl w:val="0"/>
      <w:kinsoku w:val="0"/>
      <w:overflowPunct w:val="0"/>
      <w:adjustRightInd w:val="0"/>
      <w:snapToGrid w:val="0"/>
      <w:spacing w:line="320" w:lineRule="exact"/>
      <w:jc w:val="both"/>
    </w:pPr>
    <w:rPr>
      <w:rFonts w:ascii="宋体" w:hAnsi="宋体" w:eastAsia="仿宋_GB2312" w:cs="Times New Roman"/>
      <w:color w:val="000000"/>
      <w:kern w:val="21"/>
      <w:sz w:val="21"/>
      <w:szCs w:val="21"/>
      <w:lang w:val="en-US" w:eastAsia="zh-CN" w:bidi="ar-SA"/>
    </w:rPr>
  </w:style>
  <w:style w:type="paragraph" w:customStyle="1" w:styleId="1725">
    <w:name w:val="样式 报告 + 首行缩进:  2 字符 段前: 0.5 行 段后: 7.8 磅"/>
    <w:basedOn w:val="1"/>
    <w:qFormat/>
    <w:uiPriority w:val="0"/>
    <w:pPr>
      <w:widowControl/>
      <w:spacing w:beforeLines="50" w:after="156" w:line="460" w:lineRule="atLeast"/>
      <w:ind w:firstLine="480" w:firstLineChars="200"/>
    </w:pPr>
    <w:rPr>
      <w:rFonts w:cs="宋体"/>
      <w:kern w:val="0"/>
      <w:sz w:val="24"/>
      <w:szCs w:val="20"/>
    </w:rPr>
  </w:style>
  <w:style w:type="paragraph" w:customStyle="1" w:styleId="1726">
    <w:name w:val="样式 Arial 小四"/>
    <w:basedOn w:val="1"/>
    <w:qFormat/>
    <w:uiPriority w:val="0"/>
    <w:pPr>
      <w:spacing w:line="400" w:lineRule="atLeast"/>
      <w:ind w:firstLine="200" w:firstLineChars="200"/>
    </w:pPr>
    <w:rPr>
      <w:rFonts w:ascii="Arial" w:cs="宋体"/>
      <w:sz w:val="24"/>
      <w:szCs w:val="20"/>
    </w:rPr>
  </w:style>
  <w:style w:type="paragraph" w:customStyle="1" w:styleId="1727">
    <w:name w:val="正文英"/>
    <w:basedOn w:val="1"/>
    <w:qFormat/>
    <w:uiPriority w:val="0"/>
    <w:pPr>
      <w:autoSpaceDE w:val="0"/>
      <w:autoSpaceDN w:val="0"/>
      <w:adjustRightInd w:val="0"/>
      <w:spacing w:line="300" w:lineRule="auto"/>
    </w:pPr>
    <w:rPr>
      <w:kern w:val="0"/>
      <w:sz w:val="28"/>
      <w:szCs w:val="20"/>
    </w:rPr>
  </w:style>
  <w:style w:type="paragraph" w:customStyle="1" w:styleId="1728">
    <w:name w:val="05"/>
    <w:basedOn w:val="1"/>
    <w:qFormat/>
    <w:uiPriority w:val="0"/>
    <w:pPr>
      <w:widowControl/>
      <w:spacing w:before="100" w:beforeAutospacing="1" w:after="100" w:afterAutospacing="1"/>
      <w:jc w:val="left"/>
    </w:pPr>
    <w:rPr>
      <w:rFonts w:ascii="宋体" w:hAnsi="宋体"/>
      <w:color w:val="000000"/>
      <w:kern w:val="0"/>
      <w:sz w:val="24"/>
      <w:szCs w:val="24"/>
    </w:rPr>
  </w:style>
  <w:style w:type="paragraph" w:customStyle="1" w:styleId="1729">
    <w:name w:val="hao01-0"/>
    <w:qFormat/>
    <w:uiPriority w:val="0"/>
    <w:pPr>
      <w:ind w:firstLine="200" w:firstLineChars="200"/>
    </w:pPr>
    <w:rPr>
      <w:rFonts w:ascii="Times New Roman" w:hAnsi="Times New Roman" w:eastAsia="宋体" w:cs="Times New Roman"/>
      <w:kern w:val="2"/>
      <w:sz w:val="24"/>
      <w:lang w:val="en-US" w:eastAsia="zh-CN" w:bidi="ar-SA"/>
    </w:rPr>
  </w:style>
  <w:style w:type="paragraph" w:customStyle="1" w:styleId="1730">
    <w:name w:val="公标题2"/>
    <w:basedOn w:val="1"/>
    <w:qFormat/>
    <w:uiPriority w:val="0"/>
    <w:pPr>
      <w:adjustRightInd w:val="0"/>
      <w:snapToGrid w:val="0"/>
      <w:spacing w:beforeLines="50" w:line="352" w:lineRule="auto"/>
      <w:ind w:firstLine="200" w:firstLineChars="200"/>
      <w:outlineLvl w:val="1"/>
    </w:pPr>
    <w:rPr>
      <w:rFonts w:ascii="黑体" w:hAnsi="宋体" w:eastAsia="黑体"/>
      <w:sz w:val="32"/>
      <w:szCs w:val="28"/>
    </w:rPr>
  </w:style>
  <w:style w:type="paragraph" w:customStyle="1" w:styleId="1731">
    <w:name w:val="样式 样式 宋体 小四 黑色 行距: 1.5 倍行距 + 首行缩进:  0.95 厘米"/>
    <w:basedOn w:val="1"/>
    <w:qFormat/>
    <w:uiPriority w:val="0"/>
    <w:pPr>
      <w:adjustRightInd w:val="0"/>
      <w:spacing w:line="360" w:lineRule="auto"/>
      <w:ind w:firstLine="540"/>
    </w:pPr>
    <w:rPr>
      <w:rFonts w:ascii="宋体" w:hAnsi="宋体" w:cs="宋体"/>
      <w:color w:val="000000"/>
      <w:sz w:val="28"/>
      <w:szCs w:val="20"/>
    </w:rPr>
  </w:style>
  <w:style w:type="paragraph" w:customStyle="1" w:styleId="1732">
    <w:name w:val="样式 宋体 首行缩进:  0.74 厘米"/>
    <w:basedOn w:val="1"/>
    <w:qFormat/>
    <w:uiPriority w:val="0"/>
    <w:pPr>
      <w:adjustRightInd w:val="0"/>
      <w:spacing w:line="360" w:lineRule="auto"/>
      <w:ind w:firstLine="420"/>
    </w:pPr>
    <w:rPr>
      <w:rFonts w:ascii="宋体" w:hAnsi="宋体" w:cs="宋体"/>
      <w:sz w:val="24"/>
      <w:szCs w:val="20"/>
    </w:rPr>
  </w:style>
  <w:style w:type="paragraph" w:customStyle="1" w:styleId="1733">
    <w:name w:val="样式 四号 首行缩进:  0.92 厘米 行距: 固定值 26 磅"/>
    <w:basedOn w:val="1"/>
    <w:qFormat/>
    <w:uiPriority w:val="0"/>
    <w:pPr>
      <w:spacing w:line="520" w:lineRule="exact"/>
      <w:ind w:firstLine="480" w:firstLineChars="200"/>
    </w:pPr>
    <w:rPr>
      <w:color w:val="000000"/>
      <w:sz w:val="24"/>
      <w:szCs w:val="24"/>
    </w:rPr>
  </w:style>
  <w:style w:type="paragraph" w:customStyle="1" w:styleId="1734">
    <w:name w:val="样式 宋体 小四"/>
    <w:basedOn w:val="1"/>
    <w:qFormat/>
    <w:uiPriority w:val="0"/>
    <w:pPr>
      <w:ind w:firstLine="480" w:firstLineChars="200"/>
    </w:pPr>
    <w:rPr>
      <w:rFonts w:ascii="宋体" w:hAnsi="宋体" w:cs="宋体"/>
      <w:sz w:val="28"/>
      <w:szCs w:val="20"/>
    </w:rPr>
  </w:style>
  <w:style w:type="paragraph" w:customStyle="1" w:styleId="1735">
    <w:name w:val="样式 样式 样式 宋体 四号 行距: 1.5 倍行距 + 首行缩进:  2 字符 段后: 0.5 行 + 首行缩进:  2 字符2"/>
    <w:basedOn w:val="1"/>
    <w:qFormat/>
    <w:uiPriority w:val="0"/>
    <w:pPr>
      <w:snapToGrid w:val="0"/>
      <w:spacing w:line="360" w:lineRule="auto"/>
      <w:ind w:firstLine="480" w:firstLineChars="200"/>
    </w:pPr>
    <w:rPr>
      <w:rFonts w:ascii="宋体" w:hAnsi="宋体" w:cs="宋体"/>
      <w:sz w:val="26"/>
      <w:szCs w:val="20"/>
    </w:rPr>
  </w:style>
  <w:style w:type="paragraph" w:customStyle="1" w:styleId="1736">
    <w:name w:val="四级标题"/>
    <w:basedOn w:val="5"/>
    <w:qFormat/>
    <w:uiPriority w:val="0"/>
    <w:pPr>
      <w:spacing w:line="360" w:lineRule="auto"/>
      <w:ind w:left="41" w:hanging="41" w:hangingChars="17"/>
      <w:outlineLvl w:val="9"/>
    </w:pPr>
    <w:rPr>
      <w:rFonts w:eastAsia="黑体"/>
      <w:bCs/>
      <w:sz w:val="24"/>
      <w:szCs w:val="24"/>
    </w:rPr>
  </w:style>
  <w:style w:type="paragraph" w:customStyle="1" w:styleId="1737">
    <w:name w:val="样式 样式 正文 1 + 首行缩进:  2 字符 + 首行缩进:  2 字符"/>
    <w:basedOn w:val="1"/>
    <w:qFormat/>
    <w:uiPriority w:val="0"/>
    <w:pPr>
      <w:adjustRightInd w:val="0"/>
      <w:spacing w:line="540" w:lineRule="exact"/>
      <w:ind w:firstLine="200" w:firstLineChars="200"/>
    </w:pPr>
    <w:rPr>
      <w:rFonts w:cs="宋体"/>
      <w:sz w:val="28"/>
      <w:szCs w:val="20"/>
    </w:rPr>
  </w:style>
  <w:style w:type="paragraph" w:customStyle="1" w:styleId="1738">
    <w:name w:val="样式 四号 段后: 6 磅 行距: 1.5 倍行距"/>
    <w:basedOn w:val="1"/>
    <w:qFormat/>
    <w:uiPriority w:val="0"/>
    <w:pPr>
      <w:spacing w:after="120" w:line="360" w:lineRule="auto"/>
      <w:ind w:firstLine="560" w:firstLineChars="200"/>
    </w:pPr>
    <w:rPr>
      <w:rFonts w:cs="宋体"/>
      <w:sz w:val="26"/>
      <w:szCs w:val="20"/>
    </w:rPr>
  </w:style>
  <w:style w:type="paragraph" w:customStyle="1" w:styleId="1739">
    <w:name w:val="样式 文章1 + 首行缩进:  6 字符1"/>
    <w:basedOn w:val="1"/>
    <w:qFormat/>
    <w:uiPriority w:val="0"/>
    <w:pPr>
      <w:spacing w:line="600" w:lineRule="exact"/>
      <w:ind w:firstLine="200" w:firstLineChars="200"/>
    </w:pPr>
    <w:rPr>
      <w:sz w:val="28"/>
      <w:szCs w:val="20"/>
    </w:rPr>
  </w:style>
  <w:style w:type="paragraph" w:customStyle="1" w:styleId="1740">
    <w:name w:val="Char Char Char Char Char Char Char Char Char Char Char Char"/>
    <w:basedOn w:val="1"/>
    <w:qFormat/>
    <w:uiPriority w:val="0"/>
    <w:pPr>
      <w:adjustRightInd w:val="0"/>
      <w:spacing w:line="360" w:lineRule="auto"/>
    </w:pPr>
    <w:rPr>
      <w:kern w:val="0"/>
      <w:sz w:val="24"/>
      <w:szCs w:val="20"/>
    </w:rPr>
  </w:style>
  <w:style w:type="paragraph" w:customStyle="1" w:styleId="1741">
    <w:name w:val="样式 标题 1 + Times New Roman 加粗"/>
    <w:basedOn w:val="3"/>
    <w:qFormat/>
    <w:uiPriority w:val="0"/>
    <w:pPr>
      <w:pageBreakBefore/>
      <w:suppressLineNumbers/>
      <w:spacing w:beforeLines="50" w:afterLines="50" w:line="240" w:lineRule="auto"/>
      <w:ind w:left="-76" w:hanging="284"/>
      <w:jc w:val="left"/>
    </w:pPr>
    <w:rPr>
      <w:rFonts w:ascii="黑体" w:eastAsia="黑体"/>
      <w:sz w:val="30"/>
    </w:rPr>
  </w:style>
  <w:style w:type="paragraph" w:customStyle="1" w:styleId="1742">
    <w:name w:val="样式 (中文) 仿宋_GB2312 小四 行距: 1.5 倍行距1"/>
    <w:basedOn w:val="1"/>
    <w:qFormat/>
    <w:uiPriority w:val="0"/>
    <w:pPr>
      <w:spacing w:line="360" w:lineRule="auto"/>
      <w:ind w:firstLine="480" w:firstLineChars="200"/>
      <w:jc w:val="left"/>
    </w:pPr>
    <w:rPr>
      <w:rFonts w:ascii="仿宋_GB2312" w:eastAsia="仿宋_GB2312" w:cs="宋体"/>
      <w:sz w:val="24"/>
      <w:szCs w:val="24"/>
    </w:rPr>
  </w:style>
  <w:style w:type="paragraph" w:customStyle="1" w:styleId="1743">
    <w:name w:val="样式 (中文) 仿宋_GB2312 居中1"/>
    <w:basedOn w:val="1"/>
    <w:qFormat/>
    <w:uiPriority w:val="0"/>
    <w:pPr>
      <w:jc w:val="center"/>
    </w:pPr>
    <w:rPr>
      <w:rFonts w:eastAsia="仿宋_GB2312" w:cs="宋体"/>
      <w:sz w:val="28"/>
      <w:szCs w:val="20"/>
    </w:rPr>
  </w:style>
  <w:style w:type="paragraph" w:customStyle="1" w:styleId="1744">
    <w:name w:val="样式 样式 (中文) 仿宋_GB2312 居中1 + 小四"/>
    <w:basedOn w:val="1743"/>
    <w:qFormat/>
    <w:uiPriority w:val="0"/>
    <w:rPr>
      <w:rFonts w:ascii="宋体" w:hAnsi="宋体" w:eastAsia="宋体"/>
      <w:sz w:val="21"/>
      <w:szCs w:val="21"/>
    </w:rPr>
  </w:style>
  <w:style w:type="paragraph" w:customStyle="1" w:styleId="1745">
    <w:name w:val="样式 样式 (中文) 仿宋_GB2312 小四 行距: 1.5 倍行距 + 首行缩进:  2 字符"/>
    <w:basedOn w:val="1"/>
    <w:qFormat/>
    <w:uiPriority w:val="0"/>
    <w:pPr>
      <w:spacing w:line="360" w:lineRule="auto"/>
      <w:ind w:firstLine="480" w:firstLineChars="200"/>
    </w:pPr>
    <w:rPr>
      <w:rFonts w:ascii="仿宋_GB2312" w:eastAsia="仿宋_GB2312" w:cs="宋体"/>
      <w:sz w:val="24"/>
      <w:szCs w:val="24"/>
    </w:rPr>
  </w:style>
  <w:style w:type="paragraph" w:customStyle="1" w:styleId="1746">
    <w:name w:val="14"/>
    <w:basedOn w:val="1"/>
    <w:next w:val="41"/>
    <w:qFormat/>
    <w:uiPriority w:val="0"/>
    <w:pPr>
      <w:widowControl/>
      <w:jc w:val="left"/>
    </w:pPr>
    <w:rPr>
      <w:rFonts w:ascii="宋体" w:hAnsi="Courier New"/>
      <w:kern w:val="0"/>
      <w:szCs w:val="20"/>
    </w:rPr>
  </w:style>
  <w:style w:type="paragraph" w:customStyle="1" w:styleId="1747">
    <w:name w:val="13"/>
    <w:basedOn w:val="1"/>
    <w:next w:val="31"/>
    <w:qFormat/>
    <w:uiPriority w:val="0"/>
    <w:pPr>
      <w:widowControl/>
      <w:jc w:val="center"/>
    </w:pPr>
    <w:rPr>
      <w:kern w:val="0"/>
      <w:sz w:val="28"/>
      <w:szCs w:val="20"/>
    </w:rPr>
  </w:style>
  <w:style w:type="paragraph" w:customStyle="1" w:styleId="1748">
    <w:name w:val="12"/>
    <w:basedOn w:val="1"/>
    <w:next w:val="19"/>
    <w:qFormat/>
    <w:uiPriority w:val="0"/>
    <w:pPr>
      <w:adjustRightInd w:val="0"/>
      <w:spacing w:line="312" w:lineRule="atLeast"/>
      <w:ind w:firstLine="420"/>
    </w:pPr>
    <w:rPr>
      <w:kern w:val="0"/>
      <w:sz w:val="28"/>
      <w:szCs w:val="20"/>
    </w:rPr>
  </w:style>
  <w:style w:type="paragraph" w:customStyle="1" w:styleId="1749">
    <w:name w:val="Char Char Char Char Char Char1"/>
    <w:basedOn w:val="1"/>
    <w:qFormat/>
    <w:uiPriority w:val="0"/>
    <w:rPr>
      <w:szCs w:val="24"/>
    </w:rPr>
  </w:style>
  <w:style w:type="paragraph" w:customStyle="1" w:styleId="1750">
    <w:name w:val="文字"/>
    <w:basedOn w:val="1"/>
    <w:qFormat/>
    <w:uiPriority w:val="0"/>
    <w:pPr>
      <w:spacing w:line="360" w:lineRule="auto"/>
    </w:pPr>
    <w:rPr>
      <w:sz w:val="24"/>
      <w:szCs w:val="24"/>
    </w:rPr>
  </w:style>
  <w:style w:type="paragraph" w:customStyle="1" w:styleId="1751">
    <w:name w:val="ec_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52">
    <w:name w:val="Char Char Char Char Char Char Char Char Char Char Char Char1 Char"/>
    <w:basedOn w:val="1"/>
    <w:qFormat/>
    <w:uiPriority w:val="0"/>
    <w:pPr>
      <w:spacing w:line="360" w:lineRule="auto"/>
      <w:ind w:firstLine="200" w:firstLineChars="200"/>
    </w:pPr>
    <w:rPr>
      <w:rFonts w:ascii="宋体" w:hAnsi="宋体" w:cs="宋体"/>
      <w:sz w:val="24"/>
      <w:szCs w:val="24"/>
    </w:rPr>
  </w:style>
  <w:style w:type="paragraph" w:customStyle="1" w:styleId="1753">
    <w:name w:val="CM20"/>
    <w:basedOn w:val="101"/>
    <w:next w:val="101"/>
    <w:qFormat/>
    <w:uiPriority w:val="0"/>
    <w:pPr>
      <w:spacing w:after="148"/>
    </w:pPr>
    <w:rPr>
      <w:rFonts w:ascii="黑体" w:eastAsia="黑体" w:cs="Times New Roman"/>
      <w:color w:val="auto"/>
      <w:sz w:val="20"/>
    </w:rPr>
  </w:style>
  <w:style w:type="paragraph" w:customStyle="1" w:styleId="1754">
    <w:name w:val="CM5"/>
    <w:basedOn w:val="101"/>
    <w:next w:val="101"/>
    <w:qFormat/>
    <w:uiPriority w:val="0"/>
    <w:pPr>
      <w:spacing w:line="460" w:lineRule="atLeast"/>
    </w:pPr>
    <w:rPr>
      <w:rFonts w:ascii="黑体" w:eastAsia="黑体" w:cs="Times New Roman"/>
      <w:color w:val="auto"/>
      <w:sz w:val="20"/>
    </w:rPr>
  </w:style>
  <w:style w:type="paragraph" w:customStyle="1" w:styleId="1755">
    <w:name w:val="CM8"/>
    <w:basedOn w:val="101"/>
    <w:next w:val="101"/>
    <w:qFormat/>
    <w:uiPriority w:val="0"/>
    <w:pPr>
      <w:spacing w:line="460" w:lineRule="atLeast"/>
    </w:pPr>
    <w:rPr>
      <w:rFonts w:ascii="黑体" w:eastAsia="黑体" w:cs="Times New Roman"/>
      <w:color w:val="auto"/>
      <w:sz w:val="20"/>
    </w:rPr>
  </w:style>
  <w:style w:type="paragraph" w:customStyle="1" w:styleId="1756">
    <w:name w:val="CM4"/>
    <w:basedOn w:val="101"/>
    <w:next w:val="101"/>
    <w:qFormat/>
    <w:uiPriority w:val="0"/>
    <w:pPr>
      <w:spacing w:line="460" w:lineRule="atLeast"/>
    </w:pPr>
    <w:rPr>
      <w:rFonts w:ascii="黑体" w:eastAsia="黑体" w:cs="Times New Roman"/>
      <w:color w:val="auto"/>
      <w:sz w:val="20"/>
    </w:rPr>
  </w:style>
  <w:style w:type="paragraph" w:customStyle="1" w:styleId="1757">
    <w:name w:val="CM11"/>
    <w:basedOn w:val="101"/>
    <w:next w:val="101"/>
    <w:qFormat/>
    <w:uiPriority w:val="0"/>
    <w:pPr>
      <w:spacing w:line="460" w:lineRule="atLeast"/>
    </w:pPr>
    <w:rPr>
      <w:rFonts w:ascii="黑体" w:eastAsia="黑体" w:cs="Times New Roman"/>
      <w:color w:val="auto"/>
      <w:sz w:val="20"/>
    </w:rPr>
  </w:style>
  <w:style w:type="paragraph" w:customStyle="1" w:styleId="1758">
    <w:name w:val="바탕글"/>
    <w:qFormat/>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5" w:lineRule="auto"/>
      <w:jc w:val="both"/>
    </w:pPr>
    <w:rPr>
      <w:rFonts w:ascii="Batang" w:hAnsi="Times New Roman" w:eastAsia="Batang" w:cs="Times New Roman"/>
      <w:color w:val="000000"/>
      <w:sz w:val="21"/>
      <w:lang w:val="en-US" w:eastAsia="ko-KR" w:bidi="ar-SA"/>
    </w:rPr>
  </w:style>
  <w:style w:type="paragraph" w:customStyle="1" w:styleId="1759">
    <w:name w:val="back-page-top1"/>
    <w:basedOn w:val="1"/>
    <w:qFormat/>
    <w:uiPriority w:val="0"/>
    <w:pPr>
      <w:widowControl/>
      <w:spacing w:before="100" w:beforeAutospacing="1" w:after="100" w:afterAutospacing="1" w:line="226" w:lineRule="atLeast"/>
      <w:jc w:val="right"/>
    </w:pPr>
    <w:rPr>
      <w:rFonts w:ascii="宋体" w:hAnsi="宋体"/>
      <w:kern w:val="0"/>
      <w:sz w:val="17"/>
      <w:szCs w:val="17"/>
    </w:rPr>
  </w:style>
  <w:style w:type="paragraph" w:customStyle="1" w:styleId="1760">
    <w:name w:val="圖一"/>
    <w:basedOn w:val="20"/>
    <w:qFormat/>
    <w:uiPriority w:val="0"/>
    <w:pPr>
      <w:spacing w:line="500" w:lineRule="exact"/>
      <w:jc w:val="center"/>
    </w:pPr>
    <w:rPr>
      <w:rFonts w:ascii="Times New Roman" w:hAnsi="Times New Roman" w:eastAsia="DFKai-SB" w:cs="Arial"/>
      <w:b/>
      <w:bCs/>
      <w:kern w:val="0"/>
      <w:sz w:val="30"/>
      <w:szCs w:val="30"/>
      <w:lang w:eastAsia="zh-TW"/>
    </w:rPr>
  </w:style>
  <w:style w:type="paragraph" w:customStyle="1" w:styleId="1761">
    <w:name w:val="unnamed3"/>
    <w:basedOn w:val="1"/>
    <w:qFormat/>
    <w:uiPriority w:val="0"/>
    <w:pPr>
      <w:widowControl/>
      <w:spacing w:before="100" w:beforeAutospacing="1" w:after="100" w:afterAutospacing="1" w:line="408" w:lineRule="auto"/>
      <w:jc w:val="left"/>
    </w:pPr>
    <w:rPr>
      <w:rFonts w:ascii="宋体" w:hAnsi="宋体"/>
      <w:color w:val="000000"/>
      <w:kern w:val="0"/>
      <w:sz w:val="20"/>
      <w:szCs w:val="20"/>
    </w:rPr>
  </w:style>
  <w:style w:type="paragraph" w:customStyle="1" w:styleId="1762">
    <w:name w:val="批注框文本1"/>
    <w:basedOn w:val="1"/>
    <w:qFormat/>
    <w:uiPriority w:val="0"/>
    <w:rPr>
      <w:sz w:val="18"/>
      <w:szCs w:val="18"/>
    </w:rPr>
  </w:style>
  <w:style w:type="paragraph" w:customStyle="1" w:styleId="1763">
    <w:name w:val="标题11"/>
    <w:basedOn w:val="1"/>
    <w:qFormat/>
    <w:uiPriority w:val="0"/>
    <w:pPr>
      <w:tabs>
        <w:tab w:val="left" w:pos="420"/>
      </w:tabs>
      <w:spacing w:beforeLines="100" w:after="120" w:line="360" w:lineRule="auto"/>
      <w:ind w:left="840" w:hanging="420"/>
    </w:pPr>
    <w:rPr>
      <w:rFonts w:ascii="宋体"/>
      <w:b/>
      <w:bCs/>
      <w:sz w:val="28"/>
      <w:szCs w:val="20"/>
    </w:rPr>
  </w:style>
  <w:style w:type="paragraph" w:customStyle="1" w:styleId="1764">
    <w:name w:val="正文文本 33"/>
    <w:basedOn w:val="1"/>
    <w:qFormat/>
    <w:uiPriority w:val="0"/>
    <w:pPr>
      <w:autoSpaceDE w:val="0"/>
      <w:autoSpaceDN w:val="0"/>
      <w:adjustRightInd w:val="0"/>
      <w:spacing w:line="312" w:lineRule="atLeast"/>
      <w:jc w:val="center"/>
    </w:pPr>
    <w:rPr>
      <w:rFonts w:ascii="楷体" w:eastAsia="楷体"/>
      <w:kern w:val="0"/>
      <w:sz w:val="28"/>
      <w:szCs w:val="20"/>
    </w:rPr>
  </w:style>
  <w:style w:type="paragraph" w:customStyle="1" w:styleId="1765">
    <w:name w:val="Char Char Char Char Char Char Char Char Char1"/>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1766">
    <w:name w:val="Char Char Char Char Char Char Char Char Char Char Char Char Char Char Char Char Char Char Char1"/>
    <w:basedOn w:val="1"/>
    <w:qFormat/>
    <w:uiPriority w:val="0"/>
    <w:rPr>
      <w:sz w:val="32"/>
      <w:szCs w:val="32"/>
    </w:rPr>
  </w:style>
  <w:style w:type="paragraph" w:customStyle="1" w:styleId="1767">
    <w:name w:val="默认段落字体 Para Char Char Char Char Char Char Char Char Char Char Char Char Char1 Char"/>
    <w:basedOn w:val="23"/>
    <w:qFormat/>
    <w:uiPriority w:val="0"/>
    <w:pPr>
      <w:shd w:val="clear" w:color="auto" w:fill="000080"/>
    </w:pPr>
    <w:rPr>
      <w:rFonts w:hint="eastAsia" w:ascii="Tahoma" w:hAnsi="Tahoma"/>
      <w:kern w:val="0"/>
      <w:sz w:val="24"/>
      <w:szCs w:val="24"/>
    </w:rPr>
  </w:style>
  <w:style w:type="paragraph" w:customStyle="1" w:styleId="1768">
    <w:name w:val="正文 32"/>
    <w:basedOn w:val="1"/>
    <w:qFormat/>
    <w:uiPriority w:val="0"/>
    <w:pPr>
      <w:autoSpaceDE w:val="0"/>
      <w:autoSpaceDN w:val="0"/>
      <w:adjustRightInd w:val="0"/>
      <w:spacing w:line="360" w:lineRule="auto"/>
      <w:ind w:firstLine="567"/>
      <w:jc w:val="left"/>
    </w:pPr>
    <w:rPr>
      <w:rFonts w:eastAsia="楷体"/>
      <w:kern w:val="0"/>
      <w:sz w:val="24"/>
      <w:szCs w:val="20"/>
    </w:rPr>
  </w:style>
  <w:style w:type="paragraph" w:customStyle="1" w:styleId="1769">
    <w:name w:val="表1表2"/>
    <w:basedOn w:val="1"/>
    <w:qFormat/>
    <w:uiPriority w:val="0"/>
    <w:pPr>
      <w:topLinePunct/>
      <w:autoSpaceDE w:val="0"/>
      <w:autoSpaceDN w:val="0"/>
      <w:adjustRightInd w:val="0"/>
      <w:spacing w:line="360" w:lineRule="auto"/>
      <w:ind w:firstLine="425"/>
      <w:jc w:val="center"/>
    </w:pPr>
    <w:rPr>
      <w:rFonts w:eastAsia="仿宋体"/>
      <w:kern w:val="0"/>
      <w:sz w:val="24"/>
      <w:szCs w:val="20"/>
    </w:rPr>
  </w:style>
  <w:style w:type="paragraph" w:customStyle="1" w:styleId="1770">
    <w:name w:val="Char Char Char Char Char1"/>
    <w:basedOn w:val="1"/>
    <w:qFormat/>
    <w:uiPriority w:val="0"/>
    <w:pPr>
      <w:widowControl/>
      <w:spacing w:after="160" w:line="240" w:lineRule="exact"/>
      <w:jc w:val="left"/>
    </w:pPr>
    <w:rPr>
      <w:rFonts w:ascii="Verdana" w:hAnsi="Verdana"/>
      <w:kern w:val="0"/>
      <w:szCs w:val="20"/>
      <w:lang w:eastAsia="en-US"/>
    </w:rPr>
  </w:style>
  <w:style w:type="paragraph" w:customStyle="1" w:styleId="1771">
    <w:name w:val="MYBODY"/>
    <w:basedOn w:val="1"/>
    <w:qFormat/>
    <w:uiPriority w:val="0"/>
    <w:pPr>
      <w:adjustRightInd w:val="0"/>
      <w:spacing w:line="360" w:lineRule="auto"/>
      <w:ind w:firstLine="225" w:firstLineChars="225"/>
      <w:jc w:val="left"/>
      <w:outlineLvl w:val="2"/>
    </w:pPr>
    <w:rPr>
      <w:rFonts w:ascii="宋体"/>
      <w:kern w:val="0"/>
      <w:sz w:val="24"/>
      <w:szCs w:val="24"/>
    </w:rPr>
  </w:style>
  <w:style w:type="paragraph" w:customStyle="1" w:styleId="1772">
    <w:name w:val="L1"/>
    <w:basedOn w:val="1"/>
    <w:qFormat/>
    <w:uiPriority w:val="0"/>
    <w:pPr>
      <w:tabs>
        <w:tab w:val="left" w:pos="425"/>
      </w:tabs>
      <w:adjustRightInd w:val="0"/>
      <w:spacing w:line="360" w:lineRule="auto"/>
      <w:ind w:left="425" w:hanging="425"/>
      <w:outlineLvl w:val="0"/>
    </w:pPr>
    <w:rPr>
      <w:b/>
      <w:kern w:val="0"/>
      <w:position w:val="-14"/>
      <w:sz w:val="32"/>
      <w:szCs w:val="32"/>
    </w:rPr>
  </w:style>
  <w:style w:type="paragraph" w:customStyle="1" w:styleId="1773">
    <w:name w:val="...."/>
    <w:basedOn w:val="1"/>
    <w:next w:val="1"/>
    <w:qFormat/>
    <w:uiPriority w:val="0"/>
    <w:pPr>
      <w:autoSpaceDE w:val="0"/>
      <w:autoSpaceDN w:val="0"/>
      <w:adjustRightInd w:val="0"/>
      <w:jc w:val="left"/>
    </w:pPr>
    <w:rPr>
      <w:kern w:val="0"/>
      <w:sz w:val="24"/>
      <w:szCs w:val="24"/>
    </w:rPr>
  </w:style>
  <w:style w:type="paragraph" w:customStyle="1" w:styleId="1774">
    <w:name w:val="样式 标题 3 + 四号"/>
    <w:basedOn w:val="5"/>
    <w:qFormat/>
    <w:uiPriority w:val="0"/>
    <w:pPr>
      <w:tabs>
        <w:tab w:val="left" w:pos="1742"/>
      </w:tabs>
      <w:spacing w:before="120" w:after="120" w:line="360" w:lineRule="auto"/>
    </w:pPr>
    <w:rPr>
      <w:b/>
    </w:rPr>
  </w:style>
  <w:style w:type="paragraph" w:customStyle="1" w:styleId="1775">
    <w:name w:val="Char Char Char Char Char Char Char Char Char Char Char Char Char Char Char Char Char Char1"/>
    <w:basedOn w:val="1"/>
    <w:qFormat/>
    <w:uiPriority w:val="0"/>
    <w:pPr>
      <w:widowControl/>
      <w:spacing w:after="160" w:line="240" w:lineRule="exact"/>
      <w:jc w:val="left"/>
    </w:pPr>
    <w:rPr>
      <w:rFonts w:ascii="Verdana" w:hAnsi="Verdana"/>
      <w:kern w:val="0"/>
      <w:szCs w:val="20"/>
      <w:lang w:eastAsia="en-US"/>
    </w:rPr>
  </w:style>
  <w:style w:type="paragraph" w:customStyle="1" w:styleId="1776">
    <w:name w:val="样式 样式 标题 2H2SeHead wsa21标题 1.1 + 小三 左侧:  0 厘米 首行缩进:  0 厘米 行... +..."/>
    <w:basedOn w:val="1"/>
    <w:qFormat/>
    <w:uiPriority w:val="0"/>
    <w:pPr>
      <w:keepNext/>
      <w:keepLines/>
      <w:snapToGrid w:val="0"/>
      <w:spacing w:beforeLines="50" w:line="360" w:lineRule="auto"/>
      <w:outlineLvl w:val="1"/>
    </w:pPr>
    <w:rPr>
      <w:rFonts w:ascii="宋体"/>
      <w:b/>
      <w:bCs/>
      <w:color w:val="000000"/>
      <w:sz w:val="30"/>
      <w:szCs w:val="20"/>
    </w:rPr>
  </w:style>
  <w:style w:type="paragraph" w:customStyle="1" w:styleId="1777">
    <w:name w:val="正文文本缩进 25"/>
    <w:basedOn w:val="1"/>
    <w:qFormat/>
    <w:uiPriority w:val="0"/>
    <w:pPr>
      <w:adjustRightInd w:val="0"/>
      <w:spacing w:line="348" w:lineRule="auto"/>
      <w:ind w:firstLine="573"/>
    </w:pPr>
    <w:rPr>
      <w:rFonts w:eastAsia="Wingdings"/>
      <w:sz w:val="28"/>
      <w:szCs w:val="20"/>
    </w:rPr>
  </w:style>
  <w:style w:type="paragraph" w:customStyle="1" w:styleId="1778">
    <w:name w:val="款项"/>
    <w:basedOn w:val="1"/>
    <w:qFormat/>
    <w:uiPriority w:val="0"/>
    <w:pPr>
      <w:spacing w:beforeLines="50"/>
    </w:pPr>
    <w:rPr>
      <w:rFonts w:ascii="黑体" w:eastAsia="黑体"/>
      <w:sz w:val="24"/>
      <w:szCs w:val="24"/>
    </w:rPr>
  </w:style>
  <w:style w:type="paragraph" w:customStyle="1" w:styleId="1779">
    <w:name w:val="字元3"/>
    <w:basedOn w:val="1"/>
    <w:qFormat/>
    <w:uiPriority w:val="0"/>
    <w:pPr>
      <w:adjustRightInd w:val="0"/>
      <w:spacing w:line="360" w:lineRule="atLeast"/>
    </w:pPr>
    <w:rPr>
      <w:szCs w:val="24"/>
    </w:rPr>
  </w:style>
  <w:style w:type="paragraph" w:customStyle="1" w:styleId="1780">
    <w:name w:val="图表格式"/>
    <w:basedOn w:val="1"/>
    <w:qFormat/>
    <w:uiPriority w:val="0"/>
    <w:pPr>
      <w:snapToGrid w:val="0"/>
    </w:pPr>
    <w:rPr>
      <w:kern w:val="0"/>
      <w:sz w:val="24"/>
      <w:szCs w:val="20"/>
    </w:rPr>
  </w:style>
  <w:style w:type="paragraph" w:customStyle="1" w:styleId="1781">
    <w:name w:val="表格 3"/>
    <w:basedOn w:val="1"/>
    <w:qFormat/>
    <w:uiPriority w:val="0"/>
    <w:pPr>
      <w:autoSpaceDE w:val="0"/>
      <w:autoSpaceDN w:val="0"/>
      <w:adjustRightInd w:val="0"/>
      <w:jc w:val="center"/>
    </w:pPr>
    <w:rPr>
      <w:kern w:val="0"/>
      <w:sz w:val="18"/>
      <w:szCs w:val="20"/>
    </w:rPr>
  </w:style>
  <w:style w:type="paragraph" w:customStyle="1" w:styleId="1782">
    <w:name w:val="11"/>
    <w:basedOn w:val="1"/>
    <w:next w:val="41"/>
    <w:qFormat/>
    <w:uiPriority w:val="0"/>
    <w:pPr>
      <w:widowControl/>
      <w:jc w:val="left"/>
    </w:pPr>
    <w:rPr>
      <w:rFonts w:ascii="宋体" w:hAnsi="Courier New"/>
      <w:kern w:val="0"/>
      <w:szCs w:val="20"/>
    </w:rPr>
  </w:style>
  <w:style w:type="paragraph" w:customStyle="1" w:styleId="1783">
    <w:name w:val="10"/>
    <w:basedOn w:val="1"/>
    <w:next w:val="41"/>
    <w:qFormat/>
    <w:uiPriority w:val="0"/>
    <w:pPr>
      <w:widowControl/>
      <w:jc w:val="left"/>
    </w:pPr>
    <w:rPr>
      <w:rFonts w:ascii="宋体" w:hAnsi="Courier New"/>
      <w:kern w:val="0"/>
      <w:szCs w:val="20"/>
    </w:rPr>
  </w:style>
  <w:style w:type="paragraph" w:customStyle="1" w:styleId="1784">
    <w:name w:val="正文并列"/>
    <w:basedOn w:val="1"/>
    <w:next w:val="1"/>
    <w:qFormat/>
    <w:uiPriority w:val="0"/>
    <w:pPr>
      <w:snapToGrid w:val="0"/>
      <w:spacing w:line="400" w:lineRule="exact"/>
      <w:ind w:firstLine="200" w:firstLineChars="200"/>
    </w:pPr>
    <w:rPr>
      <w:sz w:val="24"/>
      <w:szCs w:val="20"/>
    </w:rPr>
  </w:style>
  <w:style w:type="paragraph" w:customStyle="1" w:styleId="1785">
    <w:name w:val="黄埔正文"/>
    <w:qFormat/>
    <w:uiPriority w:val="0"/>
    <w:pPr>
      <w:tabs>
        <w:tab w:val="left" w:pos="360"/>
      </w:tabs>
      <w:spacing w:line="360" w:lineRule="auto"/>
      <w:ind w:firstLine="425"/>
      <w:jc w:val="both"/>
    </w:pPr>
    <w:rPr>
      <w:rFonts w:ascii="宋体" w:hAnsi="Times New Roman" w:eastAsia="宋体" w:cs="Times New Roman"/>
      <w:color w:val="000000"/>
      <w:sz w:val="24"/>
      <w:lang w:val="en-US" w:eastAsia="zh-CN" w:bidi="ar-SA"/>
    </w:rPr>
  </w:style>
  <w:style w:type="paragraph" w:customStyle="1" w:styleId="1786">
    <w:name w:val="Char Char Char Char Char Char Char Char Char11"/>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1787">
    <w:name w:val="表格 23"/>
    <w:basedOn w:val="1"/>
    <w:qFormat/>
    <w:uiPriority w:val="0"/>
    <w:pPr>
      <w:autoSpaceDE w:val="0"/>
      <w:autoSpaceDN w:val="0"/>
      <w:adjustRightInd w:val="0"/>
      <w:jc w:val="center"/>
    </w:pPr>
    <w:rPr>
      <w:rFonts w:eastAsia="仿宋体"/>
      <w:kern w:val="0"/>
      <w:szCs w:val="20"/>
    </w:rPr>
  </w:style>
  <w:style w:type="paragraph" w:customStyle="1" w:styleId="1788">
    <w:name w:val="表内容"/>
    <w:basedOn w:val="1"/>
    <w:qFormat/>
    <w:uiPriority w:val="0"/>
    <w:pPr>
      <w:widowControl/>
      <w:adjustRightInd w:val="0"/>
      <w:snapToGrid w:val="0"/>
      <w:jc w:val="center"/>
    </w:pPr>
    <w:rPr>
      <w:kern w:val="0"/>
      <w:szCs w:val="24"/>
    </w:rPr>
  </w:style>
  <w:style w:type="paragraph" w:customStyle="1" w:styleId="1789">
    <w:name w:val="字元 字元 Char Char 字元 字元1"/>
    <w:basedOn w:val="1"/>
    <w:qFormat/>
    <w:uiPriority w:val="0"/>
    <w:rPr>
      <w:sz w:val="24"/>
      <w:szCs w:val="24"/>
    </w:rPr>
  </w:style>
  <w:style w:type="paragraph" w:customStyle="1" w:styleId="1790">
    <w:name w:val="文本框1"/>
    <w:basedOn w:val="1"/>
    <w:qFormat/>
    <w:uiPriority w:val="0"/>
    <w:rPr>
      <w:rFonts w:ascii="宋体" w:hAnsi="宋体"/>
      <w:sz w:val="24"/>
      <w:szCs w:val="20"/>
    </w:rPr>
  </w:style>
  <w:style w:type="paragraph" w:customStyle="1" w:styleId="1791">
    <w:name w:val="样式 正文文本缩进 + 宋体 五号 黑色 全部大写 居中 首行缩进:  0 厘米 段前: 0 磅 行距: 单倍行距"/>
    <w:basedOn w:val="32"/>
    <w:qFormat/>
    <w:uiPriority w:val="0"/>
    <w:pPr>
      <w:adjustRightInd w:val="0"/>
      <w:snapToGrid/>
      <w:spacing w:after="0" w:line="240" w:lineRule="auto"/>
      <w:ind w:left="0" w:leftChars="0" w:firstLine="0" w:firstLineChars="0"/>
      <w:jc w:val="center"/>
    </w:pPr>
    <w:rPr>
      <w:rFonts w:hint="eastAsia" w:cs="宋体"/>
      <w:color w:val="000000"/>
      <w:kern w:val="28"/>
      <w:sz w:val="21"/>
      <w:szCs w:val="21"/>
    </w:rPr>
  </w:style>
  <w:style w:type="paragraph" w:customStyle="1" w:styleId="1792">
    <w:name w:val="样式 正文缩进 + 居中 首行缩进:  0 厘米 段前: 0 磅 行距: 单倍行距"/>
    <w:basedOn w:val="19"/>
    <w:qFormat/>
    <w:uiPriority w:val="0"/>
    <w:pPr>
      <w:adjustRightInd w:val="0"/>
      <w:spacing w:line="240" w:lineRule="auto"/>
      <w:ind w:firstLine="0" w:firstLineChars="0"/>
      <w:jc w:val="center"/>
    </w:pPr>
    <w:rPr>
      <w:rFonts w:eastAsia="Times New Roman" w:cs="宋体"/>
      <w:kern w:val="28"/>
      <w:szCs w:val="24"/>
    </w:rPr>
  </w:style>
  <w:style w:type="paragraph" w:customStyle="1" w:styleId="1793">
    <w:name w:val="样式 标题 3 + (西文) Times New Roman (中文) 宋体 非加粗 段前: 0 磅 行距: 固定值 2..."/>
    <w:basedOn w:val="5"/>
    <w:qFormat/>
    <w:uiPriority w:val="0"/>
    <w:pPr>
      <w:tabs>
        <w:tab w:val="left" w:pos="1742"/>
      </w:tabs>
      <w:autoSpaceDE w:val="0"/>
      <w:autoSpaceDN w:val="0"/>
      <w:adjustRightInd w:val="0"/>
      <w:spacing w:after="120" w:line="460" w:lineRule="exact"/>
      <w:jc w:val="left"/>
    </w:pPr>
    <w:rPr>
      <w:rFonts w:cs="宋体"/>
      <w:bCs/>
      <w:sz w:val="24"/>
      <w:szCs w:val="24"/>
    </w:rPr>
  </w:style>
  <w:style w:type="paragraph" w:customStyle="1" w:styleId="1794">
    <w:name w:val="川岛插图"/>
    <w:basedOn w:val="1"/>
    <w:qFormat/>
    <w:uiPriority w:val="0"/>
    <w:pPr>
      <w:spacing w:line="360" w:lineRule="auto"/>
      <w:ind w:firstLine="480" w:firstLineChars="200"/>
      <w:jc w:val="center"/>
    </w:pPr>
    <w:rPr>
      <w:color w:val="000000"/>
      <w:sz w:val="24"/>
      <w:szCs w:val="20"/>
    </w:rPr>
  </w:style>
  <w:style w:type="paragraph" w:customStyle="1" w:styleId="1795">
    <w:name w:val="样式 标题 2标题 2 Char Char + 宋体1"/>
    <w:basedOn w:val="4"/>
    <w:qFormat/>
    <w:uiPriority w:val="0"/>
    <w:pPr>
      <w:widowControl/>
      <w:tabs>
        <w:tab w:val="right" w:pos="8640"/>
      </w:tabs>
      <w:overflowPunct w:val="0"/>
      <w:autoSpaceDE w:val="0"/>
      <w:autoSpaceDN w:val="0"/>
      <w:adjustRightInd w:val="0"/>
      <w:spacing w:before="120" w:after="120" w:line="440" w:lineRule="exact"/>
      <w:jc w:val="left"/>
    </w:pPr>
    <w:rPr>
      <w:rFonts w:ascii="宋体" w:hAnsi="宋体"/>
      <w:b w:val="0"/>
      <w:bCs/>
      <w:kern w:val="28"/>
      <w:sz w:val="24"/>
      <w:szCs w:val="24"/>
    </w:rPr>
  </w:style>
  <w:style w:type="paragraph" w:customStyle="1" w:styleId="1796">
    <w:name w:val="样式 标题 3 + 宋体1"/>
    <w:basedOn w:val="5"/>
    <w:qFormat/>
    <w:uiPriority w:val="0"/>
    <w:pPr>
      <w:tabs>
        <w:tab w:val="left" w:pos="1050"/>
        <w:tab w:val="left" w:pos="1742"/>
      </w:tabs>
      <w:adjustRightInd w:val="0"/>
      <w:spacing w:before="120" w:after="120" w:line="416" w:lineRule="atLeast"/>
    </w:pPr>
    <w:rPr>
      <w:rFonts w:ascii="宋体" w:hAnsi="宋体"/>
      <w:bCs/>
      <w:kern w:val="28"/>
      <w:sz w:val="24"/>
      <w:szCs w:val="24"/>
    </w:rPr>
  </w:style>
  <w:style w:type="paragraph" w:customStyle="1" w:styleId="1797">
    <w:name w:val="注解"/>
    <w:basedOn w:val="1"/>
    <w:qFormat/>
    <w:uiPriority w:val="0"/>
    <w:pPr>
      <w:adjustRightInd w:val="0"/>
      <w:snapToGrid w:val="0"/>
      <w:ind w:left="624" w:right="170" w:hanging="454"/>
    </w:pPr>
    <w:rPr>
      <w:rFonts w:ascii="宋体" w:hAnsi="宋体"/>
      <w:color w:val="000000"/>
      <w:sz w:val="15"/>
      <w:szCs w:val="20"/>
    </w:rPr>
  </w:style>
  <w:style w:type="paragraph" w:customStyle="1" w:styleId="1798">
    <w:name w:val="样式 标题 1 + 宋体"/>
    <w:basedOn w:val="3"/>
    <w:qFormat/>
    <w:uiPriority w:val="0"/>
    <w:pPr>
      <w:widowControl/>
      <w:tabs>
        <w:tab w:val="left" w:pos="0"/>
        <w:tab w:val="left" w:pos="1050"/>
        <w:tab w:val="right" w:pos="8640"/>
      </w:tabs>
      <w:overflowPunct w:val="0"/>
      <w:autoSpaceDE w:val="0"/>
      <w:autoSpaceDN w:val="0"/>
      <w:adjustRightInd w:val="0"/>
      <w:spacing w:before="120" w:after="120" w:line="440" w:lineRule="exact"/>
      <w:ind w:left="432" w:hanging="432"/>
      <w:jc w:val="left"/>
    </w:pPr>
    <w:rPr>
      <w:rFonts w:ascii="宋体" w:hAnsi="宋体"/>
      <w:kern w:val="28"/>
      <w:sz w:val="30"/>
    </w:rPr>
  </w:style>
  <w:style w:type="paragraph" w:customStyle="1" w:styleId="1799">
    <w:name w:val="样式 标题 4 + 宋体 小四 非加粗"/>
    <w:basedOn w:val="6"/>
    <w:qFormat/>
    <w:uiPriority w:val="0"/>
    <w:pPr>
      <w:tabs>
        <w:tab w:val="left" w:pos="0"/>
      </w:tabs>
      <w:adjustRightInd w:val="0"/>
      <w:snapToGrid w:val="0"/>
      <w:spacing w:before="160" w:after="170" w:line="240" w:lineRule="auto"/>
      <w:ind w:left="100" w:leftChars="100" w:right="100" w:rightChars="100"/>
      <w:jc w:val="left"/>
    </w:pPr>
    <w:rPr>
      <w:rFonts w:ascii="宋体" w:hAnsi="宋体"/>
      <w:bCs/>
      <w:sz w:val="24"/>
      <w:lang w:val="zh-CN"/>
    </w:rPr>
  </w:style>
  <w:style w:type="paragraph" w:customStyle="1" w:styleId="1800">
    <w:name w:val="字元 字元"/>
    <w:basedOn w:val="1"/>
    <w:qFormat/>
    <w:uiPriority w:val="0"/>
    <w:rPr>
      <w:sz w:val="24"/>
      <w:szCs w:val="24"/>
    </w:rPr>
  </w:style>
  <w:style w:type="paragraph" w:customStyle="1" w:styleId="1801">
    <w:name w:val="封面1"/>
    <w:basedOn w:val="3"/>
    <w:qFormat/>
    <w:uiPriority w:val="0"/>
    <w:pPr>
      <w:autoSpaceDE w:val="0"/>
      <w:autoSpaceDN w:val="0"/>
      <w:adjustRightInd w:val="0"/>
      <w:spacing w:line="420" w:lineRule="auto"/>
      <w:ind w:left="-76" w:firstLine="288"/>
      <w:outlineLvl w:val="9"/>
    </w:pPr>
    <w:rPr>
      <w:rFonts w:ascii="宋体" w:hAnsi="Arial" w:eastAsia="楷体_GB2312"/>
      <w:b w:val="0"/>
      <w:bCs/>
      <w:w w:val="150"/>
    </w:rPr>
  </w:style>
  <w:style w:type="paragraph" w:customStyle="1" w:styleId="1802">
    <w:name w:val="样式 样式 标题 3 + 右侧:  0.42 厘米 + 右侧:  1 字符"/>
    <w:basedOn w:val="1"/>
    <w:qFormat/>
    <w:uiPriority w:val="0"/>
    <w:pPr>
      <w:keepNext/>
      <w:keepLines/>
      <w:tabs>
        <w:tab w:val="left" w:pos="180"/>
      </w:tabs>
      <w:autoSpaceDE w:val="0"/>
      <w:autoSpaceDN w:val="0"/>
      <w:adjustRightInd w:val="0"/>
      <w:snapToGrid w:val="0"/>
      <w:spacing w:before="240" w:after="120" w:line="300" w:lineRule="auto"/>
      <w:ind w:left="180" w:leftChars="-42" w:right="476" w:hanging="281" w:hangingChars="100"/>
      <w:jc w:val="left"/>
      <w:outlineLvl w:val="2"/>
    </w:pPr>
    <w:rPr>
      <w:rFonts w:ascii="宋体" w:hAnsi="宋体"/>
      <w:b/>
      <w:bCs/>
      <w:sz w:val="28"/>
      <w:szCs w:val="20"/>
    </w:rPr>
  </w:style>
  <w:style w:type="paragraph" w:customStyle="1" w:styleId="1803">
    <w:name w:val="样式 标题 2 + 宋体"/>
    <w:basedOn w:val="4"/>
    <w:qFormat/>
    <w:uiPriority w:val="0"/>
    <w:pPr>
      <w:widowControl/>
      <w:tabs>
        <w:tab w:val="left" w:pos="992"/>
        <w:tab w:val="right" w:pos="8640"/>
      </w:tabs>
      <w:overflowPunct w:val="0"/>
      <w:autoSpaceDE w:val="0"/>
      <w:autoSpaceDN w:val="0"/>
      <w:adjustRightInd w:val="0"/>
      <w:spacing w:beforeLines="50" w:after="240" w:line="360" w:lineRule="auto"/>
      <w:ind w:left="1984" w:right="964" w:hanging="567"/>
      <w:jc w:val="left"/>
    </w:pPr>
    <w:rPr>
      <w:rFonts w:ascii="宋体" w:hAnsi="宋体"/>
      <w:bCs/>
      <w:kern w:val="28"/>
    </w:rPr>
  </w:style>
  <w:style w:type="paragraph" w:customStyle="1" w:styleId="1804">
    <w:name w:val="样式 标题 4 + 宋体 小四"/>
    <w:basedOn w:val="6"/>
    <w:qFormat/>
    <w:uiPriority w:val="0"/>
    <w:pPr>
      <w:tabs>
        <w:tab w:val="left" w:pos="864"/>
      </w:tabs>
      <w:snapToGrid w:val="0"/>
      <w:spacing w:line="374" w:lineRule="auto"/>
      <w:ind w:left="864" w:hanging="864"/>
    </w:pPr>
    <w:rPr>
      <w:rFonts w:ascii="宋体" w:hAnsi="宋体"/>
      <w:b/>
      <w:sz w:val="24"/>
      <w:szCs w:val="24"/>
      <w:lang w:val="zh-CN"/>
    </w:rPr>
  </w:style>
  <w:style w:type="paragraph" w:customStyle="1" w:styleId="1805">
    <w:name w:val="文本框"/>
    <w:basedOn w:val="1"/>
    <w:qFormat/>
    <w:uiPriority w:val="0"/>
    <w:pPr>
      <w:jc w:val="center"/>
    </w:pPr>
    <w:rPr>
      <w:szCs w:val="21"/>
    </w:rPr>
  </w:style>
  <w:style w:type="paragraph" w:customStyle="1" w:styleId="1806">
    <w:name w:val="样式 标题 3 + 右侧:  0.42 厘米"/>
    <w:basedOn w:val="5"/>
    <w:qFormat/>
    <w:uiPriority w:val="0"/>
    <w:pPr>
      <w:tabs>
        <w:tab w:val="left" w:pos="180"/>
        <w:tab w:val="left" w:pos="1742"/>
      </w:tabs>
      <w:autoSpaceDE w:val="0"/>
      <w:autoSpaceDN w:val="0"/>
      <w:adjustRightInd w:val="0"/>
      <w:spacing w:before="240" w:line="300" w:lineRule="auto"/>
      <w:ind w:left="180" w:leftChars="-42" w:right="240" w:rightChars="100" w:hanging="281" w:hangingChars="100"/>
      <w:jc w:val="left"/>
    </w:pPr>
    <w:rPr>
      <w:rFonts w:ascii="宋体" w:hAnsi="宋体"/>
      <w:b/>
      <w:spacing w:val="8"/>
      <w:szCs w:val="20"/>
    </w:rPr>
  </w:style>
  <w:style w:type="paragraph" w:customStyle="1" w:styleId="1807">
    <w:name w:val="纯文本5"/>
    <w:basedOn w:val="1"/>
    <w:qFormat/>
    <w:uiPriority w:val="0"/>
    <w:pPr>
      <w:adjustRightInd w:val="0"/>
    </w:pPr>
    <w:rPr>
      <w:rFonts w:ascii="宋体" w:hAnsi="Courier New"/>
      <w:szCs w:val="20"/>
    </w:rPr>
  </w:style>
  <w:style w:type="paragraph" w:customStyle="1" w:styleId="1808">
    <w:name w:val="样式 标题 3 + 段前: 6 磅 段后: 0 磅1"/>
    <w:basedOn w:val="5"/>
    <w:qFormat/>
    <w:uiPriority w:val="0"/>
    <w:pPr>
      <w:tabs>
        <w:tab w:val="left" w:pos="540"/>
        <w:tab w:val="left" w:pos="1742"/>
      </w:tabs>
      <w:autoSpaceDE w:val="0"/>
      <w:autoSpaceDN w:val="0"/>
      <w:adjustRightInd w:val="0"/>
      <w:spacing w:line="300" w:lineRule="auto"/>
      <w:ind w:left="1078" w:right="240" w:rightChars="100" w:hanging="539"/>
      <w:jc w:val="left"/>
    </w:pPr>
    <w:rPr>
      <w:rFonts w:ascii="宋体" w:hAnsi="宋体" w:cs="宋体"/>
      <w:b/>
      <w:spacing w:val="8"/>
      <w:szCs w:val="20"/>
    </w:rPr>
  </w:style>
  <w:style w:type="paragraph" w:customStyle="1" w:styleId="1809">
    <w:name w:val="表注解"/>
    <w:basedOn w:val="510"/>
    <w:next w:val="510"/>
    <w:qFormat/>
    <w:uiPriority w:val="0"/>
    <w:pPr>
      <w:widowControl/>
      <w:adjustRightInd w:val="0"/>
      <w:snapToGrid w:val="0"/>
      <w:spacing w:line="240" w:lineRule="auto"/>
      <w:ind w:firstLine="0" w:firstLineChars="0"/>
    </w:pPr>
    <w:rPr>
      <w:rFonts w:hint="eastAsia" w:ascii="Times New Roman" w:hAnsi="Times New Roman"/>
      <w:b/>
      <w:kern w:val="0"/>
      <w:sz w:val="18"/>
    </w:rPr>
  </w:style>
  <w:style w:type="paragraph" w:customStyle="1" w:styleId="1810">
    <w:name w:val="表头及表尾"/>
    <w:qFormat/>
    <w:uiPriority w:val="0"/>
    <w:pPr>
      <w:tabs>
        <w:tab w:val="center" w:pos="4200"/>
        <w:tab w:val="right" w:pos="8400"/>
      </w:tabs>
      <w:adjustRightInd w:val="0"/>
      <w:snapToGrid w:val="0"/>
    </w:pPr>
    <w:rPr>
      <w:rFonts w:ascii="Times New Roman" w:hAnsi="Times New Roman" w:eastAsia="宋体" w:cs="Times New Roman"/>
      <w:b/>
      <w:sz w:val="21"/>
      <w:szCs w:val="21"/>
      <w:lang w:val="en-US" w:eastAsia="zh-CN" w:bidi="ar-SA"/>
    </w:rPr>
  </w:style>
  <w:style w:type="paragraph" w:customStyle="1" w:styleId="1811">
    <w:name w:val="表格内容居中"/>
    <w:qFormat/>
    <w:uiPriority w:val="0"/>
    <w:pPr>
      <w:adjustRightInd w:val="0"/>
      <w:snapToGrid w:val="0"/>
      <w:jc w:val="center"/>
    </w:pPr>
    <w:rPr>
      <w:rFonts w:ascii="Times New Roman" w:hAnsi="Times New Roman" w:eastAsia="宋体" w:cs="Times New Roman"/>
      <w:sz w:val="21"/>
      <w:szCs w:val="21"/>
      <w:lang w:val="en-US" w:eastAsia="zh-CN" w:bidi="ar-SA"/>
    </w:rPr>
  </w:style>
  <w:style w:type="paragraph" w:customStyle="1" w:styleId="1812">
    <w:name w:val="报告样式"/>
    <w:basedOn w:val="1"/>
    <w:next w:val="1580"/>
    <w:qFormat/>
    <w:uiPriority w:val="0"/>
    <w:rPr>
      <w:sz w:val="24"/>
      <w:szCs w:val="24"/>
    </w:rPr>
  </w:style>
  <w:style w:type="paragraph" w:customStyle="1" w:styleId="1813">
    <w:name w:val="textfont"/>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1814">
    <w:name w:val="ggbody"/>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815">
    <w:name w:val="正文-第几条"/>
    <w:basedOn w:val="1"/>
    <w:qFormat/>
    <w:uiPriority w:val="0"/>
    <w:pPr>
      <w:numPr>
        <w:ilvl w:val="0"/>
        <w:numId w:val="3"/>
      </w:numPr>
      <w:spacing w:line="360" w:lineRule="auto"/>
      <w:ind w:firstLine="0"/>
    </w:pPr>
    <w:rPr>
      <w:sz w:val="24"/>
      <w:szCs w:val="24"/>
    </w:rPr>
  </w:style>
  <w:style w:type="paragraph" w:customStyle="1" w:styleId="1816">
    <w:name w:val="样式 小四 行距: 固定值 16 磅"/>
    <w:basedOn w:val="1"/>
    <w:qFormat/>
    <w:uiPriority w:val="0"/>
    <w:pPr>
      <w:snapToGrid w:val="0"/>
      <w:spacing w:line="400" w:lineRule="exact"/>
      <w:ind w:firstLine="480" w:firstLineChars="200"/>
    </w:pPr>
    <w:rPr>
      <w:rFonts w:cs="Dutch801 Rm BT"/>
      <w:sz w:val="24"/>
      <w:szCs w:val="20"/>
    </w:rPr>
  </w:style>
  <w:style w:type="paragraph" w:customStyle="1" w:styleId="1817">
    <w:name w:val="列出段落2"/>
    <w:basedOn w:val="1"/>
    <w:qFormat/>
    <w:uiPriority w:val="0"/>
    <w:pPr>
      <w:spacing w:line="460" w:lineRule="atLeast"/>
      <w:ind w:firstLine="420" w:firstLineChars="200"/>
    </w:pPr>
    <w:rPr>
      <w:rFonts w:ascii="宋体"/>
      <w:bCs/>
      <w:kern w:val="44"/>
      <w:szCs w:val="44"/>
    </w:rPr>
  </w:style>
  <w:style w:type="paragraph" w:customStyle="1" w:styleId="1818">
    <w:name w:val="Char Char Char Char Char Char3"/>
    <w:basedOn w:val="1"/>
    <w:qFormat/>
    <w:uiPriority w:val="0"/>
    <w:rPr>
      <w:szCs w:val="24"/>
    </w:rPr>
  </w:style>
  <w:style w:type="paragraph" w:customStyle="1" w:styleId="1819">
    <w:name w:val="正文文本 32"/>
    <w:basedOn w:val="1"/>
    <w:qFormat/>
    <w:uiPriority w:val="0"/>
    <w:pPr>
      <w:autoSpaceDE w:val="0"/>
      <w:autoSpaceDN w:val="0"/>
      <w:adjustRightInd w:val="0"/>
      <w:spacing w:line="312" w:lineRule="atLeast"/>
      <w:jc w:val="center"/>
    </w:pPr>
    <w:rPr>
      <w:rFonts w:ascii="楷体" w:eastAsia="楷体"/>
      <w:kern w:val="0"/>
      <w:sz w:val="28"/>
      <w:szCs w:val="20"/>
    </w:rPr>
  </w:style>
  <w:style w:type="paragraph" w:customStyle="1" w:styleId="1820">
    <w:name w:val="Char13"/>
    <w:basedOn w:val="1"/>
    <w:qFormat/>
    <w:uiPriority w:val="0"/>
    <w:rPr>
      <w:rFonts w:ascii="Tahoma" w:hAnsi="Tahoma"/>
      <w:sz w:val="24"/>
      <w:szCs w:val="20"/>
    </w:rPr>
  </w:style>
  <w:style w:type="paragraph" w:customStyle="1" w:styleId="1821">
    <w:name w:val="Char23"/>
    <w:basedOn w:val="1"/>
    <w:qFormat/>
    <w:uiPriority w:val="0"/>
    <w:rPr>
      <w:szCs w:val="24"/>
    </w:rPr>
  </w:style>
  <w:style w:type="paragraph" w:customStyle="1" w:styleId="1822">
    <w:name w:val="Char Char Char Char Char2 Char2"/>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823">
    <w:name w:val="Char Char Char Char Char2"/>
    <w:basedOn w:val="1"/>
    <w:qFormat/>
    <w:uiPriority w:val="0"/>
    <w:pPr>
      <w:widowControl/>
      <w:spacing w:after="160" w:line="240" w:lineRule="exact"/>
      <w:jc w:val="left"/>
    </w:pPr>
    <w:rPr>
      <w:rFonts w:ascii="Verdana" w:hAnsi="Verdana"/>
      <w:kern w:val="0"/>
      <w:szCs w:val="20"/>
      <w:lang w:eastAsia="en-US"/>
    </w:rPr>
  </w:style>
  <w:style w:type="paragraph" w:customStyle="1" w:styleId="1824">
    <w:name w:val="Char Char Char Char Char Char Char Char Char Char Char Char Char Char Char Char Char Char2"/>
    <w:basedOn w:val="1"/>
    <w:qFormat/>
    <w:uiPriority w:val="0"/>
    <w:pPr>
      <w:widowControl/>
      <w:spacing w:after="160" w:line="240" w:lineRule="exact"/>
      <w:jc w:val="left"/>
    </w:pPr>
    <w:rPr>
      <w:rFonts w:ascii="Verdana" w:hAnsi="Verdana"/>
      <w:kern w:val="0"/>
      <w:szCs w:val="20"/>
      <w:lang w:eastAsia="en-US"/>
    </w:rPr>
  </w:style>
  <w:style w:type="paragraph" w:customStyle="1" w:styleId="1825">
    <w:name w:val="Char Char Char3"/>
    <w:basedOn w:val="1"/>
    <w:qFormat/>
    <w:uiPriority w:val="0"/>
    <w:pPr>
      <w:widowControl/>
      <w:spacing w:after="160" w:line="240" w:lineRule="exact"/>
      <w:jc w:val="left"/>
    </w:pPr>
    <w:rPr>
      <w:rFonts w:ascii="Verdana" w:hAnsi="Verdana"/>
      <w:kern w:val="0"/>
      <w:szCs w:val="20"/>
      <w:lang w:eastAsia="en-US"/>
    </w:rPr>
  </w:style>
  <w:style w:type="paragraph" w:customStyle="1" w:styleId="1826">
    <w:name w:val="字元2"/>
    <w:basedOn w:val="1"/>
    <w:qFormat/>
    <w:uiPriority w:val="0"/>
    <w:pPr>
      <w:adjustRightInd w:val="0"/>
      <w:spacing w:line="360" w:lineRule="atLeast"/>
    </w:pPr>
    <w:rPr>
      <w:szCs w:val="24"/>
    </w:rPr>
  </w:style>
  <w:style w:type="paragraph" w:customStyle="1" w:styleId="1827">
    <w:name w:val="Char Char Char Char Char Char Char Char Char Char Char Char2"/>
    <w:basedOn w:val="1"/>
    <w:qFormat/>
    <w:uiPriority w:val="0"/>
    <w:pPr>
      <w:adjustRightInd w:val="0"/>
      <w:spacing w:line="360" w:lineRule="auto"/>
    </w:pPr>
    <w:rPr>
      <w:kern w:val="0"/>
      <w:sz w:val="24"/>
      <w:szCs w:val="20"/>
    </w:rPr>
  </w:style>
  <w:style w:type="paragraph" w:customStyle="1" w:styleId="1828">
    <w:name w:val="Char Char Char Char Char Char Char Char Char Char Char Char1 Char2"/>
    <w:basedOn w:val="1"/>
    <w:qFormat/>
    <w:uiPriority w:val="0"/>
    <w:pPr>
      <w:spacing w:line="360" w:lineRule="auto"/>
      <w:ind w:firstLine="200" w:firstLineChars="200"/>
    </w:pPr>
    <w:rPr>
      <w:rFonts w:ascii="宋体" w:hAnsi="宋体" w:cs="宋体"/>
      <w:sz w:val="24"/>
      <w:szCs w:val="24"/>
    </w:rPr>
  </w:style>
  <w:style w:type="paragraph" w:customStyle="1" w:styleId="1829">
    <w:name w:val="批注框文本2"/>
    <w:basedOn w:val="1"/>
    <w:qFormat/>
    <w:uiPriority w:val="0"/>
    <w:rPr>
      <w:sz w:val="18"/>
      <w:szCs w:val="18"/>
    </w:rPr>
  </w:style>
  <w:style w:type="paragraph" w:customStyle="1" w:styleId="1830">
    <w:name w:val="Char Char Char Char Char Char Char Char Char12"/>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1831">
    <w:name w:val="字元 字元 Char Char 字元 字元12"/>
    <w:basedOn w:val="1"/>
    <w:qFormat/>
    <w:uiPriority w:val="0"/>
    <w:rPr>
      <w:sz w:val="24"/>
      <w:szCs w:val="24"/>
    </w:rPr>
  </w:style>
  <w:style w:type="paragraph" w:customStyle="1" w:styleId="1832">
    <w:name w:val="字元 字元2"/>
    <w:basedOn w:val="1"/>
    <w:qFormat/>
    <w:uiPriority w:val="0"/>
    <w:rPr>
      <w:sz w:val="24"/>
      <w:szCs w:val="24"/>
    </w:rPr>
  </w:style>
  <w:style w:type="paragraph" w:customStyle="1" w:styleId="1833">
    <w:name w:val="日期4"/>
    <w:basedOn w:val="1"/>
    <w:next w:val="1"/>
    <w:qFormat/>
    <w:uiPriority w:val="0"/>
    <w:pPr>
      <w:adjustRightInd w:val="0"/>
      <w:jc w:val="left"/>
    </w:pPr>
    <w:rPr>
      <w:sz w:val="32"/>
      <w:szCs w:val="20"/>
    </w:rPr>
  </w:style>
  <w:style w:type="paragraph" w:customStyle="1" w:styleId="1834">
    <w:name w:val="正文文本 24"/>
    <w:basedOn w:val="1"/>
    <w:qFormat/>
    <w:uiPriority w:val="0"/>
    <w:pPr>
      <w:autoSpaceDE w:val="0"/>
      <w:autoSpaceDN w:val="0"/>
      <w:adjustRightInd w:val="0"/>
      <w:spacing w:line="364" w:lineRule="auto"/>
      <w:jc w:val="center"/>
    </w:pPr>
    <w:rPr>
      <w:spacing w:val="10"/>
      <w:kern w:val="10"/>
      <w:sz w:val="24"/>
      <w:szCs w:val="20"/>
    </w:rPr>
  </w:style>
  <w:style w:type="paragraph" w:customStyle="1" w:styleId="1835">
    <w:name w:val="正文首行缩进4"/>
    <w:basedOn w:val="31"/>
    <w:qFormat/>
    <w:uiPriority w:val="0"/>
    <w:pPr>
      <w:adjustRightInd w:val="0"/>
      <w:spacing w:before="0" w:line="312" w:lineRule="auto"/>
      <w:ind w:left="0" w:firstLine="567"/>
    </w:pPr>
    <w:rPr>
      <w:rFonts w:hint="eastAsia" w:ascii="Times New Roman" w:hAnsi="Times New Roman"/>
      <w:sz w:val="28"/>
      <w:szCs w:val="20"/>
      <w:lang w:eastAsia="zh-CN"/>
    </w:rPr>
  </w:style>
  <w:style w:type="paragraph" w:customStyle="1" w:styleId="1836">
    <w:name w:val="Char Char Char Char Char Char Char5"/>
    <w:basedOn w:val="1"/>
    <w:qFormat/>
    <w:uiPriority w:val="0"/>
    <w:rPr>
      <w:szCs w:val="24"/>
    </w:rPr>
  </w:style>
  <w:style w:type="paragraph" w:customStyle="1" w:styleId="1837">
    <w:name w:val="列出段落3"/>
    <w:basedOn w:val="1"/>
    <w:qFormat/>
    <w:uiPriority w:val="0"/>
    <w:pPr>
      <w:spacing w:line="460" w:lineRule="atLeast"/>
      <w:ind w:firstLine="420" w:firstLineChars="200"/>
    </w:pPr>
    <w:rPr>
      <w:rFonts w:ascii="宋体"/>
      <w:bCs/>
      <w:kern w:val="44"/>
      <w:szCs w:val="44"/>
    </w:rPr>
  </w:style>
  <w:style w:type="paragraph" w:customStyle="1" w:styleId="1838">
    <w:name w:val="Char Char Char Char Char Char2"/>
    <w:basedOn w:val="1"/>
    <w:qFormat/>
    <w:uiPriority w:val="0"/>
    <w:rPr>
      <w:szCs w:val="24"/>
    </w:rPr>
  </w:style>
  <w:style w:type="paragraph" w:customStyle="1" w:styleId="1839">
    <w:name w:val="正文4"/>
    <w:basedOn w:val="1"/>
    <w:qFormat/>
    <w:uiPriority w:val="0"/>
    <w:pPr>
      <w:adjustRightInd w:val="0"/>
      <w:spacing w:line="480" w:lineRule="exact"/>
    </w:pPr>
    <w:rPr>
      <w:spacing w:val="-2"/>
      <w:kern w:val="0"/>
      <w:sz w:val="28"/>
      <w:szCs w:val="20"/>
    </w:rPr>
  </w:style>
  <w:style w:type="paragraph" w:customStyle="1" w:styleId="1840">
    <w:name w:val="文档结构图5"/>
    <w:basedOn w:val="1"/>
    <w:qFormat/>
    <w:uiPriority w:val="0"/>
    <w:pPr>
      <w:shd w:val="clear" w:color="auto" w:fill="000080"/>
      <w:adjustRightInd w:val="0"/>
      <w:spacing w:line="360" w:lineRule="atLeast"/>
      <w:jc w:val="left"/>
    </w:pPr>
    <w:rPr>
      <w:rFonts w:eastAsia="Wingdings"/>
      <w:kern w:val="0"/>
      <w:sz w:val="24"/>
      <w:szCs w:val="20"/>
    </w:rPr>
  </w:style>
  <w:style w:type="paragraph" w:customStyle="1" w:styleId="1841">
    <w:name w:val="Char8"/>
    <w:basedOn w:val="1"/>
    <w:qFormat/>
    <w:uiPriority w:val="0"/>
    <w:rPr>
      <w:rFonts w:ascii="Tahoma" w:hAnsi="Tahoma"/>
      <w:sz w:val="24"/>
      <w:szCs w:val="20"/>
    </w:rPr>
  </w:style>
  <w:style w:type="paragraph" w:customStyle="1" w:styleId="1842">
    <w:name w:val="Char22"/>
    <w:basedOn w:val="1"/>
    <w:qFormat/>
    <w:uiPriority w:val="0"/>
    <w:rPr>
      <w:szCs w:val="24"/>
    </w:rPr>
  </w:style>
  <w:style w:type="paragraph" w:customStyle="1" w:styleId="1843">
    <w:name w:val="Char Char Char Char Char2 Char1"/>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844">
    <w:name w:val="Char Char Char2"/>
    <w:basedOn w:val="1"/>
    <w:qFormat/>
    <w:uiPriority w:val="0"/>
    <w:pPr>
      <w:widowControl/>
      <w:spacing w:after="160" w:line="240" w:lineRule="exact"/>
      <w:jc w:val="left"/>
    </w:pPr>
    <w:rPr>
      <w:rFonts w:ascii="Verdana" w:hAnsi="Verdana"/>
      <w:kern w:val="0"/>
      <w:szCs w:val="20"/>
      <w:lang w:eastAsia="en-US"/>
    </w:rPr>
  </w:style>
  <w:style w:type="paragraph" w:customStyle="1" w:styleId="1845">
    <w:name w:val="字元1"/>
    <w:basedOn w:val="1"/>
    <w:qFormat/>
    <w:uiPriority w:val="0"/>
    <w:pPr>
      <w:adjustRightInd w:val="0"/>
      <w:spacing w:line="360" w:lineRule="atLeast"/>
    </w:pPr>
    <w:rPr>
      <w:szCs w:val="24"/>
    </w:rPr>
  </w:style>
  <w:style w:type="paragraph" w:customStyle="1" w:styleId="1846">
    <w:name w:val="Char Char Char Char5"/>
    <w:basedOn w:val="1"/>
    <w:qFormat/>
    <w:uiPriority w:val="0"/>
    <w:rPr>
      <w:szCs w:val="20"/>
    </w:rPr>
  </w:style>
  <w:style w:type="paragraph" w:customStyle="1" w:styleId="1847">
    <w:name w:val="Char Char Char Char Char Char Char Char Char Char Char Char1"/>
    <w:basedOn w:val="1"/>
    <w:qFormat/>
    <w:uiPriority w:val="0"/>
    <w:pPr>
      <w:adjustRightInd w:val="0"/>
      <w:spacing w:line="360" w:lineRule="auto"/>
    </w:pPr>
    <w:rPr>
      <w:kern w:val="0"/>
      <w:sz w:val="24"/>
      <w:szCs w:val="20"/>
    </w:rPr>
  </w:style>
  <w:style w:type="paragraph" w:customStyle="1" w:styleId="1848">
    <w:name w:val="Char Char Char Char Char Char Char Char Char Char Char Char1 Char1"/>
    <w:basedOn w:val="1"/>
    <w:qFormat/>
    <w:uiPriority w:val="0"/>
    <w:pPr>
      <w:spacing w:line="360" w:lineRule="auto"/>
      <w:ind w:firstLine="200" w:firstLineChars="200"/>
    </w:pPr>
    <w:rPr>
      <w:rFonts w:ascii="宋体" w:hAnsi="宋体" w:cs="宋体"/>
      <w:sz w:val="24"/>
      <w:szCs w:val="24"/>
    </w:rPr>
  </w:style>
  <w:style w:type="paragraph" w:customStyle="1" w:styleId="1849">
    <w:name w:val="批注框文本3"/>
    <w:basedOn w:val="1"/>
    <w:qFormat/>
    <w:uiPriority w:val="0"/>
    <w:rPr>
      <w:sz w:val="18"/>
      <w:szCs w:val="18"/>
    </w:rPr>
  </w:style>
  <w:style w:type="paragraph" w:customStyle="1" w:styleId="1850">
    <w:name w:val="Char Char Char Char Char Char1 Char5"/>
    <w:basedOn w:val="1"/>
    <w:qFormat/>
    <w:uiPriority w:val="0"/>
    <w:rPr>
      <w:rFonts w:eastAsia="仿宋_GB2312"/>
      <w:b/>
      <w:sz w:val="24"/>
      <w:szCs w:val="24"/>
    </w:rPr>
  </w:style>
  <w:style w:type="paragraph" w:customStyle="1" w:styleId="1851">
    <w:name w:val="4标题(治)"/>
    <w:basedOn w:val="1"/>
    <w:next w:val="1"/>
    <w:qFormat/>
    <w:uiPriority w:val="0"/>
    <w:pPr>
      <w:adjustRightInd w:val="0"/>
      <w:snapToGrid w:val="0"/>
      <w:spacing w:line="360" w:lineRule="auto"/>
      <w:outlineLvl w:val="3"/>
    </w:pPr>
    <w:rPr>
      <w:rFonts w:eastAsia="黑体"/>
      <w:kern w:val="0"/>
      <w:sz w:val="28"/>
      <w:szCs w:val="20"/>
    </w:rPr>
  </w:style>
  <w:style w:type="paragraph" w:customStyle="1" w:styleId="1852">
    <w:name w:val="正文文本 25"/>
    <w:basedOn w:val="1"/>
    <w:qFormat/>
    <w:uiPriority w:val="0"/>
    <w:pPr>
      <w:autoSpaceDE w:val="0"/>
      <w:autoSpaceDN w:val="0"/>
      <w:adjustRightInd w:val="0"/>
      <w:spacing w:line="364" w:lineRule="auto"/>
      <w:jc w:val="center"/>
    </w:pPr>
    <w:rPr>
      <w:spacing w:val="10"/>
      <w:kern w:val="10"/>
      <w:sz w:val="24"/>
      <w:szCs w:val="20"/>
    </w:rPr>
  </w:style>
  <w:style w:type="paragraph" w:customStyle="1" w:styleId="1853">
    <w:name w:val="Char Char Char Char Char Char Char7"/>
    <w:basedOn w:val="1"/>
    <w:qFormat/>
    <w:uiPriority w:val="0"/>
    <w:rPr>
      <w:szCs w:val="24"/>
    </w:rPr>
  </w:style>
  <w:style w:type="paragraph" w:customStyle="1" w:styleId="1854">
    <w:name w:val="纯文本6"/>
    <w:basedOn w:val="1"/>
    <w:qFormat/>
    <w:uiPriority w:val="0"/>
    <w:pPr>
      <w:adjustRightInd w:val="0"/>
    </w:pPr>
    <w:rPr>
      <w:rFonts w:ascii="宋体" w:hAnsi="Courier New"/>
      <w:szCs w:val="20"/>
    </w:rPr>
  </w:style>
  <w:style w:type="paragraph" w:customStyle="1" w:styleId="1855">
    <w:name w:val="Char Char Char Char Char Char4"/>
    <w:basedOn w:val="1"/>
    <w:qFormat/>
    <w:uiPriority w:val="0"/>
    <w:rPr>
      <w:szCs w:val="24"/>
    </w:rPr>
  </w:style>
  <w:style w:type="paragraph" w:customStyle="1" w:styleId="1856">
    <w:name w:val="正文5"/>
    <w:basedOn w:val="1"/>
    <w:qFormat/>
    <w:uiPriority w:val="0"/>
    <w:pPr>
      <w:adjustRightInd w:val="0"/>
      <w:spacing w:line="480" w:lineRule="exact"/>
    </w:pPr>
    <w:rPr>
      <w:spacing w:val="-2"/>
      <w:kern w:val="0"/>
      <w:sz w:val="28"/>
      <w:szCs w:val="20"/>
    </w:rPr>
  </w:style>
  <w:style w:type="paragraph" w:customStyle="1" w:styleId="1857">
    <w:name w:val="正文文本 34"/>
    <w:basedOn w:val="1"/>
    <w:qFormat/>
    <w:uiPriority w:val="0"/>
    <w:pPr>
      <w:autoSpaceDE w:val="0"/>
      <w:autoSpaceDN w:val="0"/>
      <w:adjustRightInd w:val="0"/>
      <w:spacing w:line="312" w:lineRule="atLeast"/>
      <w:jc w:val="center"/>
    </w:pPr>
    <w:rPr>
      <w:rFonts w:ascii="楷体" w:eastAsia="楷体"/>
      <w:kern w:val="0"/>
      <w:sz w:val="28"/>
      <w:szCs w:val="20"/>
    </w:rPr>
  </w:style>
  <w:style w:type="paragraph" w:customStyle="1" w:styleId="1858">
    <w:name w:val="Char Char Char1 Char Char Char Char Char Char Char Char Char Char7"/>
    <w:basedOn w:val="1"/>
    <w:qFormat/>
    <w:uiPriority w:val="0"/>
    <w:rPr>
      <w:szCs w:val="24"/>
    </w:rPr>
  </w:style>
  <w:style w:type="paragraph" w:customStyle="1" w:styleId="1859">
    <w:name w:val="Char Char Char Char Char3"/>
    <w:basedOn w:val="1"/>
    <w:qFormat/>
    <w:uiPriority w:val="0"/>
    <w:pPr>
      <w:widowControl/>
      <w:spacing w:after="160" w:line="240" w:lineRule="exact"/>
      <w:jc w:val="left"/>
    </w:pPr>
    <w:rPr>
      <w:rFonts w:ascii="Verdana" w:hAnsi="Verdana"/>
      <w:kern w:val="0"/>
      <w:szCs w:val="20"/>
      <w:lang w:eastAsia="en-US"/>
    </w:rPr>
  </w:style>
  <w:style w:type="paragraph" w:customStyle="1" w:styleId="1860">
    <w:name w:val="Char Char Char Char Char Char Char Char Char Char Char Char Char Char Char Char Char Char3"/>
    <w:basedOn w:val="1"/>
    <w:qFormat/>
    <w:uiPriority w:val="0"/>
    <w:pPr>
      <w:widowControl/>
      <w:spacing w:after="160" w:line="240" w:lineRule="exact"/>
      <w:jc w:val="left"/>
    </w:pPr>
    <w:rPr>
      <w:rFonts w:ascii="Verdana" w:hAnsi="Verdana"/>
      <w:kern w:val="0"/>
      <w:szCs w:val="20"/>
      <w:lang w:eastAsia="en-US"/>
    </w:rPr>
  </w:style>
  <w:style w:type="paragraph" w:customStyle="1" w:styleId="1861">
    <w:name w:val="Char Char Char Char7"/>
    <w:basedOn w:val="1"/>
    <w:qFormat/>
    <w:uiPriority w:val="0"/>
    <w:rPr>
      <w:szCs w:val="20"/>
    </w:rPr>
  </w:style>
  <w:style w:type="paragraph" w:customStyle="1" w:styleId="1862">
    <w:name w:val="Char Char Char Char Char Char Char Char Char Char Char Char1 Char3"/>
    <w:basedOn w:val="1"/>
    <w:qFormat/>
    <w:uiPriority w:val="0"/>
    <w:pPr>
      <w:spacing w:line="360" w:lineRule="auto"/>
      <w:ind w:firstLine="200" w:firstLineChars="200"/>
    </w:pPr>
    <w:rPr>
      <w:rFonts w:ascii="宋体" w:hAnsi="宋体" w:cs="宋体"/>
      <w:sz w:val="24"/>
      <w:szCs w:val="24"/>
    </w:rPr>
  </w:style>
  <w:style w:type="paragraph" w:customStyle="1" w:styleId="1863">
    <w:name w:val="批注框文本4"/>
    <w:basedOn w:val="1"/>
    <w:qFormat/>
    <w:uiPriority w:val="0"/>
    <w:rPr>
      <w:sz w:val="18"/>
      <w:szCs w:val="18"/>
    </w:rPr>
  </w:style>
  <w:style w:type="paragraph" w:customStyle="1" w:styleId="1864">
    <w:name w:val="批注主题4"/>
    <w:basedOn w:val="25"/>
    <w:next w:val="25"/>
    <w:qFormat/>
    <w:uiPriority w:val="0"/>
    <w:rPr>
      <w:rFonts w:eastAsia="Times New Roman"/>
      <w:b/>
      <w:bCs/>
      <w:sz w:val="24"/>
      <w:szCs w:val="24"/>
    </w:rPr>
  </w:style>
  <w:style w:type="paragraph" w:customStyle="1" w:styleId="1865">
    <w:name w:val="Char Char Char Char Char Char Char Char Char13"/>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1866">
    <w:name w:val="Char Char Char Char Char Char Char Char Char Char Char Char Char Char Char Char Char Char Char4"/>
    <w:basedOn w:val="1"/>
    <w:qFormat/>
    <w:uiPriority w:val="0"/>
    <w:rPr>
      <w:sz w:val="32"/>
      <w:szCs w:val="32"/>
    </w:rPr>
  </w:style>
  <w:style w:type="paragraph" w:customStyle="1" w:styleId="1867">
    <w:name w:val="字元 字元 Char Char 字元 字元13"/>
    <w:basedOn w:val="1"/>
    <w:qFormat/>
    <w:uiPriority w:val="0"/>
    <w:rPr>
      <w:sz w:val="24"/>
      <w:szCs w:val="24"/>
    </w:rPr>
  </w:style>
  <w:style w:type="paragraph" w:customStyle="1" w:styleId="1868">
    <w:name w:val="表格文字五号"/>
    <w:basedOn w:val="1432"/>
    <w:qFormat/>
    <w:uiPriority w:val="0"/>
    <w:pPr>
      <w:framePr w:wrap="around"/>
      <w:spacing w:afterLines="20"/>
    </w:pPr>
    <w:rPr>
      <w:sz w:val="21"/>
    </w:rPr>
  </w:style>
  <w:style w:type="paragraph" w:customStyle="1" w:styleId="1869">
    <w:name w:val="表格文字小五号"/>
    <w:basedOn w:val="1868"/>
    <w:qFormat/>
    <w:uiPriority w:val="0"/>
    <w:pPr>
      <w:framePr w:wrap="around"/>
    </w:pPr>
    <w:rPr>
      <w:rFonts w:ascii="宋体" w:hAnsi="宋体"/>
      <w:bCs w:val="0"/>
    </w:rPr>
  </w:style>
  <w:style w:type="paragraph" w:customStyle="1" w:styleId="1870">
    <w:name w:val="edri-1).title"/>
    <w:basedOn w:val="1707"/>
    <w:qFormat/>
    <w:uiPriority w:val="0"/>
    <w:pPr>
      <w:tabs>
        <w:tab w:val="left" w:pos="1785"/>
        <w:tab w:val="left" w:pos="2250"/>
        <w:tab w:val="left" w:pos="2520"/>
        <w:tab w:val="clear" w:pos="1139"/>
      </w:tabs>
      <w:ind w:left="4500" w:hanging="420"/>
      <w:outlineLvl w:val="4"/>
    </w:pPr>
  </w:style>
  <w:style w:type="paragraph" w:customStyle="1" w:styleId="1871">
    <w:name w:val="Char Char Char Char Char2 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872">
    <w:name w:val="标题1-hao"/>
    <w:next w:val="1"/>
    <w:qFormat/>
    <w:uiPriority w:val="0"/>
    <w:pPr>
      <w:adjustRightInd w:val="0"/>
      <w:snapToGrid w:val="0"/>
      <w:spacing w:line="348" w:lineRule="auto"/>
      <w:outlineLvl w:val="0"/>
    </w:pPr>
    <w:rPr>
      <w:rFonts w:ascii="Times New Roman" w:hAnsi="Times New Roman" w:eastAsia="宋体" w:cs="Times New Roman"/>
      <w:b/>
      <w:kern w:val="28"/>
      <w:sz w:val="28"/>
      <w:szCs w:val="28"/>
      <w:lang w:val="en-US" w:eastAsia="zh-CN" w:bidi="ar-SA"/>
    </w:rPr>
  </w:style>
  <w:style w:type="paragraph" w:customStyle="1" w:styleId="1873">
    <w:name w:val="1 正文"/>
    <w:basedOn w:val="1"/>
    <w:qFormat/>
    <w:uiPriority w:val="0"/>
    <w:pPr>
      <w:adjustRightInd w:val="0"/>
      <w:snapToGrid w:val="0"/>
      <w:spacing w:line="348" w:lineRule="auto"/>
      <w:ind w:firstLine="560" w:firstLineChars="200"/>
    </w:pPr>
    <w:rPr>
      <w:sz w:val="28"/>
      <w:szCs w:val="28"/>
    </w:rPr>
  </w:style>
  <w:style w:type="table" w:customStyle="1" w:styleId="1874">
    <w:name w:val="网格型 51"/>
    <w:basedOn w:val="77"/>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1875">
    <w:name w:val="6 图名格式"/>
    <w:basedOn w:val="1"/>
    <w:qFormat/>
    <w:uiPriority w:val="0"/>
    <w:pPr>
      <w:adjustRightInd w:val="0"/>
      <w:snapToGrid w:val="0"/>
      <w:spacing w:line="348" w:lineRule="auto"/>
      <w:jc w:val="center"/>
    </w:pPr>
    <w:rPr>
      <w:color w:val="000000"/>
      <w:sz w:val="24"/>
      <w:szCs w:val="24"/>
    </w:rPr>
  </w:style>
  <w:style w:type="table" w:customStyle="1" w:styleId="1876">
    <w:name w:val="网格型1"/>
    <w:basedOn w:val="77"/>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7">
    <w:name w:val="表格样式2"/>
    <w:basedOn w:val="77"/>
    <w:qFormat/>
    <w:uiPriority w:val="0"/>
    <w:pPr>
      <w:snapToGrid w:val="0"/>
      <w:jc w:val="center"/>
    </w:pPr>
    <w:rPr>
      <w:rFonts w:eastAsia="仿宋_GB2312"/>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1878">
    <w:name w:val="网格型3"/>
    <w:basedOn w:val="77"/>
    <w:qFormat/>
    <w:uiPriority w:val="0"/>
    <w:pPr>
      <w:widowControl w:val="0"/>
      <w:adjustRightInd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9">
    <w:name w:val="网格型12"/>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0">
    <w:name w:val="网格型31"/>
    <w:basedOn w:val="77"/>
    <w:qFormat/>
    <w:uiPriority w:val="0"/>
    <w:pPr>
      <w:widowControl w:val="0"/>
      <w:adjustRightInd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1">
    <w:name w:val="表格主题11"/>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2">
    <w:name w:val="网格型9"/>
    <w:basedOn w:val="7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883">
    <w:name w:val="网格型6"/>
    <w:basedOn w:val="77"/>
    <w:qFormat/>
    <w:uiPriority w:val="0"/>
    <w:pPr>
      <w:widowControl w:val="0"/>
      <w:adjustRightInd w:val="0"/>
      <w:snapToGrid w:val="0"/>
      <w:spacing w:line="348"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4">
    <w:name w:val="设计院"/>
    <w:basedOn w:val="79"/>
    <w:qFormat/>
    <w:uiPriority w:val="0"/>
    <w:rPr>
      <w:szCs w:val="21"/>
    </w:rPr>
    <w:tblPr>
      <w:tblBorders>
        <w:top w:val="single" w:color="auto" w:sz="12" w:space="0"/>
        <w:bottom w:val="single" w:color="auto" w:sz="12" w:space="0"/>
        <w:insideH w:val="single" w:color="auto" w:sz="2" w:space="0"/>
        <w:insideV w:val="single" w:color="auto" w:sz="2" w:space="0"/>
      </w:tblBorders>
    </w:tblPr>
    <w:tcPr>
      <w:vAlign w:val="center"/>
    </w:tcPr>
  </w:style>
  <w:style w:type="table" w:customStyle="1" w:styleId="1885">
    <w:name w:val="表格-hao"/>
    <w:basedOn w:val="77"/>
    <w:qFormat/>
    <w:uiPriority w:val="0"/>
    <w:pPr>
      <w:adjustRightInd w:val="0"/>
      <w:snapToGrid w:val="0"/>
      <w:spacing w:line="288" w:lineRule="auto"/>
      <w:jc w:val="center"/>
    </w:pPr>
    <w:rPr>
      <w:rFonts w:eastAsia="仿宋_GB2312"/>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vAlign w:val="center"/>
    </w:tcPr>
  </w:style>
  <w:style w:type="table" w:customStyle="1" w:styleId="1886">
    <w:name w:val="大纲表格"/>
    <w:basedOn w:val="81"/>
    <w:qFormat/>
    <w:uiPriority w:val="0"/>
    <w:pPr>
      <w:jc w:val="center"/>
    </w:pPr>
    <w:rPr>
      <w:sz w:val="21"/>
    </w:rPr>
    <w:tblPr>
      <w:tblBorders>
        <w:insideH w:val="dotted" w:color="auto" w:sz="4" w:space="0"/>
        <w:insideV w:val="dotted" w:color="auto" w:sz="4" w:space="0"/>
      </w:tblBorders>
    </w:tblPr>
    <w:tcPr>
      <w:vAlign w:val="center"/>
    </w:tcPr>
    <w:tblStylePr w:type="firstRow">
      <w:rPr>
        <w:rFonts w:hint="default" w:ascii="Times New Roman" w:hAnsi="Times New Roman" w:eastAsia="Batang" w:cs="Times New Roman"/>
        <w:b w:val="0"/>
        <w:sz w:val="21"/>
        <w:szCs w:val="21"/>
      </w:rPr>
      <w:tcPr>
        <w:tcBorders>
          <w:top w:val="single" w:color="008000" w:sz="12" w:space="0"/>
          <w:left w:val="nil"/>
          <w:bottom w:val="single" w:color="008000" w:sz="8" w:space="0"/>
          <w:right w:val="nil"/>
          <w:insideH w:val="nil"/>
          <w:insideV w:val="nil"/>
          <w:tl2br w:val="nil"/>
          <w:tr2bl w:val="nil"/>
        </w:tcBorders>
        <w:shd w:val="clear" w:color="auto" w:fill="E0E0E0"/>
      </w:tcPr>
    </w:tblStylePr>
    <w:tblStylePr w:type="lastRow">
      <w:tcPr>
        <w:tcBorders>
          <w:top w:val="dotted" w:color="auto" w:sz="4" w:space="0"/>
          <w:left w:val="nil"/>
          <w:bottom w:val="nil"/>
          <w:right w:val="nil"/>
          <w:insideH w:val="nil"/>
          <w:insideV w:val="nil"/>
          <w:tl2br w:val="nil"/>
          <w:tr2bl w:val="nil"/>
        </w:tcBorders>
      </w:tcPr>
    </w:tblStylePr>
  </w:style>
  <w:style w:type="table" w:customStyle="1" w:styleId="1887">
    <w:name w:val="网格型32"/>
    <w:basedOn w:val="77"/>
    <w:qFormat/>
    <w:uiPriority w:val="0"/>
    <w:pPr>
      <w:widowControl w:val="0"/>
      <w:adjustRightInd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8">
    <w:name w:val="采用网格型1"/>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9">
    <w:name w:val="网格型111"/>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0">
    <w:name w:val="网格型 54"/>
    <w:basedOn w:val="77"/>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91">
    <w:name w:val="网格型81"/>
    <w:basedOn w:val="7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892">
    <w:name w:val="网格型22"/>
    <w:basedOn w:val="77"/>
    <w:qFormat/>
    <w:uiPriority w:val="0"/>
    <w:pPr>
      <w:widowControl w:val="0"/>
      <w:adjustRightInd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3">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894">
    <w:name w:val="hy-表格1"/>
    <w:basedOn w:val="77"/>
    <w:qFormat/>
    <w:uiPriority w:val="0"/>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5">
    <w:name w:val="hy-表格2"/>
    <w:basedOn w:val="77"/>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6">
    <w:name w:val="网格型11"/>
    <w:basedOn w:val="77"/>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7">
    <w:name w:val="网格型2"/>
    <w:basedOn w:val="77"/>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8">
    <w:name w:val="cisdi表格1"/>
    <w:basedOn w:val="77"/>
    <w:qFormat/>
    <w:uiPriority w:val="0"/>
    <w:pPr>
      <w:widowControl w:val="0"/>
      <w:jc w:val="center"/>
    </w:pPr>
    <w:rPr>
      <w:sz w:val="21"/>
      <w:szCs w:val="21"/>
    </w:rPr>
    <w:tblP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
    <w:tcPr>
      <w:vAlign w:val="center"/>
    </w:tcPr>
    <w:tblStylePr w:type="firstRow">
      <w:rPr>
        <w:rFonts w:hint="default" w:ascii="Times New Roman" w:hAnsi="Times New Roman" w:eastAsia="System" w:cs="Times New Roman"/>
        <w:sz w:val="21"/>
        <w:szCs w:val="21"/>
      </w:rPr>
    </w:tblStylePr>
  </w:style>
  <w:style w:type="table" w:customStyle="1" w:styleId="1899">
    <w:name w:val="hy-表格11"/>
    <w:basedOn w:val="7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900">
    <w:name w:val="表格主题1"/>
    <w:basedOn w:val="77"/>
    <w:qFormat/>
    <w:uiPriority w:val="0"/>
    <w:pPr>
      <w:widowControl w:val="0"/>
      <w:spacing w:line="240" w:lineRule="exact"/>
      <w:jc w:val="center"/>
    </w:p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table" w:customStyle="1" w:styleId="1901">
    <w:name w:val="hy-表格21"/>
    <w:basedOn w:val="7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902">
    <w:name w:val="网格型21"/>
    <w:basedOn w:val="77"/>
    <w:qFormat/>
    <w:uiPriority w:val="0"/>
    <w:pPr>
      <w:widowControl w:val="0"/>
      <w:adjustRightInd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3">
    <w:name w:val="表格样式1"/>
    <w:basedOn w:val="77"/>
    <w:qFormat/>
    <w:uiPriority w:val="0"/>
    <w:pPr>
      <w:snapToGrid w:val="0"/>
      <w:jc w:val="center"/>
    </w:pPr>
    <w:rPr>
      <w:rFonts w:eastAsia="仿宋_GB2312"/>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character" w:customStyle="1" w:styleId="1904">
    <w:name w:val="标题 1 字符1"/>
    <w:qFormat/>
    <w:uiPriority w:val="0"/>
    <w:rPr>
      <w:rFonts w:ascii="Times New Roman" w:hAnsi="Times New Roman" w:eastAsia="宋体" w:cs="Times New Roman"/>
      <w:b/>
      <w:bCs/>
      <w:kern w:val="44"/>
      <w:sz w:val="44"/>
      <w:szCs w:val="44"/>
    </w:rPr>
  </w:style>
  <w:style w:type="table" w:customStyle="1" w:styleId="1905">
    <w:name w:val="网格型4"/>
    <w:basedOn w:val="77"/>
    <w:qFormat/>
    <w:uiPriority w:val="0"/>
    <w:pPr>
      <w:widowControl w:val="0"/>
      <w:adjustRightInd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6">
    <w:name w:val="网格型5"/>
    <w:basedOn w:val="77"/>
    <w:qFormat/>
    <w:uiPriority w:val="0"/>
    <w:pPr>
      <w:widowControl w:val="0"/>
      <w:adjustRightInd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7">
    <w:name w:val="网格型 511"/>
    <w:basedOn w:val="77"/>
    <w:qFormat/>
    <w:uiPriority w:val="0"/>
    <w:pPr>
      <w:widowControl w:val="0"/>
      <w:adjustRightInd w:val="0"/>
      <w:snapToGrid w:val="0"/>
      <w:spacing w:line="348"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08">
    <w:name w:val="网格型7"/>
    <w:basedOn w:val="77"/>
    <w:qFormat/>
    <w:uiPriority w:val="0"/>
    <w:pPr>
      <w:widowControl w:val="0"/>
      <w:adjustRightInd w:val="0"/>
      <w:snapToGrid w:val="0"/>
      <w:spacing w:line="348"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9">
    <w:name w:val="网格型 52"/>
    <w:basedOn w:val="77"/>
    <w:qFormat/>
    <w:uiPriority w:val="0"/>
    <w:pPr>
      <w:widowControl w:val="0"/>
      <w:adjustRightInd w:val="0"/>
      <w:spacing w:line="288" w:lineRule="auto"/>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10">
    <w:name w:val="网格型8"/>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1">
    <w:name w:val="网格型 521"/>
    <w:basedOn w:val="77"/>
    <w:qFormat/>
    <w:uiPriority w:val="0"/>
    <w:pPr>
      <w:widowControl w:val="0"/>
      <w:adjustRightInd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12">
    <w:name w:val="网格型 5211"/>
    <w:basedOn w:val="77"/>
    <w:qFormat/>
    <w:uiPriority w:val="0"/>
    <w:pPr>
      <w:widowControl w:val="0"/>
      <w:adjustRightInd w:val="0"/>
      <w:spacing w:line="288" w:lineRule="auto"/>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13">
    <w:name w:val="表格样式-郝电"/>
    <w:basedOn w:val="77"/>
    <w:qFormat/>
    <w:uiPriority w:val="0"/>
    <w:pPr>
      <w:snapToGrid w:val="0"/>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914">
    <w:name w:val="表格边框-hao"/>
    <w:basedOn w:val="77"/>
    <w:qFormat/>
    <w:uiPriority w:val="0"/>
    <w:pPr>
      <w:snapToGrid w:val="0"/>
      <w:jc w:val="center"/>
    </w:pPr>
    <w:rPr>
      <w:rFonts w:eastAsia="仿宋_GB2312"/>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915">
    <w:name w:val="网格型 53"/>
    <w:basedOn w:val="77"/>
    <w:qFormat/>
    <w:uiPriority w:val="0"/>
    <w:pPr>
      <w:widowControl w:val="0"/>
      <w:adjustRightInd w:val="0"/>
      <w:snapToGrid w:val="0"/>
      <w:spacing w:line="288" w:lineRule="auto"/>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vAlign w:val="center"/>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16">
    <w:name w:val="网格型 55"/>
    <w:basedOn w:val="77"/>
    <w:qFormat/>
    <w:uiPriority w:val="0"/>
    <w:pPr>
      <w:widowControl w:val="0"/>
      <w:adjustRightInd w:val="0"/>
      <w:snapToGrid w:val="0"/>
      <w:spacing w:line="348" w:lineRule="auto"/>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17">
    <w:name w:val="大纲表格1"/>
    <w:basedOn w:val="81"/>
    <w:qFormat/>
    <w:uiPriority w:val="0"/>
    <w:pPr>
      <w:jc w:val="center"/>
    </w:pPr>
    <w:rPr>
      <w:sz w:val="21"/>
    </w:rPr>
    <w:tblPr>
      <w:tblBorders>
        <w:insideH w:val="dotted" w:color="auto" w:sz="4" w:space="0"/>
        <w:insideV w:val="dotted" w:color="auto" w:sz="4" w:space="0"/>
      </w:tblBorders>
    </w:tblPr>
    <w:tcPr>
      <w:vAlign w:val="center"/>
    </w:tcPr>
    <w:tblStylePr w:type="firstRow">
      <w:rPr>
        <w:rFonts w:hint="default" w:ascii="Times New Roman" w:hAnsi="Times New Roman" w:eastAsia="Batang" w:cs="Times New Roman"/>
        <w:b w:val="0"/>
        <w:sz w:val="21"/>
        <w:szCs w:val="21"/>
      </w:rPr>
      <w:tcPr>
        <w:tcBorders>
          <w:top w:val="single" w:color="008000" w:sz="12" w:space="0"/>
          <w:left w:val="nil"/>
          <w:bottom w:val="single" w:color="008000" w:sz="8" w:space="0"/>
          <w:right w:val="nil"/>
          <w:insideH w:val="nil"/>
          <w:insideV w:val="nil"/>
          <w:tl2br w:val="nil"/>
          <w:tr2bl w:val="nil"/>
        </w:tcBorders>
        <w:shd w:val="clear" w:color="auto" w:fill="E0E0E0"/>
      </w:tcPr>
    </w:tblStylePr>
    <w:tblStylePr w:type="lastRow">
      <w:tcPr>
        <w:tcBorders>
          <w:top w:val="dotted" w:color="auto" w:sz="4" w:space="0"/>
          <w:left w:val="nil"/>
          <w:bottom w:val="nil"/>
          <w:right w:val="nil"/>
          <w:insideH w:val="nil"/>
          <w:insideV w:val="nil"/>
          <w:tl2br w:val="nil"/>
          <w:tr2bl w:val="nil"/>
        </w:tcBorders>
      </w:tcPr>
    </w:tblStylePr>
  </w:style>
  <w:style w:type="paragraph" w:customStyle="1" w:styleId="1918">
    <w:name w:val="Char Char18 Char Char Char Char Char 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919">
    <w:name w:val="Char Char185"/>
    <w:basedOn w:val="1"/>
    <w:semiHidden/>
    <w:qFormat/>
    <w:uiPriority w:val="0"/>
    <w:pPr>
      <w:adjustRightInd w:val="0"/>
      <w:snapToGrid w:val="0"/>
      <w:spacing w:line="360" w:lineRule="auto"/>
      <w:ind w:firstLine="200" w:firstLineChars="200"/>
    </w:pPr>
    <w:rPr>
      <w:rFonts w:ascii="宋体" w:hAnsi="宋体" w:cs="宋体"/>
      <w:sz w:val="24"/>
      <w:szCs w:val="26"/>
    </w:rPr>
  </w:style>
  <w:style w:type="character" w:customStyle="1" w:styleId="1920">
    <w:name w:val="批注文字 Char2"/>
    <w:qFormat/>
    <w:uiPriority w:val="0"/>
    <w:rPr>
      <w:kern w:val="2"/>
      <w:sz w:val="24"/>
      <w:szCs w:val="24"/>
    </w:rPr>
  </w:style>
  <w:style w:type="paragraph" w:customStyle="1" w:styleId="1921">
    <w:name w:val="南大梁1.1.1.1-1标题"/>
    <w:basedOn w:val="1"/>
    <w:qFormat/>
    <w:uiPriority w:val="0"/>
    <w:pPr>
      <w:spacing w:before="60" w:after="60" w:line="360" w:lineRule="auto"/>
    </w:pPr>
    <w:rPr>
      <w:rFonts w:ascii="黑体" w:hAnsi="宋体" w:eastAsia="黑体"/>
      <w:sz w:val="24"/>
      <w:szCs w:val="24"/>
    </w:rPr>
  </w:style>
  <w:style w:type="paragraph" w:customStyle="1" w:styleId="1922">
    <w:name w:val="2"/>
    <w:basedOn w:val="1"/>
    <w:next w:val="32"/>
    <w:qFormat/>
    <w:uiPriority w:val="0"/>
    <w:pPr>
      <w:spacing w:line="440" w:lineRule="exact"/>
      <w:ind w:left="902" w:firstLine="480" w:firstLineChars="200"/>
    </w:pPr>
    <w:rPr>
      <w:rFonts w:ascii="宋体" w:hAnsi="宋体"/>
      <w:sz w:val="24"/>
      <w:szCs w:val="20"/>
    </w:rPr>
  </w:style>
  <w:style w:type="paragraph" w:customStyle="1" w:styleId="1923">
    <w:name w:val="文章"/>
    <w:link w:val="1924"/>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character" w:customStyle="1" w:styleId="1924">
    <w:name w:val="文章 Char"/>
    <w:link w:val="1923"/>
    <w:qFormat/>
    <w:uiPriority w:val="0"/>
    <w:rPr>
      <w:rFonts w:ascii="Century Gothic" w:hAnsi="Century Gothic"/>
      <w:kern w:val="2"/>
      <w:sz w:val="26"/>
      <w:szCs w:val="26"/>
    </w:rPr>
  </w:style>
  <w:style w:type="character" w:customStyle="1" w:styleId="1925">
    <w:name w:val="文章 Char Char"/>
    <w:qFormat/>
    <w:uiPriority w:val="0"/>
    <w:rPr>
      <w:rFonts w:ascii="Century Gothic" w:hAnsi="Century Gothic"/>
      <w:kern w:val="2"/>
      <w:sz w:val="26"/>
      <w:szCs w:val="26"/>
    </w:rPr>
  </w:style>
  <w:style w:type="character" w:customStyle="1" w:styleId="1926">
    <w:name w:val="样式 样式 xns表格 + 行距: 最小值 0 磅 + 蓝色 Char"/>
    <w:link w:val="1927"/>
    <w:qFormat/>
    <w:uiPriority w:val="0"/>
    <w:rPr>
      <w:rFonts w:ascii="宋体" w:hAnsi="宋体" w:cs="宋体"/>
      <w:color w:val="0000FF"/>
      <w:sz w:val="21"/>
    </w:rPr>
  </w:style>
  <w:style w:type="paragraph" w:customStyle="1" w:styleId="1927">
    <w:name w:val="样式 样式 xns表格 + 行距: 最小值 0 磅 + 蓝色"/>
    <w:basedOn w:val="1928"/>
    <w:link w:val="1926"/>
    <w:qFormat/>
    <w:uiPriority w:val="0"/>
    <w:rPr>
      <w:color w:val="0000FF"/>
    </w:rPr>
  </w:style>
  <w:style w:type="paragraph" w:customStyle="1" w:styleId="1928">
    <w:name w:val="样式 xns表格 + 行距: 最小值 0 磅"/>
    <w:basedOn w:val="1"/>
    <w:link w:val="1929"/>
    <w:qFormat/>
    <w:uiPriority w:val="0"/>
    <w:pPr>
      <w:spacing w:line="0" w:lineRule="atLeast"/>
      <w:jc w:val="center"/>
    </w:pPr>
    <w:rPr>
      <w:rFonts w:ascii="宋体" w:hAnsi="宋体" w:cs="宋体"/>
      <w:color w:val="FF00FF"/>
      <w:kern w:val="0"/>
      <w:szCs w:val="20"/>
    </w:rPr>
  </w:style>
  <w:style w:type="character" w:customStyle="1" w:styleId="1929">
    <w:name w:val="样式 xns表格 + 行距: 最小值 0 磅 Char"/>
    <w:link w:val="1928"/>
    <w:qFormat/>
    <w:uiPriority w:val="0"/>
    <w:rPr>
      <w:rFonts w:ascii="宋体" w:hAnsi="宋体" w:cs="宋体"/>
      <w:color w:val="FF00FF"/>
      <w:sz w:val="21"/>
    </w:rPr>
  </w:style>
  <w:style w:type="paragraph" w:customStyle="1" w:styleId="1930">
    <w:name w:val="表头"/>
    <w:basedOn w:val="1"/>
    <w:next w:val="1"/>
    <w:link w:val="1931"/>
    <w:qFormat/>
    <w:uiPriority w:val="0"/>
    <w:pPr>
      <w:numPr>
        <w:ilvl w:val="0"/>
        <w:numId w:val="4"/>
      </w:numPr>
      <w:adjustRightInd w:val="0"/>
      <w:snapToGrid w:val="0"/>
      <w:spacing w:before="120" w:line="240" w:lineRule="atLeast"/>
      <w:jc w:val="center"/>
    </w:pPr>
    <w:rPr>
      <w:rFonts w:ascii="Century Gothic" w:hAnsi="Century Gothic"/>
      <w:spacing w:val="2"/>
      <w:sz w:val="26"/>
      <w:szCs w:val="26"/>
      <w:lang w:val="zh-CN"/>
    </w:rPr>
  </w:style>
  <w:style w:type="character" w:customStyle="1" w:styleId="1931">
    <w:name w:val="表头 Char"/>
    <w:link w:val="1930"/>
    <w:qFormat/>
    <w:uiPriority w:val="0"/>
    <w:rPr>
      <w:rFonts w:ascii="Century Gothic" w:hAnsi="Century Gothic"/>
      <w:spacing w:val="2"/>
      <w:kern w:val="2"/>
      <w:sz w:val="26"/>
      <w:szCs w:val="26"/>
      <w:lang w:val="zh-CN" w:eastAsia="zh-CN"/>
    </w:rPr>
  </w:style>
  <w:style w:type="character" w:customStyle="1" w:styleId="1932">
    <w:name w:val="样式1 Char1"/>
    <w:qFormat/>
    <w:uiPriority w:val="0"/>
    <w:rPr>
      <w:rFonts w:ascii="宋体" w:hAnsi="Tms Rmn" w:eastAsia="宋体"/>
      <w:color w:val="000000"/>
      <w:sz w:val="24"/>
      <w:lang w:val="en-US" w:eastAsia="zh-CN" w:bidi="ar-SA"/>
    </w:rPr>
  </w:style>
  <w:style w:type="character" w:customStyle="1" w:styleId="1933">
    <w:name w:val="！表格 Char Char"/>
    <w:qFormat/>
    <w:uiPriority w:val="0"/>
    <w:rPr>
      <w:rFonts w:ascii="宋体" w:hAnsi="宋体" w:eastAsia="宋体"/>
      <w:color w:val="000000"/>
      <w:sz w:val="21"/>
      <w:szCs w:val="21"/>
      <w:u w:color="000000"/>
      <w:lang w:val="en-US" w:eastAsia="zh-CN" w:bidi="ar-SA"/>
    </w:rPr>
  </w:style>
  <w:style w:type="character" w:customStyle="1" w:styleId="1934">
    <w:name w:val="表格2 Char"/>
    <w:link w:val="1041"/>
    <w:qFormat/>
    <w:uiPriority w:val="0"/>
    <w:rPr>
      <w:rFonts w:ascii="Times New Roman" w:hAnsi="Times New Roman"/>
      <w:color w:val="000000"/>
      <w:kern w:val="2"/>
      <w:sz w:val="21"/>
    </w:rPr>
  </w:style>
  <w:style w:type="character" w:customStyle="1" w:styleId="1935">
    <w:name w:val="0正文 Char"/>
    <w:link w:val="250"/>
    <w:qFormat/>
    <w:uiPriority w:val="0"/>
    <w:rPr>
      <w:rFonts w:ascii="Times New Roman" w:hAnsi="Times New Roman" w:cs="宋体"/>
      <w:kern w:val="2"/>
      <w:sz w:val="24"/>
      <w:szCs w:val="22"/>
    </w:rPr>
  </w:style>
  <w:style w:type="character" w:customStyle="1" w:styleId="1936">
    <w:name w:val="表体（居中） Char Char"/>
    <w:link w:val="1937"/>
    <w:qFormat/>
    <w:uiPriority w:val="0"/>
    <w:rPr>
      <w:sz w:val="21"/>
      <w:szCs w:val="28"/>
      <w:lang w:val="en-US" w:eastAsia="zh-CN"/>
    </w:rPr>
  </w:style>
  <w:style w:type="paragraph" w:customStyle="1" w:styleId="1937">
    <w:name w:val="表体（居中）"/>
    <w:basedOn w:val="1"/>
    <w:next w:val="1"/>
    <w:link w:val="1936"/>
    <w:qFormat/>
    <w:uiPriority w:val="0"/>
    <w:pPr>
      <w:tabs>
        <w:tab w:val="left" w:pos="2760"/>
      </w:tabs>
      <w:snapToGrid w:val="0"/>
      <w:jc w:val="center"/>
      <w:textAlignment w:val="center"/>
    </w:pPr>
    <w:rPr>
      <w:kern w:val="0"/>
      <w:szCs w:val="28"/>
    </w:rPr>
  </w:style>
  <w:style w:type="paragraph" w:customStyle="1" w:styleId="1938">
    <w:name w:val="6表内文字 居中"/>
    <w:basedOn w:val="1"/>
    <w:qFormat/>
    <w:uiPriority w:val="0"/>
    <w:pPr>
      <w:adjustRightInd w:val="0"/>
      <w:spacing w:line="240" w:lineRule="atLeast"/>
      <w:jc w:val="center"/>
      <w:textAlignment w:val="baseline"/>
    </w:pPr>
    <w:rPr>
      <w:spacing w:val="4"/>
      <w:kern w:val="0"/>
      <w:szCs w:val="24"/>
    </w:rPr>
  </w:style>
  <w:style w:type="character" w:customStyle="1" w:styleId="1939">
    <w:name w:val="！表标题 Char Char"/>
    <w:link w:val="1940"/>
    <w:qFormat/>
    <w:uiPriority w:val="0"/>
    <w:rPr>
      <w:rFonts w:ascii="黑体" w:eastAsia="黑体"/>
      <w:color w:val="000000"/>
      <w:kern w:val="2"/>
      <w:sz w:val="24"/>
      <w:szCs w:val="24"/>
      <w:u w:color="000000"/>
    </w:rPr>
  </w:style>
  <w:style w:type="paragraph" w:customStyle="1" w:styleId="1940">
    <w:name w:val="！表标题"/>
    <w:basedOn w:val="1"/>
    <w:link w:val="1939"/>
    <w:qFormat/>
    <w:uiPriority w:val="0"/>
    <w:pPr>
      <w:snapToGrid w:val="0"/>
      <w:spacing w:before="156" w:beforeLines="50" w:after="156" w:afterLines="50" w:line="336" w:lineRule="auto"/>
      <w:jc w:val="center"/>
      <w:textAlignment w:val="baseline"/>
      <w:outlineLvl w:val="4"/>
    </w:pPr>
    <w:rPr>
      <w:rFonts w:ascii="黑体" w:eastAsia="黑体"/>
      <w:color w:val="000000"/>
      <w:sz w:val="24"/>
      <w:szCs w:val="24"/>
      <w:u w:color="000000"/>
    </w:rPr>
  </w:style>
  <w:style w:type="character" w:customStyle="1" w:styleId="1941">
    <w:name w:val="!表格标题（alt+h） Char1"/>
    <w:link w:val="1942"/>
    <w:qFormat/>
    <w:uiPriority w:val="0"/>
    <w:rPr>
      <w:rFonts w:hAnsi="宋体" w:eastAsia="黑体"/>
      <w:sz w:val="24"/>
      <w:szCs w:val="24"/>
    </w:rPr>
  </w:style>
  <w:style w:type="paragraph" w:customStyle="1" w:styleId="1942">
    <w:name w:val="!表格标题（alt+h）"/>
    <w:basedOn w:val="1"/>
    <w:next w:val="1"/>
    <w:link w:val="1941"/>
    <w:qFormat/>
    <w:uiPriority w:val="0"/>
    <w:pPr>
      <w:spacing w:before="156" w:beforeLines="50" w:after="78" w:afterLines="25" w:line="300" w:lineRule="auto"/>
      <w:jc w:val="center"/>
      <w:outlineLvl w:val="4"/>
    </w:pPr>
    <w:rPr>
      <w:rFonts w:hAnsi="宋体" w:eastAsia="黑体"/>
      <w:kern w:val="0"/>
      <w:sz w:val="24"/>
      <w:szCs w:val="24"/>
    </w:rPr>
  </w:style>
  <w:style w:type="paragraph" w:customStyle="1" w:styleId="1943">
    <w:name w:val="样式 表格名称 + 首行缩进:  0.85 厘米"/>
    <w:basedOn w:val="884"/>
    <w:qFormat/>
    <w:uiPriority w:val="99"/>
    <w:pPr>
      <w:spacing w:line="500" w:lineRule="exact"/>
      <w:ind w:firstLine="0" w:firstLineChars="0"/>
    </w:pPr>
    <w:rPr>
      <w:rFonts w:cs="宋体"/>
      <w:color w:val="0000FF"/>
    </w:rPr>
  </w:style>
  <w:style w:type="paragraph" w:customStyle="1" w:styleId="1944">
    <w:name w:val="正文 lsp"/>
    <w:basedOn w:val="1"/>
    <w:link w:val="1945"/>
    <w:qFormat/>
    <w:uiPriority w:val="0"/>
    <w:pPr>
      <w:spacing w:line="360" w:lineRule="auto"/>
      <w:ind w:firstLine="480" w:firstLineChars="200"/>
    </w:pPr>
    <w:rPr>
      <w:rFonts w:ascii="宋体"/>
      <w:sz w:val="24"/>
      <w:szCs w:val="24"/>
      <w:lang w:val="zh-CN"/>
    </w:rPr>
  </w:style>
  <w:style w:type="character" w:customStyle="1" w:styleId="1945">
    <w:name w:val="正文 lsp Char"/>
    <w:link w:val="1944"/>
    <w:qFormat/>
    <w:uiPriority w:val="0"/>
    <w:rPr>
      <w:rFonts w:ascii="宋体" w:hAnsi="Times New Roman"/>
      <w:kern w:val="2"/>
      <w:sz w:val="24"/>
      <w:szCs w:val="24"/>
      <w:lang w:val="zh-CN" w:eastAsia="zh-CN"/>
    </w:rPr>
  </w:style>
  <w:style w:type="paragraph" w:customStyle="1" w:styleId="1946">
    <w:name w:val="表中内容"/>
    <w:basedOn w:val="1"/>
    <w:qFormat/>
    <w:uiPriority w:val="0"/>
    <w:pPr>
      <w:jc w:val="left"/>
    </w:pPr>
    <w:rPr>
      <w:szCs w:val="24"/>
    </w:rPr>
  </w:style>
  <w:style w:type="character" w:customStyle="1" w:styleId="1947">
    <w:name w:val="样式 样式 正文首行缩进 + 首行缩进:  1 字符 + 宋体 Char Char"/>
    <w:link w:val="1948"/>
    <w:qFormat/>
    <w:uiPriority w:val="0"/>
    <w:rPr>
      <w:rFonts w:ascii="宋体" w:hAnsi="宋体"/>
      <w:color w:val="0000FF"/>
      <w:kern w:val="2"/>
      <w:sz w:val="24"/>
    </w:rPr>
  </w:style>
  <w:style w:type="paragraph" w:customStyle="1" w:styleId="1948">
    <w:name w:val="样式 样式 正文首行缩进 + 首行缩进:  1 字符 + 宋体"/>
    <w:basedOn w:val="1"/>
    <w:link w:val="1947"/>
    <w:qFormat/>
    <w:uiPriority w:val="0"/>
    <w:pPr>
      <w:spacing w:line="460" w:lineRule="exact"/>
      <w:ind w:firstLine="480" w:firstLineChars="200"/>
      <w:jc w:val="left"/>
    </w:pPr>
    <w:rPr>
      <w:rFonts w:ascii="宋体" w:hAnsi="宋体"/>
      <w:color w:val="0000FF"/>
      <w:sz w:val="24"/>
      <w:szCs w:val="20"/>
    </w:rPr>
  </w:style>
  <w:style w:type="character" w:customStyle="1" w:styleId="1949">
    <w:name w:val="签名 字符"/>
    <w:qFormat/>
    <w:uiPriority w:val="0"/>
    <w:rPr>
      <w:kern w:val="2"/>
      <w:sz w:val="21"/>
      <w:szCs w:val="22"/>
    </w:rPr>
  </w:style>
  <w:style w:type="character" w:customStyle="1" w:styleId="1950">
    <w:name w:val="签名 字符2"/>
    <w:link w:val="52"/>
    <w:qFormat/>
    <w:uiPriority w:val="0"/>
    <w:rPr>
      <w:rFonts w:ascii="Times New Roman" w:hAnsi="Times New Roman"/>
      <w:kern w:val="2"/>
      <w:sz w:val="21"/>
      <w:szCs w:val="21"/>
    </w:rPr>
  </w:style>
  <w:style w:type="paragraph" w:customStyle="1" w:styleId="1951">
    <w:name w:val="Char Char27"/>
    <w:basedOn w:val="1"/>
    <w:qFormat/>
    <w:uiPriority w:val="0"/>
    <w:pPr>
      <w:adjustRightInd w:val="0"/>
      <w:snapToGrid w:val="0"/>
      <w:spacing w:line="360" w:lineRule="auto"/>
      <w:ind w:firstLine="200" w:firstLineChars="200"/>
    </w:pPr>
    <w:rPr>
      <w:szCs w:val="24"/>
    </w:rPr>
  </w:style>
  <w:style w:type="character" w:customStyle="1" w:styleId="1952">
    <w:name w:val="批注文字 字符"/>
    <w:qFormat/>
    <w:uiPriority w:val="99"/>
    <w:rPr>
      <w:rFonts w:ascii="Calibri" w:hAnsi="Calibri" w:eastAsia="宋体"/>
      <w:kern w:val="2"/>
      <w:sz w:val="21"/>
      <w:szCs w:val="22"/>
      <w:lang w:val="en-US" w:eastAsia="zh-CN" w:bidi="ar-SA"/>
    </w:rPr>
  </w:style>
  <w:style w:type="paragraph" w:customStyle="1" w:styleId="1953">
    <w:name w:val="yxp_正文段落"/>
    <w:basedOn w:val="1"/>
    <w:qFormat/>
    <w:uiPriority w:val="0"/>
    <w:pPr>
      <w:tabs>
        <w:tab w:val="center" w:pos="6804"/>
        <w:tab w:val="right" w:pos="7371"/>
      </w:tabs>
      <w:spacing w:line="360" w:lineRule="auto"/>
      <w:ind w:firstLine="200" w:firstLineChars="200"/>
    </w:pPr>
    <w:rPr>
      <w:sz w:val="28"/>
      <w:szCs w:val="20"/>
    </w:rPr>
  </w:style>
  <w:style w:type="character" w:customStyle="1" w:styleId="1954">
    <w:name w:val="Char Char161"/>
    <w:qFormat/>
    <w:uiPriority w:val="0"/>
    <w:rPr>
      <w:rFonts w:eastAsia="仿宋_GB2312" w:cs="宋体"/>
      <w:sz w:val="32"/>
      <w:szCs w:val="24"/>
      <w:lang w:val="zh-CN" w:eastAsia="zh-CN" w:bidi="ar-SA"/>
    </w:rPr>
  </w:style>
  <w:style w:type="character" w:customStyle="1" w:styleId="1955">
    <w:name w:val="页眉 字符"/>
    <w:qFormat/>
    <w:uiPriority w:val="99"/>
    <w:rPr>
      <w:rFonts w:ascii="Calibri" w:hAnsi="Calibri"/>
      <w:kern w:val="2"/>
      <w:sz w:val="18"/>
      <w:szCs w:val="18"/>
    </w:rPr>
  </w:style>
  <w:style w:type="character" w:customStyle="1" w:styleId="1956">
    <w:name w:val="页脚 字符"/>
    <w:qFormat/>
    <w:uiPriority w:val="99"/>
    <w:rPr>
      <w:rFonts w:ascii="Calibri" w:hAnsi="Calibri"/>
      <w:kern w:val="2"/>
      <w:sz w:val="18"/>
      <w:szCs w:val="18"/>
    </w:rPr>
  </w:style>
  <w:style w:type="character" w:customStyle="1" w:styleId="1957">
    <w:name w:val="纯文本 字符"/>
    <w:qFormat/>
    <w:uiPriority w:val="0"/>
    <w:rPr>
      <w:rFonts w:ascii="宋体" w:hAnsi="Courier New" w:cs="Courier New"/>
      <w:kern w:val="2"/>
      <w:sz w:val="21"/>
      <w:szCs w:val="21"/>
    </w:rPr>
  </w:style>
  <w:style w:type="character" w:customStyle="1" w:styleId="1958">
    <w:name w:val="标题 1 字符"/>
    <w:qFormat/>
    <w:uiPriority w:val="9"/>
    <w:rPr>
      <w:rFonts w:ascii="Calibri" w:hAnsi="Calibri"/>
      <w:b/>
      <w:bCs/>
      <w:kern w:val="44"/>
      <w:sz w:val="44"/>
      <w:szCs w:val="44"/>
    </w:rPr>
  </w:style>
  <w:style w:type="character" w:customStyle="1" w:styleId="1959">
    <w:name w:val="标题 2 字符"/>
    <w:qFormat/>
    <w:uiPriority w:val="9"/>
    <w:rPr>
      <w:rFonts w:ascii="等线 Light" w:hAnsi="等线 Light" w:eastAsia="等线 Light" w:cs="Times New Roman"/>
      <w:b/>
      <w:bCs/>
      <w:kern w:val="2"/>
      <w:sz w:val="32"/>
      <w:szCs w:val="32"/>
    </w:rPr>
  </w:style>
  <w:style w:type="character" w:customStyle="1" w:styleId="1960">
    <w:name w:val="标题 4 字符"/>
    <w:qFormat/>
    <w:uiPriority w:val="0"/>
    <w:rPr>
      <w:rFonts w:ascii="等线 Light" w:hAnsi="等线 Light" w:eastAsia="等线 Light" w:cs="Times New Roman"/>
      <w:b/>
      <w:bCs/>
      <w:kern w:val="2"/>
      <w:sz w:val="28"/>
      <w:szCs w:val="28"/>
    </w:rPr>
  </w:style>
  <w:style w:type="character" w:customStyle="1" w:styleId="1961">
    <w:name w:val="标题 5 字符"/>
    <w:semiHidden/>
    <w:qFormat/>
    <w:uiPriority w:val="0"/>
    <w:rPr>
      <w:rFonts w:ascii="Calibri" w:hAnsi="Calibri"/>
      <w:b/>
      <w:bCs/>
      <w:kern w:val="2"/>
      <w:sz w:val="28"/>
      <w:szCs w:val="28"/>
    </w:rPr>
  </w:style>
  <w:style w:type="character" w:customStyle="1" w:styleId="1962">
    <w:name w:val="标题 6 字符"/>
    <w:semiHidden/>
    <w:qFormat/>
    <w:uiPriority w:val="0"/>
    <w:rPr>
      <w:rFonts w:ascii="等线 Light" w:hAnsi="等线 Light" w:eastAsia="等线 Light" w:cs="Times New Roman"/>
      <w:b/>
      <w:bCs/>
      <w:kern w:val="2"/>
      <w:sz w:val="24"/>
      <w:szCs w:val="24"/>
    </w:rPr>
  </w:style>
  <w:style w:type="character" w:customStyle="1" w:styleId="1963">
    <w:name w:val="标题 7 字符"/>
    <w:semiHidden/>
    <w:qFormat/>
    <w:uiPriority w:val="0"/>
    <w:rPr>
      <w:rFonts w:ascii="Calibri" w:hAnsi="Calibri"/>
      <w:b/>
      <w:bCs/>
      <w:kern w:val="2"/>
      <w:sz w:val="24"/>
      <w:szCs w:val="24"/>
    </w:rPr>
  </w:style>
  <w:style w:type="character" w:customStyle="1" w:styleId="1964">
    <w:name w:val="标题 8 字符"/>
    <w:semiHidden/>
    <w:qFormat/>
    <w:uiPriority w:val="0"/>
    <w:rPr>
      <w:rFonts w:ascii="等线 Light" w:hAnsi="等线 Light" w:eastAsia="等线 Light" w:cs="Times New Roman"/>
      <w:kern w:val="2"/>
      <w:sz w:val="24"/>
      <w:szCs w:val="24"/>
    </w:rPr>
  </w:style>
  <w:style w:type="character" w:customStyle="1" w:styleId="1965">
    <w:name w:val="标题 9 字符"/>
    <w:semiHidden/>
    <w:qFormat/>
    <w:uiPriority w:val="0"/>
    <w:rPr>
      <w:rFonts w:ascii="等线 Light" w:hAnsi="等线 Light" w:eastAsia="等线 Light" w:cs="Times New Roman"/>
      <w:kern w:val="2"/>
      <w:sz w:val="21"/>
      <w:szCs w:val="21"/>
    </w:rPr>
  </w:style>
  <w:style w:type="paragraph" w:customStyle="1" w:styleId="1966">
    <w:name w:val="15"/>
    <w:basedOn w:val="1"/>
    <w:next w:val="197"/>
    <w:qFormat/>
    <w:uiPriority w:val="34"/>
    <w:pPr>
      <w:ind w:firstLine="420" w:firstLineChars="200"/>
    </w:pPr>
  </w:style>
  <w:style w:type="character" w:customStyle="1" w:styleId="1967">
    <w:name w:val="正文文本 字符"/>
    <w:qFormat/>
    <w:uiPriority w:val="0"/>
    <w:rPr>
      <w:rFonts w:ascii="Calibri" w:hAnsi="Calibri"/>
      <w:kern w:val="2"/>
      <w:sz w:val="21"/>
      <w:szCs w:val="22"/>
    </w:rPr>
  </w:style>
  <w:style w:type="character" w:customStyle="1" w:styleId="1968">
    <w:name w:val="正文文本首行缩进 字符"/>
    <w:basedOn w:val="1967"/>
    <w:qFormat/>
    <w:uiPriority w:val="0"/>
    <w:rPr>
      <w:rFonts w:ascii="Calibri" w:hAnsi="Calibri"/>
      <w:kern w:val="2"/>
      <w:sz w:val="21"/>
      <w:szCs w:val="22"/>
    </w:rPr>
  </w:style>
  <w:style w:type="character" w:customStyle="1" w:styleId="1969">
    <w:name w:val="正文文本缩进 字符"/>
    <w:qFormat/>
    <w:uiPriority w:val="99"/>
    <w:rPr>
      <w:rFonts w:ascii="Calibri" w:hAnsi="Calibri"/>
      <w:kern w:val="2"/>
      <w:sz w:val="21"/>
      <w:szCs w:val="22"/>
    </w:rPr>
  </w:style>
  <w:style w:type="character" w:customStyle="1" w:styleId="1970">
    <w:name w:val="正文文本首行缩进 2 字符"/>
    <w:basedOn w:val="1969"/>
    <w:qFormat/>
    <w:uiPriority w:val="0"/>
    <w:rPr>
      <w:rFonts w:ascii="Calibri" w:hAnsi="Calibri"/>
      <w:kern w:val="2"/>
      <w:sz w:val="21"/>
      <w:szCs w:val="22"/>
    </w:rPr>
  </w:style>
  <w:style w:type="character" w:customStyle="1" w:styleId="1971">
    <w:name w:val="标题2 Char"/>
    <w:link w:val="967"/>
    <w:qFormat/>
    <w:uiPriority w:val="0"/>
    <w:rPr>
      <w:rFonts w:ascii="宋体" w:hAnsi="Arial" w:cs="宋体"/>
      <w:b/>
      <w:color w:val="000000"/>
      <w:kern w:val="2"/>
      <w:sz w:val="28"/>
      <w:szCs w:val="28"/>
    </w:rPr>
  </w:style>
  <w:style w:type="character" w:customStyle="1" w:styleId="1972">
    <w:name w:val="标题4 Char"/>
    <w:link w:val="871"/>
    <w:qFormat/>
    <w:uiPriority w:val="0"/>
    <w:rPr>
      <w:rFonts w:ascii="宋体" w:hAnsi="宋体"/>
      <w:sz w:val="28"/>
      <w:lang w:val="en-US" w:eastAsia="zh-CN"/>
    </w:rPr>
  </w:style>
  <w:style w:type="character" w:customStyle="1" w:styleId="1973">
    <w:name w:val="表名 Char"/>
    <w:qFormat/>
    <w:uiPriority w:val="0"/>
    <w:rPr>
      <w:b/>
      <w:kern w:val="2"/>
      <w:sz w:val="24"/>
      <w:szCs w:val="24"/>
    </w:rPr>
  </w:style>
  <w:style w:type="character" w:customStyle="1" w:styleId="1974">
    <w:name w:val="最新表格 Char"/>
    <w:link w:val="1975"/>
    <w:qFormat/>
    <w:uiPriority w:val="0"/>
    <w:rPr>
      <w:szCs w:val="21"/>
    </w:rPr>
  </w:style>
  <w:style w:type="paragraph" w:customStyle="1" w:styleId="1975">
    <w:name w:val="最新表格"/>
    <w:basedOn w:val="1"/>
    <w:link w:val="1974"/>
    <w:qFormat/>
    <w:uiPriority w:val="0"/>
    <w:pPr>
      <w:snapToGrid w:val="0"/>
      <w:jc w:val="center"/>
    </w:pPr>
    <w:rPr>
      <w:kern w:val="0"/>
      <w:sz w:val="20"/>
      <w:szCs w:val="21"/>
    </w:rPr>
  </w:style>
  <w:style w:type="paragraph" w:customStyle="1" w:styleId="1976">
    <w:name w:val="图表文本"/>
    <w:basedOn w:val="1"/>
    <w:link w:val="1977"/>
    <w:qFormat/>
    <w:uiPriority w:val="0"/>
    <w:pPr>
      <w:adjustRightInd w:val="0"/>
      <w:snapToGrid w:val="0"/>
      <w:jc w:val="left"/>
    </w:pPr>
    <w:rPr>
      <w:rFonts w:ascii="仿宋_GB2312" w:hAnsi="宋体" w:eastAsia="仿宋_GB2312"/>
      <w:bCs/>
      <w:color w:val="000000"/>
      <w:kern w:val="0"/>
      <w:szCs w:val="28"/>
    </w:rPr>
  </w:style>
  <w:style w:type="character" w:customStyle="1" w:styleId="1977">
    <w:name w:val="图表文本 Char"/>
    <w:link w:val="1976"/>
    <w:qFormat/>
    <w:uiPriority w:val="0"/>
    <w:rPr>
      <w:rFonts w:ascii="仿宋_GB2312" w:hAnsi="宋体" w:eastAsia="仿宋_GB2312"/>
      <w:bCs/>
      <w:color w:val="000000"/>
      <w:sz w:val="21"/>
      <w:szCs w:val="28"/>
    </w:rPr>
  </w:style>
  <w:style w:type="paragraph" w:customStyle="1" w:styleId="1978">
    <w:name w:val="图表内容"/>
    <w:basedOn w:val="1"/>
    <w:qFormat/>
    <w:uiPriority w:val="0"/>
    <w:pPr>
      <w:spacing w:line="400" w:lineRule="exact"/>
      <w:jc w:val="center"/>
    </w:pPr>
    <w:rPr>
      <w:rFonts w:ascii="宋体" w:hAnsi="宋体" w:cs="宋体"/>
      <w:snapToGrid w:val="0"/>
      <w:szCs w:val="21"/>
    </w:rPr>
  </w:style>
  <w:style w:type="character" w:customStyle="1" w:styleId="1979">
    <w:name w:val="日期 字符"/>
    <w:qFormat/>
    <w:uiPriority w:val="0"/>
    <w:rPr>
      <w:kern w:val="2"/>
      <w:sz w:val="24"/>
      <w:szCs w:val="24"/>
    </w:rPr>
  </w:style>
  <w:style w:type="paragraph" w:customStyle="1" w:styleId="1980">
    <w:name w:val="正文格式"/>
    <w:basedOn w:val="1"/>
    <w:link w:val="1981"/>
    <w:qFormat/>
    <w:uiPriority w:val="0"/>
    <w:pPr>
      <w:spacing w:line="520" w:lineRule="exact"/>
      <w:ind w:firstLine="200" w:firstLineChars="200"/>
    </w:pPr>
    <w:rPr>
      <w:rFonts w:ascii="宋体" w:hAnsi="宋体"/>
      <w:bCs/>
      <w:sz w:val="24"/>
      <w:szCs w:val="24"/>
    </w:rPr>
  </w:style>
  <w:style w:type="character" w:customStyle="1" w:styleId="1981">
    <w:name w:val="正文格式 Char"/>
    <w:link w:val="1980"/>
    <w:qFormat/>
    <w:uiPriority w:val="0"/>
    <w:rPr>
      <w:rFonts w:ascii="宋体" w:hAnsi="宋体"/>
      <w:bCs/>
      <w:kern w:val="2"/>
      <w:sz w:val="24"/>
      <w:szCs w:val="24"/>
    </w:rPr>
  </w:style>
  <w:style w:type="character" w:customStyle="1" w:styleId="1982">
    <w:name w:val="表格文字居中 Char"/>
    <w:link w:val="1310"/>
    <w:qFormat/>
    <w:uiPriority w:val="0"/>
    <w:rPr>
      <w:rFonts w:ascii="Times New Roman" w:hAnsi="Times New Roman"/>
      <w:kern w:val="2"/>
      <w:sz w:val="21"/>
    </w:rPr>
  </w:style>
  <w:style w:type="paragraph" w:customStyle="1" w:styleId="1983">
    <w:name w:val="样式 haydonli + 首行缩进:  2 字符"/>
    <w:basedOn w:val="1"/>
    <w:qFormat/>
    <w:uiPriority w:val="0"/>
    <w:pPr>
      <w:adjustRightInd w:val="0"/>
      <w:snapToGrid w:val="0"/>
      <w:spacing w:line="400" w:lineRule="exact"/>
      <w:ind w:firstLine="420"/>
    </w:pPr>
    <w:rPr>
      <w:rFonts w:ascii="宋体" w:hAnsi="宋体" w:cs="宋体"/>
      <w:snapToGrid w:val="0"/>
      <w:kern w:val="0"/>
      <w:sz w:val="24"/>
      <w:szCs w:val="24"/>
    </w:rPr>
  </w:style>
  <w:style w:type="paragraph" w:customStyle="1" w:styleId="1984">
    <w:name w:val="文本条款"/>
    <w:basedOn w:val="1"/>
    <w:next w:val="66"/>
    <w:qFormat/>
    <w:uiPriority w:val="0"/>
    <w:pPr>
      <w:widowControl/>
      <w:jc w:val="left"/>
    </w:pPr>
    <w:rPr>
      <w:sz w:val="24"/>
    </w:rPr>
  </w:style>
  <w:style w:type="character" w:customStyle="1" w:styleId="1985">
    <w:name w:val="正文文本 2 字符"/>
    <w:qFormat/>
    <w:uiPriority w:val="99"/>
    <w:rPr>
      <w:kern w:val="2"/>
      <w:sz w:val="24"/>
      <w:szCs w:val="24"/>
    </w:rPr>
  </w:style>
  <w:style w:type="character" w:customStyle="1" w:styleId="1986">
    <w:name w:val="标题 2 字符1"/>
    <w:qFormat/>
    <w:uiPriority w:val="0"/>
    <w:rPr>
      <w:rFonts w:ascii="Arial" w:hAnsi="Arial" w:eastAsia="宋体" w:cs="Times New Roman"/>
      <w:b/>
      <w:bCs/>
      <w:sz w:val="28"/>
      <w:szCs w:val="32"/>
    </w:rPr>
  </w:style>
  <w:style w:type="character" w:customStyle="1" w:styleId="1987">
    <w:name w:val="标题 3 字符1"/>
    <w:qFormat/>
    <w:uiPriority w:val="0"/>
    <w:rPr>
      <w:rFonts w:ascii="Times New Roman" w:hAnsi="Times New Roman" w:eastAsia="宋体" w:cs="Times New Roman"/>
      <w:b/>
      <w:bCs/>
      <w:sz w:val="24"/>
      <w:szCs w:val="32"/>
    </w:rPr>
  </w:style>
  <w:style w:type="character" w:customStyle="1" w:styleId="1988">
    <w:name w:val="apple-style-span"/>
    <w:qFormat/>
    <w:uiPriority w:val="0"/>
  </w:style>
  <w:style w:type="character" w:customStyle="1" w:styleId="1989">
    <w:name w:val="p11"/>
    <w:qFormat/>
    <w:uiPriority w:val="0"/>
    <w:rPr>
      <w:rFonts w:hint="eastAsia" w:ascii="宋体" w:hAnsi="宋体" w:eastAsia="宋体"/>
      <w:sz w:val="18"/>
      <w:szCs w:val="18"/>
    </w:rPr>
  </w:style>
  <w:style w:type="character" w:customStyle="1" w:styleId="1990">
    <w:name w:val="正文缩进 字符"/>
    <w:qFormat/>
    <w:uiPriority w:val="0"/>
    <w:rPr>
      <w:b/>
      <w:sz w:val="28"/>
      <w:szCs w:val="24"/>
    </w:rPr>
  </w:style>
  <w:style w:type="character" w:customStyle="1" w:styleId="1991">
    <w:name w:val="批注框文本 字符"/>
    <w:qFormat/>
    <w:uiPriority w:val="99"/>
    <w:rPr>
      <w:rFonts w:ascii="Times New Roman" w:hAnsi="Times New Roman" w:eastAsia="宋体" w:cs="Times New Roman"/>
      <w:b/>
      <w:sz w:val="18"/>
      <w:szCs w:val="18"/>
    </w:rPr>
  </w:style>
  <w:style w:type="paragraph" w:customStyle="1" w:styleId="1992">
    <w:name w:val="正文r Char Char"/>
    <w:basedOn w:val="1"/>
    <w:next w:val="1"/>
    <w:qFormat/>
    <w:uiPriority w:val="0"/>
    <w:pPr>
      <w:adjustRightInd w:val="0"/>
      <w:snapToGrid w:val="0"/>
      <w:spacing w:line="360" w:lineRule="auto"/>
      <w:ind w:firstLine="480" w:firstLineChars="200"/>
      <w:jc w:val="left"/>
    </w:pPr>
    <w:rPr>
      <w:sz w:val="24"/>
      <w:szCs w:val="24"/>
    </w:rPr>
  </w:style>
  <w:style w:type="character" w:customStyle="1" w:styleId="1993">
    <w:name w:val="样式 !正文(alt+c) + 蓝色 Char"/>
    <w:link w:val="1994"/>
    <w:qFormat/>
    <w:locked/>
    <w:uiPriority w:val="0"/>
    <w:rPr>
      <w:rFonts w:ascii="宋体" w:hAnsi="宋体"/>
      <w:color w:val="0000FF"/>
      <w:sz w:val="24"/>
      <w:szCs w:val="24"/>
    </w:rPr>
  </w:style>
  <w:style w:type="paragraph" w:customStyle="1" w:styleId="1994">
    <w:name w:val="样式 !正文(alt+c) + 蓝色"/>
    <w:basedOn w:val="1"/>
    <w:link w:val="1993"/>
    <w:qFormat/>
    <w:uiPriority w:val="0"/>
    <w:pPr>
      <w:widowControl/>
      <w:spacing w:line="460" w:lineRule="exact"/>
      <w:ind w:firstLine="480" w:firstLineChars="200"/>
    </w:pPr>
    <w:rPr>
      <w:rFonts w:ascii="宋体" w:hAnsi="宋体"/>
      <w:color w:val="0000FF"/>
      <w:kern w:val="0"/>
      <w:sz w:val="24"/>
      <w:szCs w:val="24"/>
    </w:rPr>
  </w:style>
  <w:style w:type="paragraph" w:customStyle="1" w:styleId="1995">
    <w:name w:val="msonormal"/>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996">
    <w:name w:val="页眉 字符1"/>
    <w:semiHidden/>
    <w:qFormat/>
    <w:uiPriority w:val="0"/>
    <w:rPr>
      <w:rFonts w:ascii="Times New Roman" w:hAnsi="Times New Roman" w:eastAsia="宋体" w:cs="Times New Roman"/>
      <w:b/>
      <w:sz w:val="18"/>
      <w:szCs w:val="18"/>
    </w:rPr>
  </w:style>
  <w:style w:type="character" w:customStyle="1" w:styleId="1997">
    <w:name w:val="正文文本缩进 字符1"/>
    <w:semiHidden/>
    <w:qFormat/>
    <w:uiPriority w:val="0"/>
    <w:rPr>
      <w:rFonts w:ascii="Times New Roman" w:hAnsi="Times New Roman" w:eastAsia="宋体" w:cs="Times New Roman"/>
      <w:b/>
      <w:sz w:val="28"/>
      <w:szCs w:val="24"/>
    </w:rPr>
  </w:style>
  <w:style w:type="character" w:customStyle="1" w:styleId="1998">
    <w:name w:val="文档结构图 字符"/>
    <w:qFormat/>
    <w:uiPriority w:val="99"/>
    <w:rPr>
      <w:rFonts w:ascii="Calibri" w:hAnsi="Calibri"/>
      <w:kern w:val="2"/>
      <w:sz w:val="21"/>
      <w:szCs w:val="22"/>
      <w:shd w:val="clear" w:color="auto" w:fill="000080"/>
    </w:rPr>
  </w:style>
  <w:style w:type="table" w:customStyle="1" w:styleId="1999">
    <w:name w:val="铜安一般表格1"/>
    <w:basedOn w:val="77"/>
    <w:unhideWhenUsed/>
    <w:qFormat/>
    <w:uiPriority w:val="0"/>
    <w:pPr>
      <w:widowControl w:val="0"/>
      <w:adjustRightInd w:val="0"/>
      <w:spacing w:line="312" w:lineRule="atLeast"/>
    </w:pPr>
    <w:rPr>
      <w:rFonts w:eastAsia="仿宋_GB2312"/>
      <w:spacing w:val="-22"/>
      <w:sz w:val="21"/>
    </w:rPr>
    <w:tblP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
    <w:tblStylePr w:type="firstRow">
      <w:pPr>
        <w:jc w:val="center"/>
      </w:pPr>
      <w:rPr>
        <w:rFonts w:hint="default" w:ascii="Times New Roman" w:hAnsi="Times New Roman" w:eastAsia="Univers Md" w:cs="Times New Roman"/>
        <w:b/>
        <w:i w:val="0"/>
        <w:caps/>
        <w:color w:val="auto"/>
        <w:sz w:val="21"/>
        <w:szCs w:val="21"/>
      </w:rPr>
      <w:tcPr>
        <w:vAlign w:val="center"/>
      </w:tcPr>
    </w:tblStylePr>
    <w:tblStylePr w:type="firstCol">
      <w:pPr>
        <w:jc w:val="center"/>
      </w:pPr>
      <w:rPr>
        <w:rFonts w:hint="default" w:ascii="Times New Roman" w:hAnsi="Times New Roman" w:eastAsia="Univers Md" w:cs="Times New Roman"/>
        <w:b/>
        <w:i w:val="0"/>
        <w:sz w:val="21"/>
        <w:szCs w:val="21"/>
      </w:rPr>
      <w:tcPr>
        <w:tcBorders>
          <w:top w:val="single" w:color="auto" w:sz="12" w:space="0"/>
          <w:left w:val="single" w:color="auto" w:sz="12" w:space="0"/>
          <w:bottom w:val="single" w:color="auto" w:sz="12" w:space="0"/>
          <w:right w:val="single" w:color="auto" w:sz="4" w:space="0"/>
          <w:insideH w:val="nil"/>
          <w:insideV w:val="nil"/>
          <w:tl2br w:val="nil"/>
          <w:tr2bl w:val="nil"/>
        </w:tcBorders>
      </w:tcPr>
    </w:tblStylePr>
  </w:style>
  <w:style w:type="character" w:customStyle="1" w:styleId="2000">
    <w:name w:val="列表 字符"/>
    <w:link w:val="57"/>
    <w:qFormat/>
    <w:uiPriority w:val="0"/>
    <w:rPr>
      <w:rFonts w:ascii="Times New Roman" w:hAnsi="Times New Roman"/>
      <w:kern w:val="2"/>
      <w:sz w:val="28"/>
      <w:szCs w:val="24"/>
    </w:rPr>
  </w:style>
  <w:style w:type="character" w:customStyle="1" w:styleId="2001">
    <w:name w:val="表格 Char Char Char Char"/>
    <w:qFormat/>
    <w:uiPriority w:val="0"/>
    <w:rPr>
      <w:rFonts w:eastAsia="宋体" w:cs="Courier New"/>
      <w:kern w:val="2"/>
      <w:sz w:val="21"/>
      <w:szCs w:val="21"/>
      <w:lang w:val="en-US" w:eastAsia="zh-CN" w:bidi="ar-SA"/>
    </w:rPr>
  </w:style>
  <w:style w:type="character" w:customStyle="1" w:styleId="2002">
    <w:name w:val="表格（10号字） Char"/>
    <w:qFormat/>
    <w:uiPriority w:val="0"/>
    <w:rPr>
      <w:rFonts w:hAnsi="宋体" w:cs="宋体"/>
      <w:color w:val="000000"/>
      <w:sz w:val="21"/>
    </w:rPr>
  </w:style>
  <w:style w:type="character" w:customStyle="1" w:styleId="2003">
    <w:name w:val="标题 6 Char1"/>
    <w:qFormat/>
    <w:uiPriority w:val="0"/>
    <w:rPr>
      <w:rFonts w:ascii="Arial" w:hAnsi="Arial" w:eastAsia="黑体"/>
      <w:bCs/>
      <w:kern w:val="2"/>
      <w:sz w:val="24"/>
      <w:szCs w:val="24"/>
    </w:rPr>
  </w:style>
  <w:style w:type="character" w:customStyle="1" w:styleId="2004">
    <w:name w:val="标题 8 Char1"/>
    <w:qFormat/>
    <w:uiPriority w:val="0"/>
    <w:rPr>
      <w:rFonts w:ascii="Arial" w:hAnsi="Arial" w:eastAsia="黑体"/>
      <w:kern w:val="2"/>
      <w:sz w:val="24"/>
      <w:szCs w:val="24"/>
    </w:rPr>
  </w:style>
  <w:style w:type="paragraph" w:customStyle="1" w:styleId="2005">
    <w:name w:val="Char Char110"/>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2006">
    <w:name w:val="CM1"/>
    <w:basedOn w:val="101"/>
    <w:next w:val="101"/>
    <w:qFormat/>
    <w:uiPriority w:val="99"/>
    <w:rPr>
      <w:rFonts w:cs="Times New Roman"/>
      <w:color w:val="auto"/>
    </w:rPr>
  </w:style>
  <w:style w:type="character" w:customStyle="1" w:styleId="2007">
    <w:name w:val="font71"/>
    <w:qFormat/>
    <w:uiPriority w:val="0"/>
    <w:rPr>
      <w:rFonts w:hint="eastAsia" w:ascii="宋体" w:hAnsi="宋体" w:eastAsia="宋体" w:cs="宋体"/>
      <w:color w:val="000000"/>
      <w:sz w:val="20"/>
      <w:szCs w:val="20"/>
      <w:u w:val="none"/>
    </w:rPr>
  </w:style>
  <w:style w:type="character" w:customStyle="1" w:styleId="2008">
    <w:name w:val="font41"/>
    <w:qFormat/>
    <w:uiPriority w:val="0"/>
    <w:rPr>
      <w:rFonts w:hint="default" w:ascii="Times New Roman" w:hAnsi="Times New Roman" w:cs="Times New Roman"/>
      <w:color w:val="000000"/>
      <w:sz w:val="21"/>
      <w:szCs w:val="21"/>
      <w:u w:val="none"/>
      <w:vertAlign w:val="superscript"/>
    </w:rPr>
  </w:style>
  <w:style w:type="paragraph" w:customStyle="1" w:styleId="2009">
    <w:name w:val="表格样式武两"/>
    <w:basedOn w:val="1"/>
    <w:link w:val="2011"/>
    <w:qFormat/>
    <w:uiPriority w:val="0"/>
    <w:pPr>
      <w:adjustRightInd w:val="0"/>
      <w:snapToGrid w:val="0"/>
      <w:jc w:val="center"/>
    </w:pPr>
    <w:rPr>
      <w:color w:val="000000"/>
      <w:kern w:val="0"/>
      <w:szCs w:val="21"/>
    </w:rPr>
  </w:style>
  <w:style w:type="paragraph" w:customStyle="1" w:styleId="2010">
    <w:name w:val="2 武两正文格式"/>
    <w:basedOn w:val="1"/>
    <w:qFormat/>
    <w:uiPriority w:val="0"/>
    <w:pPr>
      <w:adjustRightInd w:val="0"/>
      <w:snapToGrid w:val="0"/>
      <w:spacing w:line="348" w:lineRule="auto"/>
      <w:ind w:firstLine="200" w:firstLineChars="200"/>
    </w:pPr>
    <w:rPr>
      <w:sz w:val="28"/>
      <w:szCs w:val="28"/>
    </w:rPr>
  </w:style>
  <w:style w:type="character" w:customStyle="1" w:styleId="2011">
    <w:name w:val="表格样式武两 字符"/>
    <w:link w:val="2009"/>
    <w:qFormat/>
    <w:uiPriority w:val="0"/>
    <w:rPr>
      <w:rFonts w:ascii="Times New Roman" w:hAnsi="Times New Roman"/>
      <w:color w:val="000000"/>
      <w:sz w:val="21"/>
      <w:szCs w:val="21"/>
    </w:rPr>
  </w:style>
  <w:style w:type="paragraph" w:customStyle="1" w:styleId="2012">
    <w:name w:val="2 表格"/>
    <w:basedOn w:val="1"/>
    <w:qFormat/>
    <w:uiPriority w:val="0"/>
    <w:pPr>
      <w:adjustRightInd w:val="0"/>
      <w:snapToGrid w:val="0"/>
      <w:jc w:val="center"/>
    </w:pPr>
    <w:rPr>
      <w:color w:val="FF0000"/>
      <w:szCs w:val="21"/>
    </w:rPr>
  </w:style>
  <w:style w:type="paragraph" w:customStyle="1" w:styleId="2013">
    <w:name w:val="3 表头"/>
    <w:basedOn w:val="1"/>
    <w:qFormat/>
    <w:uiPriority w:val="0"/>
    <w:pPr>
      <w:adjustRightInd w:val="0"/>
      <w:snapToGrid w:val="0"/>
      <w:jc w:val="center"/>
    </w:pPr>
    <w:rPr>
      <w:b/>
      <w:color w:val="FF0000"/>
      <w:sz w:val="24"/>
      <w:szCs w:val="24"/>
    </w:rPr>
  </w:style>
  <w:style w:type="table" w:customStyle="1" w:styleId="2014">
    <w:name w:val="2 表格样式"/>
    <w:basedOn w:val="77"/>
    <w:qFormat/>
    <w:uiPriority w:val="99"/>
    <w:pPr>
      <w:adjustRightInd w:val="0"/>
      <w:snapToGrid w:val="0"/>
      <w:jc w:val="center"/>
    </w:pPr>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table" w:customStyle="1" w:styleId="2015">
    <w:name w:val="样式20"/>
    <w:basedOn w:val="77"/>
    <w:qFormat/>
    <w:uiPriority w:val="99"/>
  </w:style>
  <w:style w:type="table" w:customStyle="1" w:styleId="2016">
    <w:name w:val="2  表格"/>
    <w:basedOn w:val="2014"/>
    <w:qFormat/>
    <w:uiPriority w:val="99"/>
  </w:style>
  <w:style w:type="table" w:customStyle="1" w:styleId="2017">
    <w:name w:val="2 武两表格"/>
    <w:basedOn w:val="77"/>
    <w:qFormat/>
    <w:uiPriority w:val="99"/>
    <w:pPr>
      <w:adjustRightInd w:val="0"/>
      <w:snapToGrid w:val="0"/>
      <w:jc w:val="center"/>
    </w:pPr>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paragraph" w:customStyle="1" w:styleId="2018">
    <w:name w:val="4 二级标题"/>
    <w:basedOn w:val="1291"/>
    <w:qFormat/>
    <w:uiPriority w:val="0"/>
  </w:style>
  <w:style w:type="paragraph" w:customStyle="1" w:styleId="2019">
    <w:name w:val="5 三级标题"/>
    <w:basedOn w:val="1"/>
    <w:qFormat/>
    <w:uiPriority w:val="0"/>
    <w:pPr>
      <w:adjustRightInd w:val="0"/>
      <w:snapToGrid w:val="0"/>
      <w:spacing w:line="348" w:lineRule="auto"/>
      <w:outlineLvl w:val="2"/>
    </w:pPr>
    <w:rPr>
      <w:color w:val="FF0000"/>
      <w:sz w:val="28"/>
    </w:rPr>
  </w:style>
  <w:style w:type="character" w:customStyle="1" w:styleId="2020">
    <w:name w:val="图表标题 字符"/>
    <w:link w:val="1341"/>
    <w:qFormat/>
    <w:uiPriority w:val="0"/>
    <w:rPr>
      <w:rFonts w:ascii="Times New Roman" w:hAnsi="Times New Roman"/>
      <w:sz w:val="24"/>
    </w:rPr>
  </w:style>
  <w:style w:type="table" w:customStyle="1" w:styleId="2021">
    <w:name w:val="环评表格"/>
    <w:basedOn w:val="77"/>
    <w:qFormat/>
    <w:uiPriority w:val="99"/>
    <w:pPr>
      <w:adjustRightInd w:val="0"/>
      <w:snapToGrid w:val="0"/>
      <w:jc w:val="center"/>
    </w:pPr>
    <w:rPr>
      <w:kern w:val="2"/>
      <w:sz w:val="21"/>
      <w:szCs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character" w:customStyle="1" w:styleId="2022">
    <w:name w:val="标题1 字符"/>
    <w:qFormat/>
    <w:uiPriority w:val="0"/>
    <w:rPr>
      <w:rFonts w:ascii="Times New Roman" w:hAnsi="Times New Roman" w:eastAsia="宋体" w:cs="Times New Roman"/>
      <w:b/>
      <w:bCs/>
      <w:kern w:val="44"/>
      <w:sz w:val="28"/>
      <w:szCs w:val="28"/>
    </w:rPr>
  </w:style>
  <w:style w:type="character" w:customStyle="1" w:styleId="2023">
    <w:name w:val="环评正文 字符"/>
    <w:qFormat/>
    <w:uiPriority w:val="0"/>
    <w:rPr>
      <w:rFonts w:ascii="Times New Roman" w:hAnsi="Times New Roman" w:eastAsia="宋体" w:cs="Times New Roman"/>
      <w:sz w:val="28"/>
    </w:rPr>
  </w:style>
  <w:style w:type="paragraph" w:customStyle="1" w:styleId="2024">
    <w:name w:val="7表格文字"/>
    <w:basedOn w:val="2012"/>
    <w:qFormat/>
    <w:uiPriority w:val="0"/>
  </w:style>
  <w:style w:type="character" w:customStyle="1" w:styleId="2025">
    <w:name w:val="批注文字 字符1"/>
    <w:qFormat/>
    <w:uiPriority w:val="99"/>
  </w:style>
  <w:style w:type="character" w:customStyle="1" w:styleId="2026">
    <w:name w:val="批注主题 字符"/>
    <w:semiHidden/>
    <w:qFormat/>
    <w:uiPriority w:val="99"/>
    <w:rPr>
      <w:rFonts w:ascii="Calibri" w:hAnsi="Calibri" w:eastAsia="宋体"/>
      <w:b/>
      <w:bCs/>
      <w:kern w:val="2"/>
      <w:sz w:val="21"/>
      <w:szCs w:val="22"/>
      <w:lang w:val="en-US" w:eastAsia="zh-CN" w:bidi="ar-SA"/>
    </w:rPr>
  </w:style>
  <w:style w:type="character" w:customStyle="1" w:styleId="2027">
    <w:name w:val="5表标题 Char"/>
    <w:link w:val="2028"/>
    <w:qFormat/>
    <w:uiPriority w:val="0"/>
    <w:rPr>
      <w:b/>
      <w:bCs/>
    </w:rPr>
  </w:style>
  <w:style w:type="paragraph" w:customStyle="1" w:styleId="2028">
    <w:name w:val="5表标题"/>
    <w:link w:val="2027"/>
    <w:qFormat/>
    <w:uiPriority w:val="0"/>
    <w:pPr>
      <w:jc w:val="center"/>
    </w:pPr>
    <w:rPr>
      <w:rFonts w:ascii="Times New Roman" w:hAnsi="Times New Roman" w:eastAsia="宋体" w:cs="Times New Roman"/>
      <w:b/>
      <w:bCs/>
      <w:sz w:val="21"/>
      <w:lang w:val="en-US" w:eastAsia="zh-CN" w:bidi="ar-SA"/>
    </w:rPr>
  </w:style>
  <w:style w:type="character" w:customStyle="1" w:styleId="2029">
    <w:name w:val="正文缩进 字符1"/>
    <w:qFormat/>
    <w:uiPriority w:val="0"/>
    <w:rPr>
      <w:rFonts w:ascii="Times New Roman" w:hAnsi="Times New Roman"/>
      <w:sz w:val="24"/>
    </w:rPr>
  </w:style>
  <w:style w:type="character" w:customStyle="1" w:styleId="2030">
    <w:name w:val="批注文字 字符2"/>
    <w:qFormat/>
    <w:uiPriority w:val="0"/>
    <w:rPr>
      <w:rFonts w:ascii="Calibri" w:hAnsi="Calibri" w:eastAsia="宋体" w:cs="Times New Roman"/>
    </w:rPr>
  </w:style>
  <w:style w:type="character" w:customStyle="1" w:styleId="2031">
    <w:name w:val="正文文本缩进 3 字符"/>
    <w:qFormat/>
    <w:uiPriority w:val="0"/>
    <w:rPr>
      <w:rFonts w:ascii="宋体" w:hAnsi="宋体"/>
      <w:kern w:val="2"/>
      <w:sz w:val="16"/>
      <w:szCs w:val="16"/>
    </w:rPr>
  </w:style>
  <w:style w:type="character" w:customStyle="1" w:styleId="2032">
    <w:name w:val="尾注文本 字符"/>
    <w:semiHidden/>
    <w:qFormat/>
    <w:locked/>
    <w:uiPriority w:val="0"/>
    <w:rPr>
      <w:rFonts w:ascii="Courier New" w:hAnsi="Courier New" w:eastAsia="宋体" w:cs="Courier New"/>
      <w:kern w:val="2"/>
      <w:sz w:val="24"/>
      <w:szCs w:val="24"/>
      <w:lang w:val="en-US" w:eastAsia="zh-CN" w:bidi="ar-SA"/>
    </w:rPr>
  </w:style>
  <w:style w:type="character" w:customStyle="1" w:styleId="2033">
    <w:name w:val="页眉 字符2"/>
    <w:qFormat/>
    <w:uiPriority w:val="0"/>
    <w:rPr>
      <w:sz w:val="18"/>
      <w:szCs w:val="18"/>
    </w:rPr>
  </w:style>
  <w:style w:type="character" w:customStyle="1" w:styleId="2034">
    <w:name w:val="注释标题 字符"/>
    <w:qFormat/>
    <w:uiPriority w:val="0"/>
    <w:rPr>
      <w:rFonts w:ascii="Times New Roman" w:hAnsi="Times New Roman" w:eastAsia="楷体_GB2312"/>
      <w:kern w:val="2"/>
      <w:sz w:val="21"/>
    </w:rPr>
  </w:style>
  <w:style w:type="character" w:customStyle="1" w:styleId="2035">
    <w:name w:val="列表段落 字符"/>
    <w:link w:val="2036"/>
    <w:qFormat/>
    <w:locked/>
    <w:uiPriority w:val="0"/>
    <w:rPr>
      <w:kern w:val="2"/>
      <w:sz w:val="21"/>
      <w:szCs w:val="22"/>
    </w:rPr>
  </w:style>
  <w:style w:type="paragraph" w:customStyle="1" w:styleId="2036">
    <w:name w:val="6"/>
    <w:basedOn w:val="1"/>
    <w:next w:val="197"/>
    <w:link w:val="2035"/>
    <w:qFormat/>
    <w:uiPriority w:val="0"/>
    <w:pPr>
      <w:ind w:firstLine="420" w:firstLineChars="200"/>
    </w:pPr>
  </w:style>
  <w:style w:type="character" w:customStyle="1" w:styleId="2037">
    <w:name w:val="日期 字符1"/>
    <w:qFormat/>
    <w:uiPriority w:val="0"/>
    <w:rPr>
      <w:kern w:val="2"/>
      <w:sz w:val="21"/>
      <w:szCs w:val="22"/>
    </w:rPr>
  </w:style>
  <w:style w:type="character" w:customStyle="1" w:styleId="2038">
    <w:name w:val="标题 7 字符1"/>
    <w:qFormat/>
    <w:uiPriority w:val="0"/>
    <w:rPr>
      <w:rFonts w:ascii="宋体" w:hAnsi="宋体"/>
      <w:b/>
      <w:kern w:val="2"/>
      <w:sz w:val="28"/>
      <w:lang w:val="en-US" w:eastAsia="zh-CN"/>
    </w:rPr>
  </w:style>
  <w:style w:type="character" w:customStyle="1" w:styleId="2039">
    <w:name w:val="页脚 字符1"/>
    <w:qFormat/>
    <w:uiPriority w:val="0"/>
    <w:rPr>
      <w:sz w:val="18"/>
      <w:szCs w:val="18"/>
    </w:rPr>
  </w:style>
  <w:style w:type="character" w:customStyle="1" w:styleId="2040">
    <w:name w:val="脚注文本 字符"/>
    <w:semiHidden/>
    <w:qFormat/>
    <w:uiPriority w:val="0"/>
    <w:rPr>
      <w:rFonts w:ascii="Times New Roman" w:hAnsi="Times New Roman"/>
      <w:kern w:val="2"/>
      <w:sz w:val="18"/>
      <w:szCs w:val="18"/>
    </w:rPr>
  </w:style>
  <w:style w:type="character" w:customStyle="1" w:styleId="2041">
    <w:name w:val="正文文本 字符1"/>
    <w:qFormat/>
    <w:uiPriority w:val="0"/>
    <w:rPr>
      <w:rFonts w:ascii="宋体" w:hAnsi="宋体"/>
      <w:sz w:val="24"/>
      <w:szCs w:val="24"/>
      <w:lang w:eastAsia="en-US"/>
    </w:rPr>
  </w:style>
  <w:style w:type="character" w:customStyle="1" w:styleId="2042">
    <w:name w:val="正文文本首行缩进 2 字符1"/>
    <w:qFormat/>
    <w:uiPriority w:val="0"/>
    <w:rPr>
      <w:rFonts w:ascii="Times New Roman" w:hAnsi="Times New Roman"/>
      <w:kern w:val="2"/>
      <w:sz w:val="28"/>
      <w:szCs w:val="22"/>
    </w:rPr>
  </w:style>
  <w:style w:type="character" w:customStyle="1" w:styleId="2043">
    <w:name w:val="HTML 预设格式 字符"/>
    <w:qFormat/>
    <w:uiPriority w:val="0"/>
    <w:rPr>
      <w:rFonts w:ascii="Arial" w:hAnsi="Arial" w:cs="Arial"/>
      <w:sz w:val="21"/>
      <w:szCs w:val="21"/>
    </w:rPr>
  </w:style>
  <w:style w:type="character" w:customStyle="1" w:styleId="2044">
    <w:name w:val="无间隔 字符"/>
    <w:qFormat/>
    <w:uiPriority w:val="0"/>
    <w:rPr>
      <w:kern w:val="2"/>
      <w:sz w:val="21"/>
      <w:szCs w:val="22"/>
    </w:rPr>
  </w:style>
  <w:style w:type="character" w:customStyle="1" w:styleId="2045">
    <w:name w:val="结束语 字符"/>
    <w:semiHidden/>
    <w:qFormat/>
    <w:locked/>
    <w:uiPriority w:val="0"/>
    <w:rPr>
      <w:rFonts w:eastAsia="宋体"/>
      <w:b/>
      <w:bCs/>
      <w:kern w:val="2"/>
      <w:sz w:val="28"/>
      <w:szCs w:val="28"/>
      <w:lang w:val="en-US" w:eastAsia="zh-CN" w:bidi="ar-SA"/>
    </w:rPr>
  </w:style>
  <w:style w:type="character" w:customStyle="1" w:styleId="2046">
    <w:name w:val="题注 字符"/>
    <w:qFormat/>
    <w:locked/>
    <w:uiPriority w:val="0"/>
    <w:rPr>
      <w:rFonts w:ascii="Arial" w:hAnsi="Arial" w:eastAsia="黑体"/>
      <w:kern w:val="2"/>
      <w:szCs w:val="24"/>
      <w:lang w:val="en-US" w:eastAsia="zh-CN" w:bidi="ar-SA"/>
    </w:rPr>
  </w:style>
  <w:style w:type="character" w:customStyle="1" w:styleId="2047">
    <w:name w:val="标题 9 字符1"/>
    <w:qFormat/>
    <w:locked/>
    <w:uiPriority w:val="0"/>
    <w:rPr>
      <w:rFonts w:ascii="Arial" w:hAnsi="Arial" w:eastAsia="黑体"/>
      <w:kern w:val="2"/>
      <w:sz w:val="21"/>
      <w:lang w:val="en-US" w:eastAsia="zh-CN"/>
    </w:rPr>
  </w:style>
  <w:style w:type="character" w:customStyle="1" w:styleId="2048">
    <w:name w:val="批注框文本 字符1"/>
    <w:qFormat/>
    <w:uiPriority w:val="0"/>
    <w:rPr>
      <w:sz w:val="18"/>
      <w:szCs w:val="18"/>
    </w:rPr>
  </w:style>
  <w:style w:type="character" w:customStyle="1" w:styleId="2049">
    <w:name w:val="标题 4 字符1"/>
    <w:qFormat/>
    <w:uiPriority w:val="0"/>
    <w:rPr>
      <w:rFonts w:ascii="Cambria" w:hAnsi="Cambria" w:eastAsia="Times New Roman"/>
      <w:bCs/>
      <w:kern w:val="2"/>
      <w:sz w:val="28"/>
      <w:szCs w:val="28"/>
    </w:rPr>
  </w:style>
  <w:style w:type="character" w:customStyle="1" w:styleId="2050">
    <w:name w:val="标题 3 字符2"/>
    <w:qFormat/>
    <w:uiPriority w:val="0"/>
    <w:rPr>
      <w:bCs/>
      <w:kern w:val="2"/>
      <w:sz w:val="32"/>
      <w:szCs w:val="32"/>
    </w:rPr>
  </w:style>
  <w:style w:type="character" w:customStyle="1" w:styleId="2051">
    <w:name w:val="正文文本缩进 字符2"/>
    <w:qFormat/>
    <w:uiPriority w:val="0"/>
    <w:rPr>
      <w:rFonts w:ascii="宋体" w:hAnsi="宋体"/>
      <w:kern w:val="2"/>
      <w:sz w:val="28"/>
      <w:szCs w:val="24"/>
    </w:rPr>
  </w:style>
  <w:style w:type="character" w:customStyle="1" w:styleId="2052">
    <w:name w:val="标题 字符"/>
    <w:qFormat/>
    <w:uiPriority w:val="0"/>
    <w:rPr>
      <w:kern w:val="2"/>
      <w:sz w:val="18"/>
      <w:szCs w:val="18"/>
    </w:rPr>
  </w:style>
  <w:style w:type="character" w:customStyle="1" w:styleId="2053">
    <w:name w:val="纯文本 字符1"/>
    <w:qFormat/>
    <w:uiPriority w:val="99"/>
    <w:rPr>
      <w:rFonts w:ascii="宋体" w:hAnsi="Courier New" w:cs="Courier New"/>
      <w:kern w:val="2"/>
      <w:sz w:val="21"/>
      <w:szCs w:val="21"/>
    </w:rPr>
  </w:style>
  <w:style w:type="character" w:customStyle="1" w:styleId="2054">
    <w:name w:val="标题 6 字符1"/>
    <w:qFormat/>
    <w:uiPriority w:val="0"/>
    <w:rPr>
      <w:rFonts w:ascii="Arial" w:hAnsi="Arial" w:eastAsia="黑体"/>
      <w:b/>
      <w:kern w:val="2"/>
      <w:sz w:val="28"/>
      <w:lang w:val="en-US" w:eastAsia="zh-CN"/>
    </w:rPr>
  </w:style>
  <w:style w:type="character" w:customStyle="1" w:styleId="2055">
    <w:name w:val="标题 5 字符1"/>
    <w:qFormat/>
    <w:locked/>
    <w:uiPriority w:val="0"/>
    <w:rPr>
      <w:rFonts w:ascii="宋体" w:hAnsi="宋体"/>
      <w:b/>
      <w:kern w:val="2"/>
      <w:sz w:val="28"/>
      <w:lang w:val="en-US" w:eastAsia="zh-CN"/>
    </w:rPr>
  </w:style>
  <w:style w:type="character" w:customStyle="1" w:styleId="2056">
    <w:name w:val="正文文本首行缩进 字符1"/>
    <w:qFormat/>
    <w:uiPriority w:val="0"/>
    <w:rPr>
      <w:rFonts w:ascii="Times New Roman" w:hAnsi="Times New Roman"/>
      <w:kern w:val="2"/>
      <w:sz w:val="28"/>
      <w:szCs w:val="24"/>
      <w:lang w:eastAsia="en-US"/>
    </w:rPr>
  </w:style>
  <w:style w:type="character" w:customStyle="1" w:styleId="2057">
    <w:name w:val="签名 字符1"/>
    <w:qFormat/>
    <w:uiPriority w:val="0"/>
    <w:rPr>
      <w:rFonts w:ascii="Times New Roman" w:hAnsi="Times New Roman"/>
      <w:kern w:val="2"/>
      <w:sz w:val="21"/>
      <w:szCs w:val="21"/>
    </w:rPr>
  </w:style>
  <w:style w:type="character" w:customStyle="1" w:styleId="2058">
    <w:name w:val="批注主题 字符1"/>
    <w:semiHidden/>
    <w:qFormat/>
    <w:uiPriority w:val="0"/>
    <w:rPr>
      <w:rFonts w:ascii="Calibri" w:hAnsi="Calibri" w:eastAsia="宋体" w:cs="Times New Roman"/>
      <w:b/>
      <w:bCs/>
    </w:rPr>
  </w:style>
  <w:style w:type="character" w:customStyle="1" w:styleId="2059">
    <w:name w:val="正文文本 3 字符"/>
    <w:qFormat/>
    <w:uiPriority w:val="0"/>
    <w:rPr>
      <w:rFonts w:ascii="Times New Roman" w:hAnsi="Times New Roman"/>
      <w:kern w:val="2"/>
      <w:sz w:val="16"/>
      <w:szCs w:val="16"/>
    </w:rPr>
  </w:style>
  <w:style w:type="character" w:customStyle="1" w:styleId="2060">
    <w:name w:val="标题 1 字符2"/>
    <w:qFormat/>
    <w:uiPriority w:val="0"/>
    <w:rPr>
      <w:b/>
      <w:bCs/>
      <w:kern w:val="44"/>
      <w:sz w:val="44"/>
      <w:szCs w:val="44"/>
    </w:rPr>
  </w:style>
  <w:style w:type="character" w:customStyle="1" w:styleId="2061">
    <w:name w:val="正文文本 2 字符1"/>
    <w:qFormat/>
    <w:uiPriority w:val="0"/>
    <w:rPr>
      <w:rFonts w:ascii="宋体" w:hAnsi="Times New Roman"/>
      <w:b/>
      <w:kern w:val="2"/>
      <w:sz w:val="21"/>
      <w:szCs w:val="24"/>
      <w:shd w:val="solid" w:color="FFFFFF" w:fill="FFFFFF"/>
    </w:rPr>
  </w:style>
  <w:style w:type="character" w:customStyle="1" w:styleId="2062">
    <w:name w:val="标题 2 字符2"/>
    <w:qFormat/>
    <w:uiPriority w:val="0"/>
    <w:rPr>
      <w:rFonts w:ascii="Cambria" w:hAnsi="Cambria"/>
      <w:bCs/>
      <w:kern w:val="2"/>
      <w:sz w:val="32"/>
      <w:szCs w:val="32"/>
    </w:rPr>
  </w:style>
  <w:style w:type="character" w:customStyle="1" w:styleId="2063">
    <w:name w:val="文档结构图 字符1"/>
    <w:qFormat/>
    <w:uiPriority w:val="0"/>
    <w:rPr>
      <w:rFonts w:ascii="宋体" w:eastAsia="宋体"/>
      <w:sz w:val="18"/>
      <w:szCs w:val="18"/>
    </w:rPr>
  </w:style>
  <w:style w:type="character" w:customStyle="1" w:styleId="2064">
    <w:name w:val="正文文本缩进 2 字符"/>
    <w:qFormat/>
    <w:uiPriority w:val="0"/>
    <w:rPr>
      <w:rFonts w:ascii="宋体" w:hAnsi="宋体"/>
      <w:kern w:val="2"/>
      <w:sz w:val="28"/>
      <w:szCs w:val="24"/>
    </w:rPr>
  </w:style>
  <w:style w:type="character" w:customStyle="1" w:styleId="2065">
    <w:name w:val="宏文本 字符"/>
    <w:semiHidden/>
    <w:qFormat/>
    <w:uiPriority w:val="0"/>
    <w:rPr>
      <w:rFonts w:ascii="Courier New" w:hAnsi="Courier New" w:cs="Courier New"/>
      <w:kern w:val="2"/>
      <w:sz w:val="24"/>
      <w:szCs w:val="24"/>
    </w:rPr>
  </w:style>
  <w:style w:type="character" w:customStyle="1" w:styleId="2066">
    <w:name w:val="z-窗体底端 字符"/>
    <w:semiHidden/>
    <w:qFormat/>
    <w:locked/>
    <w:uiPriority w:val="0"/>
    <w:rPr>
      <w:rFonts w:eastAsia="宋体"/>
      <w:kern w:val="2"/>
      <w:sz w:val="18"/>
      <w:szCs w:val="18"/>
      <w:lang w:val="en-US" w:eastAsia="zh-CN" w:bidi="ar-SA"/>
    </w:rPr>
  </w:style>
  <w:style w:type="character" w:customStyle="1" w:styleId="2067">
    <w:name w:val="z-窗体顶端 字符"/>
    <w:qFormat/>
    <w:locked/>
    <w:uiPriority w:val="0"/>
    <w:rPr>
      <w:rFonts w:eastAsia="楷体_GB2312"/>
      <w:kern w:val="2"/>
      <w:sz w:val="21"/>
      <w:lang w:val="en-US" w:eastAsia="zh-CN" w:bidi="ar-SA"/>
    </w:rPr>
  </w:style>
  <w:style w:type="character" w:customStyle="1" w:styleId="2068">
    <w:name w:val="称呼 字符"/>
    <w:semiHidden/>
    <w:qFormat/>
    <w:locked/>
    <w:uiPriority w:val="0"/>
    <w:rPr>
      <w:rFonts w:eastAsia="宋体"/>
      <w:kern w:val="2"/>
      <w:sz w:val="28"/>
      <w:szCs w:val="24"/>
      <w:lang w:val="en-US" w:eastAsia="zh-CN" w:bidi="ar-SA"/>
    </w:rPr>
  </w:style>
  <w:style w:type="character" w:customStyle="1" w:styleId="2069">
    <w:name w:val="标题 8 字符1"/>
    <w:qFormat/>
    <w:uiPriority w:val="0"/>
    <w:rPr>
      <w:rFonts w:ascii="Arial" w:hAnsi="Arial" w:eastAsia="黑体"/>
      <w:kern w:val="2"/>
      <w:sz w:val="28"/>
      <w:lang w:val="en-US" w:eastAsia="zh-CN"/>
    </w:rPr>
  </w:style>
  <w:style w:type="paragraph" w:customStyle="1" w:styleId="2070">
    <w:name w:val="_Style 1344"/>
    <w:basedOn w:val="1"/>
    <w:next w:val="197"/>
    <w:qFormat/>
    <w:uiPriority w:val="34"/>
    <w:pPr>
      <w:ind w:firstLine="420" w:firstLineChars="200"/>
    </w:pPr>
  </w:style>
  <w:style w:type="character" w:customStyle="1" w:styleId="2071">
    <w:name w:val="font31"/>
    <w:qFormat/>
    <w:uiPriority w:val="0"/>
    <w:rPr>
      <w:rFonts w:hint="default" w:ascii="Times New Roman" w:hAnsi="Times New Roman" w:cs="Times New Roman"/>
      <w:color w:val="000000"/>
      <w:sz w:val="21"/>
      <w:szCs w:val="21"/>
      <w:u w:val="none"/>
    </w:rPr>
  </w:style>
  <w:style w:type="character" w:customStyle="1" w:styleId="2072">
    <w:name w:val="批注文字 字符3"/>
    <w:qFormat/>
    <w:uiPriority w:val="0"/>
    <w:rPr>
      <w:rFonts w:ascii="Calibri" w:hAnsi="Calibri" w:eastAsia="宋体" w:cs="Times New Roman"/>
    </w:rPr>
  </w:style>
  <w:style w:type="character" w:customStyle="1" w:styleId="2073">
    <w:name w:val="页眉 字符3"/>
    <w:qFormat/>
    <w:uiPriority w:val="0"/>
    <w:rPr>
      <w:sz w:val="18"/>
      <w:szCs w:val="18"/>
    </w:rPr>
  </w:style>
  <w:style w:type="character" w:customStyle="1" w:styleId="2074">
    <w:name w:val="批注文字 字符4"/>
    <w:qFormat/>
    <w:uiPriority w:val="0"/>
    <w:rPr>
      <w:rFonts w:ascii="Calibri" w:hAnsi="Calibri" w:eastAsia="宋体" w:cs="Times New Roman"/>
    </w:rPr>
  </w:style>
  <w:style w:type="character" w:customStyle="1" w:styleId="2075">
    <w:name w:val="正文缩进 字符2"/>
    <w:qFormat/>
    <w:uiPriority w:val="0"/>
    <w:rPr>
      <w:rFonts w:ascii="Times New Roman" w:hAnsi="Times New Roman"/>
      <w:sz w:val="24"/>
    </w:rPr>
  </w:style>
  <w:style w:type="paragraph" w:customStyle="1" w:styleId="2076">
    <w:name w:val="xl130"/>
    <w:basedOn w:val="1"/>
    <w:qFormat/>
    <w:uiPriority w:val="0"/>
    <w:pPr>
      <w:widowControl/>
      <w:pBdr>
        <w:top w:val="single" w:color="auto" w:sz="12" w:space="0"/>
        <w:bottom w:val="single" w:color="auto" w:sz="8" w:space="0"/>
        <w:right w:val="single" w:color="auto" w:sz="8" w:space="0"/>
      </w:pBdr>
      <w:spacing w:before="100" w:beforeAutospacing="1" w:after="100" w:afterAutospacing="1"/>
      <w:jc w:val="center"/>
    </w:pPr>
    <w:rPr>
      <w:color w:val="000000"/>
      <w:kern w:val="0"/>
      <w:szCs w:val="21"/>
    </w:rPr>
  </w:style>
  <w:style w:type="paragraph" w:customStyle="1" w:styleId="2077">
    <w:name w:val="xl131"/>
    <w:basedOn w:val="1"/>
    <w:qFormat/>
    <w:uiPriority w:val="0"/>
    <w:pPr>
      <w:widowControl/>
      <w:pBdr>
        <w:top w:val="single" w:color="auto" w:sz="12" w:space="0"/>
        <w:bottom w:val="single" w:color="auto" w:sz="8" w:space="0"/>
        <w:right w:val="single" w:color="auto" w:sz="8" w:space="0"/>
      </w:pBdr>
      <w:spacing w:before="100" w:beforeAutospacing="1" w:after="100" w:afterAutospacing="1"/>
      <w:jc w:val="center"/>
    </w:pPr>
    <w:rPr>
      <w:color w:val="00B050"/>
      <w:kern w:val="0"/>
      <w:szCs w:val="21"/>
    </w:rPr>
  </w:style>
  <w:style w:type="paragraph" w:customStyle="1" w:styleId="2078">
    <w:name w:val="xl132"/>
    <w:basedOn w:val="1"/>
    <w:qFormat/>
    <w:uiPriority w:val="0"/>
    <w:pPr>
      <w:widowControl/>
      <w:pBdr>
        <w:left w:val="single" w:color="auto" w:sz="12" w:space="0"/>
        <w:bottom w:val="single" w:color="auto" w:sz="12" w:space="0"/>
        <w:right w:val="single" w:color="auto" w:sz="8" w:space="0"/>
      </w:pBdr>
      <w:spacing w:before="100" w:beforeAutospacing="1" w:after="100" w:afterAutospacing="1"/>
      <w:jc w:val="center"/>
    </w:pPr>
    <w:rPr>
      <w:color w:val="000000"/>
      <w:kern w:val="0"/>
      <w:szCs w:val="21"/>
    </w:rPr>
  </w:style>
  <w:style w:type="paragraph" w:customStyle="1" w:styleId="2079">
    <w:name w:val="xl133"/>
    <w:basedOn w:val="1"/>
    <w:qFormat/>
    <w:uiPriority w:val="0"/>
    <w:pPr>
      <w:widowControl/>
      <w:pBdr>
        <w:bottom w:val="single" w:color="auto" w:sz="12" w:space="0"/>
        <w:right w:val="single" w:color="auto" w:sz="8" w:space="0"/>
      </w:pBdr>
      <w:spacing w:before="100" w:beforeAutospacing="1" w:after="100" w:afterAutospacing="1"/>
      <w:jc w:val="center"/>
    </w:pPr>
    <w:rPr>
      <w:color w:val="000000"/>
      <w:kern w:val="0"/>
      <w:szCs w:val="21"/>
    </w:rPr>
  </w:style>
  <w:style w:type="paragraph" w:customStyle="1" w:styleId="2080">
    <w:name w:val="xl134"/>
    <w:basedOn w:val="1"/>
    <w:qFormat/>
    <w:uiPriority w:val="0"/>
    <w:pPr>
      <w:widowControl/>
      <w:pBdr>
        <w:bottom w:val="single" w:color="auto" w:sz="12" w:space="0"/>
        <w:right w:val="single" w:color="auto" w:sz="8" w:space="0"/>
      </w:pBdr>
      <w:spacing w:before="100" w:beforeAutospacing="1" w:after="100" w:afterAutospacing="1"/>
      <w:jc w:val="center"/>
    </w:pPr>
    <w:rPr>
      <w:color w:val="00B050"/>
      <w:kern w:val="0"/>
      <w:szCs w:val="21"/>
    </w:rPr>
  </w:style>
  <w:style w:type="character" w:customStyle="1" w:styleId="2081">
    <w:name w:val="表题 Char"/>
    <w:link w:val="1085"/>
    <w:qFormat/>
    <w:uiPriority w:val="0"/>
    <w:rPr>
      <w:b/>
      <w:sz w:val="24"/>
      <w:szCs w:val="22"/>
    </w:rPr>
  </w:style>
  <w:style w:type="paragraph" w:customStyle="1" w:styleId="2082">
    <w:name w:val="正文0"/>
    <w:basedOn w:val="1"/>
    <w:next w:val="1"/>
    <w:link w:val="2085"/>
    <w:qFormat/>
    <w:uiPriority w:val="0"/>
    <w:pPr>
      <w:adjustRightInd w:val="0"/>
      <w:snapToGrid w:val="0"/>
      <w:spacing w:line="348" w:lineRule="auto"/>
      <w:ind w:firstLine="200" w:firstLineChars="200"/>
    </w:pPr>
    <w:rPr>
      <w:rFonts w:eastAsia="Times New Roman"/>
      <w:sz w:val="28"/>
      <w:szCs w:val="28"/>
    </w:rPr>
  </w:style>
  <w:style w:type="paragraph" w:customStyle="1" w:styleId="2083">
    <w:name w:val="1  正文（渝赤叙）"/>
    <w:basedOn w:val="1"/>
    <w:link w:val="2086"/>
    <w:qFormat/>
    <w:uiPriority w:val="0"/>
    <w:pPr>
      <w:adjustRightInd w:val="0"/>
      <w:snapToGrid w:val="0"/>
      <w:spacing w:line="348" w:lineRule="auto"/>
      <w:ind w:firstLine="200" w:firstLineChars="200"/>
      <w:textAlignment w:val="baseline"/>
    </w:pPr>
    <w:rPr>
      <w:color w:val="000000"/>
      <w:sz w:val="28"/>
      <w:szCs w:val="28"/>
    </w:rPr>
  </w:style>
  <w:style w:type="character" w:customStyle="1" w:styleId="2084">
    <w:name w:val="正文01 Char"/>
    <w:link w:val="1211"/>
    <w:qFormat/>
    <w:uiPriority w:val="0"/>
    <w:rPr>
      <w:bCs/>
      <w:kern w:val="2"/>
      <w:sz w:val="24"/>
      <w:szCs w:val="24"/>
    </w:rPr>
  </w:style>
  <w:style w:type="character" w:customStyle="1" w:styleId="2085">
    <w:name w:val="正文0 Char"/>
    <w:link w:val="2082"/>
    <w:qFormat/>
    <w:uiPriority w:val="0"/>
    <w:rPr>
      <w:rFonts w:eastAsia="Times New Roman"/>
      <w:kern w:val="2"/>
      <w:sz w:val="28"/>
      <w:szCs w:val="28"/>
    </w:rPr>
  </w:style>
  <w:style w:type="character" w:customStyle="1" w:styleId="2086">
    <w:name w:val="1  正文（渝赤叙） 字符"/>
    <w:link w:val="2083"/>
    <w:qFormat/>
    <w:uiPriority w:val="0"/>
    <w:rPr>
      <w:color w:val="000000"/>
      <w:kern w:val="2"/>
      <w:sz w:val="28"/>
      <w:szCs w:val="28"/>
    </w:rPr>
  </w:style>
  <w:style w:type="character" w:customStyle="1" w:styleId="2087">
    <w:name w:val="标准样式 Char"/>
    <w:link w:val="1285"/>
    <w:qFormat/>
    <w:uiPriority w:val="0"/>
    <w:rPr>
      <w:sz w:val="28"/>
    </w:rPr>
  </w:style>
  <w:style w:type="paragraph" w:customStyle="1" w:styleId="2088">
    <w:name w:val="Body text|1"/>
    <w:basedOn w:val="1"/>
    <w:qFormat/>
    <w:uiPriority w:val="0"/>
    <w:pPr>
      <w:spacing w:line="410" w:lineRule="auto"/>
      <w:ind w:firstLine="400"/>
    </w:pPr>
    <w:rPr>
      <w:rFonts w:ascii="宋体" w:hAnsi="宋体" w:cs="宋体"/>
      <w:lang w:val="zh-TW" w:eastAsia="zh-TW" w:bidi="zh-TW"/>
    </w:rPr>
  </w:style>
  <w:style w:type="paragraph" w:customStyle="1" w:styleId="2089">
    <w:name w:val="0标题3-hao"/>
    <w:qFormat/>
    <w:uiPriority w:val="0"/>
    <w:pPr>
      <w:adjustRightInd w:val="0"/>
      <w:snapToGrid w:val="0"/>
      <w:spacing w:line="348" w:lineRule="auto"/>
      <w:outlineLvl w:val="2"/>
    </w:pPr>
    <w:rPr>
      <w:rFonts w:ascii="Times New Roman" w:hAnsi="Times New Roman" w:eastAsia="宋体" w:cs="Times New Roman"/>
      <w:sz w:val="24"/>
      <w:szCs w:val="24"/>
      <w:lang w:val="en-US" w:eastAsia="zh-CN" w:bidi="ar-SA"/>
    </w:rPr>
  </w:style>
  <w:style w:type="paragraph" w:customStyle="1" w:styleId="2090">
    <w:name w:val="0表格备注-hao"/>
    <w:qFormat/>
    <w:uiPriority w:val="0"/>
    <w:pPr>
      <w:adjustRightInd w:val="0"/>
      <w:snapToGrid w:val="0"/>
      <w:spacing w:line="288" w:lineRule="auto"/>
      <w:ind w:firstLine="200" w:firstLineChars="200"/>
    </w:pPr>
    <w:rPr>
      <w:rFonts w:ascii="Times New Roman" w:hAnsi="宋体" w:eastAsia="宋体" w:cs="Times New Roman"/>
      <w:kern w:val="2"/>
      <w:sz w:val="21"/>
      <w:szCs w:val="24"/>
      <w:lang w:val="en-US" w:eastAsia="zh-CN" w:bidi="ar-SA"/>
    </w:rPr>
  </w:style>
  <w:style w:type="paragraph" w:customStyle="1" w:styleId="2091">
    <w:name w:val="修订2"/>
    <w:hidden/>
    <w:semiHidden/>
    <w:qFormat/>
    <w:uiPriority w:val="99"/>
    <w:rPr>
      <w:rFonts w:ascii="Times New Roman" w:hAnsi="Times New Roman" w:eastAsia="宋体" w:cs="Times New Roman"/>
      <w:kern w:val="2"/>
      <w:sz w:val="21"/>
      <w:szCs w:val="22"/>
      <w:lang w:val="en-US" w:eastAsia="zh-CN" w:bidi="ar-SA"/>
    </w:rPr>
  </w:style>
  <w:style w:type="table" w:customStyle="1" w:styleId="2092">
    <w:name w:val="Grid Table 4 Accent 5"/>
    <w:basedOn w:val="77"/>
    <w:qFormat/>
    <w:uiPriority w:val="49"/>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paragraph" w:customStyle="1" w:styleId="2093">
    <w:name w:val="铜安表头"/>
    <w:basedOn w:val="1"/>
    <w:qFormat/>
    <w:uiPriority w:val="0"/>
    <w:pPr>
      <w:spacing w:line="240" w:lineRule="auto"/>
      <w:ind w:firstLine="0" w:firstLineChars="0"/>
      <w:jc w:val="center"/>
    </w:pPr>
    <w:rPr>
      <w:b/>
      <w:bCs/>
      <w:sz w:val="21"/>
      <w:szCs w:val="24"/>
    </w:rPr>
  </w:style>
  <w:style w:type="paragraph" w:customStyle="1" w:styleId="2094">
    <w:name w:val="表格中的文字"/>
    <w:basedOn w:val="1"/>
    <w:qFormat/>
    <w:uiPriority w:val="0"/>
    <w:pPr>
      <w:snapToGrid w:val="0"/>
      <w:spacing w:line="240" w:lineRule="auto"/>
      <w:ind w:firstLine="0" w:firstLineChars="0"/>
      <w:jc w:val="center"/>
    </w:pPr>
    <w:rPr>
      <w:sz w:val="21"/>
      <w:szCs w:val="22"/>
    </w:rPr>
  </w:style>
  <w:style w:type="paragraph" w:customStyle="1" w:styleId="2095">
    <w:name w:val="2小标题"/>
    <w:next w:val="2096"/>
    <w:qFormat/>
    <w:uiPriority w:val="0"/>
    <w:pPr>
      <w:spacing w:line="480" w:lineRule="exact"/>
    </w:pPr>
    <w:rPr>
      <w:rFonts w:ascii="Times New Roman" w:hAnsi="Times New Roman" w:eastAsia="宋体" w:cs="宋体"/>
      <w:b/>
      <w:bCs/>
      <w:kern w:val="2"/>
      <w:sz w:val="24"/>
      <w:szCs w:val="24"/>
      <w:lang w:val="en-US" w:eastAsia="zh-CN" w:bidi="ar-SA"/>
    </w:rPr>
  </w:style>
  <w:style w:type="paragraph" w:customStyle="1" w:styleId="2096">
    <w:name w:val="1正文2"/>
    <w:basedOn w:val="1"/>
    <w:qFormat/>
    <w:uiPriority w:val="0"/>
    <w:pPr>
      <w:spacing w:line="460" w:lineRule="exact"/>
      <w:ind w:firstLine="200" w:firstLineChars="200"/>
    </w:pPr>
    <w:rPr>
      <w:bCs/>
      <w:sz w:val="24"/>
    </w:rPr>
  </w:style>
  <w:style w:type="paragraph" w:customStyle="1" w:styleId="2097">
    <w:name w:val="0A正文"/>
    <w:basedOn w:val="1"/>
    <w:qFormat/>
    <w:uiPriority w:val="0"/>
    <w:pPr>
      <w:spacing w:line="460" w:lineRule="exact"/>
      <w:jc w:val="both"/>
    </w:pPr>
    <w:rPr>
      <w:color w:val="000000"/>
      <w:szCs w:val="26"/>
    </w:rPr>
  </w:style>
  <w:style w:type="paragraph" w:customStyle="1" w:styleId="2098">
    <w:name w:val="！表头"/>
    <w:basedOn w:val="1"/>
    <w:qFormat/>
    <w:uiPriority w:val="0"/>
    <w:pPr>
      <w:tabs>
        <w:tab w:val="left" w:pos="360"/>
        <w:tab w:val="left" w:pos="540"/>
      </w:tabs>
      <w:wordWrap w:val="0"/>
      <w:spacing w:line="360" w:lineRule="auto"/>
      <w:ind w:firstLine="420" w:firstLineChars="200"/>
      <w:jc w:val="center"/>
    </w:pPr>
    <w:rPr>
      <w:rFonts w:ascii="Times New Roman" w:eastAsia="黑体"/>
      <w:kern w:val="2"/>
      <w:sz w:val="21"/>
      <w:szCs w:val="21"/>
    </w:rPr>
  </w:style>
  <w:style w:type="character" w:customStyle="1" w:styleId="2099">
    <w:name w:val="font61"/>
    <w:basedOn w:val="88"/>
    <w:qFormat/>
    <w:uiPriority w:val="0"/>
    <w:rPr>
      <w:rFonts w:hint="eastAsia" w:ascii="宋体" w:hAnsi="宋体" w:eastAsia="宋体" w:cs="宋体"/>
      <w:b/>
      <w:bCs/>
      <w:color w:val="000000"/>
      <w:sz w:val="18"/>
      <w:szCs w:val="18"/>
      <w:u w:val="none"/>
      <w:vertAlign w:val="superscript"/>
    </w:rPr>
  </w:style>
  <w:style w:type="character" w:customStyle="1" w:styleId="2100">
    <w:name w:val="font01"/>
    <w:basedOn w:val="88"/>
    <w:qFormat/>
    <w:uiPriority w:val="0"/>
    <w:rPr>
      <w:rFonts w:hint="eastAsia" w:ascii="宋体" w:hAnsi="宋体" w:eastAsia="宋体" w:cs="宋体"/>
      <w:color w:val="000000"/>
      <w:sz w:val="24"/>
      <w:szCs w:val="24"/>
      <w:u w:val="none"/>
    </w:rPr>
  </w:style>
  <w:style w:type="paragraph" w:customStyle="1" w:styleId="2101">
    <w:name w:val="LW正文"/>
    <w:basedOn w:val="1"/>
    <w:qFormat/>
    <w:uiPriority w:val="0"/>
    <w:pPr>
      <w:autoSpaceDE w:val="0"/>
      <w:autoSpaceDN w:val="0"/>
      <w:adjustRightInd w:val="0"/>
      <w:snapToGrid w:val="0"/>
      <w:spacing w:line="440" w:lineRule="exact"/>
      <w:ind w:firstLine="0"/>
      <w:jc w:val="both"/>
      <w:textAlignment w:val="baseline"/>
    </w:pPr>
    <w:rPr>
      <w:rFonts w:ascii="宋体" w:hAnsi="宋体" w:eastAsia="宋体"/>
      <w:spacing w:val="10"/>
      <w:kern w:val="44"/>
    </w:rPr>
  </w:style>
  <w:style w:type="paragraph" w:customStyle="1" w:styleId="2102">
    <w:name w:val="Table Text"/>
    <w:basedOn w:val="1"/>
    <w:semiHidden/>
    <w:qFormat/>
    <w:uiPriority w:val="0"/>
    <w:rPr>
      <w:rFonts w:ascii="宋体" w:hAnsi="宋体" w:eastAsia="宋体" w:cs="宋体"/>
      <w:sz w:val="22"/>
      <w:szCs w:val="22"/>
      <w:lang w:val="en-US" w:eastAsia="en-US" w:bidi="ar-SA"/>
    </w:rPr>
  </w:style>
  <w:style w:type="paragraph" w:customStyle="1" w:styleId="2103">
    <w:name w:val="S-表格"/>
    <w:basedOn w:val="1"/>
    <w:autoRedefine/>
    <w:qFormat/>
    <w:uiPriority w:val="0"/>
    <w:pPr>
      <w:adjustRightInd/>
      <w:snapToGrid/>
      <w:spacing w:line="320" w:lineRule="exact"/>
      <w:ind w:firstLine="0" w:firstLineChars="0"/>
      <w:jc w:val="center"/>
    </w:pPr>
    <w:rPr>
      <w:rFonts w:eastAsia="宋体" w:cs="Times New Roman"/>
      <w:sz w:val="21"/>
      <w:szCs w:val="22"/>
    </w:rPr>
  </w:style>
  <w:style w:type="paragraph" w:customStyle="1" w:styleId="2104">
    <w:name w:val="样式 左 首行缩进:  1.01 厘米 Char"/>
    <w:basedOn w:val="1"/>
    <w:qFormat/>
    <w:uiPriority w:val="0"/>
    <w:pPr>
      <w:adjustRightInd w:val="0"/>
      <w:snapToGrid w:val="0"/>
      <w:spacing w:line="460" w:lineRule="exact"/>
      <w:ind w:firstLine="200" w:firstLineChars="200"/>
    </w:pPr>
    <w:rPr>
      <w:rFonts w:cs="宋体"/>
      <w:sz w:val="26"/>
      <w:szCs w:val="26"/>
    </w:rPr>
  </w:style>
  <w:style w:type="paragraph" w:customStyle="1" w:styleId="2105">
    <w:name w:val="正文-H"/>
    <w:basedOn w:val="1"/>
    <w:qFormat/>
    <w:uiPriority w:val="0"/>
    <w:pPr>
      <w:spacing w:line="520" w:lineRule="exact"/>
    </w:pPr>
    <w:rPr>
      <w:rFonts w:ascii="宋体" w:hAnsi="宋体"/>
      <w:szCs w:val="20"/>
    </w:rPr>
  </w:style>
  <w:style w:type="paragraph" w:customStyle="1" w:styleId="2106">
    <w:name w:val="表格文本"/>
    <w:basedOn w:val="1"/>
    <w:qFormat/>
    <w:uiPriority w:val="0"/>
    <w:pPr>
      <w:adjustRightInd w:val="0"/>
      <w:snapToGrid w:val="0"/>
      <w:spacing w:line="240" w:lineRule="auto"/>
      <w:ind w:firstLine="0" w:firstLineChars="0"/>
      <w:jc w:val="center"/>
    </w:pPr>
    <w:rPr>
      <w:color w:val="000000"/>
      <w:sz w:val="21"/>
      <w:szCs w:val="21"/>
    </w:rPr>
  </w:style>
  <w:style w:type="paragraph" w:customStyle="1" w:styleId="2107">
    <w:name w:val="表头W"/>
    <w:basedOn w:val="1"/>
    <w:qFormat/>
    <w:uiPriority w:val="0"/>
    <w:pPr>
      <w:adjustRightInd w:val="0"/>
      <w:snapToGrid w:val="0"/>
      <w:spacing w:line="240" w:lineRule="auto"/>
      <w:ind w:firstLine="0" w:firstLineChars="0"/>
      <w:jc w:val="center"/>
    </w:pPr>
    <w:rPr>
      <w:b/>
    </w:rPr>
  </w:style>
  <w:style w:type="paragraph" w:customStyle="1" w:styleId="2108">
    <w:name w:val="表正文"/>
    <w:basedOn w:val="1"/>
    <w:qFormat/>
    <w:uiPriority w:val="0"/>
    <w:pPr>
      <w:spacing w:line="240" w:lineRule="atLeast"/>
      <w:jc w:val="center"/>
    </w:pPr>
    <w:rPr>
      <w:spacing w:val="-6"/>
    </w:rPr>
  </w:style>
  <w:style w:type="paragraph" w:customStyle="1" w:styleId="2109">
    <w:name w:val="表格-S"/>
    <w:basedOn w:val="1"/>
    <w:autoRedefine/>
    <w:qFormat/>
    <w:uiPriority w:val="0"/>
    <w:pPr>
      <w:spacing w:line="320" w:lineRule="exact"/>
      <w:ind w:firstLine="0" w:firstLineChars="0"/>
    </w:pPr>
    <w:rPr>
      <w:rFonts w:eastAsia="宋体" w:cs="Times New Roman"/>
      <w:sz w:val="21"/>
    </w:rPr>
  </w:style>
  <w:style w:type="character" w:customStyle="1" w:styleId="2110">
    <w:name w:val="font81"/>
    <w:basedOn w:val="88"/>
    <w:autoRedefine/>
    <w:qFormat/>
    <w:uiPriority w:val="0"/>
    <w:rPr>
      <w:rFonts w:hint="eastAsia" w:ascii="宋体" w:hAnsi="宋体" w:eastAsia="宋体" w:cs="宋体"/>
      <w:color w:val="000000"/>
      <w:sz w:val="18"/>
      <w:szCs w:val="18"/>
      <w:u w:val="none"/>
    </w:rPr>
  </w:style>
  <w:style w:type="character" w:customStyle="1" w:styleId="2111">
    <w:name w:val="font91"/>
    <w:basedOn w:val="88"/>
    <w:autoRedefine/>
    <w:qFormat/>
    <w:uiPriority w:val="0"/>
    <w:rPr>
      <w:rFonts w:hint="default" w:ascii="Times New Roman" w:hAnsi="Times New Roman" w:cs="Times New Roman"/>
      <w:b/>
      <w:bCs/>
      <w:color w:val="000000"/>
      <w:sz w:val="21"/>
      <w:szCs w:val="21"/>
      <w:u w:val="none"/>
    </w:rPr>
  </w:style>
  <w:style w:type="paragraph" w:customStyle="1" w:styleId="2112">
    <w:name w:val="样式 (符号) 宋体 四号 首行缩进:  1.06 厘米"/>
    <w:basedOn w:val="1"/>
    <w:autoRedefine/>
    <w:qFormat/>
    <w:uiPriority w:val="0"/>
    <w:pPr>
      <w:ind w:firstLine="600"/>
    </w:pPr>
    <w:rPr>
      <w:rFonts w:cs="宋体"/>
      <w:snapToGrid w:val="0"/>
      <w:kern w:val="0"/>
    </w:rPr>
  </w:style>
  <w:style w:type="paragraph" w:customStyle="1" w:styleId="2113">
    <w:name w:val="谢"/>
    <w:basedOn w:val="1"/>
    <w:qFormat/>
    <w:uiPriority w:val="0"/>
    <w:pPr>
      <w:adjustRightInd/>
      <w:snapToGrid/>
      <w:spacing w:line="440" w:lineRule="exact"/>
      <w:ind w:firstLine="200" w:firstLineChars="200"/>
    </w:pPr>
    <w:rPr>
      <w:rFonts w:cs="宋体"/>
      <w:color w:val="FF0000"/>
      <w:kern w:val="2"/>
      <w:sz w:val="24"/>
    </w:rPr>
  </w:style>
  <w:style w:type="paragraph" w:customStyle="1" w:styleId="2114">
    <w:name w:val="表格 Alt-6"/>
    <w:basedOn w:val="1"/>
    <w:qFormat/>
    <w:uiPriority w:val="0"/>
    <w:pPr>
      <w:snapToGrid w:val="0"/>
      <w:jc w:val="center"/>
    </w:pPr>
    <w:rPr>
      <w:rFonts w:ascii="宋体" w:hAnsi="宋体"/>
      <w:kern w:val="0"/>
      <w:sz w:val="24"/>
      <w:szCs w:val="20"/>
    </w:rPr>
  </w:style>
  <w:style w:type="paragraph" w:customStyle="1" w:styleId="2115">
    <w:name w:val="01正文"/>
    <w:basedOn w:val="1"/>
    <w:qFormat/>
    <w:uiPriority w:val="0"/>
    <w:pPr>
      <w:spacing w:line="480" w:lineRule="exact"/>
      <w:ind w:firstLine="520" w:firstLineChars="200"/>
    </w:pPr>
    <w:rPr>
      <w:kern w:val="2"/>
      <w:sz w:val="26"/>
      <w:szCs w:val="26"/>
    </w:rPr>
  </w:style>
  <w:style w:type="paragraph" w:customStyle="1" w:styleId="2116">
    <w:name w:val="【表内容】"/>
    <w:basedOn w:val="1"/>
    <w:autoRedefine/>
    <w:qFormat/>
    <w:uiPriority w:val="0"/>
    <w:pPr>
      <w:spacing w:line="240" w:lineRule="auto"/>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6.png"/><Relationship Id="rId40" Type="http://schemas.openxmlformats.org/officeDocument/2006/relationships/image" Target="media/image15.wmf"/><Relationship Id="rId4" Type="http://schemas.openxmlformats.org/officeDocument/2006/relationships/header" Target="header2.xml"/><Relationship Id="rId39" Type="http://schemas.openxmlformats.org/officeDocument/2006/relationships/image" Target="media/image14.wmf"/><Relationship Id="rId38" Type="http://schemas.openxmlformats.org/officeDocument/2006/relationships/image" Target="media/image13.wmf"/><Relationship Id="rId37" Type="http://schemas.openxmlformats.org/officeDocument/2006/relationships/image" Target="file:///C:\Documents%2525252525252525252525252525252520and%2525252525252525252525252525252520Settings\Administrator\Application%2525252525252525252525252525252520Data\Tencent\Users\245968635\QQ\WinTemp\RichOle\S5LBN(DOO1V1WA%252525252525252525252525252525255B0B%2525252525252525252525252525252525)NAT4.png" TargetMode="External"/><Relationship Id="rId36" Type="http://schemas.openxmlformats.org/officeDocument/2006/relationships/image" Target="media/image12.png"/><Relationship Id="rId35" Type="http://schemas.openxmlformats.org/officeDocument/2006/relationships/image" Target="media/image11.wmf"/><Relationship Id="rId34" Type="http://schemas.openxmlformats.org/officeDocument/2006/relationships/image" Target="media/image10.wmf"/><Relationship Id="rId33" Type="http://schemas.openxmlformats.org/officeDocument/2006/relationships/image" Target="media/image9.wmf"/><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w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image" Target="file:///C:\Documents%2525252525252525252525252525252525252525252520and%2525252525252525252525252525252525252525252520Settings\Administrator\Application%2525252525252525252525252525252525252525252520Data\Tencent\Users\245968635\QQ\WinTemp\RichOle\OF9OXG%252525252525252525252525252525252525252525257BJPW1%2525252525252525252525252525252525252525252560%252525252525252525252525252525252525252525257BA0K49BMG%252525252525252525252525252525252525252525257DW.png" TargetMode="External"/><Relationship Id="rId27" Type="http://schemas.openxmlformats.org/officeDocument/2006/relationships/image" Target="media/image5.pn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260</Pages>
  <Words>4441</Words>
  <Characters>5123</Characters>
  <Lines>1443</Lines>
  <Paragraphs>406</Paragraphs>
  <TotalTime>14</TotalTime>
  <ScaleCrop>false</ScaleCrop>
  <LinksUpToDate>false</LinksUpToDate>
  <CharactersWithSpaces>5231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2022-11-18T07:19:00Z</dcterms:created>
  <dc:creator>兰劲涛</dc:creator>
  <cp:lastModifiedBy>温星星</cp:lastModifiedBy>
  <cp:lastPrinted>2021-09-17T02:37:00Z</cp:lastPrinted>
  <dcterms:modified xsi:type="dcterms:W3CDTF">2025-04-17T07:32:02Z</dcterms:modified>
  <cp:revision>252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5E3E3CBE268F43CB81254AF8DC01BB4B_13</vt:lpwstr>
  </property>
  <property fmtid="{D5CDD505-2E9C-101B-9397-08002B2CF9AE}" pid="4" name="KSOTemplateDocerSaveRecord">
    <vt:lpwstr>eyJoZGlkIjoiZDRlMTI0ZmZkNWVkNDk2ZTg4NWYwOTQyMjQxMmY4NGEiLCJ1c2VySWQiOiIxMzIzODcwMDMzIn0=</vt:lpwstr>
  </property>
</Properties>
</file>