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行政事业性收费目录清单</w:t>
      </w:r>
    </w:p>
    <w:tbl>
      <w:tblPr>
        <w:tblStyle w:val="3"/>
        <w:tblW w:w="10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856"/>
        <w:gridCol w:w="2072"/>
        <w:gridCol w:w="4256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tblHeader/>
          <w:jc w:val="center"/>
        </w:trPr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72" w:type="dxa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32"/>
                <w:vertAlign w:val="baseline"/>
                <w:lang w:eastAsia="zh-CN"/>
              </w:rPr>
              <w:t>收费项目</w:t>
            </w:r>
          </w:p>
        </w:tc>
        <w:tc>
          <w:tcPr>
            <w:tcW w:w="4256" w:type="dxa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32"/>
                <w:vertAlign w:val="baseline"/>
                <w:lang w:eastAsia="zh-CN"/>
              </w:rPr>
              <w:t>政策依据</w:t>
            </w:r>
          </w:p>
        </w:tc>
        <w:tc>
          <w:tcPr>
            <w:tcW w:w="3333" w:type="dxa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32"/>
                <w:vertAlign w:val="baseline"/>
                <w:lang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7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8"/>
                <w:vertAlign w:val="baseline"/>
              </w:rPr>
              <w:t>水土保持补偿费</w:t>
            </w:r>
          </w:p>
        </w:tc>
        <w:tc>
          <w:tcPr>
            <w:tcW w:w="4256" w:type="dxa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8"/>
                <w:vertAlign w:val="baseline"/>
              </w:rPr>
              <w:t>《中华人民共和国水土保持法》，财综〔2014〕8号，发改价格〔2017〕1186号，财税〔2020〕58号,财税〔2023〕9号，渝财综〔2015〕101号，渝价〔2017〕81号</w:t>
            </w:r>
          </w:p>
        </w:tc>
        <w:tc>
          <w:tcPr>
            <w:tcW w:w="3333" w:type="dxa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8"/>
                <w:vertAlign w:val="baseline"/>
              </w:rPr>
              <w:t>1.一般性生产建设项目：按照征占用土地面积一次性计征，收费标准为每平方米1.4元（不足1平方米的按1平方米计）。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8"/>
                <w:vertAlign w:val="baseline"/>
              </w:rPr>
              <w:t xml:space="preserve">2.开采矿产资源。建设期：按照征占用土地面积一次性计征，具体收费标准按一般性生产建设项目执行；开采期：石油、天然气（含页岩气），每平方米每年1.4元；石油、天然气（含页岩气）以外的矿产资源，按照开采量（采掘、采剥总量）每吨0.3元计征（不足1吨的按1吨）。            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8"/>
                <w:vertAlign w:val="baseline"/>
              </w:rPr>
              <w:t>3.取土、挖砂（河道采砂除外）和采石及烧制砖、瓦、瓷（陶）、石灰，根据取土、挖砂、采石量，按照每立方米0.5元计征（不足1立方米的按1立方米计）。对缴纳义务人已按前两种计征水土保持补偿费的，不再重复计征。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8"/>
                <w:vertAlign w:val="baseline"/>
              </w:rPr>
              <w:t>4.排放废弃土、石、渣，根据土、石、渣量，按照每立方米0.5元计征（不足1立方米的按1立方米计）。对缴纳义务人已按前三种计征水土保持补偿费的，不再重复计征。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375A7"/>
    <w:rsid w:val="1AD375A7"/>
    <w:rsid w:val="2DDE7256"/>
    <w:rsid w:val="743FA5BD"/>
    <w:rsid w:val="FABBA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金山软件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2025-08-26T18:12:00Z</dcterms:created>
  <dc:creator>一大然</dc:creator>
  <cp:lastModifiedBy>水利局机要秘书</cp:lastModifiedBy>
  <dcterms:modified xsi:type="dcterms:W3CDTF">2025-08-28T16:33:01Z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48CABE2CBFEA4A6DB69396E272BAB704_11</vt:lpwstr>
  </property>
  <property fmtid="{D5CDD505-2E9C-101B-9397-08002B2CF9AE}" pid="4" name="KSOTemplateDocerSaveRecord">
    <vt:lpwstr>eyJoZGlkIjoiYTg0N2RjYTJjYzYzYmI1NDA2OTlkMGFiMjc4ZTAzMzAiLCJ1c2VySWQiOiIyNzAwMDQ1NTUifQ==</vt:lpwstr>
  </property>
</Properties>
</file>