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丰都县生态环境局审查入河排污口设置信息公示表</w:t>
      </w:r>
    </w:p>
    <w:p>
      <w:pPr>
        <w:widowControl/>
        <w:spacing w:line="560" w:lineRule="exact"/>
        <w:jc w:val="center"/>
        <w:rPr>
          <w:rFonts w:eastAsia="方正仿宋简体"/>
          <w:kern w:val="0"/>
          <w:szCs w:val="32"/>
        </w:rPr>
      </w:pPr>
    </w:p>
    <w:p>
      <w:pPr>
        <w:pStyle w:val="18"/>
        <w:widowControl w:val="0"/>
        <w:snapToGri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丰都县生态环境局审查以下入河排污口设置文件，现公告有关设置信息，接受社会监督，公示期为2024年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日至2024年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日（5个工作日）。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反馈意见受理方式为电子邮箱：fdhbjjgk@163.com，传真：023-70702532；联系电话：023-70708728；通讯地址：丰都县三合街道商业二路321号，邮编：408200。</w:t>
      </w:r>
    </w:p>
    <w:tbl>
      <w:tblPr>
        <w:tblStyle w:val="12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68"/>
        <w:gridCol w:w="851"/>
        <w:gridCol w:w="722"/>
        <w:gridCol w:w="979"/>
        <w:gridCol w:w="2067"/>
        <w:gridCol w:w="5804"/>
        <w:gridCol w:w="10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序号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建设地点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建设单位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论证报告编制机构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基本情况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申请设置理由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相关部门意见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hAnsi="宋体"/>
                <w:sz w:val="24"/>
                <w:lang w:val="en-US"/>
              </w:rPr>
            </w:pP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丰都污水处理厂（包鸾污水处理厂）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hAnsi="宋体" w:eastAsia="仿宋_GB2312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重庆市丰都县包鸾镇龙井村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hAnsi="宋体" w:eastAsia="仿宋_GB2312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重庆市豪洋水务建设管理有限公司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hAnsi="宋体" w:eastAsia="仿宋_GB2312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重庆芈佳环保科技有限公司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adjustRightInd w:val="0"/>
              <w:rPr>
                <w:rFonts w:hAnsi="宋体"/>
                <w:sz w:val="24"/>
              </w:rPr>
            </w:pP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丰都污水处理厂（包鸾污水处理厂）（以下简称“包鸾污水处理厂”）于2008年7月投入运行，</w:t>
            </w:r>
            <w:r>
              <w:rPr>
                <w:rFonts w:hint="eastAsia" w:hAnsi="宋体" w:cs="Times New Roman"/>
                <w:sz w:val="24"/>
                <w:lang w:val="en-US" w:eastAsia="zh-CN"/>
              </w:rPr>
              <w:t>坐落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于重庆市丰都县包鸾镇龙井村，厂区占地约6040m</w:t>
            </w:r>
            <w:r>
              <w:rPr>
                <w:rFonts w:hint="eastAsia" w:ascii="Times New Roman" w:hAnsi="宋体" w:cs="Times New Roman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，负责包鸾镇场镇污水的收集处理，污水厂设计处理规模达到2000m</w:t>
            </w:r>
            <w:r>
              <w:rPr>
                <w:rFonts w:hint="eastAsia" w:ascii="Times New Roman" w:hAnsi="宋体" w:cs="Times New Roman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/d。污水处理厂分两期建设，一期规模为500 m</w:t>
            </w:r>
            <w:r>
              <w:rPr>
                <w:rFonts w:hint="eastAsia" w:ascii="Times New Roman" w:hAnsi="宋体" w:cs="Times New Roman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/d，为复合式人工湿地工艺，二期规模1500 m</w:t>
            </w:r>
            <w:r>
              <w:rPr>
                <w:rFonts w:hint="eastAsia" w:ascii="Times New Roman" w:hAnsi="宋体" w:cs="Times New Roman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/d，采用CASS反应池技术。项目入河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排污口设置在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包鸾河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左岸，地理坐标为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E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107°4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′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9.05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″，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N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29°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′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29.20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″。排污口分类为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生活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污水入河排污口，排放方式采用岸边明管连续排放，排放规模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2000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m</w:t>
            </w:r>
            <w:r>
              <w:rPr>
                <w:rFonts w:hint="default" w:ascii="Times New Roman" w:hAnsi="宋体" w:cs="Times New Roman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/d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，排放标准为《城镇污水处理厂污染物排放标准》（GB 18918-2002）一级</w:t>
            </w:r>
            <w:r>
              <w:rPr>
                <w:rFonts w:hint="eastAsia" w:ascii="Times New Roman" w:hAnsi="宋体" w:cs="Times New Roman"/>
                <w:sz w:val="24"/>
                <w:lang w:val="en-US" w:eastAsia="zh-CN"/>
              </w:rPr>
              <w:t>B</w:t>
            </w:r>
            <w:r>
              <w:rPr>
                <w:rFonts w:hint="default" w:ascii="Times New Roman" w:hAnsi="宋体" w:cs="Times New Roman"/>
                <w:sz w:val="24"/>
                <w:lang w:val="en-US" w:eastAsia="zh-CN"/>
              </w:rPr>
              <w:t>标。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丰都污水处理厂（</w:t>
            </w:r>
            <w:r>
              <w:rPr>
                <w:rFonts w:hint="eastAsia" w:hAnsi="宋体"/>
                <w:sz w:val="24"/>
                <w:lang w:val="en-US" w:eastAsia="zh-CN"/>
              </w:rPr>
              <w:t>包鸾</w:t>
            </w:r>
            <w:r>
              <w:rPr>
                <w:rFonts w:hint="eastAsia" w:hAnsi="宋体"/>
                <w:sz w:val="24"/>
                <w:lang w:eastAsia="zh-CN"/>
              </w:rPr>
              <w:t>污水处理厂）</w:t>
            </w:r>
            <w:r>
              <w:rPr>
                <w:rFonts w:hint="eastAsia" w:hAnsi="宋体"/>
                <w:sz w:val="24"/>
                <w:lang w:val="en-US" w:eastAsia="zh-CN"/>
              </w:rPr>
              <w:t>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不新增排污口，利用既有排污口，符合国家相关产业政策。本项目为减排项目，能够有效削减污染物进入包鸾河的总量，不会对现状水环境造成破坏，对水环境是有利的；排污口位置能满足水功能区水质管理相关要求，不影响第三方权益；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根据预测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，包鸾河</w:t>
            </w:r>
            <w:r>
              <w:rPr>
                <w:rFonts w:hint="default" w:hAnsi="宋体"/>
                <w:sz w:val="24"/>
                <w:lang w:val="en-US" w:eastAsia="zh-CN"/>
              </w:rPr>
              <w:t>污水处理厂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对所在水功能区水质影响较小，不会改变其水质现状，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不会对下游梨子坪水库取水口水质产生不良影响；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对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库区水质及水文情势造成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影响较小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20"/>
                <w:sz w:val="24"/>
                <w:highlight w:val="none"/>
                <w:lang w:val="en-US" w:eastAsia="zh-CN"/>
              </w:rPr>
              <w:t>，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不会对水生生物造成明显不利影响。入河排污口设置基本合理。</w:t>
            </w:r>
          </w:p>
          <w:p>
            <w:pPr>
              <w:spacing w:line="240" w:lineRule="atLeast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根据《中华人民共和国水法》《中华人民共和国水污染防治法》、水利部《入河排污口监督管理办法》(水利部令第47号)等法律法规要求，入河排污口设置前须编制入河排污口论证报告，取得主管部门批复。特向丰都县生态环境局申</w:t>
            </w:r>
            <w:bookmarkStart w:id="0" w:name="_GoBack"/>
            <w:bookmarkEnd w:id="0"/>
            <w:r>
              <w:rPr>
                <w:rFonts w:hAnsi="宋体"/>
                <w:color w:val="auto"/>
                <w:sz w:val="24"/>
              </w:rPr>
              <w:t>请入河排污口设置批复。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TcyYTc1ZTMyYWE2Njk4YThmMDljZjgxOGI2ZjMifQ=="/>
  </w:docVars>
  <w:rsids>
    <w:rsidRoot w:val="00172A27"/>
    <w:rsid w:val="00025CD6"/>
    <w:rsid w:val="000B5C60"/>
    <w:rsid w:val="00172A27"/>
    <w:rsid w:val="003A0A0C"/>
    <w:rsid w:val="00545C6C"/>
    <w:rsid w:val="005E4B83"/>
    <w:rsid w:val="0069082C"/>
    <w:rsid w:val="006A6457"/>
    <w:rsid w:val="006E69D0"/>
    <w:rsid w:val="007027B5"/>
    <w:rsid w:val="008B27C2"/>
    <w:rsid w:val="00A35AC0"/>
    <w:rsid w:val="00B12728"/>
    <w:rsid w:val="00B24A4C"/>
    <w:rsid w:val="00F369DD"/>
    <w:rsid w:val="00F52BEB"/>
    <w:rsid w:val="00FA52A8"/>
    <w:rsid w:val="01B370ED"/>
    <w:rsid w:val="02103FD7"/>
    <w:rsid w:val="02204F9E"/>
    <w:rsid w:val="036F4A4D"/>
    <w:rsid w:val="05227204"/>
    <w:rsid w:val="052A58E8"/>
    <w:rsid w:val="055C7BAD"/>
    <w:rsid w:val="060710BA"/>
    <w:rsid w:val="065F49F1"/>
    <w:rsid w:val="080C1E06"/>
    <w:rsid w:val="09062B40"/>
    <w:rsid w:val="091B3F5B"/>
    <w:rsid w:val="095D06EA"/>
    <w:rsid w:val="095D0865"/>
    <w:rsid w:val="0AF472EB"/>
    <w:rsid w:val="0C122CA9"/>
    <w:rsid w:val="0C2625A5"/>
    <w:rsid w:val="0C627B43"/>
    <w:rsid w:val="0C9C0468"/>
    <w:rsid w:val="0CFA31A3"/>
    <w:rsid w:val="0DD46EA4"/>
    <w:rsid w:val="0E25093E"/>
    <w:rsid w:val="0E3C0E7B"/>
    <w:rsid w:val="0FB57FCC"/>
    <w:rsid w:val="107575AB"/>
    <w:rsid w:val="126C13D5"/>
    <w:rsid w:val="151F7494"/>
    <w:rsid w:val="154A21E3"/>
    <w:rsid w:val="15750F86"/>
    <w:rsid w:val="15D86C1C"/>
    <w:rsid w:val="17CE1F19"/>
    <w:rsid w:val="18073C78"/>
    <w:rsid w:val="1899772D"/>
    <w:rsid w:val="18B36FCB"/>
    <w:rsid w:val="18B42969"/>
    <w:rsid w:val="19F92998"/>
    <w:rsid w:val="1B847E63"/>
    <w:rsid w:val="1BC14733"/>
    <w:rsid w:val="1BC33881"/>
    <w:rsid w:val="1BF826F3"/>
    <w:rsid w:val="1BFE267C"/>
    <w:rsid w:val="1D405232"/>
    <w:rsid w:val="1E6B7379"/>
    <w:rsid w:val="1EFB489C"/>
    <w:rsid w:val="1FBC6145"/>
    <w:rsid w:val="1FC870A5"/>
    <w:rsid w:val="20EC7077"/>
    <w:rsid w:val="2249643C"/>
    <w:rsid w:val="22CF087D"/>
    <w:rsid w:val="23600EDB"/>
    <w:rsid w:val="23603D52"/>
    <w:rsid w:val="23D126E7"/>
    <w:rsid w:val="25555228"/>
    <w:rsid w:val="25B122D6"/>
    <w:rsid w:val="25F86BCD"/>
    <w:rsid w:val="26163A5E"/>
    <w:rsid w:val="267D1AB2"/>
    <w:rsid w:val="268B762F"/>
    <w:rsid w:val="26D345D1"/>
    <w:rsid w:val="273B3B25"/>
    <w:rsid w:val="29692A1A"/>
    <w:rsid w:val="2A541BC7"/>
    <w:rsid w:val="2AC76886"/>
    <w:rsid w:val="2C1361EC"/>
    <w:rsid w:val="2C393619"/>
    <w:rsid w:val="2CB963C6"/>
    <w:rsid w:val="2DEA75FA"/>
    <w:rsid w:val="2E561D73"/>
    <w:rsid w:val="30CE35D1"/>
    <w:rsid w:val="34987453"/>
    <w:rsid w:val="35FB223E"/>
    <w:rsid w:val="3B117EFC"/>
    <w:rsid w:val="3B2813FC"/>
    <w:rsid w:val="3B3B6F55"/>
    <w:rsid w:val="3C9B0507"/>
    <w:rsid w:val="406D28A9"/>
    <w:rsid w:val="40F82E2F"/>
    <w:rsid w:val="41B00B7A"/>
    <w:rsid w:val="42F56041"/>
    <w:rsid w:val="438A71A5"/>
    <w:rsid w:val="44010BA2"/>
    <w:rsid w:val="45B83008"/>
    <w:rsid w:val="460B15CD"/>
    <w:rsid w:val="46E53FEE"/>
    <w:rsid w:val="47F025D9"/>
    <w:rsid w:val="491E7311"/>
    <w:rsid w:val="494B3CE8"/>
    <w:rsid w:val="49AD34D2"/>
    <w:rsid w:val="4A000E4F"/>
    <w:rsid w:val="4BC47DA4"/>
    <w:rsid w:val="4D324B04"/>
    <w:rsid w:val="4D4634B1"/>
    <w:rsid w:val="4D73080F"/>
    <w:rsid w:val="4E6C3F6F"/>
    <w:rsid w:val="513B1277"/>
    <w:rsid w:val="515E2DAD"/>
    <w:rsid w:val="51B77AD5"/>
    <w:rsid w:val="51E97071"/>
    <w:rsid w:val="53F44D5B"/>
    <w:rsid w:val="54DD56AC"/>
    <w:rsid w:val="561617BC"/>
    <w:rsid w:val="57B803A8"/>
    <w:rsid w:val="59317CFE"/>
    <w:rsid w:val="59595FA5"/>
    <w:rsid w:val="599077D6"/>
    <w:rsid w:val="59B30D3A"/>
    <w:rsid w:val="5A644233"/>
    <w:rsid w:val="5B987FE3"/>
    <w:rsid w:val="5BE01E9C"/>
    <w:rsid w:val="5E541D10"/>
    <w:rsid w:val="5E806E7F"/>
    <w:rsid w:val="5F15477B"/>
    <w:rsid w:val="607D125C"/>
    <w:rsid w:val="60E45152"/>
    <w:rsid w:val="62B306DB"/>
    <w:rsid w:val="62ED2661"/>
    <w:rsid w:val="63A57AA3"/>
    <w:rsid w:val="645B5116"/>
    <w:rsid w:val="64BF279B"/>
    <w:rsid w:val="655F0674"/>
    <w:rsid w:val="671E00D4"/>
    <w:rsid w:val="69357603"/>
    <w:rsid w:val="69B1644C"/>
    <w:rsid w:val="69E0409B"/>
    <w:rsid w:val="69F9577F"/>
    <w:rsid w:val="6A7923F2"/>
    <w:rsid w:val="6B1E798E"/>
    <w:rsid w:val="6BAD01A2"/>
    <w:rsid w:val="6BD86030"/>
    <w:rsid w:val="6BDB62B2"/>
    <w:rsid w:val="6C6B4D2B"/>
    <w:rsid w:val="6CE60082"/>
    <w:rsid w:val="6DE22F6A"/>
    <w:rsid w:val="6EA0469A"/>
    <w:rsid w:val="6FF310C4"/>
    <w:rsid w:val="719F2DA2"/>
    <w:rsid w:val="72A91B35"/>
    <w:rsid w:val="72FB7C89"/>
    <w:rsid w:val="750C07E7"/>
    <w:rsid w:val="751F1460"/>
    <w:rsid w:val="76E77A46"/>
    <w:rsid w:val="77EA4FCF"/>
    <w:rsid w:val="789744D1"/>
    <w:rsid w:val="79747CA1"/>
    <w:rsid w:val="798E7EA0"/>
    <w:rsid w:val="79BB097A"/>
    <w:rsid w:val="79C421FD"/>
    <w:rsid w:val="7B945188"/>
    <w:rsid w:val="7BF6443F"/>
    <w:rsid w:val="7D707D6C"/>
    <w:rsid w:val="7DA12BB9"/>
    <w:rsid w:val="7DF2788C"/>
    <w:rsid w:val="7E9C4D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unhideWhenUsed/>
    <w:qFormat/>
    <w:uiPriority w:val="0"/>
    <w:pPr>
      <w:spacing w:after="0" w:line="480" w:lineRule="exact"/>
      <w:ind w:firstLine="200" w:firstLineChars="200"/>
    </w:pPr>
  </w:style>
  <w:style w:type="paragraph" w:styleId="5">
    <w:name w:val="Body Text"/>
    <w:basedOn w:val="1"/>
    <w:unhideWhenUsed/>
    <w:qFormat/>
    <w:uiPriority w:val="0"/>
    <w:pPr>
      <w:spacing w:after="120"/>
    </w:p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样式 正文缩进正文缩进2正文缩进 Char Char正文缩进 Char Char Char Char正文缩进 Char ..."/>
    <w:basedOn w:val="6"/>
    <w:qFormat/>
    <w:uiPriority w:val="0"/>
    <w:pPr>
      <w:spacing w:line="360" w:lineRule="auto"/>
      <w:ind w:firstLine="200"/>
    </w:pPr>
    <w:rPr>
      <w:rFonts w:cs="宋体"/>
      <w:sz w:val="24"/>
    </w:rPr>
  </w:style>
  <w:style w:type="character" w:customStyle="1" w:styleId="16">
    <w:name w:val="页眉 Char"/>
    <w:basedOn w:val="11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9"/>
    <w:qFormat/>
    <w:uiPriority w:val="99"/>
    <w:rPr>
      <w:sz w:val="18"/>
      <w:szCs w:val="18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0"/>
    </w:rPr>
  </w:style>
  <w:style w:type="paragraph" w:customStyle="1" w:styleId="19">
    <w:name w:val="样式2"/>
    <w:basedOn w:val="1"/>
    <w:qFormat/>
    <w:uiPriority w:val="0"/>
    <w:pPr>
      <w:autoSpaceDE w:val="0"/>
      <w:autoSpaceDN w:val="0"/>
      <w:adjustRightInd w:val="0"/>
      <w:spacing w:line="500" w:lineRule="exact"/>
      <w:jc w:val="left"/>
    </w:pPr>
    <w:rPr>
      <w:rFonts w:ascii="宋体" w:eastAsia="宋体"/>
      <w:kern w:val="0"/>
      <w:sz w:val="26"/>
      <w:szCs w:val="20"/>
    </w:rPr>
  </w:style>
  <w:style w:type="paragraph" w:customStyle="1" w:styleId="20">
    <w:name w:val="正文   1"/>
    <w:basedOn w:val="1"/>
    <w:qFormat/>
    <w:uiPriority w:val="0"/>
    <w:pPr>
      <w:snapToGrid w:val="0"/>
      <w:spacing w:line="460" w:lineRule="atLeast"/>
      <w:ind w:firstLine="520" w:firstLineChars="200"/>
    </w:pPr>
    <w:rPr>
      <w:bCs/>
      <w:sz w:val="26"/>
    </w:rPr>
  </w:style>
  <w:style w:type="paragraph" w:customStyle="1" w:styleId="21">
    <w:name w:val="中文报告书样式"/>
    <w:basedOn w:val="1"/>
    <w:qFormat/>
    <w:uiPriority w:val="0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paragraph" w:customStyle="1" w:styleId="22">
    <w:name w:val="Char Char10 Char Char Char Char Char Char Char Char Char Char Char Char"/>
    <w:basedOn w:val="1"/>
    <w:qFormat/>
    <w:uiPriority w:val="0"/>
    <w:rPr>
      <w:sz w:val="24"/>
    </w:rPr>
  </w:style>
  <w:style w:type="paragraph" w:customStyle="1" w:styleId="23">
    <w:name w:val="报告正文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815</Words>
  <Characters>930</Characters>
  <Lines>5</Lines>
  <Paragraphs>1</Paragraphs>
  <TotalTime>0</TotalTime>
  <ScaleCrop>false</ScaleCrop>
  <LinksUpToDate>false</LinksUpToDate>
  <CharactersWithSpaces>933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2019-04-17T03:12:00Z</dcterms:created>
  <dc:creator>微软用户</dc:creator>
  <cp:lastModifiedBy>xjzx</cp:lastModifiedBy>
  <cp:lastPrinted>2024-01-15T02:29:00Z</cp:lastPrinted>
  <dcterms:modified xsi:type="dcterms:W3CDTF">2024-11-25T03:08:17Z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2E8A61EB8C844163925CF55FD5FF2988_13</vt:lpwstr>
  </property>
</Properties>
</file>