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47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丰泥水泥窑协同处置项目</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重庆市丰都县湛普镇燕子村</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东方希望重庆水泥有限公司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重庆环科源博达环保科技有限公司</w:t>
            </w:r>
          </w:p>
        </w:tc>
        <w:tc>
          <w:tcPr>
            <w:tcW w:w="2878"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在东方希望重庆水泥有限公司内进行技改，利用现有1#~5#水泥线，新建投料口或利用现有投料口。资源化利用一般固体废物629万吨/年，其中替代生料类固废399万吨/年，替代燃料类固废60万吨/年，替代混合材类固废170万吨/年。</w:t>
            </w:r>
          </w:p>
        </w:tc>
        <w:tc>
          <w:tcPr>
            <w:tcW w:w="4777" w:type="dxa"/>
            <w:vAlign w:val="center"/>
          </w:tcPr>
          <w:p>
            <w:pPr>
              <w:numPr>
                <w:ilvl w:val="0"/>
                <w:numId w:val="5"/>
              </w:num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废气</w:t>
            </w:r>
          </w:p>
          <w:p>
            <w:pPr>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窑尾废气焚烧系统烟气：</w:t>
            </w:r>
          </w:p>
          <w:p>
            <w:pPr>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1#线现有“低氮燃烧+SNCR+覆膜布袋除尘”方法净化后通过110 m高排气筒排放。</w:t>
            </w:r>
          </w:p>
          <w:p>
            <w:pPr>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2#线现有“低氮燃烧+SNCR+覆膜布袋除尘”方法净化后通过110 m高排气筒排放。</w:t>
            </w:r>
          </w:p>
          <w:p>
            <w:pPr>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3#线现有“低氮燃烧+SNCR+覆膜布袋除尘+干法脱硫”方法净化后通过110 m高排气筒排放。</w:t>
            </w:r>
          </w:p>
          <w:p>
            <w:pPr>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4#线现有“低氮燃烧+SNCR+覆膜布袋除尘+干法脱硫”方法净化后通过110 m高排气筒排放。</w:t>
            </w:r>
          </w:p>
          <w:p>
            <w:pPr>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5#线现有“低氮燃烧+SNCR+覆膜布袋除尘+干法脱硫”方法净化后通过110 m高排气筒排放。</w:t>
            </w:r>
          </w:p>
          <w:p>
            <w:pPr>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根据《1#-5#水泥窑及窑尾余热利用系统超低排放改造项目实施方案》（2024年4月），将1#~5#窑尾废气处理设施改造为“低氮分级燃烧+干法脱硫+SNCR+SCR 复合脱硝+高效布袋除尘”</w:t>
            </w:r>
          </w:p>
          <w:p>
            <w:pPr>
              <w:numPr>
                <w:ilvl w:val="0"/>
                <w:numId w:val="0"/>
              </w:numPr>
              <w:tabs>
                <w:tab w:val="clear" w:pos="1620"/>
                <w:tab w:val="clear" w:pos="2040"/>
              </w:tabs>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投加车间废气：废气经收集后通过“袋除尘+活性炭吸附+UV光解”处理后通过15 m高排气筒排放。</w:t>
            </w:r>
          </w:p>
          <w:p>
            <w:pPr>
              <w:numPr>
                <w:ilvl w:val="0"/>
                <w:numId w:val="0"/>
              </w:numPr>
              <w:tabs>
                <w:tab w:val="clear" w:pos="1620"/>
                <w:tab w:val="clear" w:pos="2040"/>
              </w:tabs>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污泥料仓</w:t>
            </w:r>
            <w:r>
              <w:rPr>
                <w:rFonts w:hint="eastAsia" w:ascii="宋体" w:hAnsi="宋体" w:eastAsia="宋体" w:cs="Times New Roman"/>
                <w:bCs/>
                <w:sz w:val="20"/>
                <w:szCs w:val="20"/>
                <w:lang w:val="en-US" w:eastAsia="zh-CN"/>
              </w:rPr>
              <w:t>废气</w:t>
            </w:r>
            <w:r>
              <w:rPr>
                <w:rFonts w:hint="default" w:ascii="宋体" w:hAnsi="宋体" w:eastAsia="宋体" w:cs="Times New Roman"/>
                <w:bCs/>
                <w:sz w:val="20"/>
                <w:szCs w:val="20"/>
                <w:lang w:val="en-US" w:eastAsia="zh-CN"/>
              </w:rPr>
              <w:t>：设置负压收集装置，臭气经收集后通过管道引至水泥窑高温区焚烧处置。同时在污泥卸料过程采取人工喷洒生物除臭液，以减轻臭气无组织排放对周边环境的影响。</w:t>
            </w:r>
          </w:p>
          <w:p>
            <w:pPr>
              <w:numPr>
                <w:ilvl w:val="0"/>
                <w:numId w:val="0"/>
              </w:numPr>
              <w:tabs>
                <w:tab w:val="clear" w:pos="1620"/>
                <w:tab w:val="clear" w:pos="2040"/>
              </w:tabs>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替代原辅材料类固体废物在装卸、输送、储存及生产等环节密闭进行，产尘点均安装有袋除尘器，对产生的粉尘进行收集处理。</w:t>
            </w:r>
          </w:p>
          <w:p>
            <w:pPr>
              <w:numPr>
                <w:ilvl w:val="0"/>
                <w:numId w:val="5"/>
              </w:num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废水</w:t>
            </w:r>
          </w:p>
          <w:p>
            <w:pPr>
              <w:widowControl w:val="0"/>
              <w:numPr>
                <w:ilvl w:val="0"/>
                <w:numId w:val="0"/>
              </w:numPr>
              <w:tabs>
                <w:tab w:val="clear" w:pos="1620"/>
                <w:tab w:val="clear" w:pos="2040"/>
              </w:tabs>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生产废水包括污泥接收储存仓及输送设备停用时的清洗废水和污泥运输车辆冲洗废水，经收集后泵入水泥窑焚烧处置，不外排。项目不新增员工，不新增生活污水。</w:t>
            </w:r>
          </w:p>
          <w:p>
            <w:pPr>
              <w:numPr>
                <w:ilvl w:val="0"/>
                <w:numId w:val="5"/>
              </w:num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噪声</w:t>
            </w:r>
          </w:p>
          <w:p>
            <w:pPr>
              <w:widowControl w:val="0"/>
              <w:numPr>
                <w:ilvl w:val="0"/>
                <w:numId w:val="0"/>
              </w:numPr>
              <w:tabs>
                <w:tab w:val="clear" w:pos="1620"/>
                <w:tab w:val="clear" w:pos="2040"/>
              </w:tabs>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采取隔声、消声、减振、厂房封闭等措施进行治理。厂界噪声满足《工业企业厂界环境噪声排放标准》（GB12348-2008）中</w:t>
            </w:r>
            <w:r>
              <w:rPr>
                <w:rFonts w:hint="eastAsia" w:ascii="宋体" w:hAnsi="宋体" w:eastAsia="宋体" w:cs="Times New Roman"/>
                <w:bCs/>
                <w:sz w:val="20"/>
                <w:szCs w:val="20"/>
                <w:lang w:val="en-US" w:eastAsia="zh-CN"/>
              </w:rPr>
              <w:t>3</w:t>
            </w:r>
            <w:r>
              <w:rPr>
                <w:rFonts w:hint="default" w:ascii="宋体" w:hAnsi="宋体" w:eastAsia="宋体" w:cs="Times New Roman"/>
                <w:bCs/>
                <w:sz w:val="20"/>
                <w:szCs w:val="20"/>
                <w:lang w:val="en-US" w:eastAsia="zh-CN"/>
              </w:rPr>
              <w:t>类标准要求。</w:t>
            </w:r>
          </w:p>
          <w:p>
            <w:pPr>
              <w:numPr>
                <w:ilvl w:val="0"/>
                <w:numId w:val="5"/>
              </w:num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固体废物</w:t>
            </w:r>
          </w:p>
          <w:p>
            <w:pPr>
              <w:widowControl w:val="0"/>
              <w:numPr>
                <w:ilvl w:val="0"/>
                <w:numId w:val="0"/>
              </w:numPr>
              <w:tabs>
                <w:tab w:val="clear" w:pos="1620"/>
                <w:tab w:val="clear" w:pos="2040"/>
              </w:tabs>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除尘灰收集后作生产原料回用，不排放；污水处理站污泥送至窑内焚烧处理；更换下来的炉窑耐火材料和保温材料作为生料和粘土原料回收利用；脱硫石膏作为混合材回用。废油作为回转窑点火用油；废油桶属危废交由有资质单位处置。</w:t>
            </w:r>
          </w:p>
          <w:p>
            <w:pPr>
              <w:widowControl w:val="0"/>
              <w:numPr>
                <w:ilvl w:val="0"/>
                <w:numId w:val="5"/>
              </w:numPr>
              <w:snapToGrid w:val="0"/>
              <w:spacing w:line="360" w:lineRule="auto"/>
              <w:ind w:left="0" w:leftChars="0" w:firstLine="0" w:firstLine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地下水和土壤污染防护措施</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项目所依托的原辅材料堆棚、投加车间已进行了一般防渗。严格按照《一般工业固体废物贮存和填埋污染控制标准》（GB 18599-2020）中Ⅱ类场的要求进行建设，防渗层的饱和渗透系数不应大于1.0×10</w:t>
            </w:r>
            <w:r>
              <w:rPr>
                <w:rFonts w:hint="default" w:ascii="宋体" w:hAnsi="宋体" w:eastAsia="宋体" w:cs="Times New Roman"/>
                <w:bCs/>
                <w:sz w:val="20"/>
                <w:szCs w:val="20"/>
                <w:vertAlign w:val="superscript"/>
                <w:lang w:val="en-US" w:eastAsia="zh-CN"/>
              </w:rPr>
              <w:t>-7</w:t>
            </w:r>
            <w:r>
              <w:rPr>
                <w:rFonts w:hint="default" w:ascii="宋体" w:hAnsi="宋体" w:eastAsia="宋体" w:cs="Times New Roman"/>
                <w:bCs/>
                <w:sz w:val="20"/>
                <w:szCs w:val="20"/>
                <w:lang w:val="en-US" w:eastAsia="zh-CN"/>
              </w:rPr>
              <w:t>cm/s。储存含水率较高物料区域建设渗滤液收集系统。</w:t>
            </w:r>
          </w:p>
        </w:tc>
        <w:tc>
          <w:tcPr>
            <w:tcW w:w="709"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abstractNum w:abstractNumId="1434062046">
    <w:nsid w:val="557A0CDE"/>
    <w:multiLevelType w:val="singleLevel"/>
    <w:tmpl w:val="557A0CDE"/>
    <w:lvl w:ilvl="0" w:tentative="1">
      <w:start w:val="1"/>
      <w:numFmt w:val="chineseCounting"/>
      <w:suff w:val="nothing"/>
      <w:lvlText w:val="%1、"/>
      <w:lvlJc w:val="left"/>
      <w:rPr>
        <w:rFonts w:hint="eastAsia"/>
      </w:rPr>
    </w:lvl>
  </w:abstractNum>
  <w:num w:numId="1">
    <w:abstractNumId w:val="2382139896"/>
  </w:num>
  <w:num w:numId="2">
    <w:abstractNumId w:val="2637331676"/>
  </w:num>
  <w:num w:numId="3">
    <w:abstractNumId w:val="3924517656"/>
  </w:num>
  <w:num w:numId="4">
    <w:abstractNumId w:val="165777474"/>
  </w:num>
  <w:num w:numId="5">
    <w:abstractNumId w:val="14340620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036669"/>
    <w:rsid w:val="16A81373"/>
    <w:rsid w:val="17920BDE"/>
    <w:rsid w:val="17D270F3"/>
    <w:rsid w:val="18D23988"/>
    <w:rsid w:val="18DF42F7"/>
    <w:rsid w:val="191044B0"/>
    <w:rsid w:val="19F3005A"/>
    <w:rsid w:val="1A310B82"/>
    <w:rsid w:val="1A9133CF"/>
    <w:rsid w:val="1AF44089"/>
    <w:rsid w:val="1AFB1FF4"/>
    <w:rsid w:val="1B662AAD"/>
    <w:rsid w:val="1B7C0CCC"/>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6E14AB"/>
    <w:rsid w:val="29982084"/>
    <w:rsid w:val="29B8764E"/>
    <w:rsid w:val="29C15A7E"/>
    <w:rsid w:val="29E518D5"/>
    <w:rsid w:val="2A0E2346"/>
    <w:rsid w:val="2A7C7BF7"/>
    <w:rsid w:val="2A7F4FF2"/>
    <w:rsid w:val="2AC41E55"/>
    <w:rsid w:val="2ADC28C5"/>
    <w:rsid w:val="2BA33DE7"/>
    <w:rsid w:val="2BCC0C4F"/>
    <w:rsid w:val="2D0A14EA"/>
    <w:rsid w:val="2E093A48"/>
    <w:rsid w:val="2E182852"/>
    <w:rsid w:val="2FCB3525"/>
    <w:rsid w:val="306C3DFF"/>
    <w:rsid w:val="311D7742"/>
    <w:rsid w:val="31A04D91"/>
    <w:rsid w:val="32A25D21"/>
    <w:rsid w:val="3498562E"/>
    <w:rsid w:val="349D6F8E"/>
    <w:rsid w:val="34AC732B"/>
    <w:rsid w:val="34E67F6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3</Pages>
  <Words>1195</Words>
  <Characters>1371</Characters>
  <Lines>16</Lines>
  <Paragraphs>4</Paragraphs>
  <TotalTime>0</TotalTime>
  <ScaleCrop>false</ScaleCrop>
  <LinksUpToDate>false</LinksUpToDate>
  <CharactersWithSpaces>1379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2024-12-05T01:49:20Z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44F3208D768A4ADE9A715621B8735049_11</vt:lpwstr>
  </property>
</Properties>
</file>