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val="0"/>
        <w:spacing w:before="320" w:line="420" w:lineRule="auto"/>
        <w:jc w:val="center"/>
        <w:rPr>
          <w:rFonts w:hint="eastAsia" w:ascii="宋体" w:hAnsi="宋体" w:eastAsia="宋体" w:cs="宋体"/>
          <w:b/>
          <w:bCs w:val="0"/>
          <w:sz w:val="28"/>
          <w:szCs w:val="28"/>
        </w:rPr>
      </w:pPr>
      <w:r>
        <w:rPr>
          <w:rFonts w:hint="eastAsia" w:ascii="宋体" w:hAnsi="宋体" w:eastAsia="宋体" w:cs="宋体"/>
          <w:b/>
          <w:bCs w:val="0"/>
          <w:kern w:val="0"/>
          <w:sz w:val="28"/>
          <w:szCs w:val="28"/>
        </w:rPr>
        <w:t>丰都县生态环境局审查建设项目环评信息公示表</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bCs/>
          <w:sz w:val="28"/>
          <w:szCs w:val="28"/>
        </w:rPr>
      </w:pPr>
      <w:r>
        <w:rPr>
          <w:rFonts w:hint="eastAsia" w:ascii="宋体" w:hAnsi="宋体" w:eastAsia="宋体" w:cs="宋体"/>
          <w:kern w:val="0"/>
          <w:sz w:val="28"/>
          <w:szCs w:val="28"/>
        </w:rPr>
        <w:t>丰都县生态环境局审查以下建设项目环评文件，现公告有关环评信息，接受社会监督，公示期为</w:t>
      </w:r>
      <w:r>
        <w:rPr>
          <w:rFonts w:hint="eastAsia" w:ascii="宋体" w:hAnsi="宋体" w:eastAsia="宋体" w:cs="宋体"/>
          <w:kern w:val="0"/>
          <w:sz w:val="28"/>
          <w:szCs w:val="28"/>
          <w:lang w:val="en-US" w:eastAsia="zh-CN"/>
        </w:rPr>
        <w:t>2024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16</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2024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日。环评文件查询方式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8"/>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1933"/>
        <w:gridCol w:w="5722"/>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序号</w:t>
            </w:r>
          </w:p>
        </w:tc>
        <w:tc>
          <w:tcPr>
            <w:tcW w:w="12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项目名称</w:t>
            </w:r>
          </w:p>
        </w:tc>
        <w:tc>
          <w:tcPr>
            <w:tcW w:w="1272"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建设地点</w:t>
            </w:r>
          </w:p>
        </w:tc>
        <w:tc>
          <w:tcPr>
            <w:tcW w:w="88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w:t>
            </w:r>
          </w:p>
        </w:tc>
        <w:tc>
          <w:tcPr>
            <w:tcW w:w="1275"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环境影响评价机构</w:t>
            </w:r>
          </w:p>
        </w:tc>
        <w:tc>
          <w:tcPr>
            <w:tcW w:w="1933"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项目概况</w:t>
            </w:r>
          </w:p>
        </w:tc>
        <w:tc>
          <w:tcPr>
            <w:tcW w:w="5722"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主要环境影响和环境保护对策与措施</w:t>
            </w:r>
          </w:p>
        </w:tc>
        <w:tc>
          <w:tcPr>
            <w:tcW w:w="709"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相关部门意见</w:t>
            </w:r>
          </w:p>
        </w:tc>
        <w:tc>
          <w:tcPr>
            <w:tcW w:w="117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1</w:t>
            </w:r>
          </w:p>
        </w:tc>
        <w:tc>
          <w:tcPr>
            <w:tcW w:w="1277"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重庆科发船舶修造有限公司船舶拆解项目</w:t>
            </w:r>
          </w:p>
        </w:tc>
        <w:tc>
          <w:tcPr>
            <w:tcW w:w="1272"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镇江工业园区A12-06/03、B01/01、B02/1部分地块</w:t>
            </w:r>
          </w:p>
        </w:tc>
        <w:tc>
          <w:tcPr>
            <w:tcW w:w="886"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重庆科发船舶修造有限公司</w:t>
            </w:r>
          </w:p>
        </w:tc>
        <w:tc>
          <w:tcPr>
            <w:tcW w:w="1275"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重庆利田环保技术研究院有限公司</w:t>
            </w:r>
          </w:p>
        </w:tc>
        <w:tc>
          <w:tcPr>
            <w:tcW w:w="1933"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拟于A12-06/03地块新增用地27458.12㎡，在长江河道管理范围及岸线范围外利用原用地南侧现有水泥硬化场地设置拆船船台（基本拆解区）、新建二次拆解区、拆解物资贮存区等设施，在现有喷漆房南侧新建1个喷砂房，同时将原油漆库及危废暂存间搬迁至新增地块内东侧，项目建成后年拆解报废船舶20艘和年喷砂除锈钢材10000㎡</w:t>
            </w:r>
            <w:r>
              <w:rPr>
                <w:rFonts w:hint="eastAsia" w:ascii="宋体" w:hAnsi="宋体" w:eastAsia="宋体" w:cs="Times New Roman"/>
                <w:bCs/>
                <w:sz w:val="20"/>
                <w:szCs w:val="20"/>
                <w:lang w:val="en-US" w:eastAsia="zh-CN"/>
              </w:rPr>
              <w:t>。</w:t>
            </w:r>
          </w:p>
        </w:tc>
        <w:tc>
          <w:tcPr>
            <w:tcW w:w="5722"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（1）废气</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本项目运营期废气主要为拆解船舶挥发性有机物、拆解切割粉尘、喷砂粉尘。</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①拆解船舶挥发性有机物</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报废船舶拆解过程中需要使用抽油泵将油舱、油柜、油管等设备内燃油、润滑油、液压油、机油抽出，并清理油管、过滤器中残余油料；抽取及清理过程油料会产生挥发性有机物，挥发残留量较小，以无组织形式排放。</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②切割粉尘</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拆除废弃船舶上石棉物品时，先用水充分润湿后整块切割，基本无切割粉尘产生；船体其他部分基本拆解、二次拆解均采用氧/可燃气切割方式进行切割，切割粉尘以无组织形式排放。</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③喷砂粉尘</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喷砂过程将产生少量的粉尘，采用布袋除尘器处理后经15m排气筒高空排放，经预测分析，处理后的颗粒物能实现达标排放。</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（2）废水</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本项目运营期产生的废水主要为新增员工生活污水。</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新增员工生活污水依托现有生化池处理后排入园区污水管网。</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初期雨水依托现有工程截流沟收集后排入扩建后的隔油沉砂池处理后排入园区污水管网。初期雨水进入扩建后的隔油沉砂池前端截水沟处设置切换阀，后期雨水排入园区雨水管网。</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采取上述措施后，项目运营期产生废水对项目区域地表水环境影响可接受。</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（3）地下水</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本项目厂区按一般污染防渗区和重点污染防渗区划分，分别采取不同等级的防渗措施后，本项目对地下水环境影响较小。</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（4）噪声</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本项目运营期噪声源主要为卷扬机、抽油泵、切割机、风机等设备，其噪声源强约为75-85dB（A），通过选用低噪声设备、建筑隔声、基础减振等措施，经预测，项目运营期厂界噪声满足《工业企业厂界环境噪声排放标准》（GB12348-2008）3类标准。</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（5）固体废物</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本项目固体废物主要为一般工业固废、危险废物和新增员工生活垃圾。</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一般工业固废：压舱水泥定期运到建筑垃圾填埋场处理，废砂等其他一般工业固废交由相应的回收单位处置。</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危险废物：废油、废油泥、废制冷剂、废石棉、含汞废灯管、废电路板及电子元器件、废漆渣、废电池、废油箱等。废油、废油泥、废石棉、含汞废灯管、废电路板及电子元器件、废漆渣、废电池、废油箱在危废暂存间内分类暂存，定期交有危废处理资质单位收运、处置；外委有资质单位采用专门的制冷剂回收装置对制冷设备内的制冷剂进行回收，回收的制冷剂由外委单位直接带走处置，不在厂区储存。</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新增员工产生的生活垃圾定期交当地环卫部门处理。</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因此，本项目固废均得到有效处置，对外环境影响较小。</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（6）土壤</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本项目土壤污染途径包括大气沉降、垂直入渗，通过沉降粉尘定期清扫、厂区地面硬化、危废暂存间设置防腐防渗等措施后，项目不会对区域土壤环境质量造成明显影响，土壤环境影响可接受。</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（7）生态环境</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本项目厂区内拆解的报废船舶由船主负责通过长江航道抵达本项河岸处，报废船舶靠岸会使水体产生扰动，可能导致水生生物及鱼类的数量暂时下降，但随着报废船舶的上岸会逐渐恢复，且项目年拆解报废船舶仅20艘，数量较少，对水生生态影响较小。</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16"/>
                <w:szCs w:val="16"/>
                <w:lang w:val="en-US" w:eastAsia="zh-CN"/>
              </w:rPr>
            </w:pPr>
            <w:r>
              <w:rPr>
                <w:rFonts w:hint="default" w:ascii="宋体" w:hAnsi="宋体" w:eastAsia="宋体" w:cs="Times New Roman"/>
                <w:bCs/>
                <w:sz w:val="16"/>
                <w:szCs w:val="16"/>
                <w:lang w:val="en-US" w:eastAsia="zh-CN"/>
              </w:rPr>
              <w:t>（8）环境风险</w:t>
            </w:r>
          </w:p>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16"/>
                <w:szCs w:val="16"/>
                <w:lang w:val="en-US" w:eastAsia="zh-CN"/>
              </w:rPr>
              <w:t>本项目风险物质为丙烷、危险废物，风险潜势为I，风险类型包括火灾、爆炸、泄漏事故产生的伴生/次生污染物等，项目在采取有效的风险防范措施，并制定应急预案的基础上，本项目的环境风险是可以接受。</w:t>
            </w:r>
          </w:p>
        </w:tc>
        <w:tc>
          <w:tcPr>
            <w:tcW w:w="709"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县发展改革委备案</w:t>
            </w:r>
          </w:p>
        </w:tc>
        <w:tc>
          <w:tcPr>
            <w:tcW w:w="1176"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已按要求开展公众参与，项目公示期间未收到信函、传真、电子邮件或电话等方式反映与本项目环境影响有关的意见和建议。</w:t>
            </w:r>
            <w:bookmarkStart w:id="0" w:name="_GoBack"/>
            <w:bookmarkEnd w:id="0"/>
          </w:p>
        </w:tc>
      </w:tr>
    </w:tbl>
    <w:p>
      <w:pPr>
        <w:snapToGrid w:val="0"/>
        <w:spacing w:line="360" w:lineRule="auto"/>
        <w:jc w:val="left"/>
        <w:textAlignment w:val="baseline"/>
        <w:rPr>
          <w:rFonts w:hint="eastAsia" w:ascii="宋体" w:hAnsi="宋体" w:eastAsia="宋体" w:cs="Times New Roman"/>
          <w:bCs/>
          <w:sz w:val="20"/>
          <w:szCs w:val="20"/>
          <w:lang w:val="en-US" w:eastAsia="zh-CN"/>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165777474">
    <w:nsid w:val="09E19042"/>
    <w:multiLevelType w:val="singleLevel"/>
    <w:tmpl w:val="09E19042"/>
    <w:lvl w:ilvl="0" w:tentative="1">
      <w:start w:val="1"/>
      <w:numFmt w:val="bullet"/>
      <w:pStyle w:val="9"/>
      <w:lvlText w:val=""/>
      <w:lvlJc w:val="left"/>
      <w:pPr>
        <w:tabs>
          <w:tab w:val="left" w:pos="2040"/>
        </w:tabs>
        <w:ind w:left="204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num w:numId="1">
    <w:abstractNumId w:val="2382139896"/>
  </w:num>
  <w:num w:numId="2">
    <w:abstractNumId w:val="2637331676"/>
  </w:num>
  <w:num w:numId="3">
    <w:abstractNumId w:val="3924517656"/>
  </w:num>
  <w:num w:numId="4">
    <w:abstractNumId w:val="1657774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331B6"/>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319A"/>
    <w:rsid w:val="00F77BB0"/>
    <w:rsid w:val="00F840CE"/>
    <w:rsid w:val="00F84146"/>
    <w:rsid w:val="00F97626"/>
    <w:rsid w:val="00FB7450"/>
    <w:rsid w:val="00FF1E19"/>
    <w:rsid w:val="00FF6254"/>
    <w:rsid w:val="023915F5"/>
    <w:rsid w:val="02E82D4B"/>
    <w:rsid w:val="038614E0"/>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7A250D"/>
    <w:rsid w:val="0BA37CB5"/>
    <w:rsid w:val="0BC5640F"/>
    <w:rsid w:val="0C120997"/>
    <w:rsid w:val="0DF77E44"/>
    <w:rsid w:val="0E371CC6"/>
    <w:rsid w:val="0F135152"/>
    <w:rsid w:val="0F4970AB"/>
    <w:rsid w:val="100D7DF3"/>
    <w:rsid w:val="11357601"/>
    <w:rsid w:val="113D3C20"/>
    <w:rsid w:val="116E48C1"/>
    <w:rsid w:val="11B20C52"/>
    <w:rsid w:val="11F36B75"/>
    <w:rsid w:val="12347254"/>
    <w:rsid w:val="12543AB7"/>
    <w:rsid w:val="132A02CD"/>
    <w:rsid w:val="13533D6F"/>
    <w:rsid w:val="13AC7923"/>
    <w:rsid w:val="140D6614"/>
    <w:rsid w:val="14537D9F"/>
    <w:rsid w:val="14E05AD6"/>
    <w:rsid w:val="15A03D06"/>
    <w:rsid w:val="16A81373"/>
    <w:rsid w:val="17920BDE"/>
    <w:rsid w:val="17D270F3"/>
    <w:rsid w:val="18D23988"/>
    <w:rsid w:val="18DF42F7"/>
    <w:rsid w:val="191044B0"/>
    <w:rsid w:val="19F3005A"/>
    <w:rsid w:val="1A310B82"/>
    <w:rsid w:val="1A9133CF"/>
    <w:rsid w:val="1AF44089"/>
    <w:rsid w:val="1AFB1FF4"/>
    <w:rsid w:val="1B662AAD"/>
    <w:rsid w:val="1B7C0CCC"/>
    <w:rsid w:val="1CE93797"/>
    <w:rsid w:val="1E0F6C5F"/>
    <w:rsid w:val="1E5A4604"/>
    <w:rsid w:val="1EFF124F"/>
    <w:rsid w:val="1F2760B0"/>
    <w:rsid w:val="1F947BE9"/>
    <w:rsid w:val="20635A0A"/>
    <w:rsid w:val="20B82E79"/>
    <w:rsid w:val="21BA4874"/>
    <w:rsid w:val="21D80261"/>
    <w:rsid w:val="22552F34"/>
    <w:rsid w:val="22A30143"/>
    <w:rsid w:val="235723EB"/>
    <w:rsid w:val="236C49D9"/>
    <w:rsid w:val="23F21382"/>
    <w:rsid w:val="24AD7057"/>
    <w:rsid w:val="277D5407"/>
    <w:rsid w:val="27BD5803"/>
    <w:rsid w:val="28041684"/>
    <w:rsid w:val="286A0797"/>
    <w:rsid w:val="287B7B98"/>
    <w:rsid w:val="28904CC6"/>
    <w:rsid w:val="2923105E"/>
    <w:rsid w:val="296E14AB"/>
    <w:rsid w:val="29982084"/>
    <w:rsid w:val="29B8764E"/>
    <w:rsid w:val="29C15A7E"/>
    <w:rsid w:val="29E518D5"/>
    <w:rsid w:val="2A0E2346"/>
    <w:rsid w:val="2A7C7BF7"/>
    <w:rsid w:val="2A7F4FF2"/>
    <w:rsid w:val="2AC41E55"/>
    <w:rsid w:val="2ADC28C5"/>
    <w:rsid w:val="2BA33DE7"/>
    <w:rsid w:val="2BCC0C4F"/>
    <w:rsid w:val="2D0A14EA"/>
    <w:rsid w:val="2E093A48"/>
    <w:rsid w:val="2E182852"/>
    <w:rsid w:val="2FCB3525"/>
    <w:rsid w:val="306C3DFF"/>
    <w:rsid w:val="311D7742"/>
    <w:rsid w:val="31A04D91"/>
    <w:rsid w:val="32A25D21"/>
    <w:rsid w:val="3498562E"/>
    <w:rsid w:val="349D6F8E"/>
    <w:rsid w:val="34AC732B"/>
    <w:rsid w:val="34E67F69"/>
    <w:rsid w:val="35BC359E"/>
    <w:rsid w:val="37E312B6"/>
    <w:rsid w:val="38511E58"/>
    <w:rsid w:val="39292CF8"/>
    <w:rsid w:val="39E906DA"/>
    <w:rsid w:val="39F83035"/>
    <w:rsid w:val="3AD038E2"/>
    <w:rsid w:val="3B083158"/>
    <w:rsid w:val="3B084B8F"/>
    <w:rsid w:val="3B8763FC"/>
    <w:rsid w:val="3B9916CA"/>
    <w:rsid w:val="3CD14CB5"/>
    <w:rsid w:val="3CDD2778"/>
    <w:rsid w:val="3D8250CD"/>
    <w:rsid w:val="3DD84CED"/>
    <w:rsid w:val="3E9A6446"/>
    <w:rsid w:val="3F611ED2"/>
    <w:rsid w:val="3F9837E6"/>
    <w:rsid w:val="40301872"/>
    <w:rsid w:val="40647E75"/>
    <w:rsid w:val="41907A0D"/>
    <w:rsid w:val="425D7EB7"/>
    <w:rsid w:val="42823479"/>
    <w:rsid w:val="42AE24C0"/>
    <w:rsid w:val="42B31885"/>
    <w:rsid w:val="43505326"/>
    <w:rsid w:val="44472BCC"/>
    <w:rsid w:val="448160DE"/>
    <w:rsid w:val="44B01DC4"/>
    <w:rsid w:val="44D64FC9"/>
    <w:rsid w:val="45DB35CC"/>
    <w:rsid w:val="46362EF9"/>
    <w:rsid w:val="46503FBA"/>
    <w:rsid w:val="46AF2A41"/>
    <w:rsid w:val="46E110B6"/>
    <w:rsid w:val="47571378"/>
    <w:rsid w:val="47835CCA"/>
    <w:rsid w:val="47975C19"/>
    <w:rsid w:val="480F755D"/>
    <w:rsid w:val="4901159C"/>
    <w:rsid w:val="49C53294"/>
    <w:rsid w:val="49F42EAF"/>
    <w:rsid w:val="4A1C41B3"/>
    <w:rsid w:val="4AA46683"/>
    <w:rsid w:val="4AC62A9D"/>
    <w:rsid w:val="4B215F25"/>
    <w:rsid w:val="4BC36D42"/>
    <w:rsid w:val="4C050469"/>
    <w:rsid w:val="4C3664E9"/>
    <w:rsid w:val="4CDF221D"/>
    <w:rsid w:val="4DE90850"/>
    <w:rsid w:val="4E4D0DDF"/>
    <w:rsid w:val="4EFB4CDF"/>
    <w:rsid w:val="4F3B11D6"/>
    <w:rsid w:val="4F806F93"/>
    <w:rsid w:val="501A2F43"/>
    <w:rsid w:val="50D57A1D"/>
    <w:rsid w:val="510A120A"/>
    <w:rsid w:val="51336575"/>
    <w:rsid w:val="51B03B5F"/>
    <w:rsid w:val="51B318A1"/>
    <w:rsid w:val="52D85640"/>
    <w:rsid w:val="55D571BC"/>
    <w:rsid w:val="56150435"/>
    <w:rsid w:val="568D26C1"/>
    <w:rsid w:val="577305F7"/>
    <w:rsid w:val="57D83E10"/>
    <w:rsid w:val="57D936E4"/>
    <w:rsid w:val="58127A9F"/>
    <w:rsid w:val="58F733B3"/>
    <w:rsid w:val="58FE08B7"/>
    <w:rsid w:val="59981AA8"/>
    <w:rsid w:val="59C75EEA"/>
    <w:rsid w:val="5B3752F1"/>
    <w:rsid w:val="5B922527"/>
    <w:rsid w:val="5D083439"/>
    <w:rsid w:val="5D4B5084"/>
    <w:rsid w:val="5D876E00"/>
    <w:rsid w:val="5DE352BC"/>
    <w:rsid w:val="5E59187D"/>
    <w:rsid w:val="5EA26F25"/>
    <w:rsid w:val="5EEF7D07"/>
    <w:rsid w:val="5F2711D9"/>
    <w:rsid w:val="5F6E3699"/>
    <w:rsid w:val="5FD90725"/>
    <w:rsid w:val="60E94998"/>
    <w:rsid w:val="61A43A98"/>
    <w:rsid w:val="627C183B"/>
    <w:rsid w:val="636335A8"/>
    <w:rsid w:val="63735C0C"/>
    <w:rsid w:val="63975554"/>
    <w:rsid w:val="64874BF3"/>
    <w:rsid w:val="651514F5"/>
    <w:rsid w:val="66357735"/>
    <w:rsid w:val="66D64615"/>
    <w:rsid w:val="67247F4C"/>
    <w:rsid w:val="686A205D"/>
    <w:rsid w:val="693C1432"/>
    <w:rsid w:val="69B46861"/>
    <w:rsid w:val="69CB332E"/>
    <w:rsid w:val="6B5B0B88"/>
    <w:rsid w:val="6D102A68"/>
    <w:rsid w:val="6E2862DA"/>
    <w:rsid w:val="6E4B4EE4"/>
    <w:rsid w:val="6EFF7A7C"/>
    <w:rsid w:val="70187047"/>
    <w:rsid w:val="70194B6E"/>
    <w:rsid w:val="70657DB3"/>
    <w:rsid w:val="72CB03A1"/>
    <w:rsid w:val="730554A4"/>
    <w:rsid w:val="735E7467"/>
    <w:rsid w:val="73875315"/>
    <w:rsid w:val="73B544C0"/>
    <w:rsid w:val="74AC1B7A"/>
    <w:rsid w:val="75834F63"/>
    <w:rsid w:val="76A012F9"/>
    <w:rsid w:val="7789082B"/>
    <w:rsid w:val="77CD049D"/>
    <w:rsid w:val="785D673F"/>
    <w:rsid w:val="78882647"/>
    <w:rsid w:val="78EC49DB"/>
    <w:rsid w:val="79224A93"/>
    <w:rsid w:val="79273E57"/>
    <w:rsid w:val="79F84A83"/>
    <w:rsid w:val="7AC9184A"/>
    <w:rsid w:val="7BFF2E69"/>
    <w:rsid w:val="7C4818CB"/>
    <w:rsid w:val="7C8B6DF3"/>
    <w:rsid w:val="7D197F5B"/>
    <w:rsid w:val="7D2578C8"/>
    <w:rsid w:val="7DEC7621"/>
    <w:rsid w:val="7E4E6694"/>
    <w:rsid w:val="7F08472B"/>
    <w:rsid w:val="7F387821"/>
    <w:rsid w:val="7F89761A"/>
    <w:rsid w:val="7FB623D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ind w:left="720" w:hanging="720" w:firstLineChars="0"/>
      <w:outlineLvl w:val="2"/>
    </w:pPr>
    <w:rPr>
      <w:rFonts w:ascii="Times New Roman" w:hAnsi="Times New Roman" w:eastAsia="宋体"/>
      <w:b/>
      <w:kern w:val="21"/>
      <w:sz w:val="24"/>
      <w:szCs w:val="24"/>
    </w:rPr>
  </w:style>
  <w:style w:type="character" w:default="1" w:styleId="19">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adjustRightInd/>
      <w:snapToGrid/>
      <w:spacing w:beforeLines="0" w:after="120" w:line="240" w:lineRule="auto"/>
      <w:ind w:firstLine="420" w:firstLineChars="100"/>
    </w:pPr>
    <w:rPr>
      <w:snapToGrid/>
      <w:color w:val="000000"/>
      <w:kern w:val="2"/>
    </w:rPr>
  </w:style>
  <w:style w:type="paragraph" w:styleId="5">
    <w:name w:val="Body Text"/>
    <w:basedOn w:val="1"/>
    <w:next w:val="1"/>
    <w:link w:val="31"/>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Plain Text"/>
    <w:basedOn w:val="1"/>
    <w:qFormat/>
    <w:uiPriority w:val="0"/>
    <w:rPr>
      <w:rFonts w:ascii="宋体" w:hAnsi="Courier New"/>
      <w:kern w:val="0"/>
      <w:sz w:val="20"/>
      <w:szCs w:val="20"/>
    </w:rPr>
  </w:style>
  <w:style w:type="paragraph" w:styleId="9">
    <w:name w:val="List Bullet 5"/>
    <w:basedOn w:val="1"/>
    <w:qFormat/>
    <w:uiPriority w:val="0"/>
    <w:pPr>
      <w:numPr>
        <w:ilvl w:val="0"/>
        <w:numId w:val="4"/>
      </w:numPr>
      <w:tabs>
        <w:tab w:val="left" w:pos="2040"/>
      </w:tabs>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1"/>
    <w:next w:val="1"/>
    <w:qFormat/>
    <w:uiPriority w:val="0"/>
    <w:pPr>
      <w:ind w:firstLine="420" w:firstLineChars="200"/>
    </w:pPr>
    <w:rPr>
      <w:kern w:val="2"/>
      <w:sz w:val="21"/>
      <w:szCs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spacing w:line="320" w:lineRule="exact"/>
      <w:jc w:val="center"/>
    </w:pPr>
    <w:rPr>
      <w:color w:val="000000"/>
      <w:szCs w:val="21"/>
    </w:rPr>
  </w:style>
  <w:style w:type="paragraph" w:styleId="16">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7">
    <w:name w:val="toc 2"/>
    <w:basedOn w:val="1"/>
    <w:next w:val="1"/>
    <w:qFormat/>
    <w:uiPriority w:val="39"/>
    <w:pPr>
      <w:ind w:left="210"/>
      <w:jc w:val="left"/>
    </w:pPr>
    <w:rPr>
      <w:smallCaps/>
    </w:rPr>
  </w:style>
  <w:style w:type="paragraph" w:styleId="18">
    <w:name w:val="Normal (Web)"/>
    <w:basedOn w:val="1"/>
    <w:qFormat/>
    <w:uiPriority w:val="99"/>
    <w:pPr>
      <w:jc w:val="left"/>
    </w:pPr>
    <w:rPr>
      <w:kern w:val="0"/>
      <w:sz w:val="24"/>
    </w:rPr>
  </w:style>
  <w:style w:type="character" w:styleId="20">
    <w:name w:val="FollowedHyperlink"/>
    <w:qFormat/>
    <w:uiPriority w:val="0"/>
    <w:rPr>
      <w:color w:val="333333"/>
      <w:u w:val="none"/>
    </w:rPr>
  </w:style>
  <w:style w:type="character" w:styleId="21">
    <w:name w:val="Emphasis"/>
    <w:qFormat/>
    <w:uiPriority w:val="0"/>
  </w:style>
  <w:style w:type="character" w:styleId="22">
    <w:name w:val="HTML Definition"/>
    <w:qFormat/>
    <w:uiPriority w:val="0"/>
  </w:style>
  <w:style w:type="character" w:styleId="23">
    <w:name w:val="HTML Acronym"/>
    <w:qFormat/>
    <w:uiPriority w:val="0"/>
  </w:style>
  <w:style w:type="character" w:styleId="24">
    <w:name w:val="HTML Variable"/>
    <w:qFormat/>
    <w:uiPriority w:val="0"/>
  </w:style>
  <w:style w:type="character" w:styleId="25">
    <w:name w:val="Hyperlink"/>
    <w:qFormat/>
    <w:uiPriority w:val="0"/>
    <w:rPr>
      <w:rFonts w:cs="Times New Roman"/>
      <w:color w:val="0000FF"/>
      <w:u w:val="single"/>
      <w:lang w:bidi="ar-SA"/>
    </w:rPr>
  </w:style>
  <w:style w:type="character" w:styleId="26">
    <w:name w:val="HTML Code"/>
    <w:qFormat/>
    <w:uiPriority w:val="0"/>
    <w:rPr>
      <w:rFonts w:ascii="Courier New" w:hAnsi="Courier New"/>
      <w:sz w:val="20"/>
    </w:rPr>
  </w:style>
  <w:style w:type="character" w:styleId="27">
    <w:name w:val="HTML Cite"/>
    <w:qFormat/>
    <w:uiPriority w:val="0"/>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表格内容"/>
    <w:basedOn w:val="1"/>
    <w:next w:val="1"/>
    <w:qFormat/>
    <w:uiPriority w:val="0"/>
    <w:pPr>
      <w:adjustRightInd/>
      <w:snapToGrid/>
      <w:spacing w:line="240" w:lineRule="auto"/>
      <w:ind w:firstLine="0" w:firstLineChars="0"/>
      <w:jc w:val="center"/>
    </w:pPr>
    <w:rPr>
      <w:kern w:val="0"/>
      <w:sz w:val="22"/>
      <w:szCs w:val="21"/>
    </w:rPr>
  </w:style>
  <w:style w:type="character" w:customStyle="1" w:styleId="31">
    <w:name w:val="正文文本 字符"/>
    <w:link w:val="5"/>
    <w:qFormat/>
    <w:uiPriority w:val="0"/>
    <w:rPr>
      <w:rFonts w:eastAsia="仿宋_GB2312"/>
      <w:kern w:val="2"/>
      <w:sz w:val="32"/>
      <w:szCs w:val="24"/>
    </w:rPr>
  </w:style>
  <w:style w:type="paragraph" w:customStyle="1" w:styleId="32">
    <w:name w:val="报告表正文"/>
    <w:next w:val="11"/>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3">
    <w:name w:val="表格5号1"/>
    <w:next w:val="13"/>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4">
    <w:name w:val="01正文"/>
    <w:basedOn w:val="1"/>
    <w:qFormat/>
    <w:uiPriority w:val="0"/>
    <w:pPr>
      <w:spacing w:line="480" w:lineRule="exact"/>
      <w:ind w:firstLine="520"/>
    </w:pPr>
    <w:rPr>
      <w:kern w:val="2"/>
      <w:sz w:val="26"/>
      <w:szCs w:val="26"/>
    </w:rPr>
  </w:style>
  <w:style w:type="paragraph" w:customStyle="1" w:styleId="35">
    <w:name w:val="Char Char1 Char"/>
    <w:basedOn w:val="1"/>
    <w:qFormat/>
    <w:uiPriority w:val="0"/>
    <w:rPr>
      <w:rFonts w:eastAsia="宋体"/>
      <w:sz w:val="21"/>
      <w:szCs w:val="21"/>
    </w:rPr>
  </w:style>
  <w:style w:type="paragraph" w:customStyle="1" w:styleId="36">
    <w:name w:val="列出段落1"/>
    <w:basedOn w:val="1"/>
    <w:qFormat/>
    <w:uiPriority w:val="0"/>
    <w:pPr>
      <w:ind w:firstLine="200" w:firstLineChars="200"/>
    </w:pPr>
  </w:style>
  <w:style w:type="paragraph" w:customStyle="1" w:styleId="3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8">
    <w:name w:val="正文四号"/>
    <w:basedOn w:val="1"/>
    <w:qFormat/>
    <w:uiPriority w:val="0"/>
    <w:pPr>
      <w:spacing w:line="360" w:lineRule="auto"/>
      <w:ind w:firstLine="200" w:firstLineChars="200"/>
    </w:pPr>
    <w:rPr>
      <w:rFonts w:ascii="宋体" w:eastAsia="宋体" w:cs="宋体"/>
      <w:sz w:val="24"/>
      <w:szCs w:val="22"/>
      <w:lang w:bidi="ar-SA"/>
    </w:rPr>
  </w:style>
  <w:style w:type="paragraph" w:customStyle="1" w:styleId="39">
    <w:name w:val="表中文字"/>
    <w:basedOn w:val="1"/>
    <w:next w:val="1"/>
    <w:qFormat/>
    <w:uiPriority w:val="0"/>
    <w:pPr>
      <w:spacing w:line="288" w:lineRule="auto"/>
      <w:jc w:val="center"/>
    </w:pPr>
    <w:rPr>
      <w:rFonts w:eastAsia="宋体"/>
      <w:sz w:val="21"/>
      <w:szCs w:val="21"/>
    </w:rPr>
  </w:style>
  <w:style w:type="paragraph" w:customStyle="1" w:styleId="40">
    <w:name w:val="Default"/>
    <w:basedOn w:val="41"/>
    <w:next w:val="42"/>
    <w:qFormat/>
    <w:uiPriority w:val="0"/>
    <w:pPr>
      <w:widowControl w:val="0"/>
      <w:tabs>
        <w:tab w:val="right" w:pos="0"/>
      </w:tabs>
      <w:autoSpaceDE w:val="0"/>
      <w:autoSpaceDN w:val="0"/>
      <w:adjustRightInd w:val="0"/>
    </w:pPr>
    <w:rPr>
      <w:rFonts w:ascii="宋体" w:cs="宋体"/>
      <w:color w:val="000000"/>
      <w:sz w:val="24"/>
      <w:szCs w:val="24"/>
      <w:lang w:val="en-US" w:eastAsia="zh-CN" w:bidi="ar-SA"/>
    </w:rPr>
  </w:style>
  <w:style w:type="paragraph" w:customStyle="1" w:styleId="41">
    <w:name w:val="纯文本1"/>
    <w:basedOn w:val="1"/>
    <w:qFormat/>
    <w:uiPriority w:val="0"/>
    <w:pPr>
      <w:tabs>
        <w:tab w:val="right" w:pos="0"/>
      </w:tabs>
      <w:adjustRightInd w:val="0"/>
      <w:snapToGrid w:val="0"/>
      <w:spacing w:line="360" w:lineRule="auto"/>
      <w:jc w:val="center"/>
      <w:textAlignment w:val="baseline"/>
    </w:pPr>
    <w:rPr>
      <w:rFonts w:ascii="宋体" w:hAnsi="Courier New" w:eastAsia="仿宋_GB2312"/>
      <w:snapToGrid w:val="0"/>
      <w:kern w:val="0"/>
      <w:sz w:val="24"/>
      <w:szCs w:val="20"/>
    </w:rPr>
  </w:style>
  <w:style w:type="paragraph" w:customStyle="1" w:styleId="42">
    <w:name w:val="样式35"/>
    <w:basedOn w:val="43"/>
    <w:next w:val="44"/>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3">
    <w:name w:val="表 内容"/>
    <w:basedOn w:val="1"/>
    <w:qFormat/>
    <w:uiPriority w:val="0"/>
    <w:pPr>
      <w:adjustRightInd w:val="0"/>
      <w:snapToGrid w:val="0"/>
      <w:spacing w:beforeLines="15" w:afterLines="15"/>
      <w:jc w:val="center"/>
    </w:pPr>
    <w:rPr>
      <w:szCs w:val="21"/>
    </w:rPr>
  </w:style>
  <w:style w:type="paragraph" w:customStyle="1" w:styleId="44">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5">
    <w:name w:val="样式18"/>
    <w:basedOn w:val="46"/>
    <w:qFormat/>
    <w:uiPriority w:val="0"/>
    <w:pPr>
      <w:keepNext w:val="0"/>
      <w:keepLines w:val="0"/>
      <w:widowControl/>
      <w:spacing w:before="0" w:line="460" w:lineRule="atLeast"/>
      <w:ind w:firstLine="200" w:firstLineChars="200"/>
      <w:outlineLvl w:val="9"/>
    </w:pPr>
    <w:rPr>
      <w:rFonts w:eastAsia="宋体"/>
      <w:sz w:val="26"/>
      <w:szCs w:val="26"/>
    </w:rPr>
  </w:style>
  <w:style w:type="paragraph" w:customStyle="1" w:styleId="46">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7">
    <w:name w:val="忠庆表格"/>
    <w:basedOn w:val="37"/>
    <w:qFormat/>
    <w:uiPriority w:val="0"/>
    <w:rPr>
      <w:rFonts w:ascii="Times New Roman" w:hAnsi="Times New Roman"/>
      <w:sz w:val="22"/>
    </w:rPr>
  </w:style>
  <w:style w:type="paragraph" w:customStyle="1" w:styleId="48">
    <w:name w:val="忠庆正文"/>
    <w:basedOn w:val="47"/>
    <w:qFormat/>
    <w:uiPriority w:val="0"/>
    <w:pPr>
      <w:spacing w:line="460" w:lineRule="exact"/>
      <w:ind w:firstLine="200" w:firstLineChars="200"/>
    </w:pPr>
    <w:rPr>
      <w:rFonts w:eastAsia="宋体"/>
      <w:sz w:val="26"/>
      <w:szCs w:val="22"/>
    </w:rPr>
  </w:style>
  <w:style w:type="paragraph" w:customStyle="1" w:styleId="49">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50">
    <w:name w:val="00正文 Char"/>
    <w:link w:val="51"/>
    <w:qFormat/>
    <w:uiPriority w:val="0"/>
    <w:rPr>
      <w:rFonts w:eastAsia="仿宋"/>
      <w:kern w:val="2"/>
      <w:sz w:val="26"/>
      <w:szCs w:val="22"/>
    </w:rPr>
  </w:style>
  <w:style w:type="paragraph" w:customStyle="1" w:styleId="51">
    <w:name w:val="00正文"/>
    <w:basedOn w:val="1"/>
    <w:link w:val="50"/>
    <w:qFormat/>
    <w:uiPriority w:val="0"/>
    <w:pPr>
      <w:spacing w:line="460" w:lineRule="exact"/>
      <w:ind w:firstLine="520" w:firstLineChars="200"/>
    </w:pPr>
    <w:rPr>
      <w:rFonts w:eastAsia="仿宋"/>
      <w:sz w:val="26"/>
      <w:szCs w:val="22"/>
    </w:rPr>
  </w:style>
  <w:style w:type="paragraph" w:customStyle="1" w:styleId="52">
    <w:name w:val="List Paragraph"/>
    <w:basedOn w:val="1"/>
    <w:qFormat/>
    <w:uiPriority w:val="34"/>
    <w:pPr>
      <w:ind w:firstLine="420"/>
    </w:pPr>
  </w:style>
  <w:style w:type="paragraph" w:customStyle="1" w:styleId="53">
    <w:name w:val="List Paragraph1"/>
    <w:basedOn w:val="1"/>
    <w:qFormat/>
    <w:uiPriority w:val="0"/>
    <w:pPr>
      <w:ind w:firstLine="420"/>
    </w:pPr>
  </w:style>
  <w:style w:type="character" w:customStyle="1" w:styleId="54">
    <w:name w:val="WJ正文 Char"/>
    <w:link w:val="55"/>
    <w:qFormat/>
    <w:locked/>
    <w:uiPriority w:val="0"/>
    <w:rPr>
      <w:color w:val="000000"/>
      <w:sz w:val="24"/>
      <w:szCs w:val="24"/>
    </w:rPr>
  </w:style>
  <w:style w:type="paragraph" w:customStyle="1" w:styleId="55">
    <w:name w:val="WJ正文"/>
    <w:basedOn w:val="1"/>
    <w:link w:val="54"/>
    <w:qFormat/>
    <w:uiPriority w:val="0"/>
    <w:pPr>
      <w:spacing w:line="440" w:lineRule="exact"/>
      <w:ind w:firstLine="480" w:firstLineChars="200"/>
      <w:jc w:val="left"/>
    </w:pPr>
    <w:rPr>
      <w:rFonts w:eastAsia="宋体"/>
      <w:color w:val="000000"/>
      <w:kern w:val="0"/>
      <w:sz w:val="24"/>
    </w:rPr>
  </w:style>
  <w:style w:type="paragraph" w:customStyle="1" w:styleId="56">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7">
    <w:name w:val="Table Paragraph"/>
    <w:basedOn w:val="1"/>
    <w:qFormat/>
    <w:uiPriority w:val="0"/>
    <w:pPr>
      <w:autoSpaceDE w:val="0"/>
      <w:autoSpaceDN w:val="0"/>
      <w:adjustRightInd w:val="0"/>
      <w:jc w:val="left"/>
    </w:pPr>
    <w:rPr>
      <w:kern w:val="0"/>
      <w:sz w:val="24"/>
    </w:rPr>
  </w:style>
  <w:style w:type="paragraph" w:customStyle="1" w:styleId="58">
    <w:name w:val="0A正文"/>
    <w:basedOn w:val="1"/>
    <w:qFormat/>
    <w:uiPriority w:val="0"/>
    <w:pPr>
      <w:spacing w:line="460" w:lineRule="exact"/>
      <w:jc w:val="both"/>
    </w:pPr>
    <w:rPr>
      <w:color w:val="000000"/>
      <w:szCs w:val="26"/>
    </w:rPr>
  </w:style>
  <w:style w:type="character" w:customStyle="1" w:styleId="59">
    <w:name w:val="表格格式 Char"/>
    <w:link w:val="60"/>
    <w:qFormat/>
    <w:locked/>
    <w:uiPriority w:val="0"/>
    <w:rPr>
      <w:sz w:val="21"/>
    </w:rPr>
  </w:style>
  <w:style w:type="paragraph" w:customStyle="1" w:styleId="60">
    <w:name w:val="表格格式"/>
    <w:basedOn w:val="1"/>
    <w:next w:val="1"/>
    <w:link w:val="59"/>
    <w:qFormat/>
    <w:uiPriority w:val="0"/>
    <w:pPr>
      <w:adjustRightInd w:val="0"/>
      <w:snapToGrid w:val="0"/>
      <w:jc w:val="center"/>
    </w:pPr>
    <w:rPr>
      <w:rFonts w:eastAsia="宋体"/>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 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第二次公示表（丰泥水泥窑协同处置项目）.dotx</Template>
  <Pages>3</Pages>
  <Words>1739</Words>
  <Characters>1870</Characters>
  <Lines>16</Lines>
  <Paragraphs>4</Paragraphs>
  <TotalTime>0</TotalTime>
  <ScaleCrop>false</ScaleCrop>
  <LinksUpToDate>false</LinksUpToDate>
  <CharactersWithSpaces>1870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2024-12-03T01:47:00Z</dcterms:created>
  <dc:creator>雨祭</dc:creator>
  <cp:lastModifiedBy>xjzx</cp:lastModifiedBy>
  <dcterms:modified xsi:type="dcterms:W3CDTF">2024-12-16T01:29:50Z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02D4F7CA05FB47C7B3C5F6EC7C41C190_13</vt:lpwstr>
  </property>
</Properties>
</file>