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16</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川王子榨菜废水处理建设项目</w:t>
            </w:r>
          </w:p>
        </w:tc>
        <w:tc>
          <w:tcPr>
            <w:tcW w:w="1272"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重庆市丰都县十直镇汀溪村3社小沟子</w:t>
            </w:r>
          </w:p>
        </w:tc>
        <w:tc>
          <w:tcPr>
            <w:tcW w:w="886"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重庆川王子食品有限公司</w:t>
            </w:r>
          </w:p>
        </w:tc>
        <w:tc>
          <w:tcPr>
            <w:tcW w:w="1275"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重庆环科源博达环保科技有限公司</w:t>
            </w:r>
          </w:p>
        </w:tc>
        <w:tc>
          <w:tcPr>
            <w:tcW w:w="2878"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重庆川王子食品有限公司拟在重庆市丰都县十直镇汀溪村3社小沟子实施“川王子榨菜废水处理建设项目”。该工程服务于企业，设计处理规模为1000m</w:t>
            </w:r>
            <w:r>
              <w:rPr>
                <w:rFonts w:hint="default" w:ascii="宋体" w:hAnsi="宋体" w:eastAsia="宋体" w:cs="Times New Roman"/>
                <w:bCs/>
                <w:sz w:val="20"/>
                <w:szCs w:val="20"/>
                <w:vertAlign w:val="superscript"/>
                <w:lang w:val="en-US" w:eastAsia="zh-CN"/>
              </w:rPr>
              <w:t>3</w:t>
            </w:r>
            <w:r>
              <w:rPr>
                <w:rFonts w:hint="default" w:ascii="宋体" w:hAnsi="宋体" w:eastAsia="宋体" w:cs="Times New Roman"/>
                <w:bCs/>
                <w:sz w:val="20"/>
                <w:szCs w:val="20"/>
                <w:lang w:val="en-US" w:eastAsia="zh-CN"/>
              </w:rPr>
              <w:t>/d</w:t>
            </w:r>
            <w:r>
              <w:rPr>
                <w:rFonts w:hint="eastAsia" w:ascii="宋体" w:hAnsi="宋体" w:eastAsia="宋体" w:cs="Times New Roman"/>
                <w:bCs/>
                <w:sz w:val="20"/>
                <w:szCs w:val="20"/>
                <w:lang w:val="en-US" w:eastAsia="zh-CN"/>
              </w:rPr>
              <w:t>。</w:t>
            </w:r>
          </w:p>
        </w:tc>
        <w:tc>
          <w:tcPr>
            <w:tcW w:w="4777" w:type="dxa"/>
            <w:vAlign w:val="center"/>
          </w:tcPr>
          <w:p>
            <w:pPr>
              <w:widowControl w:val="0"/>
              <w:numPr>
                <w:ilvl w:val="0"/>
                <w:numId w:val="5"/>
              </w:numPr>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污水处理厂收集池、调节池、初沉池、厌氧工艺组合池、好氧工艺组合池、储泥池、污泥脱水间等产臭单元采取加盖密闭等措施进行收集后引至两级化学喷淋联合活性炭吸附设备进行处理，最终通过1根15m高排气筒排放（DA001）。</w:t>
            </w:r>
          </w:p>
          <w:p>
            <w:pPr>
              <w:widowControl w:val="0"/>
              <w:numPr>
                <w:ilvl w:val="0"/>
                <w:numId w:val="5"/>
              </w:numPr>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采用“蒸发脱盐+厌氧（ABR）+缺氧/好氧（AO）+化学除磷”处理工艺处理榨菜加工废水，设计出水水质满足《重庆市榨菜行业污染物排放标准》（DB 50/1050-2020）表2榨菜型产品企业排放标准后排入汀溪河。</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选用低噪声设备、建筑隔声、距离衰减、厂区绿化等措施，减少项目噪声影响。</w:t>
            </w:r>
          </w:p>
        </w:tc>
        <w:tc>
          <w:tcPr>
            <w:tcW w:w="709"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widowControl w:val="0"/>
              <w:numPr>
                <w:ilvl w:val="0"/>
                <w:numId w:val="0"/>
              </w:numPr>
              <w:tabs>
                <w:tab w:val="clear" w:pos="1620"/>
                <w:tab w:val="clear" w:pos="2040"/>
              </w:tabs>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3509941558">
    <w:nsid w:val="D1357536"/>
    <w:multiLevelType w:val="singleLevel"/>
    <w:tmpl w:val="D1357536"/>
    <w:lvl w:ilvl="0" w:tentative="1">
      <w:start w:val="1"/>
      <w:numFmt w:val="decimal"/>
      <w:suff w:val="nothing"/>
      <w:lvlText w:val="%1、"/>
      <w:lvlJc w:val="left"/>
    </w:lvl>
  </w:abstractNum>
  <w:num w:numId="1">
    <w:abstractNumId w:val="2382139896"/>
  </w:num>
  <w:num w:numId="2">
    <w:abstractNumId w:val="2637331676"/>
  </w:num>
  <w:num w:numId="3">
    <w:abstractNumId w:val="3924517656"/>
  </w:num>
  <w:num w:numId="4">
    <w:abstractNumId w:val="165777474"/>
  </w:num>
  <w:num w:numId="5">
    <w:abstractNumId w:val="35099415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2159D5"/>
    <w:rsid w:val="2FCB3525"/>
    <w:rsid w:val="301E3316"/>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C31A31"/>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2</Pages>
  <Words>238</Words>
  <Characters>309</Characters>
  <Lines>16</Lines>
  <Paragraphs>4</Paragraphs>
  <ScaleCrop>false</ScaleCrop>
  <LinksUpToDate>false</LinksUpToDate>
  <CharactersWithSpaces>309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2025-04-10T03:35:34Z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44F3208D768A4ADE9A715621B8735049_11</vt:lpwstr>
  </property>
  <property fmtid="{D5CDD505-2E9C-101B-9397-08002B2CF9AE}" pid="4" name="KSOTemplateDocerSaveRecord">
    <vt:lpwstr>eyJoZGlkIjoiNTYyZTNlOWFjNmU1ZmYxY2Q4M2UyZjdmYjM0OTNlNjEifQ==</vt:lpwstr>
  </property>
</Properties>
</file>