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r>
        <w:rPr>
          <w:rFonts w:hint="eastAsia" w:ascii="宋体" w:hAnsi="宋体" w:eastAsia="宋体" w:cs="宋体"/>
          <w:b/>
          <w:bCs w:val="0"/>
          <w:kern w:val="0"/>
          <w:sz w:val="28"/>
          <w:szCs w:val="28"/>
        </w:rPr>
        <w:t>丰都县生态环境局审查建设项目环评信息公示表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bCs/>
          <w:sz w:val="28"/>
          <w:szCs w:val="28"/>
        </w:rPr>
      </w:pPr>
      <w:r>
        <w:rPr>
          <w:rFonts w:hint="eastAsia" w:ascii="宋体" w:hAnsi="宋体" w:eastAsia="宋体" w:cs="宋体"/>
          <w:kern w:val="0"/>
          <w:sz w:val="28"/>
          <w:szCs w:val="28"/>
        </w:rPr>
        <w:t>丰都县生态环境局审查以下建设项目环评文件，现公告有关环评信息，接受社会监督，公示期为</w:t>
      </w:r>
      <w:bookmarkStart w:id="0" w:name="_GoBack"/>
      <w:r>
        <w:rPr>
          <w:rFonts w:hint="eastAsia" w:ascii="宋体" w:hAnsi="宋体" w:eastAsia="宋体" w:cs="宋体"/>
          <w:kern w:val="0"/>
          <w:sz w:val="28"/>
          <w:szCs w:val="28"/>
          <w:highlight w:val="none"/>
          <w:lang w:val="en-US" w:eastAsia="zh-CN"/>
        </w:rPr>
        <w:t>2025</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4</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16</w:t>
      </w:r>
      <w:r>
        <w:rPr>
          <w:rFonts w:hint="eastAsia" w:ascii="宋体" w:hAnsi="宋体" w:eastAsia="宋体" w:cs="宋体"/>
          <w:kern w:val="0"/>
          <w:sz w:val="28"/>
          <w:szCs w:val="28"/>
          <w:highlight w:val="none"/>
        </w:rPr>
        <w:t>日—</w:t>
      </w:r>
      <w:r>
        <w:rPr>
          <w:rFonts w:hint="eastAsia" w:ascii="宋体" w:hAnsi="宋体" w:eastAsia="宋体" w:cs="宋体"/>
          <w:kern w:val="0"/>
          <w:sz w:val="28"/>
          <w:szCs w:val="28"/>
          <w:highlight w:val="none"/>
          <w:lang w:val="en-US" w:eastAsia="zh-CN"/>
        </w:rPr>
        <w:t>2025</w:t>
      </w:r>
      <w:r>
        <w:rPr>
          <w:rFonts w:hint="eastAsia" w:ascii="宋体" w:hAnsi="宋体" w:eastAsia="宋体" w:cs="宋体"/>
          <w:kern w:val="0"/>
          <w:sz w:val="28"/>
          <w:szCs w:val="28"/>
          <w:highlight w:val="none"/>
        </w:rPr>
        <w:t>年</w:t>
      </w:r>
      <w:r>
        <w:rPr>
          <w:rFonts w:hint="eastAsia" w:ascii="宋体" w:hAnsi="宋体" w:eastAsia="宋体" w:cs="宋体"/>
          <w:kern w:val="0"/>
          <w:sz w:val="28"/>
          <w:szCs w:val="28"/>
          <w:highlight w:val="none"/>
          <w:lang w:val="en-US" w:eastAsia="zh-CN"/>
        </w:rPr>
        <w:t>4</w:t>
      </w:r>
      <w:r>
        <w:rPr>
          <w:rFonts w:hint="eastAsia" w:ascii="宋体" w:hAnsi="宋体" w:eastAsia="宋体" w:cs="宋体"/>
          <w:kern w:val="0"/>
          <w:sz w:val="28"/>
          <w:szCs w:val="28"/>
          <w:highlight w:val="none"/>
        </w:rPr>
        <w:t>月</w:t>
      </w:r>
      <w:r>
        <w:rPr>
          <w:rFonts w:hint="eastAsia" w:ascii="宋体" w:hAnsi="宋体" w:eastAsia="宋体" w:cs="宋体"/>
          <w:kern w:val="0"/>
          <w:sz w:val="28"/>
          <w:szCs w:val="28"/>
          <w:highlight w:val="none"/>
          <w:lang w:val="en-US" w:eastAsia="zh-CN"/>
        </w:rPr>
        <w:t>22</w:t>
      </w:r>
      <w:r>
        <w:rPr>
          <w:rFonts w:hint="eastAsia" w:ascii="宋体" w:hAnsi="宋体" w:eastAsia="宋体" w:cs="宋体"/>
          <w:kern w:val="0"/>
          <w:sz w:val="28"/>
          <w:szCs w:val="28"/>
          <w:highlight w:val="none"/>
        </w:rPr>
        <w:t>日</w:t>
      </w:r>
      <w:bookmarkEnd w:id="0"/>
      <w:r>
        <w:rPr>
          <w:rFonts w:hint="eastAsia" w:ascii="宋体" w:hAnsi="宋体" w:eastAsia="宋体" w:cs="宋体"/>
          <w:kern w:val="0"/>
          <w:sz w:val="28"/>
          <w:szCs w:val="28"/>
        </w:rPr>
        <w:t>。环评文件查询方式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777"/>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序号</w:t>
            </w:r>
          </w:p>
        </w:tc>
        <w:tc>
          <w:tcPr>
            <w:tcW w:w="12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项目名称</w:t>
            </w:r>
          </w:p>
        </w:tc>
        <w:tc>
          <w:tcPr>
            <w:tcW w:w="1272"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建设地点</w:t>
            </w:r>
          </w:p>
        </w:tc>
        <w:tc>
          <w:tcPr>
            <w:tcW w:w="88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w:t>
            </w:r>
          </w:p>
        </w:tc>
        <w:tc>
          <w:tcPr>
            <w:tcW w:w="1275"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环境影响评价机构</w:t>
            </w:r>
          </w:p>
        </w:tc>
        <w:tc>
          <w:tcPr>
            <w:tcW w:w="2878"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项目概况</w:t>
            </w:r>
          </w:p>
        </w:tc>
        <w:tc>
          <w:tcPr>
            <w:tcW w:w="4777"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主要环境影响和环境保护对策与措施</w:t>
            </w:r>
          </w:p>
        </w:tc>
        <w:tc>
          <w:tcPr>
            <w:tcW w:w="709"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相关部门意见</w:t>
            </w:r>
          </w:p>
        </w:tc>
        <w:tc>
          <w:tcPr>
            <w:tcW w:w="1176" w:type="dxa"/>
            <w:vAlign w:val="center"/>
          </w:tcPr>
          <w:p>
            <w:pPr>
              <w:snapToGrid w:val="0"/>
              <w:spacing w:line="360" w:lineRule="auto"/>
              <w:jc w:val="center"/>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1</w:t>
            </w:r>
          </w:p>
        </w:tc>
        <w:tc>
          <w:tcPr>
            <w:tcW w:w="1277"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丰都县榨菜精加工项目</w:t>
            </w:r>
          </w:p>
        </w:tc>
        <w:tc>
          <w:tcPr>
            <w:tcW w:w="1272"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重庆市丰都县树人镇万寿桥村3组</w:t>
            </w:r>
          </w:p>
        </w:tc>
        <w:tc>
          <w:tcPr>
            <w:tcW w:w="886"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重庆丰禾榨菜有限责任公司</w:t>
            </w:r>
          </w:p>
        </w:tc>
        <w:tc>
          <w:tcPr>
            <w:tcW w:w="1275"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重庆至恒环保技术有限公司</w:t>
            </w:r>
          </w:p>
        </w:tc>
        <w:tc>
          <w:tcPr>
            <w:tcW w:w="2878" w:type="dxa"/>
            <w:vAlign w:val="center"/>
          </w:tcPr>
          <w:p>
            <w:pPr>
              <w:snapToGrid w:val="0"/>
              <w:spacing w:line="360" w:lineRule="auto"/>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租赁重庆丰都农业科技发展集团有限公司约11831.58m2，新建2组榨菜腌制池，1间榨菜加工车间，同时配套建设1座污水处理站，年加工榨菜10000t/a。污水处理站采用分质分流处理工艺，高盐废水采用格栅+收集+物化+絮凝沉淀+蒸发+冷凝预处理后，再与低盐废水和厂区其他废水采用调节+初沉+ABR厌氧+沉淀+两级AO+二次沉淀+絮凝沉淀+砂滤；污水处理站设计处理规模500m</w:t>
            </w:r>
            <w:r>
              <w:rPr>
                <w:rFonts w:hint="default" w:ascii="宋体" w:hAnsi="宋体" w:eastAsia="宋体" w:cs="Times New Roman"/>
                <w:bCs/>
                <w:sz w:val="20"/>
                <w:szCs w:val="20"/>
                <w:vertAlign w:val="superscript"/>
                <w:lang w:val="en-US" w:eastAsia="zh-CN"/>
              </w:rPr>
              <w:t>3</w:t>
            </w:r>
            <w:r>
              <w:rPr>
                <w:rFonts w:hint="default" w:ascii="宋体" w:hAnsi="宋体" w:eastAsia="宋体" w:cs="Times New Roman"/>
                <w:bCs/>
                <w:sz w:val="20"/>
                <w:szCs w:val="20"/>
                <w:lang w:val="en-US" w:eastAsia="zh-CN"/>
              </w:rPr>
              <w:t>/d</w:t>
            </w:r>
            <w:r>
              <w:rPr>
                <w:rFonts w:hint="eastAsia" w:ascii="宋体" w:hAnsi="宋体" w:eastAsia="宋体" w:cs="Times New Roman"/>
                <w:bCs/>
                <w:sz w:val="20"/>
                <w:szCs w:val="20"/>
                <w:lang w:val="en-US" w:eastAsia="zh-CN"/>
              </w:rPr>
              <w:t>。</w:t>
            </w:r>
          </w:p>
        </w:tc>
        <w:tc>
          <w:tcPr>
            <w:tcW w:w="4777" w:type="dxa"/>
            <w:vAlign w:val="center"/>
          </w:tcPr>
          <w:p>
            <w:pPr>
              <w:widowControl w:val="0"/>
              <w:numPr>
                <w:ilvl w:val="0"/>
                <w:numId w:val="5"/>
              </w:numPr>
              <w:snapToGrid w:val="0"/>
              <w:spacing w:line="360" w:lineRule="auto"/>
              <w:ind w:leftChars="0"/>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本项目腌制臭气采用封闭腌制、厂区种植绿化等方式无组织排放；锅炉燃烧废气采用低氮燃烧后经8m排气筒排放（DA001）；污水处理站臭气经喷淋除臭+活性炭吸附处理后经15m排气筒（DA002）排放；食堂废气经高效油烟净化器处理后引至办公楼屋顶排放（DA003）。</w:t>
            </w:r>
          </w:p>
          <w:p>
            <w:pPr>
              <w:widowControl w:val="0"/>
              <w:numPr>
                <w:ilvl w:val="0"/>
                <w:numId w:val="5"/>
              </w:numPr>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本项目产生的榨菜废水和污水站工作人员产生的生活污水经自建污水处理站处理达《榨菜行业水污染物排放标准》（DB 50/1050-2020）表2限值后排入赤溪河，最终进入长江。污水处理站采用分质分流处理工艺，高盐废水采用格栅+收集+物化+絮凝沉淀+蒸发+冷凝预处理后，再与低盐废水和厂区其他废水采用调节+初沉+ABR厌氧+沉淀+两级AO+二次沉淀+絮凝沉淀+砂滤</w:t>
            </w:r>
            <w:r>
              <w:rPr>
                <w:rFonts w:hint="eastAsia" w:ascii="宋体" w:hAnsi="宋体" w:eastAsia="宋体" w:cs="Times New Roman"/>
                <w:bCs/>
                <w:sz w:val="20"/>
                <w:szCs w:val="20"/>
                <w:lang w:val="en-US" w:eastAsia="zh-CN"/>
              </w:rPr>
              <w:t>。</w:t>
            </w:r>
          </w:p>
          <w:p>
            <w:pPr>
              <w:widowControl w:val="0"/>
              <w:numPr>
                <w:ilvl w:val="0"/>
                <w:numId w:val="5"/>
              </w:numPr>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选用低噪声设施，并采取基础减振、隔声、合理布局等措施。</w:t>
            </w:r>
          </w:p>
          <w:p>
            <w:pPr>
              <w:widowControl w:val="0"/>
              <w:numPr>
                <w:ilvl w:val="0"/>
                <w:numId w:val="5"/>
              </w:numPr>
              <w:snapToGrid w:val="0"/>
              <w:spacing w:line="360" w:lineRule="auto"/>
              <w:ind w:leftChars="0"/>
              <w:jc w:val="left"/>
              <w:textAlignment w:val="baseline"/>
              <w:rPr>
                <w:rFonts w:hint="default" w:ascii="宋体" w:hAnsi="宋体" w:eastAsia="宋体" w:cs="Times New Roman"/>
                <w:bCs/>
                <w:sz w:val="20"/>
                <w:szCs w:val="20"/>
                <w:lang w:val="en-US" w:eastAsia="zh-CN"/>
              </w:rPr>
            </w:pPr>
            <w:r>
              <w:rPr>
                <w:rFonts w:hint="default" w:ascii="宋体" w:hAnsi="宋体" w:eastAsia="宋体" w:cs="Times New Roman"/>
                <w:bCs/>
                <w:sz w:val="20"/>
                <w:szCs w:val="20"/>
                <w:lang w:val="en-US" w:eastAsia="zh-CN"/>
              </w:rPr>
              <w:t>生活垃圾：生活垃圾采用封盖垃圾桶定点收集，收集后送由环卫部门统一处置；餐厨垃圾交资质单位处置</w:t>
            </w:r>
            <w:r>
              <w:rPr>
                <w:rFonts w:hint="eastAsia" w:ascii="宋体" w:hAnsi="宋体" w:eastAsia="宋体" w:cs="Times New Roman"/>
                <w:bCs/>
                <w:sz w:val="20"/>
                <w:szCs w:val="20"/>
                <w:lang w:val="en-US" w:eastAsia="zh-CN"/>
              </w:rPr>
              <w:t>。</w:t>
            </w:r>
            <w:r>
              <w:rPr>
                <w:rFonts w:hint="default" w:ascii="宋体" w:hAnsi="宋体" w:eastAsia="宋体" w:cs="Times New Roman"/>
                <w:bCs/>
                <w:sz w:val="20"/>
                <w:szCs w:val="20"/>
                <w:lang w:val="en-US" w:eastAsia="zh-CN"/>
              </w:rPr>
              <w:t>一般固废：位于加工车间东北侧，暂存区满足防粉尘污染、防流失、防雨水进入的要求</w:t>
            </w:r>
            <w:r>
              <w:rPr>
                <w:rFonts w:hint="eastAsia" w:ascii="宋体" w:hAnsi="宋体" w:eastAsia="宋体" w:cs="Times New Roman"/>
                <w:bCs/>
                <w:sz w:val="20"/>
                <w:szCs w:val="20"/>
                <w:lang w:val="en-US" w:eastAsia="zh-CN"/>
              </w:rPr>
              <w:t>。</w:t>
            </w:r>
            <w:r>
              <w:rPr>
                <w:rFonts w:hint="default" w:ascii="宋体" w:hAnsi="宋体" w:eastAsia="宋体" w:cs="Times New Roman"/>
                <w:bCs/>
                <w:sz w:val="20"/>
                <w:szCs w:val="20"/>
                <w:lang w:val="en-US" w:eastAsia="zh-CN"/>
              </w:rPr>
              <w:t>危险废物：设置危废贮存库1个，危废贮存库的建设满足《危险废物贮存污染控制标准》（GB 18597-2023）相关要求，所有危险废物转移按照了危废转移联单制度相关规定执行。</w:t>
            </w:r>
          </w:p>
        </w:tc>
        <w:tc>
          <w:tcPr>
            <w:tcW w:w="709" w:type="dxa"/>
            <w:vAlign w:val="center"/>
          </w:tcPr>
          <w:p>
            <w:pPr>
              <w:snapToGrid w:val="0"/>
              <w:spacing w:line="360" w:lineRule="auto"/>
              <w:jc w:val="left"/>
              <w:textAlignment w:val="baseline"/>
              <w:rPr>
                <w:rFonts w:hint="eastAsia"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县发展改革委备案</w:t>
            </w:r>
          </w:p>
        </w:tc>
        <w:tc>
          <w:tcPr>
            <w:tcW w:w="1176" w:type="dxa"/>
            <w:vAlign w:val="center"/>
          </w:tcPr>
          <w:p>
            <w:pPr>
              <w:snapToGrid w:val="0"/>
              <w:spacing w:line="360" w:lineRule="auto"/>
              <w:jc w:val="center"/>
              <w:textAlignment w:val="baseline"/>
              <w:rPr>
                <w:rFonts w:hint="default" w:ascii="宋体" w:hAnsi="宋体" w:eastAsia="宋体" w:cs="Times New Roman"/>
                <w:bCs/>
                <w:sz w:val="20"/>
                <w:szCs w:val="20"/>
                <w:lang w:val="en-US" w:eastAsia="zh-CN"/>
              </w:rPr>
            </w:pPr>
            <w:r>
              <w:rPr>
                <w:rFonts w:hint="eastAsia" w:ascii="宋体" w:hAnsi="宋体" w:eastAsia="宋体" w:cs="Times New Roman"/>
                <w:bCs/>
                <w:sz w:val="20"/>
                <w:szCs w:val="20"/>
                <w:lang w:val="en-US" w:eastAsia="zh-CN"/>
              </w:rPr>
              <w:t>无</w:t>
            </w:r>
          </w:p>
        </w:tc>
      </w:tr>
    </w:tbl>
    <w:p>
      <w:pPr>
        <w:snapToGrid w:val="0"/>
        <w:spacing w:line="360" w:lineRule="auto"/>
        <w:jc w:val="left"/>
        <w:textAlignment w:val="baseline"/>
        <w:rPr>
          <w:rFonts w:hint="eastAsia" w:ascii="宋体" w:hAnsi="宋体" w:eastAsia="宋体" w:cs="Times New Roman"/>
          <w:bCs/>
          <w:sz w:val="20"/>
          <w:szCs w:val="20"/>
          <w:lang w:val="en-US" w:eastAsia="zh-CN"/>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abstractNum w:abstractNumId="270377297">
    <w:nsid w:val="101DA151"/>
    <w:multiLevelType w:val="singleLevel"/>
    <w:tmpl w:val="101DA151"/>
    <w:lvl w:ilvl="0" w:tentative="1">
      <w:start w:val="1"/>
      <w:numFmt w:val="decimal"/>
      <w:suff w:val="nothing"/>
      <w:lvlText w:val="%1、"/>
      <w:lvlJc w:val="left"/>
    </w:lvl>
  </w:abstractNum>
  <w:num w:numId="1">
    <w:abstractNumId w:val="2382139896"/>
  </w:num>
  <w:num w:numId="2">
    <w:abstractNumId w:val="2637331676"/>
  </w:num>
  <w:num w:numId="3">
    <w:abstractNumId w:val="3924517656"/>
  </w:num>
  <w:num w:numId="4">
    <w:abstractNumId w:val="165777474"/>
  </w:num>
  <w:num w:numId="5">
    <w:abstractNumId w:val="2703772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40D6614"/>
    <w:rsid w:val="14537D9F"/>
    <w:rsid w:val="14E05AD6"/>
    <w:rsid w:val="15A03D06"/>
    <w:rsid w:val="16A81373"/>
    <w:rsid w:val="17920BDE"/>
    <w:rsid w:val="17D270F3"/>
    <w:rsid w:val="18D23988"/>
    <w:rsid w:val="18DF42F7"/>
    <w:rsid w:val="191044B0"/>
    <w:rsid w:val="19F3005A"/>
    <w:rsid w:val="1A310B82"/>
    <w:rsid w:val="1A9133CF"/>
    <w:rsid w:val="1AF44089"/>
    <w:rsid w:val="1AFB1FF4"/>
    <w:rsid w:val="1B000BBA"/>
    <w:rsid w:val="1B662AAD"/>
    <w:rsid w:val="1B7C0CCC"/>
    <w:rsid w:val="1C060A87"/>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D5407"/>
    <w:rsid w:val="27BD5803"/>
    <w:rsid w:val="28041684"/>
    <w:rsid w:val="286A0797"/>
    <w:rsid w:val="287B7B98"/>
    <w:rsid w:val="28904CC6"/>
    <w:rsid w:val="2923105E"/>
    <w:rsid w:val="296E14AB"/>
    <w:rsid w:val="29982084"/>
    <w:rsid w:val="29B8764E"/>
    <w:rsid w:val="29C15A7E"/>
    <w:rsid w:val="29E518D5"/>
    <w:rsid w:val="2A0E2346"/>
    <w:rsid w:val="2A7C7BF7"/>
    <w:rsid w:val="2A7F4FF2"/>
    <w:rsid w:val="2AC41E55"/>
    <w:rsid w:val="2ADC28C5"/>
    <w:rsid w:val="2BA33DE7"/>
    <w:rsid w:val="2BCC0C4F"/>
    <w:rsid w:val="2D0A14EA"/>
    <w:rsid w:val="2E024318"/>
    <w:rsid w:val="2E093A48"/>
    <w:rsid w:val="2E182852"/>
    <w:rsid w:val="2FCB3525"/>
    <w:rsid w:val="306C3DFF"/>
    <w:rsid w:val="311D7742"/>
    <w:rsid w:val="31A04D91"/>
    <w:rsid w:val="32A25D21"/>
    <w:rsid w:val="3498562E"/>
    <w:rsid w:val="349D6F8E"/>
    <w:rsid w:val="34AC732B"/>
    <w:rsid w:val="34E67F69"/>
    <w:rsid w:val="35B20699"/>
    <w:rsid w:val="35BC359E"/>
    <w:rsid w:val="37E312B6"/>
    <w:rsid w:val="38511E58"/>
    <w:rsid w:val="39292CF8"/>
    <w:rsid w:val="39E906DA"/>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5D7EB7"/>
    <w:rsid w:val="42823479"/>
    <w:rsid w:val="42AE24C0"/>
    <w:rsid w:val="42B31885"/>
    <w:rsid w:val="43505326"/>
    <w:rsid w:val="44472BCC"/>
    <w:rsid w:val="448160DE"/>
    <w:rsid w:val="44B01DC4"/>
    <w:rsid w:val="44D64FC9"/>
    <w:rsid w:val="44F90E5B"/>
    <w:rsid w:val="45DB35CC"/>
    <w:rsid w:val="46362EF9"/>
    <w:rsid w:val="46503FBA"/>
    <w:rsid w:val="46AF2A41"/>
    <w:rsid w:val="46E110B6"/>
    <w:rsid w:val="47571378"/>
    <w:rsid w:val="47835CCA"/>
    <w:rsid w:val="47975C19"/>
    <w:rsid w:val="480F755D"/>
    <w:rsid w:val="4901159C"/>
    <w:rsid w:val="49C53294"/>
    <w:rsid w:val="49F42EAF"/>
    <w:rsid w:val="4A1C41B3"/>
    <w:rsid w:val="4AA46683"/>
    <w:rsid w:val="4AC62A9D"/>
    <w:rsid w:val="4B215F25"/>
    <w:rsid w:val="4BC36D42"/>
    <w:rsid w:val="4C050469"/>
    <w:rsid w:val="4C3664E9"/>
    <w:rsid w:val="4CDF221D"/>
    <w:rsid w:val="4DE90850"/>
    <w:rsid w:val="4E4D0DDF"/>
    <w:rsid w:val="4E616639"/>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7D936E4"/>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6E3699"/>
    <w:rsid w:val="5FA967D9"/>
    <w:rsid w:val="5FD90725"/>
    <w:rsid w:val="60E94998"/>
    <w:rsid w:val="61A43A98"/>
    <w:rsid w:val="627C183B"/>
    <w:rsid w:val="636335A8"/>
    <w:rsid w:val="63735C0C"/>
    <w:rsid w:val="63975554"/>
    <w:rsid w:val="64874BF3"/>
    <w:rsid w:val="651514F5"/>
    <w:rsid w:val="66357735"/>
    <w:rsid w:val="66D64615"/>
    <w:rsid w:val="67247F4C"/>
    <w:rsid w:val="686A205D"/>
    <w:rsid w:val="693C1432"/>
    <w:rsid w:val="69B46861"/>
    <w:rsid w:val="69CB332E"/>
    <w:rsid w:val="6B5B0B88"/>
    <w:rsid w:val="6D102A68"/>
    <w:rsid w:val="6E2862DA"/>
    <w:rsid w:val="6E4B4EE4"/>
    <w:rsid w:val="6EFF7A7C"/>
    <w:rsid w:val="70187047"/>
    <w:rsid w:val="70194B6E"/>
    <w:rsid w:val="70657DB3"/>
    <w:rsid w:val="7150636D"/>
    <w:rsid w:val="72CB03A1"/>
    <w:rsid w:val="730554A4"/>
    <w:rsid w:val="735E7467"/>
    <w:rsid w:val="73875315"/>
    <w:rsid w:val="73B544C0"/>
    <w:rsid w:val="74AC1B7A"/>
    <w:rsid w:val="75834F63"/>
    <w:rsid w:val="7632390F"/>
    <w:rsid w:val="76A012F9"/>
    <w:rsid w:val="76AC4382"/>
    <w:rsid w:val="7789082B"/>
    <w:rsid w:val="77CD049D"/>
    <w:rsid w:val="785D673F"/>
    <w:rsid w:val="78882647"/>
    <w:rsid w:val="78EC49DB"/>
    <w:rsid w:val="79224A93"/>
    <w:rsid w:val="79273E57"/>
    <w:rsid w:val="79F84A83"/>
    <w:rsid w:val="7AC9184A"/>
    <w:rsid w:val="7BFF2E69"/>
    <w:rsid w:val="7C4818CB"/>
    <w:rsid w:val="7C8B6DF3"/>
    <w:rsid w:val="7D197F5B"/>
    <w:rsid w:val="7D2578C8"/>
    <w:rsid w:val="7DEC7621"/>
    <w:rsid w:val="7E4E6694"/>
    <w:rsid w:val="7F08472B"/>
    <w:rsid w:val="7F387821"/>
    <w:rsid w:val="7F89761A"/>
    <w:rsid w:val="7FB623D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character" w:default="1" w:styleId="19">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adjustRightInd/>
      <w:snapToGrid/>
      <w:spacing w:beforeLines="0" w:after="120" w:line="240" w:lineRule="auto"/>
      <w:ind w:firstLine="420" w:firstLineChars="100"/>
    </w:pPr>
    <w:rPr>
      <w:snapToGrid/>
      <w:color w:val="000000"/>
      <w:kern w:val="2"/>
    </w:rPr>
  </w:style>
  <w:style w:type="paragraph" w:styleId="5">
    <w:name w:val="Body Text"/>
    <w:basedOn w:val="1"/>
    <w:next w:val="1"/>
    <w:link w:val="30"/>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kern w:val="2"/>
      <w:sz w:val="21"/>
      <w:szCs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文本 字符"/>
    <w:link w:val="5"/>
    <w:qFormat/>
    <w:uiPriority w:val="0"/>
    <w:rPr>
      <w:rFonts w:eastAsia="仿宋_GB2312"/>
      <w:kern w:val="2"/>
      <w:sz w:val="32"/>
      <w:szCs w:val="24"/>
    </w:rPr>
  </w:style>
  <w:style w:type="paragraph" w:customStyle="1" w:styleId="31">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2">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3">
    <w:name w:val="01正文"/>
    <w:basedOn w:val="1"/>
    <w:qFormat/>
    <w:uiPriority w:val="0"/>
    <w:pPr>
      <w:spacing w:line="480" w:lineRule="exact"/>
      <w:ind w:firstLine="520"/>
    </w:pPr>
    <w:rPr>
      <w:kern w:val="2"/>
      <w:sz w:val="26"/>
      <w:szCs w:val="26"/>
    </w:rPr>
  </w:style>
  <w:style w:type="paragraph" w:customStyle="1" w:styleId="34">
    <w:name w:val="Char Char1 Char"/>
    <w:basedOn w:val="1"/>
    <w:qFormat/>
    <w:uiPriority w:val="0"/>
    <w:rPr>
      <w:rFonts w:eastAsia="宋体"/>
      <w:sz w:val="21"/>
      <w:szCs w:val="21"/>
    </w:rPr>
  </w:style>
  <w:style w:type="paragraph" w:customStyle="1" w:styleId="35">
    <w:name w:val="列出段落1"/>
    <w:basedOn w:val="1"/>
    <w:qFormat/>
    <w:uiPriority w:val="0"/>
    <w:pPr>
      <w:ind w:firstLine="20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8">
    <w:name w:val="表中文字"/>
    <w:basedOn w:val="1"/>
    <w:next w:val="1"/>
    <w:qFormat/>
    <w:uiPriority w:val="0"/>
    <w:pPr>
      <w:spacing w:line="288" w:lineRule="auto"/>
      <w:jc w:val="center"/>
    </w:pPr>
    <w:rPr>
      <w:rFonts w:eastAsia="宋体"/>
      <w:sz w:val="21"/>
      <w:szCs w:val="21"/>
    </w:rPr>
  </w:style>
  <w:style w:type="paragraph" w:customStyle="1" w:styleId="39">
    <w:name w:val="Default"/>
    <w:basedOn w:val="40"/>
    <w:next w:val="41"/>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0">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1">
    <w:name w:val="样式35"/>
    <w:basedOn w:val="42"/>
    <w:next w:val="43"/>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2">
    <w:name w:val="表 内容"/>
    <w:basedOn w:val="1"/>
    <w:qFormat/>
    <w:uiPriority w:val="0"/>
    <w:pPr>
      <w:adjustRightInd w:val="0"/>
      <w:snapToGrid w:val="0"/>
      <w:spacing w:beforeLines="15" w:afterLines="15"/>
      <w:jc w:val="center"/>
    </w:pPr>
    <w:rPr>
      <w:szCs w:val="21"/>
    </w:rPr>
  </w:style>
  <w:style w:type="paragraph" w:customStyle="1" w:styleId="43">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4">
    <w:name w:val="样式18"/>
    <w:basedOn w:val="45"/>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5">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6">
    <w:name w:val="忠庆表格"/>
    <w:basedOn w:val="36"/>
    <w:qFormat/>
    <w:uiPriority w:val="0"/>
    <w:rPr>
      <w:rFonts w:ascii="Times New Roman" w:hAnsi="Times New Roman"/>
      <w:sz w:val="22"/>
    </w:rPr>
  </w:style>
  <w:style w:type="paragraph" w:customStyle="1" w:styleId="47">
    <w:name w:val="忠庆正文"/>
    <w:basedOn w:val="46"/>
    <w:qFormat/>
    <w:uiPriority w:val="0"/>
    <w:pPr>
      <w:spacing w:line="460" w:lineRule="exact"/>
      <w:ind w:firstLine="200" w:firstLineChars="200"/>
    </w:pPr>
    <w:rPr>
      <w:rFonts w:eastAsia="宋体"/>
      <w:sz w:val="26"/>
      <w:szCs w:val="22"/>
    </w:rPr>
  </w:style>
  <w:style w:type="paragraph" w:customStyle="1" w:styleId="48">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49">
    <w:name w:val="00正文 Char"/>
    <w:link w:val="50"/>
    <w:qFormat/>
    <w:uiPriority w:val="0"/>
    <w:rPr>
      <w:rFonts w:eastAsia="仿宋"/>
      <w:kern w:val="2"/>
      <w:sz w:val="26"/>
      <w:szCs w:val="22"/>
    </w:rPr>
  </w:style>
  <w:style w:type="paragraph" w:customStyle="1" w:styleId="50">
    <w:name w:val="00正文"/>
    <w:basedOn w:val="1"/>
    <w:link w:val="49"/>
    <w:qFormat/>
    <w:uiPriority w:val="0"/>
    <w:pPr>
      <w:spacing w:line="460" w:lineRule="exact"/>
      <w:ind w:firstLine="520" w:firstLineChars="200"/>
    </w:pPr>
    <w:rPr>
      <w:rFonts w:eastAsia="仿宋"/>
      <w:sz w:val="26"/>
      <w:szCs w:val="22"/>
    </w:rPr>
  </w:style>
  <w:style w:type="paragraph" w:customStyle="1" w:styleId="51">
    <w:name w:val="List Paragraph"/>
    <w:basedOn w:val="1"/>
    <w:qFormat/>
    <w:uiPriority w:val="34"/>
    <w:pPr>
      <w:ind w:firstLine="420"/>
    </w:pPr>
  </w:style>
  <w:style w:type="paragraph" w:customStyle="1" w:styleId="52">
    <w:name w:val="List Paragraph1"/>
    <w:basedOn w:val="1"/>
    <w:qFormat/>
    <w:uiPriority w:val="0"/>
    <w:pPr>
      <w:ind w:firstLine="420"/>
    </w:pPr>
  </w:style>
  <w:style w:type="character" w:customStyle="1" w:styleId="53">
    <w:name w:val="WJ正文 Char"/>
    <w:link w:val="54"/>
    <w:qFormat/>
    <w:locked/>
    <w:uiPriority w:val="0"/>
    <w:rPr>
      <w:color w:val="000000"/>
      <w:sz w:val="24"/>
      <w:szCs w:val="24"/>
    </w:rPr>
  </w:style>
  <w:style w:type="paragraph" w:customStyle="1" w:styleId="54">
    <w:name w:val="WJ正文"/>
    <w:basedOn w:val="1"/>
    <w:link w:val="53"/>
    <w:qFormat/>
    <w:uiPriority w:val="0"/>
    <w:pPr>
      <w:spacing w:line="440" w:lineRule="exact"/>
      <w:ind w:firstLine="480" w:firstLineChars="200"/>
      <w:jc w:val="left"/>
    </w:pPr>
    <w:rPr>
      <w:rFonts w:eastAsia="宋体"/>
      <w:color w:val="000000"/>
      <w:kern w:val="0"/>
      <w:sz w:val="24"/>
    </w:rPr>
  </w:style>
  <w:style w:type="paragraph" w:customStyle="1" w:styleId="55">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6">
    <w:name w:val="Table Paragraph"/>
    <w:basedOn w:val="1"/>
    <w:qFormat/>
    <w:uiPriority w:val="0"/>
    <w:pPr>
      <w:autoSpaceDE w:val="0"/>
      <w:autoSpaceDN w:val="0"/>
      <w:adjustRightInd w:val="0"/>
      <w:jc w:val="left"/>
    </w:pPr>
    <w:rPr>
      <w:kern w:val="0"/>
      <w:sz w:val="24"/>
    </w:rPr>
  </w:style>
  <w:style w:type="paragraph" w:customStyle="1" w:styleId="57">
    <w:name w:val="0A正文"/>
    <w:basedOn w:val="1"/>
    <w:qFormat/>
    <w:uiPriority w:val="0"/>
    <w:pPr>
      <w:spacing w:line="460" w:lineRule="exact"/>
      <w:jc w:val="both"/>
    </w:pPr>
    <w:rPr>
      <w:color w:val="000000"/>
      <w:szCs w:val="26"/>
    </w:rPr>
  </w:style>
  <w:style w:type="character" w:customStyle="1" w:styleId="58">
    <w:name w:val="表格格式 Char"/>
    <w:link w:val="59"/>
    <w:qFormat/>
    <w:locked/>
    <w:uiPriority w:val="0"/>
    <w:rPr>
      <w:sz w:val="21"/>
    </w:rPr>
  </w:style>
  <w:style w:type="paragraph" w:customStyle="1" w:styleId="59">
    <w:name w:val="表格格式"/>
    <w:basedOn w:val="1"/>
    <w:next w:val="1"/>
    <w:link w:val="58"/>
    <w:qFormat/>
    <w:uiPriority w:val="0"/>
    <w:pPr>
      <w:adjustRightInd w:val="0"/>
      <w:snapToGrid w:val="0"/>
      <w:jc w:val="center"/>
    </w:pPr>
    <w:rPr>
      <w:rFonts w:eastAsia="宋体"/>
      <w:kern w:val="0"/>
      <w:sz w:val="21"/>
      <w:szCs w:val="20"/>
    </w:rPr>
  </w:style>
  <w:style w:type="paragraph" w:customStyle="1" w:styleId="60">
    <w:name w:val="表格内容"/>
    <w:basedOn w:val="1"/>
    <w:next w:val="1"/>
    <w:qFormat/>
    <w:uiPriority w:val="0"/>
    <w:pPr>
      <w:adjustRightInd/>
      <w:snapToGrid/>
      <w:spacing w:line="240" w:lineRule="auto"/>
      <w:ind w:firstLine="0" w:firstLineChars="0"/>
      <w:jc w:val="center"/>
    </w:pPr>
    <w:rPr>
      <w:kern w:val="0"/>
      <w:sz w:val="22"/>
      <w:szCs w:val="21"/>
    </w:rPr>
  </w:style>
  <w:style w:type="paragraph" w:customStyle="1" w:styleId="61">
    <w:name w:val="ZH表格样式"/>
    <w:basedOn w:val="1"/>
    <w:next w:val="62"/>
    <w:qFormat/>
    <w:uiPriority w:val="0"/>
    <w:pPr>
      <w:spacing w:line="300" w:lineRule="exact"/>
    </w:pPr>
    <w:rPr>
      <w:rFonts w:hint="eastAsia"/>
      <w:sz w:val="21"/>
    </w:rPr>
  </w:style>
  <w:style w:type="paragraph" w:customStyle="1" w:styleId="62">
    <w:name w:val="zh正文"/>
    <w:basedOn w:val="1"/>
    <w:qFormat/>
    <w:uiPriority w:val="0"/>
    <w:pPr>
      <w:spacing w:line="460" w:lineRule="exact"/>
      <w:ind w:firstLine="480" w:firstLineChars="200"/>
      <w:jc w:val="both"/>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2</Pages>
  <Words>238</Words>
  <Characters>309</Characters>
  <Lines>16</Lines>
  <Paragraphs>4</Paragraphs>
  <ScaleCrop>false</ScaleCrop>
  <LinksUpToDate>false</LinksUpToDate>
  <CharactersWithSpaces>309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xjzx</cp:lastModifiedBy>
  <dcterms:modified xsi:type="dcterms:W3CDTF">2025-04-16T02:11:33Z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44F3208D768A4ADE9A715621B8735049_11</vt:lpwstr>
  </property>
  <property fmtid="{D5CDD505-2E9C-101B-9397-08002B2CF9AE}" pid="4" name="KSOTemplateDocerSaveRecord">
    <vt:lpwstr>eyJoZGlkIjoiNTYyZTNlOWFjNmU1ZmYxY2Q4M2UyZjdmYjM0OTNlNjEifQ==</vt:lpwstr>
  </property>
</Properties>
</file>