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丰都县生态环境局受理和拟审批建设项目环评信息公示表</w:t>
      </w:r>
    </w:p>
    <w:p>
      <w:pPr>
        <w:keepNext w:val="0"/>
        <w:keepLines w:val="0"/>
        <w:pageBreakBefore w:val="0"/>
        <w:widowControl w:val="0"/>
        <w:kinsoku/>
        <w:wordWrap w:val="0"/>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按照《重庆市生态环境局办公室关于深化工程建设项目环境影响评价文件审批实施告知承诺制改革有关事项的补充通知》（</w:t>
      </w:r>
      <w:bookmarkStart w:id="0" w:name="gwz"/>
      <w:r>
        <w:rPr>
          <w:rFonts w:hint="eastAsia" w:ascii="宋体" w:hAnsi="宋体" w:eastAsia="宋体" w:cs="宋体"/>
          <w:kern w:val="0"/>
          <w:sz w:val="28"/>
          <w:szCs w:val="28"/>
        </w:rPr>
        <w:t>渝环办</w:t>
      </w:r>
      <w:bookmarkEnd w:id="0"/>
      <w:r>
        <w:rPr>
          <w:rFonts w:hint="eastAsia" w:ascii="宋体" w:hAnsi="宋体" w:eastAsia="宋体" w:cs="宋体"/>
          <w:kern w:val="0"/>
          <w:sz w:val="28"/>
          <w:szCs w:val="28"/>
        </w:rPr>
        <w:t>〔</w:t>
      </w:r>
      <w:bookmarkStart w:id="1" w:name="gwnh"/>
      <w:r>
        <w:rPr>
          <w:rFonts w:hint="eastAsia" w:ascii="宋体" w:hAnsi="宋体" w:eastAsia="宋体" w:cs="宋体"/>
          <w:kern w:val="0"/>
          <w:sz w:val="28"/>
          <w:szCs w:val="28"/>
        </w:rPr>
        <w:t>2022</w:t>
      </w:r>
      <w:bookmarkEnd w:id="1"/>
      <w:r>
        <w:rPr>
          <w:rFonts w:hint="eastAsia" w:ascii="宋体" w:hAnsi="宋体" w:eastAsia="宋体" w:cs="宋体"/>
          <w:kern w:val="0"/>
          <w:sz w:val="28"/>
          <w:szCs w:val="28"/>
        </w:rPr>
        <w:t>〕</w:t>
      </w:r>
      <w:bookmarkStart w:id="2" w:name="gwqh"/>
      <w:r>
        <w:rPr>
          <w:rFonts w:hint="eastAsia" w:ascii="宋体" w:hAnsi="宋体" w:eastAsia="宋体" w:cs="宋体"/>
          <w:kern w:val="0"/>
          <w:sz w:val="28"/>
          <w:szCs w:val="28"/>
        </w:rPr>
        <w:t>140</w:t>
      </w:r>
      <w:bookmarkEnd w:id="2"/>
      <w:r>
        <w:rPr>
          <w:rFonts w:hint="eastAsia" w:ascii="宋体" w:hAnsi="宋体" w:eastAsia="宋体" w:cs="宋体"/>
          <w:kern w:val="0"/>
          <w:sz w:val="28"/>
          <w:szCs w:val="28"/>
        </w:rPr>
        <w:t>号），丰都县生态环境局于2025年7月23日受理和拟审批以下建设项目环评文件，现公告有关环评信息，接受社会监督，受理公示期为2025年7月23日至2025年7月29日（5个工作日），拟审批公示期为2025年7月30日至2025年8月5日（5个工作日）。环评文件查询方式:http://www.cqfd.gov.cn/bm/sthjj/</w:t>
      </w:r>
      <w:bookmarkStart w:id="3" w:name="_GoBack"/>
      <w:bookmarkEnd w:id="3"/>
      <w:r>
        <w:rPr>
          <w:rFonts w:hint="eastAsia" w:ascii="宋体" w:hAnsi="宋体" w:eastAsia="宋体" w:cs="宋体"/>
          <w:kern w:val="0"/>
          <w:sz w:val="28"/>
          <w:szCs w:val="28"/>
        </w:rPr>
        <w:t>。</w:t>
      </w:r>
    </w:p>
    <w:p>
      <w:pPr>
        <w:keepNext w:val="0"/>
        <w:keepLines w:val="0"/>
        <w:pageBreakBefore w:val="0"/>
        <w:widowControl w:val="0"/>
        <w:kinsoku/>
        <w:wordWrap w:val="0"/>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反馈意见受理方式为电子邮箱：6239779@qq.com，传真：</w:t>
      </w:r>
      <w:r>
        <w:rPr>
          <w:rFonts w:hint="eastAsia" w:ascii="宋体" w:hAnsi="宋体" w:eastAsia="宋体" w:cs="宋体"/>
          <w:kern w:val="0"/>
          <w:sz w:val="28"/>
          <w:szCs w:val="28"/>
          <w:lang w:val="en-US" w:eastAsia="zh-CN"/>
        </w:rPr>
        <w:t>023-</w:t>
      </w:r>
      <w:r>
        <w:rPr>
          <w:rFonts w:hint="eastAsia" w:ascii="宋体" w:hAnsi="宋体" w:eastAsia="宋体" w:cs="宋体"/>
          <w:kern w:val="0"/>
          <w:sz w:val="28"/>
          <w:szCs w:val="28"/>
        </w:rPr>
        <w:t>70702532 ，电话：</w:t>
      </w:r>
      <w:r>
        <w:rPr>
          <w:rFonts w:hint="eastAsia" w:ascii="宋体" w:hAnsi="宋体" w:eastAsia="宋体" w:cs="宋体"/>
          <w:kern w:val="0"/>
          <w:sz w:val="28"/>
          <w:szCs w:val="28"/>
          <w:lang w:val="en-US" w:eastAsia="zh-CN"/>
        </w:rPr>
        <w:t>023-</w:t>
      </w:r>
      <w:r>
        <w:rPr>
          <w:rFonts w:hint="eastAsia" w:ascii="宋体" w:hAnsi="宋体" w:eastAsia="宋体" w:cs="宋体"/>
          <w:kern w:val="0"/>
          <w:sz w:val="28"/>
          <w:szCs w:val="28"/>
        </w:rPr>
        <w:t>70708728，通信地址：重庆市丰都县三合街道商业路321号生态环境局，邮编：408200。申请人和利害关系人可自拟审批公示起5个工作日内以书面形式向我局提出听证申请。</w:t>
      </w:r>
    </w:p>
    <w:tbl>
      <w:tblPr>
        <w:tblStyle w:val="7"/>
        <w:tblW w:w="13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28"/>
        <w:gridCol w:w="655"/>
        <w:gridCol w:w="709"/>
        <w:gridCol w:w="709"/>
        <w:gridCol w:w="2976"/>
        <w:gridCol w:w="3854"/>
        <w:gridCol w:w="1136"/>
        <w:gridCol w:w="124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序号</w:t>
            </w:r>
          </w:p>
          <w:p>
            <w:pPr>
              <w:jc w:val="center"/>
              <w:rPr>
                <w:b w:val="0"/>
                <w:bCs/>
                <w:color w:val="000000" w:themeColor="text1"/>
                <w14:textFill>
                  <w14:solidFill>
                    <w14:schemeClr w14:val="tx1"/>
                  </w14:solidFill>
                </w14:textFill>
              </w:rPr>
            </w:pPr>
          </w:p>
        </w:tc>
        <w:tc>
          <w:tcPr>
            <w:tcW w:w="728"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项目名称</w:t>
            </w:r>
          </w:p>
          <w:p>
            <w:pPr>
              <w:jc w:val="center"/>
              <w:rPr>
                <w:b w:val="0"/>
                <w:bCs/>
                <w:color w:val="000000" w:themeColor="text1"/>
                <w14:textFill>
                  <w14:solidFill>
                    <w14:schemeClr w14:val="tx1"/>
                  </w14:solidFill>
                </w14:textFill>
              </w:rPr>
            </w:pPr>
          </w:p>
        </w:tc>
        <w:tc>
          <w:tcPr>
            <w:tcW w:w="655"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建设地点</w:t>
            </w:r>
          </w:p>
          <w:p>
            <w:pPr>
              <w:jc w:val="center"/>
              <w:rPr>
                <w:b w:val="0"/>
                <w:bCs/>
                <w:color w:val="000000" w:themeColor="text1"/>
                <w14:textFill>
                  <w14:solidFill>
                    <w14:schemeClr w14:val="tx1"/>
                  </w14:solidFill>
                </w14:textFill>
              </w:rPr>
            </w:pPr>
          </w:p>
        </w:tc>
        <w:tc>
          <w:tcPr>
            <w:tcW w:w="709"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建设单位</w:t>
            </w:r>
          </w:p>
          <w:p>
            <w:pPr>
              <w:jc w:val="center"/>
              <w:rPr>
                <w:b w:val="0"/>
                <w:bCs/>
                <w:color w:val="000000" w:themeColor="text1"/>
                <w14:textFill>
                  <w14:solidFill>
                    <w14:schemeClr w14:val="tx1"/>
                  </w14:solidFill>
                </w14:textFill>
              </w:rPr>
            </w:pPr>
          </w:p>
        </w:tc>
        <w:tc>
          <w:tcPr>
            <w:tcW w:w="709"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环评类别</w:t>
            </w:r>
          </w:p>
          <w:p>
            <w:pPr>
              <w:jc w:val="center"/>
              <w:rPr>
                <w:b w:val="0"/>
                <w:bCs/>
                <w:color w:val="000000" w:themeColor="text1"/>
                <w14:textFill>
                  <w14:solidFill>
                    <w14:schemeClr w14:val="tx1"/>
                  </w14:solidFill>
                </w14:textFill>
              </w:rPr>
            </w:pPr>
          </w:p>
        </w:tc>
        <w:tc>
          <w:tcPr>
            <w:tcW w:w="2976"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项目概况</w:t>
            </w:r>
          </w:p>
          <w:p>
            <w:pPr>
              <w:jc w:val="center"/>
              <w:rPr>
                <w:b w:val="0"/>
                <w:bCs/>
                <w:color w:val="000000" w:themeColor="text1"/>
                <w14:textFill>
                  <w14:solidFill>
                    <w14:schemeClr w14:val="tx1"/>
                  </w14:solidFill>
                </w14:textFill>
              </w:rPr>
            </w:pPr>
          </w:p>
        </w:tc>
        <w:tc>
          <w:tcPr>
            <w:tcW w:w="3854"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主要环境影响和环境保护对策与措施</w:t>
            </w:r>
          </w:p>
          <w:p>
            <w:pPr>
              <w:jc w:val="center"/>
              <w:rPr>
                <w:b w:val="0"/>
                <w:bCs/>
                <w:color w:val="000000" w:themeColor="text1"/>
                <w14:textFill>
                  <w14:solidFill>
                    <w14:schemeClr w14:val="tx1"/>
                  </w14:solidFill>
                </w14:textFill>
              </w:rPr>
            </w:pPr>
          </w:p>
        </w:tc>
        <w:tc>
          <w:tcPr>
            <w:tcW w:w="1136"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相关部门意见</w:t>
            </w:r>
          </w:p>
          <w:p>
            <w:pPr>
              <w:jc w:val="center"/>
              <w:rPr>
                <w:b w:val="0"/>
                <w:bCs/>
                <w:color w:val="000000" w:themeColor="text1"/>
                <w14:textFill>
                  <w14:solidFill>
                    <w14:schemeClr w14:val="tx1"/>
                  </w14:solidFill>
                </w14:textFill>
              </w:rPr>
            </w:pPr>
          </w:p>
        </w:tc>
        <w:tc>
          <w:tcPr>
            <w:tcW w:w="1247"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建设单位开展的公众参与情况</w:t>
            </w:r>
          </w:p>
        </w:tc>
        <w:tc>
          <w:tcPr>
            <w:tcW w:w="1025" w:type="dxa"/>
            <w:vAlign w:val="center"/>
          </w:tcPr>
          <w:p>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备注</w:t>
            </w:r>
          </w:p>
          <w:p>
            <w:pPr>
              <w:jc w:val="center"/>
              <w:rPr>
                <w:b w:val="0"/>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2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728" w:type="dxa"/>
          </w:tcPr>
          <w:p>
            <w:pPr>
              <w:spacing w:line="2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创新报废汽车回收改建项目</w:t>
            </w:r>
          </w:p>
        </w:tc>
        <w:tc>
          <w:tcPr>
            <w:tcW w:w="655" w:type="dxa"/>
          </w:tcPr>
          <w:p>
            <w:pPr>
              <w:spacing w:line="2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重庆市丰都县水天坪工业园区红花岩路105号</w:t>
            </w:r>
          </w:p>
        </w:tc>
        <w:tc>
          <w:tcPr>
            <w:tcW w:w="709" w:type="dxa"/>
          </w:tcPr>
          <w:p>
            <w:pPr>
              <w:spacing w:line="2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重庆创新报废汽车回收有限公司</w:t>
            </w:r>
          </w:p>
        </w:tc>
        <w:tc>
          <w:tcPr>
            <w:tcW w:w="709" w:type="dxa"/>
          </w:tcPr>
          <w:p>
            <w:pPr>
              <w:spacing w:line="2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环境影响报告表</w:t>
            </w:r>
          </w:p>
        </w:tc>
        <w:tc>
          <w:tcPr>
            <w:tcW w:w="2976" w:type="dxa"/>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位于重庆市丰都县水天坪工业园区红花岩路105号，在现有厂房内新增新能源汽车电池拆卸工艺，其他拆解依托现有工艺，在原项目年拆解20000辆传统燃油报废汽车的基础上，将其中10000辆燃油小车调整为10000辆小型电动汽车。建成后全厂年回收拆解报废汽车20000辆（包括小型电动汽车10000辆、燃油小车6000辆、燃油货车2600辆、燃油客车1000辆、燃油摩托车400辆）。项目总投资50万元，其中环保投资5万元，占总投资比例为10%。</w:t>
            </w:r>
          </w:p>
        </w:tc>
        <w:tc>
          <w:tcPr>
            <w:tcW w:w="3854" w:type="dxa"/>
          </w:tcPr>
          <w:p>
            <w:pPr>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废气：油液及制冷剂抽取过程非甲烷总烃挥发量较少，安全气囊引爆产生的颗粒物较少，厂房内无组织排放，增设排风扇等通风设备，加强厂房通风。对大气环境影响可接受。</w:t>
            </w:r>
          </w:p>
          <w:p>
            <w:pPr>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废水：项目不新增废水产生及排放。</w:t>
            </w:r>
          </w:p>
          <w:p>
            <w:pPr>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噪声：项目采取基础减震、建筑物隔声、距离衰减等措施以达到控制噪声的目的。</w:t>
            </w:r>
          </w:p>
          <w:p>
            <w:pPr>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固废：废旧动力蓄电池（不包含铅蓄电池）暂存于废旧动力蓄电池暂存区，交售相关资质企业综合利用；其余一般工业固废依托现有项目已建一般固废暂存区暂存，外售物资回收单位。危险废物依托现有项目已建危废贮存库暂存，由有资质的单位收运处置。</w:t>
            </w:r>
          </w:p>
          <w:p>
            <w:pPr>
              <w:spacing w:line="28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tcPr>
          <w:p>
            <w:pPr>
              <w:spacing w:line="2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重庆市丰都县发展和改革委员会核发的《重庆市企业投资项目备案证》（项目代码：2506-500230-04-05-859465）</w:t>
            </w:r>
          </w:p>
        </w:tc>
        <w:tc>
          <w:tcPr>
            <w:tcW w:w="1247" w:type="dxa"/>
          </w:tcPr>
          <w:p>
            <w:pPr>
              <w:spacing w:line="2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1025" w:type="dxa"/>
          </w:tcPr>
          <w:p>
            <w:pPr>
              <w:spacing w:line="28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告知承诺制</w:t>
            </w: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NGUxMWNhZTQ1ZTcwZjMzN2FiZTk4MWYwN2NmYmUifQ=="/>
  </w:docVars>
  <w:rsids>
    <w:rsidRoot w:val="00236C52"/>
    <w:rsid w:val="001640A4"/>
    <w:rsid w:val="001E6358"/>
    <w:rsid w:val="00236C52"/>
    <w:rsid w:val="004059BF"/>
    <w:rsid w:val="00540C29"/>
    <w:rsid w:val="005A0182"/>
    <w:rsid w:val="005A2910"/>
    <w:rsid w:val="00645676"/>
    <w:rsid w:val="006B7EEC"/>
    <w:rsid w:val="007775E6"/>
    <w:rsid w:val="007948C4"/>
    <w:rsid w:val="00970B44"/>
    <w:rsid w:val="00A34022"/>
    <w:rsid w:val="00A8735A"/>
    <w:rsid w:val="00AB5293"/>
    <w:rsid w:val="00AD70F5"/>
    <w:rsid w:val="00AF4439"/>
    <w:rsid w:val="00B22844"/>
    <w:rsid w:val="00B802A1"/>
    <w:rsid w:val="00C94EC2"/>
    <w:rsid w:val="00CC543F"/>
    <w:rsid w:val="00D516FA"/>
    <w:rsid w:val="00E64A4D"/>
    <w:rsid w:val="00F846D5"/>
    <w:rsid w:val="046F071C"/>
    <w:rsid w:val="06A5767A"/>
    <w:rsid w:val="0BDC31C7"/>
    <w:rsid w:val="0EA87391"/>
    <w:rsid w:val="0F655282"/>
    <w:rsid w:val="0F6634D4"/>
    <w:rsid w:val="0FA22032"/>
    <w:rsid w:val="10A32505"/>
    <w:rsid w:val="11A42091"/>
    <w:rsid w:val="11AC7198"/>
    <w:rsid w:val="13C702B9"/>
    <w:rsid w:val="14FA34A0"/>
    <w:rsid w:val="1514752E"/>
    <w:rsid w:val="166C5148"/>
    <w:rsid w:val="19C257AA"/>
    <w:rsid w:val="1DE877AA"/>
    <w:rsid w:val="1F0D3B3F"/>
    <w:rsid w:val="22342FBD"/>
    <w:rsid w:val="246A0F18"/>
    <w:rsid w:val="269C3827"/>
    <w:rsid w:val="26FB22FC"/>
    <w:rsid w:val="2D9214E0"/>
    <w:rsid w:val="32917FB8"/>
    <w:rsid w:val="366A4DA8"/>
    <w:rsid w:val="36D52B69"/>
    <w:rsid w:val="37D526F5"/>
    <w:rsid w:val="39C037CE"/>
    <w:rsid w:val="3B7A5A8D"/>
    <w:rsid w:val="3EDE6333"/>
    <w:rsid w:val="41594397"/>
    <w:rsid w:val="41881C51"/>
    <w:rsid w:val="44FF0DB1"/>
    <w:rsid w:val="4670640B"/>
    <w:rsid w:val="48F6071D"/>
    <w:rsid w:val="52094177"/>
    <w:rsid w:val="56C02A96"/>
    <w:rsid w:val="576F626A"/>
    <w:rsid w:val="5AC425E4"/>
    <w:rsid w:val="5C6A7000"/>
    <w:rsid w:val="60A56859"/>
    <w:rsid w:val="6B930322"/>
    <w:rsid w:val="6B9320D0"/>
    <w:rsid w:val="706A2C8A"/>
    <w:rsid w:val="714B7709"/>
    <w:rsid w:val="740C6EC3"/>
    <w:rsid w:val="74BD1F6B"/>
    <w:rsid w:val="773120B7"/>
    <w:rsid w:val="773D297D"/>
    <w:rsid w:val="79A669E4"/>
    <w:rsid w:val="7ED370B5"/>
    <w:rsid w:val="7F8A514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889</Words>
  <Characters>1039</Characters>
  <Lines>7</Lines>
  <Paragraphs>2</Paragraphs>
  <TotalTime>0</TotalTime>
  <ScaleCrop>false</ScaleCrop>
  <LinksUpToDate>false</LinksUpToDate>
  <CharactersWithSpaces>1042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2023-03-24T07:25:00Z</dcterms:created>
  <dc:creator>PC</dc:creator>
  <cp:lastModifiedBy>xjzx</cp:lastModifiedBy>
  <dcterms:modified xsi:type="dcterms:W3CDTF">2025-07-23T02:58:07Z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6B8890E7326B485487388BA019E526FF_13</vt:lpwstr>
  </property>
  <property fmtid="{D5CDD505-2E9C-101B-9397-08002B2CF9AE}" pid="4" name="KSOTemplateDocerSaveRecord">
    <vt:lpwstr>eyJoZGlkIjoiYTQyYzczYTI0ODc5ZDM5ZDI3OTVlYzZmYTg5Y2ZlYjQiLCJ1c2VySWQiOiI2MjEzMjg0ODIifQ==</vt:lpwstr>
  </property>
</Properties>
</file>