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napToGrid w:val="0"/>
        <w:spacing w:before="320" w:line="420" w:lineRule="auto"/>
        <w:jc w:val="center"/>
        <w:rPr>
          <w:rFonts w:ascii="宋体" w:hAnsi="宋体" w:eastAsia="宋体" w:cs="宋体"/>
          <w:b/>
          <w:sz w:val="28"/>
          <w:szCs w:val="28"/>
        </w:rPr>
      </w:pPr>
      <w:r>
        <w:rPr>
          <w:rFonts w:hint="eastAsia" w:ascii="宋体" w:hAnsi="宋体" w:eastAsia="宋体" w:cs="宋体"/>
          <w:b/>
          <w:kern w:val="0"/>
          <w:sz w:val="28"/>
          <w:szCs w:val="28"/>
        </w:rPr>
        <w:t>丰都县生态环境局审查建设项目环评信息公示表</w:t>
      </w:r>
    </w:p>
    <w:p>
      <w:pPr>
        <w:snapToGrid w:val="0"/>
        <w:spacing w:before="320" w:after="320" w:line="420" w:lineRule="auto"/>
        <w:ind w:firstLine="560" w:firstLineChars="200"/>
        <w:jc w:val="left"/>
        <w:textAlignment w:val="baseline"/>
        <w:rPr>
          <w:rFonts w:ascii="宋体" w:hAnsi="宋体" w:eastAsia="宋体" w:cs="宋体"/>
          <w:bCs/>
          <w:sz w:val="28"/>
          <w:szCs w:val="28"/>
        </w:rPr>
      </w:pPr>
      <w:bookmarkStart w:id="1" w:name="_GoBack"/>
      <w:r>
        <w:rPr>
          <w:rFonts w:hint="eastAsia" w:ascii="宋体" w:hAnsi="宋体" w:eastAsia="宋体" w:cs="宋体"/>
          <w:kern w:val="0"/>
          <w:sz w:val="28"/>
          <w:szCs w:val="28"/>
        </w:rPr>
        <w:t>丰都县生态环境局审查以下建设项目环评文件，现公告有关环评信息，接受社会监督，公示期为2025年</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18</w:t>
      </w:r>
      <w:r>
        <w:rPr>
          <w:rFonts w:hint="eastAsia" w:ascii="宋体" w:hAnsi="宋体" w:eastAsia="宋体" w:cs="宋体"/>
          <w:kern w:val="0"/>
          <w:sz w:val="28"/>
          <w:szCs w:val="28"/>
        </w:rPr>
        <w:t>日—2025年</w:t>
      </w: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月2</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日。环评文件查询方式</w:t>
      </w:r>
      <w:r>
        <w:rPr>
          <w:rFonts w:hint="eastAsia" w:ascii="宋体" w:hAnsi="宋体" w:eastAsia="宋体" w:cs="宋体"/>
          <w:sz w:val="28"/>
          <w:szCs w:val="28"/>
        </w:rPr>
        <w:t>http://www.cqfd.gov.cn/bm/sthjj/</w:t>
      </w:r>
      <w:r>
        <w:rPr>
          <w:rFonts w:hint="eastAsia" w:ascii="宋体" w:hAnsi="宋体" w:eastAsia="宋体" w:cs="宋体"/>
          <w:kern w:val="0"/>
          <w:sz w:val="28"/>
          <w:szCs w:val="28"/>
        </w:rPr>
        <w:t>。反馈意见受理方式为电子邮箱：fdhbjjgk@163.com，传真：023-70708728，通讯地址：丰都县三合街道商业二路321号，邮编：408200。申请人和利害关系人可自公示起5个工作日内以书面形式向我局提出听证申请。</w:t>
      </w:r>
    </w:p>
    <w:tbl>
      <w:tblPr>
        <w:tblStyle w:val="28"/>
        <w:tblpPr w:leftFromText="180" w:rightFromText="180" w:vertAnchor="text" w:horzAnchor="margin" w:tblpX="1" w:tblpY="102"/>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77"/>
        <w:gridCol w:w="1272"/>
        <w:gridCol w:w="886"/>
        <w:gridCol w:w="1275"/>
        <w:gridCol w:w="2878"/>
        <w:gridCol w:w="4777"/>
        <w:gridCol w:w="70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01" w:type="dxa"/>
            <w:vAlign w:val="center"/>
          </w:tcPr>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序号</w:t>
            </w:r>
          </w:p>
        </w:tc>
        <w:tc>
          <w:tcPr>
            <w:tcW w:w="1277"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项目名称</w:t>
            </w:r>
          </w:p>
        </w:tc>
        <w:tc>
          <w:tcPr>
            <w:tcW w:w="1272"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建设地点</w:t>
            </w:r>
          </w:p>
        </w:tc>
        <w:tc>
          <w:tcPr>
            <w:tcW w:w="886"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建设单位</w:t>
            </w:r>
          </w:p>
        </w:tc>
        <w:tc>
          <w:tcPr>
            <w:tcW w:w="1275"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环境影响评价机构</w:t>
            </w:r>
          </w:p>
        </w:tc>
        <w:tc>
          <w:tcPr>
            <w:tcW w:w="2878"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项目概况</w:t>
            </w:r>
          </w:p>
        </w:tc>
        <w:tc>
          <w:tcPr>
            <w:tcW w:w="4777"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主要环境影响和环境保护对策与措施</w:t>
            </w:r>
          </w:p>
        </w:tc>
        <w:tc>
          <w:tcPr>
            <w:tcW w:w="709"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相关部门意见</w:t>
            </w:r>
          </w:p>
        </w:tc>
        <w:tc>
          <w:tcPr>
            <w:tcW w:w="1176"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建设单位开展的公众参与情况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01" w:type="dxa"/>
            <w:vAlign w:val="center"/>
          </w:tcPr>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1</w:t>
            </w:r>
          </w:p>
        </w:tc>
        <w:tc>
          <w:tcPr>
            <w:tcW w:w="1277" w:type="dxa"/>
            <w:vAlign w:val="center"/>
          </w:tcPr>
          <w:p>
            <w:pPr>
              <w:snapToGrid w:val="0"/>
              <w:spacing w:line="360" w:lineRule="auto"/>
              <w:jc w:val="center"/>
              <w:textAlignment w:val="baseline"/>
              <w:rPr>
                <w:rFonts w:ascii="宋体" w:hAnsi="宋体" w:eastAsia="宋体"/>
                <w:bCs/>
                <w:sz w:val="20"/>
                <w:szCs w:val="20"/>
              </w:rPr>
            </w:pPr>
            <w:r>
              <w:rPr>
                <w:rFonts w:ascii="宋体" w:hAnsi="宋体" w:eastAsia="宋体"/>
                <w:bCs/>
                <w:sz w:val="20"/>
                <w:szCs w:val="20"/>
              </w:rPr>
              <w:t>丰都县建磊石材有限公司石板坡砂岩矿开采项目</w:t>
            </w:r>
          </w:p>
        </w:tc>
        <w:tc>
          <w:tcPr>
            <w:tcW w:w="1272" w:type="dxa"/>
            <w:vAlign w:val="center"/>
          </w:tcPr>
          <w:p>
            <w:pPr>
              <w:snapToGrid w:val="0"/>
              <w:spacing w:line="360" w:lineRule="auto"/>
              <w:jc w:val="center"/>
              <w:textAlignment w:val="baseline"/>
              <w:rPr>
                <w:rFonts w:ascii="宋体" w:hAnsi="宋体" w:eastAsia="宋体"/>
                <w:bCs/>
                <w:sz w:val="20"/>
                <w:szCs w:val="20"/>
              </w:rPr>
            </w:pPr>
            <w:r>
              <w:rPr>
                <w:rFonts w:ascii="宋体" w:hAnsi="宋体" w:eastAsia="宋体"/>
                <w:bCs/>
                <w:sz w:val="20"/>
                <w:szCs w:val="20"/>
              </w:rPr>
              <w:t>重庆市丰都县社坛镇文汇村9社</w:t>
            </w:r>
          </w:p>
        </w:tc>
        <w:tc>
          <w:tcPr>
            <w:tcW w:w="886" w:type="dxa"/>
            <w:vAlign w:val="center"/>
          </w:tcPr>
          <w:p>
            <w:pPr>
              <w:snapToGrid w:val="0"/>
              <w:spacing w:line="360" w:lineRule="auto"/>
              <w:jc w:val="left"/>
              <w:textAlignment w:val="baseline"/>
              <w:rPr>
                <w:rFonts w:ascii="宋体" w:hAnsi="宋体" w:eastAsia="宋体"/>
                <w:bCs/>
                <w:sz w:val="20"/>
                <w:szCs w:val="20"/>
              </w:rPr>
            </w:pPr>
            <w:r>
              <w:rPr>
                <w:rFonts w:ascii="宋体" w:hAnsi="宋体" w:eastAsia="宋体"/>
                <w:bCs/>
                <w:sz w:val="20"/>
                <w:szCs w:val="20"/>
              </w:rPr>
              <w:t>丰都县建磊石材有限公司</w:t>
            </w:r>
          </w:p>
        </w:tc>
        <w:tc>
          <w:tcPr>
            <w:tcW w:w="1275" w:type="dxa"/>
            <w:vAlign w:val="center"/>
          </w:tcPr>
          <w:p>
            <w:pPr>
              <w:snapToGrid w:val="0"/>
              <w:spacing w:line="360" w:lineRule="auto"/>
              <w:jc w:val="left"/>
              <w:textAlignment w:val="baseline"/>
              <w:rPr>
                <w:rFonts w:ascii="宋体" w:hAnsi="宋体" w:eastAsia="宋体"/>
                <w:bCs/>
                <w:sz w:val="20"/>
                <w:szCs w:val="20"/>
              </w:rPr>
            </w:pPr>
            <w:r>
              <w:rPr>
                <w:rFonts w:ascii="宋体" w:hAnsi="宋体" w:eastAsia="宋体"/>
                <w:bCs/>
                <w:sz w:val="20"/>
                <w:szCs w:val="20"/>
              </w:rPr>
              <w:t>重庆一可环保工程有限公司</w:t>
            </w:r>
          </w:p>
        </w:tc>
        <w:tc>
          <w:tcPr>
            <w:tcW w:w="2878" w:type="dxa"/>
            <w:vAlign w:val="center"/>
          </w:tcPr>
          <w:p>
            <w:pPr>
              <w:snapToGrid w:val="0"/>
              <w:spacing w:line="360" w:lineRule="auto"/>
              <w:jc w:val="left"/>
              <w:textAlignment w:val="baseline"/>
              <w:rPr>
                <w:rFonts w:ascii="宋体" w:hAnsi="宋体" w:eastAsia="宋体"/>
                <w:bCs/>
                <w:sz w:val="20"/>
                <w:szCs w:val="20"/>
              </w:rPr>
            </w:pPr>
            <w:r>
              <w:rPr>
                <w:rFonts w:ascii="宋体" w:hAnsi="宋体" w:eastAsia="宋体"/>
                <w:bCs/>
                <w:sz w:val="20"/>
                <w:szCs w:val="20"/>
              </w:rPr>
              <w:t>石板坡建材用砂岩矿山矿区面积由0.0309km</w:t>
            </w:r>
            <w:r>
              <w:rPr>
                <w:rFonts w:ascii="宋体" w:hAnsi="宋体" w:eastAsia="宋体"/>
                <w:bCs/>
                <w:sz w:val="20"/>
                <w:szCs w:val="20"/>
                <w:vertAlign w:val="superscript"/>
              </w:rPr>
              <w:t>2</w:t>
            </w:r>
            <w:r>
              <w:rPr>
                <w:rFonts w:ascii="宋体" w:hAnsi="宋体" w:eastAsia="宋体"/>
                <w:bCs/>
                <w:sz w:val="20"/>
                <w:szCs w:val="20"/>
              </w:rPr>
              <w:t>扩大至0.0736km</w:t>
            </w:r>
            <w:r>
              <w:rPr>
                <w:rFonts w:ascii="宋体" w:hAnsi="宋体" w:eastAsia="宋体"/>
                <w:bCs/>
                <w:sz w:val="20"/>
                <w:szCs w:val="20"/>
                <w:vertAlign w:val="superscript"/>
              </w:rPr>
              <w:t>2</w:t>
            </w:r>
            <w:r>
              <w:rPr>
                <w:rFonts w:ascii="宋体" w:hAnsi="宋体" w:eastAsia="宋体"/>
                <w:bCs/>
                <w:sz w:val="20"/>
                <w:szCs w:val="20"/>
              </w:rPr>
              <w:t>，开采深度由+575m~+525m 变为+585m～+480m ，开采矿种：建筑用砂岩，开采规模：5.0万m</w:t>
            </w:r>
            <w:r>
              <w:rPr>
                <w:rFonts w:ascii="宋体" w:hAnsi="宋体" w:eastAsia="宋体"/>
                <w:bCs/>
                <w:sz w:val="20"/>
                <w:szCs w:val="20"/>
                <w:vertAlign w:val="superscript"/>
              </w:rPr>
              <w:t>3</w:t>
            </w:r>
            <w:r>
              <w:rPr>
                <w:rFonts w:ascii="宋体" w:hAnsi="宋体" w:eastAsia="宋体"/>
                <w:bCs/>
                <w:sz w:val="20"/>
                <w:szCs w:val="20"/>
              </w:rPr>
              <w:t>/a（折合12.65万吨/年），开采方式：露天开采</w:t>
            </w:r>
            <w:r>
              <w:rPr>
                <w:rFonts w:hint="eastAsia" w:ascii="宋体" w:hAnsi="宋体" w:eastAsia="宋体"/>
                <w:bCs/>
                <w:sz w:val="20"/>
                <w:szCs w:val="20"/>
              </w:rPr>
              <w:t>，</w:t>
            </w:r>
            <w:r>
              <w:rPr>
                <w:rFonts w:ascii="宋体" w:hAnsi="宋体" w:eastAsia="宋体"/>
                <w:bCs/>
                <w:sz w:val="20"/>
                <w:szCs w:val="20"/>
              </w:rPr>
              <w:t>矿山服务年限</w:t>
            </w:r>
            <w:r>
              <w:rPr>
                <w:rFonts w:hint="eastAsia" w:ascii="宋体" w:hAnsi="宋体" w:eastAsia="宋体"/>
                <w:bCs/>
                <w:sz w:val="20"/>
                <w:szCs w:val="20"/>
              </w:rPr>
              <w:t>14.2年</w:t>
            </w:r>
            <w:r>
              <w:rPr>
                <w:rFonts w:ascii="宋体" w:hAnsi="宋体" w:eastAsia="宋体"/>
                <w:bCs/>
                <w:sz w:val="20"/>
                <w:szCs w:val="20"/>
              </w:rPr>
              <w:t>。</w:t>
            </w:r>
          </w:p>
        </w:tc>
        <w:tc>
          <w:tcPr>
            <w:tcW w:w="4777" w:type="dxa"/>
            <w:vAlign w:val="center"/>
          </w:tcPr>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（一）大气环境</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矿山运营期废气主要是采矿区粉尘、运输道路扬尘和工业广场加工粉尘。</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（1）开采区粉尘污染防治措施</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①采矿过程中切割机、绳锯机等采用湿式作业；</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②表土、废石铲装点设置雾炮机喷雾抑尘，少量逸散粉尘无组织排放。</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③矿山配备1台洒水车，定期对矿山道路洒水抑尘；</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④在工业广场出入口处设置1处车辆冲洗设施，减少道路扬尘排放；</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（2）运输道路粉尘污染防治措施</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①使用洒水车定期对采区内道路及场外运输道路进行洒水降尘。洒水次数及用水量根据天气情况和扬尘产生情况确定，减少风力扬尘和运输过程中扬尘的产生。</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②车辆冲洗平台对进出矿区的运输车辆进行冲洗。</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③矿区主要道路全部采用混凝土硬化。工业场地堆料场硬化。矿区道路采用洒水车洒水降尘。加强运输道路的维护保养，确保路况良好；加强运输车辆的管理，严禁超速超载。</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（3）工业广场粉尘污染防治措施</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①条石加工间除进出口外其余部分均采用轻钢墙体封闭，加工间各切割机均为湿式作业。</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②破碎筛分生产线各设备均置于封闭的彩钢棚厂房内。给料机进料口三面围挡并在上方设置喷雾除尘装置。在破碎机进料口、筛分机上方设置集气罩对粉尘进行收集后采用1套布袋除尘器处理达标后，由15m高排气筒（内径0.3m）排放。</w:t>
            </w:r>
          </w:p>
          <w:p>
            <w:pPr>
              <w:snapToGrid w:val="0"/>
              <w:spacing w:line="360" w:lineRule="auto"/>
              <w:jc w:val="left"/>
              <w:textAlignment w:val="baseline"/>
              <w:rPr>
                <w:rFonts w:ascii="宋体" w:hAnsi="宋体" w:eastAsia="宋体"/>
                <w:bCs/>
                <w:sz w:val="20"/>
                <w:szCs w:val="20"/>
              </w:rPr>
            </w:pPr>
            <w:r>
              <w:rPr>
                <w:rFonts w:ascii="宋体" w:hAnsi="宋体" w:eastAsia="宋体"/>
                <w:bCs/>
                <w:sz w:val="20"/>
                <w:szCs w:val="20"/>
              </w:rPr>
              <w:t>采取以上措施后，项目主要污染物TSP、PM</w:t>
            </w:r>
            <w:r>
              <w:rPr>
                <w:rFonts w:ascii="宋体" w:hAnsi="宋体" w:eastAsia="宋体"/>
                <w:bCs/>
                <w:sz w:val="20"/>
                <w:szCs w:val="20"/>
                <w:vertAlign w:val="subscript"/>
              </w:rPr>
              <w:t>10</w:t>
            </w:r>
            <w:r>
              <w:rPr>
                <w:rFonts w:ascii="宋体" w:hAnsi="宋体" w:eastAsia="宋体"/>
                <w:bCs/>
                <w:sz w:val="20"/>
                <w:szCs w:val="20"/>
              </w:rPr>
              <w:t>的短期浓度贡献值的最大浓度占标率均≤100%，年均浓度贡献值的最大浓度占标率均≤30%，各预测点和环境空气保护目标均满足《环境空气质量标准》（GB3095-2012）二级标准，项目运行对区域大气环境的影响较小，大气环境影响可接受。</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（二）水环境</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矿山运营期废水主要为生产废水、初期雨污水和生活污水。</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（1）生产废水</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本项目生产废水主要为矿体切割废水、工业广场条石切割加工废水和车辆清洗废水，全部经沉淀处理后回用不外排。在矿区北侧建设一座生产废水处理系统，采用“沉淀池+污泥压榨脱水+清水池”的处理工艺，设计规模1200m3/d。矿体切割废水经作业面临时排水沟汇集至矿区外围的截排水沟，自流进入矿区北侧的生产废水处理系统；条石切割加工废水通过车间内排水沟收集后进入车间南部的120m3初沉池进行预处理，然后将上清液通过管道排入矿山生产废水处理系统；车辆清洗废水通过矿区外围的截排水沟，自流进入矿区北侧的生产废水处理系统。所有生产废水经矿山生产废水处理系统处理后，由水泵提升至高位水池，全部回用于生产，不外排。不会对区域地表水水质产生不利影响。</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（2）雨污水</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设计在原矿山排水沟的基础上建设完善的新矿区外围截排水系统，末端接入矿山生产废水处理系统的沉淀池。排水沟用于收集工业广场雨水、+510m水平以上开采区作业面废水和产生的雨污水，生产废水和雨污水经沉淀池处理后回用，不外排。待开采至+510m水平以下时，开采作业面的雨水经过开采平台新建的截水沟收集至采坑内西北侧的300m3收集沉淀池，经水泵抽至矿山生产废水处理系统进行处理后回用不外排。矿山扩建后的废水处理设施满足处理最大生产废水量和雨污水量的要求，可确保矿山污废水经处理后全部回用不外排。</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（3）生活污水</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本项目生活污水经化粪池处理后用于矿区绿化施肥和周边农田施肥，不外排。</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综上所述，本项目生产废水、雨污水和生活污水均不外排，对地表水环境影响很小。矿山运行期应加强生产废水处理系统的管理和矿区截排水系统的巡查，避免出现废水事故排放。严格按照设计进行开采，规范布置开采作业面，在开采+510m水平以下矿体时，应优先做好开采平台的生产废水的收集沟及输送设施，本项目运行对苦竹沟水库饮用水水源保护区的影响很小。</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（三）声环境</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矿山运营期夜间不生产，昼间矿山东厂界可满足《工业企业厂界环境噪声排放标准》（GB12348-2008）中的2类标准要求，在靠近北侧、西侧和南侧矿界70m范围内开采时，将导致厂界噪声出现超标，矿山应合理布置开采区，在靠近边界开采时，避免多台高噪声设备同时运行，减少矿山开采噪声的影响。矿山完成本次改扩建后，工业广场各厂界噪声昼间均能够满足《工业企业厂界环境噪声排放标准》（GB12348-2008）中2类标准要求。各声环境敏感点昼间、夜间噪声均满足《声环境质量标准》（GB3096-2008）2类标准要求，本项目运行噪声对周围敏感点的影响较小。</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主要采取以下噪声防治设施：</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①在满足生产需要的前提下，尽量选用噪声低、振动小、能耗低的开采设备，通过合理布局固定设备、使用低噪声设备等方式，条石加工和碎石生产设备采取隔声、减振等噪声污染防治措施，减缓噪声、振动对周边敏感点的影响。</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②定期对机械进行维护保养，避免产生异常噪声；产品运输作业安排在白天进行，车辆经过声环境敏感点时应限速、禁鸣。</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③矿山运行期应合理布置开采区，在靠近边界开采时，避免多台高噪声设备同时运行。</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④严格落实矿区生产工作制度，上午工作时段为8:00~12:00，下午工作时段为14:00~18:00，每日8小时工作制，夜间（22:00~次日6:00）严格禁止生产加工，采矿作业尽量避开周围居民的休息时段。</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⑤加强工业广场及矿区周边的绿化，利用植被林木的散射、吸声、隔声作用，降低作业噪声对环境的影响。</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（四）固体废物</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（1）剥离的表土和废石料</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施工期和运营期剥离的表土暂存于矿区东侧2个表土临时堆场，用于矿山安全平台复绿和开采区复垦使用，废石料可利用部分运往矿山的废料碎石加工车间，加工成碎石后作为产品外售，少量不可利用部分用于采空区回填。</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（2）生活垃圾</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项目在采区、办公生活区分别设置若干垃圾桶对员工生活垃圾进行集中收集，定期交由当地的环卫部门统一处置。</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（3）沉淀池底泥及滤饼</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沉淀池底泥及压滤泥饼定期清理运至采空区平台回填利用。</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（4）危险废物</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本项目危险废物主要为废机油、废油桶、废含油抹布手套等，本项目设1处危废暂存间，面积约5m2，危废暂存间严格按照《危险废物贮存污染控制标准》（GB18597-2023）和《危险废物收集贮存运输技术规范》（HJ2025-2012）的要求设置，采取防风、防晒、防雨、防漏、防渗、防腐等“六防”措施，张贴相应标识标牌，定期交有资质的危废处置单位进行处置。</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本项目产生的固废均得到合理处置和有效利用。</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（五）生态环境</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（1）陆生植物保护措施</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①采取先剥后采措施，保护表面耕作层土壤的天然种子库，表层覆土采用剥离下来的表土，有助于恢复矿山原貌植被。</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②尽量采取移栽矿山地表附着植被而非直接砍伐毁坏方式，利于当地植物资源的保护。加强采矿人员管理，禁止随意破坏植被，保护矿区附近的天然林。</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③项目矿区开采期间采取边开采边生态恢复植被措施，尽量实现上一台阶开采完毕即开采下一台阶的绿化复垦工作，最大程度减少开采期间对周边生态的影响。</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④按照生态学原理，选择地方特色的乡土植物，有效防止外来生物入侵；遵循植被演化规律，在绿化的基础上进行环境美化。根据自然地理环境的特点和植物的生态适应性及自然演替规律，增加多种林木成分。</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⑤严格在采矿许可证划定矿区范围内进行砂岩矿采矿活动，严禁越界开采。</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⑥加强项目区四周的栽树、种草绿化工程，既可美化矿山环境，也可吸尘降噪、减缓矿山开采和矿石加工对外环境的影响。</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⑦开采活动结束后，必须对地面构筑物进行全面清理，并对迹地范围进行复垦绿化，使其与周边环境相协调。</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（2）陆生动物保护措施</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①加强矿山职工思想教育，提高生产人员的野生动物保护意识，在矿山宣传栏张贴乌梢蛇等保护动物的识别图片，严禁捕猎野生动物。</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②加强生产管理，减少污染物排放，对野生动物进行保护性驱离，发现受伤的重点保护动物及时救助并报告林业部门。</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③矿山植被采用“草+灌木+乔木”结合的立体绿化方式，为动物提供更多的栖息场所。</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（3）永久基本农田保护措施</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①开采矿区北侧和西侧边界处的矿体时，应严格控制开采边界，严格按设计的边坡角进行开采，确保边坡稳定，在矿区与永久基本农田之间做好拦挡措施，避免开采过程中对临近的永久基本农田造成破坏。</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②加强生产管理，严禁临时占用永久基本农田。</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③严格按本次评价采取封闭、洒水等防尘措施，避免矿山生产扬尘对永久基本农田土壤质量造成影响。</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（4）对天然林的保护措施</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矿山在开采过程中应严格控制开采边界，严格按设计的边坡角进行开采，确保边坡稳定，避免开采过程中对邻近的天然林造成破坏。建设单位应加强人员和用火管理，避免发生火灾，禁止随意破坏天然林。</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（5）水土流失防治</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建设单位应严格按照《丰都县建磊石材有限公司石板坡砂岩矿开采项目水土保持方案报告书》实施水土保持措施并开展水土保持监测，减少项目运营期间的水土流失。</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因此，矿山开采不会导致评价区生态系统结构和功能发生明显变化，对区域生态系统的稳定性影响不大</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（六）环境风险</w:t>
            </w:r>
          </w:p>
          <w:p>
            <w:pPr>
              <w:snapToGrid w:val="0"/>
              <w:spacing w:line="360" w:lineRule="auto"/>
              <w:jc w:val="left"/>
              <w:textAlignment w:val="baseline"/>
              <w:rPr>
                <w:rFonts w:ascii="宋体" w:hAnsi="宋体" w:eastAsia="宋体"/>
                <w:bCs/>
                <w:sz w:val="20"/>
                <w:szCs w:val="20"/>
              </w:rPr>
            </w:pPr>
            <w:bookmarkStart w:id="0" w:name="_Hlk510976177"/>
            <w:r>
              <w:rPr>
                <w:rFonts w:ascii="宋体" w:hAnsi="宋体" w:eastAsia="宋体"/>
                <w:bCs/>
                <w:sz w:val="20"/>
                <w:szCs w:val="20"/>
              </w:rPr>
              <w:t>本项目不涉及重大危险源，通过采取风险防范措施，风险事故发生的</w:t>
            </w:r>
            <w:r>
              <w:rPr>
                <w:rFonts w:hint="eastAsia" w:ascii="宋体" w:hAnsi="宋体" w:eastAsia="宋体"/>
                <w:bCs/>
                <w:sz w:val="20"/>
                <w:szCs w:val="20"/>
              </w:rPr>
              <w:t>几率</w:t>
            </w:r>
            <w:r>
              <w:rPr>
                <w:rFonts w:ascii="宋体" w:hAnsi="宋体" w:eastAsia="宋体"/>
                <w:bCs/>
                <w:sz w:val="20"/>
                <w:szCs w:val="20"/>
              </w:rPr>
              <w:t>较低，本项目的环境风险是可以接受的。</w:t>
            </w:r>
            <w:bookmarkEnd w:id="0"/>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1）建设单位应严格按照《危险废物贮存污染控制标准》（GB18597-2023）要求，设置规范化的危险废物暂存间，采取防风、防晒、防雨、防漏、防渗、防腐等“六防”措施。危险废物暂存间设置危险废物警示标志和标识标牌，由专人进行管理，做好危险废物产生及处置记录。</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（2）废机油采用专用收集容器暂存于危险废物暂存间，废机油存放区周围应修建有效容积不低于0.5m3的围堰，设备间机油存放区应修建有效容积不低于0.3m3的围堰。</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（3）危险废物暂存间、设备间和备用油料间应进行重点防渗，防渗性能应与6.0m厚黏土防渗层(渗透系数1.0×10-7cm/s）等效。</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（4）备用油料间内储存的柴油桶采用架空基础，并设置有效容积不低于0.4m3的围堰。</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5）加强对矿山各使用柴油机械及车辆的维护保养，如定期检查车辆上的柴油系统，包括管道、连接件和密封件，确保其完好无损，检查油底壳放油塞是否拧紧或松动脱落，防止机油流失和机器损坏，检查并更换老化的油封等，避免出现跑、冒、滴、漏。</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（6）建设单位应建立废水收集、回用系统的定期巡查制度，在汛期加强对截排水沟的检查频率，确保截排水沟的正常运行，加强对矿山废水处理系统的管理，避免污废水的事故排放。</w:t>
            </w: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（9）至本矿山的运油车和危废运输车辆应绕避水源保护区。</w:t>
            </w:r>
          </w:p>
        </w:tc>
        <w:tc>
          <w:tcPr>
            <w:tcW w:w="709" w:type="dxa"/>
            <w:vAlign w:val="center"/>
          </w:tcPr>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县发展改革委备案</w:t>
            </w:r>
          </w:p>
        </w:tc>
        <w:tc>
          <w:tcPr>
            <w:tcW w:w="1176" w:type="dxa"/>
            <w:vAlign w:val="center"/>
          </w:tcPr>
          <w:p>
            <w:pPr>
              <w:snapToGrid w:val="0"/>
              <w:spacing w:line="360" w:lineRule="auto"/>
              <w:jc w:val="center"/>
              <w:textAlignment w:val="baseline"/>
              <w:rPr>
                <w:rFonts w:ascii="宋体" w:hAnsi="宋体" w:eastAsia="宋体"/>
                <w:bCs/>
                <w:sz w:val="20"/>
                <w:szCs w:val="20"/>
              </w:rPr>
            </w:pPr>
            <w:r>
              <w:rPr>
                <w:rFonts w:ascii="宋体" w:hAnsi="宋体" w:eastAsia="宋体"/>
                <w:bCs/>
                <w:sz w:val="20"/>
                <w:szCs w:val="20"/>
              </w:rPr>
              <w:t>已按要求开展公众参与，项目公示期间未收到信函、传真、电子邮件或电话等方式反映与本项目环境影响有关的意见和建议</w:t>
            </w:r>
          </w:p>
        </w:tc>
      </w:tr>
    </w:tbl>
    <w:p>
      <w:pPr>
        <w:snapToGrid w:val="0"/>
        <w:spacing w:line="360" w:lineRule="auto"/>
        <w:jc w:val="left"/>
        <w:textAlignment w:val="baseline"/>
        <w:rPr>
          <w:rFonts w:ascii="宋体" w:hAnsi="宋体" w:eastAsia="宋体"/>
          <w:bCs/>
          <w:sz w:val="20"/>
          <w:szCs w:val="20"/>
        </w:rPr>
      </w:pPr>
    </w:p>
    <w:sectPr>
      <w:headerReference r:id="rId3" w:type="default"/>
      <w:pgSz w:w="16838" w:h="11906" w:orient="landscape"/>
      <w:pgMar w:top="1797" w:right="1440" w:bottom="1797"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24517656">
    <w:nsid w:val="E9EB6318"/>
    <w:multiLevelType w:val="singleLevel"/>
    <w:tmpl w:val="E9EB6318"/>
    <w:lvl w:ilvl="0" w:tentative="1">
      <w:start w:val="1"/>
      <w:numFmt w:val="bullet"/>
      <w:pStyle w:val="6"/>
      <w:lvlText w:val=""/>
      <w:lvlJc w:val="left"/>
      <w:pPr>
        <w:tabs>
          <w:tab w:val="left" w:pos="1620"/>
        </w:tabs>
        <w:ind w:left="1620" w:hanging="360"/>
      </w:pPr>
      <w:rPr>
        <w:rFonts w:hint="default" w:ascii="Wingdings" w:hAnsi="Wingdings"/>
      </w:rPr>
    </w:lvl>
  </w:abstractNum>
  <w:abstractNum w:abstractNumId="165777474">
    <w:nsid w:val="09E19042"/>
    <w:multiLevelType w:val="singleLevel"/>
    <w:tmpl w:val="09E19042"/>
    <w:lvl w:ilvl="0" w:tentative="1">
      <w:start w:val="1"/>
      <w:numFmt w:val="bullet"/>
      <w:pStyle w:val="9"/>
      <w:lvlText w:val=""/>
      <w:lvlJc w:val="left"/>
      <w:pPr>
        <w:tabs>
          <w:tab w:val="left" w:pos="2040"/>
        </w:tabs>
        <w:ind w:left="2040" w:hanging="360"/>
      </w:pPr>
      <w:rPr>
        <w:rFonts w:hint="default" w:ascii="Wingdings" w:hAnsi="Wingdings"/>
      </w:rPr>
    </w:lvl>
  </w:abstractNum>
  <w:abstractNum w:abstractNumId="2637331676">
    <w:nsid w:val="9D327CDC"/>
    <w:multiLevelType w:val="multilevel"/>
    <w:tmpl w:val="9D327CDC"/>
    <w:lvl w:ilvl="0" w:tentative="1">
      <w:start w:val="1"/>
      <w:numFmt w:val="decimal"/>
      <w:lvlText w:val="%1."/>
      <w:lvlJc w:val="left"/>
      <w:pPr>
        <w:ind w:left="432" w:hanging="432"/>
      </w:pPr>
      <w:rPr>
        <w:rFonts w:hint="default"/>
      </w:rPr>
    </w:lvl>
    <w:lvl w:ilvl="1" w:tentative="1">
      <w:start w:val="1"/>
      <w:numFmt w:val="decimal"/>
      <w:lvlText w:val="%1.%2."/>
      <w:lvlJc w:val="left"/>
      <w:pPr>
        <w:ind w:left="575" w:hanging="575"/>
      </w:pPr>
      <w:rPr>
        <w:rFonts w:hint="default"/>
      </w:rPr>
    </w:lvl>
    <w:lvl w:ilvl="2" w:tentative="1">
      <w:start w:val="1"/>
      <w:numFmt w:val="decimal"/>
      <w:pStyle w:val="3"/>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1" w:hanging="1151"/>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3" w:hanging="1583"/>
      </w:pPr>
      <w:rPr>
        <w:rFonts w:hint="default"/>
      </w:rPr>
    </w:lvl>
  </w:abstractNum>
  <w:abstractNum w:abstractNumId="2382139896">
    <w:nsid w:val="8DFC91F8"/>
    <w:multiLevelType w:val="multilevel"/>
    <w:tmpl w:val="8DFC91F8"/>
    <w:lvl w:ilvl="0" w:tentative="1">
      <w:start w:val="1"/>
      <w:numFmt w:val="decimal"/>
      <w:lvlText w:val="%1."/>
      <w:legacy w:legacy="1" w:legacySpace="0" w:legacyIndent="0"/>
      <w:lvlJc w:val="left"/>
      <w:pPr>
        <w:ind w:left="0" w:firstLine="0"/>
      </w:pPr>
    </w:lvl>
    <w:lvl w:ilvl="1" w:tentative="1">
      <w:start w:val="1"/>
      <w:numFmt w:val="decimal"/>
      <w:pStyle w:val="2"/>
      <w:lvlText w:val="%1.%2"/>
      <w:legacy w:legacy="1" w:legacySpace="0" w:legacyIndent="0"/>
      <w:lvlJc w:val="left"/>
      <w:pPr>
        <w:ind w:left="0" w:firstLine="0"/>
      </w:pPr>
    </w:lvl>
    <w:lvl w:ilvl="2" w:tentative="1">
      <w:start w:val="1"/>
      <w:numFmt w:val="decimal"/>
      <w:lvlText w:val="%1.%2.%3"/>
      <w:legacy w:legacy="1" w:legacySpace="0" w:legacyIndent="0"/>
      <w:lvlJc w:val="left"/>
      <w:pPr>
        <w:ind w:left="0" w:firstLine="0"/>
      </w:pPr>
    </w:lvl>
    <w:lvl w:ilvl="3" w:tentative="1">
      <w:start w:val="1"/>
      <w:numFmt w:val="decimal"/>
      <w:lvlText w:val="%1.%2.%3.%4"/>
      <w:legacy w:legacy="1" w:legacySpace="0" w:legacyIndent="0"/>
      <w:lvlJc w:val="left"/>
      <w:pPr>
        <w:ind w:left="0" w:firstLine="0"/>
      </w:pPr>
    </w:lvl>
    <w:lvl w:ilvl="4" w:tentative="1">
      <w:start w:val="1"/>
      <w:numFmt w:val="decimal"/>
      <w:lvlText w:val="%1.%2.%3.%4.%5"/>
      <w:legacy w:legacy="1" w:legacySpace="0" w:legacyIndent="0"/>
      <w:lvlJc w:val="left"/>
      <w:pPr>
        <w:ind w:left="0" w:firstLine="0"/>
      </w:pPr>
    </w:lvl>
    <w:lvl w:ilvl="5" w:tentative="1">
      <w:start w:val="1"/>
      <w:numFmt w:val="decimal"/>
      <w:lvlText w:val="%1.%2.%3.%4.%5.%6"/>
      <w:legacy w:legacy="1" w:legacySpace="0" w:legacyIndent="0"/>
      <w:lvlJc w:val="left"/>
      <w:pPr>
        <w:ind w:left="0" w:firstLine="0"/>
      </w:pPr>
    </w:lvl>
    <w:lvl w:ilvl="6" w:tentative="1">
      <w:start w:val="1"/>
      <w:numFmt w:val="decimal"/>
      <w:lvlText w:val="%1.%2.%3.%4.%5.%6.%7"/>
      <w:legacy w:legacy="1" w:legacySpace="0" w:legacyIndent="0"/>
      <w:lvlJc w:val="left"/>
      <w:pPr>
        <w:ind w:left="0" w:firstLine="0"/>
      </w:pPr>
    </w:lvl>
    <w:lvl w:ilvl="7" w:tentative="1">
      <w:start w:val="1"/>
      <w:numFmt w:val="decimal"/>
      <w:lvlText w:val="%1.%2.%3.%4.%5.%6.%7.%8"/>
      <w:legacy w:legacy="1" w:legacySpace="0" w:legacyIndent="0"/>
      <w:lvlJc w:val="left"/>
      <w:pPr>
        <w:ind w:left="0" w:firstLine="0"/>
      </w:pPr>
    </w:lvl>
    <w:lvl w:ilvl="8" w:tentative="1">
      <w:start w:val="1"/>
      <w:numFmt w:val="decimal"/>
      <w:lvlText w:val="%1.%2.%3.%4.%5.%6.%7.%8.%9"/>
      <w:legacy w:legacy="1" w:legacySpace="0" w:legacyIndent="0"/>
      <w:lvlJc w:val="left"/>
      <w:pPr>
        <w:ind w:left="0" w:firstLine="0"/>
      </w:pPr>
    </w:lvl>
  </w:abstractNum>
  <w:num w:numId="1">
    <w:abstractNumId w:val="2382139896"/>
  </w:num>
  <w:num w:numId="2">
    <w:abstractNumId w:val="2637331676"/>
  </w:num>
  <w:num w:numId="3">
    <w:abstractNumId w:val="3924517656"/>
  </w:num>
  <w:num w:numId="4">
    <w:abstractNumId w:val="1657774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HorizontalSpacing w:val="160"/>
  <w:drawingGridVerticalSpacing w:val="156"/>
  <w:noPunctuationKerning w:val="1"/>
  <w:characterSpacingControl w:val="compressPunctuation"/>
  <w:doNotValidateAgainstSchema/>
  <w:doNotDemarcateInvalidXml/>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 w:name="KSO_WPS_MARK_KEY" w:val="eafa40a7-47a0-41b9-8266-276fb260fddd"/>
  </w:docVars>
  <w:rsids>
    <w:rsidRoot w:val="5F6E3699"/>
    <w:rsid w:val="00001BE4"/>
    <w:rsid w:val="00021FCD"/>
    <w:rsid w:val="00034299"/>
    <w:rsid w:val="00057BA8"/>
    <w:rsid w:val="00066E78"/>
    <w:rsid w:val="00082C4E"/>
    <w:rsid w:val="00087864"/>
    <w:rsid w:val="00095F5A"/>
    <w:rsid w:val="000A4D43"/>
    <w:rsid w:val="000C3FCC"/>
    <w:rsid w:val="000F2FC2"/>
    <w:rsid w:val="000F7FEF"/>
    <w:rsid w:val="0010151F"/>
    <w:rsid w:val="00146ACC"/>
    <w:rsid w:val="00183484"/>
    <w:rsid w:val="001868A2"/>
    <w:rsid w:val="001A05AC"/>
    <w:rsid w:val="001A2156"/>
    <w:rsid w:val="001B5B59"/>
    <w:rsid w:val="001C6D42"/>
    <w:rsid w:val="001D15DF"/>
    <w:rsid w:val="00201839"/>
    <w:rsid w:val="0022574A"/>
    <w:rsid w:val="002354D9"/>
    <w:rsid w:val="00251D92"/>
    <w:rsid w:val="00256F02"/>
    <w:rsid w:val="00277DB6"/>
    <w:rsid w:val="00290FD4"/>
    <w:rsid w:val="002A497E"/>
    <w:rsid w:val="002A7412"/>
    <w:rsid w:val="002B5B56"/>
    <w:rsid w:val="002C429B"/>
    <w:rsid w:val="002D6826"/>
    <w:rsid w:val="002F2CA8"/>
    <w:rsid w:val="003034D0"/>
    <w:rsid w:val="0031378D"/>
    <w:rsid w:val="00332D6F"/>
    <w:rsid w:val="00354BA7"/>
    <w:rsid w:val="00376C3C"/>
    <w:rsid w:val="0038048B"/>
    <w:rsid w:val="00380FFD"/>
    <w:rsid w:val="003A2586"/>
    <w:rsid w:val="003A43FC"/>
    <w:rsid w:val="003C1B65"/>
    <w:rsid w:val="003C52FB"/>
    <w:rsid w:val="003C6C32"/>
    <w:rsid w:val="003E7589"/>
    <w:rsid w:val="003E794F"/>
    <w:rsid w:val="004018A3"/>
    <w:rsid w:val="004018E3"/>
    <w:rsid w:val="004142CE"/>
    <w:rsid w:val="00435554"/>
    <w:rsid w:val="00464AE7"/>
    <w:rsid w:val="00467BD7"/>
    <w:rsid w:val="004A231D"/>
    <w:rsid w:val="004B71D3"/>
    <w:rsid w:val="004C0C1B"/>
    <w:rsid w:val="004C3CCF"/>
    <w:rsid w:val="004C4A42"/>
    <w:rsid w:val="004C5F83"/>
    <w:rsid w:val="004C6560"/>
    <w:rsid w:val="004C6CD1"/>
    <w:rsid w:val="004D0F05"/>
    <w:rsid w:val="004E67F7"/>
    <w:rsid w:val="004F7C25"/>
    <w:rsid w:val="00504E8C"/>
    <w:rsid w:val="005147A1"/>
    <w:rsid w:val="00531283"/>
    <w:rsid w:val="005348F9"/>
    <w:rsid w:val="00536C97"/>
    <w:rsid w:val="00543D96"/>
    <w:rsid w:val="00564CA6"/>
    <w:rsid w:val="00565169"/>
    <w:rsid w:val="00585895"/>
    <w:rsid w:val="0059709A"/>
    <w:rsid w:val="005A2B9F"/>
    <w:rsid w:val="005A63D9"/>
    <w:rsid w:val="005C5AB2"/>
    <w:rsid w:val="005D08BB"/>
    <w:rsid w:val="005D131B"/>
    <w:rsid w:val="005F1A2D"/>
    <w:rsid w:val="00656230"/>
    <w:rsid w:val="00693C21"/>
    <w:rsid w:val="00696DBB"/>
    <w:rsid w:val="00697494"/>
    <w:rsid w:val="006A4E5A"/>
    <w:rsid w:val="006B0FA2"/>
    <w:rsid w:val="006B24DE"/>
    <w:rsid w:val="006C1446"/>
    <w:rsid w:val="006D7778"/>
    <w:rsid w:val="006E3357"/>
    <w:rsid w:val="006E51E8"/>
    <w:rsid w:val="0071088D"/>
    <w:rsid w:val="0071429A"/>
    <w:rsid w:val="00743F32"/>
    <w:rsid w:val="00756B37"/>
    <w:rsid w:val="00773473"/>
    <w:rsid w:val="007956FE"/>
    <w:rsid w:val="007D6237"/>
    <w:rsid w:val="007E716B"/>
    <w:rsid w:val="00800E38"/>
    <w:rsid w:val="0082634D"/>
    <w:rsid w:val="00834218"/>
    <w:rsid w:val="008524B8"/>
    <w:rsid w:val="00873E71"/>
    <w:rsid w:val="00884768"/>
    <w:rsid w:val="008A17EC"/>
    <w:rsid w:val="008C1FB4"/>
    <w:rsid w:val="008C2B2B"/>
    <w:rsid w:val="008D048E"/>
    <w:rsid w:val="00907088"/>
    <w:rsid w:val="0094286A"/>
    <w:rsid w:val="0095025B"/>
    <w:rsid w:val="00962DD0"/>
    <w:rsid w:val="009808D3"/>
    <w:rsid w:val="00981C42"/>
    <w:rsid w:val="009832D6"/>
    <w:rsid w:val="00985AD6"/>
    <w:rsid w:val="00996DD0"/>
    <w:rsid w:val="009B774B"/>
    <w:rsid w:val="00A01515"/>
    <w:rsid w:val="00A21461"/>
    <w:rsid w:val="00A400B5"/>
    <w:rsid w:val="00A54C16"/>
    <w:rsid w:val="00A57509"/>
    <w:rsid w:val="00A655A8"/>
    <w:rsid w:val="00A96831"/>
    <w:rsid w:val="00AA021A"/>
    <w:rsid w:val="00AC43A5"/>
    <w:rsid w:val="00AC57FA"/>
    <w:rsid w:val="00B02411"/>
    <w:rsid w:val="00B116DE"/>
    <w:rsid w:val="00B22266"/>
    <w:rsid w:val="00B23A48"/>
    <w:rsid w:val="00B24EF7"/>
    <w:rsid w:val="00B331B6"/>
    <w:rsid w:val="00B55C45"/>
    <w:rsid w:val="00B87E08"/>
    <w:rsid w:val="00BB0933"/>
    <w:rsid w:val="00BB562F"/>
    <w:rsid w:val="00BD4C01"/>
    <w:rsid w:val="00BD5E0B"/>
    <w:rsid w:val="00C1532D"/>
    <w:rsid w:val="00C26CDD"/>
    <w:rsid w:val="00C31D10"/>
    <w:rsid w:val="00C4412D"/>
    <w:rsid w:val="00C62BD4"/>
    <w:rsid w:val="00C6753A"/>
    <w:rsid w:val="00C76E42"/>
    <w:rsid w:val="00CA29C0"/>
    <w:rsid w:val="00CB16FA"/>
    <w:rsid w:val="00D01A74"/>
    <w:rsid w:val="00D0724A"/>
    <w:rsid w:val="00D2699C"/>
    <w:rsid w:val="00D6142C"/>
    <w:rsid w:val="00D7610E"/>
    <w:rsid w:val="00D84EB0"/>
    <w:rsid w:val="00D94602"/>
    <w:rsid w:val="00DB7CC4"/>
    <w:rsid w:val="00DD207D"/>
    <w:rsid w:val="00DE594F"/>
    <w:rsid w:val="00E00E85"/>
    <w:rsid w:val="00E16326"/>
    <w:rsid w:val="00E26936"/>
    <w:rsid w:val="00E301AE"/>
    <w:rsid w:val="00E502C0"/>
    <w:rsid w:val="00E6278C"/>
    <w:rsid w:val="00EA0850"/>
    <w:rsid w:val="00EA57EF"/>
    <w:rsid w:val="00EE2D4F"/>
    <w:rsid w:val="00EF3A57"/>
    <w:rsid w:val="00F104C4"/>
    <w:rsid w:val="00F2541B"/>
    <w:rsid w:val="00F4798B"/>
    <w:rsid w:val="00F5560D"/>
    <w:rsid w:val="00F56E93"/>
    <w:rsid w:val="00F60DD8"/>
    <w:rsid w:val="00F6319A"/>
    <w:rsid w:val="00F77BB0"/>
    <w:rsid w:val="00F840CE"/>
    <w:rsid w:val="00F84146"/>
    <w:rsid w:val="00F97626"/>
    <w:rsid w:val="00FB7450"/>
    <w:rsid w:val="00FF1E19"/>
    <w:rsid w:val="00FF6254"/>
    <w:rsid w:val="023915F5"/>
    <w:rsid w:val="02E82D4B"/>
    <w:rsid w:val="03F92894"/>
    <w:rsid w:val="048219E6"/>
    <w:rsid w:val="04903542"/>
    <w:rsid w:val="06085010"/>
    <w:rsid w:val="060D2D39"/>
    <w:rsid w:val="069732DA"/>
    <w:rsid w:val="07133C6D"/>
    <w:rsid w:val="0793576B"/>
    <w:rsid w:val="0854278F"/>
    <w:rsid w:val="08856DEC"/>
    <w:rsid w:val="08AC6127"/>
    <w:rsid w:val="08E35950"/>
    <w:rsid w:val="09412D13"/>
    <w:rsid w:val="096C66BD"/>
    <w:rsid w:val="09B2776D"/>
    <w:rsid w:val="0B7A250D"/>
    <w:rsid w:val="0BA37CB5"/>
    <w:rsid w:val="0BC5640F"/>
    <w:rsid w:val="0C120997"/>
    <w:rsid w:val="0DF77E44"/>
    <w:rsid w:val="0E371CC6"/>
    <w:rsid w:val="0F135152"/>
    <w:rsid w:val="0F4970AB"/>
    <w:rsid w:val="100D7DF3"/>
    <w:rsid w:val="11357601"/>
    <w:rsid w:val="113D3C20"/>
    <w:rsid w:val="116E48C1"/>
    <w:rsid w:val="11B20C52"/>
    <w:rsid w:val="11F36B75"/>
    <w:rsid w:val="12347254"/>
    <w:rsid w:val="12543AB7"/>
    <w:rsid w:val="132A02CD"/>
    <w:rsid w:val="13533D6F"/>
    <w:rsid w:val="13AC7923"/>
    <w:rsid w:val="140D6614"/>
    <w:rsid w:val="14537D9F"/>
    <w:rsid w:val="14E05AD6"/>
    <w:rsid w:val="15A03D06"/>
    <w:rsid w:val="16A81373"/>
    <w:rsid w:val="17920BDE"/>
    <w:rsid w:val="17D270F3"/>
    <w:rsid w:val="18D23988"/>
    <w:rsid w:val="18DF42F7"/>
    <w:rsid w:val="191044B0"/>
    <w:rsid w:val="193543EB"/>
    <w:rsid w:val="19F3005A"/>
    <w:rsid w:val="1A310B82"/>
    <w:rsid w:val="1A9133CF"/>
    <w:rsid w:val="1AF44089"/>
    <w:rsid w:val="1AFB1FF4"/>
    <w:rsid w:val="1B662AAD"/>
    <w:rsid w:val="1B7C0CCC"/>
    <w:rsid w:val="1C060A87"/>
    <w:rsid w:val="1CE93797"/>
    <w:rsid w:val="1E0F6C5F"/>
    <w:rsid w:val="1E5A4604"/>
    <w:rsid w:val="1EFF124F"/>
    <w:rsid w:val="1F2760B0"/>
    <w:rsid w:val="1F947BE9"/>
    <w:rsid w:val="20635A0A"/>
    <w:rsid w:val="20B82E79"/>
    <w:rsid w:val="21D80261"/>
    <w:rsid w:val="22552F34"/>
    <w:rsid w:val="22A30143"/>
    <w:rsid w:val="235723EB"/>
    <w:rsid w:val="236C49D9"/>
    <w:rsid w:val="23F21382"/>
    <w:rsid w:val="24AD7057"/>
    <w:rsid w:val="277D5407"/>
    <w:rsid w:val="27BD5803"/>
    <w:rsid w:val="28041684"/>
    <w:rsid w:val="286A0797"/>
    <w:rsid w:val="287B7B98"/>
    <w:rsid w:val="28904CC6"/>
    <w:rsid w:val="2923105E"/>
    <w:rsid w:val="296E14AB"/>
    <w:rsid w:val="29982084"/>
    <w:rsid w:val="29B8764E"/>
    <w:rsid w:val="29C15A7E"/>
    <w:rsid w:val="29E518D5"/>
    <w:rsid w:val="2A0E2346"/>
    <w:rsid w:val="2A7C7BF7"/>
    <w:rsid w:val="2A7F4FF2"/>
    <w:rsid w:val="2AC41E55"/>
    <w:rsid w:val="2ADC28C5"/>
    <w:rsid w:val="2B4C03A6"/>
    <w:rsid w:val="2BA33DE7"/>
    <w:rsid w:val="2BCC0C4F"/>
    <w:rsid w:val="2D0A14EA"/>
    <w:rsid w:val="2E024318"/>
    <w:rsid w:val="2E093A48"/>
    <w:rsid w:val="2E182852"/>
    <w:rsid w:val="2FCB3525"/>
    <w:rsid w:val="306C3DFF"/>
    <w:rsid w:val="311D7742"/>
    <w:rsid w:val="31A04D91"/>
    <w:rsid w:val="32A25D21"/>
    <w:rsid w:val="3498562E"/>
    <w:rsid w:val="349D6F8E"/>
    <w:rsid w:val="34AC732B"/>
    <w:rsid w:val="34E67F69"/>
    <w:rsid w:val="35B20699"/>
    <w:rsid w:val="35BC359E"/>
    <w:rsid w:val="37E312B6"/>
    <w:rsid w:val="38511E58"/>
    <w:rsid w:val="39292CF8"/>
    <w:rsid w:val="39E906DA"/>
    <w:rsid w:val="3AD038E2"/>
    <w:rsid w:val="3B083158"/>
    <w:rsid w:val="3B084B8F"/>
    <w:rsid w:val="3B8763FC"/>
    <w:rsid w:val="3B9916CA"/>
    <w:rsid w:val="3CD14CB5"/>
    <w:rsid w:val="3CDD2778"/>
    <w:rsid w:val="3D8250CD"/>
    <w:rsid w:val="3DD84CED"/>
    <w:rsid w:val="3E9A6446"/>
    <w:rsid w:val="3F611ED2"/>
    <w:rsid w:val="3F9837E6"/>
    <w:rsid w:val="40301872"/>
    <w:rsid w:val="40647E75"/>
    <w:rsid w:val="41907A0D"/>
    <w:rsid w:val="425D7EB7"/>
    <w:rsid w:val="42823479"/>
    <w:rsid w:val="42AE24C0"/>
    <w:rsid w:val="42B31885"/>
    <w:rsid w:val="43505326"/>
    <w:rsid w:val="44472BCC"/>
    <w:rsid w:val="448160DE"/>
    <w:rsid w:val="44B01DC4"/>
    <w:rsid w:val="44D64FC9"/>
    <w:rsid w:val="45DB35CC"/>
    <w:rsid w:val="46362EF9"/>
    <w:rsid w:val="46503FBA"/>
    <w:rsid w:val="46AF2A41"/>
    <w:rsid w:val="46E110B6"/>
    <w:rsid w:val="47571378"/>
    <w:rsid w:val="47835CCA"/>
    <w:rsid w:val="47975C19"/>
    <w:rsid w:val="480F755D"/>
    <w:rsid w:val="4901159C"/>
    <w:rsid w:val="49C53294"/>
    <w:rsid w:val="49F42EAF"/>
    <w:rsid w:val="4A1C41B3"/>
    <w:rsid w:val="4AA46683"/>
    <w:rsid w:val="4AC62A9D"/>
    <w:rsid w:val="4B215F25"/>
    <w:rsid w:val="4BC36D42"/>
    <w:rsid w:val="4C050469"/>
    <w:rsid w:val="4C3664E9"/>
    <w:rsid w:val="4CDF221D"/>
    <w:rsid w:val="4DE90850"/>
    <w:rsid w:val="4E4D0DDF"/>
    <w:rsid w:val="4EFB4CDF"/>
    <w:rsid w:val="4F3B11D6"/>
    <w:rsid w:val="4F806F93"/>
    <w:rsid w:val="501A2F43"/>
    <w:rsid w:val="50D57A1D"/>
    <w:rsid w:val="510A120A"/>
    <w:rsid w:val="51336575"/>
    <w:rsid w:val="51B03B5F"/>
    <w:rsid w:val="51B318A1"/>
    <w:rsid w:val="52D85640"/>
    <w:rsid w:val="55D571BC"/>
    <w:rsid w:val="56150435"/>
    <w:rsid w:val="568D26C1"/>
    <w:rsid w:val="577305F7"/>
    <w:rsid w:val="57D83E10"/>
    <w:rsid w:val="57D936E4"/>
    <w:rsid w:val="58051331"/>
    <w:rsid w:val="58127A9F"/>
    <w:rsid w:val="58F733B3"/>
    <w:rsid w:val="58FE08B7"/>
    <w:rsid w:val="59981AA8"/>
    <w:rsid w:val="59C75EEA"/>
    <w:rsid w:val="5B3752F1"/>
    <w:rsid w:val="5B922527"/>
    <w:rsid w:val="5D083439"/>
    <w:rsid w:val="5D4B5084"/>
    <w:rsid w:val="5D876E00"/>
    <w:rsid w:val="5DE352BC"/>
    <w:rsid w:val="5E59187D"/>
    <w:rsid w:val="5EA26F25"/>
    <w:rsid w:val="5EEF7D07"/>
    <w:rsid w:val="5F2711D9"/>
    <w:rsid w:val="5F6E3699"/>
    <w:rsid w:val="5FD90725"/>
    <w:rsid w:val="60E94998"/>
    <w:rsid w:val="61A43A98"/>
    <w:rsid w:val="627C183B"/>
    <w:rsid w:val="636335A8"/>
    <w:rsid w:val="63735C0C"/>
    <w:rsid w:val="63975554"/>
    <w:rsid w:val="64874BF3"/>
    <w:rsid w:val="651514F5"/>
    <w:rsid w:val="66357735"/>
    <w:rsid w:val="66D64615"/>
    <w:rsid w:val="67247F4C"/>
    <w:rsid w:val="686A205D"/>
    <w:rsid w:val="693C1432"/>
    <w:rsid w:val="69B46861"/>
    <w:rsid w:val="69CB332E"/>
    <w:rsid w:val="6B5B0B88"/>
    <w:rsid w:val="6D102A68"/>
    <w:rsid w:val="6E2862DA"/>
    <w:rsid w:val="6E4B4EE4"/>
    <w:rsid w:val="6EFF7A7C"/>
    <w:rsid w:val="70187047"/>
    <w:rsid w:val="70194B6E"/>
    <w:rsid w:val="70657DB3"/>
    <w:rsid w:val="72CB03A1"/>
    <w:rsid w:val="730554A4"/>
    <w:rsid w:val="735E7467"/>
    <w:rsid w:val="73875315"/>
    <w:rsid w:val="73B544C0"/>
    <w:rsid w:val="74AC1B7A"/>
    <w:rsid w:val="75834F63"/>
    <w:rsid w:val="76A012F9"/>
    <w:rsid w:val="76AC4382"/>
    <w:rsid w:val="7789082B"/>
    <w:rsid w:val="77CD049D"/>
    <w:rsid w:val="785D673F"/>
    <w:rsid w:val="78882647"/>
    <w:rsid w:val="78EC49DB"/>
    <w:rsid w:val="79224A93"/>
    <w:rsid w:val="79273E57"/>
    <w:rsid w:val="79F84A83"/>
    <w:rsid w:val="7AC9184A"/>
    <w:rsid w:val="7BFF2E69"/>
    <w:rsid w:val="7C4818CB"/>
    <w:rsid w:val="7C8B6DF3"/>
    <w:rsid w:val="7D197F5B"/>
    <w:rsid w:val="7D2578C8"/>
    <w:rsid w:val="7DEC7621"/>
    <w:rsid w:val="7E4E6694"/>
    <w:rsid w:val="7F08472B"/>
    <w:rsid w:val="7F387821"/>
    <w:rsid w:val="7F89761A"/>
    <w:rsid w:val="7FB623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3">
    <w:name w:val="heading 3"/>
    <w:basedOn w:val="1"/>
    <w:next w:val="1"/>
    <w:qFormat/>
    <w:uiPriority w:val="0"/>
    <w:pPr>
      <w:keepNext/>
      <w:keepLines/>
      <w:numPr>
        <w:ilvl w:val="2"/>
        <w:numId w:val="2"/>
      </w:numPr>
      <w:spacing w:line="360" w:lineRule="auto"/>
      <w:outlineLvl w:val="2"/>
    </w:pPr>
    <w:rPr>
      <w:rFonts w:eastAsia="宋体"/>
      <w:b/>
      <w:kern w:val="21"/>
      <w:sz w:val="24"/>
    </w:rPr>
  </w:style>
  <w:style w:type="character" w:default="1" w:styleId="19">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rPr>
      <w:color w:val="000000"/>
    </w:rPr>
  </w:style>
  <w:style w:type="paragraph" w:styleId="5">
    <w:name w:val="Body Text"/>
    <w:basedOn w:val="1"/>
    <w:next w:val="1"/>
    <w:link w:val="30"/>
    <w:qFormat/>
    <w:uiPriority w:val="99"/>
    <w:pPr>
      <w:spacing w:after="120"/>
    </w:pPr>
  </w:style>
  <w:style w:type="paragraph" w:styleId="6">
    <w:name w:val="List Bullet 4"/>
    <w:basedOn w:val="1"/>
    <w:qFormat/>
    <w:uiPriority w:val="0"/>
    <w:pPr>
      <w:numPr>
        <w:ilvl w:val="0"/>
        <w:numId w:val="3"/>
      </w:numPr>
      <w:tabs>
        <w:tab w:val="left" w:pos="1620"/>
      </w:tabs>
    </w:pPr>
  </w:style>
  <w:style w:type="paragraph" w:styleId="7">
    <w:name w:val="Normal Indent"/>
    <w:basedOn w:val="1"/>
    <w:next w:val="1"/>
    <w:qFormat/>
    <w:uiPriority w:val="99"/>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8">
    <w:name w:val="Plain Text"/>
    <w:basedOn w:val="1"/>
    <w:qFormat/>
    <w:uiPriority w:val="0"/>
    <w:rPr>
      <w:rFonts w:ascii="宋体" w:hAnsi="Courier New"/>
      <w:kern w:val="0"/>
      <w:sz w:val="20"/>
      <w:szCs w:val="20"/>
    </w:rPr>
  </w:style>
  <w:style w:type="paragraph" w:styleId="9">
    <w:name w:val="List Bullet 5"/>
    <w:basedOn w:val="1"/>
    <w:qFormat/>
    <w:uiPriority w:val="0"/>
    <w:pPr>
      <w:numPr>
        <w:ilvl w:val="0"/>
        <w:numId w:val="4"/>
      </w:numPr>
      <w:tabs>
        <w:tab w:val="left" w:pos="2040"/>
      </w:tabs>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1"/>
    <w:next w:val="1"/>
    <w:qFormat/>
    <w:uiPriority w:val="0"/>
    <w:pPr>
      <w:ind w:firstLine="420" w:firstLineChars="200"/>
    </w:pPr>
    <w:rPr>
      <w:sz w:val="21"/>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qFormat/>
    <w:uiPriority w:val="0"/>
    <w:pPr>
      <w:spacing w:line="320" w:lineRule="exact"/>
      <w:jc w:val="center"/>
    </w:pPr>
    <w:rPr>
      <w:color w:val="000000"/>
      <w:szCs w:val="21"/>
    </w:rPr>
  </w:style>
  <w:style w:type="paragraph" w:styleId="16">
    <w:name w:val="Body Text Indent 3"/>
    <w:basedOn w:val="1"/>
    <w:qFormat/>
    <w:uiPriority w:val="0"/>
    <w:pPr>
      <w:adjustRightInd w:val="0"/>
      <w:snapToGrid w:val="0"/>
      <w:spacing w:line="460" w:lineRule="exact"/>
      <w:ind w:firstLine="561"/>
    </w:pPr>
    <w:rPr>
      <w:rFonts w:ascii="宋体" w:eastAsia="楷体_GB2312"/>
      <w:color w:val="000000"/>
      <w:kern w:val="0"/>
      <w:sz w:val="26"/>
      <w:szCs w:val="22"/>
    </w:rPr>
  </w:style>
  <w:style w:type="paragraph" w:styleId="17">
    <w:name w:val="toc 2"/>
    <w:basedOn w:val="1"/>
    <w:next w:val="1"/>
    <w:qFormat/>
    <w:uiPriority w:val="39"/>
    <w:pPr>
      <w:ind w:left="210"/>
      <w:jc w:val="left"/>
    </w:pPr>
    <w:rPr>
      <w:smallCaps/>
    </w:rPr>
  </w:style>
  <w:style w:type="paragraph" w:styleId="18">
    <w:name w:val="Normal (Web)"/>
    <w:basedOn w:val="1"/>
    <w:qFormat/>
    <w:uiPriority w:val="99"/>
    <w:pPr>
      <w:jc w:val="left"/>
    </w:pPr>
    <w:rPr>
      <w:kern w:val="0"/>
      <w:sz w:val="24"/>
    </w:rPr>
  </w:style>
  <w:style w:type="character" w:styleId="20">
    <w:name w:val="FollowedHyperlink"/>
    <w:qFormat/>
    <w:uiPriority w:val="0"/>
    <w:rPr>
      <w:color w:val="333333"/>
      <w:u w:val="none"/>
    </w:rPr>
  </w:style>
  <w:style w:type="character" w:styleId="21">
    <w:name w:val="Emphasis"/>
    <w:qFormat/>
    <w:uiPriority w:val="0"/>
  </w:style>
  <w:style w:type="character" w:styleId="22">
    <w:name w:val="HTML Definition"/>
    <w:qFormat/>
    <w:uiPriority w:val="0"/>
  </w:style>
  <w:style w:type="character" w:styleId="23">
    <w:name w:val="HTML Acronym"/>
    <w:qFormat/>
    <w:uiPriority w:val="0"/>
  </w:style>
  <w:style w:type="character" w:styleId="24">
    <w:name w:val="HTML Variable"/>
    <w:qFormat/>
    <w:uiPriority w:val="0"/>
  </w:style>
  <w:style w:type="character" w:styleId="25">
    <w:name w:val="Hyperlink"/>
    <w:qFormat/>
    <w:uiPriority w:val="0"/>
    <w:rPr>
      <w:rFonts w:cs="Times New Roman"/>
      <w:color w:val="0000FF"/>
      <w:u w:val="single"/>
      <w:lang w:bidi="ar-SA"/>
    </w:rPr>
  </w:style>
  <w:style w:type="character" w:styleId="26">
    <w:name w:val="HTML Code"/>
    <w:qFormat/>
    <w:uiPriority w:val="0"/>
    <w:rPr>
      <w:rFonts w:ascii="Courier New" w:hAnsi="Courier New"/>
      <w:sz w:val="20"/>
    </w:rPr>
  </w:style>
  <w:style w:type="character" w:styleId="27">
    <w:name w:val="HTML Cite"/>
    <w:qFormat/>
    <w:uiPriority w:val="0"/>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正文文本 Char"/>
    <w:link w:val="5"/>
    <w:qFormat/>
    <w:uiPriority w:val="0"/>
    <w:rPr>
      <w:rFonts w:eastAsia="仿宋_GB2312"/>
      <w:kern w:val="2"/>
      <w:sz w:val="32"/>
      <w:szCs w:val="24"/>
    </w:rPr>
  </w:style>
  <w:style w:type="paragraph" w:customStyle="1" w:styleId="31">
    <w:name w:val="报告表正文"/>
    <w:next w:val="11"/>
    <w:qFormat/>
    <w:uiPriority w:val="0"/>
    <w:pPr>
      <w:spacing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2">
    <w:name w:val="表格5号1"/>
    <w:next w:val="13"/>
    <w:qFormat/>
    <w:uiPriority w:val="0"/>
    <w:pPr>
      <w:spacing w:before="100" w:beforeAutospacing="1" w:after="100" w:afterAutospacing="1"/>
      <w:contextualSpacing/>
      <w:jc w:val="center"/>
    </w:pPr>
    <w:rPr>
      <w:rFonts w:ascii="Times New Roman" w:hAnsi="Times New Roman" w:eastAsia="仿宋_GB2312" w:cs="Times New Roman"/>
      <w:sz w:val="32"/>
      <w:szCs w:val="32"/>
      <w:lang w:val="en-US" w:eastAsia="zh-CN" w:bidi="ar-SA"/>
    </w:rPr>
  </w:style>
  <w:style w:type="paragraph" w:customStyle="1" w:styleId="33">
    <w:name w:val="01正文"/>
    <w:basedOn w:val="1"/>
    <w:qFormat/>
    <w:uiPriority w:val="0"/>
    <w:pPr>
      <w:spacing w:line="480" w:lineRule="exact"/>
      <w:ind w:firstLine="520"/>
    </w:pPr>
    <w:rPr>
      <w:sz w:val="26"/>
      <w:szCs w:val="26"/>
    </w:rPr>
  </w:style>
  <w:style w:type="paragraph" w:customStyle="1" w:styleId="34">
    <w:name w:val="Char Char1 Char"/>
    <w:basedOn w:val="1"/>
    <w:qFormat/>
    <w:uiPriority w:val="0"/>
    <w:rPr>
      <w:rFonts w:eastAsia="宋体"/>
      <w:sz w:val="21"/>
      <w:szCs w:val="21"/>
    </w:rPr>
  </w:style>
  <w:style w:type="paragraph" w:customStyle="1" w:styleId="35">
    <w:name w:val="列出段落1"/>
    <w:basedOn w:val="1"/>
    <w:qFormat/>
    <w:uiPriority w:val="0"/>
    <w:pPr>
      <w:ind w:firstLine="200" w:firstLineChars="200"/>
    </w:pPr>
  </w:style>
  <w:style w:type="paragraph" w:customStyle="1" w:styleId="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正文四号"/>
    <w:basedOn w:val="1"/>
    <w:qFormat/>
    <w:uiPriority w:val="0"/>
    <w:pPr>
      <w:spacing w:line="360" w:lineRule="auto"/>
      <w:ind w:firstLine="200" w:firstLineChars="200"/>
    </w:pPr>
    <w:rPr>
      <w:rFonts w:ascii="宋体" w:eastAsia="宋体" w:cs="宋体"/>
      <w:sz w:val="24"/>
      <w:szCs w:val="22"/>
    </w:rPr>
  </w:style>
  <w:style w:type="paragraph" w:customStyle="1" w:styleId="38">
    <w:name w:val="表中文字"/>
    <w:basedOn w:val="1"/>
    <w:next w:val="1"/>
    <w:qFormat/>
    <w:uiPriority w:val="0"/>
    <w:pPr>
      <w:spacing w:line="288" w:lineRule="auto"/>
      <w:jc w:val="center"/>
    </w:pPr>
    <w:rPr>
      <w:rFonts w:eastAsia="宋体"/>
      <w:sz w:val="21"/>
      <w:szCs w:val="21"/>
    </w:rPr>
  </w:style>
  <w:style w:type="paragraph" w:customStyle="1" w:styleId="39">
    <w:name w:val="Default"/>
    <w:basedOn w:val="40"/>
    <w:next w:val="41"/>
    <w:qFormat/>
    <w:uiPriority w:val="0"/>
    <w:pPr>
      <w:tabs>
        <w:tab w:val="right" w:pos="0"/>
      </w:tabs>
      <w:autoSpaceDE w:val="0"/>
      <w:autoSpaceDN w:val="0"/>
    </w:pPr>
    <w:rPr>
      <w:rFonts w:cs="宋体"/>
      <w:color w:val="000000"/>
      <w:szCs w:val="24"/>
    </w:rPr>
  </w:style>
  <w:style w:type="paragraph" w:customStyle="1" w:styleId="40">
    <w:name w:val="纯文本1"/>
    <w:basedOn w:val="1"/>
    <w:qFormat/>
    <w:uiPriority w:val="0"/>
    <w:pPr>
      <w:tabs>
        <w:tab w:val="right" w:pos="0"/>
      </w:tabs>
      <w:adjustRightInd w:val="0"/>
      <w:snapToGrid w:val="0"/>
      <w:spacing w:line="360" w:lineRule="auto"/>
      <w:jc w:val="center"/>
      <w:textAlignment w:val="baseline"/>
    </w:pPr>
    <w:rPr>
      <w:rFonts w:ascii="宋体" w:hAnsi="Courier New"/>
      <w:snapToGrid w:val="0"/>
      <w:kern w:val="0"/>
      <w:sz w:val="24"/>
      <w:szCs w:val="20"/>
    </w:rPr>
  </w:style>
  <w:style w:type="paragraph" w:customStyle="1" w:styleId="41">
    <w:name w:val="样式35"/>
    <w:basedOn w:val="42"/>
    <w:next w:val="43"/>
    <w:qFormat/>
    <w:uiPriority w:val="0"/>
    <w:pPr>
      <w:spacing w:line="312" w:lineRule="auto"/>
      <w:ind w:firstLine="567"/>
      <w:jc w:val="both"/>
    </w:pPr>
    <w:rPr>
      <w:rFonts w:ascii="宋体" w:eastAsia="宋体"/>
      <w:sz w:val="21"/>
      <w:szCs w:val="22"/>
    </w:rPr>
  </w:style>
  <w:style w:type="paragraph" w:customStyle="1" w:styleId="42">
    <w:name w:val="表 内容"/>
    <w:basedOn w:val="1"/>
    <w:qFormat/>
    <w:uiPriority w:val="0"/>
    <w:pPr>
      <w:adjustRightInd w:val="0"/>
      <w:snapToGrid w:val="0"/>
      <w:spacing w:beforeLines="15" w:afterLines="15"/>
      <w:jc w:val="center"/>
    </w:pPr>
    <w:rPr>
      <w:szCs w:val="21"/>
    </w:rPr>
  </w:style>
  <w:style w:type="paragraph" w:customStyle="1" w:styleId="43">
    <w:name w:val="font6"/>
    <w:next w:val="17"/>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4">
    <w:name w:val="样式18"/>
    <w:basedOn w:val="45"/>
    <w:qFormat/>
    <w:uiPriority w:val="0"/>
    <w:pPr>
      <w:keepNext w:val="0"/>
      <w:keepLines w:val="0"/>
      <w:spacing w:before="0" w:line="460" w:lineRule="atLeast"/>
      <w:ind w:firstLine="200" w:firstLineChars="200"/>
      <w:outlineLvl w:val="9"/>
    </w:pPr>
    <w:rPr>
      <w:rFonts w:eastAsia="宋体"/>
      <w:sz w:val="26"/>
      <w:szCs w:val="26"/>
    </w:rPr>
  </w:style>
  <w:style w:type="paragraph" w:customStyle="1" w:styleId="45">
    <w:name w:val="样式16"/>
    <w:basedOn w:val="1"/>
    <w:qFormat/>
    <w:uiPriority w:val="0"/>
    <w:pPr>
      <w:keepNext/>
      <w:keepLines/>
      <w:widowControl/>
      <w:adjustRightInd w:val="0"/>
      <w:snapToGrid w:val="0"/>
      <w:spacing w:before="80" w:line="460" w:lineRule="exact"/>
      <w:jc w:val="left"/>
      <w:outlineLvl w:val="1"/>
    </w:pPr>
    <w:rPr>
      <w:rFonts w:eastAsia="黑体"/>
      <w:b/>
      <w:bCs/>
      <w:kern w:val="0"/>
      <w:sz w:val="28"/>
      <w:szCs w:val="28"/>
    </w:rPr>
  </w:style>
  <w:style w:type="paragraph" w:customStyle="1" w:styleId="46">
    <w:name w:val="忠庆表格"/>
    <w:basedOn w:val="36"/>
    <w:qFormat/>
    <w:uiPriority w:val="0"/>
    <w:rPr>
      <w:rFonts w:ascii="Times New Roman" w:hAnsi="Times New Roman"/>
      <w:sz w:val="22"/>
    </w:rPr>
  </w:style>
  <w:style w:type="paragraph" w:customStyle="1" w:styleId="47">
    <w:name w:val="忠庆正文"/>
    <w:basedOn w:val="46"/>
    <w:qFormat/>
    <w:uiPriority w:val="0"/>
    <w:pPr>
      <w:spacing w:line="460" w:lineRule="exact"/>
      <w:ind w:firstLine="200" w:firstLineChars="200"/>
    </w:pPr>
    <w:rPr>
      <w:sz w:val="26"/>
    </w:rPr>
  </w:style>
  <w:style w:type="paragraph" w:customStyle="1" w:styleId="48">
    <w:name w:val="样式1"/>
    <w:basedOn w:val="1"/>
    <w:qFormat/>
    <w:uiPriority w:val="0"/>
    <w:pPr>
      <w:adjustRightInd w:val="0"/>
      <w:snapToGrid w:val="0"/>
      <w:spacing w:line="480" w:lineRule="exact"/>
      <w:ind w:firstLine="200" w:firstLineChars="200"/>
    </w:pPr>
    <w:rPr>
      <w:rFonts w:eastAsia="Times New Roman"/>
      <w:kern w:val="0"/>
      <w:sz w:val="26"/>
      <w:szCs w:val="20"/>
    </w:rPr>
  </w:style>
  <w:style w:type="character" w:customStyle="1" w:styleId="49">
    <w:name w:val="00正文 Char"/>
    <w:link w:val="50"/>
    <w:qFormat/>
    <w:uiPriority w:val="0"/>
    <w:rPr>
      <w:rFonts w:eastAsia="仿宋"/>
      <w:kern w:val="2"/>
      <w:sz w:val="26"/>
      <w:szCs w:val="22"/>
    </w:rPr>
  </w:style>
  <w:style w:type="paragraph" w:customStyle="1" w:styleId="50">
    <w:name w:val="00正文"/>
    <w:basedOn w:val="1"/>
    <w:link w:val="49"/>
    <w:qFormat/>
    <w:uiPriority w:val="0"/>
    <w:pPr>
      <w:spacing w:line="460" w:lineRule="exact"/>
      <w:ind w:firstLine="520" w:firstLineChars="200"/>
    </w:pPr>
    <w:rPr>
      <w:rFonts w:eastAsia="仿宋"/>
      <w:sz w:val="26"/>
      <w:szCs w:val="22"/>
    </w:rPr>
  </w:style>
  <w:style w:type="paragraph" w:customStyle="1" w:styleId="51">
    <w:name w:val="List Paragraph"/>
    <w:basedOn w:val="1"/>
    <w:qFormat/>
    <w:uiPriority w:val="34"/>
    <w:pPr>
      <w:ind w:firstLine="420"/>
    </w:pPr>
  </w:style>
  <w:style w:type="paragraph" w:customStyle="1" w:styleId="52">
    <w:name w:val="List Paragraph1"/>
    <w:basedOn w:val="1"/>
    <w:qFormat/>
    <w:uiPriority w:val="0"/>
    <w:pPr>
      <w:ind w:firstLine="420"/>
    </w:pPr>
  </w:style>
  <w:style w:type="character" w:customStyle="1" w:styleId="53">
    <w:name w:val="WJ正文 Char"/>
    <w:link w:val="54"/>
    <w:qFormat/>
    <w:locked/>
    <w:uiPriority w:val="0"/>
    <w:rPr>
      <w:color w:val="000000"/>
      <w:sz w:val="24"/>
      <w:szCs w:val="24"/>
    </w:rPr>
  </w:style>
  <w:style w:type="paragraph" w:customStyle="1" w:styleId="54">
    <w:name w:val="WJ正文"/>
    <w:basedOn w:val="1"/>
    <w:link w:val="53"/>
    <w:qFormat/>
    <w:uiPriority w:val="0"/>
    <w:pPr>
      <w:spacing w:line="440" w:lineRule="exact"/>
      <w:ind w:firstLine="480" w:firstLineChars="200"/>
      <w:jc w:val="left"/>
    </w:pPr>
    <w:rPr>
      <w:rFonts w:eastAsia="宋体"/>
      <w:color w:val="000000"/>
      <w:kern w:val="0"/>
      <w:sz w:val="24"/>
    </w:rPr>
  </w:style>
  <w:style w:type="paragraph" w:customStyle="1" w:styleId="55">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56">
    <w:name w:val="Table Paragraph"/>
    <w:basedOn w:val="1"/>
    <w:qFormat/>
    <w:uiPriority w:val="0"/>
    <w:pPr>
      <w:autoSpaceDE w:val="0"/>
      <w:autoSpaceDN w:val="0"/>
      <w:adjustRightInd w:val="0"/>
      <w:jc w:val="left"/>
    </w:pPr>
    <w:rPr>
      <w:kern w:val="0"/>
      <w:sz w:val="24"/>
    </w:rPr>
  </w:style>
  <w:style w:type="paragraph" w:customStyle="1" w:styleId="57">
    <w:name w:val="0A正文"/>
    <w:basedOn w:val="1"/>
    <w:qFormat/>
    <w:uiPriority w:val="0"/>
    <w:pPr>
      <w:spacing w:line="460" w:lineRule="exact"/>
    </w:pPr>
    <w:rPr>
      <w:color w:val="000000"/>
      <w:szCs w:val="26"/>
    </w:rPr>
  </w:style>
  <w:style w:type="character" w:customStyle="1" w:styleId="58">
    <w:name w:val="表格格式 Char"/>
    <w:link w:val="59"/>
    <w:qFormat/>
    <w:locked/>
    <w:uiPriority w:val="0"/>
    <w:rPr>
      <w:sz w:val="21"/>
    </w:rPr>
  </w:style>
  <w:style w:type="paragraph" w:customStyle="1" w:styleId="59">
    <w:name w:val="表格格式"/>
    <w:basedOn w:val="1"/>
    <w:next w:val="1"/>
    <w:link w:val="58"/>
    <w:qFormat/>
    <w:uiPriority w:val="0"/>
    <w:pPr>
      <w:adjustRightInd w:val="0"/>
      <w:snapToGrid w:val="0"/>
      <w:jc w:val="center"/>
    </w:pPr>
    <w:rPr>
      <w:rFonts w:eastAsia="宋体"/>
      <w:kern w:val="0"/>
      <w:sz w:val="21"/>
      <w:szCs w:val="20"/>
    </w:rPr>
  </w:style>
  <w:style w:type="paragraph" w:customStyle="1" w:styleId="60">
    <w:name w:val="表格内容"/>
    <w:basedOn w:val="1"/>
    <w:next w:val="1"/>
    <w:qFormat/>
    <w:uiPriority w:val="0"/>
    <w:pPr>
      <w:jc w:val="center"/>
    </w:pPr>
    <w:rPr>
      <w:kern w:val="0"/>
      <w:sz w:val="2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 Files\wxid_dqq19jjwkb0022\FileStorage\File\2024-12\&#31532;&#20108;&#27425;&#20844;&#31034;&#34920;&#65288;&#20016;&#27877;&#27700;&#27877;&#31377;&#21327;&#21516;&#22788;&#32622;&#39033;&#30446;&#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第二次公示表（丰泥水泥窑协同处置项目）.dotx</Template>
  <Pages>11</Pages>
  <Words>4336</Words>
  <Characters>4624</Characters>
  <Lines>33</Lines>
  <Paragraphs>9</Paragraphs>
  <TotalTime>0</TotalTime>
  <ScaleCrop>false</ScaleCrop>
  <LinksUpToDate>false</LinksUpToDate>
  <CharactersWithSpaces>4626</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2024-12-03T01:47:00Z</dcterms:created>
  <dc:creator>雨祭</dc:creator>
  <cp:lastModifiedBy>xjzx</cp:lastModifiedBy>
  <dcterms:modified xsi:type="dcterms:W3CDTF">2025-08-18T03:48:55Z</dcterms:modified>
  <dc:title>丰都县环保局审查建设项目环评信息公示表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44F3208D768A4ADE9A715621B8735049_11</vt:lpwstr>
  </property>
  <property fmtid="{D5CDD505-2E9C-101B-9397-08002B2CF9AE}" pid="4" name="KSOTemplateDocerSaveRecord">
    <vt:lpwstr>eyJoZGlkIjoiYTQyYzczYTI0ODc5ZDM5ZDI3OTVlYzZmYTg5Y2ZlYjQiLCJ1c2VySWQiOiI2MjEzMjg0ODIifQ==</vt:lpwstr>
  </property>
</Properties>
</file>